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lang w:eastAsia="zh-CN"/>
        </w:rPr>
      </w:pPr>
      <w:r>
        <w:rPr>
          <w:rFonts w:hint="eastAsia" w:cs="仿宋"/>
          <w:color w:val="auto"/>
          <w:sz w:val="36"/>
          <w:highlight w:val="none"/>
          <w:lang w:eastAsia="zh-CN"/>
        </w:rPr>
        <w:t>宁围街道经济开发区（建设二路以南）小区生活垃圾分类第三方服务政府采购项目</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（电子招投标）</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编号:ZFCG-NW20221003</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采购人：杭州市萧山区人民政府</w:t>
      </w:r>
      <w:r>
        <w:rPr>
          <w:rFonts w:hint="eastAsia" w:cs="仿宋"/>
          <w:color w:val="auto"/>
          <w:sz w:val="36"/>
          <w:highlight w:val="none"/>
          <w:lang w:val="en-US" w:eastAsia="zh-CN"/>
        </w:rPr>
        <w:t>宁围</w:t>
      </w:r>
      <w:r>
        <w:rPr>
          <w:rFonts w:hint="eastAsia" w:ascii="仿宋" w:hAnsi="仿宋" w:eastAsia="仿宋" w:cs="仿宋"/>
          <w:color w:val="auto"/>
          <w:sz w:val="36"/>
          <w:highlight w:val="none"/>
        </w:rPr>
        <w:t>办事处</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rPr>
        <w:t>采购代理机构：浙江省房地产管理咨询有限公司</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 w:val="36"/>
          <w:highlight w:val="none"/>
        </w:rPr>
      </w:pPr>
      <w:r>
        <w:rPr>
          <w:rFonts w:hint="eastAsia" w:ascii="仿宋" w:hAnsi="仿宋" w:eastAsia="仿宋" w:cs="仿宋"/>
          <w:color w:val="auto"/>
          <w:sz w:val="36"/>
          <w:highlight w:val="none"/>
          <w:lang w:val="en-US" w:eastAsia="zh-CN"/>
        </w:rPr>
        <w:t>2022</w:t>
      </w:r>
      <w:r>
        <w:rPr>
          <w:rFonts w:hint="eastAsia" w:ascii="仿宋" w:hAnsi="仿宋" w:eastAsia="仿宋" w:cs="仿宋"/>
          <w:color w:val="auto"/>
          <w:sz w:val="36"/>
          <w:highlight w:val="none"/>
        </w:rPr>
        <w:t>年</w:t>
      </w:r>
      <w:r>
        <w:rPr>
          <w:rFonts w:hint="eastAsia" w:cs="仿宋"/>
          <w:color w:val="auto"/>
          <w:sz w:val="36"/>
          <w:highlight w:val="none"/>
          <w:lang w:val="en-US" w:eastAsia="zh-CN"/>
        </w:rPr>
        <w:t>10</w:t>
      </w:r>
      <w:r>
        <w:rPr>
          <w:rFonts w:hint="eastAsia" w:ascii="仿宋" w:hAnsi="仿宋" w:eastAsia="仿宋" w:cs="仿宋"/>
          <w:color w:val="auto"/>
          <w:sz w:val="36"/>
          <w:highlight w:val="none"/>
        </w:rPr>
        <w:t>月</w:t>
      </w:r>
      <w:r>
        <w:rPr>
          <w:rFonts w:hint="eastAsia" w:cs="仿宋"/>
          <w:color w:val="auto"/>
          <w:sz w:val="36"/>
          <w:highlight w:val="none"/>
          <w:lang w:val="en-US" w:eastAsia="zh-CN"/>
        </w:rPr>
        <w:t>13</w:t>
      </w:r>
      <w:r>
        <w:rPr>
          <w:rFonts w:hint="eastAsia" w:ascii="仿宋" w:hAnsi="仿宋" w:eastAsia="仿宋" w:cs="仿宋"/>
          <w:color w:val="auto"/>
          <w:sz w:val="36"/>
          <w:highlight w:val="none"/>
        </w:rPr>
        <w:t>日</w:t>
      </w:r>
    </w:p>
    <w:p>
      <w:pPr>
        <w:jc w:val="both"/>
        <w:rPr>
          <w:rFonts w:hint="eastAsia"/>
        </w:rPr>
      </w:pPr>
    </w:p>
    <w:p>
      <w:pPr>
        <w:jc w:val="both"/>
        <w:rPr>
          <w:rFonts w:hint="eastAsia"/>
        </w:rPr>
      </w:pPr>
    </w:p>
    <w:p>
      <w:pPr>
        <w:jc w:val="both"/>
        <w:rPr>
          <w:rFonts w:hint="eastAsia"/>
        </w:rPr>
      </w:pPr>
    </w:p>
    <w:p>
      <w:pPr>
        <w:jc w:val="center"/>
        <w:rPr>
          <w:rFonts w:hint="eastAsia" w:ascii="仿宋" w:hAnsi="仿宋" w:eastAsia="仿宋" w:cs="仿宋"/>
          <w:b/>
          <w:smallCaps/>
          <w:color w:val="auto"/>
          <w:spacing w:val="5"/>
          <w:sz w:val="36"/>
          <w:szCs w:val="36"/>
          <w:highlight w:val="none"/>
        </w:rPr>
      </w:pPr>
      <w:r>
        <w:rPr>
          <w:rFonts w:hint="eastAsia"/>
        </w:rPr>
        <w:t>本招标文件为2022年7月1日稿，请各位投标人详细阅读各项条款</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目  录</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keepNext w:val="0"/>
        <w:keepLines w:val="0"/>
        <w:pageBreakBefore w:val="0"/>
        <w:kinsoku/>
        <w:wordWrap/>
        <w:overflowPunct/>
        <w:topLinePunct w:val="0"/>
        <w:bidi w:val="0"/>
        <w:spacing w:line="288" w:lineRule="auto"/>
        <w:rPr>
          <w:rFonts w:hint="eastAsia" w:ascii="仿宋" w:hAnsi="仿宋" w:eastAsia="仿宋" w:cs="仿宋"/>
          <w:color w:val="auto"/>
          <w:sz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rPr>
            </w:pPr>
            <w:r>
              <w:rPr>
                <w:rFonts w:hint="eastAsia" w:cs="仿宋"/>
                <w:color w:val="auto"/>
                <w:highlight w:val="none"/>
                <w:u w:val="single"/>
                <w:lang w:eastAsia="zh-CN"/>
              </w:rPr>
              <w:t>宁围街道经济开发区（建设二路以南）小区生活垃圾分类第三方服务政府采购项目</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https://www.zcygov.cn/）获取（下载）招标文件，并于202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16</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分00秒</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一、项目基本情况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项目编号：ZFCG-NW20221003</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宁围街道经济开发区（建设二路以南）小区生活垃圾分类第三方服务政府采购项目</w:t>
      </w:r>
    </w:p>
    <w:p>
      <w:pPr>
        <w:keepNext w:val="0"/>
        <w:keepLines w:val="0"/>
        <w:pageBreakBefore w:val="0"/>
        <w:kinsoku/>
        <w:wordWrap/>
        <w:overflowPunct/>
        <w:topLinePunct w:val="0"/>
        <w:bidi w:val="0"/>
        <w:spacing w:line="288" w:lineRule="auto"/>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预算金额（元）</w:t>
      </w:r>
      <w:r>
        <w:rPr>
          <w:rFonts w:hint="eastAsia" w:ascii="仿宋" w:hAnsi="仿宋" w:eastAsia="仿宋" w:cs="仿宋"/>
          <w:color w:val="auto"/>
          <w:highlight w:val="none"/>
        </w:rPr>
        <w:t>：</w:t>
      </w:r>
      <w:r>
        <w:rPr>
          <w:rFonts w:hint="eastAsia" w:cs="仿宋"/>
          <w:color w:val="auto"/>
          <w:highlight w:val="none"/>
          <w:lang w:val="en-US" w:eastAsia="zh-CN"/>
        </w:rPr>
        <w:t>7644549.50</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bCs/>
          <w:color w:val="auto"/>
          <w:highlight w:val="none"/>
        </w:rPr>
        <w:t>最高限价（元）</w:t>
      </w:r>
      <w:r>
        <w:rPr>
          <w:rFonts w:hint="eastAsia" w:ascii="仿宋" w:hAnsi="仿宋" w:eastAsia="仿宋" w:cs="仿宋"/>
          <w:color w:val="auto"/>
          <w:highlight w:val="none"/>
        </w:rPr>
        <w:t>：</w:t>
      </w:r>
      <w:r>
        <w:rPr>
          <w:rFonts w:hint="eastAsia" w:cs="仿宋"/>
          <w:color w:val="auto"/>
          <w:highlight w:val="none"/>
          <w:lang w:val="en-US" w:eastAsia="zh-CN"/>
        </w:rPr>
        <w:t>7644549.50</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采购需求：</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标项名称:</w:t>
      </w:r>
      <w:r>
        <w:rPr>
          <w:rFonts w:hint="eastAsia" w:cs="仿宋"/>
          <w:color w:val="auto"/>
          <w:highlight w:val="none"/>
          <w:lang w:eastAsia="zh-CN"/>
        </w:rPr>
        <w:t>宁围街道经济开发区（建设二路以南）小区生活垃圾分类第三方服务政府采购项目</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预算金额（元）:</w:t>
      </w:r>
      <w:r>
        <w:rPr>
          <w:rFonts w:hint="eastAsia" w:cs="仿宋"/>
          <w:color w:val="auto"/>
          <w:highlight w:val="none"/>
          <w:lang w:val="en-US" w:eastAsia="zh-CN"/>
        </w:rPr>
        <w:t>7644549.50</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简要规格描述或项目基本概况介绍、用途：</w:t>
      </w:r>
      <w:r>
        <w:rPr>
          <w:rFonts w:hint="eastAsia" w:cs="仿宋"/>
          <w:color w:val="auto"/>
          <w:highlight w:val="none"/>
          <w:lang w:eastAsia="zh-CN"/>
        </w:rPr>
        <w:t>宁围街道垃圾分类第三方服务</w:t>
      </w:r>
      <w:r>
        <w:rPr>
          <w:rFonts w:hint="eastAsia" w:cs="仿宋"/>
          <w:color w:val="auto"/>
          <w:sz w:val="24"/>
          <w:highlight w:val="none"/>
          <w:lang w:val="en-US" w:eastAsia="zh-CN"/>
        </w:rPr>
        <w:t>；详见第三部分采购需求</w:t>
      </w:r>
      <w:r>
        <w:rPr>
          <w:rFonts w:hint="eastAsia" w:ascii="仿宋" w:hAnsi="仿宋" w:eastAsia="仿宋" w:cs="仿宋"/>
          <w:color w:val="auto"/>
          <w:highlight w:val="none"/>
          <w:lang w:val="en-US" w:eastAsia="zh-CN"/>
        </w:rPr>
        <w:t>。</w:t>
      </w:r>
    </w:p>
    <w:p>
      <w:pPr>
        <w:keepNext w:val="0"/>
        <w:keepLines w:val="0"/>
        <w:pageBreakBefore w:val="0"/>
        <w:kinsoku/>
        <w:wordWrap/>
        <w:overflowPunct/>
        <w:topLinePunct w:val="0"/>
        <w:bidi w:val="0"/>
        <w:spacing w:after="0" w:line="288"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合同履约期限：标项一，自</w:t>
      </w:r>
      <w:r>
        <w:rPr>
          <w:rFonts w:hint="eastAsia" w:cs="仿宋"/>
          <w:color w:val="auto"/>
          <w:highlight w:val="none"/>
          <w:lang w:val="en-US" w:eastAsia="zh-CN"/>
        </w:rPr>
        <w:t>合同</w:t>
      </w:r>
      <w:r>
        <w:rPr>
          <w:rFonts w:hint="eastAsia" w:ascii="仿宋" w:hAnsi="仿宋" w:eastAsia="仿宋" w:cs="仿宋"/>
          <w:color w:val="auto"/>
          <w:highlight w:val="none"/>
          <w:lang w:val="en-US" w:eastAsia="zh-CN"/>
        </w:rPr>
        <w:t>签订之日起</w:t>
      </w:r>
      <w:r>
        <w:rPr>
          <w:rFonts w:hint="eastAsia" w:cs="仿宋"/>
          <w:color w:val="auto"/>
          <w:highlight w:val="none"/>
          <w:lang w:val="en-US" w:eastAsia="zh-CN"/>
        </w:rPr>
        <w:t>壹</w:t>
      </w:r>
      <w:r>
        <w:rPr>
          <w:rFonts w:hint="eastAsia" w:ascii="仿宋" w:hAnsi="仿宋" w:eastAsia="仿宋" w:cs="仿宋"/>
          <w:color w:val="auto"/>
          <w:highlight w:val="none"/>
          <w:lang w:val="en-US" w:eastAsia="zh-CN"/>
        </w:rPr>
        <w:t>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本项目接受联合体投标：（√）是；（</w:t>
      </w:r>
      <w:r>
        <w:rPr>
          <w:rFonts w:hint="eastAsia" w:cs="仿宋"/>
          <w:color w:val="auto"/>
          <w:highlight w:val="none"/>
          <w:lang w:val="en-US" w:eastAsia="zh-CN"/>
        </w:rPr>
        <w:t xml:space="preserve">  </w:t>
      </w:r>
      <w:r>
        <w:rPr>
          <w:rFonts w:hint="eastAsia" w:ascii="仿宋" w:hAnsi="仿宋" w:eastAsia="仿宋" w:cs="仿宋"/>
          <w:color w:val="auto"/>
          <w:highlight w:val="none"/>
        </w:rPr>
        <w:t>）否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二、申请人的资格要求：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pStyle w:val="2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标项一：</w:t>
      </w:r>
      <w:r>
        <w:rPr>
          <w:rFonts w:hint="eastAsia" w:cs="仿宋"/>
          <w:color w:val="auto"/>
          <w:highlight w:val="none"/>
          <w:lang w:eastAsia="zh-CN"/>
        </w:rPr>
        <w:t>垃圾分类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w:t>
      </w:r>
      <w:r>
        <w:rPr>
          <w:rFonts w:hint="eastAsia" w:ascii="仿宋" w:hAnsi="仿宋" w:eastAsia="仿宋" w:cs="仿宋"/>
          <w:color w:val="auto"/>
          <w:highlight w:val="none"/>
        </w:rPr>
        <w:t>）无；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 xml:space="preserve"> </w:t>
      </w:r>
      <w:r>
        <w:rPr>
          <w:rFonts w:hint="eastAsia" w:ascii="仿宋" w:hAnsi="仿宋" w:eastAsia="仿宋" w:cs="仿宋"/>
          <w:color w:val="auto"/>
          <w:highlight w:val="none"/>
        </w:rPr>
        <w:t>）专门面向中小企业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 xml:space="preserve"> </w:t>
      </w:r>
      <w:r>
        <w:rPr>
          <w:rFonts w:hint="eastAsia" w:ascii="仿宋" w:hAnsi="仿宋" w:eastAsia="仿宋" w:cs="仿宋"/>
          <w:color w:val="auto"/>
          <w:highlight w:val="none"/>
        </w:rPr>
        <w:t>）货物全部由符合政策要求的中小企业制造，提供中小企业声明函；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）货物全部由符合政策要求的小微企业制造，提供中小企业声明函；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）服务全部由符合政策要求的中小企业承接，提供中小企业声明函；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）服务全部由符合政策要求的小微企业承接，提供中小企业声明函；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三、获取招标文件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16</w:t>
      </w:r>
      <w:r>
        <w:rPr>
          <w:rFonts w:hint="eastAsia" w:ascii="仿宋" w:hAnsi="仿宋" w:eastAsia="仿宋" w:cs="仿宋"/>
          <w:color w:val="auto"/>
          <w:highlight w:val="none"/>
        </w:rPr>
        <w:t>日，每天上午00:00至12:00 ，下午12:00至23:59（北京时间，线上获取法定节假日均可，线下获取文件法定节假日除外）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四、提交投标文件截止时间、开标时间和地点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16</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 （北京时间）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开标时间：202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16</w:t>
      </w:r>
      <w:r>
        <w:rPr>
          <w:rFonts w:hint="eastAsia" w:ascii="仿宋" w:hAnsi="仿宋" w:eastAsia="仿宋" w:cs="仿宋"/>
          <w:color w:val="auto"/>
          <w:highlight w:val="none"/>
        </w:rPr>
        <w:t>日</w:t>
      </w:r>
      <w:r>
        <w:rPr>
          <w:rFonts w:hint="eastAsia" w:cs="仿宋"/>
          <w:color w:val="auto"/>
          <w:highlight w:val="none"/>
          <w:lang w:val="en-US" w:eastAsia="zh-CN"/>
        </w:rPr>
        <w:t>9</w:t>
      </w:r>
      <w:r>
        <w:rPr>
          <w:rFonts w:hint="eastAsia" w:ascii="仿宋" w:hAnsi="仿宋" w:eastAsia="仿宋" w:cs="仿宋"/>
          <w:color w:val="auto"/>
          <w:highlight w:val="none"/>
        </w:rPr>
        <w:t>点</w:t>
      </w:r>
      <w:r>
        <w:rPr>
          <w:rFonts w:hint="eastAsia" w:cs="仿宋"/>
          <w:color w:val="auto"/>
          <w:highlight w:val="none"/>
          <w:lang w:val="en-US" w:eastAsia="zh-CN"/>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分 （北京时间）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五、公告期限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六、其他补充事宜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七、对本次采购提出询问、质疑、投诉，请按以下方式联系</w:t>
      </w:r>
    </w:p>
    <w:p>
      <w:pPr>
        <w:keepNext w:val="0"/>
        <w:keepLines w:val="0"/>
        <w:pageBreakBefore w:val="0"/>
        <w:widowControl/>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称：杭州市萧山区人民政府宁围办事处</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highlight w:val="none"/>
        </w:rPr>
        <w:t>萧山区宁围街道振宁路228号</w:t>
      </w:r>
    </w:p>
    <w:p>
      <w:pPr>
        <w:rPr>
          <w:rFonts w:hint="eastAsia"/>
          <w:color w:val="auto"/>
          <w:highlight w:val="none"/>
          <w:lang w:eastAsia="zh-CN"/>
        </w:rPr>
      </w:pPr>
      <w:r>
        <w:rPr>
          <w:rFonts w:hint="eastAsia"/>
          <w:color w:val="auto"/>
          <w:highlight w:val="none"/>
          <w:lang w:eastAsia="zh-CN"/>
        </w:rPr>
        <w:t>项目联系人（询问）：陈国</w:t>
      </w:r>
    </w:p>
    <w:p>
      <w:pPr>
        <w:rPr>
          <w:rFonts w:hint="eastAsia"/>
          <w:color w:val="auto"/>
          <w:highlight w:val="none"/>
          <w:lang w:eastAsia="zh-CN"/>
        </w:rPr>
      </w:pPr>
      <w:r>
        <w:rPr>
          <w:rFonts w:hint="eastAsia"/>
          <w:color w:val="auto"/>
          <w:highlight w:val="none"/>
          <w:lang w:eastAsia="zh-CN"/>
        </w:rPr>
        <w:t>项目联系方式（询问）：0571-82864527</w:t>
      </w:r>
    </w:p>
    <w:p>
      <w:pPr>
        <w:rPr>
          <w:rFonts w:hint="eastAsia"/>
          <w:color w:val="auto"/>
          <w:highlight w:val="none"/>
          <w:lang w:eastAsia="zh-CN"/>
        </w:rPr>
      </w:pPr>
      <w:r>
        <w:rPr>
          <w:rFonts w:hint="eastAsia"/>
          <w:color w:val="auto"/>
          <w:highlight w:val="none"/>
          <w:lang w:eastAsia="zh-CN"/>
        </w:rPr>
        <w:t>质疑联系人：倪陆杨</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color w:val="auto"/>
          <w:highlight w:val="none"/>
          <w:lang w:eastAsia="zh-CN"/>
        </w:rPr>
        <w:t>质疑联系方式：13958155423</w:t>
      </w:r>
      <w:bookmarkStart w:id="0" w:name="_Toc28359009"/>
      <w:bookmarkStart w:id="1" w:name="_Toc28359086"/>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0"/>
      <w:bookmarkEnd w:id="1"/>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名称：浙江省房地产管理咨询有限公司</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地址：萧山区晨晖路1096号南和城4幢1单元1003室</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巫铭</w:t>
      </w:r>
    </w:p>
    <w:p>
      <w:pPr>
        <w:keepNext w:val="0"/>
        <w:keepLines w:val="0"/>
        <w:pageBreakBefore w:val="0"/>
        <w:kinsoku/>
        <w:wordWrap/>
        <w:overflowPunct/>
        <w:topLinePunct w:val="0"/>
        <w:bidi w:val="0"/>
        <w:spacing w:line="288"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cs="仿宋"/>
          <w:color w:val="auto"/>
          <w:sz w:val="24"/>
          <w:szCs w:val="28"/>
          <w:highlight w:val="none"/>
          <w:lang w:val="en-US" w:eastAsia="zh-CN"/>
        </w:rPr>
        <w:t>15928086312</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质疑联系人：田岳</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质疑联系方式：0571-83731873</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名    称：萧山区财政局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地    址：萧山区人民路318号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真：0571-82756122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联系人 ：汤先生             </w:t>
      </w:r>
    </w:p>
    <w:p>
      <w:pPr>
        <w:keepNext w:val="0"/>
        <w:keepLines w:val="0"/>
        <w:pageBreakBefore w:val="0"/>
        <w:kinsoku/>
        <w:wordWrap/>
        <w:overflowPunct/>
        <w:topLinePunct w:val="0"/>
        <w:bidi w:val="0"/>
        <w:spacing w:line="288"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监督投诉电话：0571-82756122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7"/>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1"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6640"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服务</w:t>
            </w:r>
            <w:r>
              <w:rPr>
                <w:rFonts w:hint="eastAsia" w:ascii="仿宋" w:hAnsi="仿宋" w:eastAsia="仿宋" w:cs="仿宋"/>
                <w:color w:val="auto"/>
                <w:sz w:val="24"/>
                <w:szCs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标项一，宁围街道经济开发区（建设二路以南）小区生活垃圾分类第三方服务政府采购项目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b w:val="0"/>
                <w:bCs w:val="0"/>
                <w:color w:val="auto"/>
                <w:sz w:val="22"/>
                <w:highlight w:val="none"/>
                <w:u w:val="single"/>
                <w:lang w:val="en-US" w:eastAsia="zh-CN"/>
              </w:rPr>
              <w:t>其他未列明</w:t>
            </w:r>
            <w:r>
              <w:rPr>
                <w:rFonts w:hint="eastAsia" w:ascii="仿宋" w:hAnsi="仿宋" w:eastAsia="仿宋" w:cs="仿宋"/>
                <w:b w:val="0"/>
                <w:bCs w:val="0"/>
                <w:color w:val="auto"/>
                <w:sz w:val="22"/>
                <w:highlight w:val="none"/>
                <w:u w:val="single"/>
              </w:rPr>
              <w:t>行业</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行业划分标准：</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)本项目不允许采购进口产品。</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分包</w:t>
            </w:r>
          </w:p>
        </w:tc>
        <w:tc>
          <w:tcPr>
            <w:tcW w:w="6640" w:type="dxa"/>
            <w:vAlign w:val="center"/>
          </w:tcPr>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A同意将非主体、非关键性的</w:t>
            </w:r>
            <w:r>
              <w:rPr>
                <w:rFonts w:hint="eastAsia" w:ascii="仿宋" w:hAnsi="仿宋" w:eastAsia="仿宋" w:cs="仿宋"/>
                <w:color w:val="auto"/>
                <w:sz w:val="24"/>
                <w:szCs w:val="24"/>
                <w:highlight w:val="none"/>
                <w:u w:val="single"/>
              </w:rPr>
              <w:t>再生资源网点及回收处置</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工作分包。</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样品提供</w:t>
            </w:r>
          </w:p>
        </w:tc>
        <w:tc>
          <w:tcPr>
            <w:tcW w:w="6640" w:type="dxa"/>
            <w:vAlign w:val="center"/>
          </w:tcPr>
          <w:p>
            <w:pPr>
              <w:spacing w:after="0" w:line="360" w:lineRule="auto"/>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）A不要求提供。</w:t>
            </w:r>
          </w:p>
          <w:p>
            <w:pPr>
              <w:spacing w:after="0" w:line="360" w:lineRule="auto"/>
              <w:rPr>
                <w:color w:val="auto"/>
                <w:highlight w:val="none"/>
              </w:rPr>
            </w:pPr>
            <w:r>
              <w:rPr>
                <w:rFonts w:hint="eastAsia"/>
                <w:color w:val="auto"/>
                <w:highlight w:val="none"/>
              </w:rPr>
              <w:t>（√）B要求提供，</w:t>
            </w:r>
          </w:p>
          <w:p>
            <w:pPr>
              <w:spacing w:after="0" w:line="360" w:lineRule="auto"/>
              <w:rPr>
                <w:color w:val="auto"/>
                <w:highlight w:val="none"/>
              </w:rPr>
            </w:pPr>
            <w:r>
              <w:rPr>
                <w:rFonts w:hint="eastAsia"/>
                <w:color w:val="auto"/>
                <w:highlight w:val="none"/>
              </w:rPr>
              <w:t>（1）样品：</w:t>
            </w:r>
            <w:r>
              <w:rPr>
                <w:rFonts w:hint="eastAsia"/>
                <w:color w:val="auto"/>
                <w:highlight w:val="none"/>
                <w:lang w:val="en-US" w:eastAsia="zh-CN"/>
              </w:rPr>
              <w:t>入户垃圾桶、芯片、封装电子秤</w:t>
            </w:r>
            <w:r>
              <w:rPr>
                <w:rFonts w:hint="eastAsia"/>
                <w:color w:val="auto"/>
                <w:highlight w:val="none"/>
              </w:rPr>
              <w:t>；</w:t>
            </w:r>
          </w:p>
          <w:p>
            <w:pPr>
              <w:spacing w:after="0" w:line="360" w:lineRule="auto"/>
              <w:rPr>
                <w:color w:val="auto"/>
                <w:highlight w:val="none"/>
              </w:rPr>
            </w:pPr>
            <w:r>
              <w:rPr>
                <w:rFonts w:hint="eastAsia"/>
                <w:color w:val="auto"/>
                <w:highlight w:val="none"/>
              </w:rPr>
              <w:t>（2）样品制作的标准和要求：详见采购需求；</w:t>
            </w:r>
          </w:p>
          <w:p>
            <w:pPr>
              <w:spacing w:after="0" w:line="360" w:lineRule="auto"/>
              <w:rPr>
                <w:color w:val="auto"/>
                <w:highlight w:val="none"/>
              </w:rPr>
            </w:pPr>
            <w:r>
              <w:rPr>
                <w:rFonts w:hint="eastAsia"/>
                <w:color w:val="auto"/>
                <w:highlight w:val="none"/>
              </w:rPr>
              <w:t>（3）样品的评审方法以及评审标准：详见评标办法；</w:t>
            </w:r>
          </w:p>
          <w:p>
            <w:pPr>
              <w:spacing w:after="0" w:line="360" w:lineRule="auto"/>
              <w:rPr>
                <w:color w:val="auto"/>
                <w:highlight w:val="none"/>
              </w:rPr>
            </w:pPr>
            <w:r>
              <w:rPr>
                <w:rFonts w:hint="eastAsia"/>
                <w:color w:val="auto"/>
                <w:highlight w:val="none"/>
              </w:rPr>
              <w:t>（4）是否需要随样品提交检测报告：（√） A否。</w:t>
            </w:r>
          </w:p>
          <w:p>
            <w:pPr>
              <w:spacing w:after="0" w:line="360" w:lineRule="auto"/>
              <w:rPr>
                <w:rFonts w:hint="eastAsia"/>
                <w:color w:val="auto"/>
                <w:highlight w:val="none"/>
              </w:rPr>
            </w:pPr>
            <w:r>
              <w:rPr>
                <w:rFonts w:hint="eastAsia"/>
                <w:color w:val="auto"/>
                <w:highlight w:val="none"/>
              </w:rPr>
              <w:t>（5）提供样品的时间：</w:t>
            </w:r>
            <w:r>
              <w:rPr>
                <w:rFonts w:hint="default"/>
                <w:bCs w:val="0"/>
                <w:color w:val="auto"/>
                <w:sz w:val="24"/>
                <w:highlight w:val="none"/>
                <w:shd w:val="clear" w:color="auto" w:fill="auto"/>
                <w:lang w:val="en-US" w:eastAsia="zh-CN"/>
              </w:rPr>
              <w:t>2022年</w:t>
            </w:r>
            <w:r>
              <w:rPr>
                <w:rFonts w:hint="eastAsia"/>
                <w:bCs w:val="0"/>
                <w:color w:val="auto"/>
                <w:sz w:val="24"/>
                <w:highlight w:val="none"/>
                <w:shd w:val="clear" w:color="auto" w:fill="auto"/>
                <w:lang w:val="en-US" w:eastAsia="zh-CN"/>
              </w:rPr>
              <w:t>11</w:t>
            </w:r>
            <w:r>
              <w:rPr>
                <w:rFonts w:hint="default"/>
                <w:bCs w:val="0"/>
                <w:color w:val="auto"/>
                <w:sz w:val="24"/>
                <w:highlight w:val="none"/>
                <w:shd w:val="clear" w:color="auto" w:fill="auto"/>
                <w:lang w:val="en-US" w:eastAsia="zh-CN"/>
              </w:rPr>
              <w:t>月</w:t>
            </w:r>
            <w:r>
              <w:rPr>
                <w:rFonts w:hint="eastAsia"/>
                <w:bCs w:val="0"/>
                <w:color w:val="auto"/>
                <w:sz w:val="24"/>
                <w:highlight w:val="none"/>
                <w:shd w:val="clear" w:color="auto" w:fill="auto"/>
                <w:lang w:val="en-US" w:eastAsia="zh-CN"/>
              </w:rPr>
              <w:t>16</w:t>
            </w:r>
            <w:r>
              <w:rPr>
                <w:rFonts w:hint="default"/>
                <w:bCs w:val="0"/>
                <w:color w:val="auto"/>
                <w:sz w:val="24"/>
                <w:highlight w:val="none"/>
                <w:shd w:val="clear" w:color="auto" w:fill="auto"/>
                <w:lang w:val="en-US" w:eastAsia="zh-CN"/>
              </w:rPr>
              <w:t>日</w:t>
            </w:r>
            <w:r>
              <w:rPr>
                <w:rFonts w:hint="eastAsia"/>
                <w:bCs w:val="0"/>
                <w:color w:val="auto"/>
                <w:sz w:val="24"/>
                <w:highlight w:val="none"/>
                <w:shd w:val="clear" w:color="auto" w:fill="auto"/>
                <w:lang w:val="en-US" w:eastAsia="zh-CN"/>
              </w:rPr>
              <w:t>08</w:t>
            </w:r>
            <w:r>
              <w:rPr>
                <w:rFonts w:hint="default"/>
                <w:bCs w:val="0"/>
                <w:color w:val="auto"/>
                <w:sz w:val="24"/>
                <w:highlight w:val="none"/>
                <w:shd w:val="clear" w:color="auto" w:fill="auto"/>
                <w:lang w:val="en-US" w:eastAsia="zh-CN"/>
              </w:rPr>
              <w:t>时</w:t>
            </w:r>
            <w:r>
              <w:rPr>
                <w:rFonts w:hint="eastAsia"/>
                <w:bCs w:val="0"/>
                <w:color w:val="auto"/>
                <w:sz w:val="24"/>
                <w:highlight w:val="none"/>
                <w:shd w:val="clear" w:color="auto" w:fill="auto"/>
                <w:lang w:val="en-US" w:eastAsia="zh-CN"/>
              </w:rPr>
              <w:t>30</w:t>
            </w:r>
            <w:r>
              <w:rPr>
                <w:rFonts w:hint="default"/>
                <w:bCs w:val="0"/>
                <w:color w:val="auto"/>
                <w:sz w:val="24"/>
                <w:highlight w:val="none"/>
                <w:shd w:val="clear" w:color="auto" w:fill="auto"/>
                <w:lang w:val="en-US" w:eastAsia="zh-CN"/>
              </w:rPr>
              <w:t>分-09时30分</w:t>
            </w:r>
            <w:r>
              <w:rPr>
                <w:rFonts w:hint="default"/>
                <w:bCs w:val="0"/>
                <w:color w:val="auto"/>
                <w:sz w:val="24"/>
                <w:highlight w:val="none"/>
                <w:shd w:val="clear" w:color="auto" w:fill="auto"/>
              </w:rPr>
              <w:t xml:space="preserve"> </w:t>
            </w:r>
            <w:r>
              <w:rPr>
                <w:rFonts w:hint="eastAsia"/>
                <w:color w:val="auto"/>
                <w:highlight w:val="none"/>
              </w:rPr>
              <w:t>；</w:t>
            </w:r>
            <w:r>
              <w:rPr>
                <w:rFonts w:hint="eastAsia"/>
                <w:color w:val="auto"/>
                <w:highlight w:val="none"/>
              </w:rPr>
              <w:t>地点</w:t>
            </w:r>
            <w:r>
              <w:rPr>
                <w:rFonts w:hint="eastAsia"/>
                <w:color w:val="auto"/>
                <w:highlight w:val="none"/>
                <w:lang w:val="en-US" w:eastAsia="zh-CN"/>
              </w:rPr>
              <w:t>：</w:t>
            </w:r>
            <w:r>
              <w:rPr>
                <w:rFonts w:hint="eastAsia"/>
                <w:color w:val="auto"/>
                <w:highlight w:val="none"/>
                <w:u w:val="single"/>
                <w:lang w:val="en-US" w:eastAsia="zh-CN"/>
              </w:rPr>
              <w:t>杭州市</w:t>
            </w:r>
            <w:r>
              <w:rPr>
                <w:rFonts w:hint="eastAsia" w:cs="仿宋"/>
                <w:color w:val="auto"/>
                <w:sz w:val="24"/>
                <w:szCs w:val="28"/>
                <w:highlight w:val="none"/>
                <w:u w:val="single"/>
                <w:lang w:val="en-US" w:eastAsia="zh-CN"/>
              </w:rPr>
              <w:t>萧山区宁围街道振宁路228号宁</w:t>
            </w:r>
            <w:r>
              <w:rPr>
                <w:rFonts w:hint="eastAsia" w:ascii="仿宋" w:hAnsi="仿宋" w:eastAsia="仿宋" w:cs="仿宋"/>
                <w:color w:val="auto"/>
                <w:sz w:val="24"/>
                <w:szCs w:val="28"/>
                <w:highlight w:val="none"/>
                <w:u w:val="single"/>
              </w:rPr>
              <w:t>围办事处</w:t>
            </w:r>
            <w:r>
              <w:rPr>
                <w:rFonts w:hint="eastAsia" w:cs="仿宋"/>
                <w:color w:val="auto"/>
                <w:sz w:val="24"/>
                <w:szCs w:val="28"/>
                <w:highlight w:val="none"/>
                <w:lang w:eastAsia="zh-CN"/>
              </w:rPr>
              <w:t>；</w:t>
            </w:r>
            <w:r>
              <w:rPr>
                <w:rFonts w:hint="eastAsia"/>
                <w:color w:val="auto"/>
                <w:highlight w:val="none"/>
              </w:rPr>
              <w:t>联系人：</w:t>
            </w:r>
            <w:r>
              <w:rPr>
                <w:rFonts w:hint="eastAsia"/>
                <w:color w:val="auto"/>
                <w:highlight w:val="none"/>
                <w:u w:val="single"/>
                <w:lang w:val="en-US" w:eastAsia="zh-CN"/>
              </w:rPr>
              <w:t>巫铭15928086312</w:t>
            </w:r>
            <w:r>
              <w:rPr>
                <w:rFonts w:hint="eastAsia"/>
                <w:color w:val="auto"/>
                <w:highlight w:val="none"/>
                <w:u w:val="none"/>
                <w:lang w:val="en-US" w:eastAsia="zh-CN"/>
              </w:rPr>
              <w:t>，</w:t>
            </w:r>
            <w:r>
              <w:rPr>
                <w:rFonts w:hint="eastAsia"/>
                <w:color w:val="auto"/>
                <w:highlight w:val="none"/>
              </w:rPr>
              <w:t>样品递交人须</w:t>
            </w:r>
            <w:bookmarkStart w:id="371" w:name="_GoBack"/>
            <w:bookmarkEnd w:id="371"/>
            <w:r>
              <w:rPr>
                <w:rFonts w:hint="eastAsia"/>
                <w:color w:val="auto"/>
                <w:highlight w:val="none"/>
              </w:rPr>
              <w:t>提供投标人的授权书（见附件格式，法人代表请携带身份证复件及营业执照复印件）、身份证及健康码绿码，进场时戴好口罩。</w:t>
            </w:r>
          </w:p>
          <w:p>
            <w:pPr>
              <w:keepNext w:val="0"/>
              <w:keepLines/>
              <w:pageBreakBefore w:val="0"/>
              <w:widowControl/>
              <w:kinsoku/>
              <w:wordWrap w:val="0"/>
              <w:overflowPunct/>
              <w:topLinePunct/>
              <w:autoSpaceDE/>
              <w:autoSpaceDN/>
              <w:bidi w:val="0"/>
              <w:adjustRightInd/>
              <w:snapToGrid/>
              <w:spacing w:after="0" w:line="360" w:lineRule="auto"/>
              <w:textAlignment w:val="auto"/>
              <w:rPr>
                <w:color w:val="auto"/>
                <w:highlight w:val="none"/>
              </w:rPr>
            </w:pPr>
            <w:r>
              <w:rPr>
                <w:rFonts w:hint="eastAsia"/>
                <w:color w:val="auto"/>
                <w:highlight w:val="none"/>
              </w:rPr>
              <w:t>请投标人在上述时间内提供样品。超过截止时间的，采购人或采购代理机构将不予接收，并将清场并封闭样品现场。</w:t>
            </w:r>
          </w:p>
          <w:p>
            <w:pPr>
              <w:spacing w:after="0" w:line="360" w:lineRule="auto"/>
              <w:rPr>
                <w:color w:val="auto"/>
                <w:highlight w:val="none"/>
              </w:rPr>
            </w:pPr>
            <w:r>
              <w:rPr>
                <w:rFonts w:hint="eastAsia"/>
                <w:color w:val="auto"/>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color w:val="auto"/>
                <w:highlight w:val="none"/>
              </w:rPr>
            </w:pPr>
            <w:r>
              <w:rPr>
                <w:rFonts w:hint="eastAsia"/>
                <w:color w:val="auto"/>
                <w:highlight w:val="none"/>
              </w:rPr>
              <w:t>（7）制作、运输、安装和保管样品所发生的一切费用由投标人自理。</w:t>
            </w:r>
          </w:p>
          <w:p>
            <w:pPr>
              <w:keepNext w:val="0"/>
              <w:keepLines w:val="0"/>
              <w:pageBreakBefore w:val="0"/>
              <w:widowControl/>
              <w:tabs>
                <w:tab w:val="left" w:pos="1365"/>
              </w:tabs>
              <w:kinsoku/>
              <w:wordWrap/>
              <w:overflowPunct/>
              <w:topLinePunct w:val="0"/>
              <w:autoSpaceDE/>
              <w:autoSpaceDN/>
              <w:bidi w:val="0"/>
              <w:adjustRightInd/>
              <w:snapToGrid/>
              <w:spacing w:line="288" w:lineRule="auto"/>
              <w:textAlignment w:val="auto"/>
              <w:rPr>
                <w:rFonts w:hint="eastAsia"/>
                <w:color w:val="auto"/>
                <w:highlight w:val="none"/>
              </w:rPr>
            </w:pPr>
            <w:r>
              <w:rPr>
                <w:rFonts w:hint="eastAsia"/>
                <w:color w:val="auto"/>
                <w:highlight w:val="none"/>
              </w:rPr>
              <w:t>▲招标文件要求提供样品，投标人没有提供样品或样品不全的，投标无效。</w:t>
            </w:r>
          </w:p>
          <w:p>
            <w:pPr>
              <w:spacing w:after="0" w:line="360" w:lineRule="auto"/>
              <w:rPr>
                <w:rFonts w:hint="eastAsia"/>
                <w:color w:val="auto"/>
                <w:highlight w:val="none"/>
              </w:rPr>
            </w:pPr>
            <w:r>
              <w:rPr>
                <w:rFonts w:hint="eastAsia"/>
                <w:color w:val="auto"/>
                <w:highlight w:val="none"/>
                <w:lang w:val="en-US"/>
              </w:rPr>
              <w:t>授权代表准备好健康码及行程码。近期去往过风险区域的经办人自行回避，勿作为授权代表!同时行程码带有其他地区*号的授权代表，请提供72小时核酸检测阴性证明，有健康管理要求或其他防疫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6640" w:type="dxa"/>
            <w:vAlign w:val="center"/>
          </w:tcPr>
          <w:p>
            <w:pPr>
              <w:keepNext w:val="0"/>
              <w:keepLines w:val="0"/>
              <w:pageBreakBefore w:val="0"/>
              <w:kinsoku/>
              <w:wordWrap/>
              <w:overflowPunct/>
              <w:topLinePunct w:val="0"/>
              <w:bidi w:val="0"/>
              <w:spacing w:after="0"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shd w:val="clear" w:color="auto" w:fill="auto"/>
              </w:rPr>
              <w:t>（</w:t>
            </w:r>
            <w:r>
              <w:rPr>
                <w:rFonts w:hint="eastAsia" w:cs="仿宋"/>
                <w:b w:val="0"/>
                <w:bCs/>
                <w:color w:val="auto"/>
                <w:sz w:val="24"/>
                <w:szCs w:val="24"/>
                <w:highlight w:val="none"/>
                <w:shd w:val="clear" w:color="auto" w:fill="auto"/>
                <w:lang w:val="en-US" w:eastAsia="zh-CN"/>
              </w:rPr>
              <w:t>√</w:t>
            </w:r>
            <w:r>
              <w:rPr>
                <w:rFonts w:hint="eastAsia" w:ascii="仿宋" w:hAnsi="仿宋" w:eastAsia="仿宋" w:cs="仿宋"/>
                <w:b w:val="0"/>
                <w:bCs/>
                <w:color w:val="auto"/>
                <w:sz w:val="24"/>
                <w:szCs w:val="24"/>
                <w:highlight w:val="none"/>
                <w:shd w:val="clear" w:color="auto" w:fill="auto"/>
              </w:rPr>
              <w:t>）</w:t>
            </w:r>
            <w:r>
              <w:rPr>
                <w:rFonts w:hint="eastAsia"/>
                <w:bCs/>
                <w:color w:val="auto"/>
                <w:sz w:val="22"/>
                <w:highlight w:val="none"/>
                <w:shd w:val="clear" w:color="auto" w:fill="auto"/>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6640" w:type="dxa"/>
            <w:vAlign w:val="center"/>
          </w:tcPr>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开标一览表（报价表）是报价的唯一载体</w:t>
            </w:r>
            <w:r>
              <w:rPr>
                <w:rFonts w:hint="eastAsia" w:ascii="仿宋" w:hAnsi="仿宋" w:eastAsia="仿宋" w:cs="仿宋"/>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bidi w:val="0"/>
              <w:spacing w:after="0" w:line="288"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投标报价出现下列情形的，投标无效：</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投标文件出现不是唯一的、有选择性投标报价的；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投标报价超过招标文件中规定的预算金额或者最高限价的;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投标人对根据修正原则修正后的报价不确认的。</w:t>
            </w:r>
          </w:p>
          <w:p>
            <w:pPr>
              <w:keepNext w:val="0"/>
              <w:keepLines w:val="0"/>
              <w:pageBreakBefore w:val="0"/>
              <w:kinsoku/>
              <w:wordWrap/>
              <w:overflowPunct/>
              <w:topLinePunct w:val="0"/>
              <w:bidi w:val="0"/>
              <w:spacing w:after="0" w:line="288"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snapToGrid w:val="0"/>
                <w:color w:val="auto"/>
                <w:kern w:val="28"/>
                <w:sz w:val="24"/>
                <w:szCs w:val="24"/>
                <w:highlight w:val="none"/>
              </w:rPr>
              <w:fldChar w:fldCharType="begin"/>
            </w:r>
            <w:r>
              <w:rPr>
                <w:rFonts w:hint="eastAsia" w:ascii="仿宋" w:hAnsi="仿宋" w:eastAsia="仿宋" w:cs="仿宋"/>
                <w:snapToGrid w:val="0"/>
                <w:color w:val="auto"/>
                <w:kern w:val="28"/>
                <w:sz w:val="24"/>
                <w:szCs w:val="24"/>
                <w:highlight w:val="none"/>
              </w:rPr>
              <w:instrText xml:space="preserve"> HYPERLINK "http://www.xiaoshan.gov.cn/art/2018/12/20/art_1229293109_1559514.html" </w:instrText>
            </w:r>
            <w:r>
              <w:rPr>
                <w:rFonts w:hint="eastAsia" w:ascii="仿宋" w:hAnsi="仿宋" w:eastAsia="仿宋" w:cs="仿宋"/>
                <w:snapToGrid w:val="0"/>
                <w:color w:val="auto"/>
                <w:kern w:val="28"/>
                <w:sz w:val="24"/>
                <w:szCs w:val="24"/>
                <w:highlight w:val="none"/>
              </w:rPr>
              <w:fldChar w:fldCharType="separate"/>
            </w:r>
            <w:r>
              <w:rPr>
                <w:rFonts w:hint="eastAsia" w:ascii="仿宋" w:hAnsi="仿宋" w:eastAsia="仿宋" w:cs="仿宋"/>
                <w:snapToGrid w:val="0"/>
                <w:color w:val="auto"/>
                <w:kern w:val="28"/>
                <w:sz w:val="24"/>
                <w:szCs w:val="24"/>
                <w:highlight w:val="none"/>
              </w:rPr>
              <w:t>http://www.xiaoshan.gov.cn/art/2018/12/20/art_1229293109_1559514.html</w:t>
            </w:r>
            <w:r>
              <w:rPr>
                <w:rFonts w:hint="eastAsia" w:ascii="仿宋" w:hAnsi="仿宋" w:eastAsia="仿宋" w:cs="仿宋"/>
                <w:snapToGrid w:val="0"/>
                <w:color w:val="auto"/>
                <w:kern w:val="28"/>
                <w:sz w:val="24"/>
                <w:szCs w:val="24"/>
                <w:highlight w:val="none"/>
              </w:rPr>
              <w:fldChar w:fldCharType="end"/>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备份投标文件</w:t>
            </w:r>
          </w:p>
        </w:tc>
        <w:tc>
          <w:tcPr>
            <w:tcW w:w="6640" w:type="dxa"/>
            <w:vAlign w:val="center"/>
          </w:tcPr>
          <w:p>
            <w:pPr>
              <w:pStyle w:val="18"/>
              <w:keepNext w:val="0"/>
              <w:keepLines w:val="0"/>
              <w:pageBreakBefore w:val="0"/>
              <w:kinsoku/>
              <w:wordWrap/>
              <w:overflowPunct/>
              <w:topLinePunct w:val="0"/>
              <w:bidi w:val="0"/>
              <w:spacing w:line="288" w:lineRule="auto"/>
              <w:ind w:left="880" w:hanging="960" w:hangingChars="40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备份文件是否收取：不收取</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6640" w:type="dxa"/>
            <w:vAlign w:val="center"/>
          </w:tcPr>
          <w:p>
            <w:pPr>
              <w:keepNext w:val="0"/>
              <w:keepLines w:val="0"/>
              <w:pageBreakBefore w:val="0"/>
              <w:kinsoku/>
              <w:wordWrap/>
              <w:overflowPunct/>
              <w:topLinePunct w:val="0"/>
              <w:bidi w:val="0"/>
              <w:spacing w:after="0" w:line="288" w:lineRule="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本项目的招标代理服务费由中标人支付。</w:t>
            </w:r>
          </w:p>
          <w:p>
            <w:pPr>
              <w:keepNext w:val="0"/>
              <w:keepLines w:val="0"/>
              <w:pageBreakBefore w:val="0"/>
              <w:kinsoku/>
              <w:wordWrap/>
              <w:overflowPunct/>
              <w:topLinePunct w:val="0"/>
              <w:bidi w:val="0"/>
              <w:spacing w:after="0" w:line="288" w:lineRule="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招标代理服务费计费标准：以中标金额为计费基准，按计价格[2002]1980号文服务类收费标准</w:t>
            </w:r>
            <w:r>
              <w:rPr>
                <w:rFonts w:hint="eastAsia" w:cs="仿宋"/>
                <w:color w:val="auto"/>
                <w:sz w:val="24"/>
                <w:szCs w:val="24"/>
                <w:highlight w:val="none"/>
                <w:lang w:val="en-US" w:eastAsia="zh-CN"/>
              </w:rPr>
              <w:t>50</w:t>
            </w:r>
            <w:r>
              <w:rPr>
                <w:rFonts w:hint="default" w:ascii="仿宋" w:hAnsi="仿宋" w:eastAsia="仿宋" w:cs="仿宋"/>
                <w:color w:val="auto"/>
                <w:sz w:val="24"/>
                <w:szCs w:val="24"/>
                <w:highlight w:val="none"/>
                <w:lang w:val="en-US"/>
              </w:rPr>
              <w:t>%计取。结算方式及时间为：中标人在领取中标通知书前向采购代理机构支付招标代理服务费。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6640" w:type="dxa"/>
            <w:vAlign w:val="center"/>
          </w:tcPr>
          <w:p>
            <w:pPr>
              <w:pStyle w:val="18"/>
              <w:keepNext w:val="0"/>
              <w:keepLines w:val="0"/>
              <w:pageBreakBefore w:val="0"/>
              <w:kinsoku/>
              <w:wordWrap/>
              <w:overflowPunct/>
              <w:topLinePunct w:val="0"/>
              <w:bidi w:val="0"/>
              <w:spacing w:line="288" w:lineRule="auto"/>
              <w:ind w:hanging="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履约保证金：收取</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7个工作日内</w:t>
            </w:r>
            <w:r>
              <w:rPr>
                <w:rFonts w:hint="eastAsia" w:ascii="仿宋" w:hAnsi="仿宋" w:eastAsia="仿宋" w:cs="仿宋"/>
                <w:color w:val="auto"/>
                <w:sz w:val="24"/>
                <w:szCs w:val="24"/>
                <w:highlight w:val="none"/>
              </w:rPr>
              <w:t>支付，履约完成后无息退还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供应商应当以支票、汇票、本票或者金融机构、担保机构出具的保函等非现金形式提交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6640" w:type="dxa"/>
            <w:vAlign w:val="center"/>
          </w:tcPr>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kinsoku/>
              <w:wordWrap/>
              <w:overflowPunct/>
              <w:topLinePunct w:val="0"/>
              <w:bidi w:val="0"/>
              <w:snapToGrid w:val="0"/>
              <w:spacing w:after="0" w:line="288"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kinsoku/>
              <w:wordWrap/>
              <w:overflowPunct/>
              <w:topLinePunct w:val="0"/>
              <w:bidi w:val="0"/>
              <w:snapToGrid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411"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w:t>
            </w:r>
          </w:p>
        </w:tc>
        <w:tc>
          <w:tcPr>
            <w:tcW w:w="6640" w:type="dxa"/>
            <w:vAlign w:val="center"/>
          </w:tcPr>
          <w:p>
            <w:pPr>
              <w:keepNext w:val="0"/>
              <w:keepLines w:val="0"/>
              <w:pageBreakBefore w:val="0"/>
              <w:kinsoku/>
              <w:wordWrap/>
              <w:overflowPunct/>
              <w:topLinePunct w:val="0"/>
              <w:bidi w:val="0"/>
              <w:spacing w:after="0" w:line="288"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本项目通用总则条款与前附表等专用特别规定有冲突之处，以专用条款（特别规定）为准</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2.定义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18.3投标文件未按时解密，投标人提供了备份投标文件的，以备份投标文件作为依据，否则视为投标文件撤回。投标文件已按时解密的，备份投标文件自动失效。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 评标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w:t>
      </w:r>
      <w:r>
        <w:rPr>
          <w:rFonts w:hint="eastAsia" w:cs="仿宋"/>
          <w:color w:val="auto"/>
          <w:highlight w:val="none"/>
          <w:lang w:val="en-US" w:eastAsia="zh-CN"/>
        </w:rPr>
        <w:t>十个工作</w:t>
      </w:r>
      <w:r>
        <w:rPr>
          <w:rFonts w:hint="eastAsia" w:ascii="仿宋" w:hAnsi="仿宋" w:eastAsia="仿宋" w:cs="仿宋"/>
          <w:color w:val="auto"/>
          <w:highlight w:val="none"/>
        </w:rPr>
        <w:t>日内，按照招标文件确定的事项签订政府采购合同，并在合同签订之日起2个工作日内依法发布合同公告。</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6"/>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29.验收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color w:val="auto"/>
          <w:highlight w:val="none"/>
        </w:rPr>
      </w:pPr>
      <w:bookmarkStart w:id="2" w:name="第四部分"/>
      <w:r>
        <w:rPr>
          <w:rFonts w:hint="eastAsia"/>
          <w:color w:val="auto"/>
          <w:highlight w:val="none"/>
        </w:rPr>
        <w:t>第三部分   采购需求</w:t>
      </w:r>
    </w:p>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“★”系产品采购项目中单一产品或核心产品。</w:t>
      </w:r>
    </w:p>
    <w:p>
      <w:pPr>
        <w:snapToGrid w:val="0"/>
        <w:spacing w:before="120" w:beforeLines="50" w:after="120" w:afterLines="50" w:line="500" w:lineRule="exact"/>
        <w:jc w:val="center"/>
        <w:rPr>
          <w:rFonts w:eastAsia="仿宋"/>
          <w:b/>
          <w:bCs/>
          <w:color w:val="auto"/>
          <w:sz w:val="24"/>
          <w:szCs w:val="24"/>
          <w:highlight w:val="none"/>
        </w:rPr>
      </w:pPr>
      <w:r>
        <w:rPr>
          <w:rFonts w:hint="eastAsia" w:ascii="仿宋" w:hAnsi="仿宋" w:eastAsia="仿宋" w:cs="仿宋"/>
          <w:b/>
          <w:bCs/>
          <w:color w:val="auto"/>
          <w:sz w:val="24"/>
          <w:szCs w:val="24"/>
          <w:highlight w:val="none"/>
        </w:rPr>
        <w:t>一、招标一览表</w:t>
      </w:r>
    </w:p>
    <w:p>
      <w:pPr>
        <w:pStyle w:val="33"/>
        <w:ind w:firstLine="240" w:firstLineChars="100"/>
        <w:rPr>
          <w:rFonts w:eastAsia="仿宋"/>
          <w:color w:val="auto"/>
          <w:szCs w:val="24"/>
          <w:highlight w:val="none"/>
          <w:lang w:val="en-US"/>
        </w:rPr>
      </w:pPr>
      <w:r>
        <w:rPr>
          <w:rFonts w:hint="eastAsia" w:ascii="仿宋" w:hAnsi="仿宋" w:eastAsia="仿宋" w:cs="仿宋"/>
          <w:color w:val="auto"/>
          <w:szCs w:val="24"/>
          <w:highlight w:val="none"/>
        </w:rPr>
        <w:t>标项：</w:t>
      </w:r>
      <w:r>
        <w:rPr>
          <w:rFonts w:hint="eastAsia" w:ascii="仿宋" w:hAnsi="仿宋" w:eastAsia="仿宋" w:cs="仿宋"/>
          <w:color w:val="auto"/>
          <w:szCs w:val="24"/>
          <w:highlight w:val="none"/>
          <w:lang w:val="en-US"/>
        </w:rPr>
        <w:t>1</w:t>
      </w:r>
    </w:p>
    <w:tbl>
      <w:tblPr>
        <w:tblStyle w:val="2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3880"/>
        <w:gridCol w:w="1875"/>
        <w:gridCol w:w="763"/>
        <w:gridCol w:w="723"/>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867"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880"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875"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具体服务要求</w:t>
            </w:r>
          </w:p>
        </w:tc>
        <w:tc>
          <w:tcPr>
            <w:tcW w:w="763" w:type="dxa"/>
            <w:noWrap/>
            <w:tcMar>
              <w:top w:w="15" w:type="dxa"/>
              <w:left w:w="15" w:type="dxa"/>
              <w:bottom w:w="0" w:type="dxa"/>
              <w:right w:w="15" w:type="dxa"/>
            </w:tcMar>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723" w:type="dxa"/>
            <w:noWrap/>
            <w:tcMar>
              <w:top w:w="15" w:type="dxa"/>
              <w:left w:w="15" w:type="dxa"/>
              <w:bottom w:w="0" w:type="dxa"/>
              <w:right w:w="15" w:type="dxa"/>
            </w:tcMar>
            <w:vAlign w:val="center"/>
          </w:tcPr>
          <w:p>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755" w:type="dxa"/>
            <w:noWrap/>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867"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80"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宁围街道经济开发区（建设二路以南）小区生活垃圾分类第三方服务政府采购项目</w:t>
            </w:r>
          </w:p>
        </w:tc>
        <w:tc>
          <w:tcPr>
            <w:tcW w:w="1875"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763" w:type="dxa"/>
            <w:noWrap/>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723" w:type="dxa"/>
            <w:noWrap/>
            <w:tcMar>
              <w:top w:w="15" w:type="dxa"/>
              <w:left w:w="15" w:type="dxa"/>
              <w:bottom w:w="0" w:type="dxa"/>
              <w:right w:w="15" w:type="dxa"/>
            </w:tcMar>
            <w:vAlign w:val="center"/>
          </w:tcPr>
          <w:p>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755" w:type="dxa"/>
            <w:noWrap/>
            <w:vAlign w:val="center"/>
          </w:tcPr>
          <w:p>
            <w:pPr>
              <w:spacing w:line="240" w:lineRule="atLeast"/>
              <w:jc w:val="center"/>
              <w:rPr>
                <w:rFonts w:ascii="仿宋" w:hAnsi="仿宋" w:eastAsia="仿宋" w:cs="仿宋"/>
                <w:color w:val="auto"/>
                <w:sz w:val="24"/>
                <w:highlight w:val="none"/>
              </w:rPr>
            </w:pPr>
          </w:p>
        </w:tc>
      </w:tr>
    </w:tbl>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中标人需在合同签订后，由街道和社区制定考核细则，街道、社区考核后按季支付费用。</w:t>
      </w:r>
    </w:p>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服务期限：本次招标服务期限为</w:t>
      </w:r>
      <w:r>
        <w:rPr>
          <w:rFonts w:hint="eastAsia" w:ascii="仿宋" w:hAnsi="仿宋" w:eastAsia="仿宋" w:cs="仿宋"/>
          <w:color w:val="auto"/>
          <w:sz w:val="24"/>
          <w:szCs w:val="24"/>
          <w:highlight w:val="none"/>
        </w:rPr>
        <w:t>1年。</w:t>
      </w:r>
    </w:p>
    <w:p>
      <w:pPr>
        <w:pStyle w:val="15"/>
        <w:numPr>
          <w:ilvl w:val="0"/>
          <w:numId w:val="1"/>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服务范围：经济开发区建设二路以南区域，涉及4个社区，25个小区，18961户。</w:t>
      </w:r>
    </w:p>
    <w:p>
      <w:pPr>
        <w:snapToGrid w:val="0"/>
        <w:spacing w:before="120" w:beforeLines="50" w:after="120" w:afterLines="50" w:line="5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二、招标需求</w:t>
      </w:r>
    </w:p>
    <w:p>
      <w:pPr>
        <w:spacing w:line="5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p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（一）分类设施设备</w:t>
      </w:r>
    </w:p>
    <w:p>
      <w:pPr>
        <w:spacing w:line="5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1、投放设施：</w:t>
      </w:r>
      <w:r>
        <w:rPr>
          <w:rFonts w:hint="eastAsia" w:ascii="仿宋" w:hAnsi="仿宋" w:eastAsia="仿宋" w:cs="仿宋"/>
          <w:color w:val="auto"/>
          <w:sz w:val="24"/>
          <w:szCs w:val="24"/>
          <w:highlight w:val="none"/>
        </w:rPr>
        <w:t>按照每300户左右标准设置投放点位，设立定时定投亭或购置流动投放三轮车；已推进小区，中标人需按照现有配备的定时定点及点位分类工作人员执行，新交付小区原则上根据点位设置，需采购流动投放三轮车；因场地限制或居民投诉等原因需将投放亭变为临时投放点或流动三轮车投放的，经社区、街道同意后，中标人需予以无条件支持；有些小区，因特殊情况，需设误时投放点的，经社区、街道同意，按一点一人标准执行；投放亭设置中，包含地面硬化等各类事项，并做好雨（污）水纳管、通电通水，同时做好日常营运维护；服务期满</w:t>
      </w:r>
      <w:r>
        <w:rPr>
          <w:rFonts w:hint="eastAsia" w:ascii="仿宋" w:hAnsi="仿宋" w:eastAsia="仿宋" w:cs="仿宋"/>
          <w:color w:val="auto"/>
          <w:sz w:val="24"/>
          <w:szCs w:val="24"/>
          <w:highlight w:val="none"/>
          <w:lang w:val="en-US" w:eastAsia="zh-Hans"/>
        </w:rPr>
        <w:t>或项目合同提前解除的</w:t>
      </w:r>
      <w:r>
        <w:rPr>
          <w:rFonts w:hint="eastAsia" w:ascii="仿宋" w:hAnsi="仿宋" w:eastAsia="仿宋" w:cs="仿宋"/>
          <w:color w:val="auto"/>
          <w:sz w:val="24"/>
          <w:szCs w:val="24"/>
          <w:highlight w:val="none"/>
        </w:rPr>
        <w:t>，投放设施等(可移动的三轮车除外)权属</w:t>
      </w:r>
      <w:r>
        <w:rPr>
          <w:rFonts w:hint="eastAsia" w:ascii="仿宋" w:hAnsi="仿宋" w:eastAsia="仿宋" w:cs="仿宋"/>
          <w:color w:val="auto"/>
          <w:sz w:val="24"/>
          <w:szCs w:val="24"/>
          <w:highlight w:val="none"/>
          <w:lang w:val="en-US" w:eastAsia="zh-Hans"/>
        </w:rPr>
        <w:t>无偿</w:t>
      </w:r>
      <w:r>
        <w:rPr>
          <w:rFonts w:hint="eastAsia" w:ascii="仿宋" w:hAnsi="仿宋" w:eastAsia="仿宋" w:cs="仿宋"/>
          <w:color w:val="auto"/>
          <w:sz w:val="24"/>
          <w:szCs w:val="24"/>
          <w:highlight w:val="none"/>
        </w:rPr>
        <w:t>归社区。</w:t>
      </w:r>
    </w:p>
    <w:p>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参数要求：</w:t>
      </w:r>
      <w:r>
        <w:rPr>
          <w:rFonts w:hint="eastAsia" w:ascii="仿宋" w:hAnsi="仿宋" w:eastAsia="仿宋" w:cs="仿宋"/>
          <w:color w:val="auto"/>
          <w:sz w:val="24"/>
          <w:szCs w:val="24"/>
          <w:highlight w:val="none"/>
        </w:rPr>
        <w:t>长3600*宽1600*高2200，颜色根据小区环境设计，顶部覆盖有机玻璃，背面及左右两面设广告位张贴垃圾分类相关广告，有接电条件的需安装电源照明灯，无接电条件的顶部需安装太阳能照明光源，原则上需配备洗手池，底部固定需</w:t>
      </w:r>
      <w:r>
        <w:rPr>
          <w:rFonts w:hint="eastAsia" w:ascii="仿宋" w:hAnsi="仿宋" w:eastAsia="仿宋" w:cs="仿宋"/>
          <w:color w:val="auto"/>
          <w:sz w:val="24"/>
          <w:szCs w:val="24"/>
          <w:highlight w:val="none"/>
          <w:lang w:val="en-US" w:eastAsia="zh-Hans"/>
        </w:rPr>
        <w:t>符</w:t>
      </w:r>
      <w:r>
        <w:rPr>
          <w:rFonts w:hint="eastAsia" w:ascii="仿宋" w:hAnsi="仿宋" w:eastAsia="仿宋" w:cs="仿宋"/>
          <w:color w:val="auto"/>
          <w:sz w:val="24"/>
          <w:szCs w:val="24"/>
          <w:highlight w:val="none"/>
        </w:rPr>
        <w:t>合相关安全使用标准。</w:t>
      </w:r>
    </w:p>
    <w:p>
      <w:pPr>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kern w:val="0"/>
          <w:sz w:val="24"/>
          <w:szCs w:val="24"/>
          <w:highlight w:val="none"/>
          <w:lang w:val="en-US"/>
        </w:rPr>
        <w:t>其他说明：前期由原服务单位已经设置的分类亭产权系原服务单位所有，投标人须提供承诺书</w:t>
      </w:r>
      <w:r>
        <w:rPr>
          <w:rFonts w:hint="eastAsia" w:ascii="仿宋" w:hAnsi="仿宋" w:eastAsia="仿宋" w:cs="仿宋"/>
          <w:color w:val="auto"/>
          <w:kern w:val="2"/>
          <w:sz w:val="24"/>
          <w:szCs w:val="24"/>
          <w:highlight w:val="none"/>
          <w:lang w:val="en-US" w:eastAsia="zh-CN"/>
        </w:rPr>
        <w:t>（附件承诺书一）</w:t>
      </w:r>
      <w:r>
        <w:rPr>
          <w:rFonts w:hint="eastAsia" w:ascii="仿宋" w:hAnsi="仿宋" w:eastAsia="仿宋" w:cs="仿宋"/>
          <w:color w:val="auto"/>
          <w:kern w:val="0"/>
          <w:sz w:val="24"/>
          <w:szCs w:val="24"/>
          <w:highlight w:val="none"/>
          <w:lang w:val="en-US"/>
        </w:rPr>
        <w:t>，承诺中标后并在合同签订后一个月内，中标人需根据采购人需求重新设置购买或与原服务单位协商折价购买，该费用包含在投标总价中，若无法按时重新购置到位或无法按时协商折价购买到位并完成支付的，则</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val="en-US"/>
        </w:rPr>
        <w:t>合同自动</w:t>
      </w:r>
      <w:r>
        <w:rPr>
          <w:rFonts w:hint="eastAsia" w:ascii="仿宋" w:hAnsi="仿宋" w:eastAsia="仿宋" w:cs="仿宋"/>
          <w:color w:val="auto"/>
          <w:kern w:val="0"/>
          <w:sz w:val="24"/>
          <w:szCs w:val="24"/>
          <w:highlight w:val="none"/>
          <w:lang w:val="en-US" w:eastAsia="zh-CN"/>
        </w:rPr>
        <w:t>解除</w:t>
      </w:r>
      <w:r>
        <w:rPr>
          <w:rFonts w:hint="eastAsia" w:ascii="仿宋" w:hAnsi="仿宋" w:eastAsia="仿宋" w:cs="仿宋"/>
          <w:color w:val="auto"/>
          <w:kern w:val="0"/>
          <w:sz w:val="24"/>
          <w:szCs w:val="24"/>
          <w:highlight w:val="none"/>
          <w:lang w:val="en-US"/>
        </w:rPr>
        <w:t>，并且对采购人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社区</w:t>
      </w:r>
      <w:r>
        <w:rPr>
          <w:rFonts w:hint="eastAsia" w:ascii="仿宋" w:hAnsi="仿宋" w:eastAsia="仿宋" w:cs="仿宋"/>
          <w:color w:val="auto"/>
          <w:kern w:val="0"/>
          <w:sz w:val="24"/>
          <w:szCs w:val="24"/>
          <w:highlight w:val="none"/>
          <w:lang w:val="en-US"/>
        </w:rPr>
        <w:t>造成的损失由中标人承担。</w:t>
      </w:r>
    </w:p>
    <w:p>
      <w:pPr>
        <w:pStyle w:val="33"/>
        <w:numPr>
          <w:ilvl w:val="0"/>
          <w:numId w:val="2"/>
        </w:numPr>
        <w:adjustRightInd w:val="0"/>
        <w:spacing w:line="500" w:lineRule="exact"/>
        <w:ind w:left="0" w:firstLine="484" w:firstLineChars="201"/>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垃圾桶：</w:t>
      </w:r>
    </w:p>
    <w:p>
      <w:pPr>
        <w:pStyle w:val="33"/>
        <w:numPr>
          <w:ilvl w:val="0"/>
          <w:numId w:val="3"/>
        </w:numPr>
        <w:adjustRightInd w:val="0"/>
        <w:spacing w:line="500" w:lineRule="exact"/>
        <w:ind w:left="0" w:firstLine="567"/>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rPr>
        <w:t>投放点垃圾桶。</w:t>
      </w:r>
      <w:r>
        <w:rPr>
          <w:rFonts w:hint="eastAsia" w:ascii="仿宋" w:hAnsi="仿宋" w:eastAsia="仿宋" w:cs="仿宋"/>
          <w:color w:val="auto"/>
          <w:sz w:val="24"/>
          <w:szCs w:val="24"/>
          <w:highlight w:val="none"/>
          <w:lang w:val="en-US"/>
        </w:rPr>
        <w:t>每个投放点至少配置5只（1红+1蓝+3绿），个别小区垃圾量大的，需适当增加，同时配备总数的30%，作为日常更换（具体数量见需求表）；在招标服务期限内无偿提供给采购人，由采购人统一进行调度派用，质量需经采购人确认认可，服务期满或项目合同提前解除时不作退还，</w:t>
      </w:r>
      <w:r>
        <w:rPr>
          <w:rFonts w:hint="eastAsia" w:ascii="仿宋" w:hAnsi="仿宋" w:eastAsia="仿宋" w:cs="仿宋"/>
          <w:color w:val="auto"/>
          <w:sz w:val="24"/>
          <w:szCs w:val="24"/>
          <w:highlight w:val="none"/>
          <w:lang w:val="en-US" w:eastAsia="zh-CN"/>
        </w:rPr>
        <w:t>权属无偿归采购人</w:t>
      </w:r>
      <w:r>
        <w:rPr>
          <w:rFonts w:hint="eastAsia" w:ascii="仿宋" w:hAnsi="仿宋" w:eastAsia="仿宋" w:cs="仿宋"/>
          <w:color w:val="auto"/>
          <w:sz w:val="24"/>
          <w:szCs w:val="24"/>
          <w:highlight w:val="none"/>
          <w:lang w:val="en-US"/>
        </w:rPr>
        <w:t>；同时中标人按上级主管部门要求做好小区内所有垃圾桶标识及整改工作。</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规格：容量≥240L，总重量≥16kg，桶身重量（不包括盖、轮、轴、插销等）为≥11kg，</w:t>
      </w:r>
      <w:r>
        <w:rPr>
          <w:rFonts w:hint="eastAsia" w:ascii="仿宋" w:hAnsi="仿宋" w:eastAsia="仿宋" w:cs="仿宋"/>
          <w:b/>
          <w:bCs/>
          <w:color w:val="auto"/>
          <w:sz w:val="24"/>
          <w:szCs w:val="24"/>
          <w:highlight w:val="none"/>
        </w:rPr>
        <w:t>易腐垃圾桶容量可根据实际因素用≥120L，但需采购人确定</w:t>
      </w:r>
      <w:r>
        <w:rPr>
          <w:rFonts w:hint="eastAsia" w:ascii="仿宋" w:hAnsi="仿宋" w:eastAsia="仿宋" w:cs="仿宋"/>
          <w:b/>
          <w:bCs/>
          <w:color w:val="auto"/>
          <w:sz w:val="24"/>
          <w:szCs w:val="24"/>
          <w:highlight w:val="none"/>
          <w:lang w:val="en-US" w:eastAsia="zh-Hans"/>
        </w:rPr>
        <w:t>后方可使用</w:t>
      </w:r>
      <w:r>
        <w:rPr>
          <w:rFonts w:hint="eastAsia" w:ascii="仿宋" w:hAnsi="仿宋" w:eastAsia="仿宋" w:cs="仿宋"/>
          <w:b/>
          <w:bCs/>
          <w:color w:val="auto"/>
          <w:sz w:val="24"/>
          <w:szCs w:val="24"/>
          <w:highlight w:val="none"/>
        </w:rPr>
        <w:t>。</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材料：采用100%高密度聚乙烯全新料添加增强、抗紫外线剂，轮毂及辋圈采用高密度聚乙烯，轮胎外圈采用橡胶材质，轮轴采用45#中碳钢；</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厚度：桶身壁≥4.5mm，桶口及加强筋厚度≥6mm，桶盖厚度≥3mm。</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通体前口与车辆提升机架配合处加有加强筋，提高运载能力，装载重量≥150kg；</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正常使用温度为-25℃—65℃，产品投入使用起一年内不褪色；</w:t>
      </w:r>
    </w:p>
    <w:p>
      <w:pPr>
        <w:numPr>
          <w:ilvl w:val="0"/>
          <w:numId w:val="4"/>
        </w:numPr>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垃圾桶的技术条件和要求能均达到国家CJ/T280-2008行业标准。</w:t>
      </w:r>
    </w:p>
    <w:p>
      <w:pPr>
        <w:numPr>
          <w:ilvl w:val="0"/>
          <w:numId w:val="4"/>
        </w:num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颜色及标识：a.桶体颜色：需</w:t>
      </w:r>
      <w:r>
        <w:rPr>
          <w:rFonts w:hint="eastAsia" w:ascii="仿宋" w:hAnsi="仿宋" w:eastAsia="仿宋" w:cs="仿宋"/>
          <w:color w:val="auto"/>
          <w:sz w:val="24"/>
          <w:szCs w:val="24"/>
          <w:highlight w:val="none"/>
          <w:lang w:val="en-US" w:eastAsia="zh-Hans"/>
        </w:rPr>
        <w:t>符</w:t>
      </w:r>
      <w:r>
        <w:rPr>
          <w:rFonts w:hint="eastAsia" w:ascii="仿宋" w:hAnsi="仿宋" w:eastAsia="仿宋" w:cs="仿宋"/>
          <w:color w:val="auto"/>
          <w:sz w:val="24"/>
          <w:szCs w:val="24"/>
          <w:highlight w:val="none"/>
        </w:rPr>
        <w:t>合相关规定标准；b．产品标识：垃圾桶四面及顶盖，应标注分类标识、图案、文字说明，标识统一采用白色，丝网印刷，标志、图案、文字说明需保证其牢固性、永久性、禁止脱落。</w:t>
      </w:r>
    </w:p>
    <w:p>
      <w:pPr>
        <w:numPr>
          <w:ilvl w:val="0"/>
          <w:numId w:val="0"/>
        </w:numPr>
        <w:spacing w:line="500" w:lineRule="exact"/>
        <w:ind w:left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（2）入户垃圾桶。</w:t>
      </w:r>
      <w:r>
        <w:rPr>
          <w:rFonts w:hint="eastAsia" w:ascii="仿宋" w:hAnsi="仿宋" w:eastAsia="仿宋" w:cs="仿宋"/>
          <w:color w:val="auto"/>
          <w:sz w:val="24"/>
          <w:szCs w:val="24"/>
          <w:highlight w:val="none"/>
        </w:rPr>
        <w:t>2020年~2021年已发放住户不再发放，如是新入住或居民（含商铺）丢失损害的，需再次进行发放；需要配备13000只桶，用于日常替换及补充。新投入小区需</w:t>
      </w:r>
      <w:r>
        <w:rPr>
          <w:rFonts w:hint="eastAsia" w:ascii="仿宋" w:hAnsi="仿宋" w:eastAsia="仿宋" w:cs="仿宋"/>
          <w:color w:val="auto"/>
          <w:sz w:val="24"/>
          <w:szCs w:val="24"/>
          <w:highlight w:val="none"/>
          <w:lang w:val="en-US" w:eastAsia="zh-Hans"/>
        </w:rPr>
        <w:t>全部</w:t>
      </w:r>
      <w:r>
        <w:rPr>
          <w:rFonts w:hint="eastAsia" w:ascii="仿宋" w:hAnsi="仿宋" w:eastAsia="仿宋" w:cs="仿宋"/>
          <w:color w:val="auto"/>
          <w:sz w:val="24"/>
          <w:szCs w:val="24"/>
          <w:highlight w:val="none"/>
        </w:rPr>
        <w:t>发放，房号标签需采用反光条材料。</w:t>
      </w:r>
    </w:p>
    <w:p>
      <w:pPr>
        <w:pStyle w:val="33"/>
        <w:adjustRightInd w:val="0"/>
        <w:spacing w:line="500" w:lineRule="exact"/>
        <w:ind w:firstLine="200"/>
        <w:rPr>
          <w:rFonts w:ascii="仿宋" w:hAnsi="仿宋" w:eastAsia="仿宋"/>
          <w:b/>
          <w:color w:val="auto"/>
          <w:sz w:val="24"/>
          <w:szCs w:val="24"/>
          <w:highlight w:val="none"/>
          <w:lang w:val="en-US"/>
        </w:rPr>
      </w:pPr>
      <w:r>
        <w:rPr>
          <w:rFonts w:hint="eastAsia" w:ascii="仿宋" w:hAnsi="仿宋" w:eastAsia="仿宋"/>
          <w:color w:val="auto"/>
          <w:sz w:val="24"/>
          <w:szCs w:val="24"/>
          <w:highlight w:val="none"/>
          <w:lang w:val="en-US"/>
        </w:rPr>
        <w:t xml:space="preserve">   </w:t>
      </w:r>
      <w:r>
        <w:rPr>
          <w:rFonts w:hint="eastAsia" w:ascii="仿宋" w:hAnsi="仿宋" w:eastAsia="仿宋"/>
          <w:b/>
          <w:color w:val="auto"/>
          <w:sz w:val="24"/>
          <w:szCs w:val="24"/>
          <w:highlight w:val="none"/>
          <w:lang w:val="en-US"/>
        </w:rPr>
        <w:t>参数要求：</w:t>
      </w:r>
    </w:p>
    <w:p>
      <w:pPr>
        <w:spacing w:line="500" w:lineRule="exact"/>
        <w:ind w:firstLine="200"/>
        <w:jc w:val="left"/>
        <w:rPr>
          <w:rFonts w:ascii="仿宋" w:hAnsi="仿宋" w:eastAsia="仿宋" w:cs="仿宋"/>
          <w:color w:val="FF0000"/>
          <w:sz w:val="24"/>
          <w:szCs w:val="24"/>
          <w:highlight w:val="none"/>
        </w:rPr>
      </w:pPr>
      <w:r>
        <w:rPr>
          <w:rFonts w:hint="eastAsia" w:ascii="仿宋" w:hAnsi="仿宋" w:eastAsia="仿宋"/>
          <w:color w:val="FF0000"/>
          <w:sz w:val="24"/>
          <w:szCs w:val="24"/>
          <w:highlight w:val="none"/>
        </w:rPr>
        <w:t xml:space="preserve"> </w:t>
      </w:r>
      <w:r>
        <w:rPr>
          <w:rFonts w:hint="eastAsia" w:ascii="仿宋" w:hAnsi="仿宋" w:eastAsia="仿宋"/>
          <w:color w:val="auto"/>
          <w:sz w:val="24"/>
          <w:szCs w:val="24"/>
          <w:highlight w:val="none"/>
        </w:rPr>
        <w:t xml:space="preserve">  </w:t>
      </w:r>
      <w:r>
        <w:rPr>
          <w:rFonts w:hint="eastAsia" w:ascii="仿宋" w:hAnsi="仿宋" w:eastAsia="仿宋" w:cs="仿宋"/>
          <w:color w:val="auto"/>
          <w:sz w:val="24"/>
          <w:szCs w:val="24"/>
          <w:highlight w:val="none"/>
        </w:rPr>
        <w:t>①容积5L</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②规格尺寸：24*25*26（长X宽X高cm，允许±5mm)规格尺寸为整桶尺寸）</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③整桶（含桶盖等其他附件）重量：≥0.6kg</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④桶盖内侧有密封条，外侧有锁扣，桶身带拎手，拎手双层加厚。</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⑤材料：全桶均使用共聚全新料（包括拎手的附件）。生产过程中允许添加改变桶色的色粉和抗氧化、抗紫外线、抗老化的添加剂，除此之外不允许使用任回料或再生料。</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⑥桶体须为一次性注塑成型，无接缝，具有耐腐蚀、耐酸碱，并有足够的机械强度和良好的冲击韧性。</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⑦适用温度：－20℃－65℃气温下，不发生变形、开裂等损坏。</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⑧桶体壁厚≥1.8mm，桶口及加强筋壁厚≥3.0mm。</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⑨其他技术参数要求及物理性能均符合《中华人民共和国城镇建设行业标准-塑料垃圾桶通用技术条件》，标准号：CJ/T280-2008</w:t>
      </w:r>
    </w:p>
    <w:p>
      <w:pPr>
        <w:spacing w:line="50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⑩色彩鲜艳，且至少两年内不褪色。</w:t>
      </w:r>
    </w:p>
    <w:p>
      <w:pPr>
        <w:spacing w:line="500" w:lineRule="exact"/>
        <w:ind w:firstLine="484" w:firstLineChars="202"/>
        <w:jc w:val="left"/>
        <w:rPr>
          <w:rFonts w:ascii="仿宋" w:hAnsi="仿宋" w:eastAsia="仿宋" w:cs="仿宋"/>
          <w:b/>
          <w:bCs/>
          <w:color w:val="auto"/>
          <w:sz w:val="24"/>
          <w:szCs w:val="24"/>
          <w:highlight w:val="none"/>
        </w:rPr>
      </w:pPr>
      <w:r>
        <w:rPr>
          <w:rFonts w:ascii="Cambria Math" w:hAnsi="Cambria Math" w:eastAsia="仿宋" w:cs="Cambria Math"/>
          <w:color w:val="auto"/>
          <w:sz w:val="24"/>
          <w:szCs w:val="24"/>
          <w:highlight w:val="none"/>
        </w:rPr>
        <w:t>⑪</w:t>
      </w:r>
      <w:r>
        <w:rPr>
          <w:rFonts w:hint="eastAsia" w:ascii="仿宋" w:hAnsi="仿宋" w:eastAsia="仿宋" w:cs="仿宋"/>
          <w:color w:val="auto"/>
          <w:sz w:val="24"/>
          <w:szCs w:val="24"/>
          <w:highlight w:val="none"/>
        </w:rPr>
        <w:t>样式、标识要求：桶顶和桶前需有相关标识，样式及标识符合标准</w:t>
      </w:r>
      <w:r>
        <w:rPr>
          <w:rFonts w:hint="eastAsia" w:ascii="仿宋" w:hAnsi="仿宋" w:eastAsia="仿宋" w:cs="宋体"/>
          <w:color w:val="auto"/>
          <w:sz w:val="24"/>
          <w:szCs w:val="24"/>
          <w:highlight w:val="none"/>
        </w:rPr>
        <w:t>。</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3、封装电子秤：</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中标人需按照本项目所在地市区两级的要求，根据不同的分类模式和收运方式，按照采购人规定的要求，在每个投放点位（含再生资源回收网点），在运营过程中需配备及使用封装智能电子秤（已配置小区除外），并对每户投放信息纳入智能数据系统，同时承担所有电子秤（含采购人已配置）的相关运行流量费；服务期间，需对采购人已配置电子进行维修、更换；服务期满或项目合同提前解除的，电子秤所有权无偿归属采购人；后期若采购人有需求，中标人需无条件提供各类数据接口等信息。</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①实现四分类垃圾数据实时且准确无误上传至萧山区生活垃圾分类智能监管平台（城市大脑）和宁围街道生活垃圾监管平台。并和原有居民使用二维码实现并连使用。电子秤有扫码口，扫码二维码自动读取用户信息，并在显示屏上显示相关信息。</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②规格尺寸：整机≥440*510*1086（长X宽X高mm)规格尺寸为整体外观尺寸）；称盘≥400*400（长X宽mm)；拍照高度≥700mm。</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③整机重量：≥13.5kg。</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④用电功率：AC220V、DC12V，18W。</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⑤整体材质：金属镀锌板防腐喷塑，称重部分采用304不锈钢材质。</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⑥适用温度：－20℃－65℃气温下，不发生变形、开裂等损坏。</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⑦主控参数：（二选一）</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A.7寸或10.1寸，主板RK3399，内存:4G，存储:32G，分辨率1280*800，Android7.1及以上；全网通模块，4G、无线WIFI、GPS定位或10.1寸;</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B.J1900 四核 2.0GHZ 内存:4G 内存存储:128GSSD；win7系统，全网通模块，4G、无线WIFI、GPS定位。</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⑧称重系统：允许电压：DC5～12V，量程：40-100kg，分度值： 5g，称重精度：C3,称台感应重量，数据显示在显示屏上，并实时上传至大数据平台。</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⑨二维码扫码系统：工作电压：3.3-5 VDC±5%，识读精度：≥5mil，识读码制：2D 和1D。</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⑩拍照系统：摄像头≥200万像素，分辨率：1920H×1080V，动态范围：90dB，带补光灯，上传图片≥1920H×1080V。</w:t>
      </w:r>
    </w:p>
    <w:p>
      <w:pPr>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⑪定位系统：接收频段:56-channel u-blox7 engine GPS L1C/A、SBAS L1C/A、QZSS L1C/A、GLONASS L1OF、BeiDou B1、Galileo E1B/C2。定位性能：&lt;2.5m[Autonomous][50%] &lt;2.0m[SBAS]；速率:&lt;0.1m/s;方向:&lt;0.5Degrees；授时精度:30ns；参照坐标系:WGS-84；最大海拔高度:50000米；最大速度:500m/；加速度:&lt;4g。</w:t>
      </w:r>
    </w:p>
    <w:p>
      <w:pPr>
        <w:pStyle w:val="33"/>
        <w:adjustRightInd w:val="0"/>
        <w:spacing w:line="500" w:lineRule="exact"/>
        <w:ind w:firstLine="567"/>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rPr>
        <w:t>其他：操作员可在称重时在显示屏上对垃圾分类情况进行评分，并可拍照上传照片。实时可查询回收记录和兑换记录；有健康检测功能，可查看各部件的异常情况、可清理内存、可自动更新版本；在设备上可查看垃圾投放整体数据；后台可监管设备健康状况，如有异常，可通过手机短信联系维护人员。</w:t>
      </w:r>
    </w:p>
    <w:p>
      <w:pPr>
        <w:pStyle w:val="33"/>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4、积分卡：每户至少一张积分卡，并配置总用户数的30%作为备卡，已配备积分卡的用户无需配备，积分卡需与系统实现对接。</w:t>
      </w:r>
    </w:p>
    <w:p>
      <w:pPr>
        <w:pStyle w:val="33"/>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参数要求：卡的制作需统一设计，符合分类特色，样式需经采购人审核通过。</w:t>
      </w:r>
    </w:p>
    <w:p>
      <w:pPr>
        <w:pStyle w:val="33"/>
        <w:numPr>
          <w:ilvl w:val="0"/>
          <w:numId w:val="5"/>
        </w:numPr>
        <w:adjustRightInd w:val="0"/>
        <w:spacing w:line="500" w:lineRule="exact"/>
        <w:ind w:firstLine="567"/>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发袋机：按每个小区1台标准配置（采购人已购置除外），同时需做好发袋机（含采购人已购置部分）的日常运行维护，并承担相应电费、网络等运行费；后期服务中，若需按要求接入萧山区生活垃圾分类智能智能监管等相关平台，中标单位应承担相应的费用；需符合在露天放置要求，同时实现与原有居民使用二维码卡并连使用，用户取用垃圾袋方式可以采取智能刷卡或绑定手机扫码功能；按12卷（30只）/户/每年的标准，向住户提供；费用包含在投标报价中，由投标单位自行考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服务期满或项目合同提前解除的，所有权无偿归属采购人所有。</w:t>
      </w:r>
    </w:p>
    <w:p>
      <w:pPr>
        <w:pStyle w:val="33"/>
        <w:numPr>
          <w:ilvl w:val="-1"/>
          <w:numId w:val="0"/>
        </w:numPr>
        <w:adjustRightInd w:val="0"/>
        <w:spacing w:line="500" w:lineRule="exact"/>
        <w:ind w:firstLine="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A发袋机参数要求：</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①</w:t>
      </w:r>
      <w:r>
        <w:rPr>
          <w:rFonts w:hint="eastAsia" w:ascii="仿宋" w:hAnsi="仿宋" w:eastAsia="仿宋" w:cs="仿宋"/>
          <w:color w:val="auto"/>
          <w:sz w:val="24"/>
          <w:szCs w:val="24"/>
          <w:highlight w:val="none"/>
        </w:rPr>
        <w:t>智能识别居民ID号、手机号并自动绑定垃圾袋的二维码；</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②</w:t>
      </w:r>
      <w:r>
        <w:rPr>
          <w:rFonts w:hint="eastAsia" w:ascii="仿宋" w:hAnsi="仿宋" w:eastAsia="仿宋" w:cs="仿宋"/>
          <w:color w:val="auto"/>
          <w:sz w:val="24"/>
          <w:szCs w:val="24"/>
          <w:highlight w:val="none"/>
        </w:rPr>
        <w:t>面板上配备操作按键，方便信息输入；</w:t>
      </w:r>
    </w:p>
    <w:p>
      <w:pPr>
        <w:pStyle w:val="33"/>
        <w:adjustRightInd w:val="0"/>
        <w:spacing w:line="500" w:lineRule="exact"/>
        <w:ind w:firstLine="567"/>
        <w:rPr>
          <w:rFonts w:hint="eastAsia" w:ascii="仿宋" w:hAnsi="仿宋" w:eastAsia="仿宋" w:cs="仿宋"/>
          <w:color w:val="auto"/>
          <w:sz w:val="24"/>
          <w:szCs w:val="24"/>
          <w:highlight w:val="none"/>
        </w:rPr>
      </w:pPr>
      <w:r>
        <w:rPr>
          <w:rFonts w:ascii="仿宋" w:hAnsi="仿宋" w:eastAsia="仿宋" w:cs="Calibri"/>
          <w:color w:val="auto"/>
          <w:sz w:val="24"/>
          <w:szCs w:val="24"/>
          <w:highlight w:val="none"/>
        </w:rPr>
        <w:t>③</w:t>
      </w:r>
      <w:r>
        <w:rPr>
          <w:rFonts w:hint="eastAsia" w:ascii="仿宋" w:hAnsi="仿宋" w:eastAsia="仿宋" w:cs="仿宋"/>
          <w:color w:val="auto"/>
          <w:sz w:val="24"/>
          <w:szCs w:val="24"/>
          <w:highlight w:val="none"/>
        </w:rPr>
        <w:t>智能统计每月居民领取垃圾袋量；</w:t>
      </w:r>
    </w:p>
    <w:p>
      <w:pPr>
        <w:pStyle w:val="33"/>
        <w:adjustRightInd w:val="0"/>
        <w:spacing w:line="50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④当垃圾袋库存不足时，系统预警；</w:t>
      </w:r>
    </w:p>
    <w:p>
      <w:pPr>
        <w:pStyle w:val="33"/>
        <w:adjustRightInd w:val="0"/>
        <w:spacing w:line="50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⑤垃圾袋容量不少于</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00卷；</w:t>
      </w:r>
    </w:p>
    <w:p>
      <w:pPr>
        <w:pStyle w:val="33"/>
        <w:adjustRightInd w:val="0"/>
        <w:spacing w:line="500" w:lineRule="exact"/>
        <w:ind w:firstLine="56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⑥数据实时上传萧山区生活垃圾分类智能监管平台、至云管理平台。</w:t>
      </w:r>
    </w:p>
    <w:p>
      <w:pPr>
        <w:pStyle w:val="33"/>
        <w:adjustRightInd w:val="0"/>
        <w:spacing w:line="500" w:lineRule="exac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⑦自助发袋机</w:t>
      </w:r>
      <w:r>
        <w:rPr>
          <w:rFonts w:hint="eastAsia" w:ascii="仿宋" w:hAnsi="仿宋" w:eastAsia="仿宋" w:cs="仿宋"/>
          <w:bCs/>
          <w:color w:val="auto"/>
          <w:sz w:val="24"/>
          <w:szCs w:val="24"/>
          <w:highlight w:val="none"/>
        </w:rPr>
        <w:t>主要技术指标及配置</w:t>
      </w:r>
      <w:r>
        <w:rPr>
          <w:rFonts w:hint="eastAsia" w:ascii="仿宋" w:hAnsi="仿宋" w:eastAsia="仿宋" w:cs="仿宋"/>
          <w:color w:val="auto"/>
          <w:sz w:val="24"/>
          <w:szCs w:val="24"/>
          <w:highlight w:val="none"/>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部件</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垃圾袋容量不少于400卷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用材</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显示器</w:t>
            </w:r>
          </w:p>
        </w:tc>
        <w:tc>
          <w:tcPr>
            <w:tcW w:w="630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Hans"/>
              </w:rPr>
              <w:t>符合相关标准</w:t>
            </w:r>
            <w:r>
              <w:rPr>
                <w:rFonts w:hint="default" w:ascii="仿宋" w:hAnsi="仿宋" w:eastAsia="仿宋" w:cs="仿宋"/>
                <w:color w:val="auto"/>
                <w:sz w:val="24"/>
                <w:highlight w:val="none"/>
                <w:lang w:eastAsia="zh-Hans"/>
              </w:rPr>
              <w:t>；</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Hans"/>
              </w:rPr>
              <w:t>中</w:t>
            </w:r>
            <w:r>
              <w:rPr>
                <w:rFonts w:hint="eastAsia" w:ascii="仿宋" w:hAnsi="仿宋" w:eastAsia="仿宋" w:cs="仿宋"/>
                <w:color w:val="auto"/>
                <w:sz w:val="24"/>
                <w:highlight w:val="none"/>
              </w:rPr>
              <w:t>标单位自行考虑尺寸，品牌</w:t>
            </w:r>
          </w:p>
        </w:tc>
      </w:tr>
    </w:tbl>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如因小区小，居住户也较少，因空间有限无法放置400卷容量的机子，经社区确定可以选用容量小的垃圾袋发放机。</w:t>
      </w:r>
    </w:p>
    <w:p>
      <w:pPr>
        <w:pStyle w:val="33"/>
        <w:spacing w:line="500" w:lineRule="exact"/>
        <w:ind w:left="360" w:firstLine="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如因小区居民反对、未有空间放置等原因无法配置到位的，经小区物业、社区、街道书面核实确认，可暂时不配置，但中标人需做好每户人家的上门发放工作。</w:t>
      </w:r>
    </w:p>
    <w:p>
      <w:pPr>
        <w:pStyle w:val="33"/>
        <w:spacing w:line="500" w:lineRule="exact"/>
        <w:ind w:left="360" w:firstLine="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B易腐垃圾袋参数要求：</w:t>
      </w:r>
    </w:p>
    <w:p>
      <w:pPr>
        <w:adjustRightInd/>
        <w:spacing w:line="500" w:lineRule="exact"/>
        <w:ind w:left="400" w:firstLine="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①每卷30只垃圾袋。</w:t>
      </w:r>
    </w:p>
    <w:p>
      <w:pPr>
        <w:adjustRightInd/>
        <w:spacing w:line="500" w:lineRule="exact"/>
        <w:ind w:firstLine="56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②材质：垃圾袋以淀粉基-聚乙烯为原料（禁止使用含氯材料）添加各类助剂，淀粉成分≥15%，鼓励中标人使用全降解原料。测试3公斤水，存放2天不渗漏。</w:t>
      </w:r>
    </w:p>
    <w:p>
      <w:pPr>
        <w:adjustRightInd/>
        <w:spacing w:line="500" w:lineRule="exact"/>
        <w:ind w:firstLine="567"/>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③外观、颜色</w:t>
      </w:r>
    </w:p>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a外观：袋周应均匀、平整，不应有气泡、穿孔、鱼眼僵块、丝纹、挂料线等瑕疵。</w:t>
      </w:r>
    </w:p>
    <w:p>
      <w:pPr>
        <w:adjustRightInd/>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b颜色：用于厨房垃圾收集的垃圾袋颜色为绿色（PANTONE 562C）。</w:t>
      </w:r>
    </w:p>
    <w:p>
      <w:pPr>
        <w:adjustRightInd/>
        <w:spacing w:line="500" w:lineRule="exact"/>
        <w:ind w:firstLine="6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④每只垃圾袋规格：其有效容积的偏差均应在0~5%的正偏差内。尺寸：长≥500 mm，宽≥430 mm。</w:t>
      </w:r>
    </w:p>
    <w:p>
      <w:pPr>
        <w:adjustRightInd/>
        <w:spacing w:line="500" w:lineRule="exact"/>
        <w:ind w:left="400" w:firstLine="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⑤厚度：袋膜厚度0.025（±0.005）mm。</w:t>
      </w:r>
    </w:p>
    <w:p>
      <w:pPr>
        <w:adjustRightInd/>
        <w:spacing w:line="500" w:lineRule="exact"/>
        <w:ind w:firstLine="6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⑥有二维码：垃圾袋在合适位置都设置有二维码（1、每卷包装外有该卷的二维码，同时每卷中30只垃圾袋的二维码同该二维码。2、一卷一个不同的二维码，二维码底色为白色，二维码尺寸不小于15mm*15mm，二维码下方必须印制二维码对应内容的数字部分。（具体按采购人要求）</w:t>
      </w:r>
    </w:p>
    <w:p>
      <w:pPr>
        <w:adjustRightInd/>
        <w:spacing w:line="500" w:lineRule="exact"/>
        <w:ind w:firstLine="567"/>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⑦印有文字标识（详见见后附2张照片标识文字）（具体按采购人要求）</w:t>
      </w:r>
    </w:p>
    <w:p>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drawing>
          <wp:anchor distT="0" distB="0" distL="0" distR="0" simplePos="0" relativeHeight="251659264" behindDoc="0" locked="0" layoutInCell="1" allowOverlap="1">
            <wp:simplePos x="0" y="0"/>
            <wp:positionH relativeFrom="column">
              <wp:posOffset>400050</wp:posOffset>
            </wp:positionH>
            <wp:positionV relativeFrom="paragraph">
              <wp:posOffset>54610</wp:posOffset>
            </wp:positionV>
            <wp:extent cx="2105025" cy="3764280"/>
            <wp:effectExtent l="0" t="0" r="9525" b="7620"/>
            <wp:wrapNone/>
            <wp:docPr id="1" name="图片 4" descr="1597712534(1)"/>
            <wp:cNvGraphicFramePr/>
            <a:graphic xmlns:a="http://schemas.openxmlformats.org/drawingml/2006/main">
              <a:graphicData uri="http://schemas.openxmlformats.org/drawingml/2006/picture">
                <pic:pic xmlns:pic="http://schemas.openxmlformats.org/drawingml/2006/picture">
                  <pic:nvPicPr>
                    <pic:cNvPr id="1" name="图片 4" descr="1597712534(1)"/>
                    <pic:cNvPicPr/>
                  </pic:nvPicPr>
                  <pic:blipFill>
                    <a:blip r:embed="rId8" cstate="print"/>
                    <a:srcRect/>
                    <a:stretch>
                      <a:fillRect/>
                    </a:stretch>
                  </pic:blipFill>
                  <pic:spPr>
                    <a:xfrm>
                      <a:off x="0" y="0"/>
                      <a:ext cx="2105025" cy="3764280"/>
                    </a:xfrm>
                    <a:prstGeom prst="rect">
                      <a:avLst/>
                    </a:prstGeom>
                    <a:ln>
                      <a:noFill/>
                    </a:ln>
                  </pic:spPr>
                </pic:pic>
              </a:graphicData>
            </a:graphic>
          </wp:anchor>
        </w:drawing>
      </w:r>
      <w:r>
        <w:rPr>
          <w:rFonts w:hint="eastAsia" w:ascii="仿宋" w:hAnsi="仿宋" w:eastAsia="仿宋" w:cs="仿宋"/>
          <w:b/>
          <w:bCs/>
          <w:color w:val="auto"/>
          <w:sz w:val="24"/>
          <w:highlight w:val="none"/>
        </w:rPr>
        <w:drawing>
          <wp:anchor distT="0" distB="0" distL="0" distR="0" simplePos="0" relativeHeight="251660288" behindDoc="0" locked="0" layoutInCell="1" allowOverlap="1">
            <wp:simplePos x="0" y="0"/>
            <wp:positionH relativeFrom="column">
              <wp:posOffset>2524125</wp:posOffset>
            </wp:positionH>
            <wp:positionV relativeFrom="paragraph">
              <wp:posOffset>71120</wp:posOffset>
            </wp:positionV>
            <wp:extent cx="2105025" cy="3735705"/>
            <wp:effectExtent l="0" t="0" r="9525" b="17145"/>
            <wp:wrapNone/>
            <wp:docPr id="2" name="图片 3" descr="1597712574(1)"/>
            <wp:cNvGraphicFramePr/>
            <a:graphic xmlns:a="http://schemas.openxmlformats.org/drawingml/2006/main">
              <a:graphicData uri="http://schemas.openxmlformats.org/drawingml/2006/picture">
                <pic:pic xmlns:pic="http://schemas.openxmlformats.org/drawingml/2006/picture">
                  <pic:nvPicPr>
                    <pic:cNvPr id="2" name="图片 3" descr="1597712574(1)"/>
                    <pic:cNvPicPr/>
                  </pic:nvPicPr>
                  <pic:blipFill>
                    <a:blip r:embed="rId9" cstate="print"/>
                    <a:srcRect/>
                    <a:stretch>
                      <a:fillRect/>
                    </a:stretch>
                  </pic:blipFill>
                  <pic:spPr>
                    <a:xfrm>
                      <a:off x="0" y="0"/>
                      <a:ext cx="2105025" cy="3735705"/>
                    </a:xfrm>
                    <a:prstGeom prst="rect">
                      <a:avLst/>
                    </a:prstGeom>
                    <a:ln>
                      <a:noFill/>
                    </a:ln>
                  </pic:spPr>
                </pic:pic>
              </a:graphicData>
            </a:graphic>
          </wp:anchor>
        </w:drawing>
      </w:r>
    </w:p>
    <w:p>
      <w:pPr>
        <w:spacing w:line="360" w:lineRule="auto"/>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adjustRightInd/>
        <w:spacing w:line="480" w:lineRule="exact"/>
        <w:ind w:firstLine="482" w:firstLineChars="200"/>
        <w:jc w:val="left"/>
        <w:rPr>
          <w:rFonts w:ascii="仿宋" w:hAnsi="仿宋" w:eastAsia="仿宋" w:cs="仿宋"/>
          <w:b/>
          <w:bCs/>
          <w:color w:val="auto"/>
          <w:sz w:val="24"/>
          <w:highlight w:val="none"/>
        </w:rPr>
      </w:pPr>
    </w:p>
    <w:p>
      <w:pPr>
        <w:pStyle w:val="33"/>
        <w:numPr>
          <w:ilvl w:val="-1"/>
          <w:numId w:val="0"/>
        </w:numPr>
        <w:adjustRightInd w:val="0"/>
        <w:spacing w:line="500" w:lineRule="exact"/>
        <w:ind w:left="0" w:leftChars="0" w:firstLine="0" w:firstLineChars="0"/>
        <w:rPr>
          <w:rFonts w:ascii="仿宋" w:hAnsi="仿宋" w:eastAsia="仿宋" w:cs="仿宋"/>
          <w:color w:val="auto"/>
          <w:sz w:val="24"/>
          <w:szCs w:val="24"/>
          <w:highlight w:val="none"/>
          <w:lang w:val="en-US"/>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再生资源回收网点：</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原有已设再生资源回收网点，需按要求继续开展运营；新建的在800户以上小区，需新设网点，其他视情况增设，若社区、街道有要求，需按要求执行；运行时间符合萧山区生活垃圾分类办公室最新要求；可回收物回量需接入数据平台，可以采用积分兑换的形式，也可以现金结算；再生资源回收网点需由中标人自行设置或由中标人委托合作单位进行设置，且必须将数据接入采购人所属的区级数据平台。</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相关要求：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①再生资源回收网点由中标人或中标人委托合作单位落实建设，建设完成后由中标人负责或监督运行管理，相关盈亏及补贴均归中标人或其合作单位。</w:t>
      </w:r>
    </w:p>
    <w:p>
      <w:pPr>
        <w:pStyle w:val="16"/>
        <w:spacing w:line="500" w:lineRule="exact"/>
        <w:ind w:firstLine="480" w:firstLineChars="200"/>
        <w:rPr>
          <w:rFonts w:hint="eastAsia" w:ascii="仿宋" w:hAnsi="仿宋" w:eastAsia="仿宋" w:cs="仿宋"/>
          <w:b/>
          <w:bCs/>
          <w:color w:val="auto"/>
          <w:kern w:val="0"/>
          <w:sz w:val="24"/>
          <w:szCs w:val="24"/>
          <w:highlight w:val="none"/>
          <w:lang w:val="en-US"/>
        </w:rPr>
      </w:pPr>
      <w:r>
        <w:rPr>
          <w:rFonts w:hint="eastAsia" w:ascii="仿宋" w:hAnsi="仿宋" w:eastAsia="仿宋" w:cs="仿宋"/>
          <w:color w:val="auto"/>
          <w:kern w:val="0"/>
          <w:sz w:val="24"/>
          <w:szCs w:val="24"/>
          <w:highlight w:val="none"/>
          <w:lang w:val="en-US"/>
        </w:rPr>
        <w:t>②前期已经设置再生资源回收网点产权系原服务单位或其合作单位所有，投标人须提供承诺书</w:t>
      </w:r>
      <w:r>
        <w:rPr>
          <w:rFonts w:hint="eastAsia" w:ascii="仿宋" w:hAnsi="仿宋" w:eastAsia="仿宋" w:cs="仿宋"/>
          <w:color w:val="auto"/>
          <w:sz w:val="24"/>
          <w:szCs w:val="24"/>
          <w:highlight w:val="none"/>
          <w:lang w:eastAsia="zh-CN"/>
        </w:rPr>
        <w:t>（附件承诺书一）</w:t>
      </w:r>
      <w:r>
        <w:rPr>
          <w:rFonts w:hint="eastAsia" w:ascii="仿宋" w:hAnsi="仿宋" w:eastAsia="仿宋" w:cs="仿宋"/>
          <w:color w:val="auto"/>
          <w:kern w:val="0"/>
          <w:sz w:val="24"/>
          <w:szCs w:val="24"/>
          <w:highlight w:val="none"/>
          <w:lang w:val="en-US"/>
        </w:rPr>
        <w:t>，承诺中标后并在合同签订后一个月内，中标人需根据采购人需求重新设置购买或与原产权单位协商折价购买，该费用包含在投标总价中，若无法按时重新购置到位或无法按时协商折价购买到位并完成支付的，则项目合同自动解除，并且对采购人造成的损失由中标人承担。</w:t>
      </w:r>
      <w:r>
        <w:rPr>
          <w:rFonts w:hint="eastAsia" w:ascii="仿宋" w:hAnsi="仿宋" w:eastAsia="仿宋" w:cs="仿宋"/>
          <w:b/>
          <w:bCs/>
          <w:color w:val="auto"/>
          <w:kern w:val="0"/>
          <w:sz w:val="24"/>
          <w:szCs w:val="24"/>
          <w:highlight w:val="none"/>
          <w:lang w:val="en-US"/>
        </w:rPr>
        <w:t>（投标单位必须提供承诺书）</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③中标人每个网点必须配置一名专人，运行时间符合市区两级有关再生资源开放时间的要求。通水电并自负费用，每周运营时间不少于18小时，前端收集数据接入区平台，可实现现金与积分兑换，后端处置需交由有资质的回收企业，标识上应有“萧铃铛”品牌及固定招牌，有公示牌，公示内容包含点位名称、运营时间、运营人员、联系方式、清运时间和投诉电话，点位须有分类指南。提供价目表或者兑换表，标明各类可回收物积分或者价格。原单位退出，采购人指定专业第三方机构评估后由中标方支付费用后进行资产和相关合约一并转移的，中标人应予配合。网点场地由社区提供的，中标人需无偿对网点进行改造装修，改造后装修及物品产权无偿为社区所有。</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④配备7分类回收箱、封装电子秤、价格表、人员信息表、宣传标识、消防设施、器材，实行统一标识、统一收购价格、统一计量工具、统一管理制度、统一着装。</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⑤与信息化管理平台链接（接入萧山区生活垃圾分类智能监管平台）。回收价格不低于市场价。</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⑥积分商城：居民可通过参与垃圾分类获得的积分，可以在在线积分商城中，直接作为现金抵用，购买商城内的商品，也可以直接用积分进行现金兑换。</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⑦设立预约上门联系电话，在回收时段外或未设网点的小区，实现预约上门服务。</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7、云平台管理：</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所有数据要求接入区垃圾分类监管平台，可随时查看居民参与垃圾分类的报表，查询垃圾袋投放及领取信息、可回收垃圾投递、重量信息，按采购人需要，无条件配合提供各类数据及各类接口等。</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8、其他说明：本项目智能化分类垃圾袋发放机、其他设施设备（含智能设备）须自行解决场地平整问题、线缆预埋问题、防水设备及安装问题、智能垃圾箱及其他落地设备须场地平整、电费、培训费、搬运费、保险及其他一切可能产生的费用，费用均计入本次招标中，中标后不作调整。</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（二）人员需求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1、项目负责人1名。</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负责本项目人、事、物（供应商应在投标文件明确项目经理管理权限）；协调联系采购人、社区、物业、直运（其他和易腐）及其他行业管理部门，谋划推进提质增效，负责小区</w:t>
      </w:r>
      <w:r>
        <w:rPr>
          <w:rFonts w:hint="eastAsia" w:ascii="仿宋" w:hAnsi="仿宋" w:cs="仿宋"/>
          <w:color w:val="auto"/>
          <w:kern w:val="0"/>
          <w:sz w:val="24"/>
          <w:szCs w:val="24"/>
          <w:highlight w:val="none"/>
          <w:lang w:val="en-US" w:eastAsia="zh-CN"/>
        </w:rPr>
        <w:t>内</w:t>
      </w:r>
      <w:r>
        <w:rPr>
          <w:rFonts w:hint="eastAsia" w:ascii="仿宋" w:hAnsi="仿宋" w:eastAsia="仿宋" w:cs="仿宋"/>
          <w:color w:val="auto"/>
          <w:kern w:val="0"/>
          <w:sz w:val="24"/>
          <w:szCs w:val="24"/>
          <w:highlight w:val="none"/>
          <w:lang w:val="en-US"/>
        </w:rPr>
        <w:t>氛围营造、活动策划、培训等；落实其他社区、街道布置的任务。</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相关要求：</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A.和</w:t>
      </w:r>
      <w:r>
        <w:rPr>
          <w:rFonts w:hint="eastAsia" w:ascii="仿宋" w:hAnsi="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lang w:val="en-US"/>
        </w:rPr>
        <w:t>签订劳动合同并缴纳社保的</w:t>
      </w:r>
      <w:r>
        <w:rPr>
          <w:rFonts w:hint="eastAsia" w:ascii="仿宋" w:hAnsi="仿宋" w:cs="仿宋"/>
          <w:color w:val="auto"/>
          <w:kern w:val="0"/>
          <w:sz w:val="24"/>
          <w:szCs w:val="24"/>
          <w:highlight w:val="none"/>
          <w:lang w:val="en-US" w:eastAsia="zh-CN"/>
        </w:rPr>
        <w:t>正式全职员工</w:t>
      </w:r>
      <w:r>
        <w:rPr>
          <w:rFonts w:hint="eastAsia" w:ascii="仿宋" w:hAnsi="仿宋" w:eastAsia="仿宋" w:cs="仿宋"/>
          <w:color w:val="auto"/>
          <w:kern w:val="0"/>
          <w:sz w:val="24"/>
          <w:szCs w:val="24"/>
          <w:highlight w:val="none"/>
          <w:lang w:val="en-US"/>
        </w:rPr>
        <w:t>。</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B.大专及以上学历。</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C.拟派项目经理在投标截止日无在其他任何在履约合同项目上担任项目负责人（项目经理）的情形。在履约合同项目的开始时间为合同项目中标通知书发出日期（直接签订合同的，开始时间为合同签订日期），结束时间为该合同通过合同验收或合同解除日期。若拟派项目经理已在履约合同中担任项目经理，但合同服务期在本项目合同签订之日已结束的，则不视为在履约。</w:t>
      </w:r>
    </w:p>
    <w:p>
      <w:pPr>
        <w:pStyle w:val="16"/>
        <w:spacing w:line="500" w:lineRule="exact"/>
        <w:ind w:firstLine="480" w:firstLineChars="20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 xml:space="preserve"> D.每周到岗不少于6天。每天到岗时间要求：7:00-11:00, 13:00-17:00。</w:t>
      </w:r>
    </w:p>
    <w:p>
      <w:pPr>
        <w:pStyle w:val="16"/>
        <w:spacing w:line="500" w:lineRule="exact"/>
        <w:ind w:firstLine="480" w:firstLineChars="200"/>
        <w:rPr>
          <w:rFonts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2、项目主管4人。监督各工作人员日常工作开展情况，并形成考核记录，开展社区、小区各类宣传活动（</w:t>
      </w:r>
      <w:r>
        <w:rPr>
          <w:rFonts w:hint="eastAsia" w:ascii="仿宋" w:hAnsi="仿宋" w:eastAsia="仿宋" w:cs="仿宋"/>
          <w:color w:val="auto"/>
          <w:sz w:val="24"/>
          <w:szCs w:val="24"/>
          <w:highlight w:val="none"/>
        </w:rPr>
        <w:t>每社区每</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月不少于</w:t>
      </w:r>
      <w:r>
        <w:rPr>
          <w:rFonts w:hint="eastAsia" w:ascii="仿宋" w:hAnsi="仿宋" w:eastAsia="仿宋" w:cs="仿宋"/>
          <w:color w:val="auto"/>
          <w:sz w:val="24"/>
          <w:szCs w:val="24"/>
          <w:highlight w:val="none"/>
          <w:lang w:val="en-US"/>
        </w:rPr>
        <w:t>1场大型活动，每个小区每月不少于1场培训、一次大型宣传等活动）</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sz w:val="24"/>
          <w:szCs w:val="24"/>
          <w:highlight w:val="none"/>
          <w:lang w:val="en-US"/>
        </w:rPr>
        <w:t>每周向街道、社区出具投放数据、生活垃圾重量分析报告，组织人员</w:t>
      </w:r>
      <w:r>
        <w:rPr>
          <w:rFonts w:hint="eastAsia" w:ascii="仿宋" w:hAnsi="仿宋" w:eastAsia="仿宋" w:cs="仿宋"/>
          <w:color w:val="auto"/>
          <w:kern w:val="0"/>
          <w:sz w:val="24"/>
          <w:szCs w:val="24"/>
          <w:highlight w:val="none"/>
          <w:lang w:val="en-US"/>
        </w:rPr>
        <w:t>上门入户宣传、垃圾包的溯源等工作</w:t>
      </w:r>
      <w:r>
        <w:rPr>
          <w:rFonts w:hint="eastAsia" w:ascii="仿宋" w:hAnsi="仿宋" w:eastAsia="仿宋" w:cs="仿宋"/>
          <w:color w:val="auto"/>
          <w:sz w:val="24"/>
          <w:szCs w:val="24"/>
          <w:highlight w:val="none"/>
          <w:lang w:val="en-US"/>
        </w:rPr>
        <w:t>，进行对小区的数据质量开展自查。</w:t>
      </w:r>
      <w:r>
        <w:rPr>
          <w:rFonts w:hint="eastAsia" w:ascii="仿宋" w:hAnsi="仿宋" w:eastAsia="仿宋" w:cs="仿宋"/>
          <w:color w:val="auto"/>
          <w:kern w:val="0"/>
          <w:sz w:val="24"/>
          <w:szCs w:val="24"/>
          <w:highlight w:val="none"/>
          <w:lang w:val="en-US"/>
        </w:rPr>
        <w:t>配合村社开展相关小区垃圾分类事项。</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A.和</w:t>
      </w:r>
      <w:r>
        <w:rPr>
          <w:rFonts w:hint="eastAsia" w:cs="仿宋"/>
          <w:color w:val="auto"/>
          <w:sz w:val="24"/>
          <w:szCs w:val="24"/>
          <w:highlight w:val="none"/>
          <w:lang w:val="en-US" w:eastAsia="zh-CN"/>
        </w:rPr>
        <w:t>投标单位</w:t>
      </w:r>
      <w:r>
        <w:rPr>
          <w:rFonts w:hint="eastAsia" w:ascii="仿宋" w:hAnsi="仿宋" w:eastAsia="仿宋" w:cs="仿宋"/>
          <w:color w:val="auto"/>
          <w:sz w:val="24"/>
          <w:szCs w:val="24"/>
          <w:highlight w:val="none"/>
        </w:rPr>
        <w:t>签订劳动合同并缴纳社保的</w:t>
      </w:r>
      <w:r>
        <w:rPr>
          <w:rFonts w:hint="eastAsia" w:cs="仿宋"/>
          <w:color w:val="auto"/>
          <w:sz w:val="24"/>
          <w:szCs w:val="24"/>
          <w:highlight w:val="none"/>
          <w:lang w:eastAsia="zh-CN"/>
        </w:rPr>
        <w:t>正式全职员工</w:t>
      </w:r>
      <w:r>
        <w:rPr>
          <w:rFonts w:hint="eastAsia" w:ascii="仿宋" w:hAnsi="仿宋" w:eastAsia="仿宋" w:cs="仿宋"/>
          <w:color w:val="auto"/>
          <w:sz w:val="24"/>
          <w:szCs w:val="24"/>
          <w:highlight w:val="none"/>
        </w:rPr>
        <w:t>；</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B.要求大专及以上学历；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val="en-US"/>
        </w:rPr>
        <w:t>一定电脑办公能力；</w:t>
      </w:r>
    </w:p>
    <w:p>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w:t>
      </w:r>
      <w:r>
        <w:rPr>
          <w:rFonts w:hint="eastAsia" w:ascii="仿宋" w:hAnsi="仿宋" w:eastAsia="仿宋" w:cs="仿宋"/>
          <w:color w:val="auto"/>
          <w:kern w:val="0"/>
          <w:sz w:val="24"/>
          <w:szCs w:val="24"/>
          <w:highlight w:val="none"/>
        </w:rPr>
        <w:t>每周</w:t>
      </w:r>
      <w:r>
        <w:rPr>
          <w:rFonts w:hint="eastAsia" w:ascii="仿宋" w:hAnsi="仿宋" w:eastAsia="仿宋" w:cs="仿宋"/>
          <w:color w:val="auto"/>
          <w:kern w:val="0"/>
          <w:sz w:val="24"/>
          <w:szCs w:val="24"/>
          <w:highlight w:val="none"/>
          <w:lang w:val="en-US" w:eastAsia="zh-CN"/>
        </w:rPr>
        <w:t>到岗</w:t>
      </w:r>
      <w:r>
        <w:rPr>
          <w:rFonts w:hint="eastAsia" w:ascii="仿宋" w:hAnsi="仿宋" w:eastAsia="仿宋" w:cs="仿宋"/>
          <w:color w:val="auto"/>
          <w:kern w:val="0"/>
          <w:sz w:val="24"/>
          <w:szCs w:val="24"/>
          <w:highlight w:val="none"/>
        </w:rPr>
        <w:t>不少于5天,每天</w:t>
      </w:r>
      <w:r>
        <w:rPr>
          <w:rFonts w:hint="eastAsia" w:ascii="仿宋" w:hAnsi="仿宋" w:eastAsia="仿宋" w:cs="仿宋"/>
          <w:color w:val="auto"/>
          <w:kern w:val="0"/>
          <w:sz w:val="24"/>
          <w:szCs w:val="24"/>
          <w:highlight w:val="none"/>
          <w:lang w:val="en-US" w:eastAsia="zh-CN"/>
        </w:rPr>
        <w:t>到岗时间</w:t>
      </w:r>
      <w:r>
        <w:rPr>
          <w:rFonts w:hint="eastAsia" w:ascii="仿宋" w:hAnsi="仿宋" w:eastAsia="仿宋" w:cs="仿宋"/>
          <w:color w:val="auto"/>
          <w:kern w:val="0"/>
          <w:sz w:val="24"/>
          <w:szCs w:val="24"/>
          <w:highlight w:val="none"/>
        </w:rPr>
        <w:t>不少于8小时</w:t>
      </w:r>
    </w:p>
    <w:p>
      <w:pPr>
        <w:spacing w:line="50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3、垃圾清运、清洗人员。每个小区至少安排一名人员，</w:t>
      </w:r>
      <w:r>
        <w:rPr>
          <w:rFonts w:hint="eastAsia" w:ascii="仿宋" w:hAnsi="仿宋" w:eastAsia="仿宋" w:cs="仿宋"/>
          <w:color w:val="auto"/>
          <w:kern w:val="0"/>
          <w:sz w:val="24"/>
          <w:szCs w:val="24"/>
          <w:highlight w:val="none"/>
        </w:rPr>
        <w:t>负责小区内各投放点位的垃圾桶清运至集置点，同时对各垃圾桶进行规范清运，保持集置点周边干净整洁。</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spacing w:line="5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4、点位分类工作人员。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开展点位分类引导监管等，能熟练操作智能四分类秤智，为投放的居民进行易腐的称重、上传、破袋和积分，或其他垃圾和有害垃圾的称重、上传和积分，对可回收物进行称重、上传和积分。维护投放点及周边的环境卫生，上岗和离岗前分别进行冲洗打扫，及时更换满桶。可回收物统一送至采购人指定的再生资源分拣中心回收，数据进入区垃圾分类智能监管平台。</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B.设组长一名，可由分类员兼任。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C.具备正常交流能力，普通话流利。</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D.每天早上工作两小时（9点前），晚上工作两小时（21点前）,或其他时段。</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E.按照实际投放点位（含误时投放点）按每个点位配备一名工作人员的标准，若有特殊增设的，中标人必须认可,费用不作增加。定时定点点位数按照目前在运行的点位延续，中标人不得随意删减，后期新推进小区，按1人/300户左右标准增加。</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5、再生资源网点工作人员。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每个再生资源网点设一个专人，每天至少保障2个小时及以上工作时间，其余时段实行电话预约上门回收，服务对象包含周边小区（未设再生资源网点的小区）、沿街商铺、企业等；采用积分或者货币形式，回收数据进入区垃圾分类智能监管平台。在网点内开展积分兑换，同时负责网点及周边的保洁和维护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A.和</w:t>
      </w: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lang w:val="en-US"/>
        </w:rPr>
        <w:t>签订劳动合同并缴纳社保的</w:t>
      </w:r>
      <w:r>
        <w:rPr>
          <w:rFonts w:hint="eastAsia" w:ascii="仿宋" w:hAnsi="仿宋" w:eastAsia="仿宋" w:cs="仿宋"/>
          <w:color w:val="auto"/>
          <w:sz w:val="24"/>
          <w:szCs w:val="24"/>
          <w:highlight w:val="none"/>
          <w:lang w:val="en-US" w:eastAsia="zh-CN"/>
        </w:rPr>
        <w:t>正式全职员工</w:t>
      </w:r>
      <w:r>
        <w:rPr>
          <w:rFonts w:hint="eastAsia" w:ascii="仿宋" w:hAnsi="仿宋" w:eastAsia="仿宋" w:cs="仿宋"/>
          <w:color w:val="auto"/>
          <w:sz w:val="24"/>
          <w:szCs w:val="24"/>
          <w:highlight w:val="none"/>
          <w:lang w:val="en-US"/>
        </w:rPr>
        <w:t>；</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B.设组长一名，要求初中及以上学历(可由回收员兼任)；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C.统一服装、车辆。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6、其他辅助人员。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每天保证3组，6人上岗巡查，巡查时间涵盖早、晚投放时段，主要检查小区的垃圾包、各点位环境卫生及分类投放情况等。</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相关要求：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A.统一制服和服务标准。</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B.每天巡查时间要求：5：00-7：00 ,9：00-11：00 ,13：00-17：00 </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C.网点工作人员可兼任</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（三）服务管理要求</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设施管理：小区内无杂色桶；投放点位设置四分类桶，每日定时定点进行投放收集，要求实现对各类垃圾的称重计量。小区产生的易腐垃圾质量应当符合卓尚和环城餐厨垃圾处置企业的收运标准，包括实现垃圾破袋。</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2、对未开展撤桶并点工作的小区积极开展撤桶并点工作，积极调解因易腐垃圾点位问题产生的矛盾。小区内原投放点做到彻底撤桶；垃圾分类设施干净整洁无破损（包括小区内所有垃圾桶）。</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3、分类质量：易腐垃圾、其他垃圾、可回收物和有害垃圾分类投放， 居民参与率90%以上，居民满意率90%以上，分类准确率80%以上，无混装、错投等情况（具体根据区最新要求调整，中标人应无条件配合）。</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4、分类清运：易腐垃圾、其他垃圾、可回收物和有害垃圾做到及时分 类清运，无垃圾满溢、堆积和脏乱差等现象。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5、智能监管：按要求配置使用封装电子称，实现四分类垃圾数据实时上传且准确无误。</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6、在推进撤桶并点小区，承担撤桶后初期的居民乱投放物的清理工作。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7.每月定期向每户居民发送垃圾袋领取提示信息。</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8.每月向每户居民提供易腐垃圾袋。</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9.向全体居民派发智能卡1张/每户，并备有总户数30%的备用卡。智能卡丢失或折损等情况，由中标方负责补办。</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10.全权负责管养智能垃圾袋发放机，承担电费、清洁费和维修费等费用，投放的可回收物可兑换消费积分返还居民账户，并在启动阶段提供介绍指导服务。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11.按照每日15%～20%的巡检率开展巡检。</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12.对当天的巡检情况进行登记，并对巡检的家庭进行短信回访，就垃圾分类投放准确情况和分类准确情况进行评价并提出分类建议。巡检反馈率不低于90%，产生的通讯费用等由中标单位自行负责。</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13.每月初梳理小区内居民垃圾分类开展情况，理出分类参与次数较少、</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易腐垃圾日均量较差的占整个小区的一半居民，每月对其开展登门培训回访1次，并对每户居民入户派发垃圾分类宣传资料。</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14.回访率不低于90%。同时在登门回访的基础上结合短信等形式回访，产生的通讯费用等由中标单位自行负责。</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15.对服务的社区、物业及涉及垃圾分类的管理单位开展培训不少于2次。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16.组织居民开展垃圾智能化分类的指导培训工作，进行现场分类的引导和督导。</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17.对上述工作开展书面日记账工作或软件日记账登记工作。</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18.向指定的社区、物业和居民开放垃圾智能分类云平台，并向管理单位和居民开放相对应的功能和数据。</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19.建立微信公众号，并提供宣传、客服及信息指导服务。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20.积极开展居民指导工作，逐步提高居民参与率和垃圾分类准确率，项目正式实施后，易腐垃圾、其他垃圾、可回收垃圾和有害垃圾分类投放，居民参与率90%以上，居民满意率90%以上，分类准确率80%以上，无混装、错投等情况。</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21.积极协助平台、社区、物业开展垃圾分类宣传工作，并积极配合社区、物业解决垃圾分类工作中涉及信访、居民意见等问题。</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22.对未建成再生资源网点的小区，每周组织不少于一次废品与可回收物集中回收活动，将居民可回收物折算成积分并提供兑换服务。</w:t>
      </w:r>
    </w:p>
    <w:p>
      <w:pPr>
        <w:pStyle w:val="33"/>
        <w:adjustRightInd w:val="0"/>
        <w:spacing w:line="50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23.做好投放点的卫生保洁工作，定时定点及时补上空桶，结束后及时把所有的桶都撤到指定位置。</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（四）其他需求</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1、相关垃圾的清运</w:t>
      </w:r>
    </w:p>
    <w:p>
      <w:pPr>
        <w:pStyle w:val="33"/>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A.大件垃圾。</w:t>
      </w:r>
    </w:p>
    <w:p>
      <w:pPr>
        <w:spacing w:line="50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zh-CN"/>
        </w:rPr>
        <w:t>本项目投标人</w:t>
      </w:r>
      <w:r>
        <w:rPr>
          <w:rFonts w:hint="eastAsia" w:ascii="仿宋" w:hAnsi="仿宋" w:eastAsia="仿宋" w:cs="仿宋"/>
          <w:b w:val="0"/>
          <w:bCs/>
          <w:color w:val="auto"/>
          <w:kern w:val="0"/>
          <w:sz w:val="24"/>
          <w:szCs w:val="24"/>
          <w:highlight w:val="none"/>
        </w:rPr>
        <w:t>拟投入</w:t>
      </w:r>
      <w:r>
        <w:rPr>
          <w:rFonts w:hint="eastAsia" w:ascii="仿宋" w:hAnsi="仿宋" w:eastAsia="仿宋" w:cs="仿宋"/>
          <w:b w:val="0"/>
          <w:bCs/>
          <w:color w:val="auto"/>
          <w:kern w:val="0"/>
          <w:sz w:val="24"/>
          <w:szCs w:val="24"/>
          <w:highlight w:val="none"/>
          <w:lang w:val="zh-CN"/>
        </w:rPr>
        <w:t>自卸货车（总质量</w:t>
      </w:r>
      <w:r>
        <w:rPr>
          <w:rFonts w:hint="eastAsia" w:ascii="仿宋" w:hAnsi="仿宋" w:eastAsia="仿宋" w:cs="仿宋"/>
          <w:b w:val="0"/>
          <w:bCs/>
          <w:color w:val="auto"/>
          <w:kern w:val="0"/>
          <w:sz w:val="24"/>
          <w:szCs w:val="24"/>
          <w:highlight w:val="none"/>
        </w:rPr>
        <w:t>≥4吨</w:t>
      </w:r>
      <w:r>
        <w:rPr>
          <w:rFonts w:hint="eastAsia" w:ascii="仿宋" w:hAnsi="仿宋" w:eastAsia="仿宋" w:cs="仿宋"/>
          <w:b w:val="0"/>
          <w:bCs/>
          <w:color w:val="auto"/>
          <w:kern w:val="0"/>
          <w:sz w:val="24"/>
          <w:szCs w:val="24"/>
          <w:highlight w:val="none"/>
          <w:lang w:val="zh-CN"/>
        </w:rPr>
        <w:t>）</w:t>
      </w:r>
      <w:r>
        <w:rPr>
          <w:rFonts w:hint="eastAsia" w:ascii="仿宋" w:hAnsi="仿宋" w:eastAsia="仿宋" w:cs="仿宋"/>
          <w:b w:val="0"/>
          <w:bCs/>
          <w:color w:val="auto"/>
          <w:kern w:val="0"/>
          <w:sz w:val="24"/>
          <w:szCs w:val="24"/>
          <w:highlight w:val="none"/>
        </w:rPr>
        <w:t>的数量至少为2辆，用于大件垃圾清运工作。上述车辆必须为</w:t>
      </w:r>
      <w:r>
        <w:rPr>
          <w:rFonts w:hint="eastAsia" w:cs="仿宋"/>
          <w:b w:val="0"/>
          <w:bCs/>
          <w:color w:val="auto"/>
          <w:kern w:val="0"/>
          <w:sz w:val="24"/>
          <w:szCs w:val="24"/>
          <w:highlight w:val="none"/>
          <w:lang w:val="en-US" w:eastAsia="zh-CN"/>
        </w:rPr>
        <w:t>近五年内</w:t>
      </w:r>
      <w:r>
        <w:rPr>
          <w:rFonts w:hint="eastAsia" w:ascii="仿宋" w:hAnsi="仿宋" w:eastAsia="仿宋" w:cs="仿宋"/>
          <w:b w:val="0"/>
          <w:bCs/>
          <w:color w:val="auto"/>
          <w:kern w:val="0"/>
          <w:sz w:val="24"/>
          <w:szCs w:val="24"/>
          <w:highlight w:val="none"/>
        </w:rPr>
        <w:t>上牌的车辆（须</w:t>
      </w:r>
      <w:r>
        <w:rPr>
          <w:rFonts w:hint="eastAsia" w:cs="仿宋"/>
          <w:b w:val="0"/>
          <w:bCs/>
          <w:color w:val="auto"/>
          <w:kern w:val="0"/>
          <w:sz w:val="24"/>
          <w:szCs w:val="24"/>
          <w:highlight w:val="none"/>
          <w:lang w:val="en-US" w:eastAsia="zh-CN"/>
        </w:rPr>
        <w:t>为自有车辆或租赁车辆</w:t>
      </w:r>
      <w:r>
        <w:rPr>
          <w:rFonts w:hint="eastAsia" w:ascii="仿宋" w:hAnsi="仿宋" w:eastAsia="仿宋" w:cs="仿宋"/>
          <w:b w:val="0"/>
          <w:bCs/>
          <w:color w:val="auto"/>
          <w:kern w:val="0"/>
          <w:sz w:val="24"/>
          <w:szCs w:val="24"/>
          <w:highlight w:val="none"/>
        </w:rPr>
        <w:t>），</w:t>
      </w:r>
      <w:r>
        <w:rPr>
          <w:rFonts w:hint="eastAsia"/>
        </w:rPr>
        <w:t>投标文件中</w:t>
      </w:r>
      <w:r>
        <w:rPr>
          <w:rFonts w:hint="eastAsia" w:ascii="仿宋" w:hAnsi="仿宋" w:eastAsia="仿宋" w:cs="仿宋"/>
          <w:b w:val="0"/>
          <w:bCs/>
          <w:color w:val="auto"/>
          <w:kern w:val="0"/>
          <w:sz w:val="24"/>
          <w:szCs w:val="24"/>
          <w:highlight w:val="none"/>
        </w:rPr>
        <w:t>须提供上述车辆的照片、上述车辆的机动车登记证、行驶证和发票</w:t>
      </w:r>
      <w:r>
        <w:rPr>
          <w:rFonts w:hint="eastAsia"/>
        </w:rPr>
        <w:t>或租赁证明</w:t>
      </w:r>
      <w:r>
        <w:rPr>
          <w:rFonts w:hint="eastAsia" w:ascii="仿宋" w:hAnsi="仿宋" w:eastAsia="仿宋" w:cs="仿宋"/>
          <w:b w:val="0"/>
          <w:bCs/>
          <w:color w:val="auto"/>
          <w:kern w:val="0"/>
          <w:sz w:val="24"/>
          <w:szCs w:val="24"/>
          <w:highlight w:val="none"/>
        </w:rPr>
        <w:t>的扫描件。</w:t>
      </w:r>
    </w:p>
    <w:p>
      <w:pPr>
        <w:spacing w:line="50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由社区组织物业与中标人进行签约，中标人需落实人员和车辆，将小区内的大件垃圾运输至区内正规处置单位，并按要求上传数据，不享受上级相关补贴，费用包含在投标报价中，由投标单位自行考虑，同时要求完成年度考核任务，已签约小区内大件垃圾不得出现堆积。</w:t>
      </w:r>
    </w:p>
    <w:p>
      <w:pPr>
        <w:spacing w:line="50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val="0"/>
          <w:bCs/>
          <w:color w:val="auto"/>
          <w:sz w:val="24"/>
          <w:szCs w:val="24"/>
          <w:highlight w:val="none"/>
        </w:rPr>
        <w:t>B有害、低价值（玻璃）清运。</w:t>
      </w:r>
    </w:p>
    <w:p>
      <w:pPr>
        <w:pStyle w:val="7"/>
        <w:numPr>
          <w:ilvl w:val="3"/>
          <w:numId w:val="0"/>
        </w:numPr>
        <w:spacing w:before="0" w:after="0" w:line="500" w:lineRule="exact"/>
        <w:ind w:firstLine="500" w:firstLineChars="200"/>
        <w:rPr>
          <w:rFonts w:ascii="仿宋" w:hAnsi="仿宋" w:eastAsia="仿宋" w:cs="仿宋"/>
          <w:b w:val="0"/>
          <w:bCs w:val="0"/>
          <w:color w:val="auto"/>
          <w:highlight w:val="none"/>
          <w:lang w:val="en-US"/>
        </w:rPr>
      </w:pPr>
      <w:r>
        <w:rPr>
          <w:rFonts w:hint="eastAsia" w:ascii="仿宋" w:hAnsi="仿宋" w:eastAsia="仿宋" w:cs="仿宋"/>
          <w:b w:val="0"/>
          <w:bCs w:val="0"/>
          <w:color w:val="auto"/>
          <w:highlight w:val="none"/>
          <w:lang w:val="en-US"/>
        </w:rPr>
        <w:t>定期收集低价值可回收物和有害垃圾，并按规定要求交由正规处置单位进行处置，本项目中包含此类垃圾的收集处置费用。</w:t>
      </w:r>
    </w:p>
    <w:p>
      <w:pPr>
        <w:snapToGrid w:val="0"/>
        <w:spacing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C沿街商铺收运。服</w:t>
      </w:r>
      <w:r>
        <w:rPr>
          <w:rFonts w:hint="eastAsia" w:ascii="仿宋" w:hAnsi="仿宋" w:eastAsia="仿宋" w:cs="仿宋"/>
          <w:color w:val="auto"/>
          <w:sz w:val="24"/>
          <w:szCs w:val="24"/>
          <w:highlight w:val="none"/>
        </w:rPr>
        <w:t>务期限内如有沿街商铺需要收运，投标人需按采购人要求及时推进收运工作，费用参照居民户按实结算或按上级有关规定执行，最终由采购人决定。</w:t>
      </w:r>
    </w:p>
    <w:p>
      <w:pPr>
        <w:pStyle w:val="33"/>
        <w:numPr>
          <w:ilvl w:val="0"/>
          <w:numId w:val="6"/>
        </w:numPr>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宣传要求</w:t>
      </w:r>
    </w:p>
    <w:p>
      <w:pPr>
        <w:spacing w:line="50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日常宣传牌子等制作。在小区明显位置设置分类指示牌，并按要求公示定时定点投放点位、“一长五员制”、再生资源回收站点、大件（特殊）垃圾等相关信息；分类指示牌无破损、脏污或遮挡。小区垃圾集置点、再生资源回收站点和大件（特殊）垃圾投放点标志标牌设置规范（包括再生资源网点配置价目公示牌，人员信息公示牌等）各单元口做好“一图一表”公示牌并按时更新。</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智能分类投放站点设置宣传牌，小区居民集中区域的活动广场、主要出口、灯柱公益广告、社区（物业）宣传栏、电梯内、楼道上张贴垃圾分类的宣传横幅、海报、公益广告、公益视频等，宣传垃圾分类理念，培养垃圾分类行为习惯。相关标志标识符合最新规范。</w:t>
      </w:r>
    </w:p>
    <w:p>
      <w:pPr>
        <w:pStyle w:val="7"/>
        <w:numPr>
          <w:ilvl w:val="3"/>
          <w:numId w:val="0"/>
        </w:numPr>
        <w:spacing w:before="0" w:after="0" w:line="500" w:lineRule="exact"/>
        <w:ind w:firstLine="500" w:firstLineChars="200"/>
        <w:rPr>
          <w:rFonts w:ascii="仿宋" w:hAnsi="仿宋" w:eastAsia="仿宋" w:cs="仿宋"/>
          <w:b w:val="0"/>
          <w:bCs w:val="0"/>
          <w:color w:val="auto"/>
          <w:highlight w:val="none"/>
          <w:lang w:val="en-US"/>
        </w:rPr>
      </w:pPr>
      <w:r>
        <w:rPr>
          <w:rFonts w:hint="eastAsia" w:ascii="仿宋" w:hAnsi="仿宋" w:eastAsia="仿宋" w:cs="仿宋"/>
          <w:b w:val="0"/>
          <w:bCs w:val="0"/>
          <w:color w:val="auto"/>
          <w:highlight w:val="none"/>
          <w:lang w:val="en-US"/>
        </w:rPr>
        <w:t>B月度媒体宣传任务。需根据萧山区分类办的相关要求，做好指定媒体的宣传报道工作（具体以每年度萧山区对镇街、平台相关考核要求为准），每月完成国家、省、市、</w:t>
      </w:r>
      <w:r>
        <w:rPr>
          <w:rFonts w:hint="eastAsia" w:cs="仿宋"/>
          <w:b w:val="0"/>
          <w:bCs w:val="0"/>
          <w:color w:val="auto"/>
          <w:highlight w:val="none"/>
          <w:lang w:val="en-US" w:eastAsia="zh-CN"/>
        </w:rPr>
        <w:t>区</w:t>
      </w:r>
      <w:r>
        <w:rPr>
          <w:rFonts w:hint="eastAsia" w:ascii="仿宋" w:hAnsi="仿宋" w:eastAsia="仿宋" w:cs="仿宋"/>
          <w:b w:val="0"/>
          <w:bCs w:val="0"/>
          <w:color w:val="auto"/>
          <w:highlight w:val="none"/>
          <w:lang w:val="en-US"/>
        </w:rPr>
        <w:t>等宣传媒体上的刊登，同时落实开展每月的各类垃圾分类宣传活动。</w:t>
      </w:r>
    </w:p>
    <w:p>
      <w:pPr>
        <w:numPr>
          <w:ilvl w:val="0"/>
          <w:numId w:val="6"/>
        </w:num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积分兑换要求。每月至少开展一次积分兑换，统一接入区积分账户进行兑换（由萧山区生活垃圾分类智能监管平台（城市大脑）确定进度），可兑换物品种类不少于10种</w:t>
      </w:r>
      <w:r>
        <w:rPr>
          <w:rFonts w:hint="eastAsia" w:cs="仿宋"/>
          <w:color w:val="auto"/>
          <w:sz w:val="24"/>
          <w:szCs w:val="24"/>
          <w:highlight w:val="none"/>
          <w:lang w:eastAsia="zh-CN"/>
        </w:rPr>
        <w:t>，后期若街道、社区有统一安排，需无条件服从。</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升级改造等要求。后期根据分类模式、分类工作要求存在调整可能性，如省、市、区垃圾分类办或城管部门要求进行模式调整，在服务期间中标人需无条件按照采购人要求及时进行模式调整，新增或更换相应设施设备产生的费用需由中标人承担，采购人不再另行支付，同时中标人还需负责小区各点位的日常维护、修缮、改造等工作，费用均包含在中标价内。同时，为垃圾分类检查工作需要，中标人还需要无偿提供给采购人一辆用于垃圾分类日常检查的四轮汽车，车辆要求以签订合同时为准。</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5、自动退出约定。服务期间如有小区推进物业主导实施垃圾分类的，则该小区第三方服务自动终止，不视为采购人违约，同时中标人须配合完成相关对接工作。</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（五）商务需求</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1、按时交接要求</w:t>
      </w:r>
    </w:p>
    <w:p>
      <w:pPr>
        <w:pStyle w:val="1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由于本项目时间延续不可中断的特殊性，以及所服务小区的体量较大，投标人须提供承诺书</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lang w:eastAsia="zh-CN"/>
        </w:rPr>
        <w:t>附件承诺书</w:t>
      </w:r>
      <w:r>
        <w:rPr>
          <w:rFonts w:hint="eastAsia" w:cs="仿宋"/>
          <w:color w:val="auto"/>
          <w:sz w:val="24"/>
          <w:szCs w:val="24"/>
          <w:highlight w:val="none"/>
          <w:lang w:eastAsia="zh-CN"/>
        </w:rPr>
        <w:t>一</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rPr>
        <w:t>，承诺中标后能立即安排人员，与原单位无缝交接工作，并在合同签订后一个月内与原服务单位完成本项目所需的设施设备、车辆等的资产购买或资产重新配置，以及完成居民数据帐户的建立，同时接入采购人所在地的区级平台，无法在上述规定期限内完成各项服务内容的，则项目合同自动解除，并且对采购人造成的损失由中标人承担。（投标单位必须提供承诺书）</w:t>
      </w:r>
    </w:p>
    <w:p>
      <w:pPr>
        <w:pStyle w:val="18"/>
        <w:spacing w:line="5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b/>
          <w:color w:val="auto"/>
          <w:sz w:val="24"/>
          <w:szCs w:val="24"/>
          <w:highlight w:val="none"/>
        </w:rPr>
        <w:t>合同的签订、履行及违约</w:t>
      </w:r>
    </w:p>
    <w:p>
      <w:pPr>
        <w:spacing w:line="500" w:lineRule="exact"/>
        <w:ind w:firstLine="480" w:firstLineChars="200"/>
        <w:rPr>
          <w:rFonts w:ascii="仿宋" w:hAnsi="仿宋" w:eastAsia="仿宋" w:cs="仿宋"/>
          <w:strike/>
          <w:color w:val="auto"/>
          <w:sz w:val="24"/>
          <w:szCs w:val="24"/>
          <w:highlight w:val="none"/>
          <w:u w:val="single"/>
        </w:rPr>
      </w:pPr>
      <w:r>
        <w:rPr>
          <w:rFonts w:hint="eastAsia" w:ascii="仿宋" w:hAnsi="仿宋" w:eastAsia="仿宋" w:cs="仿宋"/>
          <w:color w:val="auto"/>
          <w:sz w:val="24"/>
          <w:szCs w:val="24"/>
          <w:highlight w:val="none"/>
        </w:rPr>
        <w:t>（1）合同签订：中标人按规定的日期、时间、地点，由法定代表人或授权委托人签订合同。本次招标服务期限为</w:t>
      </w:r>
      <w:r>
        <w:rPr>
          <w:rFonts w:hint="eastAsia" w:ascii="仿宋" w:hAnsi="仿宋" w:eastAsia="仿宋" w:cs="仿宋"/>
          <w:b w:val="0"/>
          <w:bCs w:val="0"/>
          <w:color w:val="auto"/>
          <w:sz w:val="24"/>
          <w:szCs w:val="24"/>
          <w:highlight w:val="none"/>
        </w:rPr>
        <w:t>1年</w:t>
      </w:r>
      <w:r>
        <w:rPr>
          <w:rFonts w:hint="eastAsia" w:ascii="仿宋" w:hAnsi="仿宋" w:eastAsia="仿宋" w:cs="仿宋"/>
          <w:color w:val="auto"/>
          <w:sz w:val="24"/>
          <w:szCs w:val="24"/>
          <w:highlight w:val="none"/>
        </w:rPr>
        <w:t>（具体起始时间在合同中约定）。</w:t>
      </w:r>
    </w:p>
    <w:p>
      <w:pPr>
        <w:pStyle w:val="16"/>
        <w:spacing w:line="5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rPr>
        <w:t>（2）合同履行：中标人需在合同签订后15日内，向采购人支付合同价款的1%作为履约保证金，以</w:t>
      </w:r>
      <w:r>
        <w:rPr>
          <w:rFonts w:hint="eastAsia" w:ascii="仿宋" w:hAnsi="仿宋" w:eastAsia="仿宋" w:cs="仿宋"/>
          <w:color w:val="auto"/>
          <w:kern w:val="0"/>
          <w:sz w:val="24"/>
          <w:szCs w:val="24"/>
          <w:highlight w:val="none"/>
        </w:rPr>
        <w:t>支票、汇票、本票非现金形式提交。</w:t>
      </w:r>
    </w:p>
    <w:p>
      <w:pPr>
        <w:pStyle w:val="16"/>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en-US"/>
        </w:rPr>
        <w:t>（3）</w:t>
      </w:r>
      <w:r>
        <w:rPr>
          <w:rFonts w:hint="eastAsia" w:ascii="仿宋" w:hAnsi="仿宋" w:eastAsia="仿宋" w:cs="仿宋"/>
          <w:b/>
          <w:color w:val="auto"/>
          <w:sz w:val="24"/>
          <w:szCs w:val="24"/>
          <w:highlight w:val="none"/>
        </w:rPr>
        <w:t>项目实施计划：</w:t>
      </w:r>
      <w:r>
        <w:rPr>
          <w:rFonts w:hint="eastAsia" w:ascii="仿宋" w:hAnsi="仿宋" w:eastAsia="仿宋" w:cs="仿宋"/>
          <w:bCs/>
          <w:color w:val="auto"/>
          <w:sz w:val="24"/>
          <w:szCs w:val="24"/>
          <w:highlight w:val="none"/>
        </w:rPr>
        <w:t>中标单位签订合同</w:t>
      </w:r>
      <w:r>
        <w:rPr>
          <w:rFonts w:hint="eastAsia" w:ascii="仿宋" w:hAnsi="仿宋" w:cs="仿宋"/>
          <w:bCs/>
          <w:color w:val="auto"/>
          <w:sz w:val="24"/>
          <w:szCs w:val="24"/>
          <w:highlight w:val="none"/>
          <w:lang w:eastAsia="zh-CN"/>
        </w:rPr>
        <w:t>后</w:t>
      </w:r>
      <w:r>
        <w:rPr>
          <w:rFonts w:hint="eastAsia" w:ascii="仿宋" w:hAnsi="仿宋" w:eastAsia="仿宋" w:cs="仿宋"/>
          <w:bCs/>
          <w:color w:val="auto"/>
          <w:sz w:val="24"/>
          <w:szCs w:val="24"/>
          <w:highlight w:val="none"/>
        </w:rPr>
        <w:t>，实施生活垃圾源头分类服务。服务必须由</w:t>
      </w:r>
      <w:r>
        <w:rPr>
          <w:rFonts w:hint="eastAsia" w:ascii="仿宋" w:hAnsi="仿宋" w:eastAsia="仿宋" w:cs="仿宋"/>
          <w:bCs/>
          <w:color w:val="auto"/>
          <w:sz w:val="24"/>
          <w:szCs w:val="24"/>
          <w:highlight w:val="none"/>
          <w:lang w:val="en-US" w:eastAsia="zh-Hans"/>
        </w:rPr>
        <w:t>中标</w:t>
      </w:r>
      <w:r>
        <w:rPr>
          <w:rFonts w:hint="eastAsia" w:ascii="仿宋" w:hAnsi="仿宋" w:eastAsia="仿宋" w:cs="仿宋"/>
          <w:bCs/>
          <w:color w:val="auto"/>
          <w:sz w:val="24"/>
          <w:szCs w:val="24"/>
          <w:highlight w:val="none"/>
        </w:rPr>
        <w:t>单位自行完成，</w:t>
      </w:r>
      <w:r>
        <w:rPr>
          <w:rFonts w:hint="eastAsia" w:ascii="仿宋" w:hAnsi="仿宋" w:eastAsia="仿宋" w:cs="仿宋"/>
          <w:bCs/>
          <w:color w:val="auto"/>
          <w:sz w:val="24"/>
          <w:szCs w:val="24"/>
          <w:highlight w:val="none"/>
          <w:lang w:val="en-US" w:eastAsia="zh-Hans"/>
        </w:rPr>
        <w:t>中标</w:t>
      </w:r>
      <w:r>
        <w:rPr>
          <w:rFonts w:hint="eastAsia" w:ascii="仿宋" w:hAnsi="仿宋" w:eastAsia="仿宋" w:cs="仿宋"/>
          <w:bCs/>
          <w:color w:val="auto"/>
          <w:sz w:val="24"/>
          <w:szCs w:val="24"/>
          <w:highlight w:val="none"/>
        </w:rPr>
        <w:t>单位不得将项目转包、分包给第三方，或以劳务派遣方式分包给第三方。</w:t>
      </w:r>
    </w:p>
    <w:p>
      <w:pPr>
        <w:snapToGrid w:val="0"/>
        <w:spacing w:line="50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3、付款方式</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按</w:t>
      </w:r>
      <w:r>
        <w:rPr>
          <w:rFonts w:hint="eastAsia" w:cs="仿宋"/>
          <w:b w:val="0"/>
          <w:bCs/>
          <w:color w:val="auto"/>
          <w:kern w:val="0"/>
          <w:sz w:val="24"/>
          <w:szCs w:val="24"/>
          <w:highlight w:val="none"/>
          <w:lang w:val="en-US" w:eastAsia="zh-CN"/>
        </w:rPr>
        <w:t>中标单价以及中标单位的</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按实结算。服务期内有新增小区的，按</w:t>
      </w:r>
      <w:r>
        <w:rPr>
          <w:rFonts w:hint="eastAsia" w:cs="仿宋"/>
          <w:b w:val="0"/>
          <w:bCs/>
          <w:color w:val="auto"/>
          <w:kern w:val="0"/>
          <w:sz w:val="24"/>
          <w:szCs w:val="24"/>
          <w:highlight w:val="none"/>
          <w:lang w:val="en-US" w:eastAsia="zh-CN"/>
        </w:rPr>
        <w:t>中标价以及</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进行</w:t>
      </w:r>
      <w:r>
        <w:rPr>
          <w:rFonts w:hint="eastAsia" w:cs="仿宋"/>
          <w:b w:val="0"/>
          <w:bCs/>
          <w:color w:val="auto"/>
          <w:kern w:val="0"/>
          <w:sz w:val="24"/>
          <w:szCs w:val="24"/>
          <w:highlight w:val="none"/>
          <w:lang w:val="en-US" w:eastAsia="zh-CN"/>
        </w:rPr>
        <w:t>结算，</w:t>
      </w:r>
      <w:r>
        <w:rPr>
          <w:rFonts w:hint="eastAsia" w:cs="仿宋"/>
          <w:color w:val="auto"/>
          <w:sz w:val="24"/>
          <w:szCs w:val="24"/>
          <w:highlight w:val="none"/>
          <w:lang w:eastAsia="zh-CN"/>
        </w:rPr>
        <w:t>每季度结算一次</w:t>
      </w:r>
      <w:r>
        <w:rPr>
          <w:rFonts w:hint="eastAsia" w:ascii="仿宋" w:hAnsi="仿宋" w:eastAsia="仿宋" w:cs="仿宋"/>
          <w:b w:val="0"/>
          <w:bCs/>
          <w:color w:val="auto"/>
          <w:kern w:val="0"/>
          <w:sz w:val="24"/>
          <w:szCs w:val="24"/>
          <w:highlight w:val="none"/>
          <w:lang w:val="en-US" w:eastAsia="zh-CN"/>
        </w:rPr>
        <w:t>。（具体以实际合同签订为准）</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shd w:val="clear" w:color="auto" w:fill="auto"/>
          <w:lang w:val="en-US" w:eastAsia="zh-CN"/>
        </w:rPr>
        <w:t>最终结算价按照每户服务投标单价*实际服务户数以及结合实际天数按实结算。</w:t>
      </w:r>
    </w:p>
    <w:p>
      <w:pPr>
        <w:pStyle w:val="33"/>
        <w:numPr>
          <w:ilvl w:val="0"/>
          <w:numId w:val="1"/>
        </w:numPr>
        <w:adjustRightInd w:val="0"/>
        <w:spacing w:line="500" w:lineRule="exact"/>
        <w:ind w:firstLine="480"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考核方式</w:t>
      </w:r>
    </w:p>
    <w:p>
      <w:pPr>
        <w:widowControl/>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月由村社（60%权重）、街道（40%权重）对中标单位进行考核，村社、街道考核得分合计大于等于90分的全额支付服务费；考核得分在85(含）-90（不含）分的，支付服务费的95%；考核得分在80（含）-85（不含）分的，支付服务费的90%；考核得分在75（含）-80（不含）分的，支付服务费的85%；考核得分在70（含）-75（不含）分的，支付服务费的80%；考核得分≤70分的，支付服务费的（得分数值）%；考核得分＜60分，为考核不合格，支付服务费的50%。</w:t>
      </w:r>
    </w:p>
    <w:p>
      <w:pPr>
        <w:widowControl/>
        <w:spacing w:line="500" w:lineRule="exact"/>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2.在市(包括市级及以上)、区、街道专项检查中或被媒体曝光通报批评的，由街道分管领导签发通告，每次通告扣款5万元，合同期内累计通告达5次的，</w:t>
      </w:r>
      <w:r>
        <w:rPr>
          <w:rFonts w:hint="eastAsia" w:ascii="仿宋" w:hAnsi="仿宋" w:eastAsia="仿宋" w:cs="宋体"/>
          <w:color w:val="auto"/>
          <w:sz w:val="24"/>
          <w:szCs w:val="24"/>
          <w:highlight w:val="none"/>
          <w:lang w:val="en-US" w:eastAsia="zh-Hans"/>
        </w:rPr>
        <w:t>采购人</w:t>
      </w:r>
      <w:r>
        <w:rPr>
          <w:rFonts w:hint="eastAsia" w:ascii="仿宋" w:hAnsi="仿宋" w:eastAsia="仿宋" w:cs="宋体"/>
          <w:color w:val="auto"/>
          <w:sz w:val="24"/>
          <w:szCs w:val="24"/>
          <w:highlight w:val="none"/>
        </w:rPr>
        <w:t>有权终止合同</w:t>
      </w:r>
      <w:r>
        <w:rPr>
          <w:rFonts w:hint="default" w:ascii="仿宋" w:hAnsi="仿宋" w:eastAsia="仿宋" w:cs="宋体"/>
          <w:color w:val="auto"/>
          <w:sz w:val="24"/>
          <w:szCs w:val="24"/>
          <w:highlight w:val="none"/>
        </w:rPr>
        <w:t>，并且对采购人造成的损失由中标人承担。</w:t>
      </w:r>
    </w:p>
    <w:p>
      <w:pPr>
        <w:widowControl/>
        <w:jc w:val="center"/>
        <w:textAlignment w:val="center"/>
        <w:rPr>
          <w:rFonts w:hint="eastAsia" w:ascii="仿宋" w:hAnsi="仿宋" w:eastAsia="仿宋" w:cs="仿宋"/>
          <w:color w:val="auto"/>
          <w:sz w:val="24"/>
          <w:highlight w:val="none"/>
        </w:rPr>
      </w:pPr>
    </w:p>
    <w:p>
      <w:pPr>
        <w:widowControl/>
        <w:jc w:val="left"/>
        <w:textAlignment w:val="auto"/>
        <w:rPr>
          <w:rFonts w:hint="eastAsia" w:ascii="仿宋" w:hAnsi="仿宋" w:eastAsia="仿宋" w:cs="仿宋"/>
          <w:color w:val="auto"/>
          <w:sz w:val="24"/>
          <w:highlight w:val="none"/>
        </w:rPr>
      </w:pP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生活垃圾分类第三方考核评分表</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（按合同第</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rPr>
        <w:t>度）</w:t>
      </w:r>
    </w:p>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社区小区/名称：                           考核时间：   年   月   日</w:t>
      </w:r>
    </w:p>
    <w:tbl>
      <w:tblPr>
        <w:tblStyle w:val="26"/>
        <w:tblpPr w:leftFromText="180" w:rightFromText="180" w:vertAnchor="text" w:horzAnchor="page" w:tblpX="1615" w:tblpY="289"/>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407"/>
        <w:gridCol w:w="608"/>
        <w:gridCol w:w="2531"/>
        <w:gridCol w:w="94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3"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考核项目</w:t>
            </w:r>
          </w:p>
        </w:tc>
        <w:tc>
          <w:tcPr>
            <w:tcW w:w="3407"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考核内容</w:t>
            </w:r>
          </w:p>
        </w:tc>
        <w:tc>
          <w:tcPr>
            <w:tcW w:w="608"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分值</w:t>
            </w:r>
          </w:p>
        </w:tc>
        <w:tc>
          <w:tcPr>
            <w:tcW w:w="2531"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评分标准</w:t>
            </w:r>
          </w:p>
        </w:tc>
        <w:tc>
          <w:tcPr>
            <w:tcW w:w="947" w:type="dxa"/>
            <w:vAlign w:val="center"/>
          </w:tcPr>
          <w:p>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社区评分</w:t>
            </w:r>
          </w:p>
        </w:tc>
        <w:tc>
          <w:tcPr>
            <w:tcW w:w="931" w:type="dxa"/>
            <w:vAlign w:val="center"/>
          </w:tcPr>
          <w:p>
            <w:pPr>
              <w:widowControl/>
              <w:jc w:val="center"/>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街道评分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restart"/>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设施设备(20分)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1、智能设备：</w:t>
            </w:r>
            <w:r>
              <w:rPr>
                <w:rFonts w:hint="eastAsia" w:ascii="仿宋" w:hAnsi="仿宋" w:eastAsia="仿宋" w:cs="仿宋"/>
                <w:color w:val="auto"/>
                <w:sz w:val="24"/>
                <w:highlight w:val="none"/>
                <w:lang w:val="zh-TW"/>
              </w:rPr>
              <w:t>根据招标文件要求配置自动发放机和</w:t>
            </w:r>
            <w:r>
              <w:rPr>
                <w:rFonts w:hint="eastAsia" w:ascii="仿宋" w:hAnsi="仿宋" w:eastAsia="仿宋" w:cs="仿宋"/>
                <w:color w:val="auto"/>
                <w:sz w:val="24"/>
                <w:highlight w:val="none"/>
              </w:rPr>
              <w:t>封装电子秤</w:t>
            </w:r>
            <w:r>
              <w:rPr>
                <w:rFonts w:hint="eastAsia" w:ascii="仿宋" w:hAnsi="仿宋" w:eastAsia="仿宋" w:cs="仿宋"/>
                <w:color w:val="auto"/>
                <w:sz w:val="24"/>
                <w:highlight w:val="none"/>
                <w:lang w:val="zh-TW"/>
              </w:rPr>
              <w:t>。</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未按招标文件配置到位、或无法正常运行，或未能按区要求接入系统等，未到位一处直接扣5分，扣完为止。</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2、易腐垃圾袋发放，四分类垃圾桶配置到位、入户垃圾桶发放到位。</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逾期发放或未发放到位，发现每处、次均扣5分，扣完为止。</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3、再生资源网点宣传标识及相关设备，并按要求开展好。</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按区要求配置，未到位一处扣1分。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4、智能设备：</w:t>
            </w:r>
            <w:r>
              <w:rPr>
                <w:rFonts w:hint="eastAsia" w:ascii="仿宋" w:hAnsi="仿宋" w:eastAsia="仿宋" w:cs="仿宋"/>
                <w:color w:val="auto"/>
                <w:sz w:val="24"/>
                <w:highlight w:val="none"/>
                <w:lang w:val="zh-TW" w:eastAsia="zh-TW"/>
              </w:rPr>
              <w:t>向居民派发智能卡</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eastAsia="zh-TW"/>
              </w:rPr>
              <w:t>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TW" w:eastAsia="zh-TW"/>
              </w:rPr>
              <w:t>每户。</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逾期提供、发放不到位，每次均扣1分。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5、其他设施设备：根据工作推进要求，配备相关职责范围内的设施设备。服务小区内无杂色桶，标识正确。四分类垃圾桶干净整洁、无破损。需在规范设置右排污设施的地方清洗</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531" w:type="dxa"/>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逾期提供、数量不到、质量不达的，每次均扣1分。发现杂色桶，标识错误每次扣1分。垃圾桶桶身脏破发现一只扣1分，未在规范点清洗扣4分。</w:t>
            </w:r>
          </w:p>
        </w:tc>
        <w:tc>
          <w:tcPr>
            <w:tcW w:w="947" w:type="dxa"/>
            <w:vAlign w:val="center"/>
          </w:tcPr>
          <w:p>
            <w:pPr>
              <w:widowControl/>
              <w:textAlignment w:val="center"/>
              <w:rPr>
                <w:rFonts w:ascii="仿宋" w:hAnsi="仿宋" w:eastAsia="仿宋" w:cs="仿宋"/>
                <w:color w:val="auto"/>
                <w:sz w:val="24"/>
                <w:highlight w:val="none"/>
              </w:rPr>
            </w:pPr>
          </w:p>
        </w:tc>
        <w:tc>
          <w:tcPr>
            <w:tcW w:w="931" w:type="dxa"/>
            <w:vAlign w:val="center"/>
          </w:tcPr>
          <w:p>
            <w:pPr>
              <w:widowControl/>
              <w:textAlignment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人员配置（</w:t>
            </w: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1、每个社区配置一名垃圾分类区块负责人（不能跨社区兼任，不能兼任巡检员、宣传员等）</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少一人</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zh-TW"/>
              </w:rPr>
              <w:t>，每人次扣</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2、每个小区每个定时定点投放点（含误时投放点）配一名分类专员，同时做好生活垃圾的四分类，保持周边干净整洁</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10</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少一人次，每人次扣</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分；周边环境不洁的，每次扣</w:t>
            </w:r>
            <w:r>
              <w:rPr>
                <w:rFonts w:hint="eastAsia" w:ascii="仿宋" w:hAnsi="仿宋" w:eastAsia="仿宋" w:cs="仿宋"/>
                <w:color w:val="auto"/>
                <w:sz w:val="24"/>
                <w:highlight w:val="none"/>
              </w:rPr>
              <w:t>2分。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3、每个再生资源网点需配备1名专人，按萧山区生活垃圾分类办最新标准要求做好值守。</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少一人</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zh-TW"/>
              </w:rPr>
              <w:t>，每人次扣</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4、人员预案：有明确的人员流动预案、节假日人员替代预案、大型活动人员配置预案，并提前报备。</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预案少1个，扣1分、不及时报送的，每次扣1分。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5、小区安排</w:t>
            </w:r>
            <w:r>
              <w:rPr>
                <w:rFonts w:hint="eastAsia" w:ascii="仿宋" w:hAnsi="仿宋" w:eastAsia="仿宋" w:cs="仿宋"/>
                <w:color w:val="auto"/>
                <w:sz w:val="24"/>
                <w:szCs w:val="24"/>
                <w:highlight w:val="none"/>
                <w:lang w:val="zh-TW"/>
              </w:rPr>
              <w:t>垃圾清运、清洗人员，并按要求开展工作。</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未及时到岗到位的，扣</w:t>
            </w:r>
            <w:r>
              <w:rPr>
                <w:rFonts w:hint="eastAsia" w:ascii="仿宋" w:hAnsi="仿宋" w:eastAsia="仿宋" w:cs="仿宋"/>
                <w:color w:val="auto"/>
                <w:sz w:val="24"/>
                <w:highlight w:val="none"/>
              </w:rPr>
              <w:t>5分；工作不到位的，扣3分。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6、小区内</w:t>
            </w:r>
            <w:r>
              <w:rPr>
                <w:rFonts w:hint="eastAsia" w:ascii="仿宋" w:hAnsi="仿宋" w:eastAsia="仿宋" w:cs="仿宋"/>
                <w:color w:val="auto"/>
                <w:sz w:val="24"/>
                <w:szCs w:val="24"/>
                <w:highlight w:val="none"/>
              </w:rPr>
              <w:t>每天安排巡检人员，对垃圾包等问题进行检查督查。</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未按要求落实的，视情况扣分，最高扣</w:t>
            </w:r>
            <w:r>
              <w:rPr>
                <w:rFonts w:hint="eastAsia" w:ascii="仿宋" w:hAnsi="仿宋" w:eastAsia="仿宋" w:cs="仿宋"/>
                <w:color w:val="auto"/>
                <w:sz w:val="24"/>
                <w:highlight w:val="none"/>
              </w:rPr>
              <w:t>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培训宣传等活动（</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1、对垃圾分类工作人员开展前期入职培训。</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不开展的，扣2分。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w:t>
            </w:r>
            <w:r>
              <w:rPr>
                <w:rFonts w:hint="eastAsia" w:ascii="仿宋" w:hAnsi="仿宋" w:eastAsia="仿宋" w:cs="仿宋"/>
                <w:color w:val="auto"/>
                <w:sz w:val="24"/>
                <w:highlight w:val="none"/>
              </w:rPr>
              <w:t>每月初梳理小区内居民垃圾分类开展情况，理出分类参与次数较少、易腐垃圾日均量较差的、垃圾包乱扔的，每月对其开展登门培训回访1次，并对每户居民入户派发垃圾分类宣传资料。</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未到位。发现一处扣5分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w:t>
            </w:r>
            <w:r>
              <w:rPr>
                <w:rFonts w:hint="eastAsia" w:ascii="仿宋" w:hAnsi="仿宋" w:eastAsia="仿宋" w:cs="仿宋"/>
                <w:color w:val="auto"/>
                <w:sz w:val="24"/>
                <w:highlight w:val="none"/>
                <w:lang w:val="zh-TW" w:eastAsia="zh-TW"/>
              </w:rPr>
              <w:t>对服务的</w:t>
            </w:r>
            <w:r>
              <w:rPr>
                <w:rFonts w:hint="eastAsia" w:ascii="仿宋" w:hAnsi="仿宋" w:eastAsia="仿宋" w:cs="仿宋"/>
                <w:color w:val="auto"/>
                <w:sz w:val="24"/>
                <w:highlight w:val="none"/>
                <w:lang w:val="zh-TW"/>
              </w:rPr>
              <w:t>小区</w:t>
            </w:r>
            <w:r>
              <w:rPr>
                <w:rFonts w:hint="eastAsia" w:ascii="仿宋" w:hAnsi="仿宋" w:eastAsia="仿宋" w:cs="仿宋"/>
                <w:color w:val="auto"/>
                <w:sz w:val="24"/>
                <w:highlight w:val="none"/>
                <w:lang w:val="zh-TW" w:eastAsia="zh-TW"/>
              </w:rPr>
              <w:t>、物业</w:t>
            </w:r>
            <w:r>
              <w:rPr>
                <w:rFonts w:hint="eastAsia" w:ascii="仿宋" w:hAnsi="仿宋" w:eastAsia="仿宋" w:cs="仿宋"/>
                <w:color w:val="auto"/>
                <w:sz w:val="24"/>
                <w:highlight w:val="none"/>
                <w:lang w:val="zh-TW"/>
              </w:rPr>
              <w:t>开展垃圾分类</w:t>
            </w:r>
            <w:r>
              <w:rPr>
                <w:rFonts w:hint="eastAsia" w:ascii="仿宋" w:hAnsi="仿宋" w:eastAsia="仿宋" w:cs="仿宋"/>
                <w:color w:val="auto"/>
                <w:sz w:val="24"/>
                <w:highlight w:val="none"/>
                <w:lang w:val="zh-TW" w:eastAsia="zh-TW"/>
              </w:rPr>
              <w:t>管理单位培训不少于</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TW" w:eastAsia="zh-TW"/>
              </w:rPr>
              <w:t>次。</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rPr>
              <w:t>每季度</w:t>
            </w:r>
            <w:r>
              <w:rPr>
                <w:rFonts w:hint="eastAsia" w:ascii="仿宋" w:hAnsi="仿宋" w:eastAsia="仿宋" w:cs="仿宋"/>
                <w:color w:val="auto"/>
                <w:sz w:val="24"/>
                <w:highlight w:val="none"/>
                <w:lang w:val="zh-TW"/>
              </w:rPr>
              <w:t>至少</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次）</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少1次，扣1分。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eastAsia="zh-TW"/>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lang w:val="zh-TW" w:eastAsia="zh-TW"/>
              </w:rPr>
              <w:t>小区明显位置设置</w:t>
            </w:r>
            <w:r>
              <w:rPr>
                <w:rFonts w:hint="eastAsia" w:ascii="仿宋" w:hAnsi="仿宋" w:eastAsia="仿宋" w:cs="仿宋"/>
                <w:color w:val="auto"/>
                <w:sz w:val="24"/>
                <w:highlight w:val="none"/>
              </w:rPr>
              <w:t>信息公示牌</w:t>
            </w:r>
            <w:r>
              <w:rPr>
                <w:rFonts w:hint="eastAsia" w:ascii="仿宋" w:hAnsi="仿宋" w:eastAsia="仿宋" w:cs="仿宋"/>
                <w:color w:val="auto"/>
                <w:sz w:val="24"/>
                <w:highlight w:val="none"/>
                <w:lang w:val="zh-TW" w:eastAsia="zh-TW"/>
              </w:rPr>
              <w:t>牌，</w:t>
            </w:r>
            <w:r>
              <w:rPr>
                <w:rFonts w:hint="eastAsia" w:ascii="仿宋" w:hAnsi="仿宋" w:eastAsia="仿宋" w:cs="仿宋"/>
                <w:color w:val="auto"/>
                <w:sz w:val="24"/>
                <w:highlight w:val="none"/>
                <w:lang w:val="zh-TW"/>
              </w:rPr>
              <w:t>“一图一表”等</w:t>
            </w:r>
            <w:r>
              <w:rPr>
                <w:rFonts w:hint="eastAsia" w:ascii="仿宋" w:hAnsi="仿宋" w:eastAsia="仿宋" w:cs="仿宋"/>
                <w:color w:val="auto"/>
                <w:sz w:val="24"/>
                <w:highlight w:val="none"/>
              </w:rPr>
              <w:t>各点位</w:t>
            </w:r>
            <w:r>
              <w:rPr>
                <w:rFonts w:hint="eastAsia" w:ascii="仿宋" w:hAnsi="仿宋" w:eastAsia="仿宋" w:cs="仿宋"/>
                <w:color w:val="auto"/>
                <w:sz w:val="24"/>
                <w:highlight w:val="none"/>
                <w:lang w:val="zh-TW"/>
              </w:rPr>
              <w:t>公示牌</w:t>
            </w:r>
            <w:r>
              <w:rPr>
                <w:rFonts w:hint="eastAsia" w:ascii="仿宋" w:hAnsi="仿宋" w:eastAsia="仿宋" w:cs="仿宋"/>
                <w:color w:val="auto"/>
                <w:sz w:val="24"/>
                <w:highlight w:val="none"/>
              </w:rPr>
              <w:t>按要求设置及更新。</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各信息公示牌缺失扣4分；各信息公示牌未及时更新扣4分；各信息公示牌未按要求设置扣4分。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400" w:lineRule="atLeas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eastAsia="zh-TW"/>
              </w:rPr>
              <w:t>在</w:t>
            </w:r>
            <w:r>
              <w:rPr>
                <w:rFonts w:hint="eastAsia" w:ascii="仿宋" w:hAnsi="仿宋" w:eastAsia="仿宋" w:cs="仿宋"/>
                <w:color w:val="auto"/>
                <w:sz w:val="24"/>
                <w:highlight w:val="none"/>
                <w:lang w:val="zh-TW"/>
              </w:rPr>
              <w:t>小区主要宣传地带广泛张贴宣传</w:t>
            </w:r>
            <w:r>
              <w:rPr>
                <w:rFonts w:hint="eastAsia" w:ascii="仿宋" w:hAnsi="仿宋" w:eastAsia="仿宋" w:cs="仿宋"/>
                <w:color w:val="auto"/>
                <w:sz w:val="24"/>
                <w:highlight w:val="none"/>
                <w:lang w:val="zh-TW" w:eastAsia="zh-TW"/>
              </w:rPr>
              <w:t>标语，宣传垃圾分类理念，培养垃圾分类行为习惯。</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宣传氛围差，不开展的，根据情况扣</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6、每个小区每月不少于1场培训、一次大型宣传等活动</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根据活动效果，视情况得分，最高得5分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分类收集并处置（</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1、四分类垃圾：每日收集四分类垃圾，日产日清。</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5</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收运不及时、垃圾质量差的，</w:t>
            </w:r>
            <w:r>
              <w:rPr>
                <w:rFonts w:hint="eastAsia" w:ascii="仿宋" w:hAnsi="仿宋" w:eastAsia="仿宋" w:cs="仿宋"/>
                <w:color w:val="auto"/>
                <w:sz w:val="24"/>
                <w:highlight w:val="none"/>
              </w:rPr>
              <w:t>垃圾桶满溢严重的，</w:t>
            </w:r>
            <w:r>
              <w:rPr>
                <w:rFonts w:hint="eastAsia" w:ascii="仿宋" w:hAnsi="仿宋" w:eastAsia="仿宋" w:cs="仿宋"/>
                <w:color w:val="auto"/>
                <w:sz w:val="24"/>
                <w:highlight w:val="none"/>
                <w:lang w:val="zh-TW"/>
              </w:rPr>
              <w:t>每次扣1分。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2、可回收</w:t>
            </w:r>
            <w:r>
              <w:rPr>
                <w:rFonts w:hint="eastAsia" w:ascii="仿宋" w:hAnsi="仿宋" w:eastAsia="仿宋" w:cs="仿宋"/>
                <w:color w:val="auto"/>
                <w:sz w:val="24"/>
                <w:highlight w:val="none"/>
              </w:rPr>
              <w:t>物</w:t>
            </w:r>
            <w:r>
              <w:rPr>
                <w:rFonts w:hint="eastAsia" w:ascii="仿宋" w:hAnsi="仿宋" w:eastAsia="仿宋" w:cs="仿宋"/>
                <w:color w:val="auto"/>
                <w:sz w:val="24"/>
                <w:highlight w:val="none"/>
                <w:lang w:val="zh-TW"/>
              </w:rPr>
              <w:t>：对未建成再生资源网点的小区，每周组织不少于一次可回收物集中回收活动，将居民可回收物折算成积分并提供兑换服务。</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发现缺少一次的，每次扣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3、收集有害垃圾、低价值回收物：定期规范处置。</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w:t>
            </w: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不及时清运处置，每次扣1分，不规范处置每次扣</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4、做好小区内大件大垃圾的清运工作。第三方服务单位需落实人员和车辆，将服务小区内的大件垃圾运输至开发区垃圾分拣中心，交由规范处置单位处置。签约小区内大件垃圾不得出现堆积。</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已签约小区被区、市级检查到大件垃圾堆积的，扣</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其他工作（</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1、定期公布参与率、满意率、正确率、各类垃圾量、兑换等后台分析数据。</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不提供有效数据的，每次扣</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2、定期将社区、物业等各方工作情况反馈至</w:t>
            </w:r>
            <w:r>
              <w:rPr>
                <w:rFonts w:hint="eastAsia" w:ascii="仿宋" w:hAnsi="仿宋" w:eastAsia="仿宋" w:cs="仿宋"/>
                <w:color w:val="auto"/>
                <w:sz w:val="24"/>
                <w:highlight w:val="none"/>
              </w:rPr>
              <w:t>街道分类办</w:t>
            </w:r>
            <w:r>
              <w:rPr>
                <w:rFonts w:hint="eastAsia" w:ascii="仿宋" w:hAnsi="仿宋" w:eastAsia="仿宋" w:cs="仿宋"/>
                <w:color w:val="auto"/>
                <w:sz w:val="24"/>
                <w:highlight w:val="none"/>
                <w:lang w:val="zh-TW"/>
              </w:rPr>
              <w:t>。</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不真实反馈的，每次扣</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TW"/>
              </w:rPr>
              <w:t>3、及时将小区监管数据接入区监管系统，保证数据准确、有效。及时完成</w:t>
            </w:r>
            <w:r>
              <w:rPr>
                <w:rFonts w:hint="eastAsia" w:ascii="仿宋" w:hAnsi="仿宋" w:eastAsia="仿宋" w:cs="仿宋"/>
                <w:color w:val="auto"/>
                <w:sz w:val="24"/>
                <w:highlight w:val="none"/>
              </w:rPr>
              <w:t>萧山智能监管平台抄告问题整改。</w:t>
            </w:r>
          </w:p>
        </w:tc>
        <w:tc>
          <w:tcPr>
            <w:tcW w:w="608" w:type="dxa"/>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要求在启动垃圾分类一个月内完成数据接入工作。少完成一户扣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adjustRightInd/>
              <w:spacing w:line="280" w:lineRule="exact"/>
              <w:rPr>
                <w:rFonts w:ascii="仿宋" w:hAnsi="仿宋" w:eastAsia="仿宋" w:cs="仿宋"/>
                <w:color w:val="auto"/>
                <w:sz w:val="24"/>
                <w:highlight w:val="none"/>
              </w:rPr>
            </w:pPr>
            <w:r>
              <w:rPr>
                <w:rFonts w:hint="eastAsia" w:ascii="仿宋" w:hAnsi="仿宋" w:eastAsia="仿宋" w:cs="仿宋"/>
                <w:color w:val="auto"/>
                <w:sz w:val="24"/>
                <w:highlight w:val="none"/>
              </w:rPr>
              <w:t>4、每月度检查台账资料</w:t>
            </w:r>
          </w:p>
        </w:tc>
        <w:tc>
          <w:tcPr>
            <w:tcW w:w="608" w:type="dxa"/>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发现一处缺少扣</w:t>
            </w:r>
            <w:r>
              <w:rPr>
                <w:rFonts w:hint="eastAsia" w:ascii="仿宋" w:hAnsi="仿宋" w:eastAsia="仿宋" w:cs="仿宋"/>
                <w:color w:val="auto"/>
                <w:sz w:val="24"/>
                <w:highlight w:val="none"/>
              </w:rPr>
              <w:t>0.5分，扣完为止</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扣分项目</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1、生活垃圾分类工作不开展、不落实、不督查，引起重大工作失误的。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扣5-10分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2、积极开展小区撤桶并点工作，并积极协调因易腐垃圾点位问题产生的矛盾。</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未完成撤桶并点，每个小区扣</w:t>
            </w:r>
            <w:r>
              <w:rPr>
                <w:rFonts w:hint="eastAsia" w:ascii="仿宋" w:hAnsi="仿宋" w:eastAsia="仿宋" w:cs="仿宋"/>
                <w:color w:val="auto"/>
                <w:sz w:val="24"/>
                <w:highlight w:val="none"/>
              </w:rPr>
              <w:t>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3、第三方垃圾分类工作不到位被区分类办、区固废中心通报的，包括在区里的生活垃圾分类微信群通报的。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通报一次，扣2分，逾期不整改，加扣1分；区级以上黑榜小区的，扣4分；街道黑榜小区的，扣3分。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4、被萧山区区长公开电话、网络问政、杭州市市长电话等上级平台投诉，经核实有责任的。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每次扣1分，逾期不整改，加扣1分。</w:t>
            </w:r>
          </w:p>
        </w:tc>
        <w:tc>
          <w:tcPr>
            <w:tcW w:w="947" w:type="dxa"/>
            <w:vAlign w:val="center"/>
          </w:tcPr>
          <w:p>
            <w:pPr>
              <w:widowControl/>
              <w:textAlignment w:val="center"/>
              <w:rPr>
                <w:rFonts w:ascii="仿宋" w:hAnsi="仿宋" w:eastAsia="仿宋" w:cs="仿宋"/>
                <w:color w:val="auto"/>
                <w:sz w:val="24"/>
                <w:highlight w:val="none"/>
                <w:lang w:val="zh-TW" w:eastAsia="zh-TW"/>
              </w:rPr>
            </w:pPr>
          </w:p>
        </w:tc>
        <w:tc>
          <w:tcPr>
            <w:tcW w:w="931" w:type="dxa"/>
            <w:vAlign w:val="center"/>
          </w:tcPr>
          <w:p>
            <w:pPr>
              <w:widowControl/>
              <w:textAlignment w:val="center"/>
              <w:rPr>
                <w:rFonts w:ascii="仿宋" w:hAnsi="仿宋" w:eastAsia="仿宋" w:cs="仿宋"/>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eastAsia="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5、辖区垃圾分类工作，因工作不力被区级、市级或省级媒体曝光的。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rPr>
              <w:t>区级媒体每条扣2分；市级媒体每条扣3分；省级媒体每条扣5分。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6、在服务期间已创出区级及以上生活垃圾分类示范小区被明确摘牌或取消相应荣誉的。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区级示范扣15分；市级示范扣20分；省级示范扣30分。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7、在服务期间中，被杭州固废中心或区分类办等日常检查中，分数低于80以下。</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每次扣</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8、其他需要扣分的地方，酌情予以扣分。</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hint="eastAsia"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3" w:type="dxa"/>
            <w:vMerge w:val="restart"/>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加分项目</w:t>
            </w: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TW"/>
              </w:rPr>
              <w:t>、在服务期间成功新创建区级及以上生活垃圾分类示范小区</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区级加</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TW"/>
              </w:rPr>
              <w:t>分；市级加</w:t>
            </w:r>
            <w:r>
              <w:rPr>
                <w:rFonts w:hint="eastAsia" w:ascii="仿宋" w:hAnsi="仿宋" w:eastAsia="仿宋" w:cs="仿宋"/>
                <w:color w:val="auto"/>
                <w:sz w:val="24"/>
                <w:highlight w:val="none"/>
              </w:rPr>
              <w:t>7分；省级10分。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TW"/>
              </w:rPr>
              <w:t>、积极推进生活垃圾分类工作，创新工作思路，形成工作亮点特色的，并固化活动的。</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adjustRightInd/>
              <w:spacing w:line="280" w:lineRule="exact"/>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被区分类办及以上部门表扬的，每个加5分（同一事件就不累计加分）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3、在</w:t>
            </w:r>
            <w:r>
              <w:rPr>
                <w:rFonts w:hint="eastAsia" w:ascii="仿宋" w:hAnsi="仿宋" w:eastAsia="仿宋" w:cs="仿宋"/>
                <w:color w:val="auto"/>
                <w:sz w:val="24"/>
                <w:highlight w:val="none"/>
                <w:lang w:val="en-US" w:eastAsia="zh-CN"/>
              </w:rPr>
              <w:t>街道、区及以上分类办检查排名中</w:t>
            </w:r>
            <w:r>
              <w:rPr>
                <w:rFonts w:hint="eastAsia" w:ascii="仿宋" w:hAnsi="仿宋" w:eastAsia="仿宋" w:cs="仿宋"/>
                <w:color w:val="auto"/>
                <w:sz w:val="24"/>
                <w:highlight w:val="none"/>
              </w:rPr>
              <w:t>，获得红榜小区的（或其他方式排名）。</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区级以上</w:t>
            </w:r>
            <w:r>
              <w:rPr>
                <w:rFonts w:hint="eastAsia" w:ascii="仿宋" w:hAnsi="仿宋" w:eastAsia="仿宋" w:cs="仿宋"/>
                <w:color w:val="auto"/>
                <w:sz w:val="24"/>
                <w:highlight w:val="none"/>
                <w:lang w:val="zh-TW"/>
              </w:rPr>
              <w:t>红榜的（或同等排名的）加</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街道级的加3分。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ascii="仿宋" w:hAnsi="仿宋" w:eastAsia="仿宋" w:cs="仿宋"/>
                <w:color w:val="auto"/>
                <w:sz w:val="24"/>
                <w:highlight w:val="none"/>
                <w:lang w:val="zh-TW"/>
              </w:rPr>
            </w:pPr>
          </w:p>
        </w:tc>
        <w:tc>
          <w:tcPr>
            <w:tcW w:w="3407"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rPr>
              <w:t>4、在服务期间中，被杭州固废中心或区分类办等日常检查中，分数高于90及以上。</w:t>
            </w:r>
          </w:p>
        </w:tc>
        <w:tc>
          <w:tcPr>
            <w:tcW w:w="608" w:type="dxa"/>
            <w:vAlign w:val="center"/>
          </w:tcPr>
          <w:p>
            <w:pPr>
              <w:widowControl/>
              <w:textAlignment w:val="center"/>
              <w:rPr>
                <w:rFonts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TW"/>
              </w:rPr>
              <w:t>每次加</w:t>
            </w:r>
            <w:r>
              <w:rPr>
                <w:rFonts w:hint="eastAsia" w:ascii="仿宋" w:hAnsi="仿宋" w:eastAsia="仿宋" w:cs="仿宋"/>
                <w:color w:val="auto"/>
                <w:sz w:val="24"/>
                <w:highlight w:val="none"/>
              </w:rPr>
              <w:t>3分。</w:t>
            </w: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Merge w:val="continue"/>
            <w:vAlign w:val="center"/>
          </w:tcPr>
          <w:p>
            <w:pPr>
              <w:widowControl/>
              <w:textAlignment w:val="center"/>
              <w:rPr>
                <w:rFonts w:hint="eastAsia" w:ascii="仿宋" w:hAnsi="仿宋" w:eastAsia="仿宋" w:cs="仿宋"/>
                <w:color w:val="auto"/>
                <w:sz w:val="24"/>
                <w:highlight w:val="none"/>
                <w:lang w:val="zh-TW"/>
              </w:rPr>
            </w:pPr>
          </w:p>
        </w:tc>
        <w:tc>
          <w:tcPr>
            <w:tcW w:w="3407" w:type="dxa"/>
            <w:vAlign w:val="center"/>
          </w:tcPr>
          <w:p>
            <w:pPr>
              <w:widowControl/>
              <w:textAlignment w:val="center"/>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5、其他需要加分的地方，酌情予以加分。</w:t>
            </w:r>
          </w:p>
        </w:tc>
        <w:tc>
          <w:tcPr>
            <w:tcW w:w="608" w:type="dxa"/>
            <w:vAlign w:val="center"/>
          </w:tcPr>
          <w:p>
            <w:pPr>
              <w:widowControl/>
              <w:textAlignment w:val="center"/>
              <w:rPr>
                <w:rFonts w:hint="eastAsia" w:ascii="仿宋" w:hAnsi="仿宋" w:eastAsia="仿宋" w:cs="仿宋"/>
                <w:color w:val="auto"/>
                <w:sz w:val="24"/>
                <w:highlight w:val="none"/>
                <w:lang w:val="zh-TW"/>
              </w:rPr>
            </w:pPr>
          </w:p>
        </w:tc>
        <w:tc>
          <w:tcPr>
            <w:tcW w:w="2531" w:type="dxa"/>
            <w:vAlign w:val="center"/>
          </w:tcPr>
          <w:p>
            <w:pPr>
              <w:widowControl/>
              <w:textAlignment w:val="center"/>
              <w:rPr>
                <w:rFonts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3"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总分</w:t>
            </w:r>
          </w:p>
        </w:tc>
        <w:tc>
          <w:tcPr>
            <w:tcW w:w="3407" w:type="dxa"/>
            <w:vAlign w:val="center"/>
          </w:tcPr>
          <w:p>
            <w:pPr>
              <w:widowControl/>
              <w:textAlignment w:val="center"/>
              <w:rPr>
                <w:rFonts w:ascii="仿宋" w:hAnsi="仿宋" w:eastAsia="仿宋" w:cs="仿宋"/>
                <w:color w:val="auto"/>
                <w:sz w:val="24"/>
                <w:highlight w:val="none"/>
                <w:lang w:val="zh-TW"/>
              </w:rPr>
            </w:pPr>
          </w:p>
        </w:tc>
        <w:tc>
          <w:tcPr>
            <w:tcW w:w="608" w:type="dxa"/>
            <w:vAlign w:val="center"/>
          </w:tcPr>
          <w:p>
            <w:pPr>
              <w:widowControl/>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100</w:t>
            </w:r>
          </w:p>
        </w:tc>
        <w:tc>
          <w:tcPr>
            <w:tcW w:w="2531" w:type="dxa"/>
            <w:vAlign w:val="center"/>
          </w:tcPr>
          <w:p>
            <w:pPr>
              <w:widowControl/>
              <w:textAlignment w:val="center"/>
              <w:rPr>
                <w:rFonts w:ascii="仿宋" w:hAnsi="仿宋" w:eastAsia="仿宋" w:cs="仿宋"/>
                <w:color w:val="auto"/>
                <w:sz w:val="24"/>
                <w:highlight w:val="none"/>
                <w:lang w:val="zh-TW"/>
              </w:rPr>
            </w:pPr>
          </w:p>
        </w:tc>
        <w:tc>
          <w:tcPr>
            <w:tcW w:w="947" w:type="dxa"/>
            <w:vAlign w:val="center"/>
          </w:tcPr>
          <w:p>
            <w:pPr>
              <w:widowControl/>
              <w:textAlignment w:val="center"/>
              <w:rPr>
                <w:rFonts w:ascii="仿宋" w:hAnsi="仿宋" w:eastAsia="仿宋" w:cs="仿宋"/>
                <w:color w:val="auto"/>
                <w:sz w:val="24"/>
                <w:highlight w:val="none"/>
                <w:lang w:val="zh-TW"/>
              </w:rPr>
            </w:pPr>
          </w:p>
        </w:tc>
        <w:tc>
          <w:tcPr>
            <w:tcW w:w="931" w:type="dxa"/>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9" w:type="dxa"/>
            <w:gridSpan w:val="4"/>
            <w:vAlign w:val="center"/>
          </w:tcPr>
          <w:p>
            <w:pPr>
              <w:widowControl/>
              <w:jc w:val="center"/>
              <w:textAlignment w:val="center"/>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计算总得分</w:t>
            </w:r>
          </w:p>
        </w:tc>
        <w:tc>
          <w:tcPr>
            <w:tcW w:w="1878" w:type="dxa"/>
            <w:gridSpan w:val="2"/>
            <w:vAlign w:val="center"/>
          </w:tcPr>
          <w:p>
            <w:pPr>
              <w:widowControl/>
              <w:textAlignment w:val="center"/>
              <w:rPr>
                <w:rFonts w:ascii="仿宋" w:hAnsi="仿宋" w:eastAsia="仿宋" w:cs="仿宋"/>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3" w:hRule="atLeast"/>
        </w:trPr>
        <w:tc>
          <w:tcPr>
            <w:tcW w:w="9237" w:type="dxa"/>
            <w:gridSpan w:val="6"/>
            <w:vAlign w:val="center"/>
          </w:tcPr>
          <w:p>
            <w:pPr>
              <w:widowControl/>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社区                                     街道</w:t>
            </w:r>
          </w:p>
          <w:p>
            <w:pPr>
              <w:widowControl/>
              <w:jc w:val="left"/>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(盖章）                                                    (盖章）</w:t>
            </w:r>
          </w:p>
          <w:p>
            <w:pPr>
              <w:widowControl/>
              <w:jc w:val="left"/>
              <w:textAlignment w:val="center"/>
              <w:rPr>
                <w:rFonts w:ascii="仿宋" w:hAnsi="仿宋" w:eastAsia="仿宋" w:cs="仿宋"/>
                <w:bCs/>
                <w:color w:val="auto"/>
                <w:kern w:val="0"/>
                <w:sz w:val="24"/>
                <w:highlight w:val="none"/>
              </w:rPr>
            </w:pPr>
          </w:p>
          <w:p>
            <w:pPr>
              <w:widowControl/>
              <w:jc w:val="left"/>
              <w:textAlignment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签字：                                                     签字：                         </w:t>
            </w:r>
          </w:p>
        </w:tc>
      </w:tr>
    </w:tbl>
    <w:p>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szCs w:val="24"/>
          <w:highlight w:val="none"/>
          <w:shd w:val="clear" w:color="auto" w:fill="auto"/>
          <w:lang w:val="en-US" w:eastAsia="zh-CN"/>
        </w:rPr>
        <w:t>宁围街道经济开发区（建设二路以</w:t>
      </w:r>
      <w:r>
        <w:rPr>
          <w:rFonts w:hint="eastAsia" w:cs="仿宋"/>
          <w:b/>
          <w:color w:val="auto"/>
          <w:sz w:val="24"/>
          <w:szCs w:val="24"/>
          <w:highlight w:val="none"/>
          <w:shd w:val="clear" w:color="auto" w:fill="auto"/>
          <w:lang w:val="en-US" w:eastAsia="zh-CN"/>
        </w:rPr>
        <w:t>南</w:t>
      </w:r>
      <w:r>
        <w:rPr>
          <w:rFonts w:hint="eastAsia" w:ascii="仿宋" w:hAnsi="仿宋" w:eastAsia="仿宋" w:cs="仿宋"/>
          <w:b/>
          <w:color w:val="auto"/>
          <w:sz w:val="24"/>
          <w:szCs w:val="24"/>
          <w:highlight w:val="none"/>
          <w:shd w:val="clear" w:color="auto" w:fill="auto"/>
          <w:lang w:val="en-US" w:eastAsia="zh-CN"/>
        </w:rPr>
        <w:t>）具体小区清单（具体已实际为准）</w:t>
      </w:r>
    </w:p>
    <w:tbl>
      <w:tblPr>
        <w:tblStyle w:val="26"/>
        <w:tblpPr w:leftFromText="180" w:rightFromText="180" w:vertAnchor="text" w:horzAnchor="page" w:tblpXSpec="center" w:tblpY="568"/>
        <w:tblOverlap w:val="never"/>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646"/>
        <w:gridCol w:w="1466"/>
        <w:gridCol w:w="865"/>
        <w:gridCol w:w="2639"/>
        <w:gridCol w:w="791"/>
        <w:gridCol w:w="704"/>
        <w:gridCol w:w="747"/>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社区</w:t>
            </w:r>
          </w:p>
        </w:tc>
        <w:tc>
          <w:tcPr>
            <w:tcW w:w="14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小区</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总户数</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小区地址</w:t>
            </w:r>
          </w:p>
        </w:tc>
        <w:tc>
          <w:tcPr>
            <w:tcW w:w="14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发袋机</w:t>
            </w:r>
          </w:p>
        </w:tc>
        <w:tc>
          <w:tcPr>
            <w:tcW w:w="13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电子秤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26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仿宋" w:hAnsi="仿宋" w:eastAsia="仿宋" w:cs="仿宋"/>
                <w:b/>
                <w:bCs/>
                <w:i w:val="0"/>
                <w:iCs w:val="0"/>
                <w:color w:val="auto"/>
                <w:sz w:val="21"/>
                <w:szCs w:val="21"/>
                <w:highlight w:val="none"/>
                <w:u w:val="none"/>
              </w:rPr>
            </w:pPr>
          </w:p>
        </w:tc>
        <w:tc>
          <w:tcPr>
            <w:tcW w:w="79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shd w:val="clear" w:color="auto" w:fill="auto"/>
              </w:rPr>
            </w:pPr>
            <w:r>
              <w:rPr>
                <w:rFonts w:hint="eastAsia" w:ascii="仿宋" w:hAnsi="仿宋" w:eastAsia="仿宋" w:cs="仿宋"/>
                <w:b/>
                <w:bCs/>
                <w:i w:val="0"/>
                <w:iCs w:val="0"/>
                <w:color w:val="auto"/>
                <w:kern w:val="0"/>
                <w:sz w:val="21"/>
                <w:szCs w:val="21"/>
                <w:highlight w:val="none"/>
                <w:u w:val="none"/>
                <w:shd w:val="clear" w:color="auto" w:fill="auto"/>
                <w:lang w:val="en-US" w:eastAsia="zh-CN" w:bidi="ar"/>
              </w:rPr>
              <w:t>配置状态</w:t>
            </w:r>
          </w:p>
        </w:tc>
        <w:tc>
          <w:tcPr>
            <w:tcW w:w="704"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74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配置状态</w:t>
            </w:r>
          </w:p>
        </w:tc>
        <w:tc>
          <w:tcPr>
            <w:tcW w:w="64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汇雅轩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建设一路69号</w:t>
            </w:r>
          </w:p>
        </w:tc>
        <w:tc>
          <w:tcPr>
            <w:tcW w:w="791" w:type="dxa"/>
            <w:tcBorders>
              <w:top w:val="nil"/>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望海潮</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宁税路888号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华瑞晴庐</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2292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建设二路1504号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和雅轩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建设一路165号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市北公寓</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561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建设一路1328号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东方壹号</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395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建设一路1214-1222号</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（建设一路与宁东路交叉口）</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国之璟府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769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建设一路1148号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东方一品</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市心北路2号（建设一路与市心北路交叉口）</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华瑞中心</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建设一路1027号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天辰国际</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市心北路52号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融信万流新邸</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770</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恒大 国玺悦龙府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529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滨江拥涛府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潮起云上府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1433</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市心</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融信展望</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1472</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通惠丽港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148</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万向路2号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明江苑</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通惠北路1-5号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天海阳光</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建设一路1840号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嘉利公寓</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657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建设二路1588号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已配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东方名府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506</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建设二路17号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柏丽轩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414</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通惠北路12号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新城璟隽</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1623</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建设一路与通惠北路交叉口东200米</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已配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雅棠轩</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502</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建设一路23号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锦粼府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1089</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杭州市萧山区启慧弄212号</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开欣</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云荟院</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1265</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萧山区通惠北路与建设二路交叉口</w:t>
            </w:r>
          </w:p>
        </w:tc>
        <w:tc>
          <w:tcPr>
            <w:tcW w:w="791"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未配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F8CBAD"/>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未配</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260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18961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w:t>
            </w:r>
          </w:p>
        </w:tc>
      </w:tr>
    </w:tbl>
    <w:p>
      <w:pPr>
        <w:jc w:val="left"/>
        <w:rPr>
          <w:rFonts w:hint="eastAsia" w:ascii="仿宋" w:hAnsi="仿宋" w:eastAsia="仿宋" w:cs="仿宋"/>
          <w:b/>
          <w:color w:val="auto"/>
          <w:sz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注：具体配置数量及使用情况以实际为准，未配置部分或需要维修更换的，由投标人按要求落实</w:t>
      </w:r>
    </w:p>
    <w:p>
      <w:pPr>
        <w:keepNext w:val="0"/>
        <w:keepLines w:val="0"/>
        <w:pageBreakBefore w:val="0"/>
        <w:kinsoku/>
        <w:wordWrap/>
        <w:overflowPunct/>
        <w:topLinePunct w:val="0"/>
        <w:bidi w:val="0"/>
        <w:adjustRightInd/>
        <w:snapToGrid/>
        <w:spacing w:after="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附件：  </w:t>
      </w:r>
    </w:p>
    <w:p>
      <w:pPr>
        <w:keepNext w:val="0"/>
        <w:keepLines w:val="0"/>
        <w:pageBreakBefore w:val="0"/>
        <w:kinsoku/>
        <w:wordWrap/>
        <w:overflowPunct/>
        <w:topLinePunct w:val="0"/>
        <w:bidi w:val="0"/>
        <w:adjustRightInd/>
        <w:snapToGrid/>
        <w:spacing w:after="0" w:line="240" w:lineRule="auto"/>
        <w:ind w:firstLine="4016" w:firstLineChars="1000"/>
        <w:jc w:val="left"/>
        <w:textAlignment w:val="auto"/>
        <w:rPr>
          <w:rFonts w:hint="eastAsia" w:ascii="仿宋" w:hAnsi="仿宋" w:eastAsia="仿宋" w:cs="仿宋"/>
          <w:b/>
          <w:bCs/>
          <w:color w:val="auto"/>
          <w:sz w:val="40"/>
          <w:highlight w:val="none"/>
          <w:lang w:eastAsia="zh-CN"/>
        </w:rPr>
      </w:pPr>
      <w:r>
        <w:rPr>
          <w:rFonts w:hint="eastAsia" w:ascii="仿宋" w:hAnsi="仿宋" w:eastAsia="仿宋" w:cs="仿宋"/>
          <w:b/>
          <w:bCs/>
          <w:color w:val="auto"/>
          <w:sz w:val="40"/>
          <w:highlight w:val="none"/>
        </w:rPr>
        <w:t>承诺书</w:t>
      </w:r>
      <w:r>
        <w:rPr>
          <w:rFonts w:hint="eastAsia" w:cs="仿宋"/>
          <w:b/>
          <w:bCs/>
          <w:color w:val="auto"/>
          <w:sz w:val="40"/>
          <w:highlight w:val="none"/>
          <w:lang w:eastAsia="zh-CN"/>
        </w:rPr>
        <w:t>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杭州市萧山区人民政府宁围街道办事处</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我单位对以下承诺：</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由原服务单位已经设置的分类亭</w:t>
      </w:r>
      <w:r>
        <w:rPr>
          <w:rFonts w:hint="eastAsia" w:ascii="仿宋" w:hAnsi="仿宋" w:eastAsia="仿宋" w:cs="仿宋"/>
          <w:color w:val="auto"/>
          <w:sz w:val="24"/>
          <w:szCs w:val="24"/>
          <w:highlight w:val="none"/>
          <w:lang w:val="en-US" w:eastAsia="zh-CN"/>
        </w:rPr>
        <w:t>，我单位承诺在</w:t>
      </w:r>
      <w:r>
        <w:rPr>
          <w:rFonts w:hint="eastAsia" w:ascii="仿宋" w:hAnsi="仿宋" w:eastAsia="仿宋" w:cs="仿宋"/>
          <w:color w:val="auto"/>
          <w:sz w:val="24"/>
          <w:szCs w:val="24"/>
          <w:highlight w:val="none"/>
          <w:lang w:val="en-US"/>
        </w:rPr>
        <w:t>中标后</w:t>
      </w:r>
      <w:r>
        <w:rPr>
          <w:rFonts w:hint="eastAsia" w:ascii="仿宋" w:hAnsi="仿宋" w:eastAsia="仿宋" w:cs="仿宋"/>
          <w:color w:val="auto"/>
          <w:sz w:val="24"/>
          <w:szCs w:val="24"/>
          <w:highlight w:val="none"/>
          <w:lang w:val="en-US" w:eastAsia="zh-CN"/>
        </w:rPr>
        <w:t>并在合同签订后一个月内，根据采购人需求重新设置购买或与原产权单位协商折价购买，</w:t>
      </w:r>
      <w:r>
        <w:rPr>
          <w:rFonts w:hint="eastAsia" w:ascii="仿宋" w:hAnsi="仿宋" w:eastAsia="仿宋" w:cs="仿宋"/>
          <w:color w:val="auto"/>
          <w:sz w:val="24"/>
          <w:szCs w:val="24"/>
          <w:highlight w:val="none"/>
          <w:lang w:val="en-US"/>
        </w:rPr>
        <w:t>若无法按时重新购置到位或无法按时协商折价购买到位并完成支付的，则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由原服务单位已经设置的再生资源回收网点</w:t>
      </w:r>
      <w:r>
        <w:rPr>
          <w:rFonts w:hint="eastAsia" w:ascii="仿宋" w:hAnsi="仿宋" w:eastAsia="仿宋" w:cs="仿宋"/>
          <w:color w:val="auto"/>
          <w:sz w:val="24"/>
          <w:szCs w:val="24"/>
          <w:highlight w:val="none"/>
          <w:lang w:val="en-US" w:eastAsia="zh-CN"/>
        </w:rPr>
        <w:t>，我单位承诺在</w:t>
      </w:r>
      <w:r>
        <w:rPr>
          <w:rFonts w:hint="eastAsia" w:ascii="仿宋" w:hAnsi="仿宋" w:eastAsia="仿宋" w:cs="仿宋"/>
          <w:color w:val="auto"/>
          <w:sz w:val="24"/>
          <w:szCs w:val="24"/>
          <w:highlight w:val="none"/>
          <w:lang w:val="en-US"/>
        </w:rPr>
        <w:t>中标后</w:t>
      </w:r>
      <w:r>
        <w:rPr>
          <w:rFonts w:hint="eastAsia" w:ascii="仿宋" w:hAnsi="仿宋" w:eastAsia="仿宋" w:cs="仿宋"/>
          <w:color w:val="auto"/>
          <w:sz w:val="24"/>
          <w:szCs w:val="24"/>
          <w:highlight w:val="none"/>
          <w:lang w:val="en-US" w:eastAsia="zh-CN"/>
        </w:rPr>
        <w:t>并在合同签订后一个月内，根据采购人需求重新设置购买或与原产权单位协商折价购买，</w:t>
      </w:r>
      <w:r>
        <w:rPr>
          <w:rFonts w:hint="eastAsia" w:ascii="仿宋" w:hAnsi="仿宋" w:eastAsia="仿宋" w:cs="仿宋"/>
          <w:color w:val="auto"/>
          <w:sz w:val="24"/>
          <w:szCs w:val="24"/>
          <w:highlight w:val="none"/>
          <w:lang w:val="en-US"/>
        </w:rPr>
        <w:t>若无法按时重新购置到位或无法按时协商折价购买到位并完成支付的，则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单位承诺中标后立即安排人员，与原单位无缝交接工作，并在合同签订一个月后完成本项目所需的设施设备、车辆等的资产购买或资产重新配置，以及完成居民数据帐户的建立，同时接入采购人所在地的区级平台，若无法在上述规定期限内完成各项服务内容的，</w:t>
      </w:r>
      <w:r>
        <w:rPr>
          <w:rFonts w:hint="eastAsia" w:ascii="仿宋" w:hAnsi="仿宋" w:eastAsia="仿宋" w:cs="仿宋"/>
          <w:color w:val="auto"/>
          <w:sz w:val="24"/>
          <w:szCs w:val="24"/>
          <w:highlight w:val="none"/>
          <w:lang w:val="en-US"/>
        </w:rPr>
        <w:t>则</w:t>
      </w:r>
      <w:r>
        <w:rPr>
          <w:rFonts w:hint="eastAsia" w:ascii="仿宋" w:hAnsi="仿宋" w:eastAsia="仿宋" w:cs="仿宋"/>
          <w:color w:val="auto"/>
          <w:sz w:val="24"/>
          <w:szCs w:val="24"/>
          <w:highlight w:val="none"/>
          <w:lang w:val="en-US" w:eastAsia="zh-CN"/>
        </w:rPr>
        <w:t>自愿</w:t>
      </w:r>
      <w:r>
        <w:rPr>
          <w:rFonts w:hint="eastAsia" w:ascii="仿宋" w:hAnsi="仿宋" w:eastAsia="仿宋" w:cs="仿宋"/>
          <w:color w:val="auto"/>
          <w:sz w:val="24"/>
          <w:szCs w:val="24"/>
          <w:highlight w:val="none"/>
          <w:lang w:val="en-US" w:eastAsia="zh-Hans"/>
        </w:rPr>
        <w:t>解除</w:t>
      </w:r>
      <w:r>
        <w:rPr>
          <w:rFonts w:hint="eastAsia" w:ascii="仿宋" w:hAnsi="仿宋" w:eastAsia="仿宋" w:cs="仿宋"/>
          <w:color w:val="auto"/>
          <w:sz w:val="24"/>
          <w:szCs w:val="24"/>
          <w:highlight w:val="none"/>
          <w:lang w:val="en-US" w:eastAsia="zh-CN"/>
        </w:rPr>
        <w:t>本项目合同</w:t>
      </w:r>
      <w:r>
        <w:rPr>
          <w:rFonts w:hint="eastAsia" w:ascii="仿宋" w:hAnsi="仿宋" w:eastAsia="仿宋" w:cs="仿宋"/>
          <w:color w:val="auto"/>
          <w:sz w:val="24"/>
          <w:szCs w:val="24"/>
          <w:highlight w:val="none"/>
          <w:lang w:val="en-US"/>
        </w:rPr>
        <w:t>，并且由</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lang w:val="en-US"/>
        </w:rPr>
        <w:t>承担对采购人</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Hans"/>
        </w:rPr>
        <w:t>社区</w:t>
      </w:r>
      <w:r>
        <w:rPr>
          <w:rFonts w:hint="eastAsia" w:ascii="仿宋" w:hAnsi="仿宋" w:eastAsia="仿宋" w:cs="仿宋"/>
          <w:color w:val="auto"/>
          <w:sz w:val="24"/>
          <w:szCs w:val="24"/>
          <w:highlight w:val="none"/>
          <w:lang w:val="en-US"/>
        </w:rPr>
        <w:t>造成的损失</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同时具备履行招标文件的能力。</w:t>
      </w: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承诺单位：                                         </w:t>
      </w:r>
    </w:p>
    <w:p>
      <w:pPr>
        <w:keepNext w:val="0"/>
        <w:keepLines w:val="0"/>
        <w:pageBreakBefore w:val="0"/>
        <w:kinsoku/>
        <w:wordWrap/>
        <w:overflowPunct/>
        <w:topLinePunct w:val="0"/>
        <w:bidi w:val="0"/>
        <w:adjustRightInd/>
        <w:snapToGrid/>
        <w:spacing w:after="0" w:line="360" w:lineRule="auto"/>
        <w:ind w:firstLine="6240" w:firstLineChars="26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adjustRightInd/>
        <w:snapToGrid/>
        <w:spacing w:after="0" w:line="360" w:lineRule="auto"/>
        <w:ind w:firstLine="6240" w:firstLineChars="2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 xml:space="preserve">附件： </w:t>
      </w:r>
      <w:r>
        <w:rPr>
          <w:rFonts w:hint="eastAsia" w:ascii="仿宋" w:hAnsi="仿宋" w:eastAsia="仿宋" w:cs="仿宋"/>
          <w:color w:val="auto"/>
          <w:sz w:val="24"/>
          <w:highlight w:val="none"/>
        </w:rPr>
        <w:t xml:space="preserve"> </w:t>
      </w:r>
    </w:p>
    <w:p>
      <w:pPr>
        <w:ind w:firstLine="4016" w:firstLineChars="1000"/>
        <w:jc w:val="left"/>
        <w:rPr>
          <w:rFonts w:hint="eastAsia" w:ascii="仿宋" w:hAnsi="仿宋" w:eastAsia="仿宋" w:cs="仿宋"/>
          <w:b/>
          <w:bCs/>
          <w:color w:val="auto"/>
          <w:sz w:val="40"/>
          <w:highlight w:val="none"/>
          <w:lang w:val="en-US" w:eastAsia="zh-CN"/>
        </w:rPr>
      </w:pPr>
      <w:r>
        <w:rPr>
          <w:rFonts w:hint="eastAsia" w:ascii="仿宋" w:hAnsi="仿宋" w:eastAsia="仿宋" w:cs="仿宋"/>
          <w:b/>
          <w:bCs/>
          <w:color w:val="auto"/>
          <w:sz w:val="40"/>
          <w:highlight w:val="none"/>
        </w:rPr>
        <w:t>承诺书</w:t>
      </w:r>
      <w:r>
        <w:rPr>
          <w:rFonts w:hint="eastAsia" w:cs="仿宋"/>
          <w:b/>
          <w:bCs/>
          <w:color w:val="auto"/>
          <w:sz w:val="40"/>
          <w:highlight w:val="none"/>
          <w:lang w:val="en-US" w:eastAsia="zh-CN"/>
        </w:rPr>
        <w:t>二</w:t>
      </w:r>
    </w:p>
    <w:p>
      <w:pPr>
        <w:rPr>
          <w:rFonts w:hint="eastAsia" w:ascii="仿宋" w:hAnsi="仿宋" w:eastAsia="仿宋" w:cs="仿宋"/>
          <w:color w:val="auto"/>
          <w:sz w:val="28"/>
          <w:highlight w:val="none"/>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杭州市萧山区人民政府宁围办事处：</w:t>
      </w:r>
    </w:p>
    <w:p>
      <w:pPr>
        <w:keepNext w:val="0"/>
        <w:keepLines w:val="0"/>
        <w:pageBreakBefore w:val="0"/>
        <w:widowControl w:val="0"/>
        <w:kinsoku/>
        <w:wordWrap/>
        <w:overflowPunct/>
        <w:topLinePunct w:val="0"/>
        <w:autoSpaceDE/>
        <w:autoSpaceDN/>
        <w:bidi w:val="0"/>
        <w:snapToGrid/>
        <w:spacing w:line="600" w:lineRule="exact"/>
        <w:ind w:firstLine="4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我单位对以下承诺：</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中标后配备的自助发袋机、</w:t>
      </w:r>
      <w:r>
        <w:rPr>
          <w:rFonts w:hint="eastAsia" w:ascii="仿宋" w:hAnsi="仿宋" w:eastAsia="仿宋" w:cs="仿宋"/>
          <w:color w:val="auto"/>
          <w:sz w:val="24"/>
          <w:szCs w:val="24"/>
          <w:highlight w:val="none"/>
          <w:lang w:val="en-US" w:eastAsia="zh-CN"/>
        </w:rPr>
        <w:t>240L</w:t>
      </w:r>
      <w:r>
        <w:rPr>
          <w:rFonts w:hint="eastAsia" w:ascii="仿宋" w:hAnsi="仿宋" w:eastAsia="仿宋" w:cs="仿宋"/>
          <w:color w:val="auto"/>
          <w:sz w:val="24"/>
          <w:szCs w:val="24"/>
          <w:highlight w:val="none"/>
        </w:rPr>
        <w:t>垃圾桶、</w:t>
      </w:r>
      <w:r>
        <w:rPr>
          <w:rFonts w:hint="eastAsia" w:ascii="仿宋" w:hAnsi="仿宋" w:eastAsia="仿宋" w:cs="仿宋"/>
          <w:color w:val="auto"/>
          <w:sz w:val="24"/>
          <w:szCs w:val="24"/>
          <w:highlight w:val="none"/>
          <w:lang w:val="en-US" w:eastAsia="zh-CN"/>
        </w:rPr>
        <w:t>5L入户桶垃圾桶、易腐</w:t>
      </w:r>
      <w:r>
        <w:rPr>
          <w:rFonts w:hint="eastAsia" w:ascii="仿宋" w:hAnsi="仿宋" w:eastAsia="仿宋" w:cs="仿宋"/>
          <w:color w:val="auto"/>
          <w:sz w:val="24"/>
          <w:szCs w:val="24"/>
          <w:highlight w:val="none"/>
        </w:rPr>
        <w:t>垃圾袋、</w:t>
      </w:r>
      <w:r>
        <w:rPr>
          <w:rFonts w:hint="eastAsia" w:ascii="仿宋" w:hAnsi="仿宋" w:eastAsia="仿宋" w:cs="仿宋"/>
          <w:color w:val="auto"/>
          <w:sz w:val="24"/>
          <w:szCs w:val="24"/>
          <w:highlight w:val="none"/>
          <w:lang w:eastAsia="zh-CN"/>
        </w:rPr>
        <w:t>封装电子秤、</w:t>
      </w:r>
      <w:r>
        <w:rPr>
          <w:rFonts w:hint="eastAsia" w:cs="仿宋"/>
          <w:color w:val="auto"/>
          <w:sz w:val="24"/>
          <w:szCs w:val="24"/>
          <w:highlight w:val="none"/>
          <w:lang w:val="en-US" w:eastAsia="zh-CN"/>
        </w:rPr>
        <w:t>积分卡、</w:t>
      </w:r>
      <w:r>
        <w:rPr>
          <w:rFonts w:hint="eastAsia" w:ascii="仿宋" w:hAnsi="仿宋" w:eastAsia="仿宋" w:cs="仿宋"/>
          <w:color w:val="auto"/>
          <w:sz w:val="24"/>
          <w:szCs w:val="24"/>
          <w:highlight w:val="none"/>
        </w:rPr>
        <w:t>云管理平台</w:t>
      </w:r>
      <w:r>
        <w:rPr>
          <w:rFonts w:hint="eastAsia" w:ascii="仿宋" w:hAnsi="仿宋" w:eastAsia="仿宋" w:cs="仿宋"/>
          <w:b w:val="0"/>
          <w:bCs/>
          <w:color w:val="auto"/>
          <w:sz w:val="24"/>
          <w:szCs w:val="24"/>
          <w:highlight w:val="none"/>
          <w:lang w:eastAsia="zh-CN"/>
        </w:rPr>
        <w:t>满足</w:t>
      </w:r>
      <w:r>
        <w:rPr>
          <w:rFonts w:hint="eastAsia" w:ascii="仿宋" w:hAnsi="仿宋" w:eastAsia="仿宋" w:cs="仿宋"/>
          <w:color w:val="auto"/>
          <w:sz w:val="24"/>
          <w:szCs w:val="24"/>
          <w:highlight w:val="none"/>
        </w:rPr>
        <w:t>招标文件的要求</w:t>
      </w:r>
      <w:r>
        <w:rPr>
          <w:rFonts w:hint="eastAsia" w:ascii="仿宋" w:hAnsi="仿宋" w:eastAsia="仿宋" w:cs="仿宋"/>
          <w:color w:val="auto"/>
          <w:sz w:val="24"/>
          <w:szCs w:val="24"/>
          <w:highlight w:val="none"/>
          <w:lang w:eastAsia="zh-CN"/>
        </w:rPr>
        <w:t>，并且在使用时，实现与原已采购的设备以及系统后台并连使用</w:t>
      </w:r>
      <w:r>
        <w:rPr>
          <w:rFonts w:hint="eastAsia" w:ascii="仿宋" w:hAnsi="仿宋" w:eastAsia="仿宋" w:cs="仿宋"/>
          <w:color w:val="auto"/>
          <w:sz w:val="24"/>
          <w:szCs w:val="24"/>
          <w:highlight w:val="none"/>
        </w:rPr>
        <w:t>。</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同时具备履行招标文件的能力。</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承诺单位：</w:t>
      </w:r>
    </w:p>
    <w:p>
      <w:pPr>
        <w:rPr>
          <w:rFonts w:hint="eastAsia" w:ascii="仿宋" w:hAnsi="仿宋" w:eastAsia="仿宋" w:cs="仿宋"/>
          <w:color w:val="auto"/>
          <w:sz w:val="24"/>
          <w:szCs w:val="24"/>
          <w:highlight w:val="none"/>
        </w:rPr>
      </w:pPr>
    </w:p>
    <w:p>
      <w:pPr>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pPr>
        <w:snapToGrid w:val="0"/>
        <w:spacing w:line="360" w:lineRule="auto"/>
        <w:jc w:val="left"/>
        <w:rPr>
          <w:rFonts w:ascii="仿宋" w:hAnsi="仿宋" w:eastAsia="仿宋" w:cs="仿宋"/>
          <w:b/>
          <w:color w:val="auto"/>
          <w:sz w:val="24"/>
          <w:highlight w:val="none"/>
        </w:rPr>
      </w:pPr>
    </w:p>
    <w:bookmarkEnd w:id="2"/>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3" w:name="_Toc184310283"/>
      <w:bookmarkEnd w:id="3"/>
      <w:bookmarkStart w:id="4" w:name="_Toc184313250"/>
      <w:bookmarkEnd w:id="4"/>
      <w:bookmarkStart w:id="5" w:name="_Toc184308053"/>
      <w:bookmarkEnd w:id="5"/>
      <w:bookmarkStart w:id="6" w:name="_Toc184310318"/>
      <w:bookmarkEnd w:id="6"/>
      <w:bookmarkStart w:id="7" w:name="_Toc184308036"/>
      <w:bookmarkEnd w:id="7"/>
      <w:bookmarkStart w:id="8" w:name="_Toc184312117"/>
      <w:bookmarkEnd w:id="8"/>
      <w:bookmarkStart w:id="9" w:name="_Toc184308106"/>
      <w:bookmarkEnd w:id="9"/>
      <w:bookmarkStart w:id="10" w:name="_Toc184308070"/>
      <w:bookmarkEnd w:id="10"/>
      <w:bookmarkStart w:id="11" w:name="_Toc184313294"/>
      <w:bookmarkEnd w:id="11"/>
      <w:bookmarkStart w:id="12" w:name="_Toc184313279"/>
      <w:bookmarkEnd w:id="12"/>
      <w:bookmarkStart w:id="13" w:name="_Toc184308056"/>
      <w:bookmarkEnd w:id="13"/>
      <w:bookmarkStart w:id="14" w:name="_Toc184314430"/>
      <w:bookmarkEnd w:id="14"/>
      <w:bookmarkStart w:id="15" w:name="_Toc184310281"/>
      <w:bookmarkEnd w:id="15"/>
      <w:bookmarkStart w:id="16" w:name="_Toc184312068"/>
      <w:bookmarkEnd w:id="16"/>
      <w:bookmarkStart w:id="17" w:name="_Toc184314461"/>
      <w:bookmarkEnd w:id="17"/>
      <w:bookmarkStart w:id="18" w:name="_Toc184314470"/>
      <w:bookmarkEnd w:id="18"/>
      <w:bookmarkStart w:id="19" w:name="_Toc184308038"/>
      <w:bookmarkEnd w:id="19"/>
      <w:bookmarkStart w:id="20" w:name="_Toc184313307"/>
      <w:bookmarkEnd w:id="20"/>
      <w:bookmarkStart w:id="21" w:name="_Toc184310284"/>
      <w:bookmarkEnd w:id="21"/>
      <w:bookmarkStart w:id="22" w:name="_Toc184313275"/>
      <w:bookmarkEnd w:id="22"/>
      <w:bookmarkStart w:id="23" w:name="_Toc184314429"/>
      <w:bookmarkEnd w:id="23"/>
      <w:bookmarkStart w:id="24" w:name="_Toc184308077"/>
      <w:bookmarkEnd w:id="24"/>
      <w:bookmarkStart w:id="25" w:name="_Toc184310324"/>
      <w:bookmarkEnd w:id="25"/>
      <w:bookmarkStart w:id="26" w:name="_Toc184313267"/>
      <w:bookmarkEnd w:id="26"/>
      <w:bookmarkStart w:id="27" w:name="_Toc184313304"/>
      <w:bookmarkEnd w:id="27"/>
      <w:bookmarkStart w:id="28" w:name="_Toc184308085"/>
      <w:bookmarkEnd w:id="28"/>
      <w:bookmarkStart w:id="29" w:name="_Toc184312071"/>
      <w:bookmarkEnd w:id="29"/>
      <w:bookmarkStart w:id="30" w:name="_Toc184314446"/>
      <w:bookmarkEnd w:id="30"/>
      <w:bookmarkStart w:id="31" w:name="_Toc184314474"/>
      <w:bookmarkEnd w:id="31"/>
      <w:bookmarkStart w:id="32" w:name="_Toc184312121"/>
      <w:bookmarkEnd w:id="32"/>
      <w:bookmarkStart w:id="33" w:name="_Toc184312134"/>
      <w:bookmarkEnd w:id="33"/>
      <w:bookmarkStart w:id="34" w:name="_Toc184310291"/>
      <w:bookmarkEnd w:id="34"/>
      <w:bookmarkStart w:id="35" w:name="_Toc184310314"/>
      <w:bookmarkEnd w:id="35"/>
      <w:bookmarkStart w:id="36" w:name="_Toc184312094"/>
      <w:bookmarkEnd w:id="36"/>
      <w:bookmarkStart w:id="37" w:name="_Toc184313243"/>
      <w:bookmarkEnd w:id="37"/>
      <w:bookmarkStart w:id="38" w:name="_Toc184314471"/>
      <w:bookmarkEnd w:id="38"/>
      <w:bookmarkStart w:id="39" w:name="_Toc184310319"/>
      <w:bookmarkEnd w:id="39"/>
      <w:bookmarkStart w:id="40" w:name="_Toc184310340"/>
      <w:bookmarkEnd w:id="40"/>
      <w:bookmarkStart w:id="41" w:name="_Toc184308039"/>
      <w:bookmarkEnd w:id="41"/>
      <w:bookmarkStart w:id="42" w:name="_Toc184308040"/>
      <w:bookmarkEnd w:id="42"/>
      <w:bookmarkStart w:id="43" w:name="_Toc184313301"/>
      <w:bookmarkEnd w:id="43"/>
      <w:bookmarkStart w:id="44" w:name="_Toc184310288"/>
      <w:bookmarkEnd w:id="44"/>
      <w:bookmarkStart w:id="45" w:name="_Toc184308087"/>
      <w:bookmarkEnd w:id="45"/>
      <w:bookmarkStart w:id="46" w:name="_Toc184312113"/>
      <w:bookmarkEnd w:id="46"/>
      <w:bookmarkStart w:id="47" w:name="_Toc184308046"/>
      <w:bookmarkEnd w:id="47"/>
      <w:bookmarkStart w:id="48" w:name="_Toc184314468"/>
      <w:bookmarkEnd w:id="48"/>
      <w:bookmarkStart w:id="49" w:name="_Toc184312089"/>
      <w:bookmarkEnd w:id="49"/>
      <w:bookmarkStart w:id="50" w:name="_Toc184312074"/>
      <w:bookmarkEnd w:id="50"/>
      <w:bookmarkStart w:id="51" w:name="_Toc184308103"/>
      <w:bookmarkEnd w:id="51"/>
      <w:bookmarkStart w:id="52" w:name="_Toc184308049"/>
      <w:bookmarkEnd w:id="52"/>
      <w:bookmarkStart w:id="53" w:name="_Toc184308097"/>
      <w:bookmarkEnd w:id="53"/>
      <w:bookmarkStart w:id="54" w:name="_Toc184314459"/>
      <w:bookmarkEnd w:id="54"/>
      <w:bookmarkStart w:id="55" w:name="_Toc184310292"/>
      <w:bookmarkEnd w:id="55"/>
      <w:bookmarkStart w:id="56" w:name="_Toc184314437"/>
      <w:bookmarkEnd w:id="56"/>
      <w:bookmarkStart w:id="57" w:name="_Toc184314444"/>
      <w:bookmarkEnd w:id="57"/>
      <w:bookmarkStart w:id="58" w:name="_Toc184310290"/>
      <w:bookmarkEnd w:id="58"/>
      <w:bookmarkStart w:id="59" w:name="_Toc184314422"/>
      <w:bookmarkEnd w:id="59"/>
      <w:bookmarkStart w:id="60" w:name="_Toc184310334"/>
      <w:bookmarkEnd w:id="60"/>
      <w:bookmarkStart w:id="61" w:name="_Toc184314412"/>
      <w:bookmarkEnd w:id="61"/>
      <w:bookmarkStart w:id="62" w:name="_Toc184313309"/>
      <w:bookmarkEnd w:id="62"/>
      <w:bookmarkStart w:id="63" w:name="_Toc184314438"/>
      <w:bookmarkEnd w:id="63"/>
      <w:bookmarkStart w:id="64" w:name="_Toc184313291"/>
      <w:bookmarkEnd w:id="64"/>
      <w:bookmarkStart w:id="65" w:name="_Toc184314472"/>
      <w:bookmarkEnd w:id="65"/>
      <w:bookmarkStart w:id="66" w:name="_Toc184310276"/>
      <w:bookmarkEnd w:id="66"/>
      <w:bookmarkStart w:id="67" w:name="_Toc184308041"/>
      <w:bookmarkEnd w:id="67"/>
      <w:bookmarkStart w:id="68" w:name="_Toc184308055"/>
      <w:bookmarkEnd w:id="68"/>
      <w:bookmarkStart w:id="69" w:name="_Toc184308047"/>
      <w:bookmarkEnd w:id="69"/>
      <w:bookmarkStart w:id="70" w:name="_Toc184314417"/>
      <w:bookmarkEnd w:id="70"/>
      <w:bookmarkStart w:id="71" w:name="_Toc184313252"/>
      <w:bookmarkEnd w:id="71"/>
      <w:bookmarkStart w:id="72" w:name="_Toc184313299"/>
      <w:bookmarkEnd w:id="72"/>
      <w:bookmarkStart w:id="73" w:name="_Toc184314473"/>
      <w:bookmarkEnd w:id="73"/>
      <w:bookmarkStart w:id="74" w:name="_Toc184312111"/>
      <w:bookmarkEnd w:id="74"/>
      <w:bookmarkStart w:id="75" w:name="_Toc184313280"/>
      <w:bookmarkEnd w:id="75"/>
      <w:bookmarkStart w:id="76" w:name="_Toc184314464"/>
      <w:bookmarkEnd w:id="76"/>
      <w:bookmarkStart w:id="77" w:name="_Toc184310280"/>
      <w:bookmarkEnd w:id="77"/>
      <w:bookmarkStart w:id="78" w:name="_Toc184308105"/>
      <w:bookmarkEnd w:id="78"/>
      <w:bookmarkStart w:id="79" w:name="_Toc184314413"/>
      <w:bookmarkEnd w:id="79"/>
      <w:bookmarkStart w:id="80" w:name="_Toc184313262"/>
      <w:bookmarkEnd w:id="80"/>
      <w:bookmarkStart w:id="81" w:name="_Toc184308089"/>
      <w:bookmarkEnd w:id="81"/>
      <w:bookmarkStart w:id="82" w:name="_Toc184313300"/>
      <w:bookmarkEnd w:id="82"/>
      <w:bookmarkStart w:id="83" w:name="_Toc184310289"/>
      <w:bookmarkEnd w:id="83"/>
      <w:bookmarkStart w:id="84" w:name="_Toc184310287"/>
      <w:bookmarkEnd w:id="84"/>
      <w:bookmarkStart w:id="85" w:name="_Toc184310338"/>
      <w:bookmarkEnd w:id="85"/>
      <w:bookmarkStart w:id="86" w:name="_Toc184314476"/>
      <w:bookmarkEnd w:id="86"/>
      <w:bookmarkStart w:id="87" w:name="_Toc184313292"/>
      <w:bookmarkEnd w:id="87"/>
      <w:bookmarkStart w:id="88" w:name="_Toc184310327"/>
      <w:bookmarkEnd w:id="88"/>
      <w:bookmarkStart w:id="89" w:name="_Toc184310295"/>
      <w:bookmarkEnd w:id="89"/>
      <w:bookmarkStart w:id="90" w:name="_Toc184310321"/>
      <w:bookmarkEnd w:id="90"/>
      <w:bookmarkStart w:id="91" w:name="_Toc184312072"/>
      <w:bookmarkEnd w:id="91"/>
      <w:bookmarkStart w:id="92" w:name="_Toc184310326"/>
      <w:bookmarkEnd w:id="92"/>
      <w:bookmarkStart w:id="93" w:name="_Toc184308069"/>
      <w:bookmarkEnd w:id="93"/>
      <w:bookmarkStart w:id="94" w:name="_Toc184314415"/>
      <w:bookmarkEnd w:id="94"/>
      <w:bookmarkStart w:id="95" w:name="_Toc184310339"/>
      <w:bookmarkEnd w:id="95"/>
      <w:bookmarkStart w:id="96" w:name="_Toc184314452"/>
      <w:bookmarkEnd w:id="96"/>
      <w:bookmarkStart w:id="97" w:name="_Toc184310333"/>
      <w:bookmarkEnd w:id="97"/>
      <w:bookmarkStart w:id="98" w:name="_Toc184313246"/>
      <w:bookmarkEnd w:id="98"/>
      <w:bookmarkStart w:id="99" w:name="_Toc184308099"/>
      <w:bookmarkEnd w:id="99"/>
      <w:bookmarkStart w:id="100" w:name="_Toc184312096"/>
      <w:bookmarkEnd w:id="100"/>
      <w:bookmarkStart w:id="101" w:name="_Toc184313283"/>
      <w:bookmarkEnd w:id="101"/>
      <w:bookmarkStart w:id="102" w:name="_Toc184308071"/>
      <w:bookmarkEnd w:id="102"/>
      <w:bookmarkStart w:id="103" w:name="_Toc184308098"/>
      <w:bookmarkEnd w:id="103"/>
      <w:bookmarkStart w:id="104" w:name="_Toc184314445"/>
      <w:bookmarkEnd w:id="104"/>
      <w:bookmarkStart w:id="105" w:name="_Toc184310337"/>
      <w:bookmarkEnd w:id="105"/>
      <w:bookmarkStart w:id="106" w:name="_Toc184312133"/>
      <w:bookmarkEnd w:id="106"/>
      <w:bookmarkStart w:id="107" w:name="_Toc184308044"/>
      <w:bookmarkEnd w:id="107"/>
      <w:bookmarkStart w:id="108" w:name="_Toc184308093"/>
      <w:bookmarkEnd w:id="108"/>
      <w:bookmarkStart w:id="109" w:name="_Toc184314479"/>
      <w:bookmarkEnd w:id="109"/>
      <w:bookmarkStart w:id="110" w:name="_Toc184308072"/>
      <w:bookmarkEnd w:id="110"/>
      <w:bookmarkStart w:id="111" w:name="_Toc184312132"/>
      <w:bookmarkEnd w:id="111"/>
      <w:bookmarkStart w:id="112" w:name="_Toc184314481"/>
      <w:bookmarkEnd w:id="112"/>
      <w:bookmarkStart w:id="113" w:name="_Toc184314462"/>
      <w:bookmarkEnd w:id="113"/>
      <w:bookmarkStart w:id="114" w:name="_Toc184310278"/>
      <w:bookmarkEnd w:id="114"/>
      <w:bookmarkStart w:id="115" w:name="_Toc184313265"/>
      <w:bookmarkEnd w:id="115"/>
      <w:bookmarkStart w:id="116" w:name="_Toc184310341"/>
      <w:bookmarkEnd w:id="116"/>
      <w:bookmarkStart w:id="117" w:name="_Toc184313253"/>
      <w:bookmarkEnd w:id="117"/>
      <w:bookmarkStart w:id="118" w:name="_Toc184308095"/>
      <w:bookmarkEnd w:id="118"/>
      <w:bookmarkStart w:id="119" w:name="_Toc184308100"/>
      <w:bookmarkEnd w:id="119"/>
      <w:bookmarkStart w:id="120" w:name="_Toc184308066"/>
      <w:bookmarkEnd w:id="120"/>
      <w:bookmarkStart w:id="121" w:name="_Toc184314414"/>
      <w:bookmarkEnd w:id="121"/>
      <w:bookmarkStart w:id="122" w:name="_Toc184314482"/>
      <w:bookmarkEnd w:id="122"/>
      <w:bookmarkStart w:id="123" w:name="_Toc184314467"/>
      <w:bookmarkEnd w:id="123"/>
      <w:bookmarkStart w:id="124" w:name="_Toc184312091"/>
      <w:bookmarkEnd w:id="124"/>
      <w:bookmarkStart w:id="125" w:name="_Toc184308083"/>
      <w:bookmarkEnd w:id="125"/>
      <w:bookmarkStart w:id="126" w:name="_Toc184308067"/>
      <w:bookmarkEnd w:id="126"/>
      <w:bookmarkStart w:id="127" w:name="_Toc184314477"/>
      <w:bookmarkEnd w:id="127"/>
      <w:bookmarkStart w:id="128" w:name="_Toc184308052"/>
      <w:bookmarkEnd w:id="128"/>
      <w:bookmarkStart w:id="129" w:name="_Toc184313261"/>
      <w:bookmarkEnd w:id="129"/>
      <w:bookmarkStart w:id="130" w:name="_Toc184313247"/>
      <w:bookmarkEnd w:id="130"/>
      <w:bookmarkStart w:id="131" w:name="_Toc184313251"/>
      <w:bookmarkEnd w:id="131"/>
      <w:bookmarkStart w:id="132" w:name="_Toc184314434"/>
      <w:bookmarkEnd w:id="132"/>
      <w:bookmarkStart w:id="133" w:name="_Toc184313293"/>
      <w:bookmarkEnd w:id="133"/>
      <w:bookmarkStart w:id="134" w:name="_Toc184313305"/>
      <w:bookmarkEnd w:id="134"/>
      <w:bookmarkStart w:id="135" w:name="_Toc184308065"/>
      <w:bookmarkEnd w:id="135"/>
      <w:bookmarkStart w:id="136" w:name="_Toc184308084"/>
      <w:bookmarkEnd w:id="136"/>
      <w:bookmarkStart w:id="137" w:name="_Toc184308094"/>
      <w:bookmarkEnd w:id="137"/>
      <w:bookmarkStart w:id="138" w:name="_Toc184310335"/>
      <w:bookmarkEnd w:id="138"/>
      <w:bookmarkStart w:id="139" w:name="_Toc184308043"/>
      <w:bookmarkEnd w:id="139"/>
      <w:bookmarkStart w:id="140" w:name="_Toc184308096"/>
      <w:bookmarkEnd w:id="140"/>
      <w:bookmarkStart w:id="141" w:name="_Toc184312105"/>
      <w:bookmarkEnd w:id="141"/>
      <w:bookmarkStart w:id="142" w:name="_Toc184314442"/>
      <w:bookmarkEnd w:id="142"/>
      <w:bookmarkStart w:id="143" w:name="_Toc184310328"/>
      <w:bookmarkEnd w:id="143"/>
      <w:bookmarkStart w:id="144" w:name="_Toc184312086"/>
      <w:bookmarkEnd w:id="144"/>
      <w:bookmarkStart w:id="145" w:name="_Toc184314419"/>
      <w:bookmarkEnd w:id="145"/>
      <w:bookmarkStart w:id="146" w:name="_Toc184314433"/>
      <w:bookmarkEnd w:id="146"/>
      <w:bookmarkStart w:id="147" w:name="_Toc184313245"/>
      <w:bookmarkEnd w:id="147"/>
      <w:bookmarkStart w:id="148" w:name="_Toc184314421"/>
      <w:bookmarkEnd w:id="148"/>
      <w:bookmarkStart w:id="149" w:name="_Toc184312095"/>
      <w:bookmarkEnd w:id="149"/>
      <w:bookmarkStart w:id="150" w:name="_Toc184313256"/>
      <w:bookmarkEnd w:id="150"/>
      <w:bookmarkStart w:id="151" w:name="_Toc184313257"/>
      <w:bookmarkEnd w:id="151"/>
      <w:bookmarkStart w:id="152" w:name="_Toc184314418"/>
      <w:bookmarkEnd w:id="152"/>
      <w:bookmarkStart w:id="153" w:name="_Toc184308078"/>
      <w:bookmarkEnd w:id="153"/>
      <w:bookmarkStart w:id="154" w:name="_Toc184312127"/>
      <w:bookmarkEnd w:id="154"/>
      <w:bookmarkStart w:id="155" w:name="_Toc184308090"/>
      <w:bookmarkEnd w:id="155"/>
      <w:bookmarkStart w:id="156" w:name="_Toc184312076"/>
      <w:bookmarkEnd w:id="156"/>
      <w:bookmarkStart w:id="157" w:name="_Toc184312125"/>
      <w:bookmarkEnd w:id="157"/>
      <w:bookmarkStart w:id="158" w:name="_Toc184312069"/>
      <w:bookmarkEnd w:id="158"/>
      <w:bookmarkStart w:id="159" w:name="_Toc184312126"/>
      <w:bookmarkEnd w:id="159"/>
      <w:bookmarkStart w:id="160" w:name="_Toc184313308"/>
      <w:bookmarkEnd w:id="160"/>
      <w:bookmarkStart w:id="161" w:name="_Toc184310316"/>
      <w:bookmarkEnd w:id="161"/>
      <w:bookmarkStart w:id="162" w:name="_Toc184310342"/>
      <w:bookmarkEnd w:id="162"/>
      <w:bookmarkStart w:id="163" w:name="_Toc184312082"/>
      <w:bookmarkEnd w:id="163"/>
      <w:bookmarkStart w:id="164" w:name="_Toc184314420"/>
      <w:bookmarkEnd w:id="164"/>
      <w:bookmarkStart w:id="165" w:name="_Toc184312137"/>
      <w:bookmarkEnd w:id="165"/>
      <w:bookmarkStart w:id="166" w:name="_Toc184314424"/>
      <w:bookmarkEnd w:id="166"/>
      <w:bookmarkStart w:id="167" w:name="_Toc184312079"/>
      <w:bookmarkEnd w:id="167"/>
      <w:bookmarkStart w:id="168" w:name="_Toc184312124"/>
      <w:bookmarkEnd w:id="168"/>
      <w:bookmarkStart w:id="169" w:name="_Toc184313282"/>
      <w:bookmarkEnd w:id="169"/>
      <w:bookmarkStart w:id="170" w:name="_Toc184310320"/>
      <w:bookmarkEnd w:id="170"/>
      <w:bookmarkStart w:id="171" w:name="_Toc184310297"/>
      <w:bookmarkEnd w:id="171"/>
      <w:bookmarkStart w:id="172" w:name="_Toc184313273"/>
      <w:bookmarkEnd w:id="172"/>
      <w:bookmarkStart w:id="173" w:name="_Toc184314432"/>
      <w:bookmarkEnd w:id="173"/>
      <w:bookmarkStart w:id="174" w:name="_Toc184310282"/>
      <w:bookmarkEnd w:id="174"/>
      <w:bookmarkStart w:id="175" w:name="_Toc184314460"/>
      <w:bookmarkEnd w:id="175"/>
      <w:bookmarkStart w:id="176" w:name="_Toc184312073"/>
      <w:bookmarkEnd w:id="176"/>
      <w:bookmarkStart w:id="177" w:name="_Toc184312090"/>
      <w:bookmarkEnd w:id="177"/>
      <w:bookmarkStart w:id="178" w:name="_Toc184313244"/>
      <w:bookmarkEnd w:id="178"/>
      <w:bookmarkStart w:id="179" w:name="_Toc184308063"/>
      <w:bookmarkEnd w:id="179"/>
      <w:bookmarkStart w:id="180" w:name="_Toc184308108"/>
      <w:bookmarkEnd w:id="180"/>
      <w:bookmarkStart w:id="181" w:name="_Toc184312128"/>
      <w:bookmarkEnd w:id="181"/>
      <w:bookmarkStart w:id="182" w:name="_Toc184314431"/>
      <w:bookmarkEnd w:id="182"/>
      <w:bookmarkStart w:id="183" w:name="_Toc184308075"/>
      <w:bookmarkEnd w:id="183"/>
      <w:bookmarkStart w:id="184" w:name="_Toc184313271"/>
      <w:bookmarkEnd w:id="184"/>
      <w:bookmarkStart w:id="185" w:name="_Toc184312119"/>
      <w:bookmarkEnd w:id="185"/>
      <w:bookmarkStart w:id="186" w:name="_Toc184308102"/>
      <w:bookmarkEnd w:id="186"/>
      <w:bookmarkStart w:id="187" w:name="_Toc184314448"/>
      <w:bookmarkEnd w:id="187"/>
      <w:bookmarkStart w:id="188" w:name="_Toc184313295"/>
      <w:bookmarkEnd w:id="188"/>
      <w:bookmarkStart w:id="189" w:name="_Toc184314453"/>
      <w:bookmarkEnd w:id="189"/>
      <w:bookmarkStart w:id="190" w:name="_Toc184314428"/>
      <w:bookmarkEnd w:id="190"/>
      <w:bookmarkStart w:id="191" w:name="_Toc184310311"/>
      <w:bookmarkEnd w:id="191"/>
      <w:bookmarkStart w:id="192" w:name="_Toc184313259"/>
      <w:bookmarkEnd w:id="192"/>
      <w:bookmarkStart w:id="193" w:name="_Toc184310325"/>
      <w:bookmarkEnd w:id="193"/>
      <w:bookmarkStart w:id="194" w:name="_Toc184312081"/>
      <w:bookmarkEnd w:id="194"/>
      <w:bookmarkStart w:id="195" w:name="_Toc184308104"/>
      <w:bookmarkEnd w:id="195"/>
      <w:bookmarkStart w:id="196" w:name="_Toc184310344"/>
      <w:bookmarkEnd w:id="196"/>
      <w:bookmarkStart w:id="197" w:name="_Toc184314439"/>
      <w:bookmarkEnd w:id="197"/>
      <w:bookmarkStart w:id="198" w:name="_Toc184313284"/>
      <w:bookmarkEnd w:id="198"/>
      <w:bookmarkStart w:id="199" w:name="_Toc184308048"/>
      <w:bookmarkEnd w:id="199"/>
      <w:bookmarkStart w:id="200" w:name="_Toc184314416"/>
      <w:bookmarkEnd w:id="200"/>
      <w:bookmarkStart w:id="201" w:name="_Toc184310336"/>
      <w:bookmarkEnd w:id="201"/>
      <w:bookmarkStart w:id="202" w:name="_Toc184312102"/>
      <w:bookmarkEnd w:id="202"/>
      <w:bookmarkStart w:id="203" w:name="_Toc184314454"/>
      <w:bookmarkEnd w:id="203"/>
      <w:bookmarkStart w:id="204" w:name="_Toc184313264"/>
      <w:bookmarkEnd w:id="204"/>
      <w:bookmarkStart w:id="205" w:name="_Toc184313287"/>
      <w:bookmarkEnd w:id="205"/>
      <w:bookmarkStart w:id="206" w:name="_Toc184310285"/>
      <w:bookmarkEnd w:id="206"/>
      <w:bookmarkStart w:id="207" w:name="_Toc184312116"/>
      <w:bookmarkEnd w:id="207"/>
      <w:bookmarkStart w:id="208" w:name="_Toc184312112"/>
      <w:bookmarkEnd w:id="208"/>
      <w:bookmarkStart w:id="209" w:name="_Toc184312080"/>
      <w:bookmarkEnd w:id="209"/>
      <w:bookmarkStart w:id="210" w:name="_Toc184314423"/>
      <w:bookmarkEnd w:id="210"/>
      <w:bookmarkStart w:id="211" w:name="_Toc184314465"/>
      <w:bookmarkEnd w:id="211"/>
      <w:bookmarkStart w:id="212" w:name="_Toc184310330"/>
      <w:bookmarkEnd w:id="212"/>
      <w:bookmarkStart w:id="213" w:name="_Toc184308051"/>
      <w:bookmarkEnd w:id="213"/>
      <w:bookmarkStart w:id="214" w:name="_Toc184310329"/>
      <w:bookmarkEnd w:id="214"/>
      <w:bookmarkStart w:id="215" w:name="_Toc184308086"/>
      <w:bookmarkEnd w:id="215"/>
      <w:bookmarkStart w:id="216" w:name="_Toc184314480"/>
      <w:bookmarkEnd w:id="216"/>
      <w:bookmarkStart w:id="217" w:name="_Toc184312077"/>
      <w:bookmarkEnd w:id="217"/>
      <w:bookmarkStart w:id="218" w:name="_Toc184314441"/>
      <w:bookmarkEnd w:id="218"/>
      <w:bookmarkStart w:id="219" w:name="_Toc184308080"/>
      <w:bookmarkEnd w:id="219"/>
      <w:bookmarkStart w:id="220" w:name="_Toc184312093"/>
      <w:bookmarkEnd w:id="220"/>
      <w:bookmarkStart w:id="221" w:name="_Toc184314449"/>
      <w:bookmarkEnd w:id="221"/>
      <w:bookmarkStart w:id="222" w:name="_Toc184308068"/>
      <w:bookmarkEnd w:id="222"/>
      <w:bookmarkStart w:id="223" w:name="_Toc184310332"/>
      <w:bookmarkEnd w:id="223"/>
      <w:bookmarkStart w:id="224" w:name="_Toc184308091"/>
      <w:bookmarkEnd w:id="224"/>
      <w:bookmarkStart w:id="225" w:name="_Toc184313298"/>
      <w:bookmarkEnd w:id="225"/>
      <w:bookmarkStart w:id="226" w:name="_Toc184312098"/>
      <w:bookmarkEnd w:id="226"/>
      <w:bookmarkStart w:id="227" w:name="_Toc184312129"/>
      <w:bookmarkEnd w:id="227"/>
      <w:bookmarkStart w:id="228" w:name="_Toc184308059"/>
      <w:bookmarkEnd w:id="228"/>
      <w:bookmarkStart w:id="229" w:name="_Toc184312138"/>
      <w:bookmarkEnd w:id="229"/>
      <w:bookmarkStart w:id="230" w:name="_Toc184314451"/>
      <w:bookmarkEnd w:id="230"/>
      <w:bookmarkStart w:id="231" w:name="_Toc184313266"/>
      <w:bookmarkEnd w:id="231"/>
      <w:bookmarkStart w:id="232" w:name="_Toc184310343"/>
      <w:bookmarkEnd w:id="232"/>
      <w:bookmarkStart w:id="233" w:name="_Toc184312084"/>
      <w:bookmarkEnd w:id="233"/>
      <w:bookmarkStart w:id="234" w:name="_Toc184308076"/>
      <w:bookmarkEnd w:id="234"/>
      <w:bookmarkStart w:id="235" w:name="_Toc184312120"/>
      <w:bookmarkEnd w:id="235"/>
      <w:bookmarkStart w:id="236" w:name="_Toc184310310"/>
      <w:bookmarkEnd w:id="236"/>
      <w:bookmarkStart w:id="237" w:name="_Toc184308062"/>
      <w:bookmarkEnd w:id="237"/>
      <w:bookmarkStart w:id="238" w:name="_Toc184310277"/>
      <w:bookmarkEnd w:id="238"/>
      <w:bookmarkStart w:id="239" w:name="_Toc184313290"/>
      <w:bookmarkEnd w:id="239"/>
      <w:bookmarkStart w:id="240" w:name="_Toc184310275"/>
      <w:bookmarkEnd w:id="240"/>
      <w:bookmarkStart w:id="241" w:name="_Toc184313242"/>
      <w:bookmarkEnd w:id="241"/>
      <w:bookmarkStart w:id="242" w:name="_Toc184312122"/>
      <w:bookmarkEnd w:id="242"/>
      <w:bookmarkStart w:id="243" w:name="_Toc184310272"/>
      <w:bookmarkEnd w:id="243"/>
      <w:bookmarkStart w:id="244" w:name="_Toc184312092"/>
      <w:bookmarkEnd w:id="244"/>
      <w:bookmarkStart w:id="245" w:name="_Toc184313303"/>
      <w:bookmarkEnd w:id="245"/>
      <w:bookmarkStart w:id="246" w:name="_Toc184310294"/>
      <w:bookmarkEnd w:id="246"/>
      <w:bookmarkStart w:id="247" w:name="_Toc184312103"/>
      <w:bookmarkEnd w:id="247"/>
      <w:bookmarkStart w:id="248" w:name="_Toc184314463"/>
      <w:bookmarkEnd w:id="248"/>
      <w:bookmarkStart w:id="249" w:name="_Toc184314475"/>
      <w:bookmarkEnd w:id="249"/>
      <w:bookmarkStart w:id="250" w:name="_Toc184310293"/>
      <w:bookmarkEnd w:id="250"/>
      <w:bookmarkStart w:id="251" w:name="_Toc184310302"/>
      <w:bookmarkEnd w:id="251"/>
      <w:bookmarkStart w:id="252" w:name="_Toc184314469"/>
      <w:bookmarkEnd w:id="252"/>
      <w:bookmarkStart w:id="253" w:name="_Toc184310317"/>
      <w:bookmarkEnd w:id="253"/>
      <w:bookmarkStart w:id="254" w:name="_Toc184310322"/>
      <w:bookmarkEnd w:id="254"/>
      <w:bookmarkStart w:id="255" w:name="_Toc184313286"/>
      <w:bookmarkEnd w:id="255"/>
      <w:bookmarkStart w:id="256" w:name="_Toc184313274"/>
      <w:bookmarkEnd w:id="256"/>
      <w:bookmarkStart w:id="257" w:name="_Toc184308045"/>
      <w:bookmarkEnd w:id="257"/>
      <w:bookmarkStart w:id="258" w:name="_Toc184312114"/>
      <w:bookmarkEnd w:id="258"/>
      <w:bookmarkStart w:id="259" w:name="_Toc184308037"/>
      <w:bookmarkEnd w:id="259"/>
      <w:bookmarkStart w:id="260" w:name="_Toc184308042"/>
      <w:bookmarkEnd w:id="260"/>
      <w:bookmarkStart w:id="261" w:name="_Toc184312135"/>
      <w:bookmarkEnd w:id="261"/>
      <w:bookmarkStart w:id="262" w:name="_Toc184314436"/>
      <w:bookmarkEnd w:id="262"/>
      <w:bookmarkStart w:id="263" w:name="_Toc184313269"/>
      <w:bookmarkEnd w:id="263"/>
      <w:bookmarkStart w:id="264" w:name="_Toc184312078"/>
      <w:bookmarkEnd w:id="264"/>
      <w:bookmarkStart w:id="265" w:name="_Toc184308050"/>
      <w:bookmarkEnd w:id="265"/>
      <w:bookmarkStart w:id="266" w:name="_Toc184310331"/>
      <w:bookmarkEnd w:id="266"/>
      <w:bookmarkStart w:id="267" w:name="_Toc184314425"/>
      <w:bookmarkEnd w:id="267"/>
      <w:bookmarkStart w:id="268" w:name="_Toc184310323"/>
      <w:bookmarkEnd w:id="268"/>
      <w:bookmarkStart w:id="269" w:name="_Toc184313289"/>
      <w:bookmarkEnd w:id="269"/>
      <w:bookmarkStart w:id="270" w:name="_Toc184308064"/>
      <w:bookmarkEnd w:id="270"/>
      <w:bookmarkStart w:id="271" w:name="_Toc184314455"/>
      <w:bookmarkEnd w:id="271"/>
      <w:bookmarkStart w:id="272" w:name="_Toc184308107"/>
      <w:bookmarkEnd w:id="272"/>
      <w:bookmarkStart w:id="273" w:name="_Toc184313268"/>
      <w:bookmarkEnd w:id="273"/>
      <w:bookmarkStart w:id="274" w:name="_Toc184310286"/>
      <w:bookmarkEnd w:id="274"/>
      <w:bookmarkStart w:id="275" w:name="_Toc184308101"/>
      <w:bookmarkEnd w:id="275"/>
      <w:bookmarkStart w:id="276" w:name="_Toc184312075"/>
      <w:bookmarkEnd w:id="276"/>
      <w:bookmarkStart w:id="277" w:name="_Toc184314410"/>
      <w:bookmarkEnd w:id="277"/>
      <w:bookmarkStart w:id="278" w:name="_Toc184308079"/>
      <w:bookmarkEnd w:id="278"/>
      <w:bookmarkStart w:id="279" w:name="_Toc184313310"/>
      <w:bookmarkEnd w:id="279"/>
      <w:bookmarkStart w:id="280" w:name="_Toc184314478"/>
      <w:bookmarkEnd w:id="280"/>
      <w:bookmarkStart w:id="281" w:name="_Toc184314456"/>
      <w:bookmarkEnd w:id="281"/>
      <w:bookmarkStart w:id="282" w:name="_Toc184313281"/>
      <w:bookmarkEnd w:id="282"/>
      <w:bookmarkStart w:id="283" w:name="_Toc184312115"/>
      <w:bookmarkEnd w:id="283"/>
      <w:bookmarkStart w:id="284" w:name="_Toc184312118"/>
      <w:bookmarkEnd w:id="284"/>
      <w:bookmarkStart w:id="285" w:name="_Toc184312110"/>
      <w:bookmarkEnd w:id="285"/>
      <w:bookmarkStart w:id="286" w:name="_Toc184308081"/>
      <w:bookmarkEnd w:id="286"/>
      <w:bookmarkStart w:id="287" w:name="_Toc184310313"/>
      <w:bookmarkEnd w:id="287"/>
      <w:bookmarkStart w:id="288" w:name="_Toc184312067"/>
      <w:bookmarkEnd w:id="288"/>
      <w:bookmarkStart w:id="289" w:name="_Toc184308082"/>
      <w:bookmarkEnd w:id="289"/>
      <w:bookmarkStart w:id="290" w:name="_Toc184312136"/>
      <w:bookmarkEnd w:id="290"/>
      <w:bookmarkStart w:id="291" w:name="_Toc184310312"/>
      <w:bookmarkEnd w:id="291"/>
      <w:bookmarkStart w:id="292" w:name="_Toc184308060"/>
      <w:bookmarkEnd w:id="292"/>
      <w:bookmarkStart w:id="293" w:name="_Toc184312108"/>
      <w:bookmarkEnd w:id="293"/>
      <w:bookmarkStart w:id="294" w:name="_Toc184313278"/>
      <w:bookmarkEnd w:id="294"/>
      <w:bookmarkStart w:id="295" w:name="_Toc184313306"/>
      <w:bookmarkEnd w:id="295"/>
      <w:bookmarkStart w:id="296" w:name="_Toc184314447"/>
      <w:bookmarkEnd w:id="296"/>
      <w:bookmarkStart w:id="297" w:name="_Toc184312088"/>
      <w:bookmarkEnd w:id="297"/>
      <w:bookmarkStart w:id="298" w:name="_Toc184308074"/>
      <w:bookmarkEnd w:id="298"/>
      <w:bookmarkStart w:id="299" w:name="_Toc184310307"/>
      <w:bookmarkEnd w:id="299"/>
      <w:bookmarkStart w:id="300" w:name="_Toc184313255"/>
      <w:bookmarkEnd w:id="300"/>
      <w:bookmarkStart w:id="301" w:name="_Toc184313248"/>
      <w:bookmarkEnd w:id="301"/>
      <w:bookmarkStart w:id="302" w:name="_Toc184308092"/>
      <w:bookmarkEnd w:id="302"/>
      <w:bookmarkStart w:id="303" w:name="_Toc184310301"/>
      <w:bookmarkEnd w:id="303"/>
      <w:bookmarkStart w:id="304" w:name="_Toc184308088"/>
      <w:bookmarkEnd w:id="304"/>
      <w:bookmarkStart w:id="305" w:name="_Toc184310298"/>
      <w:bookmarkEnd w:id="305"/>
      <w:bookmarkStart w:id="306" w:name="_Toc184308058"/>
      <w:bookmarkEnd w:id="306"/>
      <w:bookmarkStart w:id="307" w:name="_Toc184308073"/>
      <w:bookmarkEnd w:id="307"/>
      <w:bookmarkStart w:id="308" w:name="_Toc184313239"/>
      <w:bookmarkEnd w:id="308"/>
      <w:bookmarkStart w:id="309" w:name="_Toc184308061"/>
      <w:bookmarkEnd w:id="309"/>
      <w:bookmarkStart w:id="310" w:name="_Toc184314426"/>
      <w:bookmarkEnd w:id="310"/>
      <w:bookmarkStart w:id="311" w:name="_Toc184313276"/>
      <w:bookmarkEnd w:id="311"/>
      <w:bookmarkStart w:id="312" w:name="_Toc184314450"/>
      <w:bookmarkEnd w:id="312"/>
      <w:bookmarkStart w:id="313" w:name="_Toc184312104"/>
      <w:bookmarkEnd w:id="313"/>
      <w:bookmarkStart w:id="314" w:name="_Toc184314427"/>
      <w:bookmarkEnd w:id="314"/>
      <w:bookmarkStart w:id="315" w:name="_Toc184310305"/>
      <w:bookmarkEnd w:id="315"/>
      <w:bookmarkStart w:id="316" w:name="_Toc184312131"/>
      <w:bookmarkEnd w:id="316"/>
      <w:bookmarkStart w:id="317" w:name="_Toc184312085"/>
      <w:bookmarkEnd w:id="317"/>
      <w:bookmarkStart w:id="318" w:name="_Toc184310303"/>
      <w:bookmarkEnd w:id="318"/>
      <w:bookmarkStart w:id="319" w:name="_Toc184312107"/>
      <w:bookmarkEnd w:id="319"/>
      <w:bookmarkStart w:id="320" w:name="_Toc184310308"/>
      <w:bookmarkEnd w:id="320"/>
      <w:bookmarkStart w:id="321" w:name="_Toc184314440"/>
      <w:bookmarkEnd w:id="321"/>
      <w:bookmarkStart w:id="322" w:name="_Toc184312130"/>
      <w:bookmarkEnd w:id="322"/>
      <w:bookmarkStart w:id="323" w:name="_Toc184312139"/>
      <w:bookmarkEnd w:id="323"/>
      <w:bookmarkStart w:id="324" w:name="_Toc184313270"/>
      <w:bookmarkEnd w:id="324"/>
      <w:bookmarkStart w:id="325" w:name="_Toc184314443"/>
      <w:bookmarkEnd w:id="325"/>
      <w:bookmarkStart w:id="326" w:name="_Toc184312101"/>
      <w:bookmarkEnd w:id="326"/>
      <w:bookmarkStart w:id="327" w:name="_Toc184310300"/>
      <w:bookmarkEnd w:id="327"/>
      <w:bookmarkStart w:id="328" w:name="_Toc184308054"/>
      <w:bookmarkEnd w:id="328"/>
      <w:bookmarkStart w:id="329" w:name="_Toc184310315"/>
      <w:bookmarkEnd w:id="329"/>
      <w:bookmarkStart w:id="330" w:name="_Toc184313240"/>
      <w:bookmarkEnd w:id="330"/>
      <w:bookmarkStart w:id="331" w:name="_Toc184313260"/>
      <w:bookmarkEnd w:id="331"/>
      <w:bookmarkStart w:id="332" w:name="_Toc184310299"/>
      <w:bookmarkEnd w:id="332"/>
      <w:bookmarkStart w:id="333" w:name="_Toc184314458"/>
      <w:bookmarkEnd w:id="333"/>
      <w:bookmarkStart w:id="334" w:name="_Toc184314466"/>
      <w:bookmarkEnd w:id="334"/>
      <w:bookmarkStart w:id="335" w:name="_Toc184314457"/>
      <w:bookmarkEnd w:id="335"/>
      <w:bookmarkStart w:id="336" w:name="_Toc184313288"/>
      <w:bookmarkEnd w:id="336"/>
      <w:bookmarkStart w:id="337" w:name="_Toc184313238"/>
      <w:bookmarkEnd w:id="337"/>
      <w:bookmarkStart w:id="338" w:name="_Toc184312097"/>
      <w:bookmarkEnd w:id="338"/>
      <w:bookmarkStart w:id="339" w:name="_Toc184312109"/>
      <w:bookmarkEnd w:id="339"/>
      <w:bookmarkStart w:id="340" w:name="_Toc184310296"/>
      <w:bookmarkEnd w:id="340"/>
      <w:bookmarkStart w:id="341" w:name="_Toc184313258"/>
      <w:bookmarkEnd w:id="341"/>
      <w:bookmarkStart w:id="342" w:name="_Toc184312087"/>
      <w:bookmarkEnd w:id="342"/>
      <w:bookmarkStart w:id="343" w:name="_Toc184313241"/>
      <w:bookmarkEnd w:id="343"/>
      <w:bookmarkStart w:id="344" w:name="_Toc184308057"/>
      <w:bookmarkEnd w:id="344"/>
      <w:bookmarkStart w:id="345" w:name="_Toc184313254"/>
      <w:bookmarkEnd w:id="345"/>
      <w:bookmarkStart w:id="346" w:name="_Toc184313297"/>
      <w:bookmarkEnd w:id="346"/>
      <w:bookmarkStart w:id="347" w:name="_Toc184313249"/>
      <w:bookmarkEnd w:id="347"/>
      <w:bookmarkStart w:id="348" w:name="_Toc184312100"/>
      <w:bookmarkEnd w:id="348"/>
      <w:bookmarkStart w:id="349" w:name="_Toc184312123"/>
      <w:bookmarkEnd w:id="349"/>
      <w:bookmarkStart w:id="350" w:name="_Toc184313272"/>
      <w:bookmarkEnd w:id="350"/>
      <w:bookmarkStart w:id="351" w:name="_Toc184310274"/>
      <w:bookmarkEnd w:id="351"/>
      <w:bookmarkStart w:id="352" w:name="_Toc184310309"/>
      <w:bookmarkEnd w:id="352"/>
      <w:bookmarkStart w:id="353" w:name="_Toc184313277"/>
      <w:bookmarkEnd w:id="353"/>
      <w:bookmarkStart w:id="354" w:name="_Toc184312099"/>
      <w:bookmarkEnd w:id="354"/>
      <w:bookmarkStart w:id="355" w:name="_Toc184314411"/>
      <w:bookmarkEnd w:id="355"/>
      <w:bookmarkStart w:id="356" w:name="_Toc184312083"/>
      <w:bookmarkEnd w:id="356"/>
      <w:bookmarkStart w:id="357" w:name="_Toc184310306"/>
      <w:bookmarkEnd w:id="357"/>
      <w:bookmarkStart w:id="358" w:name="_Toc184313263"/>
      <w:bookmarkEnd w:id="358"/>
      <w:bookmarkStart w:id="359" w:name="_Toc184310273"/>
      <w:bookmarkEnd w:id="359"/>
      <w:bookmarkStart w:id="360" w:name="_Toc184313302"/>
      <w:bookmarkEnd w:id="360"/>
      <w:bookmarkStart w:id="361" w:name="_Toc184313296"/>
      <w:bookmarkEnd w:id="361"/>
      <w:bookmarkStart w:id="362" w:name="_Toc184310279"/>
      <w:bookmarkEnd w:id="362"/>
      <w:bookmarkStart w:id="363" w:name="_Toc184310304"/>
      <w:bookmarkEnd w:id="363"/>
      <w:bookmarkStart w:id="364" w:name="_Toc184314435"/>
      <w:bookmarkEnd w:id="364"/>
      <w:bookmarkStart w:id="365" w:name="_Toc184312070"/>
      <w:bookmarkEnd w:id="365"/>
      <w:bookmarkStart w:id="366" w:name="_Toc184313285"/>
      <w:bookmarkEnd w:id="366"/>
      <w:bookmarkStart w:id="367" w:name="_Toc184312106"/>
      <w:bookmarkEnd w:id="367"/>
      <w:r>
        <w:rPr>
          <w:rFonts w:hint="eastAsia" w:ascii="仿宋" w:hAnsi="仿宋" w:eastAsia="仿宋" w:cs="仿宋"/>
          <w:color w:val="auto"/>
          <w:highlight w:val="none"/>
        </w:rPr>
        <w:t>评标办法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43"/>
        <w:gridCol w:w="648"/>
        <w:gridCol w:w="5769"/>
        <w:gridCol w:w="82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1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2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83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宋体" w:hAnsi="宋体" w:eastAsia="宋体" w:cs="宋体"/>
                <w:color w:val="auto"/>
                <w:highlight w:val="none"/>
              </w:rPr>
              <w:t>商务资信分（</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w:t>
            </w: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6417" w:type="dxa"/>
            <w:gridSpan w:val="2"/>
            <w:vAlign w:val="center"/>
          </w:tcPr>
          <w:p>
            <w:pPr>
              <w:keepNext w:val="0"/>
              <w:keepLines w:val="0"/>
              <w:pageBreakBefore w:val="0"/>
              <w:widowControl/>
              <w:kinsoku/>
              <w:wordWrap/>
              <w:overflowPunct/>
              <w:topLinePunct w:val="0"/>
              <w:bidi w:val="0"/>
              <w:adjustRightInd/>
              <w:snapToGrid/>
              <w:spacing w:after="0" w:line="24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投标人具有ISO9001质量管理体系认证、ISO14001环境管理体系认证、ISO45001职业健康安全管理体系认证</w:t>
            </w:r>
            <w:r>
              <w:rPr>
                <w:rFonts w:hint="eastAsia" w:ascii="仿宋" w:hAnsi="仿宋" w:eastAsia="仿宋" w:cs="仿宋"/>
                <w:b w:val="0"/>
                <w:bCs/>
                <w:color w:val="auto"/>
                <w:kern w:val="0"/>
                <w:sz w:val="24"/>
                <w:szCs w:val="24"/>
                <w:highlight w:val="none"/>
                <w:lang w:eastAsia="zh-CN"/>
              </w:rPr>
              <w:t>，每项得</w:t>
            </w:r>
            <w:r>
              <w:rPr>
                <w:rFonts w:hint="eastAsia" w:ascii="仿宋" w:hAnsi="仿宋" w:eastAsia="仿宋" w:cs="仿宋"/>
                <w:b w:val="0"/>
                <w:bCs/>
                <w:color w:val="auto"/>
                <w:kern w:val="0"/>
                <w:sz w:val="24"/>
                <w:szCs w:val="24"/>
                <w:highlight w:val="none"/>
                <w:lang w:val="en-US" w:eastAsia="zh-CN"/>
              </w:rPr>
              <w:t>1分，最高得3分。</w:t>
            </w:r>
          </w:p>
          <w:p>
            <w:pPr>
              <w:keepNext w:val="0"/>
              <w:keepLines w:val="0"/>
              <w:pageBreakBefore w:val="0"/>
              <w:widowControl/>
              <w:kinsoku/>
              <w:wordWrap/>
              <w:overflowPunct/>
              <w:topLinePunct w:val="0"/>
              <w:bidi w:val="0"/>
              <w:adjustRightInd/>
              <w:snapToGrid/>
              <w:spacing w:after="0" w:line="240" w:lineRule="auto"/>
              <w:jc w:val="both"/>
              <w:textAlignment w:val="auto"/>
              <w:rPr>
                <w:rFonts w:hint="eastAsia" w:ascii="仿宋" w:hAnsi="仿宋" w:eastAsia="仿宋" w:cs="仿宋"/>
                <w:b w:val="0"/>
                <w:bCs/>
                <w:snapToGrid w:val="0"/>
                <w:color w:val="auto"/>
                <w:kern w:val="0"/>
                <w:sz w:val="24"/>
                <w:szCs w:val="24"/>
                <w:highlight w:val="none"/>
                <w:lang w:val="zh-CN" w:eastAsia="zh-CN" w:bidi="ar-SA"/>
              </w:rPr>
            </w:pPr>
            <w:r>
              <w:rPr>
                <w:rFonts w:hint="eastAsia" w:ascii="仿宋" w:hAnsi="仿宋" w:eastAsia="仿宋" w:cs="仿宋"/>
                <w:b w:val="0"/>
                <w:bCs/>
                <w:color w:val="auto"/>
                <w:kern w:val="0"/>
                <w:sz w:val="24"/>
                <w:szCs w:val="24"/>
                <w:highlight w:val="none"/>
                <w:lang w:val="en-US" w:eastAsia="zh-CN" w:bidi="ar-SA"/>
              </w:rPr>
              <w:t>（投标文件中须提供清晰可辨的证书扫描件并加盖投标人公章</w:t>
            </w:r>
            <w:r>
              <w:rPr>
                <w:rFonts w:hint="eastAsia" w:cs="仿宋"/>
                <w:b w:val="0"/>
                <w:bCs/>
                <w:color w:val="auto"/>
                <w:kern w:val="0"/>
                <w:sz w:val="24"/>
                <w:szCs w:val="24"/>
                <w:highlight w:val="none"/>
                <w:lang w:val="en-US" w:eastAsia="zh-CN" w:bidi="ar-SA"/>
              </w:rPr>
              <w:t>，</w:t>
            </w:r>
            <w:r>
              <w:rPr>
                <w:rFonts w:hint="eastAsia"/>
                <w:color w:val="auto"/>
                <w:highlight w:val="none"/>
                <w:shd w:val="clear" w:color="auto" w:fill="auto"/>
                <w:lang w:val="en-US" w:eastAsia="zh-CN"/>
              </w:rPr>
              <w:t>否则不得分</w:t>
            </w:r>
            <w:r>
              <w:rPr>
                <w:rFonts w:hint="eastAsia" w:ascii="仿宋" w:hAnsi="仿宋" w:eastAsia="仿宋" w:cs="仿宋"/>
                <w:b w:val="0"/>
                <w:bCs/>
                <w:color w:val="auto"/>
                <w:kern w:val="0"/>
                <w:sz w:val="24"/>
                <w:szCs w:val="24"/>
                <w:highlight w:val="none"/>
                <w:lang w:val="en-US" w:eastAsia="zh-CN" w:bidi="ar-SA"/>
              </w:rPr>
              <w:t>）</w:t>
            </w:r>
          </w:p>
        </w:tc>
        <w:tc>
          <w:tcPr>
            <w:tcW w:w="821"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0-3</w:t>
            </w:r>
          </w:p>
        </w:tc>
        <w:tc>
          <w:tcPr>
            <w:tcW w:w="834"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cs="仿宋"/>
                <w:b w:val="0"/>
                <w:bCs/>
                <w:color w:val="auto"/>
                <w:kern w:val="0"/>
                <w:sz w:val="24"/>
                <w:szCs w:val="24"/>
                <w:highlight w:val="none"/>
                <w:lang w:val="en-US" w:eastAsia="zh-CN"/>
              </w:rPr>
              <w:t>2</w:t>
            </w:r>
          </w:p>
        </w:tc>
        <w:tc>
          <w:tcPr>
            <w:tcW w:w="6417" w:type="dxa"/>
            <w:gridSpan w:val="2"/>
            <w:vAlign w:val="center"/>
          </w:tcPr>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投标人自2019年1月1日至今(以合同签订时间为准）完成过同类案例业绩的，每提供一个业绩得0.5分，最高得2分。</w:t>
            </w:r>
          </w:p>
          <w:p>
            <w:pPr>
              <w:spacing w:after="0"/>
              <w:jc w:val="both"/>
              <w:rPr>
                <w:rFonts w:hint="eastAsia"/>
                <w:color w:val="auto"/>
                <w:highlight w:val="none"/>
                <w:shd w:val="clear" w:color="auto" w:fill="auto"/>
                <w:lang w:val="zh-CN" w:eastAsia="zh-CN"/>
              </w:rPr>
            </w:pPr>
            <w:r>
              <w:rPr>
                <w:rFonts w:hint="eastAsia"/>
                <w:color w:val="auto"/>
                <w:highlight w:val="none"/>
                <w:shd w:val="clear" w:color="auto" w:fill="auto"/>
                <w:lang w:val="en-US" w:eastAsia="zh-CN"/>
              </w:rPr>
              <w:t>（1、合同业绩须为本次投标人的业绩，投标人的独立法人子公司、参股公司的业绩均不予认可。同一个项目续签合同只算1个业绩。2、投标文件中须提供清晰可辨的合同扫描件并加盖投标人公章。）</w:t>
            </w:r>
          </w:p>
        </w:tc>
        <w:tc>
          <w:tcPr>
            <w:tcW w:w="821"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w:t>
            </w:r>
            <w:r>
              <w:rPr>
                <w:rFonts w:hint="eastAsia" w:cs="仿宋"/>
                <w:b w:val="0"/>
                <w:bCs/>
                <w:color w:val="auto"/>
                <w:kern w:val="0"/>
                <w:sz w:val="24"/>
                <w:szCs w:val="24"/>
                <w:highlight w:val="none"/>
                <w:lang w:val="en-US" w:eastAsia="zh-CN"/>
              </w:rPr>
              <w:t>2</w:t>
            </w:r>
          </w:p>
        </w:tc>
        <w:tc>
          <w:tcPr>
            <w:tcW w:w="834"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eastAsia="zh-CN"/>
              </w:rPr>
              <w:t>客观</w:t>
            </w:r>
            <w:r>
              <w:rPr>
                <w:rFonts w:hint="eastAsia" w:ascii="仿宋" w:hAnsi="仿宋" w:eastAsia="仿宋" w:cs="仿宋"/>
                <w:b w:val="0"/>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eastAsia="zh-CN"/>
              </w:rPr>
            </w:pPr>
          </w:p>
        </w:tc>
        <w:tc>
          <w:tcPr>
            <w:tcW w:w="643" w:type="dxa"/>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default" w:ascii="仿宋" w:hAnsi="仿宋" w:eastAsia="仿宋" w:cs="仿宋"/>
                <w:b w:val="0"/>
                <w:bCs/>
                <w:color w:val="auto"/>
                <w:kern w:val="0"/>
                <w:sz w:val="24"/>
                <w:szCs w:val="24"/>
                <w:highlight w:val="none"/>
                <w:lang w:val="en-US" w:eastAsia="zh-CN"/>
              </w:rPr>
            </w:pPr>
            <w:r>
              <w:rPr>
                <w:rFonts w:hint="eastAsia" w:cs="仿宋"/>
                <w:b w:val="0"/>
                <w:bCs/>
                <w:color w:val="auto"/>
                <w:kern w:val="0"/>
                <w:sz w:val="24"/>
                <w:szCs w:val="24"/>
                <w:highlight w:val="none"/>
                <w:lang w:val="en-US" w:eastAsia="zh-CN"/>
              </w:rPr>
              <w:t>3</w:t>
            </w:r>
          </w:p>
        </w:tc>
        <w:tc>
          <w:tcPr>
            <w:tcW w:w="6417" w:type="dxa"/>
            <w:gridSpan w:val="2"/>
            <w:vAlign w:val="center"/>
          </w:tcPr>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 xml:space="preserve"> </w:t>
            </w:r>
            <w:r>
              <w:rPr>
                <w:rFonts w:hint="eastAsia"/>
                <w:color w:val="auto"/>
                <w:highlight w:val="none"/>
                <w:shd w:val="clear" w:color="auto" w:fill="auto"/>
                <w:lang w:val="zh-CN" w:eastAsia="zh-CN"/>
              </w:rPr>
              <w:t>投标人</w:t>
            </w:r>
            <w:r>
              <w:rPr>
                <w:rFonts w:hint="eastAsia"/>
                <w:color w:val="auto"/>
                <w:highlight w:val="none"/>
                <w:shd w:val="clear" w:color="auto" w:fill="auto"/>
                <w:lang w:val="en-US" w:eastAsia="zh-CN"/>
              </w:rPr>
              <w:t>具备再生资源分拣中心或与具备再生资源分拣中心的垃圾终端处理单位有合作关系的得2分。</w:t>
            </w:r>
          </w:p>
          <w:p>
            <w:pPr>
              <w:spacing w:after="0"/>
              <w:jc w:val="both"/>
              <w:rPr>
                <w:rFonts w:hint="eastAsia"/>
                <w:color w:val="auto"/>
                <w:highlight w:val="none"/>
                <w:shd w:val="clear" w:color="auto" w:fill="auto"/>
                <w:lang w:val="en-US" w:eastAsia="zh-CN"/>
              </w:rPr>
            </w:pPr>
            <w:r>
              <w:rPr>
                <w:rFonts w:hint="eastAsia"/>
                <w:color w:val="auto"/>
                <w:highlight w:val="none"/>
                <w:shd w:val="clear" w:color="auto" w:fill="auto"/>
                <w:lang w:val="en-US" w:eastAsia="zh-CN"/>
              </w:rPr>
              <w:t>（</w:t>
            </w:r>
            <w:r>
              <w:rPr>
                <w:rFonts w:hint="eastAsia"/>
                <w:color w:val="auto"/>
                <w:highlight w:val="none"/>
                <w:shd w:val="clear" w:color="auto" w:fill="auto"/>
                <w:lang w:val="zh-CN" w:eastAsia="zh-CN"/>
              </w:rPr>
              <w:t>需提供</w:t>
            </w:r>
            <w:r>
              <w:rPr>
                <w:rFonts w:hint="eastAsia"/>
                <w:color w:val="auto"/>
                <w:highlight w:val="none"/>
                <w:shd w:val="clear" w:color="auto" w:fill="auto"/>
                <w:lang w:val="en-US" w:eastAsia="zh-CN"/>
              </w:rPr>
              <w:t>再生资源分拣中心</w:t>
            </w:r>
            <w:r>
              <w:rPr>
                <w:rFonts w:hint="eastAsia"/>
                <w:color w:val="auto"/>
                <w:highlight w:val="none"/>
                <w:shd w:val="clear" w:color="auto" w:fill="auto"/>
                <w:lang w:val="zh-CN" w:eastAsia="zh-CN"/>
              </w:rPr>
              <w:t>场地照片、用地审批许可证件</w:t>
            </w:r>
            <w:r>
              <w:rPr>
                <w:rFonts w:hint="eastAsia"/>
                <w:color w:val="auto"/>
                <w:highlight w:val="none"/>
                <w:shd w:val="clear" w:color="auto" w:fill="auto"/>
                <w:lang w:val="en-US" w:eastAsia="zh-CN"/>
              </w:rPr>
              <w:t>或产权证书或</w:t>
            </w:r>
            <w:r>
              <w:rPr>
                <w:rFonts w:hint="eastAsia"/>
                <w:color w:val="auto"/>
                <w:highlight w:val="none"/>
                <w:shd w:val="clear" w:color="auto" w:fill="auto"/>
                <w:lang w:val="zh-CN" w:eastAsia="zh-CN"/>
              </w:rPr>
              <w:t>租赁</w:t>
            </w:r>
            <w:r>
              <w:rPr>
                <w:rFonts w:hint="eastAsia"/>
                <w:color w:val="auto"/>
                <w:highlight w:val="none"/>
                <w:shd w:val="clear" w:color="auto" w:fill="auto"/>
                <w:lang w:val="en-US" w:eastAsia="zh-CN"/>
              </w:rPr>
              <w:t>协议</w:t>
            </w:r>
            <w:r>
              <w:rPr>
                <w:rFonts w:hint="eastAsia"/>
                <w:color w:val="auto"/>
                <w:highlight w:val="none"/>
                <w:shd w:val="clear" w:color="auto" w:fill="auto"/>
                <w:lang w:val="zh-CN" w:eastAsia="zh-CN"/>
              </w:rPr>
              <w:t>扫描件，租赁的除提供上述扫描件外，另</w:t>
            </w:r>
            <w:r>
              <w:rPr>
                <w:rFonts w:hint="eastAsia"/>
                <w:color w:val="auto"/>
                <w:highlight w:val="none"/>
                <w:shd w:val="clear" w:color="auto" w:fill="auto"/>
                <w:lang w:val="en-US" w:eastAsia="zh-CN"/>
              </w:rPr>
              <w:t>须</w:t>
            </w:r>
            <w:r>
              <w:rPr>
                <w:rFonts w:hint="eastAsia"/>
                <w:color w:val="auto"/>
                <w:highlight w:val="none"/>
                <w:shd w:val="clear" w:color="auto" w:fill="auto"/>
                <w:lang w:val="zh-CN" w:eastAsia="zh-CN"/>
              </w:rPr>
              <w:t>提供租赁合同扫描件，同时证明材料需加盖投标人公章，否则不得分。）</w:t>
            </w:r>
          </w:p>
        </w:tc>
        <w:tc>
          <w:tcPr>
            <w:tcW w:w="821" w:type="dxa"/>
            <w:vAlign w:val="center"/>
          </w:tcPr>
          <w:p>
            <w:pPr>
              <w:spacing w:after="0"/>
              <w:jc w:val="center"/>
              <w:rPr>
                <w:rFonts w:hint="default"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0-2</w:t>
            </w:r>
          </w:p>
        </w:tc>
        <w:tc>
          <w:tcPr>
            <w:tcW w:w="834" w:type="dxa"/>
            <w:vAlign w:val="center"/>
          </w:tcPr>
          <w:p>
            <w:pPr>
              <w:spacing w:after="0"/>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技术分（</w:t>
            </w:r>
            <w:r>
              <w:rPr>
                <w:rFonts w:hint="eastAsia" w:cs="仿宋"/>
                <w:color w:val="auto"/>
                <w:sz w:val="24"/>
                <w:szCs w:val="24"/>
                <w:highlight w:val="none"/>
                <w:lang w:val="en-US" w:eastAsia="zh-CN"/>
              </w:rPr>
              <w:t>73</w:t>
            </w:r>
            <w:r>
              <w:rPr>
                <w:rFonts w:hint="eastAsia" w:cs="仿宋"/>
                <w:color w:val="auto"/>
                <w:sz w:val="24"/>
                <w:szCs w:val="24"/>
                <w:highlight w:val="none"/>
                <w:lang w:eastAsia="zh-CN"/>
              </w:rPr>
              <w:t>）</w:t>
            </w:r>
          </w:p>
        </w:tc>
        <w:tc>
          <w:tcPr>
            <w:tcW w:w="643" w:type="dxa"/>
            <w:vAlign w:val="center"/>
          </w:tcPr>
          <w:p>
            <w:pPr>
              <w:spacing w:after="0"/>
              <w:jc w:val="center"/>
              <w:rPr>
                <w:rFonts w:hint="eastAsia"/>
                <w:color w:val="auto"/>
                <w:highlight w:val="none"/>
                <w:shd w:val="clear" w:color="auto" w:fill="auto"/>
                <w:lang w:val="en-US" w:eastAsia="zh-CN"/>
              </w:rPr>
            </w:pPr>
            <w:r>
              <w:rPr>
                <w:rFonts w:hint="eastAsia" w:cs="仿宋"/>
                <w:b w:val="0"/>
                <w:bCs/>
                <w:color w:val="auto"/>
                <w:kern w:val="0"/>
                <w:sz w:val="24"/>
                <w:szCs w:val="24"/>
                <w:highlight w:val="none"/>
                <w:lang w:val="en-US" w:eastAsia="zh-CN"/>
              </w:rPr>
              <w:t>4</w:t>
            </w:r>
          </w:p>
        </w:tc>
        <w:tc>
          <w:tcPr>
            <w:tcW w:w="6417" w:type="dxa"/>
            <w:gridSpan w:val="2"/>
            <w:vAlign w:val="center"/>
          </w:tcPr>
          <w:p>
            <w:pPr>
              <w:spacing w:after="0" w:line="240" w:lineRule="auto"/>
              <w:jc w:val="both"/>
              <w:rPr>
                <w:rFonts w:hint="eastAsia"/>
                <w:color w:val="auto"/>
                <w:highlight w:val="none"/>
                <w:lang w:val="en-US" w:eastAsia="zh-CN"/>
              </w:rPr>
            </w:pPr>
            <w:r>
              <w:rPr>
                <w:rFonts w:hint="eastAsia"/>
                <w:color w:val="auto"/>
                <w:highlight w:val="none"/>
                <w:lang w:val="zh-CN" w:eastAsia="zh-CN"/>
              </w:rPr>
              <w:t>提供易腐垃圾分类收运方案，整体体系建设是否科学高效</w:t>
            </w:r>
            <w:r>
              <w:rPr>
                <w:rFonts w:hint="eastAsia"/>
                <w:color w:val="auto"/>
                <w:highlight w:val="none"/>
                <w:lang w:val="en-US" w:eastAsia="zh-CN"/>
              </w:rPr>
              <w:t>合理。</w:t>
            </w:r>
          </w:p>
          <w:p>
            <w:pPr>
              <w:spacing w:after="0" w:line="240" w:lineRule="auto"/>
              <w:jc w:val="both"/>
              <w:rPr>
                <w:rFonts w:hint="default"/>
                <w:color w:val="auto"/>
                <w:highlight w:val="none"/>
                <w:lang w:val="en-US" w:eastAsia="zh-CN"/>
              </w:rPr>
            </w:pPr>
            <w:r>
              <w:rPr>
                <w:rFonts w:hint="eastAsia" w:ascii="仿宋" w:hAnsi="仿宋" w:eastAsia="仿宋" w:cs="仿宋"/>
                <w:b w:val="0"/>
                <w:bCs/>
                <w:color w:val="auto"/>
                <w:sz w:val="24"/>
                <w:szCs w:val="24"/>
                <w:highlight w:val="none"/>
                <w:u w:val="none"/>
                <w:lang w:eastAsia="zh-CN"/>
              </w:rPr>
              <w:t>方案科学合理得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分；较科学合理的得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r>
              <w:rPr>
                <w:rFonts w:hint="eastAsia" w:cs="仿宋"/>
                <w:b w:val="0"/>
                <w:bCs/>
                <w:color w:val="auto"/>
                <w:sz w:val="24"/>
                <w:szCs w:val="24"/>
                <w:highlight w:val="none"/>
                <w:u w:val="none"/>
                <w:lang w:val="en-US" w:eastAsia="zh-CN"/>
              </w:rPr>
              <w:t>。</w:t>
            </w:r>
          </w:p>
        </w:tc>
        <w:tc>
          <w:tcPr>
            <w:tcW w:w="821" w:type="dxa"/>
            <w:vAlign w:val="center"/>
          </w:tcPr>
          <w:p>
            <w:pPr>
              <w:widowControl/>
              <w:spacing w:line="240" w:lineRule="auto"/>
              <w:jc w:val="center"/>
              <w:rPr>
                <w:rFonts w:hint="default"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lang w:val="en-US" w:eastAsia="zh-CN"/>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adjustRightInd w:val="0"/>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spacing w:after="0"/>
              <w:jc w:val="center"/>
              <w:rPr>
                <w:rFonts w:hint="default"/>
                <w:color w:val="auto"/>
                <w:highlight w:val="none"/>
                <w:shd w:val="clear" w:color="auto" w:fill="auto"/>
                <w:lang w:val="en-US" w:eastAsia="zh-CN"/>
              </w:rPr>
            </w:pPr>
            <w:r>
              <w:rPr>
                <w:rFonts w:hint="eastAsia"/>
                <w:color w:val="auto"/>
                <w:highlight w:val="none"/>
                <w:shd w:val="clear" w:color="auto" w:fill="auto"/>
                <w:lang w:val="en-US" w:eastAsia="zh-CN"/>
              </w:rPr>
              <w:t>5</w:t>
            </w:r>
          </w:p>
        </w:tc>
        <w:tc>
          <w:tcPr>
            <w:tcW w:w="6417" w:type="dxa"/>
            <w:gridSpan w:val="2"/>
            <w:vAlign w:val="center"/>
          </w:tcPr>
          <w:p>
            <w:pPr>
              <w:spacing w:after="0"/>
              <w:jc w:val="both"/>
              <w:rPr>
                <w:rFonts w:hint="eastAsia"/>
                <w:color w:val="auto"/>
                <w:highlight w:val="none"/>
                <w:lang w:val="zh-CN" w:eastAsia="zh-CN"/>
              </w:rPr>
            </w:pPr>
            <w:r>
              <w:rPr>
                <w:rFonts w:hint="eastAsia"/>
                <w:color w:val="auto"/>
                <w:highlight w:val="none"/>
                <w:lang w:val="zh-CN" w:eastAsia="zh-CN"/>
              </w:rPr>
              <w:t>提供可回收物、有害垃圾、大件垃圾的收运方案，体系建设是否科学高效。</w:t>
            </w:r>
          </w:p>
          <w:p>
            <w:pPr>
              <w:jc w:val="both"/>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eastAsia="zh-CN"/>
              </w:rPr>
              <w:t>方案科学</w:t>
            </w:r>
            <w:r>
              <w:rPr>
                <w:rFonts w:hint="eastAsia" w:cs="仿宋"/>
                <w:b w:val="0"/>
                <w:bCs/>
                <w:color w:val="auto"/>
                <w:sz w:val="24"/>
                <w:szCs w:val="24"/>
                <w:highlight w:val="none"/>
                <w:u w:val="none"/>
                <w:lang w:val="en-US" w:eastAsia="zh-CN"/>
              </w:rPr>
              <w:t>高效</w:t>
            </w:r>
            <w:r>
              <w:rPr>
                <w:rFonts w:hint="eastAsia" w:ascii="仿宋" w:hAnsi="仿宋" w:eastAsia="仿宋" w:cs="仿宋"/>
                <w:b w:val="0"/>
                <w:bCs/>
                <w:color w:val="auto"/>
                <w:sz w:val="24"/>
                <w:szCs w:val="24"/>
                <w:highlight w:val="none"/>
                <w:u w:val="none"/>
                <w:lang w:eastAsia="zh-CN"/>
              </w:rPr>
              <w:t>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分；较科学</w:t>
            </w:r>
            <w:r>
              <w:rPr>
                <w:rFonts w:hint="eastAsia" w:cs="仿宋"/>
                <w:b w:val="0"/>
                <w:bCs/>
                <w:color w:val="auto"/>
                <w:sz w:val="24"/>
                <w:szCs w:val="24"/>
                <w:highlight w:val="none"/>
                <w:u w:val="none"/>
                <w:lang w:val="en-US" w:eastAsia="zh-CN"/>
              </w:rPr>
              <w:t>高效</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p>
        </w:tc>
        <w:tc>
          <w:tcPr>
            <w:tcW w:w="821" w:type="dxa"/>
            <w:vAlign w:val="center"/>
          </w:tcPr>
          <w:p>
            <w:pPr>
              <w:widowControl/>
              <w:spacing w:line="240" w:lineRule="auto"/>
              <w:jc w:val="center"/>
              <w:rPr>
                <w:rFonts w:hint="default" w:cs="仿宋"/>
                <w:color w:val="auto"/>
                <w:sz w:val="24"/>
                <w:szCs w:val="24"/>
                <w:highlight w:val="none"/>
                <w:u w:val="none"/>
                <w:shd w:val="clear" w:color="auto" w:fill="auto"/>
                <w:lang w:val="en-US" w:eastAsia="zh-CN"/>
              </w:rPr>
            </w:pPr>
            <w:r>
              <w:rPr>
                <w:rFonts w:hint="eastAsia" w:cs="仿宋"/>
                <w:color w:val="auto"/>
                <w:sz w:val="24"/>
                <w:szCs w:val="24"/>
                <w:highlight w:val="none"/>
                <w:u w:val="none"/>
                <w:shd w:val="clear" w:color="auto" w:fill="auto"/>
                <w:lang w:val="en-US" w:eastAsia="zh-CN"/>
              </w:rPr>
              <w:t>0-5</w:t>
            </w:r>
          </w:p>
        </w:tc>
        <w:tc>
          <w:tcPr>
            <w:tcW w:w="834" w:type="dxa"/>
            <w:vAlign w:val="center"/>
          </w:tcPr>
          <w:p>
            <w:pPr>
              <w:widowControl/>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spacing w:after="0"/>
              <w:jc w:val="center"/>
              <w:rPr>
                <w:rFonts w:hint="eastAsia"/>
                <w:color w:val="auto"/>
                <w:highlight w:val="none"/>
                <w:shd w:val="clear" w:color="auto" w:fill="auto"/>
                <w:lang w:val="zh-CN" w:eastAsia="zh-CN"/>
              </w:rPr>
            </w:pPr>
            <w:r>
              <w:rPr>
                <w:rFonts w:hint="eastAsia" w:cs="仿宋"/>
                <w:b w:val="0"/>
                <w:bCs/>
                <w:color w:val="auto"/>
                <w:kern w:val="0"/>
                <w:sz w:val="24"/>
                <w:szCs w:val="24"/>
                <w:highlight w:val="none"/>
                <w:lang w:val="en-US" w:eastAsia="zh-CN"/>
              </w:rPr>
              <w:t>6</w:t>
            </w:r>
          </w:p>
        </w:tc>
        <w:tc>
          <w:tcPr>
            <w:tcW w:w="6417" w:type="dxa"/>
            <w:gridSpan w:val="2"/>
            <w:vAlign w:val="center"/>
          </w:tcPr>
          <w:p>
            <w:pPr>
              <w:spacing w:after="0"/>
              <w:jc w:val="both"/>
              <w:rPr>
                <w:rFonts w:hint="eastAsia"/>
                <w:color w:val="auto"/>
                <w:highlight w:val="none"/>
                <w:lang w:val="zh-CN" w:eastAsia="zh-CN"/>
              </w:rPr>
            </w:pPr>
            <w:r>
              <w:rPr>
                <w:rFonts w:hint="eastAsia"/>
                <w:color w:val="auto"/>
                <w:highlight w:val="none"/>
                <w:lang w:val="zh-CN" w:eastAsia="zh-CN"/>
              </w:rPr>
              <w:t>对</w:t>
            </w:r>
            <w:r>
              <w:rPr>
                <w:rFonts w:hint="eastAsia"/>
                <w:color w:val="auto"/>
                <w:highlight w:val="none"/>
                <w:lang w:val="en-US" w:eastAsia="zh-CN"/>
              </w:rPr>
              <w:t>采购人区域内</w:t>
            </w:r>
            <w:r>
              <w:rPr>
                <w:rFonts w:hint="eastAsia"/>
                <w:color w:val="auto"/>
                <w:highlight w:val="none"/>
                <w:lang w:val="zh-CN" w:eastAsia="zh-CN"/>
              </w:rPr>
              <w:t>垃圾分类现状</w:t>
            </w:r>
            <w:r>
              <w:rPr>
                <w:rFonts w:hint="eastAsia"/>
                <w:color w:val="auto"/>
                <w:highlight w:val="none"/>
                <w:lang w:val="en-US" w:eastAsia="zh-CN"/>
              </w:rPr>
              <w:t>的描述，</w:t>
            </w:r>
            <w:r>
              <w:rPr>
                <w:rFonts w:hint="eastAsia"/>
                <w:color w:val="auto"/>
                <w:highlight w:val="none"/>
                <w:lang w:val="zh-CN" w:eastAsia="zh-CN"/>
              </w:rPr>
              <w:t>及推进过程中可能出现的问题和困难分析，并为采购人提供有效解决方案。</w:t>
            </w:r>
          </w:p>
          <w:p>
            <w:pPr>
              <w:pStyle w:val="33"/>
              <w:spacing w:after="0" w:line="240" w:lineRule="auto"/>
              <w:rPr>
                <w:rFonts w:hint="eastAsia"/>
                <w:color w:val="auto"/>
                <w:highlight w:val="none"/>
                <w:lang w:val="en-US" w:eastAsia="zh-CN"/>
              </w:rPr>
            </w:pPr>
            <w:r>
              <w:rPr>
                <w:rFonts w:hint="eastAsia" w:ascii="仿宋" w:hAnsi="仿宋" w:eastAsia="仿宋" w:cs="仿宋"/>
                <w:b w:val="0"/>
                <w:bCs/>
                <w:color w:val="auto"/>
                <w:sz w:val="24"/>
                <w:szCs w:val="24"/>
                <w:highlight w:val="none"/>
                <w:u w:val="none"/>
                <w:lang w:eastAsia="zh-CN"/>
              </w:rPr>
              <w:t>方案</w:t>
            </w:r>
            <w:r>
              <w:rPr>
                <w:rFonts w:hint="eastAsia" w:ascii="仿宋" w:hAnsi="仿宋" w:eastAsia="仿宋" w:cs="仿宋"/>
                <w:b w:val="0"/>
                <w:bCs/>
                <w:color w:val="auto"/>
                <w:sz w:val="24"/>
                <w:szCs w:val="24"/>
                <w:highlight w:val="none"/>
                <w:u w:val="none"/>
                <w:lang w:val="en-US" w:eastAsia="zh-CN"/>
              </w:rPr>
              <w:t>有效</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color w:val="auto"/>
                <w:sz w:val="24"/>
                <w:szCs w:val="24"/>
                <w:highlight w:val="none"/>
                <w:u w:val="none"/>
                <w:lang w:val="en-US" w:eastAsia="zh-CN"/>
              </w:rPr>
              <w:t>针对性强</w:t>
            </w:r>
            <w:r>
              <w:rPr>
                <w:rFonts w:hint="eastAsia" w:ascii="仿宋" w:hAnsi="仿宋" w:eastAsia="仿宋" w:cs="仿宋"/>
                <w:b w:val="0"/>
                <w:bCs/>
                <w:color w:val="auto"/>
                <w:sz w:val="24"/>
                <w:szCs w:val="24"/>
                <w:highlight w:val="none"/>
                <w:u w:val="none"/>
                <w:lang w:eastAsia="zh-CN"/>
              </w:rPr>
              <w:t>的得</w:t>
            </w:r>
            <w:r>
              <w:rPr>
                <w:rFonts w:hint="eastAsia" w:ascii="仿宋" w:hAnsi="仿宋" w:eastAsia="仿宋"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eastAsia="zh-CN"/>
              </w:rPr>
              <w:t>分；方案较合理的得</w:t>
            </w:r>
            <w:r>
              <w:rPr>
                <w:rFonts w:hint="eastAsia" w:ascii="仿宋" w:hAnsi="仿宋" w:eastAsia="仿宋" w:cs="仿宋"/>
                <w:b w:val="0"/>
                <w:bCs/>
                <w:color w:val="auto"/>
                <w:sz w:val="24"/>
                <w:szCs w:val="24"/>
                <w:highlight w:val="none"/>
                <w:u w:val="none"/>
                <w:lang w:val="en-US" w:eastAsia="zh-CN"/>
              </w:rPr>
              <w:t>2-4分，一般的得0-2分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lang w:val="en-US" w:eastAsia="zh-CN"/>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zh-CN" w:eastAsia="zh-CN" w:bidi="ar-SA"/>
              </w:rPr>
              <w:t>使用主要设备</w:t>
            </w:r>
            <w:r>
              <w:rPr>
                <w:rFonts w:hint="eastAsia" w:ascii="仿宋" w:hAnsi="仿宋" w:eastAsia="仿宋" w:cs="仿宋"/>
                <w:i w:val="0"/>
                <w:iCs w:val="0"/>
                <w:color w:val="auto"/>
                <w:kern w:val="0"/>
                <w:sz w:val="24"/>
                <w:szCs w:val="24"/>
                <w:highlight w:val="none"/>
                <w:lang w:val="en-US" w:eastAsia="zh-CN" w:bidi="ar-SA"/>
              </w:rPr>
              <w:t>的基本功能、技术指标与需求的吻合程度和偏差情况（包括所投标产品的品牌、用户美誉度、规格型号、详细配置、主要技术参数等）综合评定。</w:t>
            </w:r>
          </w:p>
          <w:p>
            <w:pPr>
              <w:rPr>
                <w:rFonts w:hint="eastAsia"/>
                <w:color w:val="auto"/>
                <w:highlight w:val="none"/>
                <w:lang w:val="en-US" w:eastAsia="zh-CN"/>
              </w:rPr>
            </w:pPr>
            <w:r>
              <w:rPr>
                <w:rFonts w:hint="eastAsia" w:ascii="仿宋" w:hAnsi="仿宋" w:eastAsia="仿宋" w:cs="仿宋"/>
                <w:i w:val="0"/>
                <w:iCs w:val="0"/>
                <w:color w:val="auto"/>
                <w:sz w:val="24"/>
                <w:szCs w:val="24"/>
                <w:highlight w:val="none"/>
                <w:lang w:val="en-US" w:eastAsia="zh-CN"/>
              </w:rPr>
              <w:t>是否能够满足招标文件要求，是否体现一定先进性、可靠性、成熟性、易维护性、可扩展性等。能够满足招标文件要求，先进性、可靠性、成熟性、易维护性、可扩展性最强的得</w:t>
            </w:r>
            <w:r>
              <w:rPr>
                <w:rFonts w:hint="eastAsia" w:cs="仿宋"/>
                <w:i w:val="0"/>
                <w:iCs w:val="0"/>
                <w:color w:val="auto"/>
                <w:sz w:val="24"/>
                <w:szCs w:val="24"/>
                <w:highlight w:val="none"/>
                <w:lang w:val="en-US" w:eastAsia="zh-CN"/>
              </w:rPr>
              <w:t>4-5</w:t>
            </w:r>
            <w:r>
              <w:rPr>
                <w:rFonts w:hint="eastAsia" w:ascii="仿宋" w:hAnsi="仿宋" w:eastAsia="仿宋" w:cs="仿宋"/>
                <w:i w:val="0"/>
                <w:iCs w:val="0"/>
                <w:color w:val="auto"/>
                <w:sz w:val="24"/>
                <w:szCs w:val="24"/>
                <w:highlight w:val="none"/>
                <w:lang w:val="en-US" w:eastAsia="zh-CN"/>
              </w:rPr>
              <w:t>分；</w:t>
            </w:r>
            <w:r>
              <w:rPr>
                <w:rFonts w:hint="eastAsia" w:ascii="仿宋" w:hAnsi="仿宋" w:eastAsia="仿宋" w:cs="仿宋"/>
                <w:b w:val="0"/>
                <w:bCs/>
                <w:color w:val="auto"/>
                <w:sz w:val="24"/>
                <w:szCs w:val="24"/>
                <w:highlight w:val="none"/>
                <w:u w:val="none"/>
                <w:lang w:val="en-US" w:eastAsia="zh-CN"/>
              </w:rPr>
              <w:t>其次得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val="en-US" w:eastAsia="zh-CN"/>
              </w:rPr>
              <w:t>分；</w:t>
            </w:r>
            <w:r>
              <w:rPr>
                <w:rFonts w:hint="eastAsia" w:ascii="仿宋" w:hAnsi="仿宋" w:eastAsia="仿宋" w:cs="仿宋"/>
                <w:b w:val="0"/>
                <w:bCs/>
                <w:color w:val="auto"/>
                <w:sz w:val="24"/>
                <w:szCs w:val="24"/>
                <w:highlight w:val="none"/>
                <w:u w:val="none"/>
                <w:lang w:eastAsia="zh-CN"/>
              </w:rPr>
              <w:t>相对</w:t>
            </w:r>
            <w:r>
              <w:rPr>
                <w:rFonts w:hint="eastAsia" w:cs="仿宋"/>
                <w:b w:val="0"/>
                <w:bCs/>
                <w:color w:val="auto"/>
                <w:sz w:val="24"/>
                <w:szCs w:val="24"/>
                <w:highlight w:val="none"/>
                <w:u w:val="none"/>
                <w:lang w:val="en-US" w:eastAsia="zh-CN"/>
              </w:rPr>
              <w:t>较差</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eastAsia="zh-CN"/>
              </w:rPr>
              <w:t>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rPr>
              <w:t>-</w:t>
            </w:r>
            <w:r>
              <w:rPr>
                <w:rFonts w:hint="eastAsia"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8</w:t>
            </w:r>
          </w:p>
        </w:tc>
        <w:tc>
          <w:tcPr>
            <w:tcW w:w="6417" w:type="dxa"/>
            <w:gridSpan w:val="2"/>
            <w:vAlign w:val="center"/>
          </w:tcPr>
          <w:p>
            <w:pPr>
              <w:pStyle w:val="17"/>
              <w:snapToGrid w:val="0"/>
              <w:spacing w:line="240" w:lineRule="auto"/>
              <w:ind w:firstLine="0" w:firstLineChars="0"/>
              <w:jc w:val="both"/>
              <w:rPr>
                <w:rFonts w:hint="eastAsia" w:ascii="仿宋" w:hAnsi="仿宋" w:eastAsia="仿宋" w:cstheme="majorBidi"/>
                <w:color w:val="auto"/>
                <w:kern w:val="0"/>
                <w:sz w:val="24"/>
                <w:szCs w:val="24"/>
                <w:highlight w:val="none"/>
                <w:lang w:val="en-US" w:eastAsia="zh-CN" w:bidi="ar-SA"/>
              </w:rPr>
            </w:pPr>
            <w:r>
              <w:rPr>
                <w:rFonts w:hint="eastAsia" w:ascii="仿宋" w:hAnsi="仿宋" w:eastAsia="仿宋" w:cstheme="majorBidi"/>
                <w:color w:val="auto"/>
                <w:kern w:val="0"/>
                <w:sz w:val="24"/>
                <w:szCs w:val="24"/>
                <w:highlight w:val="none"/>
                <w:lang w:val="en-US" w:eastAsia="zh-CN" w:bidi="ar-SA"/>
              </w:rPr>
              <w:t>根据投标人制定保证进度和项目完成的方案及措施等综合评定。</w:t>
            </w:r>
          </w:p>
          <w:p>
            <w:pPr>
              <w:rPr>
                <w:rFonts w:hint="eastAsia"/>
                <w:color w:val="auto"/>
                <w:highlight w:val="none"/>
                <w:lang w:val="en-US" w:eastAsia="zh-CN"/>
              </w:rPr>
            </w:pPr>
            <w:r>
              <w:rPr>
                <w:rFonts w:hint="eastAsia"/>
                <w:color w:val="auto"/>
                <w:highlight w:val="none"/>
                <w:lang w:val="en-US" w:eastAsia="zh-CN"/>
              </w:rPr>
              <w:t>完全满足采购人要求的得4-5分；部分满足的得2-4分；一般满足的得0-2分。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b w:val="0"/>
                <w:bCs/>
                <w:color w:val="auto"/>
                <w:kern w:val="0"/>
                <w:sz w:val="24"/>
                <w:szCs w:val="24"/>
                <w:highlight w:val="none"/>
                <w:u w:val="none"/>
                <w:lang w:val="en-US" w:eastAsia="zh-CN" w:bidi="ar-SA"/>
              </w:rPr>
            </w:pPr>
            <w:r>
              <w:rPr>
                <w:rFonts w:hint="eastAsia" w:ascii="仿宋" w:hAnsi="仿宋" w:eastAsia="仿宋" w:cs="仿宋"/>
                <w:b w:val="0"/>
                <w:bCs/>
                <w:color w:val="auto"/>
                <w:kern w:val="0"/>
                <w:sz w:val="24"/>
                <w:szCs w:val="24"/>
                <w:highlight w:val="none"/>
                <w:u w:val="none"/>
                <w:lang w:val="en-US" w:eastAsia="zh-CN" w:bidi="ar-SA"/>
              </w:rPr>
              <w:t>具有完善的应急预案，根据投标人对项目推进过程中可能出现的问题有完整的、可行的应对方案进行综合评定。</w:t>
            </w:r>
          </w:p>
          <w:p>
            <w:pPr>
              <w:rPr>
                <w:rFonts w:hint="eastAsia"/>
                <w:color w:val="auto"/>
                <w:highlight w:val="none"/>
                <w:lang w:val="en-US" w:eastAsia="zh-CN"/>
              </w:rPr>
            </w:pPr>
            <w:r>
              <w:rPr>
                <w:rFonts w:hint="eastAsia" w:ascii="仿宋" w:hAnsi="仿宋" w:eastAsia="仿宋" w:cs="仿宋"/>
                <w:b w:val="0"/>
                <w:bCs/>
                <w:color w:val="auto"/>
                <w:sz w:val="24"/>
                <w:szCs w:val="24"/>
                <w:highlight w:val="none"/>
                <w:u w:val="none"/>
                <w:lang w:val="en-US" w:eastAsia="zh-CN"/>
              </w:rPr>
              <w:t>完全满足采购人要求的得</w:t>
            </w:r>
            <w:r>
              <w:rPr>
                <w:rFonts w:hint="eastAsia" w:cs="仿宋"/>
                <w:b w:val="0"/>
                <w:bCs/>
                <w:color w:val="auto"/>
                <w:sz w:val="24"/>
                <w:szCs w:val="24"/>
                <w:highlight w:val="none"/>
                <w:u w:val="none"/>
                <w:lang w:val="en-US" w:eastAsia="zh-CN"/>
              </w:rPr>
              <w:t>4-5</w:t>
            </w:r>
            <w:r>
              <w:rPr>
                <w:rFonts w:hint="eastAsia" w:ascii="仿宋" w:hAnsi="仿宋" w:eastAsia="仿宋" w:cs="仿宋"/>
                <w:b w:val="0"/>
                <w:bCs/>
                <w:color w:val="auto"/>
                <w:sz w:val="24"/>
                <w:szCs w:val="24"/>
                <w:highlight w:val="none"/>
                <w:u w:val="none"/>
                <w:lang w:val="en-US" w:eastAsia="zh-CN"/>
              </w:rPr>
              <w:t>分；部分满足的得</w:t>
            </w:r>
            <w:r>
              <w:rPr>
                <w:rFonts w:hint="eastAsia" w:cs="仿宋"/>
                <w:b w:val="0"/>
                <w:bCs/>
                <w:color w:val="auto"/>
                <w:sz w:val="24"/>
                <w:szCs w:val="24"/>
                <w:highlight w:val="none"/>
                <w:u w:val="none"/>
                <w:lang w:val="en-US" w:eastAsia="zh-CN"/>
              </w:rPr>
              <w:t>2-4</w:t>
            </w:r>
            <w:r>
              <w:rPr>
                <w:rFonts w:hint="eastAsia" w:ascii="仿宋" w:hAnsi="仿宋" w:eastAsia="仿宋" w:cs="仿宋"/>
                <w:b w:val="0"/>
                <w:bCs/>
                <w:color w:val="auto"/>
                <w:sz w:val="24"/>
                <w:szCs w:val="24"/>
                <w:highlight w:val="none"/>
                <w:u w:val="none"/>
                <w:lang w:val="en-US" w:eastAsia="zh-CN"/>
              </w:rPr>
              <w:t>分</w:t>
            </w:r>
            <w:r>
              <w:rPr>
                <w:rFonts w:hint="eastAsia" w:cs="仿宋"/>
                <w:b w:val="0"/>
                <w:bCs/>
                <w:color w:val="auto"/>
                <w:sz w:val="24"/>
                <w:szCs w:val="24"/>
                <w:highlight w:val="none"/>
                <w:u w:val="none"/>
                <w:lang w:val="en-US" w:eastAsia="zh-CN"/>
              </w:rPr>
              <w:t>；</w:t>
            </w:r>
            <w:r>
              <w:rPr>
                <w:rFonts w:hint="eastAsia" w:ascii="仿宋" w:hAnsi="仿宋" w:eastAsia="仿宋" w:cs="仿宋"/>
                <w:b w:val="0"/>
                <w:bCs/>
                <w:color w:val="auto"/>
                <w:sz w:val="24"/>
                <w:szCs w:val="24"/>
                <w:highlight w:val="none"/>
                <w:u w:val="none"/>
                <w:lang w:val="en-US" w:eastAsia="zh-CN"/>
              </w:rPr>
              <w:t>一般满足的得</w:t>
            </w:r>
            <w:r>
              <w:rPr>
                <w:rFonts w:hint="eastAsia" w:cs="仿宋"/>
                <w:b w:val="0"/>
                <w:bCs/>
                <w:color w:val="auto"/>
                <w:sz w:val="24"/>
                <w:szCs w:val="24"/>
                <w:highlight w:val="none"/>
                <w:u w:val="none"/>
                <w:lang w:val="en-US" w:eastAsia="zh-CN"/>
              </w:rPr>
              <w:t>0-2</w:t>
            </w:r>
            <w:r>
              <w:rPr>
                <w:rFonts w:hint="eastAsia" w:ascii="仿宋" w:hAnsi="仿宋" w:eastAsia="仿宋" w:cs="仿宋"/>
                <w:b w:val="0"/>
                <w:bCs/>
                <w:color w:val="auto"/>
                <w:sz w:val="24"/>
                <w:szCs w:val="24"/>
                <w:highlight w:val="none"/>
                <w:u w:val="none"/>
                <w:lang w:val="en-US" w:eastAsia="zh-CN"/>
              </w:rPr>
              <w:t>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-5</w:t>
            </w:r>
          </w:p>
        </w:tc>
        <w:tc>
          <w:tcPr>
            <w:tcW w:w="834" w:type="dxa"/>
            <w:vAlign w:val="center"/>
          </w:tcPr>
          <w:p>
            <w:pPr>
              <w:widowControl/>
              <w:spacing w:line="24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10</w:t>
            </w:r>
          </w:p>
        </w:tc>
        <w:tc>
          <w:tcPr>
            <w:tcW w:w="6417" w:type="dxa"/>
            <w:gridSpan w:val="2"/>
            <w:vAlign w:val="center"/>
          </w:tcPr>
          <w:p>
            <w:pPr>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color w:val="auto"/>
                <w:highlight w:val="none"/>
              </w:rPr>
              <w:t>平稳交接过渡方案；制定相关的平稳过渡交接实施措施的合理性，</w:t>
            </w:r>
            <w:r>
              <w:rPr>
                <w:rFonts w:hint="eastAsia" w:ascii="仿宋" w:hAnsi="仿宋" w:eastAsia="仿宋" w:cs="仿宋"/>
                <w:color w:val="auto"/>
                <w:kern w:val="0"/>
                <w:sz w:val="24"/>
                <w:szCs w:val="24"/>
                <w:highlight w:val="none"/>
                <w:shd w:val="clear" w:color="auto" w:fill="auto"/>
                <w:lang w:val="en-US" w:eastAsia="zh-CN"/>
              </w:rPr>
              <w:t>根据提供的内容的完整性、与项目的匹配性进行评分。内容完整且与项目匹配度好的得</w:t>
            </w:r>
            <w:r>
              <w:rPr>
                <w:rFonts w:hint="eastAsia" w:cs="仿宋"/>
                <w:color w:val="auto"/>
                <w:kern w:val="0"/>
                <w:sz w:val="24"/>
                <w:szCs w:val="24"/>
                <w:highlight w:val="none"/>
                <w:shd w:val="clear" w:color="auto" w:fill="auto"/>
                <w:lang w:val="en-US" w:eastAsia="zh-CN"/>
              </w:rPr>
              <w:t>4-5</w:t>
            </w:r>
            <w:r>
              <w:rPr>
                <w:rFonts w:hint="eastAsia" w:ascii="仿宋" w:hAnsi="仿宋" w:eastAsia="仿宋" w:cs="仿宋"/>
                <w:color w:val="auto"/>
                <w:kern w:val="0"/>
                <w:sz w:val="24"/>
                <w:szCs w:val="24"/>
                <w:highlight w:val="none"/>
                <w:shd w:val="clear" w:color="auto" w:fill="auto"/>
                <w:lang w:val="en-US" w:eastAsia="zh-CN"/>
              </w:rPr>
              <w:t>分；内容基本完整且与项目匹配度较好的得</w:t>
            </w:r>
            <w:r>
              <w:rPr>
                <w:rFonts w:hint="eastAsia" w:cs="仿宋"/>
                <w:color w:val="auto"/>
                <w:kern w:val="0"/>
                <w:sz w:val="24"/>
                <w:szCs w:val="24"/>
                <w:highlight w:val="none"/>
                <w:shd w:val="clear" w:color="auto" w:fill="auto"/>
                <w:lang w:val="en-US" w:eastAsia="zh-CN"/>
              </w:rPr>
              <w:t>2-4</w:t>
            </w:r>
            <w:r>
              <w:rPr>
                <w:rFonts w:hint="eastAsia" w:ascii="仿宋" w:hAnsi="仿宋" w:eastAsia="仿宋" w:cs="仿宋"/>
                <w:color w:val="auto"/>
                <w:kern w:val="0"/>
                <w:sz w:val="24"/>
                <w:szCs w:val="24"/>
                <w:highlight w:val="none"/>
                <w:shd w:val="clear" w:color="auto" w:fill="auto"/>
                <w:lang w:val="en-US" w:eastAsia="zh-CN"/>
              </w:rPr>
              <w:t>分；内容存在欠缺或与项目匹配度一般的得</w:t>
            </w:r>
            <w:r>
              <w:rPr>
                <w:rFonts w:hint="eastAsia" w:cs="仿宋"/>
                <w:color w:val="auto"/>
                <w:kern w:val="0"/>
                <w:sz w:val="24"/>
                <w:szCs w:val="24"/>
                <w:highlight w:val="none"/>
                <w:shd w:val="clear" w:color="auto" w:fill="auto"/>
                <w:lang w:val="en-US" w:eastAsia="zh-CN"/>
              </w:rPr>
              <w:t>0-2</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eastAsia="仿宋" w:cs="仿宋"/>
                <w:color w:val="auto"/>
                <w:highlight w:val="none"/>
              </w:rPr>
              <w:t>。</w:t>
            </w:r>
          </w:p>
        </w:tc>
        <w:tc>
          <w:tcPr>
            <w:tcW w:w="821" w:type="dxa"/>
            <w:vAlign w:val="center"/>
          </w:tcPr>
          <w:p>
            <w:pPr>
              <w:widowControl/>
              <w:spacing w:line="240" w:lineRule="auto"/>
              <w:jc w:val="center"/>
              <w:rPr>
                <w:rFonts w:hint="default" w:cs="仿宋"/>
                <w:b w:val="0"/>
                <w:bCs/>
                <w:color w:val="auto"/>
                <w:sz w:val="24"/>
                <w:szCs w:val="24"/>
                <w:highlight w:val="none"/>
                <w:u w:val="none"/>
                <w:lang w:val="en-US" w:eastAsia="zh-CN"/>
              </w:rPr>
            </w:pPr>
            <w:r>
              <w:rPr>
                <w:rFonts w:hint="eastAsia" w:cs="仿宋"/>
                <w:b w:val="0"/>
                <w:bCs/>
                <w:color w:val="auto"/>
                <w:sz w:val="24"/>
                <w:szCs w:val="24"/>
                <w:highlight w:val="none"/>
                <w:u w:val="none"/>
                <w:lang w:val="en-US" w:eastAsia="zh-CN"/>
              </w:rPr>
              <w:t>0-5</w:t>
            </w:r>
          </w:p>
        </w:tc>
        <w:tc>
          <w:tcPr>
            <w:tcW w:w="834" w:type="dxa"/>
            <w:vAlign w:val="center"/>
          </w:tcPr>
          <w:p>
            <w:pPr>
              <w:widowControl/>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11</w:t>
            </w:r>
          </w:p>
        </w:tc>
        <w:tc>
          <w:tcPr>
            <w:tcW w:w="6417" w:type="dxa"/>
            <w:gridSpan w:val="2"/>
            <w:vAlign w:val="center"/>
          </w:tcPr>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拟担任本项目经理、技术负责人和项目组实施人员的专业素质、技术能力、经验等情况，数量是否充足，配置是否合理等，是否具有同类项目建设经验等情况综合评定。</w:t>
            </w:r>
          </w:p>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1.针对本项目投标人在人员配置各方面人员配备充足，且服务人员安排、组织得当，配置较好的得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val="en-US" w:eastAsia="zh-CN"/>
              </w:rPr>
              <w:t>分。</w:t>
            </w:r>
          </w:p>
          <w:p>
            <w:pPr>
              <w:widowControl/>
              <w:spacing w:line="240" w:lineRule="auto"/>
              <w:jc w:val="left"/>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2.针对本项目投标人在人员配置各方面人员配备足，且服务人员安排、组织相对得当，配置一般的可得</w:t>
            </w:r>
            <w:r>
              <w:rPr>
                <w:rFonts w:hint="eastAsia" w:cs="仿宋"/>
                <w:b w:val="0"/>
                <w:bCs/>
                <w:color w:val="auto"/>
                <w:sz w:val="24"/>
                <w:szCs w:val="24"/>
                <w:highlight w:val="none"/>
                <w:u w:val="none"/>
                <w:lang w:val="en-US" w:eastAsia="zh-CN"/>
              </w:rPr>
              <w:t>1-2</w:t>
            </w:r>
            <w:r>
              <w:rPr>
                <w:rFonts w:hint="eastAsia" w:ascii="仿宋" w:hAnsi="仿宋" w:eastAsia="仿宋" w:cs="仿宋"/>
                <w:b w:val="0"/>
                <w:bCs/>
                <w:color w:val="auto"/>
                <w:sz w:val="24"/>
                <w:szCs w:val="24"/>
                <w:highlight w:val="none"/>
                <w:u w:val="none"/>
                <w:lang w:val="en-US" w:eastAsia="zh-CN"/>
              </w:rPr>
              <w:t>分。</w:t>
            </w:r>
          </w:p>
          <w:p>
            <w:pPr>
              <w:pStyle w:val="33"/>
              <w:spacing w:after="0" w:line="240" w:lineRule="auto"/>
              <w:rPr>
                <w:rFonts w:hint="eastAsia"/>
                <w:color w:val="auto"/>
                <w:highlight w:val="none"/>
                <w:lang w:val="en-US" w:eastAsia="zh-CN"/>
              </w:rPr>
            </w:pPr>
            <w:r>
              <w:rPr>
                <w:rFonts w:hint="eastAsia" w:ascii="仿宋" w:hAnsi="仿宋" w:eastAsia="仿宋" w:cs="仿宋"/>
                <w:b w:val="0"/>
                <w:bCs/>
                <w:color w:val="auto"/>
                <w:sz w:val="24"/>
                <w:szCs w:val="24"/>
                <w:highlight w:val="none"/>
                <w:u w:val="none"/>
                <w:lang w:val="en-US" w:eastAsia="zh-CN"/>
              </w:rPr>
              <w:t>3.针对本项目投标人在人员配置各方面人员配备差，且服务人员安排、组织架构等配置较差的得0-1分。</w:t>
            </w:r>
          </w:p>
        </w:tc>
        <w:tc>
          <w:tcPr>
            <w:tcW w:w="821"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w:t>
            </w:r>
            <w:r>
              <w:rPr>
                <w:rFonts w:hint="eastAsia" w:cs="仿宋"/>
                <w:b w:val="0"/>
                <w:bCs/>
                <w:color w:val="auto"/>
                <w:sz w:val="24"/>
                <w:szCs w:val="24"/>
                <w:highlight w:val="none"/>
                <w:u w:val="none"/>
                <w:lang w:val="en-US" w:eastAsia="zh-CN"/>
              </w:rPr>
              <w:t>3</w:t>
            </w:r>
          </w:p>
        </w:tc>
        <w:tc>
          <w:tcPr>
            <w:tcW w:w="834" w:type="dxa"/>
            <w:vAlign w:val="center"/>
          </w:tcPr>
          <w:p>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12</w:t>
            </w:r>
          </w:p>
        </w:tc>
        <w:tc>
          <w:tcPr>
            <w:tcW w:w="6417" w:type="dxa"/>
            <w:gridSpan w:val="2"/>
            <w:vAlign w:val="center"/>
          </w:tcPr>
          <w:p>
            <w:pPr>
              <w:pStyle w:val="17"/>
              <w:snapToGrid w:val="0"/>
              <w:spacing w:line="240" w:lineRule="auto"/>
              <w:ind w:firstLine="0" w:firstLineChars="0"/>
              <w:jc w:val="both"/>
              <w:rPr>
                <w:rFonts w:hint="default"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lang w:val="en-US" w:eastAsia="zh-CN"/>
              </w:rPr>
              <w:t>项目负责人</w:t>
            </w:r>
            <w:r>
              <w:rPr>
                <w:rFonts w:hint="eastAsia" w:ascii="仿宋" w:hAnsi="仿宋" w:eastAsia="仿宋" w:cs="仿宋"/>
                <w:color w:val="auto"/>
                <w:sz w:val="24"/>
                <w:szCs w:val="24"/>
                <w:highlight w:val="none"/>
                <w:u w:val="none"/>
                <w:shd w:val="clear" w:color="auto" w:fill="auto"/>
                <w:lang w:val="en-US" w:eastAsia="zh-CN"/>
              </w:rPr>
              <w:t>：拟担任本项目负责人具有本科及以上学历的，得1分；具有垃圾分类或环保类工程师职称证书的，得1分；具有项目经理证书的，得1分；最高得3分。</w:t>
            </w:r>
          </w:p>
          <w:p>
            <w:pPr>
              <w:pStyle w:val="17"/>
              <w:snapToGrid w:val="0"/>
              <w:spacing w:line="240" w:lineRule="auto"/>
              <w:ind w:firstLine="0" w:firstLineChars="0"/>
              <w:jc w:val="both"/>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rPr>
              <w:t>项目组</w:t>
            </w:r>
            <w:r>
              <w:rPr>
                <w:rFonts w:hint="eastAsia" w:ascii="仿宋" w:hAnsi="仿宋" w:eastAsia="仿宋" w:cs="仿宋"/>
                <w:b/>
                <w:bCs/>
                <w:color w:val="auto"/>
                <w:sz w:val="24"/>
                <w:szCs w:val="24"/>
                <w:highlight w:val="none"/>
                <w:u w:val="none"/>
                <w:shd w:val="clear" w:color="auto" w:fill="auto"/>
                <w:lang w:val="en-US" w:eastAsia="zh-CN"/>
              </w:rPr>
              <w:t>人员</w:t>
            </w:r>
            <w:r>
              <w:rPr>
                <w:rFonts w:hint="eastAsia" w:ascii="仿宋" w:hAnsi="仿宋" w:eastAsia="仿宋" w:cs="仿宋"/>
                <w:color w:val="auto"/>
                <w:sz w:val="24"/>
                <w:szCs w:val="24"/>
                <w:highlight w:val="none"/>
                <w:u w:val="none"/>
                <w:shd w:val="clear" w:color="auto" w:fill="auto"/>
                <w:lang w:val="en-US" w:eastAsia="zh-CN"/>
              </w:rPr>
              <w:t>：拟担任本项目组成员，具有垃圾分类或环保类工程师职称证书的，每一个得1分，最高得2分；</w:t>
            </w:r>
          </w:p>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w:t>
            </w:r>
            <w:r>
              <w:rPr>
                <w:rFonts w:hint="eastAsia"/>
                <w:color w:val="auto"/>
                <w:highlight w:val="none"/>
                <w:shd w:val="clear" w:color="auto" w:fill="auto"/>
                <w:lang w:val="zh-CN" w:eastAsia="zh-CN"/>
              </w:rPr>
              <w:t>需提供</w:t>
            </w:r>
            <w:r>
              <w:rPr>
                <w:rFonts w:hint="eastAsia" w:ascii="仿宋" w:hAnsi="仿宋" w:eastAsia="仿宋" w:cs="仿宋"/>
                <w:b w:val="0"/>
                <w:bCs/>
                <w:color w:val="auto"/>
                <w:kern w:val="0"/>
                <w:sz w:val="24"/>
                <w:szCs w:val="24"/>
                <w:highlight w:val="none"/>
              </w:rPr>
              <w:t>清晰可辨的</w:t>
            </w:r>
            <w:r>
              <w:rPr>
                <w:rFonts w:hint="eastAsia"/>
                <w:color w:val="auto"/>
                <w:highlight w:val="none"/>
                <w:shd w:val="clear" w:color="auto" w:fill="auto"/>
                <w:lang w:val="en-US" w:eastAsia="zh-CN"/>
              </w:rPr>
              <w:t>人员学历证书、相关资格证书、职称证书</w:t>
            </w:r>
            <w:r>
              <w:rPr>
                <w:rFonts w:hint="eastAsia"/>
                <w:color w:val="auto"/>
                <w:highlight w:val="none"/>
                <w:shd w:val="clear" w:color="auto" w:fill="auto"/>
                <w:lang w:val="zh-CN" w:eastAsia="zh-CN"/>
              </w:rPr>
              <w:t>扫描件</w:t>
            </w:r>
            <w:r>
              <w:rPr>
                <w:rFonts w:hint="eastAsia"/>
                <w:color w:val="auto"/>
                <w:highlight w:val="none"/>
                <w:shd w:val="clear" w:color="auto" w:fill="auto"/>
                <w:lang w:val="en-US" w:eastAsia="zh-CN"/>
              </w:rPr>
              <w:t>及</w:t>
            </w:r>
            <w:r>
              <w:rPr>
                <w:rFonts w:hint="eastAsia" w:ascii="仿宋" w:hAnsi="仿宋" w:eastAsia="仿宋" w:cs="仿宋"/>
                <w:i w:val="0"/>
                <w:iCs w:val="0"/>
                <w:color w:val="auto"/>
                <w:sz w:val="24"/>
                <w:szCs w:val="24"/>
                <w:highlight w:val="none"/>
                <w:lang w:val="en-US" w:eastAsia="zh-CN"/>
              </w:rPr>
              <w:t>投标人为其缴纳的</w:t>
            </w:r>
            <w:r>
              <w:rPr>
                <w:rFonts w:hint="eastAsia" w:cs="仿宋"/>
                <w:i w:val="0"/>
                <w:iCs w:val="0"/>
                <w:color w:val="auto"/>
                <w:sz w:val="24"/>
                <w:szCs w:val="24"/>
                <w:highlight w:val="none"/>
                <w:lang w:val="en-US" w:eastAsia="zh-CN"/>
              </w:rPr>
              <w:t>近3个月</w:t>
            </w:r>
            <w:r>
              <w:rPr>
                <w:rFonts w:hint="eastAsia" w:ascii="仿宋" w:hAnsi="仿宋" w:eastAsia="仿宋" w:cs="仿宋"/>
                <w:i w:val="0"/>
                <w:iCs w:val="0"/>
                <w:color w:val="auto"/>
                <w:sz w:val="24"/>
                <w:szCs w:val="24"/>
                <w:highlight w:val="none"/>
                <w:lang w:val="en-US" w:eastAsia="zh-CN"/>
              </w:rPr>
              <w:t>社保证明</w:t>
            </w:r>
            <w:r>
              <w:rPr>
                <w:rFonts w:hint="eastAsia" w:cs="仿宋"/>
                <w:i w:val="0"/>
                <w:iCs w:val="0"/>
                <w:color w:val="auto"/>
                <w:sz w:val="24"/>
                <w:szCs w:val="24"/>
                <w:highlight w:val="none"/>
                <w:lang w:val="en-US" w:eastAsia="zh-CN"/>
              </w:rPr>
              <w:t>（2022年7月、8月、9月）</w:t>
            </w:r>
            <w:r>
              <w:rPr>
                <w:rFonts w:hint="eastAsia"/>
                <w:color w:val="auto"/>
                <w:highlight w:val="none"/>
                <w:shd w:val="clear" w:color="auto" w:fill="auto"/>
                <w:lang w:val="en-US" w:eastAsia="zh-CN"/>
              </w:rPr>
              <w:t>，并需</w:t>
            </w:r>
            <w:r>
              <w:rPr>
                <w:rFonts w:hint="eastAsia"/>
                <w:color w:val="auto"/>
                <w:highlight w:val="none"/>
                <w:shd w:val="clear" w:color="auto" w:fill="auto"/>
                <w:lang w:val="zh-CN" w:eastAsia="zh-CN"/>
              </w:rPr>
              <w:t>加盖</w:t>
            </w:r>
            <w:r>
              <w:rPr>
                <w:rFonts w:hint="eastAsia"/>
                <w:color w:val="auto"/>
                <w:highlight w:val="none"/>
                <w:shd w:val="clear" w:color="auto" w:fill="auto"/>
                <w:lang w:val="en-US" w:eastAsia="zh-CN"/>
              </w:rPr>
              <w:t>投标人</w:t>
            </w:r>
            <w:r>
              <w:rPr>
                <w:rFonts w:hint="eastAsia"/>
                <w:color w:val="auto"/>
                <w:highlight w:val="none"/>
                <w:shd w:val="clear" w:color="auto" w:fill="auto"/>
                <w:lang w:val="zh-CN" w:eastAsia="zh-CN"/>
              </w:rPr>
              <w:t>公章，否则不得分。）</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rPr>
              <w:t>客观</w:t>
            </w:r>
            <w:r>
              <w:rPr>
                <w:rFonts w:hint="eastAsia" w:ascii="仿宋" w:hAnsi="仿宋" w:eastAsia="仿宋" w:cs="仿宋"/>
                <w:color w:val="auto"/>
                <w:kern w:val="0"/>
                <w:sz w:val="24"/>
                <w:szCs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13</w:t>
            </w:r>
          </w:p>
        </w:tc>
        <w:tc>
          <w:tcPr>
            <w:tcW w:w="6417" w:type="dxa"/>
            <w:gridSpan w:val="2"/>
            <w:vAlign w:val="center"/>
          </w:tcPr>
          <w:p>
            <w:pPr>
              <w:pStyle w:val="17"/>
              <w:snapToGrid w:val="0"/>
              <w:spacing w:line="240" w:lineRule="auto"/>
              <w:ind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根据服务能力、售后服务方案、措施、响应等情况综合评定。</w:t>
            </w:r>
          </w:p>
          <w:p>
            <w:pPr>
              <w:rPr>
                <w:rFonts w:hint="eastAsia"/>
                <w:color w:val="auto"/>
                <w:highlight w:val="none"/>
                <w:lang w:val="en-US" w:eastAsia="zh-CN"/>
              </w:rPr>
            </w:pP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服务方案详实，能为采购人提供高效便捷且高标准的保障</w:t>
            </w:r>
            <w:r>
              <w:rPr>
                <w:rFonts w:hint="eastAsia" w:ascii="仿宋" w:hAnsi="仿宋" w:eastAsia="仿宋" w:cs="仿宋"/>
                <w:color w:val="auto"/>
                <w:sz w:val="24"/>
                <w:highlight w:val="none"/>
                <w:lang w:eastAsia="zh-CN"/>
              </w:rPr>
              <w:t>措施</w:t>
            </w:r>
            <w:r>
              <w:rPr>
                <w:rFonts w:hint="eastAsia" w:ascii="仿宋" w:hAnsi="仿宋" w:eastAsia="仿宋" w:cs="仿宋"/>
                <w:color w:val="auto"/>
                <w:sz w:val="24"/>
                <w:highlight w:val="none"/>
              </w:rPr>
              <w:t>，</w:t>
            </w:r>
            <w:r>
              <w:rPr>
                <w:rFonts w:hint="eastAsia" w:cs="仿宋"/>
                <w:color w:val="auto"/>
                <w:sz w:val="24"/>
                <w:highlight w:val="none"/>
                <w:lang w:val="en-US" w:eastAsia="zh-CN"/>
              </w:rPr>
              <w:t>服务</w:t>
            </w:r>
            <w:r>
              <w:rPr>
                <w:rFonts w:hint="eastAsia" w:ascii="仿宋" w:hAnsi="仿宋" w:eastAsia="仿宋" w:cs="仿宋"/>
                <w:color w:val="auto"/>
                <w:sz w:val="24"/>
                <w:highlight w:val="none"/>
                <w:lang w:eastAsia="zh-CN"/>
              </w:rPr>
              <w:t>能力强</w:t>
            </w:r>
            <w:r>
              <w:rPr>
                <w:rFonts w:hint="eastAsia" w:ascii="仿宋" w:hAnsi="仿宋" w:eastAsia="仿宋" w:cs="仿宋"/>
                <w:color w:val="auto"/>
                <w:sz w:val="24"/>
                <w:highlight w:val="none"/>
              </w:rPr>
              <w:t>的得</w:t>
            </w:r>
            <w:r>
              <w:rPr>
                <w:rFonts w:hint="eastAsia" w:cs="仿宋"/>
                <w:color w:val="auto"/>
                <w:sz w:val="24"/>
                <w:highlight w:val="none"/>
                <w:lang w:val="en-US" w:eastAsia="zh-CN"/>
              </w:rPr>
              <w:t>4-5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服务方案</w:t>
            </w:r>
            <w:r>
              <w:rPr>
                <w:rFonts w:hint="eastAsia" w:cs="仿宋"/>
                <w:color w:val="auto"/>
                <w:sz w:val="24"/>
                <w:highlight w:val="none"/>
                <w:lang w:eastAsia="zh-CN"/>
              </w:rPr>
              <w:t>较</w:t>
            </w:r>
            <w:r>
              <w:rPr>
                <w:rFonts w:hint="eastAsia" w:ascii="仿宋" w:hAnsi="仿宋" w:eastAsia="仿宋" w:cs="仿宋"/>
                <w:color w:val="auto"/>
                <w:sz w:val="24"/>
                <w:highlight w:val="none"/>
              </w:rPr>
              <w:t>详实，能为采购人提供</w:t>
            </w:r>
            <w:r>
              <w:rPr>
                <w:rFonts w:hint="eastAsia" w:cs="仿宋"/>
                <w:color w:val="auto"/>
                <w:sz w:val="24"/>
                <w:highlight w:val="none"/>
                <w:lang w:eastAsia="zh-CN"/>
              </w:rPr>
              <w:t>相对</w:t>
            </w:r>
            <w:r>
              <w:rPr>
                <w:rFonts w:hint="eastAsia" w:ascii="仿宋" w:hAnsi="仿宋" w:eastAsia="仿宋" w:cs="仿宋"/>
                <w:color w:val="auto"/>
                <w:sz w:val="24"/>
                <w:highlight w:val="none"/>
              </w:rPr>
              <w:t>高效便捷的保障</w:t>
            </w:r>
            <w:r>
              <w:rPr>
                <w:rFonts w:hint="eastAsia" w:ascii="仿宋" w:hAnsi="仿宋" w:eastAsia="仿宋" w:cs="仿宋"/>
                <w:color w:val="auto"/>
                <w:sz w:val="24"/>
                <w:highlight w:val="none"/>
                <w:lang w:eastAsia="zh-CN"/>
              </w:rPr>
              <w:t>措施</w:t>
            </w:r>
            <w:r>
              <w:rPr>
                <w:rFonts w:hint="eastAsia" w:ascii="仿宋" w:hAnsi="仿宋" w:eastAsia="仿宋" w:cs="仿宋"/>
                <w:color w:val="auto"/>
                <w:sz w:val="24"/>
                <w:highlight w:val="none"/>
              </w:rPr>
              <w:t>的得</w:t>
            </w:r>
            <w:r>
              <w:rPr>
                <w:rFonts w:hint="eastAsia" w:cs="仿宋"/>
                <w:color w:val="auto"/>
                <w:sz w:val="24"/>
                <w:highlight w:val="none"/>
                <w:lang w:val="en-US" w:eastAsia="zh-CN"/>
              </w:rPr>
              <w:t>2-4</w:t>
            </w:r>
            <w:r>
              <w:rPr>
                <w:rFonts w:hint="eastAsia" w:ascii="仿宋" w:hAnsi="仿宋" w:eastAsia="仿宋" w:cs="仿宋"/>
                <w:color w:val="auto"/>
                <w:sz w:val="24"/>
                <w:highlight w:val="none"/>
              </w:rPr>
              <w:t>分</w:t>
            </w:r>
            <w:r>
              <w:rPr>
                <w:rFonts w:hint="eastAsia" w:cs="仿宋"/>
                <w:color w:val="auto"/>
                <w:sz w:val="24"/>
                <w:highlight w:val="none"/>
                <w:lang w:eastAsia="zh-CN"/>
              </w:rPr>
              <w:t>；</w:t>
            </w:r>
            <w:r>
              <w:rPr>
                <w:rFonts w:hint="eastAsia" w:cs="仿宋"/>
                <w:color w:val="auto"/>
                <w:sz w:val="24"/>
                <w:highlight w:val="none"/>
                <w:lang w:val="en-US" w:eastAsia="zh-CN"/>
              </w:rPr>
              <w:t>服务</w:t>
            </w:r>
            <w:r>
              <w:rPr>
                <w:rFonts w:hint="eastAsia" w:ascii="仿宋" w:hAnsi="仿宋" w:eastAsia="仿宋" w:cs="仿宋"/>
                <w:color w:val="auto"/>
                <w:sz w:val="24"/>
                <w:highlight w:val="none"/>
                <w:lang w:eastAsia="zh-CN"/>
              </w:rPr>
              <w:t>能力</w:t>
            </w:r>
            <w:r>
              <w:rPr>
                <w:rFonts w:hint="eastAsia" w:cs="仿宋"/>
                <w:color w:val="auto"/>
                <w:sz w:val="24"/>
                <w:highlight w:val="none"/>
                <w:lang w:eastAsia="zh-CN"/>
              </w:rPr>
              <w:t>一般</w:t>
            </w:r>
            <w:r>
              <w:rPr>
                <w:rFonts w:hint="eastAsia" w:ascii="仿宋" w:hAnsi="仿宋" w:eastAsia="仿宋" w:cs="仿宋"/>
                <w:color w:val="auto"/>
                <w:sz w:val="24"/>
                <w:highlight w:val="none"/>
              </w:rPr>
              <w:t>的得</w:t>
            </w:r>
            <w:r>
              <w:rPr>
                <w:rFonts w:hint="eastAsia" w:cs="仿宋"/>
                <w:color w:val="auto"/>
                <w:sz w:val="24"/>
                <w:highlight w:val="none"/>
                <w:lang w:val="en-US" w:eastAsia="zh-CN"/>
              </w:rPr>
              <w:t>0-2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821"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cs="仿宋"/>
                <w:color w:val="auto"/>
                <w:sz w:val="24"/>
                <w:szCs w:val="24"/>
                <w:highlight w:val="none"/>
                <w:u w:val="none"/>
                <w:shd w:val="clear" w:color="auto" w:fill="auto"/>
                <w:lang w:val="en-US" w:eastAsia="zh-CN"/>
              </w:rPr>
              <w:t>0</w:t>
            </w:r>
            <w:r>
              <w:rPr>
                <w:rFonts w:hint="eastAsia" w:ascii="仿宋" w:hAnsi="仿宋" w:eastAsia="仿宋" w:cs="仿宋"/>
                <w:color w:val="auto"/>
                <w:sz w:val="24"/>
                <w:szCs w:val="24"/>
                <w:highlight w:val="none"/>
                <w:u w:val="none"/>
                <w:shd w:val="clear" w:color="auto" w:fill="auto"/>
              </w:rPr>
              <w:t>-</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14</w:t>
            </w:r>
          </w:p>
        </w:tc>
        <w:tc>
          <w:tcPr>
            <w:tcW w:w="6417" w:type="dxa"/>
            <w:gridSpan w:val="2"/>
            <w:vAlign w:val="center"/>
          </w:tcPr>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zh-CN" w:eastAsia="zh-CN" w:bidi="ar-SA"/>
              </w:rPr>
              <w:t>投标单位提供智能垃圾分类平台系统，实现垃圾分类过程管理，平台功能包括：垃圾分类数据展示、事件巡检、</w:t>
            </w:r>
            <w:r>
              <w:rPr>
                <w:rFonts w:hint="eastAsia" w:cs="仿宋"/>
                <w:b w:val="0"/>
                <w:bCs w:val="0"/>
                <w:color w:val="auto"/>
                <w:kern w:val="2"/>
                <w:sz w:val="24"/>
                <w:szCs w:val="24"/>
                <w:highlight w:val="none"/>
                <w:u w:val="none"/>
                <w:shd w:val="clear" w:color="auto" w:fill="auto"/>
                <w:lang w:val="zh-CN" w:eastAsia="zh-CN" w:bidi="ar-SA"/>
              </w:rPr>
              <w:t>监控小区数据</w:t>
            </w:r>
            <w:r>
              <w:rPr>
                <w:rFonts w:hint="eastAsia" w:ascii="仿宋" w:hAnsi="仿宋" w:eastAsia="仿宋" w:cs="仿宋"/>
                <w:b w:val="0"/>
                <w:bCs w:val="0"/>
                <w:color w:val="auto"/>
                <w:kern w:val="2"/>
                <w:sz w:val="24"/>
                <w:szCs w:val="24"/>
                <w:highlight w:val="none"/>
                <w:u w:val="none"/>
                <w:shd w:val="clear" w:color="auto" w:fill="auto"/>
                <w:lang w:val="zh-CN" w:eastAsia="zh-CN" w:bidi="ar-SA"/>
              </w:rPr>
              <w:t>、</w:t>
            </w:r>
            <w:r>
              <w:rPr>
                <w:rFonts w:hint="eastAsia" w:cs="仿宋"/>
                <w:b w:val="0"/>
                <w:bCs w:val="0"/>
                <w:color w:val="auto"/>
                <w:kern w:val="2"/>
                <w:sz w:val="24"/>
                <w:szCs w:val="24"/>
                <w:highlight w:val="none"/>
                <w:u w:val="none"/>
                <w:shd w:val="clear" w:color="auto" w:fill="auto"/>
                <w:lang w:val="zh-CN" w:eastAsia="zh-CN" w:bidi="ar-SA"/>
              </w:rPr>
              <w:t>设备监管维护、预约上门、积分查询</w:t>
            </w:r>
            <w:r>
              <w:rPr>
                <w:rFonts w:hint="eastAsia" w:ascii="仿宋" w:hAnsi="仿宋" w:eastAsia="仿宋" w:cs="仿宋"/>
                <w:b w:val="0"/>
                <w:bCs w:val="0"/>
                <w:color w:val="auto"/>
                <w:kern w:val="2"/>
                <w:sz w:val="24"/>
                <w:szCs w:val="24"/>
                <w:highlight w:val="none"/>
                <w:u w:val="none"/>
                <w:shd w:val="clear" w:color="auto" w:fill="auto"/>
                <w:lang w:val="zh-CN" w:eastAsia="zh-CN" w:bidi="ar-SA"/>
              </w:rPr>
              <w:t>，全部满足得</w:t>
            </w:r>
            <w:r>
              <w:rPr>
                <w:rFonts w:hint="eastAsia" w:ascii="仿宋" w:hAnsi="仿宋" w:eastAsia="仿宋" w:cs="仿宋"/>
                <w:b w:val="0"/>
                <w:bCs w:val="0"/>
                <w:color w:val="auto"/>
                <w:kern w:val="2"/>
                <w:sz w:val="24"/>
                <w:szCs w:val="24"/>
                <w:highlight w:val="none"/>
                <w:u w:val="none"/>
                <w:shd w:val="clear" w:color="auto" w:fill="auto"/>
                <w:lang w:val="en-US" w:eastAsia="zh-CN" w:bidi="ar-SA"/>
              </w:rPr>
              <w:t>5</w:t>
            </w:r>
            <w:r>
              <w:rPr>
                <w:rFonts w:hint="eastAsia" w:ascii="仿宋" w:hAnsi="仿宋" w:eastAsia="仿宋" w:cs="仿宋"/>
                <w:b w:val="0"/>
                <w:bCs w:val="0"/>
                <w:color w:val="auto"/>
                <w:kern w:val="2"/>
                <w:sz w:val="24"/>
                <w:szCs w:val="24"/>
                <w:highlight w:val="none"/>
                <w:u w:val="none"/>
                <w:shd w:val="clear" w:color="auto" w:fill="auto"/>
                <w:lang w:val="zh-CN" w:eastAsia="zh-CN" w:bidi="ar-SA"/>
              </w:rPr>
              <w:t>分，不满足的每项扣1分，扣完为止。（</w:t>
            </w:r>
            <w:r>
              <w:rPr>
                <w:rFonts w:hint="eastAsia" w:ascii="仿宋" w:hAnsi="仿宋" w:eastAsia="仿宋" w:cs="仿宋"/>
                <w:b w:val="0"/>
                <w:bCs w:val="0"/>
                <w:color w:val="auto"/>
                <w:kern w:val="2"/>
                <w:sz w:val="24"/>
                <w:szCs w:val="24"/>
                <w:highlight w:val="none"/>
                <w:u w:val="none"/>
                <w:shd w:val="clear" w:color="auto" w:fill="auto"/>
                <w:lang w:val="en-US" w:eastAsia="zh-CN" w:bidi="ar-SA"/>
              </w:rPr>
              <w:t>提供</w:t>
            </w:r>
            <w:r>
              <w:rPr>
                <w:rFonts w:hint="eastAsia" w:ascii="仿宋" w:hAnsi="仿宋" w:eastAsia="仿宋" w:cs="仿宋"/>
                <w:b w:val="0"/>
                <w:bCs w:val="0"/>
                <w:color w:val="auto"/>
                <w:kern w:val="2"/>
                <w:sz w:val="24"/>
                <w:szCs w:val="24"/>
                <w:highlight w:val="none"/>
                <w:u w:val="none"/>
                <w:shd w:val="clear" w:color="auto" w:fill="auto"/>
                <w:lang w:val="zh-CN" w:eastAsia="zh-CN" w:bidi="ar-SA"/>
              </w:rPr>
              <w:t>功能截图</w:t>
            </w:r>
            <w:r>
              <w:rPr>
                <w:rFonts w:hint="eastAsia" w:ascii="仿宋" w:hAnsi="仿宋" w:eastAsia="仿宋" w:cs="仿宋"/>
                <w:b w:val="0"/>
                <w:bCs w:val="0"/>
                <w:color w:val="auto"/>
                <w:kern w:val="2"/>
                <w:sz w:val="24"/>
                <w:szCs w:val="24"/>
                <w:highlight w:val="none"/>
                <w:u w:val="none"/>
                <w:shd w:val="clear" w:color="auto" w:fill="auto"/>
                <w:lang w:val="en-US" w:eastAsia="zh-CN" w:bidi="ar-SA"/>
              </w:rPr>
              <w:t>能体现其平台功能的</w:t>
            </w:r>
            <w:r>
              <w:rPr>
                <w:rFonts w:hint="eastAsia" w:ascii="仿宋" w:hAnsi="仿宋" w:eastAsia="仿宋" w:cs="仿宋"/>
                <w:b w:val="0"/>
                <w:bCs w:val="0"/>
                <w:color w:val="auto"/>
                <w:kern w:val="2"/>
                <w:sz w:val="24"/>
                <w:szCs w:val="24"/>
                <w:highlight w:val="none"/>
                <w:u w:val="none"/>
                <w:shd w:val="clear" w:color="auto" w:fill="auto"/>
                <w:lang w:val="zh-CN" w:eastAsia="zh-CN" w:bidi="ar-SA"/>
              </w:rPr>
              <w:t>证明材料</w:t>
            </w:r>
            <w:r>
              <w:rPr>
                <w:rFonts w:hint="eastAsia" w:cs="仿宋"/>
                <w:b w:val="0"/>
                <w:bCs w:val="0"/>
                <w:color w:val="auto"/>
                <w:kern w:val="2"/>
                <w:sz w:val="24"/>
                <w:szCs w:val="24"/>
                <w:highlight w:val="none"/>
                <w:u w:val="none"/>
                <w:shd w:val="clear" w:color="auto" w:fill="auto"/>
                <w:lang w:val="en-US" w:eastAsia="zh-CN" w:bidi="ar-SA"/>
              </w:rPr>
              <w:t>并加盖投标人公章</w:t>
            </w:r>
            <w:r>
              <w:rPr>
                <w:rFonts w:hint="eastAsia" w:ascii="仿宋" w:hAnsi="仿宋" w:eastAsia="仿宋" w:cs="仿宋"/>
                <w:b w:val="0"/>
                <w:bCs w:val="0"/>
                <w:color w:val="auto"/>
                <w:kern w:val="2"/>
                <w:sz w:val="24"/>
                <w:szCs w:val="24"/>
                <w:highlight w:val="none"/>
                <w:u w:val="none"/>
                <w:shd w:val="clear" w:color="auto" w:fill="auto"/>
                <w:lang w:val="zh-CN" w:eastAsia="zh-CN" w:bidi="ar-SA"/>
              </w:rPr>
              <w:t>，不提供不得分）</w:t>
            </w:r>
          </w:p>
        </w:tc>
        <w:tc>
          <w:tcPr>
            <w:tcW w:w="821" w:type="dxa"/>
            <w:vAlign w:val="center"/>
          </w:tcPr>
          <w:p>
            <w:pPr>
              <w:widowControl/>
              <w:spacing w:line="240" w:lineRule="auto"/>
              <w:jc w:val="center"/>
              <w:rPr>
                <w:rFonts w:hint="default"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5</w:t>
            </w:r>
          </w:p>
        </w:tc>
        <w:tc>
          <w:tcPr>
            <w:tcW w:w="834" w:type="dxa"/>
            <w:vAlign w:val="center"/>
          </w:tcPr>
          <w:p>
            <w:pPr>
              <w:widowControl/>
              <w:spacing w:line="240" w:lineRule="auto"/>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15</w:t>
            </w:r>
          </w:p>
        </w:tc>
        <w:tc>
          <w:tcPr>
            <w:tcW w:w="6417" w:type="dxa"/>
            <w:gridSpan w:val="2"/>
            <w:vAlign w:val="center"/>
          </w:tcPr>
          <w:p>
            <w:pPr>
              <w:spacing w:after="0"/>
              <w:jc w:val="both"/>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b w:val="0"/>
                <w:bCs/>
                <w:color w:val="auto"/>
                <w:sz w:val="24"/>
                <w:szCs w:val="24"/>
                <w:highlight w:val="none"/>
                <w:u w:val="none"/>
                <w:lang w:eastAsia="zh-CN"/>
              </w:rPr>
              <w:t>提供全年小区居民分类活动</w:t>
            </w:r>
            <w:r>
              <w:rPr>
                <w:rFonts w:hint="eastAsia" w:cs="仿宋"/>
                <w:b w:val="0"/>
                <w:bCs/>
                <w:color w:val="auto"/>
                <w:sz w:val="24"/>
                <w:szCs w:val="24"/>
                <w:highlight w:val="none"/>
                <w:u w:val="none"/>
                <w:lang w:eastAsia="zh-CN"/>
              </w:rPr>
              <w:t>、培训</w:t>
            </w:r>
            <w:r>
              <w:rPr>
                <w:rFonts w:hint="eastAsia" w:ascii="仿宋" w:hAnsi="仿宋" w:eastAsia="仿宋" w:cs="仿宋"/>
                <w:b w:val="0"/>
                <w:bCs/>
                <w:color w:val="auto"/>
                <w:sz w:val="24"/>
                <w:szCs w:val="24"/>
                <w:highlight w:val="none"/>
                <w:u w:val="none"/>
                <w:lang w:eastAsia="zh-CN"/>
              </w:rPr>
              <w:t>方案，方案科学合理得</w:t>
            </w:r>
            <w:r>
              <w:rPr>
                <w:rFonts w:hint="eastAsia" w:cs="仿宋"/>
                <w:b w:val="0"/>
                <w:bCs/>
                <w:color w:val="auto"/>
                <w:sz w:val="24"/>
                <w:szCs w:val="24"/>
                <w:highlight w:val="none"/>
                <w:u w:val="none"/>
                <w:lang w:val="en-US" w:eastAsia="zh-CN"/>
              </w:rPr>
              <w:t>3-4</w:t>
            </w:r>
            <w:r>
              <w:rPr>
                <w:rFonts w:hint="eastAsia" w:ascii="仿宋" w:hAnsi="仿宋" w:eastAsia="仿宋" w:cs="仿宋"/>
                <w:b w:val="0"/>
                <w:bCs/>
                <w:color w:val="auto"/>
                <w:sz w:val="24"/>
                <w:szCs w:val="24"/>
                <w:highlight w:val="none"/>
                <w:u w:val="none"/>
                <w:lang w:eastAsia="zh-CN"/>
              </w:rPr>
              <w:t>分；较科学合理的得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spacing w:after="0"/>
              <w:jc w:val="center"/>
              <w:rPr>
                <w:rFonts w:hint="default" w:ascii="仿宋" w:hAnsi="仿宋" w:eastAsia="仿宋" w:cstheme="majorBidi"/>
                <w:color w:val="auto"/>
                <w:sz w:val="24"/>
                <w:szCs w:val="24"/>
                <w:highlight w:val="none"/>
                <w:shd w:val="clear" w:color="auto" w:fill="auto"/>
                <w:lang w:val="en-US" w:eastAsia="zh-CN" w:bidi="ar-SA"/>
              </w:rPr>
            </w:pPr>
            <w:r>
              <w:rPr>
                <w:rFonts w:hint="eastAsia"/>
                <w:color w:val="auto"/>
                <w:highlight w:val="none"/>
                <w:shd w:val="clear" w:color="auto" w:fill="auto"/>
                <w:lang w:val="en-US" w:eastAsia="zh-CN"/>
              </w:rPr>
              <w:t>0-4</w:t>
            </w:r>
          </w:p>
        </w:tc>
        <w:tc>
          <w:tcPr>
            <w:tcW w:w="834" w:type="dxa"/>
            <w:vAlign w:val="center"/>
          </w:tcPr>
          <w:p>
            <w:pPr>
              <w:spacing w:after="0"/>
              <w:jc w:val="center"/>
              <w:rPr>
                <w:rFonts w:hint="eastAsia" w:ascii="仿宋" w:hAnsi="仿宋" w:eastAsia="仿宋" w:cstheme="majorBidi"/>
                <w:color w:val="auto"/>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16</w:t>
            </w:r>
          </w:p>
        </w:tc>
        <w:tc>
          <w:tcPr>
            <w:tcW w:w="6417" w:type="dxa"/>
            <w:gridSpan w:val="2"/>
            <w:vAlign w:val="center"/>
          </w:tcPr>
          <w:p>
            <w:pPr>
              <w:spacing w:after="0"/>
              <w:jc w:val="both"/>
              <w:rPr>
                <w:rFonts w:hint="eastAsia" w:ascii="仿宋" w:hAnsi="仿宋" w:eastAsia="仿宋" w:cstheme="majorBidi"/>
                <w:color w:val="auto"/>
                <w:sz w:val="24"/>
                <w:highlight w:val="none"/>
                <w:shd w:val="clear" w:color="auto" w:fill="auto"/>
                <w:lang w:val="zh-CN" w:eastAsia="zh-CN"/>
              </w:rPr>
            </w:pPr>
            <w:r>
              <w:rPr>
                <w:rFonts w:hint="eastAsia" w:ascii="仿宋" w:hAnsi="仿宋" w:eastAsia="仿宋" w:cstheme="majorBidi"/>
                <w:color w:val="auto"/>
                <w:sz w:val="24"/>
                <w:highlight w:val="none"/>
                <w:shd w:val="clear" w:color="auto" w:fill="auto"/>
                <w:lang w:val="en-US" w:eastAsia="zh-CN"/>
              </w:rPr>
              <w:t>按照采购需求，</w:t>
            </w:r>
            <w:r>
              <w:rPr>
                <w:rFonts w:hint="eastAsia" w:ascii="仿宋" w:hAnsi="仿宋" w:eastAsia="仿宋" w:cstheme="majorBidi"/>
                <w:color w:val="auto"/>
                <w:sz w:val="24"/>
                <w:highlight w:val="none"/>
                <w:shd w:val="clear" w:color="auto" w:fill="auto"/>
                <w:lang w:val="zh-CN" w:eastAsia="zh-CN"/>
              </w:rPr>
              <w:t>投标人</w:t>
            </w:r>
            <w:r>
              <w:rPr>
                <w:rFonts w:hint="eastAsia" w:ascii="仿宋" w:hAnsi="仿宋" w:eastAsia="仿宋" w:cstheme="majorBidi"/>
                <w:color w:val="auto"/>
                <w:sz w:val="24"/>
                <w:highlight w:val="none"/>
                <w:shd w:val="clear" w:color="auto" w:fill="auto"/>
                <w:lang w:val="en-US" w:eastAsia="zh-CN"/>
              </w:rPr>
              <w:t>拟投入</w:t>
            </w:r>
            <w:r>
              <w:rPr>
                <w:rFonts w:hint="eastAsia" w:ascii="仿宋" w:hAnsi="仿宋" w:eastAsia="仿宋" w:cstheme="majorBidi"/>
                <w:color w:val="auto"/>
                <w:sz w:val="24"/>
                <w:highlight w:val="none"/>
                <w:shd w:val="clear" w:color="auto" w:fill="auto"/>
                <w:lang w:val="zh-CN" w:eastAsia="zh-CN"/>
              </w:rPr>
              <w:t>自卸货车（总质量</w:t>
            </w:r>
            <w:r>
              <w:rPr>
                <w:rFonts w:hint="eastAsia" w:ascii="仿宋" w:hAnsi="仿宋" w:eastAsia="仿宋" w:cstheme="majorBidi"/>
                <w:color w:val="auto"/>
                <w:sz w:val="24"/>
                <w:highlight w:val="none"/>
                <w:shd w:val="clear" w:color="auto" w:fill="auto"/>
                <w:lang w:val="en-US" w:eastAsia="zh-CN"/>
              </w:rPr>
              <w:t>≥4吨</w:t>
            </w:r>
            <w:r>
              <w:rPr>
                <w:rFonts w:hint="eastAsia" w:ascii="仿宋" w:hAnsi="仿宋" w:eastAsia="仿宋" w:cstheme="majorBidi"/>
                <w:color w:val="auto"/>
                <w:sz w:val="24"/>
                <w:highlight w:val="none"/>
                <w:shd w:val="clear" w:color="auto" w:fill="auto"/>
                <w:lang w:val="zh-CN" w:eastAsia="zh-CN"/>
              </w:rPr>
              <w:t>）</w:t>
            </w:r>
            <w:r>
              <w:rPr>
                <w:rFonts w:hint="eastAsia" w:ascii="仿宋" w:hAnsi="仿宋" w:eastAsia="仿宋" w:cstheme="majorBidi"/>
                <w:color w:val="auto"/>
                <w:sz w:val="24"/>
                <w:highlight w:val="none"/>
                <w:shd w:val="clear" w:color="auto" w:fill="auto"/>
                <w:lang w:val="en-US" w:eastAsia="zh-CN"/>
              </w:rPr>
              <w:t>的数量进行综合评定</w:t>
            </w:r>
            <w:r>
              <w:rPr>
                <w:rFonts w:hint="eastAsia" w:ascii="仿宋" w:hAnsi="仿宋" w:eastAsia="仿宋" w:cstheme="majorBidi"/>
                <w:color w:val="auto"/>
                <w:sz w:val="24"/>
                <w:highlight w:val="none"/>
                <w:shd w:val="clear" w:color="auto" w:fill="auto"/>
                <w:lang w:val="zh-CN" w:eastAsia="zh-CN"/>
              </w:rPr>
              <w:t>。</w:t>
            </w:r>
          </w:p>
          <w:p>
            <w:pPr>
              <w:spacing w:after="0"/>
              <w:jc w:val="both"/>
              <w:rPr>
                <w:rFonts w:hint="default"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zh-CN" w:eastAsia="zh-CN"/>
              </w:rPr>
              <w:t>上述车辆必须为</w:t>
            </w:r>
            <w:r>
              <w:rPr>
                <w:rFonts w:hint="eastAsia" w:cstheme="majorBidi"/>
                <w:color w:val="auto"/>
                <w:sz w:val="24"/>
                <w:highlight w:val="none"/>
                <w:shd w:val="clear" w:color="auto" w:fill="auto"/>
                <w:lang w:val="en-US" w:eastAsia="zh-CN"/>
              </w:rPr>
              <w:t>近五年内</w:t>
            </w:r>
            <w:r>
              <w:rPr>
                <w:rFonts w:hint="eastAsia" w:ascii="仿宋" w:hAnsi="仿宋" w:eastAsia="仿宋" w:cstheme="majorBidi"/>
                <w:color w:val="auto"/>
                <w:sz w:val="24"/>
                <w:highlight w:val="none"/>
                <w:shd w:val="clear" w:color="auto" w:fill="auto"/>
                <w:lang w:val="zh-CN" w:eastAsia="zh-CN"/>
              </w:rPr>
              <w:t>上牌的车辆（投标文件中须提供上述车辆的照片、上述车辆的机动车登记证、行驶证和发票</w:t>
            </w:r>
            <w:r>
              <w:rPr>
                <w:rFonts w:hint="eastAsia" w:ascii="仿宋" w:hAnsi="仿宋" w:eastAsia="仿宋" w:cstheme="majorBidi"/>
                <w:color w:val="auto"/>
                <w:sz w:val="24"/>
                <w:highlight w:val="none"/>
                <w:shd w:val="clear" w:color="auto" w:fill="auto"/>
                <w:lang w:val="en-US" w:eastAsia="zh-CN"/>
              </w:rPr>
              <w:t>或租赁证明</w:t>
            </w:r>
            <w:r>
              <w:rPr>
                <w:rFonts w:hint="eastAsia" w:ascii="仿宋" w:hAnsi="仿宋" w:eastAsia="仿宋" w:cstheme="majorBidi"/>
                <w:color w:val="auto"/>
                <w:sz w:val="24"/>
                <w:highlight w:val="none"/>
                <w:shd w:val="clear" w:color="auto" w:fill="auto"/>
                <w:lang w:val="zh-CN" w:eastAsia="zh-CN"/>
              </w:rPr>
              <w:t>的扫描件）。</w:t>
            </w:r>
            <w:r>
              <w:rPr>
                <w:rFonts w:hint="eastAsia" w:cstheme="majorBidi"/>
                <w:color w:val="auto"/>
                <w:sz w:val="24"/>
                <w:highlight w:val="none"/>
                <w:shd w:val="clear" w:color="auto" w:fill="auto"/>
                <w:lang w:val="en-US" w:eastAsia="zh-CN"/>
              </w:rPr>
              <w:t xml:space="preserve">      </w:t>
            </w:r>
          </w:p>
        </w:tc>
        <w:tc>
          <w:tcPr>
            <w:tcW w:w="821" w:type="dxa"/>
            <w:vAlign w:val="center"/>
          </w:tcPr>
          <w:p>
            <w:pPr>
              <w:widowControl/>
              <w:adjustRightInd w:val="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w:t>
            </w:r>
            <w:r>
              <w:rPr>
                <w:rFonts w:hint="eastAsia" w:cs="仿宋"/>
                <w:b w:val="0"/>
                <w:bCs/>
                <w:color w:val="auto"/>
                <w:kern w:val="0"/>
                <w:sz w:val="24"/>
                <w:szCs w:val="24"/>
                <w:highlight w:val="none"/>
                <w:lang w:val="en-US" w:eastAsia="zh-CN"/>
              </w:rPr>
              <w:t>2</w:t>
            </w:r>
          </w:p>
        </w:tc>
        <w:tc>
          <w:tcPr>
            <w:tcW w:w="834" w:type="dxa"/>
            <w:vAlign w:val="center"/>
          </w:tcPr>
          <w:p>
            <w:pPr>
              <w:widowControl/>
              <w:adjustRightInd w:val="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17</w:t>
            </w:r>
          </w:p>
        </w:tc>
        <w:tc>
          <w:tcPr>
            <w:tcW w:w="6417" w:type="dxa"/>
            <w:gridSpan w:val="2"/>
            <w:vAlign w:val="center"/>
          </w:tcPr>
          <w:p>
            <w:pPr>
              <w:jc w:val="both"/>
              <w:rPr>
                <w:rFonts w:hint="eastAsia"/>
                <w:color w:val="auto"/>
                <w:highlight w:val="none"/>
                <w:lang w:val="en-US" w:eastAsia="zh-CN"/>
              </w:rPr>
            </w:pPr>
            <w:r>
              <w:rPr>
                <w:rFonts w:hint="eastAsia"/>
                <w:color w:val="auto"/>
                <w:highlight w:val="none"/>
                <w:lang w:val="en-US" w:eastAsia="zh-CN"/>
              </w:rPr>
              <w:t>在宣传推广方面具有一定经验，根据垃圾分类项目宣传推广及运营管理经验和宣传效果进行评定，</w:t>
            </w:r>
            <w:r>
              <w:rPr>
                <w:rFonts w:hint="eastAsia" w:cs="仿宋"/>
                <w:b w:val="0"/>
                <w:bCs/>
                <w:color w:val="auto"/>
                <w:sz w:val="24"/>
                <w:szCs w:val="24"/>
                <w:highlight w:val="none"/>
                <w:u w:val="none"/>
                <w:lang w:val="en-US" w:eastAsia="zh-CN"/>
              </w:rPr>
              <w:t>经验充足有效</w:t>
            </w:r>
            <w:r>
              <w:rPr>
                <w:rFonts w:hint="eastAsia" w:ascii="仿宋" w:hAnsi="仿宋" w:eastAsia="仿宋" w:cs="仿宋"/>
                <w:b w:val="0"/>
                <w:bCs/>
                <w:color w:val="auto"/>
                <w:sz w:val="24"/>
                <w:szCs w:val="24"/>
                <w:highlight w:val="none"/>
                <w:u w:val="none"/>
                <w:lang w:eastAsia="zh-CN"/>
              </w:rPr>
              <w:t>得</w:t>
            </w:r>
            <w:r>
              <w:rPr>
                <w:rFonts w:hint="eastAsia" w:cs="仿宋"/>
                <w:b w:val="0"/>
                <w:bCs/>
                <w:color w:val="auto"/>
                <w:sz w:val="24"/>
                <w:szCs w:val="24"/>
                <w:highlight w:val="none"/>
                <w:u w:val="none"/>
                <w:lang w:val="en-US" w:eastAsia="zh-CN"/>
              </w:rPr>
              <w:t>3-4</w:t>
            </w:r>
            <w:r>
              <w:rPr>
                <w:rFonts w:hint="eastAsia" w:ascii="仿宋" w:hAnsi="仿宋" w:eastAsia="仿宋" w:cs="仿宋"/>
                <w:b w:val="0"/>
                <w:bCs/>
                <w:color w:val="auto"/>
                <w:sz w:val="24"/>
                <w:szCs w:val="24"/>
                <w:highlight w:val="none"/>
                <w:u w:val="none"/>
                <w:lang w:eastAsia="zh-CN"/>
              </w:rPr>
              <w:t>分；</w:t>
            </w:r>
            <w:r>
              <w:rPr>
                <w:rFonts w:hint="eastAsia" w:cs="仿宋"/>
                <w:b w:val="0"/>
                <w:bCs/>
                <w:color w:val="auto"/>
                <w:sz w:val="24"/>
                <w:szCs w:val="24"/>
                <w:highlight w:val="none"/>
                <w:u w:val="none"/>
                <w:lang w:val="en-US" w:eastAsia="zh-CN"/>
              </w:rPr>
              <w:t>经验较充足有效</w:t>
            </w:r>
            <w:r>
              <w:rPr>
                <w:rFonts w:hint="eastAsia" w:ascii="仿宋" w:hAnsi="仿宋" w:eastAsia="仿宋" w:cs="仿宋"/>
                <w:b w:val="0"/>
                <w:bCs/>
                <w:color w:val="auto"/>
                <w:sz w:val="24"/>
                <w:szCs w:val="24"/>
                <w:highlight w:val="none"/>
                <w:u w:val="none"/>
                <w:lang w:eastAsia="zh-CN"/>
              </w:rPr>
              <w:t>的得</w:t>
            </w:r>
            <w:r>
              <w:rPr>
                <w:rFonts w:hint="eastAsia"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lang w:eastAsia="zh-CN"/>
              </w:rPr>
              <w:t>分；一般的得</w:t>
            </w:r>
            <w:r>
              <w:rPr>
                <w:rFonts w:hint="eastAsia"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lang w:val="en-US" w:eastAsia="zh-CN"/>
              </w:rPr>
              <w:t>2分</w:t>
            </w:r>
            <w:r>
              <w:rPr>
                <w:rFonts w:hint="eastAsia" w:ascii="仿宋" w:hAnsi="仿宋" w:eastAsia="仿宋" w:cs="仿宋"/>
                <w:b w:val="0"/>
                <w:bCs/>
                <w:color w:val="auto"/>
                <w:sz w:val="24"/>
                <w:szCs w:val="24"/>
                <w:highlight w:val="none"/>
                <w:u w:val="none"/>
                <w:lang w:eastAsia="zh-CN"/>
              </w:rPr>
              <w:t>。</w:t>
            </w:r>
          </w:p>
        </w:tc>
        <w:tc>
          <w:tcPr>
            <w:tcW w:w="821" w:type="dxa"/>
            <w:vAlign w:val="center"/>
          </w:tcPr>
          <w:p>
            <w:pPr>
              <w:spacing w:after="0"/>
              <w:jc w:val="center"/>
              <w:rPr>
                <w:rFonts w:hint="default" w:ascii="仿宋" w:hAnsi="仿宋" w:eastAsia="仿宋"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0</w:t>
            </w:r>
            <w:r>
              <w:rPr>
                <w:rFonts w:hint="eastAsia" w:ascii="仿宋" w:hAnsi="仿宋" w:eastAsia="仿宋" w:cs="仿宋"/>
                <w:color w:val="auto"/>
                <w:kern w:val="0"/>
                <w:sz w:val="24"/>
                <w:szCs w:val="24"/>
                <w:highlight w:val="none"/>
                <w:shd w:val="clear" w:color="auto" w:fill="auto"/>
                <w:lang w:val="zh-CN" w:eastAsia="zh-CN"/>
              </w:rPr>
              <w:t>-</w:t>
            </w:r>
            <w:r>
              <w:rPr>
                <w:rFonts w:hint="eastAsia" w:cs="仿宋"/>
                <w:color w:val="auto"/>
                <w:kern w:val="0"/>
                <w:sz w:val="24"/>
                <w:szCs w:val="24"/>
                <w:highlight w:val="none"/>
                <w:shd w:val="clear" w:color="auto" w:fill="auto"/>
                <w:lang w:val="en-US" w:eastAsia="zh-CN"/>
              </w:rPr>
              <w:t>4</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zh-CN"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18</w:t>
            </w:r>
          </w:p>
        </w:tc>
        <w:tc>
          <w:tcPr>
            <w:tcW w:w="6417" w:type="dxa"/>
            <w:gridSpan w:val="2"/>
            <w:vAlign w:val="center"/>
          </w:tcPr>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根据投标人对本项目的合理化建议</w:t>
            </w:r>
            <w:r>
              <w:rPr>
                <w:rFonts w:hint="eastAsia" w:cstheme="majorBidi"/>
                <w:color w:val="auto"/>
                <w:sz w:val="24"/>
                <w:highlight w:val="none"/>
                <w:shd w:val="clear" w:color="auto" w:fill="auto"/>
                <w:lang w:val="en-US" w:eastAsia="zh-CN"/>
              </w:rPr>
              <w:t>进行</w:t>
            </w:r>
            <w:r>
              <w:rPr>
                <w:rFonts w:hint="eastAsia" w:ascii="仿宋" w:hAnsi="仿宋" w:eastAsia="仿宋" w:cstheme="majorBidi"/>
                <w:color w:val="auto"/>
                <w:sz w:val="24"/>
                <w:highlight w:val="none"/>
                <w:shd w:val="clear" w:color="auto" w:fill="auto"/>
                <w:lang w:val="en-US" w:eastAsia="zh-CN"/>
              </w:rPr>
              <w:t>评定</w:t>
            </w:r>
            <w:r>
              <w:rPr>
                <w:rFonts w:hint="eastAsia" w:cstheme="majorBidi"/>
                <w:color w:val="auto"/>
                <w:sz w:val="24"/>
                <w:highlight w:val="none"/>
                <w:shd w:val="clear" w:color="auto" w:fill="auto"/>
                <w:lang w:val="en-US" w:eastAsia="zh-CN"/>
              </w:rPr>
              <w:t>。</w:t>
            </w:r>
          </w:p>
        </w:tc>
        <w:tc>
          <w:tcPr>
            <w:tcW w:w="821" w:type="dxa"/>
            <w:vAlign w:val="center"/>
          </w:tcPr>
          <w:p>
            <w:pPr>
              <w:spacing w:after="0"/>
              <w:jc w:val="center"/>
              <w:rPr>
                <w:rFonts w:hint="default" w:cs="仿宋"/>
                <w:color w:val="auto"/>
                <w:kern w:val="0"/>
                <w:sz w:val="24"/>
                <w:szCs w:val="24"/>
                <w:highlight w:val="none"/>
                <w:shd w:val="clear" w:color="auto" w:fill="auto"/>
                <w:lang w:val="en-US" w:eastAsia="zh-CN"/>
              </w:rPr>
            </w:pPr>
            <w:r>
              <w:rPr>
                <w:rFonts w:hint="eastAsia" w:cs="仿宋"/>
                <w:color w:val="auto"/>
                <w:kern w:val="0"/>
                <w:sz w:val="24"/>
                <w:szCs w:val="24"/>
                <w:highlight w:val="none"/>
                <w:shd w:val="clear" w:color="auto" w:fill="auto"/>
                <w:lang w:val="en-US" w:eastAsia="zh-CN"/>
              </w:rPr>
              <w:t>0-2</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zh-CN" w:eastAsia="zh-CN"/>
              </w:rPr>
            </w:pPr>
            <w:r>
              <w:rPr>
                <w:rFonts w:hint="eastAsia" w:ascii="仿宋" w:hAnsi="仿宋" w:eastAsia="仿宋" w:cs="仿宋"/>
                <w:color w:val="auto"/>
                <w:kern w:val="0"/>
                <w:sz w:val="24"/>
                <w:szCs w:val="24"/>
                <w:highlight w:val="none"/>
                <w:shd w:val="clear" w:color="auto" w:fill="auto"/>
                <w:lang w:val="zh-CN"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643"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19</w:t>
            </w:r>
          </w:p>
        </w:tc>
        <w:tc>
          <w:tcPr>
            <w:tcW w:w="648" w:type="dxa"/>
            <w:vAlign w:val="center"/>
          </w:tcPr>
          <w:p>
            <w:pPr>
              <w:widowControl/>
              <w:adjustRightInd w:val="0"/>
              <w:jc w:val="center"/>
              <w:rPr>
                <w:rFonts w:hint="eastAsia" w:ascii="仿宋" w:hAnsi="仿宋" w:eastAsia="仿宋" w:cs="仿宋"/>
                <w:b w:val="0"/>
                <w:bCs/>
                <w:color w:val="auto"/>
                <w:kern w:val="0"/>
                <w:sz w:val="24"/>
                <w:szCs w:val="24"/>
                <w:highlight w:val="none"/>
                <w:lang w:val="zh-CN" w:eastAsia="zh-CN" w:bidi="ar-SA"/>
              </w:rPr>
            </w:pPr>
            <w:r>
              <w:rPr>
                <w:rFonts w:hint="eastAsia" w:ascii="仿宋" w:hAnsi="仿宋" w:eastAsia="仿宋" w:cs="仿宋"/>
                <w:b w:val="0"/>
                <w:bCs/>
                <w:color w:val="auto"/>
                <w:kern w:val="0"/>
                <w:sz w:val="24"/>
                <w:szCs w:val="24"/>
                <w:highlight w:val="none"/>
                <w:lang w:val="en-US" w:eastAsia="zh-CN" w:bidi="ar-SA"/>
              </w:rPr>
              <w:t>样品</w:t>
            </w:r>
          </w:p>
        </w:tc>
        <w:tc>
          <w:tcPr>
            <w:tcW w:w="5769" w:type="dxa"/>
            <w:vAlign w:val="top"/>
          </w:tcPr>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1、定时定投模式用具（入户垃圾桶，芯片）的样品外观设计、环境和谐、人性化程度、智能化程度、运转情况等综合评定。(0-</w:t>
            </w:r>
            <w:r>
              <w:rPr>
                <w:rFonts w:hint="eastAsia" w:cstheme="majorBidi"/>
                <w:color w:val="auto"/>
                <w:sz w:val="24"/>
                <w:highlight w:val="none"/>
                <w:shd w:val="clear" w:color="auto" w:fill="auto"/>
                <w:lang w:val="en-US" w:eastAsia="zh-CN"/>
              </w:rPr>
              <w:t>4</w:t>
            </w:r>
            <w:r>
              <w:rPr>
                <w:rFonts w:hint="eastAsia" w:ascii="仿宋" w:hAnsi="仿宋" w:eastAsia="仿宋" w:cstheme="majorBidi"/>
                <w:color w:val="auto"/>
                <w:sz w:val="24"/>
                <w:highlight w:val="none"/>
                <w:shd w:val="clear" w:color="auto" w:fill="auto"/>
                <w:lang w:val="en-US" w:eastAsia="zh-CN"/>
              </w:rPr>
              <w:t>分）</w:t>
            </w:r>
          </w:p>
          <w:p>
            <w:pPr>
              <w:spacing w:after="0"/>
              <w:jc w:val="both"/>
              <w:rPr>
                <w:rFonts w:hint="eastAsia" w:ascii="仿宋" w:hAnsi="仿宋" w:eastAsia="仿宋" w:cstheme="majorBidi"/>
                <w:color w:val="auto"/>
                <w:sz w:val="24"/>
                <w:highlight w:val="none"/>
                <w:shd w:val="clear" w:color="auto" w:fill="auto"/>
                <w:lang w:val="en-US" w:eastAsia="zh-CN"/>
              </w:rPr>
            </w:pPr>
            <w:r>
              <w:rPr>
                <w:rFonts w:hint="eastAsia" w:ascii="仿宋" w:hAnsi="仿宋" w:eastAsia="仿宋" w:cstheme="majorBidi"/>
                <w:color w:val="auto"/>
                <w:sz w:val="24"/>
                <w:highlight w:val="none"/>
                <w:shd w:val="clear" w:color="auto" w:fill="auto"/>
                <w:lang w:val="en-US" w:eastAsia="zh-CN"/>
              </w:rPr>
              <w:t>2、封装电子秤：封装电子秤的样品多样性、外观设计、二维码功能，易腐垃圾、其他垃圾、可回收垃圾、有害垃圾实时智能秤重拍照及评价功能。实时查询用户投放记录和积分等综合评定。(0-</w:t>
            </w:r>
            <w:r>
              <w:rPr>
                <w:rFonts w:hint="eastAsia" w:cstheme="majorBidi"/>
                <w:color w:val="auto"/>
                <w:sz w:val="24"/>
                <w:highlight w:val="none"/>
                <w:shd w:val="clear" w:color="auto" w:fill="auto"/>
                <w:lang w:val="en-US" w:eastAsia="zh-CN"/>
              </w:rPr>
              <w:t>4</w:t>
            </w:r>
            <w:r>
              <w:rPr>
                <w:rFonts w:hint="eastAsia" w:ascii="仿宋" w:hAnsi="仿宋" w:eastAsia="仿宋" w:cstheme="majorBidi"/>
                <w:color w:val="auto"/>
                <w:sz w:val="24"/>
                <w:highlight w:val="none"/>
                <w:shd w:val="clear" w:color="auto" w:fill="auto"/>
                <w:lang w:val="en-US" w:eastAsia="zh-CN"/>
              </w:rPr>
              <w:t>分）</w:t>
            </w:r>
          </w:p>
        </w:tc>
        <w:tc>
          <w:tcPr>
            <w:tcW w:w="821" w:type="dxa"/>
            <w:vAlign w:val="center"/>
          </w:tcPr>
          <w:p>
            <w:pPr>
              <w:spacing w:after="0"/>
              <w:jc w:val="center"/>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0-</w:t>
            </w:r>
            <w:r>
              <w:rPr>
                <w:rFonts w:hint="eastAsia" w:cs="仿宋"/>
                <w:color w:val="auto"/>
                <w:kern w:val="0"/>
                <w:sz w:val="24"/>
                <w:szCs w:val="24"/>
                <w:highlight w:val="none"/>
                <w:shd w:val="clear" w:color="auto" w:fill="auto"/>
                <w:lang w:val="en-US" w:eastAsia="zh-CN"/>
              </w:rPr>
              <w:t>8</w:t>
            </w:r>
          </w:p>
        </w:tc>
        <w:tc>
          <w:tcPr>
            <w:tcW w:w="834" w:type="dxa"/>
            <w:vAlign w:val="center"/>
          </w:tcPr>
          <w:p>
            <w:pPr>
              <w:spacing w:after="0"/>
              <w:jc w:val="center"/>
              <w:rPr>
                <w:rFonts w:hint="eastAsia" w:ascii="仿宋" w:hAnsi="仿宋" w:eastAsia="仿宋" w:cs="仿宋"/>
                <w:color w:val="auto"/>
                <w:kern w:val="0"/>
                <w:sz w:val="24"/>
                <w:szCs w:val="24"/>
                <w:highlight w:val="none"/>
                <w:shd w:val="clear" w:color="auto" w:fill="auto"/>
                <w:lang w:val="zh-CN" w:eastAsia="zh-CN"/>
              </w:rPr>
            </w:pPr>
            <w:r>
              <w:rPr>
                <w:rFonts w:hint="eastAsia" w:ascii="仿宋" w:hAnsi="仿宋" w:eastAsia="仿宋" w:cs="仿宋"/>
                <w:color w:val="auto"/>
                <w:kern w:val="0"/>
                <w:sz w:val="24"/>
                <w:szCs w:val="24"/>
                <w:highlight w:val="none"/>
                <w:shd w:val="clear" w:color="auto" w:fill="auto"/>
                <w:lang w:val="zh-CN" w:eastAsia="zh-CN"/>
              </w:rPr>
              <w:t>主观分</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_GB2312"/>
          <w:b/>
          <w:color w:val="auto"/>
          <w:highlight w:val="none"/>
        </w:rPr>
      </w:pPr>
      <w:r>
        <w:rPr>
          <w:rFonts w:hint="eastAsia" w:cs="仿宋_GB2312"/>
          <w:b/>
          <w:color w:val="auto"/>
          <w:highlight w:val="none"/>
        </w:rPr>
        <w:t>价格分（</w:t>
      </w:r>
      <w:r>
        <w:rPr>
          <w:rFonts w:hint="eastAsia" w:cs="仿宋_GB2312"/>
          <w:b/>
          <w:color w:val="auto"/>
          <w:highlight w:val="none"/>
          <w:lang w:val="en-US" w:eastAsia="zh-CN"/>
        </w:rPr>
        <w:t>20</w:t>
      </w:r>
      <w:r>
        <w:rPr>
          <w:rFonts w:hint="eastAsia" w:cs="仿宋_GB2312"/>
          <w:b/>
          <w:color w:val="auto"/>
          <w:highlight w:val="none"/>
        </w:rPr>
        <w:t>分）</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57"/>
        <w:gridCol w:w="4563"/>
        <w:gridCol w:w="747"/>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pPr>
              <w:spacing w:after="0"/>
              <w:jc w:val="center"/>
              <w:rPr>
                <w:rFonts w:hint="eastAsia" w:eastAsia="仿宋"/>
                <w:color w:val="auto"/>
                <w:highlight w:val="none"/>
                <w:lang w:eastAsia="zh-CN"/>
              </w:rPr>
            </w:pPr>
            <w:r>
              <w:rPr>
                <w:rFonts w:hint="eastAsia" w:cs="仿宋_GB2312"/>
                <w:color w:val="auto"/>
                <w:highlight w:val="none"/>
              </w:rPr>
              <w:t>价格分</w:t>
            </w:r>
            <w:r>
              <w:rPr>
                <w:rFonts w:hint="eastAsia" w:cs="仿宋_GB2312"/>
                <w:color w:val="auto"/>
                <w:highlight w:val="none"/>
                <w:lang w:eastAsia="zh-CN"/>
              </w:rPr>
              <w:t>（</w:t>
            </w:r>
            <w:r>
              <w:rPr>
                <w:rFonts w:hint="eastAsia" w:cs="仿宋_GB2312"/>
                <w:color w:val="auto"/>
                <w:highlight w:val="none"/>
                <w:lang w:val="en-US" w:eastAsia="zh-CN"/>
              </w:rPr>
              <w:t>20分</w:t>
            </w:r>
            <w:r>
              <w:rPr>
                <w:rFonts w:hint="eastAsia" w:cs="仿宋_GB2312"/>
                <w:color w:val="auto"/>
                <w:highlight w:val="none"/>
                <w:lang w:eastAsia="zh-CN"/>
              </w:rPr>
              <w:t>）</w:t>
            </w:r>
          </w:p>
        </w:tc>
        <w:tc>
          <w:tcPr>
            <w:tcW w:w="553" w:type="dxa"/>
            <w:vAlign w:val="center"/>
          </w:tcPr>
          <w:p>
            <w:pPr>
              <w:pStyle w:val="51"/>
              <w:numPr>
                <w:ilvl w:val="0"/>
                <w:numId w:val="0"/>
              </w:numPr>
              <w:spacing w:after="0"/>
              <w:ind w:leftChars="0"/>
              <w:jc w:val="both"/>
              <w:rPr>
                <w:rFonts w:hint="default" w:eastAsia="仿宋"/>
                <w:color w:val="auto"/>
                <w:highlight w:val="none"/>
                <w:lang w:val="en-US" w:eastAsia="zh-CN"/>
              </w:rPr>
            </w:pPr>
            <w:r>
              <w:rPr>
                <w:rFonts w:hint="eastAsia"/>
                <w:color w:val="auto"/>
                <w:highlight w:val="none"/>
                <w:lang w:val="en-US" w:eastAsia="zh-CN"/>
              </w:rPr>
              <w:t>20</w:t>
            </w:r>
          </w:p>
        </w:tc>
        <w:tc>
          <w:tcPr>
            <w:tcW w:w="1957" w:type="dxa"/>
            <w:vAlign w:val="center"/>
          </w:tcPr>
          <w:p>
            <w:pPr>
              <w:spacing w:after="0"/>
              <w:jc w:val="center"/>
              <w:rPr>
                <w:color w:val="auto"/>
                <w:highlight w:val="none"/>
              </w:rPr>
            </w:pPr>
            <w:r>
              <w:rPr>
                <w:rFonts w:hint="eastAsia" w:cs="仿宋_GB2312"/>
                <w:color w:val="auto"/>
                <w:highlight w:val="none"/>
              </w:rPr>
              <w:t>价格权值</w:t>
            </w:r>
          </w:p>
        </w:tc>
        <w:tc>
          <w:tcPr>
            <w:tcW w:w="4563" w:type="dxa"/>
            <w:vAlign w:val="center"/>
          </w:tcPr>
          <w:p>
            <w:pPr>
              <w:spacing w:after="0" w:line="360" w:lineRule="auto"/>
              <w:ind w:firstLine="480" w:firstLineChars="200"/>
              <w:jc w:val="center"/>
              <w:rPr>
                <w:rFonts w:cs="仿宋_GB2312"/>
                <w:color w:val="auto"/>
                <w:highlight w:val="none"/>
              </w:rPr>
            </w:pPr>
            <w:r>
              <w:rPr>
                <w:rFonts w:hint="eastAsia" w:cs="仿宋_GB2312"/>
                <w:color w:val="auto"/>
                <w:highlight w:val="none"/>
              </w:rPr>
              <w:t>最低有效投标价格为评标基准价</w:t>
            </w:r>
          </w:p>
          <w:p>
            <w:pPr>
              <w:spacing w:after="0" w:line="360" w:lineRule="auto"/>
              <w:ind w:firstLine="480" w:firstLineChars="200"/>
              <w:jc w:val="center"/>
              <w:rPr>
                <w:rFonts w:cs="仿宋_GB2312"/>
                <w:color w:val="auto"/>
                <w:highlight w:val="none"/>
              </w:rPr>
            </w:pPr>
            <w:r>
              <w:rPr>
                <w:rFonts w:hint="eastAsia" w:cs="仿宋_GB2312"/>
                <w:color w:val="auto"/>
                <w:highlight w:val="none"/>
              </w:rPr>
              <w:t>投标报价得分</w:t>
            </w:r>
            <w:r>
              <w:rPr>
                <w:rFonts w:cs="仿宋_GB2312"/>
                <w:color w:val="auto"/>
                <w:highlight w:val="none"/>
              </w:rPr>
              <w:t>=(</w:t>
            </w:r>
            <w:r>
              <w:rPr>
                <w:rFonts w:hint="eastAsia" w:cs="仿宋_GB2312"/>
                <w:color w:val="auto"/>
                <w:highlight w:val="none"/>
              </w:rPr>
              <w:t>评标基准价／投标报价</w:t>
            </w:r>
            <w:r>
              <w:rPr>
                <w:rFonts w:cs="仿宋_GB2312"/>
                <w:color w:val="auto"/>
                <w:highlight w:val="none"/>
              </w:rPr>
              <w:t>)</w:t>
            </w:r>
            <w:r>
              <w:rPr>
                <w:rFonts w:hint="eastAsia" w:cs="仿宋_GB2312"/>
                <w:color w:val="auto"/>
                <w:highlight w:val="none"/>
              </w:rPr>
              <w:t>×价格权值×</w:t>
            </w:r>
            <w:r>
              <w:rPr>
                <w:rFonts w:cs="仿宋_GB2312"/>
                <w:color w:val="auto"/>
                <w:highlight w:val="none"/>
              </w:rPr>
              <w:t>100</w:t>
            </w:r>
          </w:p>
          <w:p>
            <w:pPr>
              <w:spacing w:after="0"/>
              <w:jc w:val="center"/>
              <w:rPr>
                <w:color w:val="auto"/>
                <w:highlight w:val="none"/>
              </w:rPr>
            </w:pPr>
            <w:r>
              <w:rPr>
                <w:rFonts w:hint="eastAsia" w:cs="仿宋_GB2312"/>
                <w:color w:val="auto"/>
                <w:highlight w:val="none"/>
              </w:rPr>
              <w:t>（计算得分保留小数点后</w:t>
            </w:r>
            <w:r>
              <w:rPr>
                <w:rFonts w:cs="仿宋_GB2312"/>
                <w:color w:val="auto"/>
                <w:highlight w:val="none"/>
              </w:rPr>
              <w:t>2</w:t>
            </w:r>
            <w:r>
              <w:rPr>
                <w:rFonts w:hint="eastAsia" w:cs="仿宋_GB2312"/>
                <w:color w:val="auto"/>
                <w:highlight w:val="none"/>
              </w:rPr>
              <w:t>位）</w:t>
            </w:r>
          </w:p>
        </w:tc>
        <w:tc>
          <w:tcPr>
            <w:tcW w:w="747" w:type="dxa"/>
            <w:vAlign w:val="center"/>
          </w:tcPr>
          <w:p>
            <w:pPr>
              <w:spacing w:after="0"/>
              <w:rPr>
                <w:rFonts w:hint="default"/>
                <w:color w:val="auto"/>
                <w:highlight w:val="none"/>
                <w:lang w:val="en-US"/>
              </w:rPr>
            </w:pPr>
            <w:r>
              <w:rPr>
                <w:rFonts w:hint="eastAsia"/>
                <w:color w:val="auto"/>
                <w:highlight w:val="none"/>
                <w:shd w:val="clear" w:color="auto" w:fill="auto"/>
                <w:lang w:val="en-US" w:eastAsia="zh-CN"/>
              </w:rPr>
              <w:t>0-20</w:t>
            </w:r>
          </w:p>
        </w:tc>
        <w:tc>
          <w:tcPr>
            <w:tcW w:w="812" w:type="dxa"/>
            <w:vAlign w:val="center"/>
          </w:tcPr>
          <w:p>
            <w:pPr>
              <w:spacing w:after="0"/>
              <w:rPr>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b/>
          <w:color w:val="auto"/>
          <w:highlight w:val="none"/>
        </w:rPr>
      </w:pPr>
      <w:r>
        <w:rPr>
          <w:rStyle w:val="41"/>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6"/>
        <w:keepNext w:val="0"/>
        <w:keepLines w:val="0"/>
        <w:pageBreakBefore w:val="0"/>
        <w:kinsoku/>
        <w:wordWrap/>
        <w:overflowPunct/>
        <w:topLinePunct w:val="0"/>
        <w:bidi w:val="0"/>
        <w:spacing w:line="288"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3.4报价评审。</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keepNext w:val="0"/>
        <w:keepLines w:val="0"/>
        <w:pageBreakBefore w:val="0"/>
        <w:widowControl/>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5"/>
        <w:keepNext w:val="0"/>
        <w:keepLines w:val="0"/>
        <w:pageBreakBefore w:val="0"/>
        <w:widowControl/>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w:t>
      </w:r>
      <w:r>
        <w:rPr>
          <w:rFonts w:hint="eastAsia" w:cs="仿宋"/>
          <w:color w:val="auto"/>
          <w:highlight w:val="none"/>
          <w:lang w:val="en-US" w:eastAsia="zh-CN"/>
        </w:rPr>
        <w:t>20</w:t>
      </w:r>
      <w:r>
        <w:rPr>
          <w:rFonts w:hint="eastAsia" w:ascii="仿宋" w:hAnsi="仿宋" w:eastAsia="仿宋" w:cs="仿宋"/>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color w:val="auto"/>
          <w:highlight w:val="none"/>
          <w:lang w:val="en-US" w:eastAsia="zh-CN"/>
        </w:rPr>
        <w:t>6</w:t>
      </w:r>
      <w:r>
        <w:rPr>
          <w:rFonts w:hint="eastAsia" w:ascii="仿宋" w:hAnsi="仿宋" w:eastAsia="仿宋" w:cs="仿宋"/>
          <w:color w:val="auto"/>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color w:val="auto"/>
          <w:highlight w:val="none"/>
        </w:rPr>
      </w:pPr>
      <w:r>
        <w:rPr>
          <w:rStyle w:val="41"/>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bidi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Style w:val="41"/>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keepNext w:val="0"/>
        <w:keepLines w:val="0"/>
        <w:pageBreakBefore w:val="0"/>
        <w:kinsoku/>
        <w:wordWrap/>
        <w:overflowPunct/>
        <w:topLinePunct w:val="0"/>
        <w:bidi w:val="0"/>
        <w:spacing w:line="288" w:lineRule="auto"/>
        <w:ind w:left="1021" w:leftChars="226" w:hanging="479" w:firstLineChars="0"/>
        <w:rPr>
          <w:rFonts w:hint="eastAsia" w:ascii="仿宋" w:hAnsi="仿宋" w:eastAsia="仿宋" w:cs="仿宋"/>
          <w:color w:val="auto"/>
          <w:szCs w:val="21"/>
          <w:highlight w:val="none"/>
        </w:rPr>
      </w:pPr>
      <w:r>
        <w:rPr>
          <w:rStyle w:val="41"/>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keepNext w:val="0"/>
        <w:keepLines w:val="0"/>
        <w:pageBreakBefore w:val="0"/>
        <w:kinsoku/>
        <w:wordWrap/>
        <w:overflowPunct/>
        <w:topLinePunct w:val="0"/>
        <w:bidi w:val="0"/>
        <w:snapToGrid w:val="0"/>
        <w:spacing w:line="288" w:lineRule="auto"/>
        <w:ind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keepNext w:val="0"/>
        <w:keepLines w:val="0"/>
        <w:pageBreakBefore w:val="0"/>
        <w:kinsoku/>
        <w:wordWrap/>
        <w:overflowPunct/>
        <w:topLinePunct w:val="0"/>
        <w:bidi w:val="0"/>
        <w:spacing w:line="288"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7"/>
        <w:keepNext w:val="0"/>
        <w:keepLines w:val="0"/>
        <w:pageBreakBefore w:val="0"/>
        <w:kinsoku/>
        <w:wordWrap/>
        <w:overflowPunct/>
        <w:topLinePunct w:val="0"/>
        <w:bidi w:val="0"/>
        <w:snapToGrid w:val="0"/>
        <w:spacing w:line="288" w:lineRule="auto"/>
        <w:ind w:firstLine="472" w:firstLineChars="196"/>
        <w:rPr>
          <w:rFonts w:hint="eastAsia" w:ascii="仿宋" w:hAnsi="仿宋" w:eastAsia="仿宋" w:cs="仿宋"/>
          <w:color w:val="auto"/>
          <w:highlight w:val="none"/>
        </w:rPr>
      </w:pPr>
      <w:r>
        <w:rPr>
          <w:rStyle w:val="41"/>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7"/>
        <w:keepNext w:val="0"/>
        <w:keepLines w:val="0"/>
        <w:pageBreakBefore w:val="0"/>
        <w:kinsoku/>
        <w:wordWrap/>
        <w:overflowPunct/>
        <w:topLinePunct w:val="0"/>
        <w:bidi w:val="0"/>
        <w:snapToGrid w:val="0"/>
        <w:spacing w:line="288" w:lineRule="auto"/>
        <w:ind w:firstLine="590" w:firstLineChars="245"/>
        <w:rPr>
          <w:rFonts w:hint="eastAsia" w:ascii="仿宋" w:hAnsi="仿宋" w:eastAsia="仿宋" w:cs="仿宋"/>
          <w:color w:val="auto"/>
          <w:highlight w:val="none"/>
        </w:rPr>
      </w:pPr>
      <w:r>
        <w:rPr>
          <w:rStyle w:val="41"/>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keepNext w:val="0"/>
        <w:keepLines w:val="0"/>
        <w:pageBreakBefore w:val="0"/>
        <w:kinsoku/>
        <w:wordWrap/>
        <w:overflowPunct/>
        <w:topLinePunct w:val="0"/>
        <w:bidi w:val="0"/>
        <w:snapToGrid w:val="0"/>
        <w:spacing w:line="288" w:lineRule="auto"/>
        <w:ind w:firstLine="590" w:firstLineChars="245"/>
        <w:rPr>
          <w:rFonts w:hint="eastAsia" w:ascii="仿宋" w:hAnsi="仿宋" w:eastAsia="仿宋" w:cs="仿宋"/>
          <w:color w:val="auto"/>
          <w:highlight w:val="none"/>
        </w:rPr>
      </w:pPr>
      <w:r>
        <w:rPr>
          <w:rStyle w:val="41"/>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keepNext w:val="0"/>
        <w:keepLines w:val="0"/>
        <w:pageBreakBefore w:val="0"/>
        <w:kinsoku/>
        <w:wordWrap/>
        <w:overflowPunct/>
        <w:topLinePunct w:val="0"/>
        <w:bidi w:val="0"/>
        <w:snapToGrid w:val="0"/>
        <w:spacing w:line="288"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7"/>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line="360" w:lineRule="auto"/>
        <w:rPr>
          <w:rFonts w:ascii="仿宋" w:eastAsia="仿宋" w:cs="仿宋"/>
          <w:color w:val="auto"/>
          <w:kern w:val="2"/>
          <w:highlight w:val="none"/>
        </w:rPr>
      </w:pPr>
      <w:r>
        <w:rPr>
          <w:rFonts w:hint="eastAsia" w:ascii="仿宋" w:eastAsia="仿宋" w:cs="仿宋"/>
          <w:color w:val="auto"/>
          <w:highlight w:val="none"/>
        </w:rPr>
        <w:t>第五部分 拟签订的合同文本</w:t>
      </w:r>
    </w:p>
    <w:p>
      <w:pPr>
        <w:jc w:val="center"/>
        <w:rPr>
          <w:rFonts w:cs="仿宋"/>
          <w:color w:val="auto"/>
          <w:highlight w:val="none"/>
        </w:rPr>
      </w:pPr>
      <w:r>
        <w:rPr>
          <w:rFonts w:hint="eastAsia" w:cs="仿宋"/>
          <w:color w:val="auto"/>
          <w:spacing w:val="-6"/>
          <w:szCs w:val="21"/>
          <w:highlight w:val="none"/>
        </w:rPr>
        <w:t>（本合同为合同样稿，最终稿由双方协商后确定）</w:t>
      </w:r>
    </w:p>
    <w:p>
      <w:pPr>
        <w:spacing w:after="0" w:line="360" w:lineRule="auto"/>
        <w:ind w:firstLine="480" w:firstLineChars="200"/>
        <w:rPr>
          <w:rFonts w:cs="仿宋"/>
          <w:color w:val="auto"/>
          <w:szCs w:val="21"/>
          <w:highlight w:val="none"/>
        </w:rPr>
      </w:pPr>
    </w:p>
    <w:p>
      <w:pPr>
        <w:spacing w:after="0" w:line="360" w:lineRule="auto"/>
        <w:ind w:firstLine="480" w:firstLineChars="200"/>
        <w:rPr>
          <w:rFonts w:cs="仿宋"/>
          <w:color w:val="auto"/>
          <w:szCs w:val="21"/>
          <w:highlight w:val="none"/>
        </w:rPr>
      </w:pPr>
      <w:r>
        <w:rPr>
          <w:rFonts w:hint="eastAsia" w:cs="仿宋"/>
          <w:color w:val="auto"/>
          <w:szCs w:val="21"/>
          <w:highlight w:val="none"/>
        </w:rPr>
        <w:t>甲方（采购人）：</w:t>
      </w:r>
    </w:p>
    <w:p>
      <w:pPr>
        <w:spacing w:after="0" w:line="360" w:lineRule="auto"/>
        <w:ind w:firstLine="480" w:firstLineChars="200"/>
        <w:rPr>
          <w:rFonts w:cs="仿宋"/>
          <w:color w:val="auto"/>
          <w:szCs w:val="21"/>
          <w:highlight w:val="none"/>
          <w:u w:val="single"/>
        </w:rPr>
      </w:pPr>
      <w:r>
        <w:rPr>
          <w:rFonts w:hint="eastAsia" w:cs="仿宋"/>
          <w:color w:val="auto"/>
          <w:szCs w:val="21"/>
          <w:highlight w:val="none"/>
        </w:rPr>
        <w:t>乙方（中标人）：</w:t>
      </w:r>
    </w:p>
    <w:p>
      <w:pPr>
        <w:spacing w:after="0" w:line="360" w:lineRule="auto"/>
        <w:ind w:firstLine="480" w:firstLineChars="200"/>
        <w:rPr>
          <w:rFonts w:cs="仿宋"/>
          <w:color w:val="auto"/>
          <w:szCs w:val="21"/>
          <w:highlight w:val="none"/>
        </w:rPr>
      </w:pPr>
      <w:r>
        <w:rPr>
          <w:rFonts w:hint="eastAsia" w:cs="仿宋"/>
          <w:color w:val="auto"/>
          <w:szCs w:val="21"/>
          <w:highlight w:val="none"/>
        </w:rPr>
        <w:t>鉴证方：</w:t>
      </w:r>
    </w:p>
    <w:p>
      <w:pPr>
        <w:adjustRightInd w:val="0"/>
        <w:snapToGrid w:val="0"/>
        <w:spacing w:after="0" w:line="360" w:lineRule="auto"/>
        <w:ind w:firstLine="480" w:firstLineChars="200"/>
        <w:rPr>
          <w:rFonts w:cs="仿宋"/>
          <w:color w:val="auto"/>
          <w:szCs w:val="21"/>
          <w:highlight w:val="none"/>
        </w:rPr>
      </w:pPr>
      <w:r>
        <w:rPr>
          <w:rFonts w:hint="eastAsia" w:cs="仿宋"/>
          <w:color w:val="auto"/>
          <w:szCs w:val="21"/>
          <w:highlight w:val="none"/>
        </w:rPr>
        <w:t>合同签约地：</w:t>
      </w:r>
    </w:p>
    <w:p>
      <w:pPr>
        <w:adjustRightInd w:val="0"/>
        <w:snapToGrid w:val="0"/>
        <w:spacing w:after="0" w:line="360" w:lineRule="auto"/>
        <w:ind w:firstLine="480" w:firstLineChars="200"/>
        <w:rPr>
          <w:rFonts w:cs="仿宋"/>
          <w:b/>
          <w:bCs/>
          <w:color w:val="auto"/>
          <w:szCs w:val="21"/>
          <w:highlight w:val="none"/>
        </w:rPr>
      </w:pPr>
      <w:r>
        <w:rPr>
          <w:rFonts w:hint="eastAsia" w:cs="仿宋"/>
          <w:color w:val="auto"/>
          <w:szCs w:val="21"/>
          <w:highlight w:val="none"/>
        </w:rPr>
        <w:t>依照《中华人民共和国民法典》及其他法律、法规的规定，根据年月日公开招标采购的结果，遵循平等、自愿和诚实信用的原则，甲、乙双方就</w:t>
      </w:r>
      <w:r>
        <w:rPr>
          <w:rFonts w:hint="eastAsia" w:cs="仿宋"/>
          <w:color w:val="auto"/>
          <w:szCs w:val="21"/>
          <w:highlight w:val="none"/>
          <w:lang w:eastAsia="zh-CN"/>
        </w:rPr>
        <w:t>宁围街道经济开发区（建设二路以南）小区生活垃圾分类第三方服务政府采购项目</w:t>
      </w:r>
      <w:r>
        <w:rPr>
          <w:rFonts w:hint="eastAsia" w:cs="仿宋"/>
          <w:color w:val="auto"/>
          <w:szCs w:val="21"/>
          <w:highlight w:val="none"/>
        </w:rPr>
        <w:t>事宜订立如下条款：</w:t>
      </w:r>
    </w:p>
    <w:p>
      <w:pPr>
        <w:numPr>
          <w:ilvl w:val="0"/>
          <w:numId w:val="7"/>
        </w:numPr>
        <w:adjustRightInd w:val="0"/>
        <w:snapToGrid w:val="0"/>
        <w:spacing w:after="0" w:line="360" w:lineRule="auto"/>
        <w:rPr>
          <w:rFonts w:cs="仿宋"/>
          <w:b/>
          <w:color w:val="auto"/>
          <w:spacing w:val="-4"/>
          <w:szCs w:val="21"/>
          <w:highlight w:val="none"/>
        </w:rPr>
      </w:pPr>
      <w:r>
        <w:rPr>
          <w:rFonts w:hint="eastAsia" w:cs="仿宋"/>
          <w:b/>
          <w:color w:val="auto"/>
          <w:spacing w:val="-4"/>
          <w:szCs w:val="21"/>
          <w:highlight w:val="none"/>
        </w:rPr>
        <w:t>服务内容、地点及服务期限：</w:t>
      </w:r>
    </w:p>
    <w:p>
      <w:pPr>
        <w:adjustRightInd w:val="0"/>
        <w:snapToGrid w:val="0"/>
        <w:spacing w:after="0" w:line="360" w:lineRule="auto"/>
        <w:ind w:left="202" w:firstLine="204"/>
        <w:rPr>
          <w:rFonts w:cs="仿宋"/>
          <w:color w:val="auto"/>
          <w:spacing w:val="-4"/>
          <w:highlight w:val="none"/>
        </w:rPr>
      </w:pPr>
      <w:r>
        <w:rPr>
          <w:rFonts w:hint="eastAsia" w:cs="仿宋"/>
          <w:color w:val="auto"/>
          <w:spacing w:val="-4"/>
          <w:szCs w:val="21"/>
          <w:highlight w:val="none"/>
        </w:rPr>
        <w:t>1.1服务内容及价格：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3"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序号</w:t>
            </w:r>
          </w:p>
        </w:tc>
        <w:tc>
          <w:tcPr>
            <w:tcW w:w="4303"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内容</w:t>
            </w:r>
          </w:p>
        </w:tc>
        <w:tc>
          <w:tcPr>
            <w:tcW w:w="912"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服务期</w:t>
            </w:r>
          </w:p>
        </w:tc>
        <w:tc>
          <w:tcPr>
            <w:tcW w:w="924"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价格</w:t>
            </w:r>
          </w:p>
        </w:tc>
        <w:tc>
          <w:tcPr>
            <w:tcW w:w="964" w:type="dxa"/>
            <w:noWrap/>
            <w:vAlign w:val="center"/>
          </w:tcPr>
          <w:p>
            <w:pPr>
              <w:spacing w:line="360" w:lineRule="auto"/>
              <w:jc w:val="center"/>
              <w:rPr>
                <w:rFonts w:cs="仿宋"/>
                <w:b/>
                <w:bCs/>
                <w:color w:val="auto"/>
                <w:sz w:val="18"/>
                <w:szCs w:val="18"/>
                <w:highlight w:val="none"/>
              </w:rPr>
            </w:pPr>
            <w:r>
              <w:rPr>
                <w:rFonts w:hint="eastAsia" w:cs="仿宋"/>
                <w:b/>
                <w:bCs/>
                <w:color w:val="auto"/>
                <w:sz w:val="18"/>
                <w:szCs w:val="18"/>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noWrap/>
            <w:vAlign w:val="center"/>
          </w:tcPr>
          <w:p>
            <w:pPr>
              <w:spacing w:line="360" w:lineRule="auto"/>
              <w:jc w:val="center"/>
              <w:rPr>
                <w:rFonts w:cs="仿宋"/>
                <w:color w:val="auto"/>
                <w:sz w:val="18"/>
                <w:szCs w:val="18"/>
                <w:highlight w:val="none"/>
              </w:rPr>
            </w:pPr>
          </w:p>
        </w:tc>
        <w:tc>
          <w:tcPr>
            <w:tcW w:w="4303" w:type="dxa"/>
            <w:noWrap/>
            <w:vAlign w:val="center"/>
          </w:tcPr>
          <w:p>
            <w:pPr>
              <w:spacing w:line="360" w:lineRule="auto"/>
              <w:rPr>
                <w:rFonts w:cs="仿宋"/>
                <w:color w:val="auto"/>
                <w:sz w:val="18"/>
                <w:szCs w:val="18"/>
                <w:highlight w:val="none"/>
              </w:rPr>
            </w:pPr>
          </w:p>
        </w:tc>
        <w:tc>
          <w:tcPr>
            <w:tcW w:w="912" w:type="dxa"/>
            <w:noWrap/>
            <w:vAlign w:val="center"/>
          </w:tcPr>
          <w:p>
            <w:pPr>
              <w:spacing w:line="360" w:lineRule="auto"/>
              <w:jc w:val="right"/>
              <w:rPr>
                <w:rFonts w:cs="仿宋"/>
                <w:color w:val="auto"/>
                <w:sz w:val="18"/>
                <w:szCs w:val="18"/>
                <w:highlight w:val="none"/>
              </w:rPr>
            </w:pPr>
          </w:p>
        </w:tc>
        <w:tc>
          <w:tcPr>
            <w:tcW w:w="924" w:type="dxa"/>
            <w:noWrap/>
            <w:vAlign w:val="center"/>
          </w:tcPr>
          <w:p>
            <w:pPr>
              <w:spacing w:line="360" w:lineRule="auto"/>
              <w:jc w:val="right"/>
              <w:rPr>
                <w:rFonts w:cs="仿宋"/>
                <w:color w:val="auto"/>
                <w:sz w:val="18"/>
                <w:szCs w:val="18"/>
                <w:highlight w:val="none"/>
              </w:rPr>
            </w:pPr>
          </w:p>
        </w:tc>
        <w:tc>
          <w:tcPr>
            <w:tcW w:w="964" w:type="dxa"/>
            <w:noWrap/>
            <w:vAlign w:val="center"/>
          </w:tcPr>
          <w:p>
            <w:pPr>
              <w:spacing w:line="360" w:lineRule="auto"/>
              <w:jc w:val="right"/>
              <w:rPr>
                <w:rFonts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26" w:type="dxa"/>
            <w:gridSpan w:val="5"/>
            <w:noWrap/>
            <w:vAlign w:val="center"/>
          </w:tcPr>
          <w:p>
            <w:pPr>
              <w:spacing w:line="360" w:lineRule="auto"/>
              <w:rPr>
                <w:rFonts w:cs="仿宋"/>
                <w:b/>
                <w:color w:val="auto"/>
                <w:sz w:val="18"/>
                <w:szCs w:val="18"/>
                <w:highlight w:val="none"/>
              </w:rPr>
            </w:pPr>
            <w:r>
              <w:rPr>
                <w:rFonts w:hint="eastAsia" w:cs="仿宋"/>
                <w:b/>
                <w:color w:val="auto"/>
                <w:sz w:val="18"/>
                <w:szCs w:val="18"/>
                <w:highlight w:val="none"/>
              </w:rPr>
              <w:t>合同总金额（人民币元）：</w:t>
            </w:r>
            <w:r>
              <w:rPr>
                <w:rFonts w:hint="eastAsia" w:cs="仿宋"/>
                <w:color w:val="auto"/>
                <w:spacing w:val="-4"/>
                <w:szCs w:val="21"/>
                <w:highlight w:val="none"/>
              </w:rPr>
              <w:t>元整（￥）</w:t>
            </w:r>
          </w:p>
        </w:tc>
      </w:tr>
    </w:tbl>
    <w:p>
      <w:pPr>
        <w:adjustRightInd w:val="0"/>
        <w:snapToGrid w:val="0"/>
        <w:spacing w:after="0" w:line="360" w:lineRule="auto"/>
        <w:ind w:firstLine="406"/>
        <w:rPr>
          <w:rFonts w:cs="仿宋"/>
          <w:color w:val="auto"/>
          <w:spacing w:val="-4"/>
          <w:szCs w:val="21"/>
          <w:highlight w:val="none"/>
          <w:u w:val="single"/>
        </w:rPr>
      </w:pPr>
      <w:r>
        <w:rPr>
          <w:rFonts w:hint="eastAsia" w:cs="仿宋"/>
          <w:color w:val="auto"/>
          <w:spacing w:val="-4"/>
          <w:szCs w:val="21"/>
          <w:highlight w:val="none"/>
        </w:rPr>
        <w:t>1.2服务期限：</w:t>
      </w:r>
      <w:r>
        <w:rPr>
          <w:rFonts w:hint="eastAsia" w:ascii="仿宋" w:hAnsi="仿宋" w:eastAsia="仿宋" w:cs="仿宋"/>
          <w:color w:val="auto"/>
          <w:highlight w:val="none"/>
          <w:lang w:val="en-US" w:eastAsia="zh-CN"/>
        </w:rPr>
        <w:t>自</w:t>
      </w:r>
      <w:r>
        <w:rPr>
          <w:rFonts w:hint="eastAsia" w:cs="仿宋"/>
          <w:color w:val="auto"/>
          <w:highlight w:val="none"/>
          <w:lang w:val="en-US" w:eastAsia="zh-CN"/>
        </w:rPr>
        <w:t>合同</w:t>
      </w:r>
      <w:r>
        <w:rPr>
          <w:rFonts w:hint="eastAsia" w:ascii="仿宋" w:hAnsi="仿宋" w:eastAsia="仿宋" w:cs="仿宋"/>
          <w:color w:val="auto"/>
          <w:highlight w:val="none"/>
          <w:lang w:val="en-US" w:eastAsia="zh-CN"/>
        </w:rPr>
        <w:t>签订之日起</w:t>
      </w:r>
      <w:r>
        <w:rPr>
          <w:rFonts w:hint="eastAsia" w:cs="仿宋"/>
          <w:color w:val="auto"/>
          <w:highlight w:val="none"/>
          <w:lang w:val="en-US" w:eastAsia="zh-CN"/>
        </w:rPr>
        <w:t>壹</w:t>
      </w:r>
      <w:r>
        <w:rPr>
          <w:rFonts w:hint="eastAsia" w:ascii="仿宋" w:hAnsi="仿宋" w:eastAsia="仿宋" w:cs="仿宋"/>
          <w:color w:val="auto"/>
          <w:highlight w:val="none"/>
          <w:lang w:val="en-US" w:eastAsia="zh-CN"/>
        </w:rPr>
        <w:t>年</w:t>
      </w:r>
      <w:r>
        <w:rPr>
          <w:rFonts w:hint="eastAsia" w:cs="仿宋"/>
          <w:color w:val="auto"/>
          <w:spacing w:val="-4"/>
          <w:szCs w:val="21"/>
          <w:highlight w:val="none"/>
        </w:rPr>
        <w:t>；</w:t>
      </w:r>
    </w:p>
    <w:p>
      <w:pPr>
        <w:numPr>
          <w:ilvl w:val="0"/>
          <w:numId w:val="8"/>
        </w:numPr>
        <w:adjustRightInd w:val="0"/>
        <w:snapToGrid w:val="0"/>
        <w:spacing w:after="0" w:line="360" w:lineRule="auto"/>
        <w:ind w:firstLine="466" w:firstLineChars="200"/>
        <w:rPr>
          <w:rFonts w:cs="仿宋"/>
          <w:color w:val="auto"/>
          <w:spacing w:val="-4"/>
          <w:szCs w:val="21"/>
          <w:highlight w:val="none"/>
        </w:rPr>
      </w:pPr>
      <w:r>
        <w:rPr>
          <w:rFonts w:hint="eastAsia" w:cs="仿宋"/>
          <w:b/>
          <w:color w:val="auto"/>
          <w:spacing w:val="-4"/>
          <w:szCs w:val="21"/>
          <w:highlight w:val="none"/>
        </w:rPr>
        <w:t>履约保证金及付款方式：</w:t>
      </w:r>
    </w:p>
    <w:p>
      <w:pPr>
        <w:pStyle w:val="51"/>
        <w:widowControl w:val="0"/>
        <w:numPr>
          <w:ilvl w:val="0"/>
          <w:numId w:val="0"/>
        </w:numPr>
        <w:spacing w:after="0" w:line="360" w:lineRule="auto"/>
        <w:ind w:left="480" w:leftChars="0"/>
        <w:rPr>
          <w:rFonts w:cs="仿宋"/>
          <w:bCs/>
          <w:color w:val="auto"/>
          <w:highlight w:val="none"/>
        </w:rPr>
      </w:pPr>
      <w:r>
        <w:rPr>
          <w:rFonts w:hint="eastAsia" w:cs="仿宋"/>
          <w:bCs/>
          <w:color w:val="auto"/>
          <w:highlight w:val="none"/>
          <w:lang w:val="en-US" w:eastAsia="zh-CN"/>
        </w:rPr>
        <w:t>①</w:t>
      </w:r>
      <w:r>
        <w:rPr>
          <w:rFonts w:hint="eastAsia" w:cs="仿宋"/>
          <w:bCs/>
          <w:color w:val="auto"/>
          <w:highlight w:val="none"/>
        </w:rPr>
        <w:t>约保证金：收取1%，合同签订后7个工作日内支付，履约验收完成后无息退还。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cs="仿宋"/>
          <w:color w:val="auto"/>
          <w:highlight w:val="none"/>
        </w:rPr>
      </w:pPr>
      <w:r>
        <w:rPr>
          <w:rFonts w:hint="eastAsia" w:cs="仿宋"/>
          <w:bCs/>
          <w:color w:val="auto"/>
          <w:highlight w:val="none"/>
        </w:rPr>
        <w:t>②付款方式：</w:t>
      </w:r>
      <w:r>
        <w:rPr>
          <w:rFonts w:hint="eastAsia" w:ascii="仿宋" w:hAnsi="仿宋" w:eastAsia="仿宋" w:cs="仿宋"/>
          <w:b w:val="0"/>
          <w:bCs/>
          <w:color w:val="auto"/>
          <w:kern w:val="0"/>
          <w:sz w:val="24"/>
          <w:szCs w:val="24"/>
          <w:highlight w:val="none"/>
          <w:lang w:val="en-US" w:eastAsia="zh-CN"/>
        </w:rPr>
        <w:t>按</w:t>
      </w:r>
      <w:r>
        <w:rPr>
          <w:rFonts w:hint="eastAsia" w:cs="仿宋"/>
          <w:b w:val="0"/>
          <w:bCs/>
          <w:color w:val="auto"/>
          <w:kern w:val="0"/>
          <w:sz w:val="24"/>
          <w:szCs w:val="24"/>
          <w:highlight w:val="none"/>
          <w:lang w:val="en-US" w:eastAsia="zh-CN"/>
        </w:rPr>
        <w:t>中标单价以及中标单位的</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按实结算。服务期内有新增小区的，按</w:t>
      </w:r>
      <w:r>
        <w:rPr>
          <w:rFonts w:hint="eastAsia" w:cs="仿宋"/>
          <w:b w:val="0"/>
          <w:bCs/>
          <w:color w:val="auto"/>
          <w:kern w:val="0"/>
          <w:sz w:val="24"/>
          <w:szCs w:val="24"/>
          <w:highlight w:val="none"/>
          <w:lang w:val="en-US" w:eastAsia="zh-CN"/>
        </w:rPr>
        <w:t>中标价以及</w:t>
      </w:r>
      <w:r>
        <w:rPr>
          <w:rFonts w:hint="eastAsia" w:ascii="仿宋" w:hAnsi="仿宋" w:eastAsia="仿宋" w:cs="仿宋"/>
          <w:b w:val="0"/>
          <w:bCs/>
          <w:color w:val="auto"/>
          <w:kern w:val="0"/>
          <w:sz w:val="24"/>
          <w:szCs w:val="24"/>
          <w:highlight w:val="none"/>
          <w:lang w:val="en-US" w:eastAsia="zh-CN"/>
        </w:rPr>
        <w:t>实际服务户数</w:t>
      </w:r>
      <w:r>
        <w:rPr>
          <w:rFonts w:hint="eastAsia" w:cs="仿宋"/>
          <w:b w:val="0"/>
          <w:bCs/>
          <w:color w:val="auto"/>
          <w:kern w:val="0"/>
          <w:sz w:val="24"/>
          <w:szCs w:val="24"/>
          <w:highlight w:val="none"/>
          <w:lang w:val="en-US" w:eastAsia="zh-CN"/>
        </w:rPr>
        <w:t>、实际</w:t>
      </w:r>
      <w:r>
        <w:rPr>
          <w:rFonts w:hint="eastAsia" w:ascii="仿宋" w:hAnsi="仿宋" w:eastAsia="仿宋" w:cs="仿宋"/>
          <w:b w:val="0"/>
          <w:bCs/>
          <w:color w:val="auto"/>
          <w:kern w:val="0"/>
          <w:sz w:val="24"/>
          <w:szCs w:val="24"/>
          <w:highlight w:val="none"/>
          <w:lang w:val="en-US" w:eastAsia="zh-CN"/>
        </w:rPr>
        <w:t>服务</w:t>
      </w:r>
      <w:r>
        <w:rPr>
          <w:rFonts w:hint="eastAsia" w:cs="仿宋"/>
          <w:b w:val="0"/>
          <w:bCs/>
          <w:color w:val="auto"/>
          <w:kern w:val="0"/>
          <w:sz w:val="24"/>
          <w:szCs w:val="24"/>
          <w:highlight w:val="none"/>
          <w:lang w:val="en-US" w:eastAsia="zh-CN"/>
        </w:rPr>
        <w:t>天数</w:t>
      </w:r>
      <w:r>
        <w:rPr>
          <w:rFonts w:hint="eastAsia" w:ascii="仿宋" w:hAnsi="仿宋" w:eastAsia="仿宋" w:cs="仿宋"/>
          <w:b w:val="0"/>
          <w:bCs/>
          <w:color w:val="auto"/>
          <w:kern w:val="0"/>
          <w:sz w:val="24"/>
          <w:szCs w:val="24"/>
          <w:highlight w:val="none"/>
          <w:lang w:val="en-US" w:eastAsia="zh-CN"/>
        </w:rPr>
        <w:t>进行</w:t>
      </w:r>
      <w:r>
        <w:rPr>
          <w:rFonts w:hint="eastAsia" w:cs="仿宋"/>
          <w:b w:val="0"/>
          <w:bCs/>
          <w:color w:val="auto"/>
          <w:kern w:val="0"/>
          <w:sz w:val="24"/>
          <w:szCs w:val="24"/>
          <w:highlight w:val="none"/>
          <w:lang w:val="en-US" w:eastAsia="zh-CN"/>
        </w:rPr>
        <w:t>结算，</w:t>
      </w:r>
      <w:r>
        <w:rPr>
          <w:rFonts w:hint="eastAsia" w:cs="仿宋"/>
          <w:color w:val="auto"/>
          <w:sz w:val="24"/>
          <w:szCs w:val="24"/>
          <w:highlight w:val="none"/>
          <w:lang w:eastAsia="zh-CN"/>
        </w:rPr>
        <w:t>每季度结算一次</w:t>
      </w:r>
      <w:r>
        <w:rPr>
          <w:rFonts w:hint="eastAsia" w:ascii="仿宋" w:hAnsi="仿宋" w:eastAsia="仿宋" w:cs="仿宋"/>
          <w:b w:val="0"/>
          <w:bCs/>
          <w:color w:val="auto"/>
          <w:kern w:val="0"/>
          <w:sz w:val="24"/>
          <w:szCs w:val="24"/>
          <w:highlight w:val="none"/>
          <w:lang w:val="en-US" w:eastAsia="zh-CN"/>
        </w:rPr>
        <w:t>。（具体以实际合同签订为准）</w:t>
      </w:r>
      <w:r>
        <w:rPr>
          <w:rFonts w:hint="eastAsia" w:cs="仿宋"/>
          <w:b w:val="0"/>
          <w:bCs/>
          <w:color w:val="auto"/>
          <w:kern w:val="0"/>
          <w:sz w:val="24"/>
          <w:szCs w:val="24"/>
          <w:highlight w:val="none"/>
          <w:lang w:val="en-US" w:eastAsia="zh-CN"/>
        </w:rPr>
        <w:t>。</w:t>
      </w:r>
      <w:r>
        <w:rPr>
          <w:rFonts w:hint="eastAsia" w:ascii="仿宋" w:hAnsi="仿宋" w:eastAsia="仿宋" w:cs="仿宋"/>
          <w:color w:val="auto"/>
          <w:sz w:val="24"/>
          <w:szCs w:val="24"/>
          <w:highlight w:val="none"/>
          <w:shd w:val="clear" w:color="auto" w:fill="auto"/>
          <w:lang w:val="en-US" w:eastAsia="zh-CN"/>
        </w:rPr>
        <w:t>最终结算价按照每户服务投标单价*实际服务户数以及结合实际天数按实结算。</w:t>
      </w:r>
    </w:p>
    <w:p>
      <w:pPr>
        <w:widowControl w:val="0"/>
        <w:spacing w:after="0" w:line="360" w:lineRule="auto"/>
        <w:ind w:firstLine="482" w:firstLineChars="200"/>
        <w:rPr>
          <w:rFonts w:cs="仿宋"/>
          <w:b/>
          <w:bCs/>
          <w:color w:val="auto"/>
          <w:highlight w:val="none"/>
        </w:rPr>
      </w:pPr>
      <w:r>
        <w:rPr>
          <w:rFonts w:hint="eastAsia" w:cs="仿宋"/>
          <w:b/>
          <w:bCs/>
          <w:color w:val="auto"/>
          <w:highlight w:val="none"/>
        </w:rPr>
        <w:t>3、验收</w:t>
      </w:r>
    </w:p>
    <w:p>
      <w:pPr>
        <w:spacing w:after="0" w:line="360" w:lineRule="auto"/>
        <w:ind w:firstLine="480" w:firstLineChars="200"/>
        <w:rPr>
          <w:rFonts w:cs="仿宋"/>
          <w:color w:val="auto"/>
          <w:highlight w:val="none"/>
        </w:rPr>
      </w:pPr>
      <w:r>
        <w:rPr>
          <w:rFonts w:hint="eastAsia" w:cs="仿宋"/>
          <w:color w:val="auto"/>
          <w:highlight w:val="none"/>
        </w:rPr>
        <w:t xml:space="preserve">3.1供应商提出验收申请后，甲方按照采购合同规定的技术、服务、标准以及乙方的投标文件、本项目采购文件等要求，组织对乙方履约情况进行验收。 </w:t>
      </w:r>
    </w:p>
    <w:p>
      <w:pPr>
        <w:spacing w:after="0" w:line="360" w:lineRule="auto"/>
        <w:ind w:firstLine="480" w:firstLineChars="200"/>
        <w:rPr>
          <w:rFonts w:cs="仿宋"/>
          <w:color w:val="auto"/>
          <w:highlight w:val="none"/>
        </w:rPr>
      </w:pPr>
      <w:r>
        <w:rPr>
          <w:rFonts w:hint="eastAsia" w:cs="仿宋"/>
          <w:color w:val="auto"/>
          <w:highlight w:val="none"/>
        </w:rPr>
        <w:t>3.2验收流程根据政府采购相关规定执行。</w:t>
      </w:r>
    </w:p>
    <w:p>
      <w:pPr>
        <w:spacing w:after="0" w:line="360" w:lineRule="auto"/>
        <w:ind w:firstLine="480" w:firstLineChars="200"/>
        <w:rPr>
          <w:rFonts w:cs="仿宋"/>
          <w:color w:val="auto"/>
          <w:highlight w:val="none"/>
        </w:rPr>
      </w:pPr>
      <w:r>
        <w:rPr>
          <w:rFonts w:hint="eastAsia" w:cs="仿宋"/>
          <w:color w:val="auto"/>
          <w:highlight w:val="none"/>
        </w:rPr>
        <w:t>3.3验收标准：应符合中国有关的国家、地方、行业的标准，如若中标，经甲方确认后作为验收的依据。</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4、甲方的权利和义务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4.1甲方应当主要负责项目的所有外部关系的联系与协调，为乙方工作提供良好的外部条件。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4.2甲方应当按双方约定的内容和时间，向乙方提供与项目有关的资料。</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4.3甲方应授权一名熟悉本项目情况、能迅速做出决定的项目代表，负责与乙方联系。更换代表，要提前通知乙方。</w:t>
      </w:r>
    </w:p>
    <w:p>
      <w:pPr>
        <w:adjustRightInd w:val="0"/>
        <w:snapToGrid w:val="0"/>
        <w:spacing w:after="0" w:line="360" w:lineRule="auto"/>
        <w:ind w:firstLine="464" w:firstLineChars="200"/>
        <w:rPr>
          <w:rFonts w:cs="仿宋"/>
          <w:color w:val="auto"/>
          <w:highlight w:val="none"/>
        </w:rPr>
      </w:pPr>
      <w:r>
        <w:rPr>
          <w:rFonts w:hint="eastAsia" w:cs="仿宋"/>
          <w:color w:val="auto"/>
          <w:spacing w:val="-4"/>
          <w:szCs w:val="21"/>
          <w:highlight w:val="none"/>
        </w:rPr>
        <w:t>4.4甲方有与乙方订立补充合同的签订权。</w:t>
      </w:r>
    </w:p>
    <w:p>
      <w:pPr>
        <w:adjustRightInd w:val="0"/>
        <w:snapToGrid w:val="0"/>
        <w:spacing w:after="0" w:line="360" w:lineRule="auto"/>
        <w:ind w:firstLine="466" w:firstLineChars="200"/>
        <w:rPr>
          <w:rFonts w:cs="仿宋"/>
          <w:b/>
          <w:color w:val="auto"/>
          <w:szCs w:val="21"/>
          <w:highlight w:val="none"/>
        </w:rPr>
      </w:pPr>
      <w:r>
        <w:rPr>
          <w:rFonts w:hint="eastAsia" w:cs="仿宋"/>
          <w:b/>
          <w:color w:val="auto"/>
          <w:spacing w:val="-4"/>
          <w:szCs w:val="21"/>
          <w:highlight w:val="none"/>
        </w:rPr>
        <w:t>5、乙方的权利和义务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5.1根据投标文件的承诺向甲方委派项目组人员。</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5.2在履行本合同义务的期间，应运用合理的技能，认真、勤奋的工作。</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5.3在本合同期内或合同终止后，未征得有关方同意，不得泄漏与本项目、本合同有关的技术、资料等，不得以任何形式侵害甲方的知识产权。</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5.4负责处理好与相关项目的协调工作。</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6、应达到的要求</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6.1保证项目顺利进行并通过甲方验收。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6.2提供良好的服务。</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7、双方确定以下列标准和方式对乙方的技术服务工作成果进行验收：</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7.1乙方完成技术服务工作的形式：</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7.2 技术服务工作成果的验收标准：</w:t>
      </w:r>
    </w:p>
    <w:p>
      <w:pPr>
        <w:adjustRightInd w:val="0"/>
        <w:snapToGrid w:val="0"/>
        <w:spacing w:after="0" w:line="360" w:lineRule="auto"/>
        <w:ind w:firstLine="464" w:firstLineChars="200"/>
        <w:rPr>
          <w:rFonts w:cs="仿宋"/>
          <w:color w:val="auto"/>
          <w:spacing w:val="-4"/>
          <w:szCs w:val="21"/>
          <w:highlight w:val="none"/>
          <w:u w:val="single"/>
        </w:rPr>
      </w:pPr>
      <w:r>
        <w:rPr>
          <w:rFonts w:hint="eastAsia" w:cs="仿宋"/>
          <w:color w:val="auto"/>
          <w:spacing w:val="-4"/>
          <w:szCs w:val="21"/>
          <w:highlight w:val="none"/>
        </w:rPr>
        <w:t>7.3 技术服务工作成果的验收方法：</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7.4 验收的时间和地点：</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8、合同的变更和终止</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8.1因不可抗力因素致使本合同无法履行时，经甲乙双方协商同意，可以变更本合同相关内容或者提前终止合同的履行。</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8.2经合同双方协商一致，可以对本合同有关条款进行变更，但应当以书面方式确定。</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9、技术成果的归属</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9.1除甲、乙双方在合同签署日前已经拥有或者已经登记的软件著作权外，本合同项目签订前已经存在的知识产权归原拥有方所有，在开发过程中根据甲方的需求而新产生的工作成果，包括但不限于发明、发现及相关技术资料、文档、应用化程序源代码、可执行程序等，知识产权归甲方所有。 非经双方书面确认，双方均不得就该项目中形成的知识产权进行商业推广。</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9.2技术秘密的使用权、转让权</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1）乙方拥有使用相同技术和界面风格开发其它系统的权力。</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2）甲方提供的有关需求的资料归甲方所有，乙方不得向任何第三方披露。</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10、保密义务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utoSpaceDE w:val="0"/>
        <w:autoSpaceDN w:val="0"/>
        <w:adjustRightInd w:val="0"/>
        <w:snapToGrid w:val="0"/>
        <w:spacing w:after="0" w:line="360" w:lineRule="auto"/>
        <w:ind w:firstLine="482" w:firstLineChars="200"/>
        <w:rPr>
          <w:rFonts w:cs="仿宋"/>
          <w:b/>
          <w:color w:val="auto"/>
          <w:szCs w:val="21"/>
          <w:highlight w:val="none"/>
        </w:rPr>
      </w:pPr>
      <w:r>
        <w:rPr>
          <w:rFonts w:hint="eastAsia" w:cs="仿宋"/>
          <w:b/>
          <w:color w:val="auto"/>
          <w:szCs w:val="21"/>
          <w:highlight w:val="none"/>
        </w:rPr>
        <w:t>11、违约责任</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11.1甲方应当根据本合同的约定向乙方履行支付服务费的义务。</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11.2乙方提供的服务出现故障时，由甲方根据本合同确定的联络方式向乙方进行申告，乙方自接到申告之时起，按本产品承诺的服务标准进行修复或者调通；不能按期修复或者调通的，应当及时通知甲方，并免收故障期间的服务费用。故障开始时间以甲方申告记载并经乙方记录确认的时间为准，故障消除时间以乙方提供的并经甲方确认的时间为准。</w:t>
      </w:r>
    </w:p>
    <w:p>
      <w:pPr>
        <w:adjustRightInd w:val="0"/>
        <w:snapToGrid w:val="0"/>
        <w:spacing w:after="0" w:line="360" w:lineRule="auto"/>
        <w:ind w:firstLine="464" w:firstLineChars="200"/>
        <w:rPr>
          <w:rFonts w:cs="仿宋"/>
          <w:color w:val="auto"/>
          <w:szCs w:val="21"/>
          <w:highlight w:val="none"/>
          <w:lang w:val="zh-CN"/>
        </w:rPr>
      </w:pPr>
      <w:r>
        <w:rPr>
          <w:rFonts w:hint="eastAsia" w:cs="仿宋"/>
          <w:color w:val="auto"/>
          <w:spacing w:val="-4"/>
          <w:szCs w:val="21"/>
          <w:highlight w:val="none"/>
        </w:rPr>
        <w:t>11.3若合同一方违反合同义务满三十天，则守约方有权单方面解除合同，并有权将违约事项向不特定第三方披露。</w:t>
      </w:r>
    </w:p>
    <w:p>
      <w:pPr>
        <w:tabs>
          <w:tab w:val="left" w:pos="840"/>
        </w:tabs>
        <w:autoSpaceDE w:val="0"/>
        <w:autoSpaceDN w:val="0"/>
        <w:adjustRightInd w:val="0"/>
        <w:snapToGrid w:val="0"/>
        <w:spacing w:after="0" w:line="360" w:lineRule="auto"/>
        <w:ind w:left="525"/>
        <w:rPr>
          <w:rFonts w:cs="仿宋"/>
          <w:b/>
          <w:color w:val="auto"/>
          <w:szCs w:val="21"/>
          <w:highlight w:val="none"/>
        </w:rPr>
      </w:pPr>
      <w:r>
        <w:rPr>
          <w:rFonts w:hint="eastAsia" w:cs="仿宋"/>
          <w:b/>
          <w:color w:val="auto"/>
          <w:szCs w:val="21"/>
          <w:highlight w:val="none"/>
        </w:rPr>
        <w:t>12、不可抗力及免责事项</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因黑客、病毒、电信部门技术或政策调整以及互联互通原因或国际互联网出口调整等引起的事件，或国家政策调整、政府干预、法律法规变更、自然灾害等，均属于不可抗力，因不可抗力影响而不能执行本协议的部分或全部条款的，合同任何一方毋需承担相关法律责任，但应当履行及时告知义务并尽最大努力减少双方的损失。</w:t>
      </w:r>
    </w:p>
    <w:p>
      <w:pPr>
        <w:tabs>
          <w:tab w:val="left" w:pos="840"/>
        </w:tabs>
        <w:autoSpaceDE w:val="0"/>
        <w:autoSpaceDN w:val="0"/>
        <w:adjustRightInd w:val="0"/>
        <w:snapToGrid w:val="0"/>
        <w:spacing w:after="0" w:line="360" w:lineRule="auto"/>
        <w:ind w:left="525"/>
        <w:rPr>
          <w:rFonts w:cs="仿宋"/>
          <w:b/>
          <w:color w:val="auto"/>
          <w:szCs w:val="21"/>
          <w:highlight w:val="none"/>
        </w:rPr>
      </w:pPr>
      <w:r>
        <w:rPr>
          <w:rFonts w:hint="eastAsia" w:cs="仿宋"/>
          <w:b/>
          <w:color w:val="auto"/>
          <w:szCs w:val="21"/>
          <w:highlight w:val="none"/>
        </w:rPr>
        <w:t>13、法律适用以及争议解决</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13.1本合同的订立、效力、解释、履行和争议的解决均遵守中华人民共和国法律法规和政府主管部门颁布实施的相关行业规范以及政策性文件。</w:t>
      </w:r>
    </w:p>
    <w:p>
      <w:pPr>
        <w:adjustRightInd w:val="0"/>
        <w:snapToGrid w:val="0"/>
        <w:spacing w:after="0" w:line="360" w:lineRule="auto"/>
        <w:ind w:firstLine="464" w:firstLineChars="200"/>
        <w:rPr>
          <w:rFonts w:cs="仿宋"/>
          <w:color w:val="auto"/>
          <w:spacing w:val="-4"/>
          <w:szCs w:val="21"/>
          <w:highlight w:val="none"/>
        </w:rPr>
      </w:pPr>
      <w:r>
        <w:rPr>
          <w:rFonts w:hint="eastAsia" w:cs="仿宋"/>
          <w:color w:val="auto"/>
          <w:spacing w:val="-4"/>
          <w:szCs w:val="21"/>
          <w:highlight w:val="none"/>
        </w:rPr>
        <w:t>13.2本合同履行过程中发生争议，双方应友好协商解决，双方不愿协商、调解解决或者协商、调解不成的，双方商定，申请杭州仲裁委员会仲裁。</w:t>
      </w:r>
    </w:p>
    <w:p>
      <w:pPr>
        <w:adjustRightInd w:val="0"/>
        <w:snapToGrid w:val="0"/>
        <w:spacing w:after="0" w:line="360" w:lineRule="auto"/>
        <w:ind w:firstLine="466" w:firstLineChars="200"/>
        <w:rPr>
          <w:rFonts w:cs="仿宋"/>
          <w:color w:val="auto"/>
          <w:spacing w:val="-4"/>
          <w:szCs w:val="21"/>
          <w:highlight w:val="none"/>
        </w:rPr>
      </w:pPr>
      <w:r>
        <w:rPr>
          <w:rFonts w:hint="eastAsia" w:cs="仿宋"/>
          <w:b/>
          <w:color w:val="auto"/>
          <w:spacing w:val="-4"/>
          <w:szCs w:val="21"/>
          <w:highlight w:val="none"/>
        </w:rPr>
        <w:t>14、其他：</w:t>
      </w:r>
      <w:r>
        <w:rPr>
          <w:rFonts w:hint="eastAsia" w:cs="仿宋"/>
          <w:color w:val="auto"/>
          <w:spacing w:val="-4"/>
          <w:szCs w:val="21"/>
          <w:highlight w:val="none"/>
        </w:rPr>
        <w:t>采购文件、投标响应文件及评审过程中形成的文字资料均作为本合同的组成部分，具有同等效力。</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15、本合同经甲、乙双方法定代表人或其委托人签字盖章后生效。</w:t>
      </w:r>
    </w:p>
    <w:p>
      <w:pPr>
        <w:adjustRightInd w:val="0"/>
        <w:snapToGrid w:val="0"/>
        <w:spacing w:after="0" w:line="360" w:lineRule="auto"/>
        <w:ind w:firstLine="466" w:firstLineChars="200"/>
        <w:rPr>
          <w:rFonts w:cs="仿宋"/>
          <w:b/>
          <w:color w:val="auto"/>
          <w:spacing w:val="-4"/>
          <w:szCs w:val="21"/>
          <w:highlight w:val="none"/>
        </w:rPr>
      </w:pPr>
      <w:r>
        <w:rPr>
          <w:rFonts w:hint="eastAsia" w:cs="仿宋"/>
          <w:b/>
          <w:color w:val="auto"/>
          <w:spacing w:val="-4"/>
          <w:szCs w:val="21"/>
          <w:highlight w:val="none"/>
        </w:rPr>
        <w:t>16、本合同一式六份，具有同等法律效力，甲方、乙方双方各执叁份。</w:t>
      </w:r>
    </w:p>
    <w:p>
      <w:pPr>
        <w:spacing w:line="360" w:lineRule="auto"/>
        <w:ind w:left="425"/>
        <w:rPr>
          <w:rFonts w:cs="仿宋"/>
          <w:color w:val="auto"/>
          <w:highlight w:val="none"/>
        </w:rPr>
      </w:pPr>
    </w:p>
    <w:p>
      <w:pPr>
        <w:pStyle w:val="25"/>
        <w:ind w:firstLine="240"/>
        <w:rPr>
          <w:rFonts w:cs="仿宋"/>
          <w:color w:val="auto"/>
          <w:highlight w:val="none"/>
        </w:rPr>
      </w:pP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甲  方（盖章）：                                乙  方（盖章）：</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法定代表人或受委托人                           法定代表人或受委托人</w:t>
      </w:r>
    </w:p>
    <w:p>
      <w:pPr>
        <w:autoSpaceDE w:val="0"/>
        <w:autoSpaceDN w:val="0"/>
        <w:adjustRightInd w:val="0"/>
        <w:snapToGrid w:val="0"/>
        <w:spacing w:line="360" w:lineRule="auto"/>
        <w:ind w:firstLine="360" w:firstLineChars="150"/>
        <w:rPr>
          <w:rFonts w:cs="仿宋"/>
          <w:color w:val="auto"/>
          <w:szCs w:val="21"/>
          <w:highlight w:val="none"/>
        </w:rPr>
      </w:pPr>
      <w:r>
        <w:rPr>
          <w:rFonts w:hint="eastAsia" w:cs="仿宋"/>
          <w:color w:val="auto"/>
          <w:szCs w:val="21"/>
          <w:highlight w:val="none"/>
        </w:rPr>
        <w:t>（签字）：                                      （签字）：</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地  址：                                       地 址：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邮  编：                                       邮  编：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电  话：                                       电  话：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 xml:space="preserve">传  真：                                       传  真： </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开户银行：                                     开户银行：</w:t>
      </w:r>
    </w:p>
    <w:p>
      <w:pPr>
        <w:autoSpaceDE w:val="0"/>
        <w:autoSpaceDN w:val="0"/>
        <w:adjustRightInd w:val="0"/>
        <w:snapToGrid w:val="0"/>
        <w:spacing w:line="360" w:lineRule="auto"/>
        <w:ind w:firstLine="480" w:firstLineChars="200"/>
        <w:rPr>
          <w:rFonts w:cs="仿宋"/>
          <w:color w:val="auto"/>
          <w:szCs w:val="21"/>
          <w:highlight w:val="none"/>
        </w:rPr>
      </w:pPr>
      <w:r>
        <w:rPr>
          <w:rFonts w:hint="eastAsia" w:cs="仿宋"/>
          <w:color w:val="auto"/>
          <w:szCs w:val="21"/>
          <w:highlight w:val="none"/>
        </w:rPr>
        <w:t>帐  号：                                       帐  号：</w:t>
      </w:r>
    </w:p>
    <w:p>
      <w:pPr>
        <w:spacing w:line="360" w:lineRule="auto"/>
        <w:ind w:firstLine="480" w:firstLineChars="200"/>
        <w:rPr>
          <w:rFonts w:cs="仿宋"/>
          <w:color w:val="auto"/>
          <w:szCs w:val="21"/>
          <w:highlight w:val="none"/>
        </w:rPr>
      </w:pPr>
      <w:r>
        <w:rPr>
          <w:rFonts w:hint="eastAsia" w:cs="仿宋"/>
          <w:color w:val="auto"/>
          <w:szCs w:val="21"/>
          <w:highlight w:val="none"/>
        </w:rPr>
        <w:t>签约时间：年月日</w:t>
      </w:r>
    </w:p>
    <w:p>
      <w:pPr>
        <w:keepNext w:val="0"/>
        <w:keepLines w:val="0"/>
        <w:pageBreakBefore w:val="0"/>
        <w:kinsoku/>
        <w:wordWrap/>
        <w:overflowPunct/>
        <w:topLinePunct w:val="0"/>
        <w:bidi w:val="0"/>
        <w:spacing w:line="288" w:lineRule="auto"/>
        <w:rPr>
          <w:rFonts w:hint="eastAsia" w:ascii="仿宋" w:hAnsi="仿宋" w:eastAsia="仿宋" w:cs="仿宋"/>
          <w:color w:val="auto"/>
          <w:kern w:val="2"/>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keepNext w:val="0"/>
        <w:keepLines w:val="0"/>
        <w:pageBreakBefore w:val="0"/>
        <w:kinsoku/>
        <w:wordWrap/>
        <w:overflowPunct/>
        <w:topLinePunct w:val="0"/>
        <w:bidi w:val="0"/>
        <w:snapToGrid w:val="0"/>
        <w:spacing w:line="288"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keepNext w:val="0"/>
        <w:keepLines w:val="0"/>
        <w:pageBreakBefore w:val="0"/>
        <w:kinsoku/>
        <w:wordWrap/>
        <w:overflowPunct/>
        <w:topLinePunct w:val="0"/>
        <w:bidi w:val="0"/>
        <w:snapToGrid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keepNext w:val="0"/>
        <w:keepLines w:val="0"/>
        <w:pageBreakBefore w:val="0"/>
        <w:kinsoku/>
        <w:wordWrap/>
        <w:overflowPunct/>
        <w:topLinePunct w:val="0"/>
        <w:bidi w:val="0"/>
        <w:snapToGrid w:val="0"/>
        <w:spacing w:line="288"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keepNext w:val="0"/>
        <w:keepLines w:val="0"/>
        <w:pageBreakBefore w:val="0"/>
        <w:kinsoku/>
        <w:wordWrap/>
        <w:overflowPunct/>
        <w:topLinePunct w:val="0"/>
        <w:bidi w:val="0"/>
        <w:snapToGrid w:val="0"/>
        <w:spacing w:line="288" w:lineRule="auto"/>
        <w:ind w:right="480"/>
        <w:jc w:val="center"/>
        <w:rPr>
          <w:rFonts w:hint="eastAsia" w:ascii="仿宋" w:hAnsi="仿宋" w:eastAsia="仿宋" w:cs="仿宋"/>
          <w:b/>
          <w:color w:val="auto"/>
          <w:sz w:val="32"/>
          <w:szCs w:val="32"/>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目录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（7）投标标的清单………………………………………………………………（页码）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（8）商务技术偏离表……………………………………………………………（页码）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napToGrid w:val="0"/>
        <w:spacing w:line="288"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keepNext w:val="0"/>
        <w:keepLines w:val="0"/>
        <w:pageBreakBefore w:val="0"/>
        <w:kinsoku/>
        <w:wordWrap/>
        <w:overflowPunct/>
        <w:topLinePunct w:val="0"/>
        <w:autoSpaceDE w:val="0"/>
        <w:autoSpaceDN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9"/>
        <w:keepNext w:val="0"/>
        <w:keepLines w:val="0"/>
        <w:pageBreakBefore w:val="0"/>
        <w:kinsoku/>
        <w:wordWrap/>
        <w:overflowPunct/>
        <w:topLinePunct w:val="0"/>
        <w:bidi w:val="0"/>
        <w:spacing w:line="288"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keepNext w:val="0"/>
              <w:keepLines w:val="0"/>
              <w:pageBreakBefore w:val="0"/>
              <w:kinsoku/>
              <w:wordWrap/>
              <w:overflowPunct/>
              <w:topLinePunct w:val="0"/>
              <w:bidi w:val="0"/>
              <w:adjustRightInd w:val="0"/>
              <w:spacing w:line="288"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9"/>
              <w:keepNext w:val="0"/>
              <w:keepLines w:val="0"/>
              <w:pageBreakBefore w:val="0"/>
              <w:kinsoku/>
              <w:wordWrap/>
              <w:overflowPunct/>
              <w:topLinePunct w:val="0"/>
              <w:bidi w:val="0"/>
              <w:adjustRightInd w:val="0"/>
              <w:spacing w:line="288" w:lineRule="auto"/>
              <w:rPr>
                <w:rFonts w:hint="eastAsia" w:ascii="仿宋" w:hAnsi="仿宋" w:eastAsia="仿宋" w:cs="仿宋"/>
                <w:bCs/>
                <w:color w:val="auto"/>
                <w:sz w:val="24"/>
                <w:highlight w:val="none"/>
              </w:rPr>
            </w:pPr>
          </w:p>
        </w:tc>
      </w:tr>
    </w:tbl>
    <w:p>
      <w:pPr>
        <w:keepNext w:val="0"/>
        <w:keepLines w:val="0"/>
        <w:pageBreakBefore w:val="0"/>
        <w:kinsoku/>
        <w:wordWrap/>
        <w:overflowPunct/>
        <w:topLinePunct w:val="0"/>
        <w:bidi w:val="0"/>
        <w:snapToGrid w:val="0"/>
        <w:spacing w:line="288"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%的扣除）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%的扣除）</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keepNext w:val="0"/>
              <w:keepLines w:val="0"/>
              <w:pageBreakBefore w:val="0"/>
              <w:kinsoku/>
              <w:wordWrap/>
              <w:overflowPunct/>
              <w:topLinePunct w:val="0"/>
              <w:bidi w:val="0"/>
              <w:snapToGrid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410"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701" w:type="dxa"/>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keepNext w:val="0"/>
        <w:keepLines w:val="0"/>
        <w:pageBreakBefore w:val="0"/>
        <w:kinsoku/>
        <w:wordWrap/>
        <w:overflowPunct/>
        <w:topLinePunct w:val="0"/>
        <w:bidi w:val="0"/>
        <w:snapToGrid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354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c>
          <w:tcPr>
            <w:tcW w:w="1276" w:type="dxa"/>
          </w:tcPr>
          <w:p>
            <w:pPr>
              <w:keepNext w:val="0"/>
              <w:keepLines w:val="0"/>
              <w:pageBreakBefore w:val="0"/>
              <w:kinsoku/>
              <w:wordWrap/>
              <w:overflowPunct/>
              <w:topLinePunct w:val="0"/>
              <w:bidi w:val="0"/>
              <w:spacing w:after="0" w:line="288" w:lineRule="auto"/>
              <w:jc w:val="center"/>
              <w:rPr>
                <w:rFonts w:hint="eastAsia" w:ascii="仿宋" w:hAnsi="仿宋" w:eastAsia="仿宋" w:cs="仿宋"/>
                <w:b/>
                <w:color w:val="auto"/>
                <w:sz w:val="32"/>
                <w:szCs w:val="32"/>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keepNext w:val="0"/>
        <w:keepLines w:val="0"/>
        <w:pageBreakBefore w:val="0"/>
        <w:kinsoku/>
        <w:wordWrap/>
        <w:overflowPunct/>
        <w:topLinePunct w:val="0"/>
        <w:bidi w:val="0"/>
        <w:spacing w:line="288"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pPr>
        <w:keepNext w:val="0"/>
        <w:keepLines w:val="0"/>
        <w:pageBreakBefore w:val="0"/>
        <w:kinsoku/>
        <w:wordWrap/>
        <w:overflowPunct/>
        <w:topLinePunct w:val="0"/>
        <w:bidi w:val="0"/>
        <w:spacing w:line="288" w:lineRule="auto"/>
        <w:jc w:val="center"/>
        <w:outlineLvl w:val="0"/>
        <w:rPr>
          <w:rFonts w:hint="eastAsia" w:ascii="仿宋" w:hAnsi="仿宋" w:eastAsia="仿宋" w:cs="仿宋"/>
          <w:b/>
          <w:color w:val="auto"/>
          <w:sz w:val="36"/>
          <w:szCs w:val="36"/>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keepNext w:val="0"/>
        <w:keepLines w:val="0"/>
        <w:pageBreakBefore w:val="0"/>
        <w:kinsoku/>
        <w:wordWrap/>
        <w:overflowPunct/>
        <w:topLinePunct w:val="0"/>
        <w:bidi w:val="0"/>
        <w:snapToGrid w:val="0"/>
        <w:spacing w:line="288" w:lineRule="auto"/>
        <w:ind w:right="480"/>
        <w:jc w:val="center"/>
        <w:rPr>
          <w:rFonts w:hint="eastAsia" w:ascii="仿宋" w:hAnsi="仿宋" w:eastAsia="仿宋" w:cs="仿宋"/>
          <w:b/>
          <w:color w:val="auto"/>
          <w:sz w:val="32"/>
          <w:szCs w:val="32"/>
          <w:highlight w:val="none"/>
        </w:rPr>
      </w:pPr>
    </w:p>
    <w:p>
      <w:pPr>
        <w:pStyle w:val="80"/>
        <w:keepNext w:val="0"/>
        <w:keepLines w:val="0"/>
        <w:pageBreakBefore w:val="0"/>
        <w:tabs>
          <w:tab w:val="clear" w:pos="720"/>
        </w:tabs>
        <w:kinsoku/>
        <w:wordWrap/>
        <w:overflowPunct/>
        <w:topLinePunct w:val="0"/>
        <w:bidi w:val="0"/>
        <w:snapToGrid w:val="0"/>
        <w:spacing w:before="120" w:after="120" w:line="288" w:lineRule="auto"/>
        <w:ind w:firstLine="643"/>
        <w:outlineLvl w:val="9"/>
        <w:rPr>
          <w:rFonts w:hint="eastAsia" w:ascii="仿宋" w:hAnsi="仿宋" w:eastAsia="仿宋" w:cs="仿宋"/>
          <w:color w:val="auto"/>
          <w:kern w:val="2"/>
          <w:sz w:val="32"/>
          <w:szCs w:val="32"/>
          <w:highlight w:val="none"/>
        </w:rPr>
        <w:sectPr>
          <w:headerReference r:id="rId5" w:type="default"/>
          <w:footerReference r:id="rId6" w:type="default"/>
          <w:pgSz w:w="11906" w:h="16838"/>
          <w:pgMar w:top="1440" w:right="1700" w:bottom="1440" w:left="1800" w:header="851" w:footer="992" w:gutter="0"/>
          <w:cols w:space="425" w:num="1"/>
          <w:docGrid w:type="lines" w:linePitch="312" w:charSpace="0"/>
        </w:sect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368"/>
        <w:gridCol w:w="1184"/>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18961户</w:t>
            </w:r>
          </w:p>
        </w:tc>
        <w:tc>
          <w:tcPr>
            <w:tcW w:w="1184" w:type="dxa"/>
            <w:vAlign w:val="center"/>
          </w:tcPr>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417"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bl>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r>
        <w:rPr>
          <w:rFonts w:hint="eastAsia" w:ascii="仿宋" w:hAnsi="仿宋" w:eastAsia="仿宋" w:cs="仿宋"/>
          <w:color w:val="auto"/>
          <w:highlight w:val="none"/>
          <w:lang w:val="zh-CN"/>
        </w:rPr>
        <w:tab/>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b/>
          <w:color w:val="auto"/>
          <w:highlight w:val="none"/>
        </w:rPr>
        <w:sectPr>
          <w:pgSz w:w="16838" w:h="11906" w:orient="landscape"/>
          <w:pgMar w:top="1800" w:right="1440" w:bottom="1700" w:left="1440" w:header="851" w:footer="992" w:gutter="0"/>
          <w:cols w:space="425" w:num="1"/>
          <w:docGrid w:type="lines" w:linePitch="326" w:charSpace="0"/>
        </w:sectPr>
      </w:pP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kern w:val="2"/>
          <w:highlight w:val="none"/>
        </w:rPr>
        <w:t>二、</w:t>
      </w:r>
      <w:r>
        <w:rPr>
          <w:rFonts w:hint="eastAsia" w:ascii="仿宋" w:hAnsi="仿宋" w:eastAsia="仿宋" w:cs="仿宋"/>
          <w:color w:val="auto"/>
          <w:highlight w:val="none"/>
        </w:rPr>
        <w:t>中小企业声明函</w:t>
      </w:r>
    </w:p>
    <w:p>
      <w:pPr>
        <w:keepNext w:val="0"/>
        <w:keepLines w:val="0"/>
        <w:pageBreakBefore w:val="0"/>
        <w:kinsoku/>
        <w:wordWrap/>
        <w:overflowPunct/>
        <w:topLinePunct w:val="0"/>
        <w:bidi w:val="0"/>
        <w:spacing w:line="288"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keepNext w:val="0"/>
        <w:keepLines w:val="0"/>
        <w:pageBreakBefore w:val="0"/>
        <w:kinsoku/>
        <w:wordWrap/>
        <w:overflowPunct/>
        <w:topLinePunct w:val="0"/>
        <w:bidi w:val="0"/>
        <w:spacing w:line="288" w:lineRule="auto"/>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keepNext w:val="0"/>
        <w:keepLines w:val="0"/>
        <w:pageBreakBefore w:val="0"/>
        <w:kinsoku/>
        <w:wordWrap/>
        <w:overflowPunct/>
        <w:topLinePunct w:val="0"/>
        <w:bidi w:val="0"/>
        <w:spacing w:line="288" w:lineRule="auto"/>
        <w:ind w:left="5060" w:hanging="5060" w:hangingChars="2100"/>
        <w:rPr>
          <w:rFonts w:hint="eastAsia" w:ascii="仿宋" w:hAnsi="仿宋" w:eastAsia="仿宋" w:cs="仿宋"/>
          <w:b/>
          <w:bCs/>
          <w:color w:val="auto"/>
          <w:highlight w:val="none"/>
        </w:rPr>
      </w:pPr>
    </w:p>
    <w:p>
      <w:pPr>
        <w:keepNext w:val="0"/>
        <w:keepLines w:val="0"/>
        <w:pageBreakBefore w:val="0"/>
        <w:kinsoku/>
        <w:wordWrap/>
        <w:overflowPunct/>
        <w:topLinePunct w:val="0"/>
        <w:bidi w:val="0"/>
        <w:spacing w:line="288" w:lineRule="auto"/>
        <w:ind w:firstLine="120" w:firstLineChars="50"/>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ind w:firstLine="482" w:firstLineChars="200"/>
        <w:rPr>
          <w:rFonts w:hint="eastAsia" w:ascii="仿宋" w:hAnsi="仿宋" w:eastAsia="仿宋" w:cs="仿宋"/>
          <w:b/>
          <w:color w:val="auto"/>
          <w:highlight w:val="none"/>
        </w:rPr>
      </w:pPr>
    </w:p>
    <w:p>
      <w:pPr>
        <w:pStyle w:val="80"/>
        <w:keepNext w:val="0"/>
        <w:keepLines w:val="0"/>
        <w:pageBreakBefore w:val="0"/>
        <w:tabs>
          <w:tab w:val="clear" w:pos="720"/>
        </w:tabs>
        <w:kinsoku/>
        <w:wordWrap/>
        <w:overflowPunct/>
        <w:topLinePunct w:val="0"/>
        <w:bidi w:val="0"/>
        <w:snapToGrid w:val="0"/>
        <w:spacing w:before="120" w:after="120" w:line="288" w:lineRule="auto"/>
        <w:ind w:firstLine="643"/>
        <w:outlineLvl w:val="9"/>
        <w:rPr>
          <w:rFonts w:hint="eastAsia" w:ascii="仿宋" w:hAnsi="仿宋" w:eastAsia="仿宋" w:cs="仿宋"/>
          <w:color w:val="auto"/>
          <w:kern w:val="2"/>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bookmarkStart w:id="368" w:name="_Toc465665161"/>
      <w:r>
        <w:rPr>
          <w:rFonts w:hint="eastAsia" w:ascii="仿宋" w:hAnsi="仿宋" w:eastAsia="仿宋" w:cs="仿宋"/>
          <w:color w:val="auto"/>
          <w:highlight w:val="none"/>
        </w:rPr>
        <w:t>附件</w:t>
      </w:r>
      <w:bookmarkEnd w:id="368"/>
    </w:p>
    <w:p>
      <w:pPr>
        <w:pStyle w:val="5"/>
        <w:keepNext w:val="0"/>
        <w:keepLines w:val="0"/>
        <w:pageBreakBefore w:val="0"/>
        <w:kinsoku/>
        <w:wordWrap/>
        <w:overflowPunct/>
        <w:topLinePunct w:val="0"/>
        <w:bidi w:val="0"/>
        <w:spacing w:line="288"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附件1：</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bookmarkStart w:id="369" w:name="OLE_LINK13"/>
      <w:bookmarkStart w:id="370" w:name="OLE_LINK14"/>
      <w:r>
        <w:rPr>
          <w:rFonts w:hint="eastAsia" w:ascii="仿宋" w:hAnsi="仿宋" w:eastAsia="仿宋" w:cs="仿宋"/>
          <w:b/>
          <w:color w:val="auto"/>
          <w:spacing w:val="6"/>
          <w:sz w:val="32"/>
          <w:szCs w:val="32"/>
          <w:highlight w:val="none"/>
        </w:rPr>
        <w:t>残疾人福利性单位声明函</w:t>
      </w:r>
    </w:p>
    <w:bookmarkEnd w:id="369"/>
    <w:bookmarkEnd w:id="370"/>
    <w:p>
      <w:pPr>
        <w:keepNext w:val="0"/>
        <w:keepLines w:val="0"/>
        <w:pageBreakBefore w:val="0"/>
        <w:kinsoku/>
        <w:wordWrap/>
        <w:overflowPunct/>
        <w:topLinePunct w:val="0"/>
        <w:bidi w:val="0"/>
        <w:spacing w:line="288" w:lineRule="auto"/>
        <w:rPr>
          <w:rFonts w:hint="eastAsia" w:ascii="仿宋" w:hAnsi="仿宋" w:eastAsia="仿宋" w:cs="仿宋"/>
          <w:b/>
          <w:color w:val="auto"/>
          <w:spacing w:val="6"/>
          <w:sz w:val="30"/>
          <w:szCs w:val="30"/>
          <w:highlight w:val="none"/>
        </w:rPr>
      </w:pP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p>
      <w:pPr>
        <w:pStyle w:val="65"/>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65"/>
        <w:keepNext w:val="0"/>
        <w:keepLines w:val="0"/>
        <w:pageBreakBefore w:val="0"/>
        <w:kinsoku/>
        <w:wordWrap/>
        <w:overflowPunct/>
        <w:topLinePunct w:val="0"/>
        <w:bidi w:val="0"/>
        <w:spacing w:line="288" w:lineRule="auto"/>
        <w:jc w:val="right"/>
        <w:rPr>
          <w:rFonts w:hint="eastAsia" w:ascii="仿宋" w:hAnsi="仿宋" w:eastAsia="仿宋" w:cs="仿宋"/>
          <w:color w:val="auto"/>
          <w:highlight w:val="none"/>
        </w:rPr>
      </w:pPr>
      <w:r>
        <w:rPr>
          <w:rFonts w:hint="eastAsia" w:ascii="仿宋" w:hAnsi="仿宋" w:eastAsia="仿宋" w:cs="仿宋"/>
          <w:color w:val="auto"/>
          <w:highlight w:val="none"/>
        </w:rPr>
        <w:t>日  期：</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6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kinsoku/>
        <w:wordWrap/>
        <w:overflowPunct/>
        <w:topLinePunct w:val="0"/>
        <w:bidi w:val="0"/>
        <w:spacing w:line="288" w:lineRule="auto"/>
        <w:ind w:firstLine="600" w:firstLineChars="200"/>
        <w:rPr>
          <w:rFonts w:hint="eastAsia" w:ascii="仿宋" w:hAnsi="仿宋" w:eastAsia="仿宋" w:cs="仿宋"/>
          <w:color w:val="auto"/>
          <w:sz w:val="30"/>
          <w:szCs w:val="30"/>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tabs>
          <w:tab w:val="left" w:pos="6510"/>
        </w:tabs>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tabs>
          <w:tab w:val="left" w:pos="6510"/>
        </w:tabs>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spacing w:val="6"/>
          <w:highlight w:val="none"/>
        </w:rPr>
        <w:t>附件4：</w:t>
      </w:r>
      <w:r>
        <w:rPr>
          <w:rFonts w:hint="eastAsia" w:ascii="仿宋" w:hAnsi="仿宋" w:eastAsia="仿宋" w:cs="仿宋"/>
          <w:b/>
          <w:color w:val="auto"/>
          <w:highlight w:val="none"/>
        </w:rPr>
        <w:t>业务专用章使用说明函</w:t>
      </w:r>
    </w:p>
    <w:p>
      <w:pPr>
        <w:keepNext w:val="0"/>
        <w:keepLines w:val="0"/>
        <w:pageBreakBefore w:val="0"/>
        <w:kinsoku/>
        <w:wordWrap/>
        <w:overflowPunct/>
        <w:topLinePunct w:val="0"/>
        <w:bidi w:val="0"/>
        <w:spacing w:line="288"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keepNext w:val="0"/>
        <w:keepLines w:val="0"/>
        <w:pageBreakBefore w:val="0"/>
        <w:kinsoku/>
        <w:wordWrap/>
        <w:overflowPunct/>
        <w:topLinePunct w:val="0"/>
        <w:bidi w:val="0"/>
        <w:spacing w:line="288"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firstLine="494"/>
        <w:rPr>
          <w:rFonts w:hint="eastAsia" w:ascii="仿宋" w:hAnsi="仿宋" w:eastAsia="仿宋" w:cs="仿宋"/>
          <w:color w:val="auto"/>
          <w:highlight w:val="none"/>
        </w:rPr>
      </w:pPr>
    </w:p>
    <w:p>
      <w:pPr>
        <w:keepNext w:val="0"/>
        <w:keepLines w:val="0"/>
        <w:pageBreakBefore w:val="0"/>
        <w:kinsoku/>
        <w:wordWrap/>
        <w:overflowPunct/>
        <w:topLinePunct w:val="0"/>
        <w:bidi w:val="0"/>
        <w:spacing w:line="288"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keepNext w:val="0"/>
        <w:keepLines w:val="0"/>
        <w:pageBreakBefore w:val="0"/>
        <w:kinsoku/>
        <w:wordWrap/>
        <w:overflowPunct/>
        <w:topLinePunct w:val="0"/>
        <w:bidi w:val="0"/>
        <w:spacing w:line="288" w:lineRule="auto"/>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keepNext w:val="0"/>
        <w:keepLines w:val="0"/>
        <w:pageBreakBefore w:val="0"/>
        <w:kinsoku/>
        <w:wordWrap/>
        <w:overflowPunct/>
        <w:topLinePunct w:val="0"/>
        <w:bidi w:val="0"/>
        <w:spacing w:line="288"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w:t>投标单位法定名称章（印模）                投标单位“XX专用章”（印模）</w:t>
      </w:r>
    </w:p>
    <w:p>
      <w:pPr>
        <w:keepNext w:val="0"/>
        <w:keepLines w:val="0"/>
        <w:pageBreakBefore w:val="0"/>
        <w:kinsoku/>
        <w:wordWrap/>
        <w:overflowPunct/>
        <w:topLinePunct w:val="0"/>
        <w:bidi w:val="0"/>
        <w:spacing w:line="288" w:lineRule="auto"/>
        <w:rPr>
          <w:rFonts w:hint="eastAsia" w:ascii="仿宋" w:hAnsi="仿宋" w:eastAsia="仿宋" w:cs="仿宋"/>
          <w:b/>
          <w:color w:val="auto"/>
          <w:spacing w:val="6"/>
          <w:sz w:val="32"/>
          <w:szCs w:val="32"/>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6"/>
          <w:sz w:val="28"/>
          <w:szCs w:val="28"/>
          <w:highlight w:val="none"/>
        </w:rPr>
      </w:pPr>
    </w:p>
    <w:p>
      <w:pPr>
        <w:keepNext w:val="0"/>
        <w:keepLines w:val="0"/>
        <w:pageBreakBefore w:val="0"/>
        <w:kinsoku/>
        <w:wordWrap/>
        <w:overflowPunct/>
        <w:topLinePunct w:val="0"/>
        <w:bidi w:val="0"/>
        <w:spacing w:line="288"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5"/>
        <w:keepNext w:val="0"/>
        <w:keepLines w:val="0"/>
        <w:pageBreakBefore w:val="0"/>
        <w:kinsoku/>
        <w:wordWrap/>
        <w:overflowPunct/>
        <w:topLinePunct w:val="0"/>
        <w:bidi w:val="0"/>
        <w:spacing w:line="288" w:lineRule="auto"/>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spacing w:line="288"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5"/>
        <w:keepNext w:val="0"/>
        <w:keepLines w:val="0"/>
        <w:pageBreakBefore w:val="0"/>
        <w:kinsoku/>
        <w:wordWrap/>
        <w:overflowPunct/>
        <w:topLinePunct w:val="0"/>
        <w:bidi w:val="0"/>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附件6</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keepNext w:val="0"/>
        <w:keepLines w:val="0"/>
        <w:pageBreakBefore w:val="0"/>
        <w:kinsoku/>
        <w:wordWrap/>
        <w:overflowPunct/>
        <w:topLinePunct w:val="0"/>
        <w:bidi w:val="0"/>
        <w:spacing w:line="288" w:lineRule="auto"/>
        <w:jc w:val="center"/>
        <w:rPr>
          <w:rFonts w:hint="eastAsia" w:ascii="仿宋" w:hAnsi="仿宋" w:eastAsia="仿宋" w:cs="仿宋"/>
          <w:color w:val="auto"/>
          <w:sz w:val="40"/>
          <w:highlight w:val="none"/>
        </w:rPr>
      </w:pP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keepNext w:val="0"/>
        <w:keepLines w:val="0"/>
        <w:pageBreakBefore w:val="0"/>
        <w:kinsoku/>
        <w:wordWrap/>
        <w:overflowPunct/>
        <w:topLinePunct w:val="0"/>
        <w:bidi w:val="0"/>
        <w:snapToGrid w:val="0"/>
        <w:spacing w:line="288" w:lineRule="auto"/>
        <w:ind w:left="290" w:leftChars="121" w:firstLine="48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keepNext w:val="0"/>
        <w:keepLines w:val="0"/>
        <w:pageBreakBefore w:val="0"/>
        <w:kinsoku/>
        <w:wordWrap/>
        <w:overflowPunct/>
        <w:topLinePunct w:val="0"/>
        <w:bidi w:val="0"/>
        <w:snapToGrid w:val="0"/>
        <w:spacing w:line="288" w:lineRule="auto"/>
        <w:ind w:left="290" w:leftChars="121"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keepNext w:val="0"/>
        <w:keepLines w:val="0"/>
        <w:pageBreakBefore w:val="0"/>
        <w:kinsoku/>
        <w:wordWrap/>
        <w:overflowPunct/>
        <w:topLinePunct w:val="0"/>
        <w:bidi w:val="0"/>
        <w:snapToGrid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1920"/>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jc w:val="right"/>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p>
    <w:p>
      <w:pPr>
        <w:keepNext w:val="0"/>
        <w:keepLines w:val="0"/>
        <w:pageBreakBefore w:val="0"/>
        <w:kinsoku/>
        <w:wordWrap/>
        <w:overflowPunct/>
        <w:topLinePunct w:val="0"/>
        <w:bidi w:val="0"/>
        <w:snapToGrid w:val="0"/>
        <w:spacing w:line="288"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keepNext w:val="0"/>
        <w:keepLines w:val="0"/>
        <w:pageBreakBefore w:val="0"/>
        <w:kinsoku/>
        <w:wordWrap/>
        <w:overflowPunct/>
        <w:topLinePunct w:val="0"/>
        <w:bidi w:val="0"/>
        <w:spacing w:line="288"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keepNext w:val="0"/>
        <w:keepLines w:val="0"/>
        <w:pageBreakBefore w:val="0"/>
        <w:kinsoku/>
        <w:wordWrap/>
        <w:overflowPunct/>
        <w:topLinePunct w:val="0"/>
        <w:bidi w:val="0"/>
        <w:spacing w:line="288" w:lineRule="auto"/>
        <w:ind w:right="420"/>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B96330F9"/>
    <w:multiLevelType w:val="singleLevel"/>
    <w:tmpl w:val="B96330F9"/>
    <w:lvl w:ilvl="0" w:tentative="0">
      <w:start w:val="1"/>
      <w:numFmt w:val="decimal"/>
      <w:suff w:val="nothing"/>
      <w:lvlText w:val="（%1）"/>
      <w:lvlJc w:val="left"/>
      <w:pPr>
        <w:ind w:left="30"/>
      </w:pPr>
    </w:lvl>
  </w:abstractNum>
  <w:abstractNum w:abstractNumId="2">
    <w:nsid w:val="CF872AAA"/>
    <w:multiLevelType w:val="singleLevel"/>
    <w:tmpl w:val="CF872AAA"/>
    <w:lvl w:ilvl="0" w:tentative="0">
      <w:start w:val="1"/>
      <w:numFmt w:val="decimal"/>
      <w:suff w:val="nothing"/>
      <w:lvlText w:val="%1、"/>
      <w:lvlJc w:val="left"/>
    </w:lvl>
  </w:abstractNum>
  <w:abstractNum w:abstractNumId="3">
    <w:nsid w:val="D08BDF37"/>
    <w:multiLevelType w:val="singleLevel"/>
    <w:tmpl w:val="D08BDF37"/>
    <w:lvl w:ilvl="0" w:tentative="0">
      <w:start w:val="2"/>
      <w:numFmt w:val="decimal"/>
      <w:suff w:val="nothing"/>
      <w:lvlText w:val="%1、"/>
      <w:lvlJc w:val="left"/>
    </w:lvl>
  </w:abstractNum>
  <w:abstractNum w:abstractNumId="4">
    <w:nsid w:val="00000015"/>
    <w:multiLevelType w:val="singleLevel"/>
    <w:tmpl w:val="00000015"/>
    <w:lvl w:ilvl="0" w:tentative="0">
      <w:start w:val="2"/>
      <w:numFmt w:val="decimal"/>
      <w:suff w:val="nothing"/>
      <w:lvlText w:val="%1、"/>
      <w:lvlJc w:val="left"/>
    </w:lvl>
  </w:abstractNum>
  <w:abstractNum w:abstractNumId="5">
    <w:nsid w:val="6998DBEC"/>
    <w:multiLevelType w:val="singleLevel"/>
    <w:tmpl w:val="6998DBEC"/>
    <w:lvl w:ilvl="0" w:tentative="0">
      <w:start w:val="2"/>
      <w:numFmt w:val="decimal"/>
      <w:suff w:val="nothing"/>
      <w:lvlText w:val="%1、"/>
      <w:lvlJc w:val="left"/>
      <w:pPr>
        <w:ind w:left="360" w:firstLine="0"/>
      </w:pPr>
    </w:lvl>
  </w:abstractNum>
  <w:abstractNum w:abstractNumId="6">
    <w:nsid w:val="69FA74C4"/>
    <w:multiLevelType w:val="multilevel"/>
    <w:tmpl w:val="69FA74C4"/>
    <w:lvl w:ilvl="0" w:tentative="0">
      <w:start w:val="1"/>
      <w:numFmt w:val="decimal"/>
      <w:lvlText w:val="%1、"/>
      <w:lvlJc w:val="left"/>
      <w:pPr>
        <w:ind w:left="766" w:hanging="36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abstractNum w:abstractNumId="7">
    <w:nsid w:val="6A6932B9"/>
    <w:multiLevelType w:val="singleLevel"/>
    <w:tmpl w:val="6A6932B9"/>
    <w:lvl w:ilvl="0" w:tentative="0">
      <w:start w:val="5"/>
      <w:numFmt w:val="decimal"/>
      <w:suff w:val="nothing"/>
      <w:lvlText w:val="%1、"/>
      <w:lvlJc w:val="left"/>
    </w:lvl>
  </w:abstractNum>
  <w:num w:numId="1">
    <w:abstractNumId w:val="2"/>
  </w:num>
  <w:num w:numId="2">
    <w:abstractNumId w:val="5"/>
  </w:num>
  <w:num w:numId="3">
    <w:abstractNumId w:val="1"/>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ZmZjBhNTY2ZjVlNTY3MTIzMGIwMjIyYzMzMjUifQ=="/>
  </w:docVars>
  <w:rsids>
    <w:rsidRoot w:val="004A31C0"/>
    <w:rsid w:val="00083EEE"/>
    <w:rsid w:val="000C67BA"/>
    <w:rsid w:val="000E75F8"/>
    <w:rsid w:val="00173428"/>
    <w:rsid w:val="001A3CF6"/>
    <w:rsid w:val="002E02E0"/>
    <w:rsid w:val="00311A5F"/>
    <w:rsid w:val="003169BC"/>
    <w:rsid w:val="0035778E"/>
    <w:rsid w:val="00380ED1"/>
    <w:rsid w:val="003A3435"/>
    <w:rsid w:val="00424A1D"/>
    <w:rsid w:val="004A31C0"/>
    <w:rsid w:val="00581054"/>
    <w:rsid w:val="0065383E"/>
    <w:rsid w:val="00661973"/>
    <w:rsid w:val="006657BD"/>
    <w:rsid w:val="006F2568"/>
    <w:rsid w:val="006F282E"/>
    <w:rsid w:val="00825212"/>
    <w:rsid w:val="00872DA1"/>
    <w:rsid w:val="00895849"/>
    <w:rsid w:val="008F729B"/>
    <w:rsid w:val="009040D0"/>
    <w:rsid w:val="009064F4"/>
    <w:rsid w:val="009823B1"/>
    <w:rsid w:val="009B7259"/>
    <w:rsid w:val="009E6B47"/>
    <w:rsid w:val="00A955FA"/>
    <w:rsid w:val="00AB1286"/>
    <w:rsid w:val="00AB3C03"/>
    <w:rsid w:val="00AC5A89"/>
    <w:rsid w:val="00B05FE3"/>
    <w:rsid w:val="00B92181"/>
    <w:rsid w:val="00C62E60"/>
    <w:rsid w:val="00CA5372"/>
    <w:rsid w:val="00DE7F9D"/>
    <w:rsid w:val="00E01C27"/>
    <w:rsid w:val="00E428C8"/>
    <w:rsid w:val="00ED389E"/>
    <w:rsid w:val="00F50CDF"/>
    <w:rsid w:val="00F82240"/>
    <w:rsid w:val="00F8364C"/>
    <w:rsid w:val="00F872C5"/>
    <w:rsid w:val="011E3944"/>
    <w:rsid w:val="016320EC"/>
    <w:rsid w:val="01635C49"/>
    <w:rsid w:val="019D0602"/>
    <w:rsid w:val="01AC75F0"/>
    <w:rsid w:val="01AE3368"/>
    <w:rsid w:val="01AF37FF"/>
    <w:rsid w:val="01C7267B"/>
    <w:rsid w:val="01F95ADC"/>
    <w:rsid w:val="020531A4"/>
    <w:rsid w:val="0213766F"/>
    <w:rsid w:val="024B505A"/>
    <w:rsid w:val="02624152"/>
    <w:rsid w:val="02647ECA"/>
    <w:rsid w:val="02A14C7A"/>
    <w:rsid w:val="02CB1CF7"/>
    <w:rsid w:val="02E565E2"/>
    <w:rsid w:val="02E903CF"/>
    <w:rsid w:val="035E18C9"/>
    <w:rsid w:val="03661A20"/>
    <w:rsid w:val="037D56E7"/>
    <w:rsid w:val="03CC249B"/>
    <w:rsid w:val="03EE2141"/>
    <w:rsid w:val="041A2F36"/>
    <w:rsid w:val="042A0CA0"/>
    <w:rsid w:val="043A5387"/>
    <w:rsid w:val="047F0912"/>
    <w:rsid w:val="04A722F0"/>
    <w:rsid w:val="053C170E"/>
    <w:rsid w:val="05467D5B"/>
    <w:rsid w:val="05663F59"/>
    <w:rsid w:val="05882122"/>
    <w:rsid w:val="05B42F17"/>
    <w:rsid w:val="05D9472B"/>
    <w:rsid w:val="06874187"/>
    <w:rsid w:val="06991ED9"/>
    <w:rsid w:val="06B01930"/>
    <w:rsid w:val="06D3561E"/>
    <w:rsid w:val="06DF3949"/>
    <w:rsid w:val="06F56102"/>
    <w:rsid w:val="07124399"/>
    <w:rsid w:val="074D3623"/>
    <w:rsid w:val="0774295E"/>
    <w:rsid w:val="07BE1E2B"/>
    <w:rsid w:val="083B3352"/>
    <w:rsid w:val="084E1401"/>
    <w:rsid w:val="087001A8"/>
    <w:rsid w:val="089D5EE4"/>
    <w:rsid w:val="08EE6740"/>
    <w:rsid w:val="098350DA"/>
    <w:rsid w:val="099948FD"/>
    <w:rsid w:val="0A3D797F"/>
    <w:rsid w:val="0A4A5BF8"/>
    <w:rsid w:val="0A5D3B7D"/>
    <w:rsid w:val="0AAA2EC7"/>
    <w:rsid w:val="0AAF1EFF"/>
    <w:rsid w:val="0AB3379D"/>
    <w:rsid w:val="0B086C88"/>
    <w:rsid w:val="0B582596"/>
    <w:rsid w:val="0BB258CB"/>
    <w:rsid w:val="0BEB09D7"/>
    <w:rsid w:val="0C000C64"/>
    <w:rsid w:val="0C536EF3"/>
    <w:rsid w:val="0C7358DA"/>
    <w:rsid w:val="0CB67574"/>
    <w:rsid w:val="0CBE467B"/>
    <w:rsid w:val="0CC003F3"/>
    <w:rsid w:val="0D006A41"/>
    <w:rsid w:val="0D5A43A4"/>
    <w:rsid w:val="0D7A2C98"/>
    <w:rsid w:val="0D901DE7"/>
    <w:rsid w:val="0E611762"/>
    <w:rsid w:val="0E811E04"/>
    <w:rsid w:val="0E927B6D"/>
    <w:rsid w:val="0E9733D5"/>
    <w:rsid w:val="0EE83C31"/>
    <w:rsid w:val="0F0F7410"/>
    <w:rsid w:val="0F4277E5"/>
    <w:rsid w:val="0F53554E"/>
    <w:rsid w:val="0FA97864"/>
    <w:rsid w:val="0FEC0358"/>
    <w:rsid w:val="101139C0"/>
    <w:rsid w:val="103C76D6"/>
    <w:rsid w:val="10795AE8"/>
    <w:rsid w:val="10953945"/>
    <w:rsid w:val="10BD35C7"/>
    <w:rsid w:val="10F20D97"/>
    <w:rsid w:val="115E66FA"/>
    <w:rsid w:val="116D43D4"/>
    <w:rsid w:val="11817023"/>
    <w:rsid w:val="11872380"/>
    <w:rsid w:val="11BC387F"/>
    <w:rsid w:val="11E539C1"/>
    <w:rsid w:val="120539E2"/>
    <w:rsid w:val="120A4806"/>
    <w:rsid w:val="120E7E53"/>
    <w:rsid w:val="121C60CC"/>
    <w:rsid w:val="121D49EF"/>
    <w:rsid w:val="122431D2"/>
    <w:rsid w:val="12AA67B8"/>
    <w:rsid w:val="12D20E80"/>
    <w:rsid w:val="13685340"/>
    <w:rsid w:val="13767A5D"/>
    <w:rsid w:val="139323BD"/>
    <w:rsid w:val="14215C1B"/>
    <w:rsid w:val="14467430"/>
    <w:rsid w:val="147F0B94"/>
    <w:rsid w:val="15187343"/>
    <w:rsid w:val="15B80890"/>
    <w:rsid w:val="15D04BC3"/>
    <w:rsid w:val="16090B01"/>
    <w:rsid w:val="16273291"/>
    <w:rsid w:val="163A2FC4"/>
    <w:rsid w:val="164200CB"/>
    <w:rsid w:val="164B6F7F"/>
    <w:rsid w:val="167C35DD"/>
    <w:rsid w:val="168E3310"/>
    <w:rsid w:val="169C77DB"/>
    <w:rsid w:val="16D276A1"/>
    <w:rsid w:val="16E96798"/>
    <w:rsid w:val="16F37360"/>
    <w:rsid w:val="17797B1C"/>
    <w:rsid w:val="177B5642"/>
    <w:rsid w:val="18037F78"/>
    <w:rsid w:val="180715CC"/>
    <w:rsid w:val="18E45DB0"/>
    <w:rsid w:val="18E5190D"/>
    <w:rsid w:val="19354D7A"/>
    <w:rsid w:val="19434886"/>
    <w:rsid w:val="197762DD"/>
    <w:rsid w:val="198033E4"/>
    <w:rsid w:val="19FC3C13"/>
    <w:rsid w:val="1AF220BF"/>
    <w:rsid w:val="1B2D30F7"/>
    <w:rsid w:val="1B351FAC"/>
    <w:rsid w:val="1B716E83"/>
    <w:rsid w:val="1B83381C"/>
    <w:rsid w:val="1BE37C5A"/>
    <w:rsid w:val="1C2F2E9F"/>
    <w:rsid w:val="1C346708"/>
    <w:rsid w:val="1C7134B8"/>
    <w:rsid w:val="1CBB1081"/>
    <w:rsid w:val="1CC96E50"/>
    <w:rsid w:val="1CDB6B83"/>
    <w:rsid w:val="1D0936F0"/>
    <w:rsid w:val="1DBB6C80"/>
    <w:rsid w:val="1E1858FE"/>
    <w:rsid w:val="1E1E0BC5"/>
    <w:rsid w:val="1E285DF8"/>
    <w:rsid w:val="1E360515"/>
    <w:rsid w:val="1E375636"/>
    <w:rsid w:val="1EB15DEE"/>
    <w:rsid w:val="1ECE4BF1"/>
    <w:rsid w:val="1F177F3E"/>
    <w:rsid w:val="1F4D3D68"/>
    <w:rsid w:val="1FA75C1C"/>
    <w:rsid w:val="1FEF4E1F"/>
    <w:rsid w:val="20191E9C"/>
    <w:rsid w:val="20735A50"/>
    <w:rsid w:val="20952422"/>
    <w:rsid w:val="20A756FA"/>
    <w:rsid w:val="21324850"/>
    <w:rsid w:val="213845A4"/>
    <w:rsid w:val="2186530F"/>
    <w:rsid w:val="21B92082"/>
    <w:rsid w:val="21DD435D"/>
    <w:rsid w:val="22061A3C"/>
    <w:rsid w:val="220D77DF"/>
    <w:rsid w:val="226A2E83"/>
    <w:rsid w:val="22703181"/>
    <w:rsid w:val="22AA7723"/>
    <w:rsid w:val="22AF6AE8"/>
    <w:rsid w:val="23076924"/>
    <w:rsid w:val="23567F9A"/>
    <w:rsid w:val="23825FAA"/>
    <w:rsid w:val="238E494F"/>
    <w:rsid w:val="239C706C"/>
    <w:rsid w:val="23A44173"/>
    <w:rsid w:val="23C40371"/>
    <w:rsid w:val="23FF13A9"/>
    <w:rsid w:val="240A3AB4"/>
    <w:rsid w:val="245416F5"/>
    <w:rsid w:val="249935AC"/>
    <w:rsid w:val="24BE05C6"/>
    <w:rsid w:val="255F65A3"/>
    <w:rsid w:val="2573204F"/>
    <w:rsid w:val="25973F8F"/>
    <w:rsid w:val="259F1096"/>
    <w:rsid w:val="26057BDB"/>
    <w:rsid w:val="26105AEF"/>
    <w:rsid w:val="2665408D"/>
    <w:rsid w:val="26793695"/>
    <w:rsid w:val="26C54B2C"/>
    <w:rsid w:val="26D62895"/>
    <w:rsid w:val="27133AE9"/>
    <w:rsid w:val="274517C9"/>
    <w:rsid w:val="274D348D"/>
    <w:rsid w:val="276E57DD"/>
    <w:rsid w:val="27BD5803"/>
    <w:rsid w:val="27F76F67"/>
    <w:rsid w:val="28A466E1"/>
    <w:rsid w:val="28C446A0"/>
    <w:rsid w:val="28F60FCD"/>
    <w:rsid w:val="29051210"/>
    <w:rsid w:val="29211DC2"/>
    <w:rsid w:val="292D69B8"/>
    <w:rsid w:val="293E2974"/>
    <w:rsid w:val="29454A7A"/>
    <w:rsid w:val="2992001E"/>
    <w:rsid w:val="29A07E58"/>
    <w:rsid w:val="2A164985"/>
    <w:rsid w:val="2A443FBA"/>
    <w:rsid w:val="2A4E0122"/>
    <w:rsid w:val="2A506E02"/>
    <w:rsid w:val="2A862824"/>
    <w:rsid w:val="2AC65694"/>
    <w:rsid w:val="2B3D31B7"/>
    <w:rsid w:val="2B54647E"/>
    <w:rsid w:val="2C34597D"/>
    <w:rsid w:val="2C504E98"/>
    <w:rsid w:val="2CA64AB8"/>
    <w:rsid w:val="2CEC25C1"/>
    <w:rsid w:val="2CF00429"/>
    <w:rsid w:val="2D095368"/>
    <w:rsid w:val="2DB31B82"/>
    <w:rsid w:val="2DB6106C"/>
    <w:rsid w:val="2DC07DFB"/>
    <w:rsid w:val="2DCF003E"/>
    <w:rsid w:val="2E232138"/>
    <w:rsid w:val="2E24038A"/>
    <w:rsid w:val="2E383E35"/>
    <w:rsid w:val="2E4F2F2D"/>
    <w:rsid w:val="2EAC037F"/>
    <w:rsid w:val="2EDC5460"/>
    <w:rsid w:val="2F1403FE"/>
    <w:rsid w:val="2F193C67"/>
    <w:rsid w:val="2F1C3757"/>
    <w:rsid w:val="2F2D14C0"/>
    <w:rsid w:val="2F762E67"/>
    <w:rsid w:val="2FA554FB"/>
    <w:rsid w:val="2FC71915"/>
    <w:rsid w:val="301D32E3"/>
    <w:rsid w:val="30A005DB"/>
    <w:rsid w:val="30AB6B41"/>
    <w:rsid w:val="30B005FB"/>
    <w:rsid w:val="30CA30C1"/>
    <w:rsid w:val="30DD1709"/>
    <w:rsid w:val="30FF21A4"/>
    <w:rsid w:val="31711667"/>
    <w:rsid w:val="31E3230A"/>
    <w:rsid w:val="32052280"/>
    <w:rsid w:val="322C1F03"/>
    <w:rsid w:val="32387E3B"/>
    <w:rsid w:val="32586854"/>
    <w:rsid w:val="326539C5"/>
    <w:rsid w:val="326E6078"/>
    <w:rsid w:val="32963820"/>
    <w:rsid w:val="32C37969"/>
    <w:rsid w:val="33592B0E"/>
    <w:rsid w:val="3375269B"/>
    <w:rsid w:val="339C6C14"/>
    <w:rsid w:val="33E660E2"/>
    <w:rsid w:val="34120C85"/>
    <w:rsid w:val="34594B05"/>
    <w:rsid w:val="350608B2"/>
    <w:rsid w:val="35A166DD"/>
    <w:rsid w:val="35BC70FA"/>
    <w:rsid w:val="35E6686D"/>
    <w:rsid w:val="36EE7787"/>
    <w:rsid w:val="3733163E"/>
    <w:rsid w:val="37910968"/>
    <w:rsid w:val="379540A7"/>
    <w:rsid w:val="37C64260"/>
    <w:rsid w:val="38683569"/>
    <w:rsid w:val="38871C41"/>
    <w:rsid w:val="38D1110E"/>
    <w:rsid w:val="38E928FC"/>
    <w:rsid w:val="38F8669B"/>
    <w:rsid w:val="39180AEB"/>
    <w:rsid w:val="39A20CFD"/>
    <w:rsid w:val="39AB195F"/>
    <w:rsid w:val="39BF540B"/>
    <w:rsid w:val="39FF3A59"/>
    <w:rsid w:val="3A1E0383"/>
    <w:rsid w:val="3A241712"/>
    <w:rsid w:val="3A9C0D27"/>
    <w:rsid w:val="3AF47336"/>
    <w:rsid w:val="3B243565"/>
    <w:rsid w:val="3B930F98"/>
    <w:rsid w:val="3B984165"/>
    <w:rsid w:val="3BD01B51"/>
    <w:rsid w:val="3C9568F7"/>
    <w:rsid w:val="3CE05DC4"/>
    <w:rsid w:val="3D112788"/>
    <w:rsid w:val="3D536596"/>
    <w:rsid w:val="3D557465"/>
    <w:rsid w:val="3D785FFC"/>
    <w:rsid w:val="3D9646D4"/>
    <w:rsid w:val="3DB35286"/>
    <w:rsid w:val="3DDB658B"/>
    <w:rsid w:val="3E3A0B4B"/>
    <w:rsid w:val="3E6A45E7"/>
    <w:rsid w:val="3E974BA8"/>
    <w:rsid w:val="3F322CC2"/>
    <w:rsid w:val="3F634A8A"/>
    <w:rsid w:val="3FA72BC9"/>
    <w:rsid w:val="3FB11C9A"/>
    <w:rsid w:val="3FB3156E"/>
    <w:rsid w:val="3FCC155E"/>
    <w:rsid w:val="402204A1"/>
    <w:rsid w:val="40416B7A"/>
    <w:rsid w:val="4050500F"/>
    <w:rsid w:val="40B44574"/>
    <w:rsid w:val="40C27286"/>
    <w:rsid w:val="40D20119"/>
    <w:rsid w:val="40F01F89"/>
    <w:rsid w:val="40F167F2"/>
    <w:rsid w:val="415D5C35"/>
    <w:rsid w:val="419E1DAA"/>
    <w:rsid w:val="41D1217F"/>
    <w:rsid w:val="41DD0B24"/>
    <w:rsid w:val="41E7249B"/>
    <w:rsid w:val="4226071D"/>
    <w:rsid w:val="422B5D33"/>
    <w:rsid w:val="425F59DD"/>
    <w:rsid w:val="42784CF1"/>
    <w:rsid w:val="429C453B"/>
    <w:rsid w:val="42BF647C"/>
    <w:rsid w:val="42D737C5"/>
    <w:rsid w:val="42E303BC"/>
    <w:rsid w:val="42F73E67"/>
    <w:rsid w:val="43081BD1"/>
    <w:rsid w:val="433A7537"/>
    <w:rsid w:val="438D657A"/>
    <w:rsid w:val="43943464"/>
    <w:rsid w:val="44006D4C"/>
    <w:rsid w:val="443469F5"/>
    <w:rsid w:val="443A6A91"/>
    <w:rsid w:val="44450C02"/>
    <w:rsid w:val="444D0FC0"/>
    <w:rsid w:val="446058AE"/>
    <w:rsid w:val="44C61D43"/>
    <w:rsid w:val="451505D5"/>
    <w:rsid w:val="4517434D"/>
    <w:rsid w:val="45294080"/>
    <w:rsid w:val="455C6204"/>
    <w:rsid w:val="45663170"/>
    <w:rsid w:val="45667082"/>
    <w:rsid w:val="456D4716"/>
    <w:rsid w:val="46537607"/>
    <w:rsid w:val="465810C1"/>
    <w:rsid w:val="465869CB"/>
    <w:rsid w:val="465B295F"/>
    <w:rsid w:val="46A95479"/>
    <w:rsid w:val="46EB783F"/>
    <w:rsid w:val="4732546E"/>
    <w:rsid w:val="48256D81"/>
    <w:rsid w:val="48961A2D"/>
    <w:rsid w:val="48DB1B35"/>
    <w:rsid w:val="49053E34"/>
    <w:rsid w:val="491017DF"/>
    <w:rsid w:val="4913307D"/>
    <w:rsid w:val="498A77E3"/>
    <w:rsid w:val="49D722FD"/>
    <w:rsid w:val="4ADD1B95"/>
    <w:rsid w:val="4B8D35BB"/>
    <w:rsid w:val="4B983D0E"/>
    <w:rsid w:val="4BDD16C9"/>
    <w:rsid w:val="4C3753DB"/>
    <w:rsid w:val="4C3A6B73"/>
    <w:rsid w:val="4C46376A"/>
    <w:rsid w:val="4C8428D4"/>
    <w:rsid w:val="4C897CEE"/>
    <w:rsid w:val="4C942727"/>
    <w:rsid w:val="4D537EEC"/>
    <w:rsid w:val="4D8B58D8"/>
    <w:rsid w:val="4DC03041"/>
    <w:rsid w:val="4DDA060D"/>
    <w:rsid w:val="4DE17BEE"/>
    <w:rsid w:val="4E635EAF"/>
    <w:rsid w:val="4E8F0A48"/>
    <w:rsid w:val="4EE5726A"/>
    <w:rsid w:val="4F0040A4"/>
    <w:rsid w:val="4F50502B"/>
    <w:rsid w:val="4F960564"/>
    <w:rsid w:val="4FCB46B2"/>
    <w:rsid w:val="4FCC3F86"/>
    <w:rsid w:val="4FD80B7D"/>
    <w:rsid w:val="4FDB1064"/>
    <w:rsid w:val="4FDD43E5"/>
    <w:rsid w:val="50510973"/>
    <w:rsid w:val="505B046E"/>
    <w:rsid w:val="508E3D0E"/>
    <w:rsid w:val="50CE26AB"/>
    <w:rsid w:val="50D36F37"/>
    <w:rsid w:val="50DD28EE"/>
    <w:rsid w:val="50F84517"/>
    <w:rsid w:val="51085492"/>
    <w:rsid w:val="51586419"/>
    <w:rsid w:val="51696CA3"/>
    <w:rsid w:val="52454198"/>
    <w:rsid w:val="52AB1BAD"/>
    <w:rsid w:val="52D03D8D"/>
    <w:rsid w:val="52DC0984"/>
    <w:rsid w:val="52DD4E28"/>
    <w:rsid w:val="52DF2D08"/>
    <w:rsid w:val="52E34176"/>
    <w:rsid w:val="53123DCC"/>
    <w:rsid w:val="536A5F90"/>
    <w:rsid w:val="53764B98"/>
    <w:rsid w:val="5382152B"/>
    <w:rsid w:val="54135D87"/>
    <w:rsid w:val="55AE6607"/>
    <w:rsid w:val="55E95892"/>
    <w:rsid w:val="55FB55C5"/>
    <w:rsid w:val="57C57C38"/>
    <w:rsid w:val="57F66044"/>
    <w:rsid w:val="57FA3D86"/>
    <w:rsid w:val="580E15DF"/>
    <w:rsid w:val="583A178E"/>
    <w:rsid w:val="5862192B"/>
    <w:rsid w:val="587521C0"/>
    <w:rsid w:val="597C6A1D"/>
    <w:rsid w:val="598A3E65"/>
    <w:rsid w:val="598F04FE"/>
    <w:rsid w:val="59C83A10"/>
    <w:rsid w:val="5A132EDD"/>
    <w:rsid w:val="5A141E3D"/>
    <w:rsid w:val="5A7D2A4C"/>
    <w:rsid w:val="5A834B93"/>
    <w:rsid w:val="5B172EA1"/>
    <w:rsid w:val="5B33135D"/>
    <w:rsid w:val="5B9A724B"/>
    <w:rsid w:val="5BAB7F25"/>
    <w:rsid w:val="5C384E7D"/>
    <w:rsid w:val="5CF50FC0"/>
    <w:rsid w:val="5D07484F"/>
    <w:rsid w:val="5D333896"/>
    <w:rsid w:val="5D380EAD"/>
    <w:rsid w:val="5D3F66DF"/>
    <w:rsid w:val="5D7C2C51"/>
    <w:rsid w:val="5D8F31C2"/>
    <w:rsid w:val="5D973E25"/>
    <w:rsid w:val="5EA8237C"/>
    <w:rsid w:val="5EAC4B2A"/>
    <w:rsid w:val="5F0D7D13"/>
    <w:rsid w:val="5F16521D"/>
    <w:rsid w:val="5F527151"/>
    <w:rsid w:val="5F5C0E82"/>
    <w:rsid w:val="5FB84911"/>
    <w:rsid w:val="5FD41360"/>
    <w:rsid w:val="5FE1582B"/>
    <w:rsid w:val="5FE570CA"/>
    <w:rsid w:val="5FF217E7"/>
    <w:rsid w:val="600F2399"/>
    <w:rsid w:val="607E12CC"/>
    <w:rsid w:val="608A1A1F"/>
    <w:rsid w:val="60A52CFD"/>
    <w:rsid w:val="60EB5790"/>
    <w:rsid w:val="6125201A"/>
    <w:rsid w:val="61534507"/>
    <w:rsid w:val="61A15272"/>
    <w:rsid w:val="61D319AF"/>
    <w:rsid w:val="625E3163"/>
    <w:rsid w:val="62AA63A9"/>
    <w:rsid w:val="62AB15AC"/>
    <w:rsid w:val="62C3746A"/>
    <w:rsid w:val="62D6719E"/>
    <w:rsid w:val="63035AB9"/>
    <w:rsid w:val="633F4D43"/>
    <w:rsid w:val="637B092A"/>
    <w:rsid w:val="63D3192F"/>
    <w:rsid w:val="64122457"/>
    <w:rsid w:val="641444D1"/>
    <w:rsid w:val="64A55079"/>
    <w:rsid w:val="651E4E2C"/>
    <w:rsid w:val="656942F9"/>
    <w:rsid w:val="657D7DA4"/>
    <w:rsid w:val="658A426F"/>
    <w:rsid w:val="65921AA2"/>
    <w:rsid w:val="66CD4D5B"/>
    <w:rsid w:val="66F75934"/>
    <w:rsid w:val="670C13E0"/>
    <w:rsid w:val="6760172C"/>
    <w:rsid w:val="677A27ED"/>
    <w:rsid w:val="679F6B95"/>
    <w:rsid w:val="67DA328C"/>
    <w:rsid w:val="68324E76"/>
    <w:rsid w:val="68460921"/>
    <w:rsid w:val="68A37B22"/>
    <w:rsid w:val="691E1EE3"/>
    <w:rsid w:val="69392234"/>
    <w:rsid w:val="69456E2B"/>
    <w:rsid w:val="69466376"/>
    <w:rsid w:val="69470DF5"/>
    <w:rsid w:val="69B81EC6"/>
    <w:rsid w:val="69BC5D2E"/>
    <w:rsid w:val="69E53AB2"/>
    <w:rsid w:val="6A505A87"/>
    <w:rsid w:val="6A611A43"/>
    <w:rsid w:val="6A7554EE"/>
    <w:rsid w:val="6A9526EE"/>
    <w:rsid w:val="6B234F4A"/>
    <w:rsid w:val="6B453112"/>
    <w:rsid w:val="6BCF6E80"/>
    <w:rsid w:val="6C5C0714"/>
    <w:rsid w:val="6C6B0957"/>
    <w:rsid w:val="6C7A1EB6"/>
    <w:rsid w:val="6C847C6A"/>
    <w:rsid w:val="6D250DE4"/>
    <w:rsid w:val="6D7F22BD"/>
    <w:rsid w:val="6E380D0C"/>
    <w:rsid w:val="6E5B49FB"/>
    <w:rsid w:val="6E873A42"/>
    <w:rsid w:val="6E8757F0"/>
    <w:rsid w:val="6E963C85"/>
    <w:rsid w:val="6ECA5685"/>
    <w:rsid w:val="6ED05A3B"/>
    <w:rsid w:val="6ED50C51"/>
    <w:rsid w:val="6EF56BFD"/>
    <w:rsid w:val="6EFA4214"/>
    <w:rsid w:val="6F573414"/>
    <w:rsid w:val="6FF46EB5"/>
    <w:rsid w:val="6FF84BF7"/>
    <w:rsid w:val="700B6F30"/>
    <w:rsid w:val="7073427E"/>
    <w:rsid w:val="70793642"/>
    <w:rsid w:val="707F4A4F"/>
    <w:rsid w:val="710A0EF1"/>
    <w:rsid w:val="71123A97"/>
    <w:rsid w:val="71AE200C"/>
    <w:rsid w:val="71D13952"/>
    <w:rsid w:val="71DB032D"/>
    <w:rsid w:val="71DD7273"/>
    <w:rsid w:val="7205184D"/>
    <w:rsid w:val="72283F92"/>
    <w:rsid w:val="72612E50"/>
    <w:rsid w:val="72B50B7E"/>
    <w:rsid w:val="72D3620F"/>
    <w:rsid w:val="734434CD"/>
    <w:rsid w:val="756B5E6B"/>
    <w:rsid w:val="7581743D"/>
    <w:rsid w:val="75932CCC"/>
    <w:rsid w:val="75CA6137"/>
    <w:rsid w:val="75E55C1E"/>
    <w:rsid w:val="75E654F2"/>
    <w:rsid w:val="761B33ED"/>
    <w:rsid w:val="76816FC9"/>
    <w:rsid w:val="76AF5705"/>
    <w:rsid w:val="7726118A"/>
    <w:rsid w:val="77536BB7"/>
    <w:rsid w:val="77E872FF"/>
    <w:rsid w:val="780D6D66"/>
    <w:rsid w:val="78136621"/>
    <w:rsid w:val="789E20B4"/>
    <w:rsid w:val="78BC050A"/>
    <w:rsid w:val="78DD498A"/>
    <w:rsid w:val="78EB212D"/>
    <w:rsid w:val="79D061A4"/>
    <w:rsid w:val="7A0917AF"/>
    <w:rsid w:val="7A64595B"/>
    <w:rsid w:val="7A996FD7"/>
    <w:rsid w:val="7AAD4830"/>
    <w:rsid w:val="7BA7127F"/>
    <w:rsid w:val="7C372603"/>
    <w:rsid w:val="7C6D071B"/>
    <w:rsid w:val="7C813ECC"/>
    <w:rsid w:val="7CA34400"/>
    <w:rsid w:val="7D006E99"/>
    <w:rsid w:val="7D11554A"/>
    <w:rsid w:val="7D230DDA"/>
    <w:rsid w:val="7DAD5B6F"/>
    <w:rsid w:val="7DC73E5B"/>
    <w:rsid w:val="7DE0456D"/>
    <w:rsid w:val="7E094473"/>
    <w:rsid w:val="7E0B01EB"/>
    <w:rsid w:val="7E1B0BCA"/>
    <w:rsid w:val="7ECD724F"/>
    <w:rsid w:val="7EF01590"/>
    <w:rsid w:val="7F3B7E33"/>
    <w:rsid w:val="7F5B485B"/>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4">
    <w:name w:val="heading 1"/>
    <w:basedOn w:val="1"/>
    <w:next w:val="1"/>
    <w:link w:val="39"/>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40"/>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41"/>
    <w:unhideWhenUsed/>
    <w:qFormat/>
    <w:uiPriority w:val="9"/>
    <w:pPr>
      <w:outlineLvl w:val="2"/>
    </w:pPr>
    <w:rPr>
      <w:b/>
    </w:rPr>
  </w:style>
  <w:style w:type="paragraph" w:styleId="7">
    <w:name w:val="heading 4"/>
    <w:basedOn w:val="1"/>
    <w:next w:val="1"/>
    <w:link w:val="42"/>
    <w:unhideWhenUsed/>
    <w:qFormat/>
    <w:uiPriority w:val="9"/>
    <w:pPr>
      <w:spacing w:after="0" w:line="271" w:lineRule="auto"/>
      <w:outlineLvl w:val="3"/>
    </w:pPr>
    <w:rPr>
      <w:b/>
      <w:bCs/>
      <w:spacing w:val="5"/>
    </w:rPr>
  </w:style>
  <w:style w:type="paragraph" w:styleId="8">
    <w:name w:val="heading 5"/>
    <w:basedOn w:val="1"/>
    <w:next w:val="1"/>
    <w:link w:val="43"/>
    <w:semiHidden/>
    <w:unhideWhenUsed/>
    <w:qFormat/>
    <w:uiPriority w:val="9"/>
    <w:pPr>
      <w:spacing w:after="0" w:line="271" w:lineRule="auto"/>
      <w:outlineLvl w:val="4"/>
    </w:pPr>
    <w:rPr>
      <w:i/>
      <w:iCs/>
    </w:rPr>
  </w:style>
  <w:style w:type="paragraph" w:styleId="9">
    <w:name w:val="heading 6"/>
    <w:basedOn w:val="1"/>
    <w:next w:val="1"/>
    <w:link w:val="44"/>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45"/>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6"/>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7"/>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3">
    <w:name w:val="Normal Indent"/>
    <w:basedOn w:val="1"/>
    <w:next w:val="1"/>
    <w:link w:val="6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annotation text"/>
    <w:basedOn w:val="1"/>
    <w:semiHidden/>
    <w:unhideWhenUsed/>
    <w:qFormat/>
    <w:uiPriority w:val="99"/>
    <w:pPr>
      <w:jc w:val="left"/>
    </w:pPr>
  </w:style>
  <w:style w:type="paragraph" w:styleId="16">
    <w:name w:val="Body Text"/>
    <w:basedOn w:val="1"/>
    <w:next w:val="1"/>
    <w:qFormat/>
    <w:uiPriority w:val="0"/>
    <w:pPr>
      <w:autoSpaceDE w:val="0"/>
      <w:autoSpaceDN w:val="0"/>
      <w:adjustRightInd w:val="0"/>
      <w:spacing w:line="300" w:lineRule="auto"/>
      <w:ind w:firstLine="422" w:firstLineChars="200"/>
    </w:pPr>
    <w:rPr>
      <w:rFonts w:ascii="宋体" w:hAnsi="宋体"/>
      <w:szCs w:val="21"/>
      <w:lang w:val="zh-CN"/>
    </w:rPr>
  </w:style>
  <w:style w:type="paragraph" w:styleId="17">
    <w:name w:val="Body Text Indent"/>
    <w:basedOn w:val="1"/>
    <w:next w:val="1"/>
    <w:link w:val="6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7"/>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81"/>
    <w:semiHidden/>
    <w:unhideWhenUsed/>
    <w:qFormat/>
    <w:uiPriority w:val="99"/>
    <w:pPr>
      <w:spacing w:after="0"/>
    </w:pPr>
    <w:rPr>
      <w:sz w:val="18"/>
      <w:szCs w:val="18"/>
    </w:rPr>
  </w:style>
  <w:style w:type="paragraph" w:styleId="20">
    <w:name w:val="footer"/>
    <w:basedOn w:val="1"/>
    <w:link w:val="38"/>
    <w:unhideWhenUsed/>
    <w:qFormat/>
    <w:uiPriority w:val="99"/>
    <w:pPr>
      <w:tabs>
        <w:tab w:val="center" w:pos="4153"/>
        <w:tab w:val="right" w:pos="8306"/>
      </w:tabs>
      <w:snapToGrid w:val="0"/>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9"/>
    <w:qFormat/>
    <w:uiPriority w:val="11"/>
    <w:rPr>
      <w:i/>
      <w:iCs/>
      <w:smallCaps/>
      <w:spacing w:val="10"/>
      <w:sz w:val="28"/>
      <w:szCs w:val="28"/>
    </w:rPr>
  </w:style>
  <w:style w:type="paragraph" w:styleId="23">
    <w:name w:val="toc 6"/>
    <w:basedOn w:val="1"/>
    <w:next w:val="1"/>
    <w:qFormat/>
    <w:uiPriority w:val="0"/>
    <w:pPr>
      <w:ind w:left="1050"/>
      <w:jc w:val="left"/>
    </w:pPr>
    <w:rPr>
      <w:sz w:val="18"/>
      <w:szCs w:val="18"/>
    </w:rPr>
  </w:style>
  <w:style w:type="paragraph" w:styleId="24">
    <w:name w:val="Title"/>
    <w:basedOn w:val="1"/>
    <w:next w:val="1"/>
    <w:link w:val="48"/>
    <w:qFormat/>
    <w:uiPriority w:val="10"/>
    <w:pPr>
      <w:spacing w:after="300"/>
      <w:contextualSpacing/>
    </w:pPr>
    <w:rPr>
      <w:smallCaps/>
      <w:sz w:val="52"/>
      <w:szCs w:val="52"/>
    </w:rPr>
  </w:style>
  <w:style w:type="paragraph" w:styleId="25">
    <w:name w:val="Body Text First Indent"/>
    <w:basedOn w:val="16"/>
    <w:next w:val="1"/>
    <w:qFormat/>
    <w:uiPriority w:val="0"/>
    <w:pPr>
      <w:autoSpaceDE/>
      <w:autoSpaceDN/>
      <w:adjustRightInd/>
      <w:spacing w:after="120" w:line="240" w:lineRule="auto"/>
      <w:ind w:firstLine="420" w:firstLineChars="100"/>
    </w:pPr>
  </w:style>
  <w:style w:type="table" w:styleId="27">
    <w:name w:val="Table Grid"/>
    <w:basedOn w:val="2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rPr>
      <w:rFonts w:ascii="Arial" w:hAnsi="Arial" w:eastAsia="黑体" w:cs="Arial"/>
      <w:snapToGrid w:val="0"/>
      <w:kern w:val="0"/>
      <w:szCs w:val="21"/>
    </w:rPr>
  </w:style>
  <w:style w:type="character" w:styleId="31">
    <w:name w:val="Emphasis"/>
    <w:qFormat/>
    <w:uiPriority w:val="20"/>
    <w:rPr>
      <w:b/>
      <w:bCs/>
      <w:i/>
      <w:iCs/>
      <w:spacing w:val="10"/>
    </w:rPr>
  </w:style>
  <w:style w:type="character" w:styleId="32">
    <w:name w:val="Hyperlink"/>
    <w:qFormat/>
    <w:uiPriority w:val="99"/>
    <w:rPr>
      <w:rFonts w:ascii="Arial" w:hAnsi="Arial" w:eastAsia="黑体" w:cs="Arial"/>
      <w:snapToGrid w:val="0"/>
      <w:color w:val="000000"/>
      <w:kern w:val="0"/>
      <w:sz w:val="18"/>
      <w:szCs w:val="18"/>
      <w:u w:val="none"/>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7">
    <w:name w:val="页眉 Char"/>
    <w:basedOn w:val="28"/>
    <w:link w:val="21"/>
    <w:qFormat/>
    <w:uiPriority w:val="99"/>
    <w:rPr>
      <w:sz w:val="18"/>
      <w:szCs w:val="18"/>
    </w:rPr>
  </w:style>
  <w:style w:type="character" w:customStyle="1" w:styleId="38">
    <w:name w:val="页脚 Char"/>
    <w:basedOn w:val="28"/>
    <w:link w:val="20"/>
    <w:qFormat/>
    <w:uiPriority w:val="99"/>
    <w:rPr>
      <w:sz w:val="18"/>
      <w:szCs w:val="18"/>
    </w:rPr>
  </w:style>
  <w:style w:type="character" w:customStyle="1" w:styleId="39">
    <w:name w:val="标题 1 Char"/>
    <w:basedOn w:val="28"/>
    <w:link w:val="4"/>
    <w:qFormat/>
    <w:uiPriority w:val="9"/>
    <w:rPr>
      <w:rFonts w:ascii="仿宋_GB2312" w:hAnsi="仿宋" w:eastAsia="仿宋_GB2312"/>
      <w:b/>
      <w:smallCaps/>
      <w:spacing w:val="5"/>
      <w:sz w:val="36"/>
      <w:szCs w:val="36"/>
    </w:rPr>
  </w:style>
  <w:style w:type="character" w:customStyle="1" w:styleId="40">
    <w:name w:val="标题 2 Char"/>
    <w:basedOn w:val="28"/>
    <w:link w:val="5"/>
    <w:qFormat/>
    <w:uiPriority w:val="9"/>
    <w:rPr>
      <w:rFonts w:ascii="仿宋" w:hAnsi="仿宋" w:eastAsia="仿宋"/>
      <w:b/>
      <w:smallCaps/>
      <w:sz w:val="28"/>
      <w:szCs w:val="28"/>
    </w:rPr>
  </w:style>
  <w:style w:type="character" w:customStyle="1" w:styleId="41">
    <w:name w:val="标题 3 Char"/>
    <w:basedOn w:val="28"/>
    <w:link w:val="6"/>
    <w:qFormat/>
    <w:uiPriority w:val="9"/>
    <w:rPr>
      <w:rFonts w:ascii="仿宋" w:hAnsi="仿宋" w:eastAsia="仿宋"/>
      <w:b/>
      <w:sz w:val="24"/>
      <w:szCs w:val="24"/>
    </w:rPr>
  </w:style>
  <w:style w:type="character" w:customStyle="1" w:styleId="42">
    <w:name w:val="标题 4 Char"/>
    <w:basedOn w:val="28"/>
    <w:link w:val="7"/>
    <w:qFormat/>
    <w:uiPriority w:val="9"/>
    <w:rPr>
      <w:b/>
      <w:bCs/>
      <w:spacing w:val="5"/>
      <w:sz w:val="24"/>
      <w:szCs w:val="24"/>
    </w:rPr>
  </w:style>
  <w:style w:type="character" w:customStyle="1" w:styleId="43">
    <w:name w:val="标题 5 Char"/>
    <w:basedOn w:val="28"/>
    <w:link w:val="8"/>
    <w:semiHidden/>
    <w:qFormat/>
    <w:uiPriority w:val="9"/>
    <w:rPr>
      <w:i/>
      <w:iCs/>
      <w:sz w:val="24"/>
      <w:szCs w:val="24"/>
    </w:rPr>
  </w:style>
  <w:style w:type="character" w:customStyle="1" w:styleId="44">
    <w:name w:val="标题 6 Char"/>
    <w:basedOn w:val="28"/>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5">
    <w:name w:val="标题 7 Char"/>
    <w:basedOn w:val="28"/>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6">
    <w:name w:val="标题 8 Char"/>
    <w:basedOn w:val="28"/>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7">
    <w:name w:val="标题 9 Char"/>
    <w:basedOn w:val="28"/>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8">
    <w:name w:val="标题 Char"/>
    <w:basedOn w:val="28"/>
    <w:link w:val="24"/>
    <w:qFormat/>
    <w:uiPriority w:val="10"/>
    <w:rPr>
      <w:smallCaps/>
      <w:sz w:val="52"/>
      <w:szCs w:val="52"/>
    </w:rPr>
  </w:style>
  <w:style w:type="character" w:customStyle="1" w:styleId="49">
    <w:name w:val="副标题 Char"/>
    <w:basedOn w:val="28"/>
    <w:link w:val="22"/>
    <w:qFormat/>
    <w:uiPriority w:val="11"/>
    <w:rPr>
      <w:i/>
      <w:iCs/>
      <w:smallCaps/>
      <w:spacing w:val="10"/>
      <w:sz w:val="28"/>
      <w:szCs w:val="28"/>
    </w:rPr>
  </w:style>
  <w:style w:type="paragraph" w:styleId="50">
    <w:name w:val="No Spacing"/>
    <w:basedOn w:val="1"/>
    <w:link w:val="62"/>
    <w:qFormat/>
    <w:uiPriority w:val="1"/>
    <w:pPr>
      <w:spacing w:after="0"/>
    </w:pPr>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i/>
      <w:iCs/>
    </w:rPr>
  </w:style>
  <w:style w:type="character" w:customStyle="1" w:styleId="53">
    <w:name w:val="引用 Char"/>
    <w:basedOn w:val="28"/>
    <w:link w:val="52"/>
    <w:qFormat/>
    <w:uiPriority w:val="29"/>
    <w:rPr>
      <w:i/>
      <w:iCs/>
    </w:rPr>
  </w:style>
  <w:style w:type="paragraph" w:styleId="54">
    <w:name w:val="Intense Quote"/>
    <w:basedOn w:val="1"/>
    <w:next w:val="1"/>
    <w:link w:val="5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5">
    <w:name w:val="明显引用 Char"/>
    <w:basedOn w:val="28"/>
    <w:link w:val="54"/>
    <w:qFormat/>
    <w:uiPriority w:val="30"/>
    <w:rPr>
      <w:i/>
      <w:iCs/>
    </w:rPr>
  </w:style>
  <w:style w:type="character" w:customStyle="1" w:styleId="56">
    <w:name w:val="Subtle Emphasis"/>
    <w:qFormat/>
    <w:uiPriority w:val="19"/>
    <w:rPr>
      <w:i/>
      <w:iCs/>
    </w:rPr>
  </w:style>
  <w:style w:type="character" w:customStyle="1" w:styleId="57">
    <w:name w:val="Intense Emphasis"/>
    <w:qFormat/>
    <w:uiPriority w:val="21"/>
    <w:rPr>
      <w:b/>
      <w:bCs/>
      <w:i/>
      <w:iCs/>
    </w:rPr>
  </w:style>
  <w:style w:type="character" w:customStyle="1" w:styleId="58">
    <w:name w:val="Subtle Reference"/>
    <w:basedOn w:val="28"/>
    <w:qFormat/>
    <w:uiPriority w:val="31"/>
    <w:rPr>
      <w:smallCaps/>
    </w:rPr>
  </w:style>
  <w:style w:type="character" w:customStyle="1" w:styleId="59">
    <w:name w:val="Intense Reference"/>
    <w:qFormat/>
    <w:uiPriority w:val="32"/>
    <w:rPr>
      <w:b/>
      <w:bCs/>
      <w:smallCaps/>
    </w:rPr>
  </w:style>
  <w:style w:type="character" w:customStyle="1" w:styleId="60">
    <w:name w:val="Book Title"/>
    <w:basedOn w:val="28"/>
    <w:qFormat/>
    <w:uiPriority w:val="33"/>
    <w:rPr>
      <w:i/>
      <w:iCs/>
      <w:smallCaps/>
      <w:spacing w:val="5"/>
    </w:rPr>
  </w:style>
  <w:style w:type="paragraph" w:customStyle="1" w:styleId="61">
    <w:name w:val="TOC Heading"/>
    <w:basedOn w:val="4"/>
    <w:next w:val="1"/>
    <w:semiHidden/>
    <w:unhideWhenUsed/>
    <w:qFormat/>
    <w:uiPriority w:val="39"/>
    <w:pPr>
      <w:outlineLvl w:val="9"/>
    </w:pPr>
    <w:rPr>
      <w:lang w:bidi="en-US"/>
    </w:rPr>
  </w:style>
  <w:style w:type="character" w:customStyle="1" w:styleId="62">
    <w:name w:val="无间隔 Char"/>
    <w:basedOn w:val="28"/>
    <w:link w:val="50"/>
    <w:qFormat/>
    <w:uiPriority w:val="1"/>
  </w:style>
  <w:style w:type="paragraph" w:customStyle="1" w:styleId="63">
    <w:name w:val="Personal Name"/>
    <w:basedOn w:val="24"/>
    <w:qFormat/>
    <w:uiPriority w:val="0"/>
    <w:rPr>
      <w:b/>
      <w:caps/>
      <w:color w:val="000000"/>
      <w:sz w:val="28"/>
      <w:szCs w:val="28"/>
    </w:rPr>
  </w:style>
  <w:style w:type="character" w:customStyle="1" w:styleId="64">
    <w:name w:val="正文2 Char Char"/>
    <w:link w:val="65"/>
    <w:qFormat/>
    <w:uiPriority w:val="0"/>
    <w:rPr>
      <w:rFonts w:ascii="仿宋" w:hAnsi="仿宋" w:eastAsia="仿宋"/>
      <w:sz w:val="24"/>
      <w:szCs w:val="24"/>
    </w:rPr>
  </w:style>
  <w:style w:type="paragraph" w:customStyle="1" w:styleId="65">
    <w:name w:val="正文2"/>
    <w:basedOn w:val="1"/>
    <w:link w:val="64"/>
    <w:qFormat/>
    <w:uiPriority w:val="0"/>
    <w:pPr>
      <w:spacing w:line="360" w:lineRule="auto"/>
    </w:pPr>
  </w:style>
  <w:style w:type="character" w:customStyle="1" w:styleId="66">
    <w:name w:val="正文缩进 Char"/>
    <w:link w:val="13"/>
    <w:qFormat/>
    <w:uiPriority w:val="0"/>
    <w:rPr>
      <w:rFonts w:ascii="宋体" w:hAnsi="Times New Roman" w:eastAsia="宋体" w:cs="Times New Roman"/>
      <w:snapToGrid w:val="0"/>
      <w:color w:val="000000"/>
      <w:kern w:val="28"/>
      <w:sz w:val="28"/>
      <w:szCs w:val="20"/>
    </w:rPr>
  </w:style>
  <w:style w:type="character" w:customStyle="1" w:styleId="67">
    <w:name w:val="纯文本 Char"/>
    <w:basedOn w:val="28"/>
    <w:link w:val="18"/>
    <w:qFormat/>
    <w:uiPriority w:val="0"/>
    <w:rPr>
      <w:rFonts w:ascii="宋体" w:hAnsi="Courier New" w:eastAsia="宋体" w:cs="Arial"/>
      <w:snapToGrid w:val="0"/>
      <w:kern w:val="2"/>
      <w:sz w:val="21"/>
      <w:szCs w:val="21"/>
    </w:rPr>
  </w:style>
  <w:style w:type="character" w:customStyle="1" w:styleId="68">
    <w:name w:val="正文文本缩进 Char"/>
    <w:basedOn w:val="28"/>
    <w:semiHidden/>
    <w:qFormat/>
    <w:uiPriority w:val="99"/>
    <w:rPr>
      <w:rFonts w:ascii="仿宋" w:hAnsi="仿宋" w:eastAsia="仿宋"/>
      <w:sz w:val="24"/>
      <w:szCs w:val="24"/>
    </w:rPr>
  </w:style>
  <w:style w:type="character" w:customStyle="1" w:styleId="69">
    <w:name w:val="正文文本缩进 Char1"/>
    <w:link w:val="17"/>
    <w:qFormat/>
    <w:uiPriority w:val="0"/>
    <w:rPr>
      <w:rFonts w:ascii="宋体" w:hAnsi="宋体" w:eastAsia="宋体" w:cs="Times New Roman"/>
      <w:kern w:val="2"/>
      <w:sz w:val="24"/>
      <w:szCs w:val="24"/>
    </w:rPr>
  </w:style>
  <w:style w:type="character" w:customStyle="1" w:styleId="70">
    <w:name w:val="标题 Char2"/>
    <w:qFormat/>
    <w:uiPriority w:val="10"/>
    <w:rPr>
      <w:b/>
      <w:sz w:val="24"/>
      <w:lang w:val="en-GB"/>
    </w:rPr>
  </w:style>
  <w:style w:type="character" w:customStyle="1" w:styleId="71">
    <w:name w:val="纯文本 Char1"/>
    <w:link w:val="72"/>
    <w:qFormat/>
    <w:uiPriority w:val="0"/>
    <w:rPr>
      <w:rFonts w:ascii="宋体" w:hAnsi="Courier New"/>
    </w:rPr>
  </w:style>
  <w:style w:type="paragraph" w:customStyle="1" w:styleId="72">
    <w:name w:val="纯文本1"/>
    <w:basedOn w:val="1"/>
    <w:link w:val="71"/>
    <w:qFormat/>
    <w:uiPriority w:val="0"/>
    <w:pPr>
      <w:widowControl w:val="0"/>
      <w:spacing w:after="0"/>
      <w:jc w:val="both"/>
    </w:pPr>
    <w:rPr>
      <w:rFonts w:ascii="宋体" w:hAnsi="Courier New" w:eastAsiaTheme="majorEastAsia"/>
      <w:sz w:val="22"/>
      <w:szCs w:val="22"/>
    </w:rPr>
  </w:style>
  <w:style w:type="character" w:customStyle="1" w:styleId="73">
    <w:name w:val="页脚 Char2"/>
    <w:qFormat/>
    <w:locked/>
    <w:uiPriority w:val="99"/>
    <w:rPr>
      <w:kern w:val="2"/>
      <w:sz w:val="18"/>
      <w:szCs w:val="18"/>
    </w:rPr>
  </w:style>
  <w:style w:type="character" w:customStyle="1" w:styleId="74">
    <w:name w:val="页眉 Char2"/>
    <w:qFormat/>
    <w:uiPriority w:val="99"/>
    <w:rPr>
      <w:kern w:val="2"/>
      <w:sz w:val="18"/>
      <w:szCs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6">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uiPriority w:val="0"/>
    <w:rPr>
      <w:rFonts w:ascii="宋体" w:hAnsi="Courier New"/>
      <w:kern w:val="2"/>
      <w:sz w:val="21"/>
      <w:szCs w:val="21"/>
    </w:rPr>
  </w:style>
  <w:style w:type="paragraph" w:customStyle="1" w:styleId="79">
    <w:name w:val="纯文本_0_0"/>
    <w:basedOn w:val="1"/>
    <w:link w:val="78"/>
    <w:qFormat/>
    <w:uiPriority w:val="0"/>
    <w:pPr>
      <w:widowControl w:val="0"/>
      <w:spacing w:after="0"/>
      <w:jc w:val="both"/>
    </w:pPr>
    <w:rPr>
      <w:rFonts w:ascii="宋体" w:hAnsi="Courier New" w:eastAsiaTheme="majorEastAsia"/>
      <w:kern w:val="2"/>
      <w:sz w:val="21"/>
      <w:szCs w:val="21"/>
    </w:rPr>
  </w:style>
  <w:style w:type="paragraph" w:customStyle="1" w:styleId="8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1">
    <w:name w:val="批注框文本 Char"/>
    <w:basedOn w:val="28"/>
    <w:link w:val="19"/>
    <w:semiHidden/>
    <w:qFormat/>
    <w:uiPriority w:val="99"/>
    <w:rPr>
      <w:rFonts w:ascii="仿宋" w:hAnsi="仿宋" w:eastAsia="仿宋"/>
      <w:sz w:val="18"/>
      <w:szCs w:val="18"/>
    </w:rPr>
  </w:style>
  <w:style w:type="character" w:customStyle="1" w:styleId="82">
    <w:name w:val="不明显强调1"/>
    <w:qFormat/>
    <w:uiPriority w:val="19"/>
    <w:rPr>
      <w:i/>
      <w:iCs/>
    </w:rPr>
  </w:style>
  <w:style w:type="paragraph" w:customStyle="1" w:styleId="83">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1844C-0EB1-44B5-8932-1F98C212E515}">
  <ds:schemaRefs/>
</ds:datastoreItem>
</file>

<file path=docProps/app.xml><?xml version="1.0" encoding="utf-8"?>
<Properties xmlns="http://schemas.openxmlformats.org/officeDocument/2006/extended-properties" xmlns:vt="http://schemas.openxmlformats.org/officeDocument/2006/docPropsVTypes">
  <Template>Normal</Template>
  <Pages>89</Pages>
  <Words>43298</Words>
  <Characters>45827</Characters>
  <Lines>305</Lines>
  <Paragraphs>86</Paragraphs>
  <TotalTime>57</TotalTime>
  <ScaleCrop>false</ScaleCrop>
  <LinksUpToDate>false</LinksUpToDate>
  <CharactersWithSpaces>51113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Nirvana</cp:lastModifiedBy>
  <cp:lastPrinted>2022-06-10T09:02:00Z</cp:lastPrinted>
  <dcterms:modified xsi:type="dcterms:W3CDTF">2022-10-31T05:22:09Z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DB300C771EDB47098ED578A1649AA1F4</vt:lpwstr>
  </property>
</Properties>
</file>