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50" w:rsidRDefault="007E357A">
      <w:pPr>
        <w:widowControl/>
        <w:spacing w:before="100" w:beforeAutospacing="1" w:after="100" w:afterAutospacing="1"/>
        <w:jc w:val="left"/>
        <w:outlineLvl w:val="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关于浙大城市学院服务器设备采购项目招标文件的更正延期公告</w:t>
      </w:r>
    </w:p>
    <w:p w:rsidR="00070250" w:rsidRDefault="007E357A">
      <w:pPr>
        <w:spacing w:line="460" w:lineRule="exact"/>
        <w:outlineLvl w:val="0"/>
        <w:rPr>
          <w:rFonts w:ascii="宋体" w:hAnsi="宋体"/>
          <w:b/>
          <w:sz w:val="24"/>
        </w:rPr>
      </w:pPr>
      <w:proofErr w:type="gramStart"/>
      <w:r>
        <w:rPr>
          <w:rFonts w:ascii="宋体" w:hAnsi="宋体" w:hint="eastAsia"/>
          <w:b/>
          <w:sz w:val="24"/>
        </w:rPr>
        <w:t>一</w:t>
      </w:r>
      <w:proofErr w:type="gramEnd"/>
      <w:r>
        <w:rPr>
          <w:rFonts w:ascii="宋体" w:hAnsi="宋体" w:hint="eastAsia"/>
          <w:b/>
          <w:sz w:val="24"/>
        </w:rPr>
        <w:t>．采购人名称：</w:t>
      </w:r>
    </w:p>
    <w:p w:rsidR="00070250" w:rsidRDefault="007E357A">
      <w:pPr>
        <w:spacing w:line="460" w:lineRule="exact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浙大城市学院</w:t>
      </w:r>
    </w:p>
    <w:p w:rsidR="00070250" w:rsidRDefault="007E357A">
      <w:pPr>
        <w:spacing w:line="460" w:lineRule="exact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二．采购项目名称：</w:t>
      </w:r>
    </w:p>
    <w:p w:rsidR="00070250" w:rsidRDefault="007E357A">
      <w:pPr>
        <w:spacing w:line="460" w:lineRule="exact"/>
        <w:ind w:firstLineChars="200" w:firstLine="480"/>
        <w:outlineLvl w:val="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hint="eastAsia"/>
          <w:sz w:val="24"/>
        </w:rPr>
        <w:t>浙大城市学院服务器采购项目</w:t>
      </w:r>
    </w:p>
    <w:p w:rsidR="00070250" w:rsidRDefault="007E357A">
      <w:pPr>
        <w:spacing w:line="460" w:lineRule="exact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三．采购项目编号：</w:t>
      </w:r>
    </w:p>
    <w:p w:rsidR="00070250" w:rsidRDefault="007E357A">
      <w:pPr>
        <w:spacing w:line="460" w:lineRule="exact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HZZFCG-2022-201</w:t>
      </w:r>
    </w:p>
    <w:p w:rsidR="00070250" w:rsidRDefault="007E357A">
      <w:pPr>
        <w:spacing w:line="460" w:lineRule="exact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四．原采购公告发布日期：</w:t>
      </w:r>
    </w:p>
    <w:p w:rsidR="00070250" w:rsidRDefault="007E357A">
      <w:pPr>
        <w:spacing w:line="460" w:lineRule="exact"/>
        <w:ind w:firstLineChars="225" w:firstLine="540"/>
        <w:rPr>
          <w:rFonts w:ascii="宋体" w:hAnsi="宋体"/>
          <w:sz w:val="24"/>
        </w:rPr>
      </w:pPr>
      <w:bookmarkStart w:id="0" w:name="B08_公告首次发布日期"/>
      <w:r>
        <w:rPr>
          <w:rFonts w:ascii="宋体" w:hAnsi="宋体" w:hint="eastAsia"/>
          <w:sz w:val="24"/>
        </w:rPr>
        <w:t>202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年10月19日</w:t>
      </w:r>
      <w:bookmarkEnd w:id="0"/>
    </w:p>
    <w:p w:rsidR="00070250" w:rsidRDefault="007E357A">
      <w:pPr>
        <w:spacing w:line="460" w:lineRule="exact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五．更正理由：</w:t>
      </w:r>
    </w:p>
    <w:p w:rsidR="00070250" w:rsidRDefault="007E357A">
      <w:pPr>
        <w:spacing w:line="460" w:lineRule="exact"/>
        <w:ind w:firstLineChars="225" w:firstLine="540"/>
        <w:rPr>
          <w:rFonts w:ascii="宋体" w:hAnsi="宋体"/>
          <w:sz w:val="24"/>
        </w:rPr>
      </w:pPr>
      <w:bookmarkStart w:id="1" w:name="B09_更正理由"/>
      <w:r>
        <w:rPr>
          <w:rFonts w:ascii="宋体" w:hAnsi="宋体" w:hint="eastAsia"/>
          <w:sz w:val="24"/>
        </w:rPr>
        <w:t>根据采购人要求及政府采购相关规定，现就“浙大城市学院服务器采购项目”招标文件（编号：HZZFCG-2022-201）有关内容进行更正</w:t>
      </w:r>
      <w:bookmarkEnd w:id="1"/>
      <w:r>
        <w:rPr>
          <w:rFonts w:ascii="宋体" w:hAnsi="宋体" w:hint="eastAsia"/>
          <w:sz w:val="24"/>
        </w:rPr>
        <w:t>。</w:t>
      </w:r>
    </w:p>
    <w:p w:rsidR="00070250" w:rsidRDefault="007E357A">
      <w:pPr>
        <w:spacing w:line="460" w:lineRule="exact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六．更正事项（</w:t>
      </w:r>
      <w:r>
        <w:rPr>
          <w:rFonts w:ascii="宋体" w:hAnsi="宋体" w:hint="eastAsia"/>
          <w:b/>
          <w:color w:val="FF0000"/>
          <w:sz w:val="24"/>
        </w:rPr>
        <w:t>红色字的内容为涉及更正的内容，其他内容无更正</w:t>
      </w:r>
      <w:r>
        <w:rPr>
          <w:rFonts w:ascii="宋体" w:hAnsi="宋体" w:hint="eastAsia"/>
          <w:b/>
          <w:sz w:val="24"/>
        </w:rPr>
        <w:t>）：</w:t>
      </w:r>
    </w:p>
    <w:tbl>
      <w:tblPr>
        <w:tblW w:w="5451" w:type="pct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1805"/>
        <w:gridCol w:w="3402"/>
        <w:gridCol w:w="3567"/>
      </w:tblGrid>
      <w:tr w:rsidR="00070250" w:rsidTr="002C30FA">
        <w:trPr>
          <w:jc w:val="center"/>
        </w:trPr>
        <w:tc>
          <w:tcPr>
            <w:tcW w:w="329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961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更正项</w:t>
            </w:r>
          </w:p>
        </w:tc>
        <w:tc>
          <w:tcPr>
            <w:tcW w:w="1811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更正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前内容</w:t>
            </w:r>
            <w:proofErr w:type="gramEnd"/>
          </w:p>
        </w:tc>
        <w:tc>
          <w:tcPr>
            <w:tcW w:w="1899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更正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后内容</w:t>
            </w:r>
            <w:proofErr w:type="gramEnd"/>
          </w:p>
        </w:tc>
      </w:tr>
      <w:tr w:rsidR="00070250" w:rsidTr="002C30FA">
        <w:trPr>
          <w:jc w:val="center"/>
        </w:trPr>
        <w:tc>
          <w:tcPr>
            <w:tcW w:w="329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61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第三部分采购需求</w:t>
            </w:r>
          </w:p>
          <w:p w:rsidR="00070250" w:rsidRDefault="007E357A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七、技术要求</w:t>
            </w:r>
          </w:p>
          <w:p w:rsidR="00070250" w:rsidRDefault="007E35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（一）CPU计算节点第4条</w:t>
            </w:r>
          </w:p>
          <w:p w:rsidR="00070250" w:rsidRDefault="007E357A">
            <w:pPr>
              <w:numPr>
                <w:ilvl w:val="255"/>
                <w:numId w:val="0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（四）视频编解码服务器第4条</w:t>
            </w:r>
          </w:p>
          <w:p w:rsidR="00070250" w:rsidRDefault="007E357A">
            <w:pPr>
              <w:numPr>
                <w:ilvl w:val="255"/>
                <w:numId w:val="0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（商务技术偏离表同样修改）</w:t>
            </w:r>
          </w:p>
          <w:p w:rsidR="00070250" w:rsidRDefault="00070250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11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本地存储：可支持最大36个2.5寸小盘或20个3.5寸大盘硬盘槽位，支持SAS/SATA/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NVMe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接口，</w:t>
            </w:r>
            <w:r>
              <w:rPr>
                <w:rFonts w:ascii="宋体" w:hAnsi="宋体" w:cs="宋体" w:hint="eastAsia"/>
                <w:strike/>
                <w:color w:val="FF0000"/>
                <w:kern w:val="0"/>
                <w:szCs w:val="21"/>
              </w:rPr>
              <w:t>支持2个后置基于SATA总线的M.2 SSD硬盘，支持2个内置SD存储器，支持2个后置短RSSD存储模块；</w:t>
            </w:r>
            <w:r>
              <w:rPr>
                <w:rFonts w:ascii="宋体" w:hAnsi="宋体" w:cs="宋体" w:hint="eastAsia"/>
                <w:kern w:val="0"/>
                <w:szCs w:val="21"/>
              </w:rPr>
              <w:t>本次配置≥2块480G企业级SSD硬盘；≥3块4TB企业级SATA HDD硬盘；支持热插拔</w:t>
            </w:r>
            <w:bookmarkStart w:id="2" w:name="_GoBack"/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070250" w:rsidRDefault="007E357A">
            <w:pPr>
              <w:jc w:val="left"/>
              <w:rPr>
                <w:rFonts w:ascii="宋体" w:hAnsi="宋体" w:cs="宋体"/>
                <w:strike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strike/>
                <w:color w:val="FF0000"/>
                <w:kern w:val="0"/>
                <w:szCs w:val="21"/>
              </w:rPr>
              <w:t>1、内置支持2个内置TF卡；</w:t>
            </w:r>
          </w:p>
          <w:p w:rsidR="00070250" w:rsidRDefault="007E357A">
            <w:pPr>
              <w:jc w:val="left"/>
              <w:rPr>
                <w:rFonts w:ascii="宋体" w:hAnsi="宋体" w:cs="宋体"/>
                <w:strike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strike/>
                <w:color w:val="FF0000"/>
                <w:kern w:val="0"/>
                <w:szCs w:val="21"/>
              </w:rPr>
              <w:t>2、后置支持2个SATA M.2/E1.s硬盘；</w:t>
            </w:r>
          </w:p>
          <w:p w:rsidR="00070250" w:rsidRDefault="007E357A">
            <w:pPr>
              <w:jc w:val="left"/>
              <w:rPr>
                <w:rFonts w:ascii="宋体" w:hAnsi="宋体" w:cs="宋体"/>
                <w:strike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strike/>
                <w:color w:val="FF0000"/>
                <w:kern w:val="0"/>
                <w:szCs w:val="21"/>
              </w:rPr>
              <w:t xml:space="preserve">3、最大支持28个U.2 </w:t>
            </w:r>
            <w:proofErr w:type="spellStart"/>
            <w:r>
              <w:rPr>
                <w:rFonts w:ascii="宋体" w:hAnsi="宋体" w:cs="宋体" w:hint="eastAsia"/>
                <w:strike/>
                <w:color w:val="FF0000"/>
                <w:kern w:val="0"/>
                <w:szCs w:val="21"/>
              </w:rPr>
              <w:t>NVMe</w:t>
            </w:r>
            <w:proofErr w:type="spellEnd"/>
            <w:r>
              <w:rPr>
                <w:rFonts w:ascii="宋体" w:hAnsi="宋体" w:cs="宋体" w:hint="eastAsia"/>
                <w:strike/>
                <w:color w:val="FF0000"/>
                <w:kern w:val="0"/>
                <w:szCs w:val="21"/>
              </w:rPr>
              <w:t>硬盘；</w:t>
            </w:r>
          </w:p>
          <w:p w:rsidR="00070250" w:rsidRDefault="007E357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以上提供投标设备的产品彩页或产品手册等证明材料。</w:t>
            </w:r>
          </w:p>
        </w:tc>
        <w:tc>
          <w:tcPr>
            <w:tcW w:w="1899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本地存储：可支持最大36个2.5寸小盘或20个3.5寸大盘硬盘槽位，支持SAS/SATA/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NVMe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接口；本次配置≥2块480G企业级SSD硬盘；≥3块4TB企业级SATA HDD硬盘；支持热插拔；</w:t>
            </w:r>
          </w:p>
          <w:p w:rsidR="00070250" w:rsidRDefault="007E357A"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以上提供投标设备的产品彩页或产品手册等证明材料。</w:t>
            </w:r>
          </w:p>
        </w:tc>
      </w:tr>
      <w:tr w:rsidR="00070250" w:rsidTr="002C30FA">
        <w:trPr>
          <w:jc w:val="center"/>
        </w:trPr>
        <w:tc>
          <w:tcPr>
            <w:tcW w:w="329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961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第三部分采购需求</w:t>
            </w:r>
          </w:p>
          <w:p w:rsidR="00070250" w:rsidRDefault="007E357A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七、技术要求</w:t>
            </w:r>
          </w:p>
          <w:p w:rsidR="00070250" w:rsidRDefault="007E357A">
            <w:pPr>
              <w:widowControl/>
              <w:spacing w:after="15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（一）CPU计算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节点第13条</w:t>
            </w:r>
          </w:p>
          <w:p w:rsidR="00070250" w:rsidRDefault="007E357A">
            <w:pPr>
              <w:widowControl/>
              <w:spacing w:after="15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（二）GPU推理服务器第15条</w:t>
            </w:r>
          </w:p>
          <w:p w:rsidR="00070250" w:rsidRDefault="007E357A">
            <w:pPr>
              <w:widowControl/>
              <w:spacing w:after="15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（三）GPU训练服务器第13条</w:t>
            </w:r>
          </w:p>
          <w:p w:rsidR="00070250" w:rsidRDefault="007E357A">
            <w:pPr>
              <w:widowControl/>
              <w:spacing w:after="15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（四）视频编解码服务器第13条</w:t>
            </w:r>
            <w:r>
              <w:rPr>
                <w:rFonts w:ascii="宋体" w:hAnsi="宋体" w:cs="宋体" w:hint="eastAsia"/>
                <w:szCs w:val="21"/>
              </w:rPr>
              <w:tab/>
            </w:r>
          </w:p>
          <w:p w:rsidR="00070250" w:rsidRDefault="007E357A">
            <w:pPr>
              <w:numPr>
                <w:ilvl w:val="255"/>
                <w:numId w:val="0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（商务技术偏离表同样修改）</w:t>
            </w:r>
          </w:p>
        </w:tc>
        <w:tc>
          <w:tcPr>
            <w:tcW w:w="1811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trike/>
                <w:color w:val="FF0000"/>
              </w:rPr>
              <w:lastRenderedPageBreak/>
              <w:t>主机安全加固：支持服务器同品牌系统安全加固软件，支持主机操作系统安全加固功能模块扩展，从系统内核层对服务器进</w:t>
            </w:r>
            <w:r w:rsidR="00F3466D">
              <w:rPr>
                <w:rFonts w:hint="eastAsia"/>
                <w:strike/>
                <w:color w:val="FF0000"/>
              </w:rPr>
              <w:t>三</w:t>
            </w:r>
            <w:r>
              <w:rPr>
                <w:rFonts w:hint="eastAsia"/>
                <w:strike/>
                <w:color w:val="FF0000"/>
              </w:rPr>
              <w:t>行安全加</w:t>
            </w:r>
            <w:r>
              <w:rPr>
                <w:rFonts w:hint="eastAsia"/>
                <w:strike/>
                <w:color w:val="FF0000"/>
              </w:rPr>
              <w:lastRenderedPageBreak/>
              <w:t>固规则配置。具体功能包括：支持注册表强制访问控制，进程强制访问控制，服务强制访问控制，文件完整性检测，服务完整性检测，支持系统自我保护，防止文件不被恶意修改和删除，实现分权管理模式，日志管理等</w:t>
            </w:r>
            <w:r>
              <w:rPr>
                <w:rFonts w:hint="eastAsia"/>
                <w:strike/>
                <w:color w:val="FF0000"/>
              </w:rPr>
              <w:t>;</w:t>
            </w:r>
            <w:r>
              <w:rPr>
                <w:rFonts w:hint="eastAsia"/>
                <w:strike/>
                <w:color w:val="FF0000"/>
              </w:rPr>
              <w:t>符合公安部等级保护三级技术要求。提升操作系统的安全等级，免除因操作系统漏洞带来的安全问题，操作系统可免疫已知、未知病毒及黑客的攻击。支持</w:t>
            </w:r>
            <w:r>
              <w:rPr>
                <w:rFonts w:hint="eastAsia"/>
                <w:strike/>
                <w:color w:val="FF0000"/>
              </w:rPr>
              <w:t>Windows</w:t>
            </w:r>
            <w:r>
              <w:rPr>
                <w:rFonts w:hint="eastAsia"/>
                <w:strike/>
                <w:color w:val="FF0000"/>
              </w:rPr>
              <w:t>、</w:t>
            </w:r>
            <w:proofErr w:type="spellStart"/>
            <w:r>
              <w:rPr>
                <w:rFonts w:hint="eastAsia"/>
                <w:strike/>
                <w:color w:val="FF0000"/>
              </w:rPr>
              <w:t>linux</w:t>
            </w:r>
            <w:proofErr w:type="spellEnd"/>
            <w:r>
              <w:rPr>
                <w:rFonts w:hint="eastAsia"/>
                <w:strike/>
                <w:color w:val="FF0000"/>
              </w:rPr>
              <w:t>、</w:t>
            </w:r>
            <w:r>
              <w:rPr>
                <w:rFonts w:hint="eastAsia"/>
                <w:strike/>
                <w:color w:val="FF0000"/>
              </w:rPr>
              <w:t>AIX</w:t>
            </w:r>
            <w:r>
              <w:rPr>
                <w:rFonts w:hint="eastAsia"/>
                <w:strike/>
                <w:color w:val="FF0000"/>
              </w:rPr>
              <w:t>、</w:t>
            </w:r>
            <w:r>
              <w:rPr>
                <w:rFonts w:hint="eastAsia"/>
                <w:strike/>
                <w:color w:val="FF0000"/>
              </w:rPr>
              <w:t>Solaris</w:t>
            </w:r>
            <w:r>
              <w:rPr>
                <w:rFonts w:hint="eastAsia"/>
                <w:strike/>
                <w:color w:val="FF0000"/>
              </w:rPr>
              <w:t>等主流操作系统平台；提供证明材料。</w:t>
            </w:r>
          </w:p>
        </w:tc>
        <w:tc>
          <w:tcPr>
            <w:tcW w:w="1899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/>
                <w:color w:val="FF0000"/>
              </w:rPr>
              <w:lastRenderedPageBreak/>
              <w:t>本项删除</w:t>
            </w:r>
          </w:p>
        </w:tc>
      </w:tr>
      <w:tr w:rsidR="00070250" w:rsidTr="002C30FA">
        <w:trPr>
          <w:jc w:val="center"/>
        </w:trPr>
        <w:tc>
          <w:tcPr>
            <w:tcW w:w="329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3</w:t>
            </w:r>
          </w:p>
        </w:tc>
        <w:tc>
          <w:tcPr>
            <w:tcW w:w="961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第三部分采购需求</w:t>
            </w:r>
          </w:p>
          <w:p w:rsidR="00070250" w:rsidRDefault="007E357A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七、技术要求</w:t>
            </w:r>
          </w:p>
          <w:p w:rsidR="00070250" w:rsidRDefault="007E357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（二）GPU推理服务器第17条</w:t>
            </w:r>
          </w:p>
          <w:p w:rsidR="00070250" w:rsidRDefault="007E357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（三）GPU训练服务器第15条</w:t>
            </w:r>
          </w:p>
          <w:p w:rsidR="00070250" w:rsidRDefault="007E357A">
            <w:pPr>
              <w:numPr>
                <w:ilvl w:val="255"/>
                <w:numId w:val="0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（商务技术偏离表同样修改）</w:t>
            </w:r>
          </w:p>
          <w:p w:rsidR="00070250" w:rsidRDefault="00070250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11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jc w:val="left"/>
            </w:pPr>
            <w:r>
              <w:rPr>
                <w:rFonts w:hint="eastAsia"/>
              </w:rPr>
              <w:t>配置人工智能推理平台资源管理功能模块，至少支持以下功能：</w:t>
            </w:r>
          </w:p>
          <w:p w:rsidR="00070250" w:rsidRDefault="007E357A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、支持</w:t>
            </w:r>
            <w:proofErr w:type="spellStart"/>
            <w:r>
              <w:rPr>
                <w:rFonts w:hint="eastAsia"/>
                <w:strike/>
                <w:color w:val="FF0000"/>
              </w:rPr>
              <w:t>tensorflow</w:t>
            </w:r>
            <w:proofErr w:type="spellEnd"/>
            <w:r>
              <w:rPr>
                <w:rFonts w:hint="eastAsia"/>
                <w:strike/>
                <w:color w:val="FF0000"/>
              </w:rPr>
              <w:t>、</w:t>
            </w:r>
            <w:proofErr w:type="spellStart"/>
            <w:r>
              <w:rPr>
                <w:rFonts w:hint="eastAsia"/>
                <w:strike/>
                <w:color w:val="FF0000"/>
              </w:rPr>
              <w:t>mxnet</w:t>
            </w:r>
            <w:proofErr w:type="spellEnd"/>
            <w:r>
              <w:rPr>
                <w:rFonts w:hint="eastAsia"/>
                <w:strike/>
                <w:color w:val="FF0000"/>
              </w:rPr>
              <w:t>、</w:t>
            </w:r>
            <w:proofErr w:type="spellStart"/>
            <w:r>
              <w:rPr>
                <w:rFonts w:hint="eastAsia"/>
                <w:strike/>
                <w:color w:val="FF0000"/>
              </w:rPr>
              <w:t>pytorch</w:t>
            </w:r>
            <w:proofErr w:type="spellEnd"/>
            <w:r>
              <w:rPr>
                <w:rFonts w:hint="eastAsia"/>
                <w:strike/>
                <w:color w:val="FF0000"/>
              </w:rPr>
              <w:t>、</w:t>
            </w:r>
            <w:proofErr w:type="spellStart"/>
            <w:r>
              <w:rPr>
                <w:rFonts w:hint="eastAsia"/>
                <w:strike/>
                <w:color w:val="FF0000"/>
              </w:rPr>
              <w:t>caffe</w:t>
            </w:r>
            <w:proofErr w:type="spellEnd"/>
            <w:r>
              <w:rPr>
                <w:rFonts w:hint="eastAsia"/>
                <w:strike/>
                <w:color w:val="FF0000"/>
              </w:rPr>
              <w:t>等</w:t>
            </w:r>
            <w:r>
              <w:rPr>
                <w:rFonts w:hint="eastAsia"/>
              </w:rPr>
              <w:t>主流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框架；</w:t>
            </w:r>
          </w:p>
          <w:p w:rsidR="00070250" w:rsidRDefault="007E357A">
            <w:pPr>
              <w:jc w:val="left"/>
              <w:rPr>
                <w:strike/>
                <w:color w:val="FF0000"/>
              </w:rPr>
            </w:pPr>
            <w:r>
              <w:rPr>
                <w:rFonts w:hint="eastAsia"/>
                <w:strike/>
                <w:color w:val="FF0000"/>
              </w:rPr>
              <w:t>2</w:t>
            </w:r>
            <w:r>
              <w:rPr>
                <w:rFonts w:hint="eastAsia"/>
                <w:strike/>
                <w:color w:val="FF0000"/>
              </w:rPr>
              <w:t>、支持用户在开发和训练时将样本数据预加载到计算节点，开发用户可以指定数据（个人</w:t>
            </w:r>
            <w:r>
              <w:rPr>
                <w:rFonts w:hint="eastAsia"/>
                <w:strike/>
                <w:color w:val="FF0000"/>
              </w:rPr>
              <w:t>/</w:t>
            </w:r>
            <w:r>
              <w:rPr>
                <w:rFonts w:hint="eastAsia"/>
                <w:strike/>
                <w:color w:val="FF0000"/>
              </w:rPr>
              <w:t>组内</w:t>
            </w:r>
            <w:r>
              <w:rPr>
                <w:rFonts w:hint="eastAsia"/>
                <w:strike/>
                <w:color w:val="FF0000"/>
              </w:rPr>
              <w:t>/</w:t>
            </w:r>
            <w:r>
              <w:rPr>
                <w:rFonts w:hint="eastAsia"/>
                <w:strike/>
                <w:color w:val="FF0000"/>
              </w:rPr>
              <w:t>公共）进行缓存操作；</w:t>
            </w:r>
          </w:p>
          <w:p w:rsidR="00070250" w:rsidRDefault="007E357A">
            <w:pPr>
              <w:jc w:val="left"/>
              <w:rPr>
                <w:strike/>
                <w:color w:val="FF0000"/>
              </w:rPr>
            </w:pPr>
            <w:r>
              <w:rPr>
                <w:rFonts w:hint="eastAsia"/>
                <w:strike/>
                <w:color w:val="FF0000"/>
              </w:rPr>
              <w:t>3</w:t>
            </w:r>
            <w:r>
              <w:rPr>
                <w:rFonts w:hint="eastAsia"/>
                <w:strike/>
                <w:color w:val="FF0000"/>
              </w:rPr>
              <w:t>、系统支持对接多种存储系统，包括</w:t>
            </w:r>
            <w:r>
              <w:rPr>
                <w:rFonts w:hint="eastAsia"/>
                <w:strike/>
                <w:color w:val="FF0000"/>
              </w:rPr>
              <w:t>NFS</w:t>
            </w:r>
            <w:r>
              <w:rPr>
                <w:rFonts w:hint="eastAsia"/>
                <w:strike/>
                <w:color w:val="FF0000"/>
              </w:rPr>
              <w:t>、</w:t>
            </w:r>
            <w:proofErr w:type="spellStart"/>
            <w:r>
              <w:rPr>
                <w:rFonts w:hint="eastAsia"/>
                <w:strike/>
                <w:color w:val="FF0000"/>
              </w:rPr>
              <w:t>beeGFS</w:t>
            </w:r>
            <w:proofErr w:type="spellEnd"/>
            <w:r>
              <w:rPr>
                <w:rFonts w:hint="eastAsia"/>
                <w:strike/>
                <w:color w:val="FF0000"/>
              </w:rPr>
              <w:t>、</w:t>
            </w:r>
            <w:r>
              <w:rPr>
                <w:rFonts w:hint="eastAsia"/>
                <w:strike/>
                <w:color w:val="FF0000"/>
              </w:rPr>
              <w:t>HDFS</w:t>
            </w:r>
            <w:r>
              <w:rPr>
                <w:rFonts w:hint="eastAsia"/>
                <w:strike/>
                <w:color w:val="FF0000"/>
              </w:rPr>
              <w:t>、</w:t>
            </w:r>
            <w:proofErr w:type="spellStart"/>
            <w:r>
              <w:rPr>
                <w:rFonts w:hint="eastAsia"/>
                <w:strike/>
                <w:color w:val="FF0000"/>
              </w:rPr>
              <w:t>LusterFS</w:t>
            </w:r>
            <w:proofErr w:type="spellEnd"/>
            <w:r>
              <w:rPr>
                <w:rFonts w:hint="eastAsia"/>
                <w:strike/>
                <w:color w:val="FF0000"/>
              </w:rPr>
              <w:t>；（控</w:t>
            </w:r>
            <w:r>
              <w:rPr>
                <w:rFonts w:hint="eastAsia"/>
                <w:strike/>
                <w:color w:val="FF0000"/>
              </w:rPr>
              <w:t>AMAX AI Max</w:t>
            </w:r>
            <w:r>
              <w:rPr>
                <w:rFonts w:hint="eastAsia"/>
                <w:strike/>
                <w:color w:val="FF0000"/>
              </w:rPr>
              <w:t>）；</w:t>
            </w:r>
          </w:p>
          <w:p w:rsidR="00070250" w:rsidRDefault="007E357A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GPU</w:t>
            </w:r>
            <w:r>
              <w:rPr>
                <w:rFonts w:hint="eastAsia"/>
              </w:rPr>
              <w:t>共享调度</w:t>
            </w:r>
            <w:r>
              <w:rPr>
                <w:rFonts w:hint="eastAsia"/>
                <w:strike/>
                <w:color w:val="FF0000"/>
              </w:rPr>
              <w:t>：提供</w:t>
            </w:r>
            <w:r>
              <w:rPr>
                <w:rFonts w:hint="eastAsia"/>
                <w:strike/>
                <w:color w:val="FF0000"/>
              </w:rPr>
              <w:t>GPU</w:t>
            </w:r>
            <w:r>
              <w:rPr>
                <w:rFonts w:hint="eastAsia"/>
                <w:strike/>
                <w:color w:val="FF0000"/>
              </w:rPr>
              <w:t>细粒度调度，允许多个任务指定</w:t>
            </w:r>
            <w:r>
              <w:rPr>
                <w:rFonts w:hint="eastAsia"/>
                <w:strike/>
                <w:color w:val="FF0000"/>
              </w:rPr>
              <w:t>GPU</w:t>
            </w:r>
            <w:r>
              <w:rPr>
                <w:rFonts w:hint="eastAsia"/>
                <w:strike/>
                <w:color w:val="FF0000"/>
              </w:rPr>
              <w:t>显存，调度到同一张</w:t>
            </w:r>
            <w:r>
              <w:rPr>
                <w:rFonts w:hint="eastAsia"/>
                <w:strike/>
                <w:color w:val="FF0000"/>
              </w:rPr>
              <w:t>GPU</w:t>
            </w:r>
            <w:r>
              <w:rPr>
                <w:rFonts w:hint="eastAsia"/>
                <w:strike/>
                <w:color w:val="FF0000"/>
              </w:rPr>
              <w:t>卡，从而实现</w:t>
            </w:r>
            <w:r>
              <w:rPr>
                <w:rFonts w:hint="eastAsia"/>
                <w:strike/>
                <w:color w:val="FF0000"/>
              </w:rPr>
              <w:t>GPU</w:t>
            </w:r>
            <w:r>
              <w:rPr>
                <w:rFonts w:hint="eastAsia"/>
                <w:strike/>
                <w:color w:val="FF0000"/>
              </w:rPr>
              <w:t>卡的复用，提高</w:t>
            </w:r>
            <w:r>
              <w:rPr>
                <w:rFonts w:hint="eastAsia"/>
                <w:strike/>
                <w:color w:val="FF0000"/>
              </w:rPr>
              <w:t>GPU</w:t>
            </w:r>
            <w:r>
              <w:rPr>
                <w:rFonts w:hint="eastAsia"/>
                <w:strike/>
                <w:color w:val="FF0000"/>
              </w:rPr>
              <w:t>卡的使用率；</w:t>
            </w:r>
          </w:p>
          <w:p w:rsidR="00070250" w:rsidRDefault="007E357A">
            <w:pPr>
              <w:jc w:val="left"/>
            </w:pPr>
            <w:r>
              <w:rPr>
                <w:rFonts w:hint="eastAsia"/>
              </w:rPr>
              <w:t>以上功能具有自主知识产权，提供证明材料。</w:t>
            </w:r>
          </w:p>
        </w:tc>
        <w:tc>
          <w:tcPr>
            <w:tcW w:w="1899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配置人工智能推理平台资源管理功能模块，至少支持以下功能：</w:t>
            </w:r>
          </w:p>
          <w:p w:rsidR="00070250" w:rsidRDefault="007E357A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、支持主流</w:t>
            </w:r>
            <w:r>
              <w:rPr>
                <w:rFonts w:hint="eastAsia"/>
                <w:color w:val="FF0000"/>
              </w:rPr>
              <w:t>AI</w:t>
            </w:r>
            <w:r>
              <w:rPr>
                <w:rFonts w:hint="eastAsia"/>
                <w:color w:val="FF0000"/>
              </w:rPr>
              <w:t>框架；</w:t>
            </w:r>
          </w:p>
          <w:p w:rsidR="00070250" w:rsidRDefault="007E357A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、支持</w:t>
            </w:r>
            <w:r>
              <w:rPr>
                <w:rFonts w:hint="eastAsia"/>
                <w:color w:val="FF0000"/>
              </w:rPr>
              <w:t>GPU</w:t>
            </w:r>
            <w:r>
              <w:rPr>
                <w:rFonts w:hint="eastAsia"/>
                <w:color w:val="FF0000"/>
              </w:rPr>
              <w:t>共享调度；</w:t>
            </w:r>
          </w:p>
          <w:p w:rsidR="00070250" w:rsidRDefault="007E357A">
            <w:pPr>
              <w:pStyle w:val="Default"/>
              <w:numPr>
                <w:ilvl w:val="255"/>
                <w:numId w:val="0"/>
              </w:numPr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color w:val="FF0000"/>
                <w:kern w:val="2"/>
                <w:sz w:val="21"/>
              </w:rPr>
              <w:t>以上功能具有自主知识产权，提供证明材料。</w:t>
            </w:r>
          </w:p>
        </w:tc>
      </w:tr>
      <w:tr w:rsidR="00070250" w:rsidTr="002C30FA">
        <w:trPr>
          <w:jc w:val="center"/>
        </w:trPr>
        <w:tc>
          <w:tcPr>
            <w:tcW w:w="329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961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第三部分采购需求</w:t>
            </w:r>
          </w:p>
          <w:p w:rsidR="00070250" w:rsidRDefault="007E357A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七、技术要求</w:t>
            </w:r>
          </w:p>
          <w:p w:rsidR="00070250" w:rsidRDefault="007E357A">
            <w:pPr>
              <w:widowControl/>
              <w:spacing w:after="15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（四）视频编解码服务器第9条</w:t>
            </w:r>
          </w:p>
          <w:p w:rsidR="00070250" w:rsidRDefault="007E357A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（商务技术偏离表同样修改）</w:t>
            </w:r>
          </w:p>
        </w:tc>
        <w:tc>
          <w:tcPr>
            <w:tcW w:w="1811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jc w:val="left"/>
            </w:pPr>
            <w:r>
              <w:rPr>
                <w:rFonts w:hint="eastAsia"/>
              </w:rPr>
              <w:t>本次配置</w:t>
            </w:r>
            <w:r>
              <w:rPr>
                <w:rFonts w:hint="eastAsia"/>
                <w:strike/>
                <w:color w:val="FF0000"/>
              </w:rPr>
              <w:t>服务器同品牌</w:t>
            </w:r>
            <w:r>
              <w:rPr>
                <w:rFonts w:hint="eastAsia"/>
              </w:rPr>
              <w:t>视频编解码卡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块，需满足以下条件：</w:t>
            </w:r>
          </w:p>
          <w:p w:rsidR="00070250" w:rsidRDefault="007E357A">
            <w:pPr>
              <w:jc w:val="left"/>
            </w:pPr>
            <w:r>
              <w:rPr>
                <w:rFonts w:hint="eastAsia"/>
              </w:rPr>
              <w:t>半高半长，单槽位宽度；</w:t>
            </w:r>
          </w:p>
          <w:p w:rsidR="00070250" w:rsidRDefault="007E357A">
            <w:pPr>
              <w:jc w:val="left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4K@60fps</w:t>
            </w:r>
            <w:r>
              <w:rPr>
                <w:rFonts w:hint="eastAsia"/>
              </w:rPr>
              <w:t>或≥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1080P@30fps</w:t>
            </w:r>
            <w:r>
              <w:rPr>
                <w:rFonts w:hint="eastAsia"/>
              </w:rPr>
              <w:t>或≥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720P@30fps</w:t>
            </w:r>
            <w:r>
              <w:rPr>
                <w:rFonts w:hint="eastAsia"/>
              </w:rPr>
              <w:t>；</w:t>
            </w:r>
          </w:p>
          <w:p w:rsidR="00070250" w:rsidRDefault="007E357A">
            <w:pPr>
              <w:jc w:val="left"/>
            </w:pP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FFMPEG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GStreamer</w:t>
            </w:r>
            <w:proofErr w:type="spellEnd"/>
            <w:r>
              <w:rPr>
                <w:rFonts w:hint="eastAsia"/>
              </w:rPr>
              <w:t>，最新版本</w:t>
            </w:r>
            <w:r>
              <w:rPr>
                <w:rFonts w:hint="eastAsia"/>
              </w:rPr>
              <w:t>FFMPEG-4.2</w:t>
            </w:r>
            <w:r>
              <w:rPr>
                <w:rFonts w:hint="eastAsia"/>
              </w:rPr>
              <w:t>；</w:t>
            </w:r>
          </w:p>
          <w:p w:rsidR="00070250" w:rsidRDefault="007E357A">
            <w:pPr>
              <w:jc w:val="left"/>
              <w:rPr>
                <w:strike/>
                <w:color w:val="FF0000"/>
              </w:rPr>
            </w:pPr>
            <w:r>
              <w:rPr>
                <w:rFonts w:hint="eastAsia"/>
                <w:strike/>
                <w:color w:val="FF0000"/>
              </w:rPr>
              <w:t>功耗≤</w:t>
            </w:r>
            <w:r>
              <w:rPr>
                <w:rFonts w:hint="eastAsia"/>
                <w:strike/>
                <w:color w:val="FF0000"/>
              </w:rPr>
              <w:t>8W</w:t>
            </w:r>
            <w:r>
              <w:rPr>
                <w:rFonts w:hint="eastAsia"/>
                <w:strike/>
                <w:color w:val="FF0000"/>
              </w:rPr>
              <w:t>；</w:t>
            </w:r>
          </w:p>
          <w:p w:rsidR="00070250" w:rsidRDefault="007E357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提供证明材料。</w:t>
            </w:r>
          </w:p>
        </w:tc>
        <w:tc>
          <w:tcPr>
            <w:tcW w:w="1899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jc w:val="left"/>
            </w:pPr>
            <w:r>
              <w:rPr>
                <w:rFonts w:hint="eastAsia"/>
              </w:rPr>
              <w:t>本次配置视频编解码卡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块，需满足以下条件：</w:t>
            </w:r>
          </w:p>
          <w:p w:rsidR="00070250" w:rsidRDefault="007E357A">
            <w:pPr>
              <w:jc w:val="left"/>
            </w:pPr>
            <w:r>
              <w:rPr>
                <w:rFonts w:hint="eastAsia"/>
              </w:rPr>
              <w:t>半高半长，单槽位宽度；</w:t>
            </w:r>
          </w:p>
          <w:p w:rsidR="00070250" w:rsidRDefault="007E357A">
            <w:pPr>
              <w:jc w:val="left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4K@60fps</w:t>
            </w:r>
            <w:r>
              <w:rPr>
                <w:rFonts w:hint="eastAsia"/>
              </w:rPr>
              <w:t>或≥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1080P@30fps</w:t>
            </w:r>
            <w:r>
              <w:rPr>
                <w:rFonts w:hint="eastAsia"/>
              </w:rPr>
              <w:t>或≥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720P@30fps</w:t>
            </w:r>
            <w:r>
              <w:rPr>
                <w:rFonts w:hint="eastAsia"/>
              </w:rPr>
              <w:t>；</w:t>
            </w:r>
          </w:p>
          <w:p w:rsidR="00070250" w:rsidRDefault="007E357A">
            <w:pPr>
              <w:jc w:val="left"/>
            </w:pP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FFMPEG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GStreamer</w:t>
            </w:r>
            <w:proofErr w:type="spellEnd"/>
            <w:r>
              <w:rPr>
                <w:rFonts w:hint="eastAsia"/>
              </w:rPr>
              <w:t>，最新版本</w:t>
            </w:r>
            <w:r>
              <w:rPr>
                <w:rFonts w:hint="eastAsia"/>
              </w:rPr>
              <w:t>FFMPEG-4.2</w:t>
            </w:r>
            <w:r>
              <w:rPr>
                <w:rFonts w:hint="eastAsia"/>
              </w:rPr>
              <w:t>；</w:t>
            </w:r>
          </w:p>
          <w:p w:rsidR="00070250" w:rsidRDefault="007E357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</w:rPr>
              <w:t>提供证明材料。</w:t>
            </w:r>
          </w:p>
        </w:tc>
      </w:tr>
      <w:tr w:rsidR="00070250" w:rsidTr="002C30FA">
        <w:trPr>
          <w:jc w:val="center"/>
        </w:trPr>
        <w:tc>
          <w:tcPr>
            <w:tcW w:w="329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961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widowControl/>
              <w:spacing w:after="15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第四部分评标办法</w:t>
            </w:r>
          </w:p>
        </w:tc>
        <w:tc>
          <w:tcPr>
            <w:tcW w:w="1811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全部投标产品通过节能产品认证，提供有效证书的得2分</w:t>
            </w:r>
          </w:p>
        </w:tc>
        <w:tc>
          <w:tcPr>
            <w:tcW w:w="1899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除GPU训练服务器外，</w:t>
            </w:r>
            <w:r>
              <w:rPr>
                <w:rFonts w:ascii="宋体" w:hAnsi="宋体" w:cs="宋体" w:hint="eastAsia"/>
                <w:szCs w:val="21"/>
              </w:rPr>
              <w:t>其余投标产品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均</w:t>
            </w:r>
            <w:r>
              <w:rPr>
                <w:rFonts w:ascii="宋体" w:hAnsi="宋体" w:cs="宋体" w:hint="eastAsia"/>
                <w:szCs w:val="21"/>
              </w:rPr>
              <w:t>通过产品节能认证，提供有效证书的得2分。</w:t>
            </w:r>
          </w:p>
        </w:tc>
      </w:tr>
      <w:tr w:rsidR="00070250" w:rsidTr="002C30FA">
        <w:trPr>
          <w:jc w:val="center"/>
        </w:trPr>
        <w:tc>
          <w:tcPr>
            <w:tcW w:w="329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61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widowControl/>
              <w:spacing w:after="15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开标及提交投标文件截止时间</w:t>
            </w:r>
          </w:p>
        </w:tc>
        <w:tc>
          <w:tcPr>
            <w:tcW w:w="1811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7E357A">
            <w:pPr>
              <w:jc w:val="left"/>
              <w:rPr>
                <w:rFonts w:ascii="宋体" w:hAnsi="宋体" w:cs="宋体"/>
                <w:szCs w:val="21"/>
              </w:rPr>
            </w:pPr>
            <w:r w:rsidRPr="00BF3829">
              <w:rPr>
                <w:rFonts w:hint="eastAsia"/>
                <w:strike/>
                <w:color w:val="FF0000"/>
              </w:rPr>
              <w:t>2022</w:t>
            </w:r>
            <w:r w:rsidRPr="00BF3829">
              <w:rPr>
                <w:rFonts w:hint="eastAsia"/>
                <w:strike/>
                <w:color w:val="FF0000"/>
              </w:rPr>
              <w:t>年</w:t>
            </w:r>
            <w:r w:rsidRPr="00BF3829">
              <w:rPr>
                <w:rFonts w:hint="eastAsia"/>
                <w:strike/>
                <w:color w:val="FF0000"/>
              </w:rPr>
              <w:t>11</w:t>
            </w:r>
            <w:r w:rsidRPr="00BF3829">
              <w:rPr>
                <w:rFonts w:hint="eastAsia"/>
                <w:strike/>
                <w:color w:val="FF0000"/>
              </w:rPr>
              <w:t>月</w:t>
            </w:r>
            <w:r w:rsidRPr="00BF3829">
              <w:rPr>
                <w:rFonts w:hint="eastAsia"/>
                <w:strike/>
                <w:color w:val="FF0000"/>
              </w:rPr>
              <w:t>9</w:t>
            </w:r>
            <w:r w:rsidRPr="00BF3829">
              <w:rPr>
                <w:rFonts w:hint="eastAsia"/>
                <w:strike/>
                <w:color w:val="FF0000"/>
              </w:rPr>
              <w:t>日</w:t>
            </w:r>
            <w:r w:rsidRPr="00BF3829">
              <w:rPr>
                <w:rFonts w:hint="eastAsia"/>
                <w:strike/>
                <w:color w:val="FF0000"/>
              </w:rPr>
              <w:t>9</w:t>
            </w:r>
            <w:r w:rsidRPr="00BF3829">
              <w:rPr>
                <w:rFonts w:hint="eastAsia"/>
                <w:strike/>
                <w:color w:val="FF0000"/>
              </w:rPr>
              <w:t>点</w:t>
            </w:r>
            <w:r w:rsidRPr="00BF3829">
              <w:rPr>
                <w:rFonts w:hint="eastAsia"/>
                <w:strike/>
                <w:color w:val="FF0000"/>
              </w:rPr>
              <w:t>30</w:t>
            </w:r>
            <w:r w:rsidRPr="00BF3829">
              <w:rPr>
                <w:rFonts w:hint="eastAsia"/>
                <w:strike/>
                <w:color w:val="FF0000"/>
              </w:rPr>
              <w:t>分</w:t>
            </w:r>
            <w:r w:rsidRPr="00BF3829">
              <w:rPr>
                <w:rFonts w:hint="eastAsia"/>
                <w:strike/>
                <w:color w:val="FF0000"/>
              </w:rPr>
              <w:t>00</w:t>
            </w:r>
            <w:r w:rsidRPr="00BF3829">
              <w:rPr>
                <w:rFonts w:hint="eastAsia"/>
                <w:strike/>
                <w:color w:val="FF0000"/>
              </w:rPr>
              <w:t>秒</w:t>
            </w:r>
          </w:p>
        </w:tc>
        <w:tc>
          <w:tcPr>
            <w:tcW w:w="1899" w:type="pct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:rsidR="00070250" w:rsidRDefault="00BF382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BF3829">
              <w:rPr>
                <w:rFonts w:ascii="宋体" w:hAnsi="宋体" w:cs="宋体" w:hint="eastAsia"/>
                <w:color w:val="FF0000"/>
                <w:szCs w:val="21"/>
              </w:rPr>
              <w:t>2022年11月23日9点30分00秒</w:t>
            </w:r>
          </w:p>
        </w:tc>
      </w:tr>
    </w:tbl>
    <w:p w:rsidR="00070250" w:rsidRDefault="007E357A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七</w:t>
      </w:r>
      <w:r>
        <w:rPr>
          <w:rFonts w:ascii="宋体" w:hAnsi="宋体" w:hint="eastAsia"/>
          <w:b/>
          <w:sz w:val="24"/>
        </w:rPr>
        <w:t>．</w:t>
      </w:r>
      <w:r>
        <w:rPr>
          <w:rFonts w:ascii="宋体" w:hAnsi="宋体" w:cs="宋体" w:hint="eastAsia"/>
          <w:b/>
          <w:sz w:val="24"/>
        </w:rPr>
        <w:t>对本次采购提出询问、质疑、投诉，请按以下方式联系：</w:t>
      </w:r>
    </w:p>
    <w:p w:rsidR="00070250" w:rsidRDefault="007E357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1.采购人信息</w:t>
      </w:r>
    </w:p>
    <w:p w:rsidR="00070250" w:rsidRDefault="007E357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名    称：浙大城市学院 </w:t>
      </w:r>
    </w:p>
    <w:p w:rsidR="00070250" w:rsidRDefault="007E357A">
      <w:pPr>
        <w:pStyle w:val="a7"/>
        <w:spacing w:before="75" w:beforeAutospacing="0" w:after="75" w:afterAutospacing="0" w:line="360" w:lineRule="auto"/>
        <w:ind w:firstLineChars="200" w:firstLine="480"/>
        <w:rPr>
          <w:rFonts w:cs="宋体"/>
          <w:szCs w:val="21"/>
        </w:rPr>
      </w:pPr>
      <w:r>
        <w:rPr>
          <w:rFonts w:cs="宋体" w:hint="eastAsia"/>
        </w:rPr>
        <w:t>地</w:t>
      </w:r>
      <w:r>
        <w:rPr>
          <w:rFonts w:cs="宋体"/>
        </w:rPr>
        <w:t xml:space="preserve">    </w:t>
      </w:r>
      <w:r>
        <w:rPr>
          <w:rFonts w:cs="宋体" w:hint="eastAsia"/>
        </w:rPr>
        <w:t>址：</w:t>
      </w:r>
      <w:r>
        <w:rPr>
          <w:rFonts w:cs="宋体" w:hint="eastAsia"/>
          <w:szCs w:val="21"/>
        </w:rPr>
        <w:t>杭州市拱</w:t>
      </w:r>
      <w:proofErr w:type="gramStart"/>
      <w:r>
        <w:rPr>
          <w:rFonts w:cs="宋体" w:hint="eastAsia"/>
          <w:szCs w:val="21"/>
        </w:rPr>
        <w:t>墅</w:t>
      </w:r>
      <w:proofErr w:type="gramEnd"/>
      <w:r>
        <w:rPr>
          <w:rFonts w:cs="宋体" w:hint="eastAsia"/>
          <w:szCs w:val="21"/>
        </w:rPr>
        <w:t>区湖州街50号</w:t>
      </w:r>
    </w:p>
    <w:p w:rsidR="00070250" w:rsidRDefault="007E357A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传</w:t>
      </w: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真：</w:t>
      </w:r>
      <w:r>
        <w:rPr>
          <w:rFonts w:ascii="宋体" w:hAnsi="宋体" w:cs="宋体"/>
          <w:sz w:val="24"/>
        </w:rPr>
        <w:t xml:space="preserve"> /</w:t>
      </w:r>
    </w:p>
    <w:p w:rsidR="00070250" w:rsidRDefault="007E357A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项目联系人（询问）：赵老师</w:t>
      </w:r>
    </w:p>
    <w:p w:rsidR="00070250" w:rsidRDefault="007E357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项目联系方式（询问）：0571-88285759</w:t>
      </w:r>
    </w:p>
    <w:p w:rsidR="00070250" w:rsidRDefault="007E357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质疑联系人： 郭老师</w:t>
      </w:r>
    </w:p>
    <w:p w:rsidR="00070250" w:rsidRDefault="007E357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质疑联系方式： 0571-88285598</w:t>
      </w:r>
    </w:p>
    <w:p w:rsidR="00070250" w:rsidRDefault="007E357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2.采购代理机构信息            </w:t>
      </w:r>
    </w:p>
    <w:p w:rsidR="00070250" w:rsidRDefault="007E357A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名    称：杭州市公共资源交易中心</w:t>
      </w:r>
    </w:p>
    <w:p w:rsidR="00070250" w:rsidRDefault="007E357A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    址：杭州市之江路925号（临江金座2号楼)</w:t>
      </w:r>
    </w:p>
    <w:p w:rsidR="00070250" w:rsidRDefault="007E357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传    真：/             </w:t>
      </w:r>
    </w:p>
    <w:p w:rsidR="00070250" w:rsidRDefault="007E357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项目联系人（询问）：曹琼瑶、张曙平</w:t>
      </w:r>
    </w:p>
    <w:p w:rsidR="00070250" w:rsidRDefault="007E357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项目联系方式（询问）：0571-85085082、85085067</w:t>
      </w:r>
    </w:p>
    <w:p w:rsidR="00070250" w:rsidRDefault="007E357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质疑联系人：滕菲              </w:t>
      </w:r>
    </w:p>
    <w:p w:rsidR="00070250" w:rsidRDefault="007E357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质疑联系方式：0571-85085388</w:t>
      </w:r>
    </w:p>
    <w:p w:rsidR="00070250" w:rsidRDefault="007E357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3.同级政府采购监督管理部门            </w:t>
      </w:r>
    </w:p>
    <w:p w:rsidR="00070250" w:rsidRDefault="007E357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名    称：杭州市财政局政府采购监管处 </w:t>
      </w:r>
    </w:p>
    <w:p w:rsidR="00070250" w:rsidRDefault="007E357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地    址：杭州市中河中路152号617办公室 </w:t>
      </w:r>
    </w:p>
    <w:p w:rsidR="00070250" w:rsidRDefault="007E357A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传    真： /</w:t>
      </w:r>
    </w:p>
    <w:p w:rsidR="00070250" w:rsidRDefault="007E357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联系人 ：厉先生    </w:t>
      </w:r>
    </w:p>
    <w:p w:rsidR="00070250" w:rsidRDefault="007E357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监督投诉电话：0571-</w:t>
      </w:r>
      <w:r>
        <w:rPr>
          <w:rFonts w:ascii="宋体" w:hAnsi="宋体" w:cs="宋体"/>
          <w:sz w:val="24"/>
        </w:rPr>
        <w:t>89580456</w:t>
      </w:r>
      <w:r>
        <w:rPr>
          <w:rFonts w:ascii="宋体" w:hAnsi="宋体" w:cs="宋体" w:hint="eastAsia"/>
          <w:sz w:val="24"/>
        </w:rPr>
        <w:t xml:space="preserve">    </w:t>
      </w:r>
    </w:p>
    <w:p w:rsidR="00070250" w:rsidRDefault="007E357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若对项目采购电子交易系统操作有疑问，可登录政</w:t>
      </w:r>
      <w:proofErr w:type="gramStart"/>
      <w:r>
        <w:rPr>
          <w:rFonts w:ascii="宋体" w:hAnsi="宋体" w:cs="宋体" w:hint="eastAsia"/>
          <w:sz w:val="24"/>
        </w:rPr>
        <w:t>采云</w:t>
      </w:r>
      <w:proofErr w:type="gramEnd"/>
      <w:r>
        <w:rPr>
          <w:rFonts w:ascii="宋体" w:hAnsi="宋体" w:cs="宋体" w:hint="eastAsia"/>
          <w:sz w:val="24"/>
        </w:rPr>
        <w:t>（https://www.zcygov.cn/），点击右侧咨询小采，获取采小蜜智能服务管家帮</w:t>
      </w:r>
      <w:r>
        <w:rPr>
          <w:rFonts w:ascii="宋体" w:hAnsi="宋体" w:cs="宋体" w:hint="eastAsia"/>
          <w:sz w:val="24"/>
        </w:rPr>
        <w:lastRenderedPageBreak/>
        <w:t>助，或拨打政</w:t>
      </w:r>
      <w:proofErr w:type="gramStart"/>
      <w:r>
        <w:rPr>
          <w:rFonts w:ascii="宋体" w:hAnsi="宋体" w:cs="宋体" w:hint="eastAsia"/>
          <w:sz w:val="24"/>
        </w:rPr>
        <w:t>采云</w:t>
      </w:r>
      <w:proofErr w:type="gramEnd"/>
      <w:r>
        <w:rPr>
          <w:rFonts w:ascii="宋体" w:hAnsi="宋体" w:cs="宋体" w:hint="eastAsia"/>
          <w:sz w:val="24"/>
        </w:rPr>
        <w:t>服务热线400-881-7190获取热线服务帮助。</w:t>
      </w:r>
    </w:p>
    <w:p w:rsidR="00070250" w:rsidRDefault="007E357A">
      <w:pPr>
        <w:spacing w:line="460" w:lineRule="exact"/>
        <w:outlineLvl w:val="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sz w:val="24"/>
        </w:rPr>
        <w:t>CA问题联系电话（人工）：</w:t>
      </w:r>
      <w:proofErr w:type="gramStart"/>
      <w:r>
        <w:rPr>
          <w:rFonts w:ascii="宋体" w:hAnsi="宋体" w:cs="宋体" w:hint="eastAsia"/>
          <w:sz w:val="24"/>
        </w:rPr>
        <w:t>汇信</w:t>
      </w:r>
      <w:proofErr w:type="gramEnd"/>
      <w:r>
        <w:rPr>
          <w:rFonts w:ascii="宋体" w:hAnsi="宋体" w:cs="宋体" w:hint="eastAsia"/>
          <w:sz w:val="24"/>
        </w:rPr>
        <w:t>CA 400-888-4636；天谷CA 400-087-8198。</w:t>
      </w:r>
    </w:p>
    <w:p w:rsidR="00070250" w:rsidRDefault="00070250">
      <w:pPr>
        <w:spacing w:line="460" w:lineRule="exact"/>
        <w:outlineLvl w:val="0"/>
        <w:rPr>
          <w:rFonts w:ascii="宋体" w:hAnsi="宋体"/>
          <w:sz w:val="24"/>
        </w:rPr>
      </w:pPr>
    </w:p>
    <w:sectPr w:rsidR="0007025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66" w:rsidRDefault="002D0766">
      <w:r>
        <w:separator/>
      </w:r>
    </w:p>
  </w:endnote>
  <w:endnote w:type="continuationSeparator" w:id="0">
    <w:p w:rsidR="002D0766" w:rsidRDefault="002D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662695"/>
      <w:docPartObj>
        <w:docPartGallery w:val="Page Numbers (Bottom of Page)"/>
        <w:docPartUnique/>
      </w:docPartObj>
    </w:sdtPr>
    <w:sdtContent>
      <w:p w:rsidR="001A74B8" w:rsidRDefault="001A74B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0FA" w:rsidRPr="002C30FA">
          <w:rPr>
            <w:noProof/>
            <w:lang w:val="zh-CN"/>
          </w:rPr>
          <w:t>1</w:t>
        </w:r>
        <w:r>
          <w:fldChar w:fldCharType="end"/>
        </w:r>
      </w:p>
    </w:sdtContent>
  </w:sdt>
  <w:p w:rsidR="001A74B8" w:rsidRDefault="001A74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66" w:rsidRDefault="002D0766">
      <w:r>
        <w:separator/>
      </w:r>
    </w:p>
  </w:footnote>
  <w:footnote w:type="continuationSeparator" w:id="0">
    <w:p w:rsidR="002D0766" w:rsidRDefault="002D0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50" w:rsidRDefault="0007025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ODUyM2ExNzQ3YmIzZjlmMTViNTQ1YzgzOGZlZmUifQ=="/>
  </w:docVars>
  <w:rsids>
    <w:rsidRoot w:val="00F62323"/>
    <w:rsid w:val="0001110E"/>
    <w:rsid w:val="00027A0B"/>
    <w:rsid w:val="00030417"/>
    <w:rsid w:val="00055BDE"/>
    <w:rsid w:val="00061FF2"/>
    <w:rsid w:val="000658CB"/>
    <w:rsid w:val="00066968"/>
    <w:rsid w:val="00070250"/>
    <w:rsid w:val="000971D5"/>
    <w:rsid w:val="000B2B32"/>
    <w:rsid w:val="000C6EC0"/>
    <w:rsid w:val="000C7A1C"/>
    <w:rsid w:val="000D7F16"/>
    <w:rsid w:val="00120A7F"/>
    <w:rsid w:val="00161733"/>
    <w:rsid w:val="00161D06"/>
    <w:rsid w:val="00172A65"/>
    <w:rsid w:val="00172D5F"/>
    <w:rsid w:val="00180E9B"/>
    <w:rsid w:val="001A68D3"/>
    <w:rsid w:val="001A74B8"/>
    <w:rsid w:val="001B4B4B"/>
    <w:rsid w:val="001C2F09"/>
    <w:rsid w:val="001C67AF"/>
    <w:rsid w:val="001D416C"/>
    <w:rsid w:val="001E3A8D"/>
    <w:rsid w:val="00200D9E"/>
    <w:rsid w:val="00222317"/>
    <w:rsid w:val="00244365"/>
    <w:rsid w:val="00251449"/>
    <w:rsid w:val="00263D74"/>
    <w:rsid w:val="00267091"/>
    <w:rsid w:val="002728F0"/>
    <w:rsid w:val="002869E9"/>
    <w:rsid w:val="00287988"/>
    <w:rsid w:val="00292FEB"/>
    <w:rsid w:val="002A1FEC"/>
    <w:rsid w:val="002C30FA"/>
    <w:rsid w:val="002C45C9"/>
    <w:rsid w:val="002D0766"/>
    <w:rsid w:val="002F7D40"/>
    <w:rsid w:val="003228ED"/>
    <w:rsid w:val="00337FAE"/>
    <w:rsid w:val="0034635C"/>
    <w:rsid w:val="003778E4"/>
    <w:rsid w:val="00390AED"/>
    <w:rsid w:val="003A3750"/>
    <w:rsid w:val="003A56D9"/>
    <w:rsid w:val="003A7B5B"/>
    <w:rsid w:val="003C105E"/>
    <w:rsid w:val="003D28FB"/>
    <w:rsid w:val="003D2C01"/>
    <w:rsid w:val="003D6DC8"/>
    <w:rsid w:val="003E3B3D"/>
    <w:rsid w:val="00437E29"/>
    <w:rsid w:val="00465448"/>
    <w:rsid w:val="00481272"/>
    <w:rsid w:val="0049223D"/>
    <w:rsid w:val="004A7235"/>
    <w:rsid w:val="004D7521"/>
    <w:rsid w:val="004E605B"/>
    <w:rsid w:val="004F23CA"/>
    <w:rsid w:val="005163E8"/>
    <w:rsid w:val="00524EBC"/>
    <w:rsid w:val="00535E6A"/>
    <w:rsid w:val="00542157"/>
    <w:rsid w:val="0055246D"/>
    <w:rsid w:val="00553160"/>
    <w:rsid w:val="0056249B"/>
    <w:rsid w:val="00563B37"/>
    <w:rsid w:val="005669FD"/>
    <w:rsid w:val="00566A24"/>
    <w:rsid w:val="00573A7D"/>
    <w:rsid w:val="005748EC"/>
    <w:rsid w:val="005A693C"/>
    <w:rsid w:val="005F12DC"/>
    <w:rsid w:val="005F17E9"/>
    <w:rsid w:val="005F1A32"/>
    <w:rsid w:val="005F605B"/>
    <w:rsid w:val="00602A6E"/>
    <w:rsid w:val="006075D6"/>
    <w:rsid w:val="006125CD"/>
    <w:rsid w:val="00616D66"/>
    <w:rsid w:val="00644321"/>
    <w:rsid w:val="0067435E"/>
    <w:rsid w:val="00677B5A"/>
    <w:rsid w:val="006871A0"/>
    <w:rsid w:val="006A6A9C"/>
    <w:rsid w:val="006B39E9"/>
    <w:rsid w:val="006B4CE6"/>
    <w:rsid w:val="006C57DC"/>
    <w:rsid w:val="006D6545"/>
    <w:rsid w:val="006E2829"/>
    <w:rsid w:val="00756EBB"/>
    <w:rsid w:val="0076276C"/>
    <w:rsid w:val="0077174C"/>
    <w:rsid w:val="00781148"/>
    <w:rsid w:val="0078704C"/>
    <w:rsid w:val="007901B8"/>
    <w:rsid w:val="0079672D"/>
    <w:rsid w:val="007B2318"/>
    <w:rsid w:val="007C0C24"/>
    <w:rsid w:val="007C2EB3"/>
    <w:rsid w:val="007C653D"/>
    <w:rsid w:val="007D315D"/>
    <w:rsid w:val="007E08A6"/>
    <w:rsid w:val="007E357A"/>
    <w:rsid w:val="007E3D94"/>
    <w:rsid w:val="00820741"/>
    <w:rsid w:val="0083285F"/>
    <w:rsid w:val="00850F17"/>
    <w:rsid w:val="008619C5"/>
    <w:rsid w:val="0087366A"/>
    <w:rsid w:val="00875C50"/>
    <w:rsid w:val="00887361"/>
    <w:rsid w:val="00892D8B"/>
    <w:rsid w:val="008A5934"/>
    <w:rsid w:val="008B0878"/>
    <w:rsid w:val="008B5F73"/>
    <w:rsid w:val="008B7F27"/>
    <w:rsid w:val="008C71C2"/>
    <w:rsid w:val="008D469E"/>
    <w:rsid w:val="008E3588"/>
    <w:rsid w:val="00912546"/>
    <w:rsid w:val="00925B7D"/>
    <w:rsid w:val="00926678"/>
    <w:rsid w:val="0093454F"/>
    <w:rsid w:val="009929D9"/>
    <w:rsid w:val="009A7C0E"/>
    <w:rsid w:val="009B7535"/>
    <w:rsid w:val="009D2055"/>
    <w:rsid w:val="009E7CB2"/>
    <w:rsid w:val="00A248C5"/>
    <w:rsid w:val="00A315F4"/>
    <w:rsid w:val="00A32D35"/>
    <w:rsid w:val="00A415D8"/>
    <w:rsid w:val="00A42E6E"/>
    <w:rsid w:val="00A44826"/>
    <w:rsid w:val="00A45195"/>
    <w:rsid w:val="00A46124"/>
    <w:rsid w:val="00A4770B"/>
    <w:rsid w:val="00A56E6A"/>
    <w:rsid w:val="00A67517"/>
    <w:rsid w:val="00A76E21"/>
    <w:rsid w:val="00A83E63"/>
    <w:rsid w:val="00AA5C74"/>
    <w:rsid w:val="00AA6E0F"/>
    <w:rsid w:val="00AC6E3B"/>
    <w:rsid w:val="00AC7F6B"/>
    <w:rsid w:val="00AF7B95"/>
    <w:rsid w:val="00B041E4"/>
    <w:rsid w:val="00B4194B"/>
    <w:rsid w:val="00B653E1"/>
    <w:rsid w:val="00B7359F"/>
    <w:rsid w:val="00B97997"/>
    <w:rsid w:val="00BB5029"/>
    <w:rsid w:val="00BB5D1B"/>
    <w:rsid w:val="00BC0BDC"/>
    <w:rsid w:val="00BC3143"/>
    <w:rsid w:val="00BC4B49"/>
    <w:rsid w:val="00BC6845"/>
    <w:rsid w:val="00BE5D5E"/>
    <w:rsid w:val="00BF3829"/>
    <w:rsid w:val="00C03EBC"/>
    <w:rsid w:val="00C167C4"/>
    <w:rsid w:val="00C2756E"/>
    <w:rsid w:val="00C30C12"/>
    <w:rsid w:val="00C72D12"/>
    <w:rsid w:val="00C77271"/>
    <w:rsid w:val="00C90A76"/>
    <w:rsid w:val="00CA0C84"/>
    <w:rsid w:val="00D072F3"/>
    <w:rsid w:val="00D37756"/>
    <w:rsid w:val="00D550CE"/>
    <w:rsid w:val="00D864C3"/>
    <w:rsid w:val="00D8733F"/>
    <w:rsid w:val="00DB3189"/>
    <w:rsid w:val="00DD5653"/>
    <w:rsid w:val="00DD637A"/>
    <w:rsid w:val="00DE36EE"/>
    <w:rsid w:val="00DE466C"/>
    <w:rsid w:val="00DE6E5A"/>
    <w:rsid w:val="00E35003"/>
    <w:rsid w:val="00E52A3C"/>
    <w:rsid w:val="00E53F76"/>
    <w:rsid w:val="00E75CF0"/>
    <w:rsid w:val="00E961E1"/>
    <w:rsid w:val="00EA43F4"/>
    <w:rsid w:val="00EB07C7"/>
    <w:rsid w:val="00EB5BC2"/>
    <w:rsid w:val="00ED5909"/>
    <w:rsid w:val="00EE11F1"/>
    <w:rsid w:val="00F26996"/>
    <w:rsid w:val="00F3254A"/>
    <w:rsid w:val="00F3466D"/>
    <w:rsid w:val="00F62323"/>
    <w:rsid w:val="00F71D22"/>
    <w:rsid w:val="00FB206B"/>
    <w:rsid w:val="00FC75D6"/>
    <w:rsid w:val="00FE4ADB"/>
    <w:rsid w:val="00FE695C"/>
    <w:rsid w:val="050F5C84"/>
    <w:rsid w:val="093D7AD8"/>
    <w:rsid w:val="0CB42BE5"/>
    <w:rsid w:val="0E61064F"/>
    <w:rsid w:val="17485BB5"/>
    <w:rsid w:val="2ADC511C"/>
    <w:rsid w:val="3EBD1171"/>
    <w:rsid w:val="69AA1931"/>
    <w:rsid w:val="7C3A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TOC71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TOC71">
    <w:name w:val="TOC 71"/>
    <w:next w:val="a"/>
    <w:qFormat/>
    <w:pPr>
      <w:wordWrap w:val="0"/>
      <w:ind w:left="2550"/>
      <w:jc w:val="both"/>
    </w:pPr>
    <w:rPr>
      <w:sz w:val="21"/>
      <w:szCs w:val="22"/>
    </w:rPr>
  </w:style>
  <w:style w:type="paragraph" w:styleId="a3">
    <w:name w:val="Document Map"/>
    <w:basedOn w:val="a"/>
    <w:link w:val="Char"/>
    <w:semiHidden/>
    <w:unhideWhenUsed/>
    <w:qFormat/>
    <w:rPr>
      <w:rFonts w:ascii="宋体"/>
      <w:sz w:val="18"/>
      <w:szCs w:val="18"/>
    </w:rPr>
  </w:style>
  <w:style w:type="paragraph" w:styleId="a4">
    <w:name w:val="Body Text"/>
    <w:basedOn w:val="a"/>
    <w:next w:val="a"/>
    <w:link w:val="Char1"/>
    <w:qFormat/>
    <w:pPr>
      <w:autoSpaceDE w:val="0"/>
      <w:autoSpaceDN w:val="0"/>
      <w:adjustRightInd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a"/>
    <w:qFormat/>
    <w:rPr>
      <w:rFonts w:ascii="Tahoma" w:hAnsi="Tahoma"/>
      <w:sz w:val="24"/>
      <w:szCs w:val="20"/>
    </w:rPr>
  </w:style>
  <w:style w:type="character" w:customStyle="1" w:styleId="Char">
    <w:name w:val="文档结构图 Char"/>
    <w:basedOn w:val="a0"/>
    <w:link w:val="a3"/>
    <w:semiHidden/>
    <w:qFormat/>
    <w:rPr>
      <w:rFonts w:ascii="宋体"/>
      <w:kern w:val="2"/>
      <w:sz w:val="18"/>
      <w:szCs w:val="18"/>
    </w:rPr>
  </w:style>
  <w:style w:type="character" w:customStyle="1" w:styleId="Char2">
    <w:name w:val="正文文本 Char"/>
    <w:basedOn w:val="a0"/>
    <w:semiHidden/>
    <w:qFormat/>
    <w:rPr>
      <w:kern w:val="2"/>
      <w:sz w:val="21"/>
      <w:szCs w:val="24"/>
    </w:rPr>
  </w:style>
  <w:style w:type="character" w:customStyle="1" w:styleId="Char1">
    <w:name w:val="正文文本 Char1"/>
    <w:link w:val="a4"/>
    <w:qFormat/>
    <w:rPr>
      <w:rFonts w:ascii="宋体" w:hAnsi="Arial" w:cs="Arial"/>
      <w:snapToGrid w:val="0"/>
      <w:kern w:val="2"/>
      <w:sz w:val="24"/>
      <w:szCs w:val="21"/>
      <w:lang w:val="zh-CN"/>
    </w:rPr>
  </w:style>
  <w:style w:type="character" w:customStyle="1" w:styleId="Char0">
    <w:name w:val="页脚 Char"/>
    <w:basedOn w:val="a0"/>
    <w:link w:val="a5"/>
    <w:uiPriority w:val="99"/>
    <w:rsid w:val="001A74B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TOC71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TOC71">
    <w:name w:val="TOC 71"/>
    <w:next w:val="a"/>
    <w:qFormat/>
    <w:pPr>
      <w:wordWrap w:val="0"/>
      <w:ind w:left="2550"/>
      <w:jc w:val="both"/>
    </w:pPr>
    <w:rPr>
      <w:sz w:val="21"/>
      <w:szCs w:val="22"/>
    </w:rPr>
  </w:style>
  <w:style w:type="paragraph" w:styleId="a3">
    <w:name w:val="Document Map"/>
    <w:basedOn w:val="a"/>
    <w:link w:val="Char"/>
    <w:semiHidden/>
    <w:unhideWhenUsed/>
    <w:qFormat/>
    <w:rPr>
      <w:rFonts w:ascii="宋体"/>
      <w:sz w:val="18"/>
      <w:szCs w:val="18"/>
    </w:rPr>
  </w:style>
  <w:style w:type="paragraph" w:styleId="a4">
    <w:name w:val="Body Text"/>
    <w:basedOn w:val="a"/>
    <w:next w:val="a"/>
    <w:link w:val="Char1"/>
    <w:qFormat/>
    <w:pPr>
      <w:autoSpaceDE w:val="0"/>
      <w:autoSpaceDN w:val="0"/>
      <w:adjustRightInd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a"/>
    <w:qFormat/>
    <w:rPr>
      <w:rFonts w:ascii="Tahoma" w:hAnsi="Tahoma"/>
      <w:sz w:val="24"/>
      <w:szCs w:val="20"/>
    </w:rPr>
  </w:style>
  <w:style w:type="character" w:customStyle="1" w:styleId="Char">
    <w:name w:val="文档结构图 Char"/>
    <w:basedOn w:val="a0"/>
    <w:link w:val="a3"/>
    <w:semiHidden/>
    <w:qFormat/>
    <w:rPr>
      <w:rFonts w:ascii="宋体"/>
      <w:kern w:val="2"/>
      <w:sz w:val="18"/>
      <w:szCs w:val="18"/>
    </w:rPr>
  </w:style>
  <w:style w:type="character" w:customStyle="1" w:styleId="Char2">
    <w:name w:val="正文文本 Char"/>
    <w:basedOn w:val="a0"/>
    <w:semiHidden/>
    <w:qFormat/>
    <w:rPr>
      <w:kern w:val="2"/>
      <w:sz w:val="21"/>
      <w:szCs w:val="24"/>
    </w:rPr>
  </w:style>
  <w:style w:type="character" w:customStyle="1" w:styleId="Char1">
    <w:name w:val="正文文本 Char1"/>
    <w:link w:val="a4"/>
    <w:qFormat/>
    <w:rPr>
      <w:rFonts w:ascii="宋体" w:hAnsi="Arial" w:cs="Arial"/>
      <w:snapToGrid w:val="0"/>
      <w:kern w:val="2"/>
      <w:sz w:val="24"/>
      <w:szCs w:val="21"/>
      <w:lang w:val="zh-CN"/>
    </w:rPr>
  </w:style>
  <w:style w:type="character" w:customStyle="1" w:styleId="Char0">
    <w:name w:val="页脚 Char"/>
    <w:basedOn w:val="a0"/>
    <w:link w:val="a5"/>
    <w:uiPriority w:val="99"/>
    <w:rsid w:val="001A74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384</Words>
  <Characters>2191</Characters>
  <Application>Microsoft Office Word</Application>
  <DocSecurity>0</DocSecurity>
  <Lines>18</Lines>
  <Paragraphs>5</Paragraphs>
  <ScaleCrop>false</ScaleCrop>
  <Company>SMZJ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</dc:title>
  <dc:creator>张燕</dc:creator>
  <cp:lastModifiedBy>cqy</cp:lastModifiedBy>
  <cp:revision>15</cp:revision>
  <dcterms:created xsi:type="dcterms:W3CDTF">2022-07-06T11:36:00Z</dcterms:created>
  <dcterms:modified xsi:type="dcterms:W3CDTF">2022-11-07T05:48:00Z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365B93862825467795A81120CE224DDB</vt:lpwstr>
  </property>
</Properties>
</file>