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napToGrid/>
        <w:spacing w:line="440" w:lineRule="exact"/>
        <w:ind w:firstLine="482" w:firstLineChars="150"/>
        <w:textAlignment w:val="auto"/>
        <w:rPr>
          <w:rFonts w:hint="eastAsia" w:ascii="仿宋" w:hAnsi="仿宋" w:eastAsia="仿宋" w:cs="仿宋"/>
          <w:b/>
          <w:sz w:val="32"/>
          <w:szCs w:val="32"/>
        </w:rPr>
      </w:pPr>
      <w:r>
        <w:rPr>
          <w:rFonts w:hint="eastAsia" w:ascii="仿宋" w:hAnsi="仿宋" w:eastAsia="仿宋" w:cs="仿宋"/>
          <w:b/>
          <w:sz w:val="32"/>
          <w:szCs w:val="32"/>
        </w:rPr>
        <w:t>附件三：协议书</w:t>
      </w:r>
      <w:bookmarkStart w:id="0" w:name="_GoBack"/>
      <w:bookmarkEnd w:id="0"/>
    </w:p>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b/>
          <w:sz w:val="32"/>
          <w:szCs w:val="32"/>
        </w:rPr>
      </w:pPr>
    </w:p>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rPr>
        <w:t>2019-2020年度杭州市行政事业单位定点审计服务采购项目</w:t>
      </w:r>
    </w:p>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32"/>
          <w:szCs w:val="32"/>
        </w:rPr>
      </w:pPr>
      <w:r>
        <w:rPr>
          <w:rFonts w:hint="eastAsia" w:ascii="仿宋" w:hAnsi="仿宋" w:eastAsia="仿宋" w:cs="仿宋"/>
          <w:b/>
          <w:sz w:val="32"/>
          <w:szCs w:val="32"/>
        </w:rPr>
        <w:t>协议书</w:t>
      </w:r>
    </w:p>
    <w:p>
      <w:pPr>
        <w:keepNext w:val="0"/>
        <w:keepLines w:val="0"/>
        <w:pageBreakBefore w:val="0"/>
        <w:kinsoku/>
        <w:wordWrap/>
        <w:overflowPunct/>
        <w:topLinePunct w:val="0"/>
        <w:bidi w:val="0"/>
        <w:snapToGrid/>
        <w:spacing w:line="440" w:lineRule="exact"/>
        <w:textAlignment w:val="auto"/>
        <w:rPr>
          <w:rFonts w:hint="eastAsia" w:ascii="仿宋" w:hAnsi="仿宋" w:eastAsia="仿宋" w:cs="仿宋"/>
          <w:sz w:val="24"/>
        </w:rPr>
      </w:pPr>
      <w:r>
        <w:rPr>
          <w:rFonts w:hint="eastAsia" w:ascii="仿宋" w:hAnsi="仿宋" w:eastAsia="仿宋" w:cs="仿宋"/>
          <w:sz w:val="24"/>
        </w:rPr>
        <w:t xml:space="preserve">编号：                                                          </w:t>
      </w:r>
    </w:p>
    <w:p>
      <w:pPr>
        <w:keepNext w:val="0"/>
        <w:keepLines w:val="0"/>
        <w:pageBreakBefore w:val="0"/>
        <w:kinsoku/>
        <w:wordWrap/>
        <w:overflowPunct/>
        <w:topLinePunct w:val="0"/>
        <w:bidi w:val="0"/>
        <w:snapToGrid/>
        <w:spacing w:line="440" w:lineRule="exact"/>
        <w:textAlignment w:val="auto"/>
        <w:rPr>
          <w:rFonts w:hint="eastAsia" w:ascii="仿宋" w:hAnsi="仿宋" w:eastAsia="仿宋" w:cs="仿宋"/>
          <w:sz w:val="24"/>
        </w:rPr>
      </w:pPr>
      <w:r>
        <w:rPr>
          <w:rFonts w:hint="eastAsia" w:ascii="仿宋" w:hAnsi="仿宋" w:eastAsia="仿宋" w:cs="仿宋"/>
          <w:sz w:val="24"/>
        </w:rPr>
        <w:t>采购机构（甲方）：杭州市公共资源交易中心（杭州市政府采购中心）</w:t>
      </w:r>
    </w:p>
    <w:p>
      <w:pPr>
        <w:keepNext w:val="0"/>
        <w:keepLines w:val="0"/>
        <w:pageBreakBefore w:val="0"/>
        <w:kinsoku/>
        <w:wordWrap/>
        <w:overflowPunct/>
        <w:topLinePunct w:val="0"/>
        <w:bidi w:val="0"/>
        <w:snapToGrid/>
        <w:spacing w:line="440" w:lineRule="exact"/>
        <w:textAlignment w:val="auto"/>
        <w:rPr>
          <w:rFonts w:hint="eastAsia" w:ascii="仿宋" w:hAnsi="仿宋" w:eastAsia="仿宋" w:cs="仿宋"/>
          <w:sz w:val="24"/>
        </w:rPr>
      </w:pPr>
      <w:r>
        <w:rPr>
          <w:rFonts w:hint="eastAsia" w:ascii="仿宋" w:hAnsi="仿宋" w:eastAsia="仿宋" w:cs="仿宋"/>
          <w:sz w:val="24"/>
        </w:rPr>
        <w:t>供应商（乙方）：</w:t>
      </w:r>
    </w:p>
    <w:p>
      <w:pPr>
        <w:keepNext w:val="0"/>
        <w:keepLines w:val="0"/>
        <w:pageBreakBefore w:val="0"/>
        <w:kinsoku/>
        <w:wordWrap/>
        <w:overflowPunct/>
        <w:topLinePunct w:val="0"/>
        <w:bidi w:val="0"/>
        <w:snapToGrid/>
        <w:spacing w:line="440" w:lineRule="exact"/>
        <w:textAlignment w:val="auto"/>
        <w:rPr>
          <w:rFonts w:hint="eastAsia" w:ascii="仿宋" w:hAnsi="仿宋" w:eastAsia="仿宋" w:cs="仿宋"/>
          <w:sz w:val="24"/>
        </w:rPr>
      </w:pPr>
      <w:r>
        <w:rPr>
          <w:rFonts w:hint="eastAsia" w:ascii="仿宋" w:hAnsi="仿宋" w:eastAsia="仿宋" w:cs="仿宋"/>
          <w:sz w:val="24"/>
        </w:rPr>
        <w:t xml:space="preserve">    根据“杭州市公共资源交易中心关于2019-2020年度杭州市行政事业单位定点审计服务采购项目承诺入围的通知”（编号：HZZFCG-2018-142）要求、入围结果和《中华人民共和国政府采购法》等相关法律法规要求，双方经协商，达成以下条款： </w:t>
      </w:r>
    </w:p>
    <w:p>
      <w:pPr>
        <w:keepNext w:val="0"/>
        <w:keepLines w:val="0"/>
        <w:pageBreakBefore w:val="0"/>
        <w:kinsoku/>
        <w:wordWrap/>
        <w:overflowPunct/>
        <w:topLinePunct w:val="0"/>
        <w:bidi w:val="0"/>
        <w:snapToGrid/>
        <w:spacing w:line="440" w:lineRule="exact"/>
        <w:textAlignment w:val="auto"/>
        <w:rPr>
          <w:rFonts w:hint="eastAsia" w:ascii="仿宋" w:hAnsi="仿宋" w:eastAsia="仿宋" w:cs="仿宋"/>
          <w:sz w:val="24"/>
        </w:rPr>
      </w:pPr>
      <w:r>
        <w:rPr>
          <w:rFonts w:hint="eastAsia" w:ascii="仿宋" w:hAnsi="仿宋" w:eastAsia="仿宋" w:cs="仿宋"/>
          <w:sz w:val="24"/>
        </w:rPr>
        <w:t xml:space="preserve">    第一条 入围有效期为《2019-2020年度杭州市行政事业单位定点审计服务采购项目协议书》（以下简称“协议书”）生效之日起至2020年12月31日止，甲方可以视定点采购执行情况酌情延长或提前结束协议的执行。乙方应根据入围项目通知的要求和报名文件的承诺，及时向采购人提供高质量的服务，不得提出本协议书内容之外的任何不利于采购人的附加条件。 </w:t>
      </w:r>
    </w:p>
    <w:p>
      <w:pPr>
        <w:keepNext w:val="0"/>
        <w:keepLines w:val="0"/>
        <w:pageBreakBefore w:val="0"/>
        <w:kinsoku/>
        <w:wordWrap/>
        <w:overflowPunct/>
        <w:topLinePunct w:val="0"/>
        <w:bidi w:val="0"/>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第二条 乙方同意交纳履约保证金（年度保证金）人民币伍仟元整，该保证金为本协议生效的必要条件。保证金退还手续依据年度保证金管理相关规定。</w:t>
      </w:r>
    </w:p>
    <w:p>
      <w:pPr>
        <w:keepNext w:val="0"/>
        <w:keepLines w:val="0"/>
        <w:pageBreakBefore w:val="0"/>
        <w:kinsoku/>
        <w:wordWrap/>
        <w:overflowPunct/>
        <w:topLinePunct w:val="0"/>
        <w:bidi w:val="0"/>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第三条 乙方应为浙江省政府采购网（http://www.zjzfcg.gov.cn）和杭州市政府采购网（http://cg.hzft.gov.cn）注册入库的正式供应商。</w:t>
      </w:r>
    </w:p>
    <w:p>
      <w:pPr>
        <w:keepNext w:val="0"/>
        <w:keepLines w:val="0"/>
        <w:pageBreakBefore w:val="0"/>
        <w:kinsoku/>
        <w:wordWrap/>
        <w:overflowPunct/>
        <w:topLinePunct w:val="0"/>
        <w:autoSpaceDE w:val="0"/>
        <w:autoSpaceDN w:val="0"/>
        <w:bidi w:val="0"/>
        <w:adjustRightInd w:val="0"/>
        <w:snapToGrid/>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rPr>
        <w:t xml:space="preserve">第四条 </w:t>
      </w:r>
      <w:r>
        <w:rPr>
          <w:rFonts w:hint="eastAsia" w:ascii="仿宋" w:hAnsi="仿宋" w:eastAsia="仿宋" w:cs="仿宋"/>
          <w:sz w:val="24"/>
          <w:highlight w:val="none"/>
        </w:rPr>
        <w:t>乙方应遵守以下服务标准：</w:t>
      </w:r>
    </w:p>
    <w:p>
      <w:pPr>
        <w:keepNext w:val="0"/>
        <w:keepLines w:val="0"/>
        <w:pageBreakBefore w:val="0"/>
        <w:kinsoku/>
        <w:wordWrap/>
        <w:overflowPunct/>
        <w:topLinePunct w:val="0"/>
        <w:bidi w:val="0"/>
        <w:snapToGrid/>
        <w:spacing w:line="440" w:lineRule="exact"/>
        <w:ind w:firstLine="470" w:firstLineChars="196"/>
        <w:textAlignment w:val="auto"/>
        <w:rPr>
          <w:rFonts w:hint="eastAsia" w:ascii="仿宋" w:hAnsi="仿宋" w:eastAsia="仿宋" w:cs="仿宋"/>
          <w:sz w:val="24"/>
          <w:highlight w:val="none"/>
        </w:rPr>
      </w:pPr>
      <w:r>
        <w:rPr>
          <w:rFonts w:hint="eastAsia" w:ascii="仿宋" w:hAnsi="仿宋" w:eastAsia="仿宋" w:cs="仿宋"/>
          <w:sz w:val="24"/>
          <w:highlight w:val="none"/>
        </w:rPr>
        <w:t>1、自觉遵守有关规定，严格执行审计</w:t>
      </w:r>
      <w:r>
        <w:rPr>
          <w:rFonts w:hint="eastAsia" w:ascii="仿宋" w:hAnsi="仿宋" w:eastAsia="仿宋" w:cs="仿宋"/>
          <w:sz w:val="24"/>
          <w:highlight w:val="none"/>
          <w:lang w:eastAsia="zh-CN"/>
        </w:rPr>
        <w:t>制度</w:t>
      </w:r>
      <w:r>
        <w:rPr>
          <w:rFonts w:hint="eastAsia" w:ascii="仿宋" w:hAnsi="仿宋" w:eastAsia="仿宋" w:cs="仿宋"/>
          <w:sz w:val="24"/>
          <w:highlight w:val="none"/>
        </w:rPr>
        <w:t>、廉政纪律和职业道德，保守采购人和被审计单位资料数据的秘密</w:t>
      </w:r>
      <w:r>
        <w:rPr>
          <w:rFonts w:hint="eastAsia" w:ascii="仿宋" w:hAnsi="仿宋" w:eastAsia="仿宋" w:cs="仿宋"/>
          <w:sz w:val="24"/>
          <w:highlight w:val="none"/>
          <w:lang w:eastAsia="zh-CN"/>
        </w:rPr>
        <w:t>；</w:t>
      </w:r>
    </w:p>
    <w:p>
      <w:pPr>
        <w:keepNext w:val="0"/>
        <w:keepLines w:val="0"/>
        <w:pageBreakBefore w:val="0"/>
        <w:kinsoku/>
        <w:wordWrap/>
        <w:overflowPunct/>
        <w:topLinePunct w:val="0"/>
        <w:bidi w:val="0"/>
        <w:snapToGrid/>
        <w:spacing w:line="440" w:lineRule="exact"/>
        <w:ind w:firstLine="470" w:firstLineChars="196"/>
        <w:textAlignment w:val="auto"/>
        <w:rPr>
          <w:rFonts w:hint="eastAsia" w:ascii="仿宋" w:hAnsi="仿宋" w:eastAsia="仿宋" w:cs="仿宋"/>
          <w:sz w:val="24"/>
          <w:highlight w:val="none"/>
        </w:rPr>
      </w:pPr>
      <w:r>
        <w:rPr>
          <w:rFonts w:hint="eastAsia" w:ascii="仿宋" w:hAnsi="仿宋" w:eastAsia="仿宋" w:cs="仿宋"/>
          <w:sz w:val="24"/>
          <w:highlight w:val="none"/>
        </w:rPr>
        <w:t>2、严格按照采购人的有关规定和要求实施审计</w:t>
      </w:r>
      <w:r>
        <w:rPr>
          <w:rFonts w:hint="eastAsia" w:ascii="仿宋" w:hAnsi="仿宋" w:eastAsia="仿宋" w:cs="仿宋"/>
          <w:sz w:val="24"/>
          <w:highlight w:val="none"/>
          <w:lang w:eastAsia="zh-CN"/>
        </w:rPr>
        <w:t>（协审）</w:t>
      </w:r>
      <w:r>
        <w:rPr>
          <w:rFonts w:hint="eastAsia" w:ascii="仿宋" w:hAnsi="仿宋" w:eastAsia="仿宋" w:cs="仿宋"/>
          <w:sz w:val="24"/>
          <w:highlight w:val="none"/>
        </w:rPr>
        <w:t>服务，接受采购人的指导、监督和管理，同时按采购人的质量和进度要求及时提供结果以及与服务事项相关的资料。按采购人规定的格式、要求起草有关文书和其他材料</w:t>
      </w:r>
      <w:r>
        <w:rPr>
          <w:rFonts w:hint="eastAsia" w:ascii="仿宋" w:hAnsi="仿宋" w:eastAsia="仿宋" w:cs="仿宋"/>
          <w:sz w:val="24"/>
          <w:highlight w:val="none"/>
          <w:lang w:eastAsia="zh-CN"/>
        </w:rPr>
        <w:t>；</w:t>
      </w:r>
    </w:p>
    <w:p>
      <w:pPr>
        <w:keepNext w:val="0"/>
        <w:keepLines w:val="0"/>
        <w:pageBreakBefore w:val="0"/>
        <w:kinsoku/>
        <w:wordWrap/>
        <w:overflowPunct/>
        <w:topLinePunct w:val="0"/>
        <w:bidi w:val="0"/>
        <w:snapToGrid/>
        <w:spacing w:line="440" w:lineRule="exact"/>
        <w:ind w:firstLine="470" w:firstLineChars="196"/>
        <w:textAlignment w:val="auto"/>
        <w:rPr>
          <w:rFonts w:hint="eastAsia" w:ascii="仿宋" w:hAnsi="仿宋" w:eastAsia="仿宋" w:cs="仿宋"/>
          <w:sz w:val="24"/>
          <w:highlight w:val="none"/>
        </w:rPr>
      </w:pPr>
      <w:r>
        <w:rPr>
          <w:rFonts w:hint="eastAsia" w:ascii="仿宋" w:hAnsi="仿宋" w:eastAsia="仿宋" w:cs="仿宋"/>
          <w:sz w:val="24"/>
          <w:highlight w:val="none"/>
        </w:rPr>
        <w:t>3、不得将承接的业务对外转包，不得以任何借口违反审计</w:t>
      </w:r>
      <w:r>
        <w:rPr>
          <w:rFonts w:hint="eastAsia" w:ascii="仿宋" w:hAnsi="仿宋" w:eastAsia="仿宋" w:cs="仿宋"/>
          <w:sz w:val="24"/>
          <w:highlight w:val="none"/>
          <w:lang w:eastAsia="zh-CN"/>
        </w:rPr>
        <w:t>工作</w:t>
      </w:r>
      <w:r>
        <w:rPr>
          <w:rFonts w:hint="eastAsia" w:ascii="仿宋" w:hAnsi="仿宋" w:eastAsia="仿宋" w:cs="仿宋"/>
          <w:sz w:val="24"/>
          <w:highlight w:val="none"/>
        </w:rPr>
        <w:t>准则和质量控制准则，降低执业</w:t>
      </w:r>
      <w:r>
        <w:rPr>
          <w:rFonts w:hint="eastAsia" w:ascii="仿宋" w:hAnsi="仿宋" w:eastAsia="仿宋" w:cs="仿宋"/>
          <w:sz w:val="24"/>
          <w:highlight w:val="none"/>
          <w:lang w:eastAsia="zh-CN"/>
        </w:rPr>
        <w:t>（工作）</w:t>
      </w:r>
      <w:r>
        <w:rPr>
          <w:rFonts w:hint="eastAsia" w:ascii="仿宋" w:hAnsi="仿宋" w:eastAsia="仿宋" w:cs="仿宋"/>
          <w:sz w:val="24"/>
          <w:highlight w:val="none"/>
        </w:rPr>
        <w:t>质量，并同意对承担相关业务的质量向社会公示；</w:t>
      </w:r>
    </w:p>
    <w:p>
      <w:pPr>
        <w:keepNext w:val="0"/>
        <w:keepLines w:val="0"/>
        <w:pageBreakBefore w:val="0"/>
        <w:kinsoku/>
        <w:wordWrap/>
        <w:overflowPunct/>
        <w:topLinePunct w:val="0"/>
        <w:bidi w:val="0"/>
        <w:snapToGrid/>
        <w:spacing w:line="440" w:lineRule="exact"/>
        <w:ind w:firstLine="470" w:firstLineChars="196"/>
        <w:textAlignment w:val="auto"/>
        <w:rPr>
          <w:rFonts w:hint="eastAsia" w:ascii="仿宋" w:hAnsi="仿宋" w:eastAsia="仿宋" w:cs="仿宋"/>
          <w:sz w:val="24"/>
          <w:highlight w:val="yellow"/>
        </w:rPr>
      </w:pPr>
      <w:r>
        <w:rPr>
          <w:rFonts w:hint="eastAsia" w:ascii="仿宋" w:hAnsi="仿宋" w:eastAsia="仿宋" w:cs="仿宋"/>
          <w:sz w:val="24"/>
          <w:highlight w:val="none"/>
        </w:rPr>
        <w:t>4、愿意接受相关部门对项目质量的审查考核。</w:t>
      </w:r>
    </w:p>
    <w:p>
      <w:pPr>
        <w:keepNext w:val="0"/>
        <w:keepLines w:val="0"/>
        <w:pageBreakBefore w:val="0"/>
        <w:kinsoku/>
        <w:wordWrap/>
        <w:overflowPunct/>
        <w:topLinePunct w:val="0"/>
        <w:bidi w:val="0"/>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第五条 服务保证</w:t>
      </w:r>
    </w:p>
    <w:p>
      <w:pPr>
        <w:keepNext w:val="0"/>
        <w:keepLines w:val="0"/>
        <w:pageBreakBefore w:val="0"/>
        <w:kinsoku/>
        <w:wordWrap/>
        <w:overflowPunct/>
        <w:topLinePunct w:val="0"/>
        <w:bidi w:val="0"/>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乙方提供审计服务时，服务要求应按不低于国家、省、市有关部门规定的服务标准执行。</w:t>
      </w:r>
    </w:p>
    <w:p>
      <w:pPr>
        <w:keepNext w:val="0"/>
        <w:keepLines w:val="0"/>
        <w:pageBreakBefore w:val="0"/>
        <w:numPr>
          <w:ilvl w:val="0"/>
          <w:numId w:val="1"/>
        </w:numPr>
        <w:kinsoku/>
        <w:wordWrap/>
        <w:overflowPunct/>
        <w:topLinePunct w:val="0"/>
        <w:bidi w:val="0"/>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议价、竞价模式</w:t>
      </w:r>
    </w:p>
    <w:p>
      <w:pPr>
        <w:keepNext w:val="0"/>
        <w:keepLines w:val="0"/>
        <w:pageBreakBefore w:val="0"/>
        <w:kinsoku/>
        <w:wordWrap/>
        <w:overflowPunct/>
        <w:topLinePunct w:val="0"/>
        <w:autoSpaceDE w:val="0"/>
        <w:autoSpaceDN w:val="0"/>
        <w:bidi w:val="0"/>
        <w:adjustRightInd w:val="0"/>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1.议价：由采购人先确定需求标准，再选择一家定点供应商议价。由议价产生的最终报价作为合同金额。</w:t>
      </w:r>
    </w:p>
    <w:p>
      <w:pPr>
        <w:keepNext w:val="0"/>
        <w:keepLines w:val="0"/>
        <w:pageBreakBefore w:val="0"/>
        <w:kinsoku/>
        <w:wordWrap/>
        <w:overflowPunct/>
        <w:topLinePunct w:val="0"/>
        <w:autoSpaceDE w:val="0"/>
        <w:autoSpaceDN w:val="0"/>
        <w:bidi w:val="0"/>
        <w:adjustRightInd w:val="0"/>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2.竞价：由采购人先确定需求标准，再指定或者随机选择三家</w:t>
      </w:r>
      <w:r>
        <w:rPr>
          <w:rFonts w:hint="eastAsia" w:ascii="仿宋" w:hAnsi="仿宋" w:eastAsia="仿宋" w:cs="仿宋"/>
          <w:sz w:val="24"/>
          <w:lang w:eastAsia="zh-CN"/>
        </w:rPr>
        <w:t>（含）</w:t>
      </w:r>
      <w:r>
        <w:rPr>
          <w:rFonts w:hint="eastAsia" w:ascii="仿宋" w:hAnsi="仿宋" w:eastAsia="仿宋" w:cs="仿宋"/>
          <w:sz w:val="24"/>
        </w:rPr>
        <w:t>以上供应商报价的采购模式。参与同一竞价项目的供应商之间不得存在利害关系。</w:t>
      </w:r>
    </w:p>
    <w:p>
      <w:pPr>
        <w:keepNext w:val="0"/>
        <w:keepLines w:val="0"/>
        <w:pageBreakBefore w:val="0"/>
        <w:kinsoku/>
        <w:wordWrap/>
        <w:overflowPunct/>
        <w:topLinePunct w:val="0"/>
        <w:autoSpaceDE w:val="0"/>
        <w:autoSpaceDN w:val="0"/>
        <w:bidi w:val="0"/>
        <w:adjustRightInd w:val="0"/>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项目生成后，采购人设置最迟响应时间（最迟响应时间只能设置为距当前时间的24小时以上，含24小时），供应商必须在最迟响应截止时间前上传“技术服务承诺”并提交报价，若因故无法响应，应当登录系统选择放弃并填写原因。如供应商未在最迟响应截止时间前做出上述处理，则视为有违诚实信用的行为。</w:t>
      </w:r>
    </w:p>
    <w:p>
      <w:pPr>
        <w:keepNext w:val="0"/>
        <w:keepLines w:val="0"/>
        <w:pageBreakBefore w:val="0"/>
        <w:kinsoku/>
        <w:wordWrap/>
        <w:overflowPunct/>
        <w:topLinePunct w:val="0"/>
        <w:bidi w:val="0"/>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如交易规则发生变化，有新规定的，则应从其规定。</w:t>
      </w:r>
    </w:p>
    <w:p>
      <w:pPr>
        <w:keepNext w:val="0"/>
        <w:keepLines w:val="0"/>
        <w:pageBreakBefore w:val="0"/>
        <w:kinsoku/>
        <w:wordWrap/>
        <w:overflowPunct/>
        <w:topLinePunct w:val="0"/>
        <w:bidi w:val="0"/>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第七条 相关费用</w:t>
      </w:r>
    </w:p>
    <w:p>
      <w:pPr>
        <w:keepNext w:val="0"/>
        <w:keepLines w:val="0"/>
        <w:pageBreakBefore w:val="0"/>
        <w:kinsoku/>
        <w:wordWrap/>
        <w:overflowPunct/>
        <w:topLinePunct w:val="0"/>
        <w:bidi w:val="0"/>
        <w:snapToGrid/>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1、参考省物价局《关于调整会计师事务所服务收费标准的通知》（浙价服【2011】91号）核定的标准下限不低于30%的优惠</w:t>
      </w:r>
      <w:r>
        <w:rPr>
          <w:rFonts w:hint="eastAsia" w:ascii="仿宋" w:hAnsi="仿宋" w:eastAsia="仿宋" w:cs="仿宋"/>
          <w:sz w:val="24"/>
          <w:highlight w:val="none"/>
          <w:lang w:eastAsia="zh-CN"/>
        </w:rPr>
        <w:t>（标项一）</w:t>
      </w:r>
      <w:r>
        <w:rPr>
          <w:rFonts w:hint="eastAsia" w:ascii="仿宋" w:hAnsi="仿宋" w:eastAsia="仿宋" w:cs="仿宋"/>
          <w:sz w:val="24"/>
          <w:highlight w:val="none"/>
        </w:rPr>
        <w:t>；各级计算机技术人员费用参考《浙江省审计厅聘请外部人员参与审计工作管理办法》（浙审办〔2016〕7号）第二十五条规定，不高于最高基准价（标项二）。</w:t>
      </w:r>
    </w:p>
    <w:p>
      <w:pPr>
        <w:keepNext w:val="0"/>
        <w:keepLines w:val="0"/>
        <w:pageBreakBefore w:val="0"/>
        <w:numPr>
          <w:ilvl w:val="0"/>
          <w:numId w:val="2"/>
        </w:numPr>
        <w:kinsoku/>
        <w:wordWrap/>
        <w:overflowPunct/>
        <w:topLinePunct w:val="0"/>
        <w:bidi w:val="0"/>
        <w:snapToGrid/>
        <w:spacing w:line="440" w:lineRule="exact"/>
        <w:ind w:firstLine="480" w:firstLineChars="200"/>
        <w:textAlignment w:val="auto"/>
        <w:rPr>
          <w:rFonts w:hint="eastAsia" w:ascii="仿宋" w:hAnsi="仿宋" w:eastAsia="仿宋" w:cs="仿宋"/>
          <w:sz w:val="24"/>
          <w:highlight w:val="none"/>
          <w:lang w:eastAsia="zh-CN"/>
        </w:rPr>
      </w:pPr>
      <w:r>
        <w:rPr>
          <w:rFonts w:hint="eastAsia" w:ascii="仿宋" w:hAnsi="仿宋" w:eastAsia="仿宋" w:cs="仿宋"/>
          <w:sz w:val="24"/>
          <w:highlight w:val="none"/>
        </w:rPr>
        <w:t>采用计时收费的</w:t>
      </w:r>
      <w:r>
        <w:rPr>
          <w:rFonts w:hint="eastAsia" w:ascii="仿宋" w:hAnsi="仿宋" w:eastAsia="仿宋" w:cs="仿宋"/>
          <w:sz w:val="24"/>
          <w:highlight w:val="none"/>
          <w:lang w:eastAsia="zh-CN"/>
        </w:rPr>
        <w:t>：</w:t>
      </w:r>
    </w:p>
    <w:p>
      <w:pPr>
        <w:keepNext w:val="0"/>
        <w:keepLines w:val="0"/>
        <w:pageBreakBefore w:val="0"/>
        <w:numPr>
          <w:ilvl w:val="0"/>
          <w:numId w:val="0"/>
        </w:numPr>
        <w:kinsoku/>
        <w:wordWrap/>
        <w:overflowPunct/>
        <w:topLinePunct w:val="0"/>
        <w:bidi w:val="0"/>
        <w:snapToGrid/>
        <w:spacing w:line="440" w:lineRule="exact"/>
        <w:ind w:firstLine="480" w:firstLineChars="200"/>
        <w:textAlignment w:val="auto"/>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标项一</w:t>
      </w:r>
      <w:r>
        <w:rPr>
          <w:rFonts w:hint="eastAsia" w:ascii="仿宋" w:hAnsi="仿宋" w:eastAsia="仿宋" w:cs="仿宋"/>
          <w:sz w:val="24"/>
          <w:highlight w:val="none"/>
        </w:rPr>
        <w:t>不高于：注册会计师人员900元/天</w:t>
      </w:r>
      <w:r>
        <w:rPr>
          <w:rFonts w:hint="eastAsia" w:ascii="仿宋" w:hAnsi="仿宋" w:eastAsia="仿宋" w:cs="仿宋"/>
          <w:sz w:val="24"/>
          <w:highlight w:val="none"/>
          <w:lang w:eastAsia="zh-CN"/>
        </w:rPr>
        <w:t>。</w:t>
      </w:r>
    </w:p>
    <w:p>
      <w:pPr>
        <w:keepNext w:val="0"/>
        <w:keepLines w:val="0"/>
        <w:pageBreakBefore w:val="0"/>
        <w:numPr>
          <w:ilvl w:val="0"/>
          <w:numId w:val="0"/>
        </w:numPr>
        <w:kinsoku/>
        <w:wordWrap/>
        <w:overflowPunct/>
        <w:topLinePunct w:val="0"/>
        <w:bidi w:val="0"/>
        <w:snapToGrid/>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lang w:eastAsia="zh-CN"/>
        </w:rPr>
        <w:t>标项二不高于：</w:t>
      </w:r>
      <w:r>
        <w:rPr>
          <w:rFonts w:hint="eastAsia" w:ascii="仿宋" w:hAnsi="仿宋" w:eastAsia="仿宋" w:cs="仿宋"/>
          <w:sz w:val="24"/>
          <w:highlight w:val="none"/>
        </w:rPr>
        <w:t>计算机及相关专业高级技术人员1000元/天</w:t>
      </w:r>
      <w:r>
        <w:rPr>
          <w:rFonts w:hint="eastAsia" w:ascii="仿宋" w:hAnsi="仿宋" w:eastAsia="仿宋" w:cs="仿宋"/>
          <w:sz w:val="24"/>
          <w:highlight w:val="none"/>
          <w:lang w:eastAsia="zh-CN"/>
        </w:rPr>
        <w:t>。</w:t>
      </w:r>
      <w:r>
        <w:rPr>
          <w:rFonts w:hint="eastAsia" w:ascii="仿宋" w:hAnsi="仿宋" w:eastAsia="仿宋" w:cs="仿宋"/>
          <w:sz w:val="24"/>
          <w:highlight w:val="none"/>
        </w:rPr>
        <w:t>如《浙江省审计厅聘请外部人员参与审计工作管理办法》更改，报酬参照更改后的标准执行，不高于最高基准价。</w:t>
      </w:r>
    </w:p>
    <w:p>
      <w:pPr>
        <w:keepNext w:val="0"/>
        <w:keepLines w:val="0"/>
        <w:pageBreakBefore w:val="0"/>
        <w:numPr>
          <w:ilvl w:val="0"/>
          <w:numId w:val="0"/>
        </w:numPr>
        <w:kinsoku/>
        <w:wordWrap/>
        <w:overflowPunct/>
        <w:topLinePunct w:val="0"/>
        <w:bidi w:val="0"/>
        <w:snapToGrid/>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采购人有奖惩制度的，双方另行协商。</w:t>
      </w:r>
    </w:p>
    <w:p>
      <w:pPr>
        <w:keepNext w:val="0"/>
        <w:keepLines w:val="0"/>
        <w:pageBreakBefore w:val="0"/>
        <w:kinsoku/>
        <w:wordWrap/>
        <w:overflowPunct/>
        <w:topLinePunct w:val="0"/>
        <w:bidi w:val="0"/>
        <w:snapToGrid/>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rPr>
        <w:t>采购人可与定点</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"http://www.zycg.gov.cn/ZYCG/NEW_GGB/index.asp" \t "_blank" </w:instrText>
      </w:r>
      <w:r>
        <w:rPr>
          <w:rFonts w:hint="eastAsia" w:ascii="仿宋" w:hAnsi="仿宋" w:eastAsia="仿宋" w:cs="仿宋"/>
          <w:highlight w:val="none"/>
        </w:rPr>
        <w:fldChar w:fldCharType="separate"/>
      </w:r>
      <w:r>
        <w:rPr>
          <w:rFonts w:hint="eastAsia" w:ascii="仿宋" w:hAnsi="仿宋" w:eastAsia="仿宋" w:cs="仿宋"/>
          <w:sz w:val="24"/>
          <w:highlight w:val="none"/>
        </w:rPr>
        <w:t>供应</w:t>
      </w:r>
      <w:r>
        <w:rPr>
          <w:rFonts w:hint="eastAsia" w:ascii="仿宋" w:hAnsi="仿宋" w:eastAsia="仿宋" w:cs="仿宋"/>
          <w:sz w:val="24"/>
          <w:highlight w:val="none"/>
        </w:rPr>
        <w:fldChar w:fldCharType="end"/>
      </w:r>
      <w:r>
        <w:rPr>
          <w:rFonts w:hint="eastAsia" w:ascii="仿宋" w:hAnsi="仿宋" w:eastAsia="仿宋" w:cs="仿宋"/>
          <w:sz w:val="24"/>
          <w:highlight w:val="none"/>
        </w:rPr>
        <w:t>商在最高限价的基础上进行议价和竞价，以获得更优惠的价格。</w:t>
      </w:r>
    </w:p>
    <w:p>
      <w:pPr>
        <w:keepNext w:val="0"/>
        <w:keepLines w:val="0"/>
        <w:pageBreakBefore w:val="0"/>
        <w:kinsoku/>
        <w:wordWrap/>
        <w:overflowPunct/>
        <w:topLinePunct w:val="0"/>
        <w:autoSpaceDE w:val="0"/>
        <w:autoSpaceDN w:val="0"/>
        <w:bidi w:val="0"/>
        <w:adjustRightInd w:val="0"/>
        <w:snapToGrid/>
        <w:spacing w:line="440" w:lineRule="exact"/>
        <w:ind w:firstLine="360" w:firstLineChars="150"/>
        <w:textAlignment w:val="auto"/>
        <w:rPr>
          <w:rFonts w:hint="eastAsia" w:ascii="仿宋" w:hAnsi="仿宋" w:eastAsia="仿宋" w:cs="仿宋"/>
          <w:sz w:val="24"/>
        </w:rPr>
      </w:pPr>
      <w:r>
        <w:rPr>
          <w:rFonts w:hint="eastAsia" w:ascii="仿宋" w:hAnsi="仿宋" w:eastAsia="仿宋" w:cs="仿宋"/>
          <w:sz w:val="24"/>
        </w:rPr>
        <w:t>第八条 费用结算</w:t>
      </w:r>
    </w:p>
    <w:p>
      <w:pPr>
        <w:keepNext w:val="0"/>
        <w:keepLines w:val="0"/>
        <w:pageBreakBefore w:val="0"/>
        <w:kinsoku/>
        <w:wordWrap/>
        <w:overflowPunct/>
        <w:topLinePunct w:val="0"/>
        <w:autoSpaceDE w:val="0"/>
        <w:autoSpaceDN w:val="0"/>
        <w:bidi w:val="0"/>
        <w:adjustRightInd w:val="0"/>
        <w:snapToGrid/>
        <w:spacing w:line="440" w:lineRule="exact"/>
        <w:ind w:firstLine="360" w:firstLineChars="150"/>
        <w:textAlignment w:val="auto"/>
        <w:rPr>
          <w:rFonts w:hint="eastAsia" w:ascii="仿宋" w:hAnsi="仿宋" w:eastAsia="仿宋" w:cs="仿宋"/>
          <w:sz w:val="24"/>
        </w:rPr>
      </w:pPr>
      <w:r>
        <w:rPr>
          <w:rFonts w:hint="eastAsia" w:ascii="仿宋" w:hAnsi="仿宋" w:eastAsia="仿宋" w:cs="仿宋"/>
          <w:sz w:val="24"/>
          <w:lang w:val="zh-CN"/>
        </w:rPr>
        <w:t>按照采购人和乙方签订的审计服务委托合同的约定支付。</w:t>
      </w:r>
    </w:p>
    <w:p>
      <w:pPr>
        <w:keepNext w:val="0"/>
        <w:keepLines w:val="0"/>
        <w:pageBreakBefore w:val="0"/>
        <w:numPr>
          <w:ilvl w:val="0"/>
          <w:numId w:val="3"/>
        </w:numPr>
        <w:kinsoku/>
        <w:wordWrap/>
        <w:overflowPunct/>
        <w:topLinePunct w:val="0"/>
        <w:bidi w:val="0"/>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监管处罚制度</w:t>
      </w:r>
    </w:p>
    <w:p>
      <w:pPr>
        <w:keepNext w:val="0"/>
        <w:keepLines w:val="0"/>
        <w:pageBreakBefore w:val="0"/>
        <w:kinsoku/>
        <w:wordWrap/>
        <w:overflowPunct/>
        <w:topLinePunct w:val="0"/>
        <w:bidi w:val="0"/>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甲方将协助采购监管部门根据《杭州市政府采购供应商注册及诚信管理实施办法》及浙江省政府采购项目电子交易管理相关规定，在网上采购系统中设置相应考核指标，对乙方网上采购活动行为、履约行为及履约满意度等进行考核评价。</w:t>
      </w:r>
    </w:p>
    <w:p>
      <w:pPr>
        <w:keepNext w:val="0"/>
        <w:keepLines w:val="0"/>
        <w:pageBreakBefore w:val="0"/>
        <w:kinsoku/>
        <w:wordWrap/>
        <w:overflowPunct/>
        <w:topLinePunct w:val="0"/>
        <w:bidi w:val="0"/>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甲方将协助采购监管部门不定期对定点入围供应商的履约情况进行检查，如发现乙方有违反政府采购法律法规行为、未按照协议约定和承诺的行为以及其他违法行为的，采购监管部门将依法予以处理，甲方也将提前终止定点入围协议。</w:t>
      </w:r>
    </w:p>
    <w:p>
      <w:pPr>
        <w:keepNext w:val="0"/>
        <w:keepLines w:val="0"/>
        <w:pageBreakBefore w:val="0"/>
        <w:kinsoku/>
        <w:wordWrap/>
        <w:overflowPunct/>
        <w:topLinePunct w:val="0"/>
        <w:bidi w:val="0"/>
        <w:snapToGrid/>
        <w:spacing w:line="440" w:lineRule="exact"/>
        <w:ind w:firstLine="523" w:firstLineChars="218"/>
        <w:textAlignment w:val="auto"/>
        <w:rPr>
          <w:rFonts w:hint="eastAsia" w:ascii="仿宋" w:hAnsi="仿宋" w:eastAsia="仿宋" w:cs="仿宋"/>
          <w:sz w:val="24"/>
        </w:rPr>
      </w:pPr>
      <w:r>
        <w:rPr>
          <w:rFonts w:hint="eastAsia" w:ascii="仿宋" w:hAnsi="仿宋" w:eastAsia="仿宋" w:cs="仿宋"/>
          <w:sz w:val="24"/>
        </w:rPr>
        <w:t>采购人如向甲方和采购监管部门反映乙方服务不到位等问题，甲方和采购监管部门将重点约谈乙方，如乙方无法提供合理解释或拒不改正的，采购监管部门将依法予以处理，甲方也将提前终止定点入围协议。</w:t>
      </w:r>
    </w:p>
    <w:p>
      <w:pPr>
        <w:keepNext w:val="0"/>
        <w:keepLines w:val="0"/>
        <w:pageBreakBefore w:val="0"/>
        <w:kinsoku/>
        <w:wordWrap/>
        <w:overflowPunct/>
        <w:topLinePunct w:val="0"/>
        <w:bidi w:val="0"/>
        <w:snapToGrid/>
        <w:spacing w:line="440" w:lineRule="exact"/>
        <w:ind w:firstLine="523" w:firstLineChars="218"/>
        <w:textAlignment w:val="auto"/>
        <w:rPr>
          <w:rFonts w:hint="eastAsia" w:ascii="仿宋" w:hAnsi="仿宋" w:eastAsia="仿宋" w:cs="仿宋"/>
          <w:sz w:val="24"/>
        </w:rPr>
      </w:pPr>
      <w:r>
        <w:rPr>
          <w:rFonts w:hint="eastAsia" w:ascii="仿宋" w:hAnsi="仿宋" w:eastAsia="仿宋" w:cs="仿宋"/>
          <w:sz w:val="24"/>
        </w:rPr>
        <w:t>第十条 采购人和乙方发生争议的解决</w:t>
      </w:r>
    </w:p>
    <w:p>
      <w:pPr>
        <w:keepNext w:val="0"/>
        <w:keepLines w:val="0"/>
        <w:pageBreakBefore w:val="0"/>
        <w:kinsoku/>
        <w:wordWrap/>
        <w:overflowPunct/>
        <w:topLinePunct w:val="0"/>
        <w:bidi w:val="0"/>
        <w:snapToGrid/>
        <w:spacing w:line="440" w:lineRule="exact"/>
        <w:ind w:firstLine="523" w:firstLineChars="218"/>
        <w:textAlignment w:val="auto"/>
        <w:rPr>
          <w:rFonts w:hint="eastAsia" w:ascii="仿宋" w:hAnsi="仿宋" w:eastAsia="仿宋" w:cs="仿宋"/>
          <w:sz w:val="24"/>
        </w:rPr>
      </w:pPr>
      <w:r>
        <w:rPr>
          <w:rFonts w:hint="eastAsia" w:ascii="仿宋" w:hAnsi="仿宋" w:eastAsia="仿宋" w:cs="仿宋"/>
          <w:sz w:val="24"/>
        </w:rPr>
        <w:t>采购人和乙方如发生纠纷，应当及时协商解决，并按《浙江省政府采购合同暂行办法》、《中华人民共和国政府采购法》、《中华人民共和国合同法》或其他法律法规的规定处理。</w:t>
      </w:r>
    </w:p>
    <w:p>
      <w:pPr>
        <w:keepNext w:val="0"/>
        <w:keepLines w:val="0"/>
        <w:pageBreakBefore w:val="0"/>
        <w:kinsoku/>
        <w:wordWrap/>
        <w:overflowPunct/>
        <w:topLinePunct w:val="0"/>
        <w:bidi w:val="0"/>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第十一条 本协议争议的解决</w:t>
      </w:r>
    </w:p>
    <w:p>
      <w:pPr>
        <w:keepNext w:val="0"/>
        <w:keepLines w:val="0"/>
        <w:pageBreakBefore w:val="0"/>
        <w:kinsoku/>
        <w:wordWrap/>
        <w:overflowPunct/>
        <w:topLinePunct w:val="0"/>
        <w:bidi w:val="0"/>
        <w:snapToGrid/>
        <w:spacing w:line="440" w:lineRule="exact"/>
        <w:textAlignment w:val="auto"/>
        <w:rPr>
          <w:rFonts w:hint="eastAsia" w:ascii="仿宋" w:hAnsi="仿宋" w:eastAsia="仿宋" w:cs="仿宋"/>
          <w:sz w:val="24"/>
        </w:rPr>
      </w:pPr>
      <w:r>
        <w:rPr>
          <w:rFonts w:hint="eastAsia" w:ascii="仿宋" w:hAnsi="仿宋" w:eastAsia="仿宋" w:cs="仿宋"/>
          <w:sz w:val="24"/>
        </w:rPr>
        <w:t xml:space="preserve">    本协议如发生纠纷，甲、乙应当及时协商解决，如协商不成，按《中华人民共和国政府采购法》、《中华人民共和国合同法》或其他法律法规的规定处理。</w:t>
      </w:r>
    </w:p>
    <w:p>
      <w:pPr>
        <w:keepNext w:val="0"/>
        <w:keepLines w:val="0"/>
        <w:pageBreakBefore w:val="0"/>
        <w:kinsoku/>
        <w:wordWrap/>
        <w:overflowPunct/>
        <w:topLinePunct w:val="0"/>
        <w:bidi w:val="0"/>
        <w:snapToGrid/>
        <w:spacing w:line="440" w:lineRule="exact"/>
        <w:ind w:firstLine="523" w:firstLineChars="218"/>
        <w:textAlignment w:val="auto"/>
        <w:rPr>
          <w:rFonts w:hint="eastAsia" w:ascii="仿宋" w:hAnsi="仿宋" w:eastAsia="仿宋" w:cs="仿宋"/>
          <w:sz w:val="24"/>
        </w:rPr>
      </w:pPr>
      <w:r>
        <w:rPr>
          <w:rFonts w:hint="eastAsia" w:ascii="仿宋" w:hAnsi="仿宋" w:eastAsia="仿宋" w:cs="仿宋"/>
          <w:sz w:val="24"/>
        </w:rPr>
        <w:t>第十二条 违约责任：</w:t>
      </w:r>
    </w:p>
    <w:p>
      <w:pPr>
        <w:keepNext w:val="0"/>
        <w:keepLines w:val="0"/>
        <w:pageBreakBefore w:val="0"/>
        <w:kinsoku/>
        <w:wordWrap/>
        <w:overflowPunct/>
        <w:topLinePunct w:val="0"/>
        <w:bidi w:val="0"/>
        <w:snapToGrid/>
        <w:spacing w:line="440" w:lineRule="exact"/>
        <w:ind w:firstLine="523" w:firstLineChars="218"/>
        <w:textAlignment w:val="auto"/>
        <w:rPr>
          <w:rFonts w:hint="eastAsia" w:ascii="仿宋" w:hAnsi="仿宋" w:eastAsia="仿宋" w:cs="仿宋"/>
          <w:sz w:val="24"/>
        </w:rPr>
      </w:pPr>
      <w:r>
        <w:rPr>
          <w:rFonts w:hint="eastAsia" w:ascii="仿宋" w:hAnsi="仿宋" w:eastAsia="仿宋" w:cs="仿宋"/>
          <w:sz w:val="24"/>
        </w:rPr>
        <w:t>1、双方要严格按协议书履约；</w:t>
      </w:r>
    </w:p>
    <w:p>
      <w:pPr>
        <w:keepNext w:val="0"/>
        <w:keepLines w:val="0"/>
        <w:pageBreakBefore w:val="0"/>
        <w:kinsoku/>
        <w:wordWrap/>
        <w:overflowPunct/>
        <w:topLinePunct w:val="0"/>
        <w:bidi w:val="0"/>
        <w:snapToGrid/>
        <w:spacing w:line="440" w:lineRule="exact"/>
        <w:ind w:firstLine="523" w:firstLineChars="218"/>
        <w:textAlignment w:val="auto"/>
        <w:rPr>
          <w:rFonts w:hint="eastAsia" w:ascii="仿宋" w:hAnsi="仿宋" w:eastAsia="仿宋" w:cs="仿宋"/>
          <w:sz w:val="24"/>
        </w:rPr>
      </w:pPr>
      <w:r>
        <w:rPr>
          <w:rFonts w:hint="eastAsia" w:ascii="仿宋" w:hAnsi="仿宋" w:eastAsia="仿宋" w:cs="仿宋"/>
          <w:sz w:val="24"/>
        </w:rPr>
        <w:t>2、如乙方违反采购文件和协议书的有关规定，甲方有权根据采购文件和相应的法律法规对乙方进行处理，并有权提前终止协议书。</w:t>
      </w:r>
    </w:p>
    <w:p>
      <w:pPr>
        <w:keepNext w:val="0"/>
        <w:keepLines w:val="0"/>
        <w:pageBreakBefore w:val="0"/>
        <w:kinsoku/>
        <w:wordWrap/>
        <w:overflowPunct/>
        <w:topLinePunct w:val="0"/>
        <w:bidi w:val="0"/>
        <w:snapToGrid/>
        <w:spacing w:line="440" w:lineRule="exact"/>
        <w:ind w:firstLine="523" w:firstLineChars="218"/>
        <w:textAlignment w:val="auto"/>
        <w:rPr>
          <w:rFonts w:hint="eastAsia" w:ascii="仿宋" w:hAnsi="仿宋" w:eastAsia="仿宋" w:cs="仿宋"/>
          <w:sz w:val="24"/>
        </w:rPr>
      </w:pPr>
      <w:r>
        <w:rPr>
          <w:rFonts w:hint="eastAsia" w:ascii="仿宋" w:hAnsi="仿宋" w:eastAsia="仿宋" w:cs="仿宋"/>
          <w:sz w:val="24"/>
        </w:rPr>
        <w:t>3、未经甲方同意，乙方不得擅自中止本协议，否则甲方有权没收履约保证金。</w:t>
      </w:r>
    </w:p>
    <w:p>
      <w:pPr>
        <w:keepNext w:val="0"/>
        <w:keepLines w:val="0"/>
        <w:pageBreakBefore w:val="0"/>
        <w:kinsoku/>
        <w:wordWrap/>
        <w:overflowPunct/>
        <w:topLinePunct w:val="0"/>
        <w:autoSpaceDE w:val="0"/>
        <w:autoSpaceDN w:val="0"/>
        <w:bidi w:val="0"/>
        <w:adjustRightInd w:val="0"/>
        <w:snapToGrid/>
        <w:spacing w:line="440" w:lineRule="exact"/>
        <w:ind w:firstLine="360" w:firstLineChars="150"/>
        <w:textAlignment w:val="auto"/>
        <w:rPr>
          <w:rFonts w:hint="eastAsia" w:ascii="仿宋" w:hAnsi="仿宋" w:eastAsia="仿宋" w:cs="仿宋"/>
          <w:sz w:val="24"/>
        </w:rPr>
      </w:pPr>
      <w:r>
        <w:rPr>
          <w:rFonts w:hint="eastAsia" w:ascii="仿宋" w:hAnsi="仿宋" w:eastAsia="仿宋" w:cs="仿宋"/>
          <w:sz w:val="24"/>
        </w:rPr>
        <w:t>第十三条 协议的生效</w:t>
      </w:r>
    </w:p>
    <w:p>
      <w:pPr>
        <w:keepNext w:val="0"/>
        <w:keepLines w:val="0"/>
        <w:pageBreakBefore w:val="0"/>
        <w:kinsoku/>
        <w:wordWrap/>
        <w:overflowPunct/>
        <w:topLinePunct w:val="0"/>
        <w:autoSpaceDE w:val="0"/>
        <w:autoSpaceDN w:val="0"/>
        <w:bidi w:val="0"/>
        <w:adjustRightInd w:val="0"/>
        <w:snapToGrid/>
        <w:spacing w:line="440" w:lineRule="exact"/>
        <w:ind w:firstLine="360" w:firstLineChars="150"/>
        <w:textAlignment w:val="auto"/>
        <w:rPr>
          <w:rFonts w:hint="eastAsia" w:ascii="仿宋" w:hAnsi="仿宋" w:eastAsia="仿宋" w:cs="仿宋"/>
          <w:sz w:val="24"/>
        </w:rPr>
      </w:pPr>
      <w:r>
        <w:rPr>
          <w:rFonts w:hint="eastAsia" w:ascii="仿宋" w:hAnsi="仿宋" w:eastAsia="仿宋" w:cs="仿宋"/>
          <w:sz w:val="24"/>
        </w:rPr>
        <w:t>1、本协议经甲乙双方法定代表人或其委托人签字盖章，并由乙方向甲方缴纳履约保证金（年度保证金）后生效。</w:t>
      </w:r>
    </w:p>
    <w:p>
      <w:pPr>
        <w:keepNext w:val="0"/>
        <w:keepLines w:val="0"/>
        <w:pageBreakBefore w:val="0"/>
        <w:kinsoku/>
        <w:wordWrap/>
        <w:overflowPunct/>
        <w:topLinePunct w:val="0"/>
        <w:autoSpaceDE w:val="0"/>
        <w:autoSpaceDN w:val="0"/>
        <w:bidi w:val="0"/>
        <w:adjustRightInd w:val="0"/>
        <w:snapToGrid/>
        <w:spacing w:line="440" w:lineRule="exact"/>
        <w:ind w:firstLine="360" w:firstLineChars="150"/>
        <w:textAlignment w:val="auto"/>
        <w:rPr>
          <w:rFonts w:hint="eastAsia" w:ascii="仿宋" w:hAnsi="仿宋" w:eastAsia="仿宋" w:cs="仿宋"/>
          <w:sz w:val="24"/>
        </w:rPr>
      </w:pPr>
      <w:r>
        <w:rPr>
          <w:rFonts w:hint="eastAsia" w:ascii="仿宋" w:hAnsi="仿宋" w:eastAsia="仿宋" w:cs="仿宋"/>
          <w:sz w:val="24"/>
        </w:rPr>
        <w:t>2、协议履行期内甲乙双方均不得随意变更或解除协议。协议书若有未尽事宜，需经双方共同协商，作出补充规定，补充规定与本协议书有同等法律效力。</w:t>
      </w:r>
    </w:p>
    <w:p>
      <w:pPr>
        <w:keepNext w:val="0"/>
        <w:keepLines w:val="0"/>
        <w:pageBreakBefore w:val="0"/>
        <w:kinsoku/>
        <w:wordWrap/>
        <w:overflowPunct/>
        <w:topLinePunct w:val="0"/>
        <w:autoSpaceDE w:val="0"/>
        <w:autoSpaceDN w:val="0"/>
        <w:bidi w:val="0"/>
        <w:adjustRightInd w:val="0"/>
        <w:snapToGrid/>
        <w:spacing w:line="440" w:lineRule="exact"/>
        <w:ind w:firstLine="360" w:firstLineChars="150"/>
        <w:textAlignment w:val="auto"/>
        <w:rPr>
          <w:rFonts w:hint="eastAsia" w:ascii="仿宋" w:hAnsi="仿宋" w:eastAsia="仿宋" w:cs="仿宋"/>
          <w:sz w:val="24"/>
        </w:rPr>
      </w:pPr>
      <w:r>
        <w:rPr>
          <w:rFonts w:hint="eastAsia" w:ascii="仿宋" w:hAnsi="仿宋" w:eastAsia="仿宋" w:cs="仿宋"/>
          <w:sz w:val="24"/>
        </w:rPr>
        <w:t>3、本项目采购文件（通知）（编号：HZZFCG-2018-142）、报名文件及审核过程中形成的文字资料、询标纪要均作为本协议的组成部分，具有同等效力。</w:t>
      </w:r>
    </w:p>
    <w:p>
      <w:pPr>
        <w:keepNext w:val="0"/>
        <w:keepLines w:val="0"/>
        <w:pageBreakBefore w:val="0"/>
        <w:kinsoku/>
        <w:wordWrap/>
        <w:overflowPunct/>
        <w:topLinePunct w:val="0"/>
        <w:autoSpaceDE w:val="0"/>
        <w:autoSpaceDN w:val="0"/>
        <w:bidi w:val="0"/>
        <w:adjustRightInd w:val="0"/>
        <w:snapToGrid/>
        <w:spacing w:line="440" w:lineRule="exact"/>
        <w:ind w:firstLine="360" w:firstLineChars="150"/>
        <w:textAlignment w:val="auto"/>
        <w:rPr>
          <w:rFonts w:hint="eastAsia" w:ascii="仿宋" w:hAnsi="仿宋" w:eastAsia="仿宋" w:cs="仿宋"/>
          <w:sz w:val="24"/>
        </w:rPr>
      </w:pPr>
      <w:r>
        <w:rPr>
          <w:rFonts w:hint="eastAsia" w:ascii="仿宋" w:hAnsi="仿宋" w:eastAsia="仿宋" w:cs="仿宋"/>
          <w:sz w:val="24"/>
        </w:rPr>
        <w:t>4、本协议一式二份，甲方、乙方各执一份。</w:t>
      </w:r>
    </w:p>
    <w:tbl>
      <w:tblPr>
        <w:tblStyle w:val="3"/>
        <w:tblW w:w="9577" w:type="dxa"/>
        <w:jc w:val="center"/>
        <w:tblInd w:w="0" w:type="dxa"/>
        <w:tblLayout w:type="fixed"/>
        <w:tblCellMar>
          <w:top w:w="0" w:type="dxa"/>
          <w:left w:w="108" w:type="dxa"/>
          <w:bottom w:w="0" w:type="dxa"/>
          <w:right w:w="108" w:type="dxa"/>
        </w:tblCellMar>
      </w:tblPr>
      <w:tblGrid>
        <w:gridCol w:w="4416"/>
        <w:gridCol w:w="5161"/>
      </w:tblGrid>
      <w:tr>
        <w:tblPrEx>
          <w:tblLayout w:type="fixed"/>
          <w:tblCellMar>
            <w:top w:w="0" w:type="dxa"/>
            <w:left w:w="108" w:type="dxa"/>
            <w:bottom w:w="0" w:type="dxa"/>
            <w:right w:w="108" w:type="dxa"/>
          </w:tblCellMar>
        </w:tblPrEx>
        <w:trPr>
          <w:jc w:val="center"/>
        </w:trPr>
        <w:tc>
          <w:tcPr>
            <w:tcW w:w="4416" w:type="dxa"/>
            <w:noWrap w:val="0"/>
            <w:vAlign w:val="top"/>
          </w:tcPr>
          <w:p>
            <w:pPr>
              <w:keepNext w:val="0"/>
              <w:keepLines w:val="0"/>
              <w:pageBreakBefore w:val="0"/>
              <w:widowControl/>
              <w:kinsoku/>
              <w:wordWrap/>
              <w:overflowPunct/>
              <w:topLinePunct w:val="0"/>
              <w:bidi w:val="0"/>
              <w:snapToGrid/>
              <w:spacing w:line="440" w:lineRule="exact"/>
              <w:ind w:left="1560" w:hanging="1560" w:hangingChars="650"/>
              <w:textAlignment w:val="auto"/>
              <w:rPr>
                <w:rFonts w:hint="eastAsia" w:ascii="仿宋" w:hAnsi="仿宋" w:eastAsia="仿宋" w:cs="仿宋"/>
                <w:kern w:val="0"/>
                <w:sz w:val="24"/>
              </w:rPr>
            </w:pPr>
            <w:r>
              <w:rPr>
                <w:rFonts w:hint="eastAsia" w:ascii="仿宋" w:hAnsi="仿宋" w:eastAsia="仿宋" w:cs="仿宋"/>
                <w:kern w:val="0"/>
                <w:sz w:val="24"/>
              </w:rPr>
              <w:t>甲方（盖章）：杭州市公共资源交易中心（杭州市政府采购中心）</w:t>
            </w:r>
          </w:p>
        </w:tc>
        <w:tc>
          <w:tcPr>
            <w:tcW w:w="5161" w:type="dxa"/>
            <w:noWrap w:val="0"/>
            <w:vAlign w:val="top"/>
          </w:tcPr>
          <w:p>
            <w:pPr>
              <w:keepNext w:val="0"/>
              <w:keepLines w:val="0"/>
              <w:pageBreakBefore w:val="0"/>
              <w:widowControl/>
              <w:kinsoku/>
              <w:wordWrap/>
              <w:overflowPunct/>
              <w:topLinePunct w:val="0"/>
              <w:bidi w:val="0"/>
              <w:snapToGrid/>
              <w:spacing w:line="440" w:lineRule="exact"/>
              <w:ind w:firstLine="120"/>
              <w:textAlignment w:val="auto"/>
              <w:rPr>
                <w:rFonts w:hint="eastAsia" w:ascii="仿宋" w:hAnsi="仿宋" w:eastAsia="仿宋" w:cs="仿宋"/>
                <w:kern w:val="0"/>
                <w:sz w:val="24"/>
              </w:rPr>
            </w:pPr>
            <w:r>
              <w:rPr>
                <w:rFonts w:hint="eastAsia" w:ascii="仿宋" w:hAnsi="仿宋" w:eastAsia="仿宋" w:cs="仿宋"/>
                <w:kern w:val="0"/>
                <w:sz w:val="24"/>
              </w:rPr>
              <w:t>乙方（盖章）：</w:t>
            </w:r>
          </w:p>
        </w:tc>
      </w:tr>
      <w:tr>
        <w:tblPrEx>
          <w:tblLayout w:type="fixed"/>
          <w:tblCellMar>
            <w:top w:w="0" w:type="dxa"/>
            <w:left w:w="108" w:type="dxa"/>
            <w:bottom w:w="0" w:type="dxa"/>
            <w:right w:w="108" w:type="dxa"/>
          </w:tblCellMar>
        </w:tblPrEx>
        <w:trPr>
          <w:jc w:val="center"/>
        </w:trPr>
        <w:tc>
          <w:tcPr>
            <w:tcW w:w="4416" w:type="dxa"/>
            <w:noWrap w:val="0"/>
            <w:vAlign w:val="top"/>
          </w:tcPr>
          <w:p>
            <w:pPr>
              <w:keepNext w:val="0"/>
              <w:keepLines w:val="0"/>
              <w:pageBreakBefore w:val="0"/>
              <w:widowControl/>
              <w:kinsoku/>
              <w:wordWrap/>
              <w:overflowPunct/>
              <w:topLinePunct w:val="0"/>
              <w:bidi w:val="0"/>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法定代表人或</w:t>
            </w:r>
          </w:p>
        </w:tc>
        <w:tc>
          <w:tcPr>
            <w:tcW w:w="5161" w:type="dxa"/>
            <w:noWrap w:val="0"/>
            <w:vAlign w:val="top"/>
          </w:tcPr>
          <w:p>
            <w:pPr>
              <w:keepNext w:val="0"/>
              <w:keepLines w:val="0"/>
              <w:pageBreakBefore w:val="0"/>
              <w:widowControl/>
              <w:kinsoku/>
              <w:wordWrap/>
              <w:overflowPunct/>
              <w:topLinePunct w:val="0"/>
              <w:bidi w:val="0"/>
              <w:snapToGrid/>
              <w:spacing w:line="440" w:lineRule="exact"/>
              <w:ind w:firstLine="120"/>
              <w:textAlignment w:val="auto"/>
              <w:rPr>
                <w:rFonts w:hint="eastAsia" w:ascii="仿宋" w:hAnsi="仿宋" w:eastAsia="仿宋" w:cs="仿宋"/>
                <w:kern w:val="0"/>
                <w:sz w:val="24"/>
              </w:rPr>
            </w:pPr>
            <w:r>
              <w:rPr>
                <w:rFonts w:hint="eastAsia" w:ascii="仿宋" w:hAnsi="仿宋" w:eastAsia="仿宋" w:cs="仿宋"/>
                <w:kern w:val="0"/>
                <w:sz w:val="24"/>
              </w:rPr>
              <w:t>法定代表人或</w:t>
            </w:r>
          </w:p>
        </w:tc>
      </w:tr>
      <w:tr>
        <w:tblPrEx>
          <w:tblLayout w:type="fixed"/>
          <w:tblCellMar>
            <w:top w:w="0" w:type="dxa"/>
            <w:left w:w="108" w:type="dxa"/>
            <w:bottom w:w="0" w:type="dxa"/>
            <w:right w:w="108" w:type="dxa"/>
          </w:tblCellMar>
        </w:tblPrEx>
        <w:trPr>
          <w:jc w:val="center"/>
        </w:trPr>
        <w:tc>
          <w:tcPr>
            <w:tcW w:w="4416" w:type="dxa"/>
            <w:noWrap w:val="0"/>
            <w:vAlign w:val="top"/>
          </w:tcPr>
          <w:p>
            <w:pPr>
              <w:keepNext w:val="0"/>
              <w:keepLines w:val="0"/>
              <w:pageBreakBefore w:val="0"/>
              <w:widowControl/>
              <w:kinsoku/>
              <w:wordWrap/>
              <w:overflowPunct/>
              <w:topLinePunct w:val="0"/>
              <w:bidi w:val="0"/>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或授权代表（签字）：</w:t>
            </w:r>
          </w:p>
        </w:tc>
        <w:tc>
          <w:tcPr>
            <w:tcW w:w="5161" w:type="dxa"/>
            <w:noWrap w:val="0"/>
            <w:vAlign w:val="top"/>
          </w:tcPr>
          <w:p>
            <w:pPr>
              <w:keepNext w:val="0"/>
              <w:keepLines w:val="0"/>
              <w:pageBreakBefore w:val="0"/>
              <w:widowControl/>
              <w:kinsoku/>
              <w:wordWrap/>
              <w:overflowPunct/>
              <w:topLinePunct w:val="0"/>
              <w:bidi w:val="0"/>
              <w:snapToGrid/>
              <w:spacing w:line="440" w:lineRule="exact"/>
              <w:ind w:firstLine="120"/>
              <w:textAlignment w:val="auto"/>
              <w:rPr>
                <w:rFonts w:hint="eastAsia" w:ascii="仿宋" w:hAnsi="仿宋" w:eastAsia="仿宋" w:cs="仿宋"/>
                <w:kern w:val="0"/>
                <w:sz w:val="24"/>
              </w:rPr>
            </w:pPr>
            <w:r>
              <w:rPr>
                <w:rFonts w:hint="eastAsia" w:ascii="仿宋" w:hAnsi="仿宋" w:eastAsia="仿宋" w:cs="仿宋"/>
                <w:kern w:val="0"/>
                <w:sz w:val="24"/>
              </w:rPr>
              <w:t>或授权代表（签字）：</w:t>
            </w:r>
          </w:p>
        </w:tc>
      </w:tr>
      <w:tr>
        <w:tblPrEx>
          <w:tblLayout w:type="fixed"/>
          <w:tblCellMar>
            <w:top w:w="0" w:type="dxa"/>
            <w:left w:w="108" w:type="dxa"/>
            <w:bottom w:w="0" w:type="dxa"/>
            <w:right w:w="108" w:type="dxa"/>
          </w:tblCellMar>
        </w:tblPrEx>
        <w:trPr>
          <w:jc w:val="center"/>
        </w:trPr>
        <w:tc>
          <w:tcPr>
            <w:tcW w:w="4416" w:type="dxa"/>
            <w:noWrap w:val="0"/>
            <w:vAlign w:val="top"/>
          </w:tcPr>
          <w:p>
            <w:pPr>
              <w:keepNext w:val="0"/>
              <w:keepLines w:val="0"/>
              <w:pageBreakBefore w:val="0"/>
              <w:widowControl/>
              <w:kinsoku/>
              <w:wordWrap/>
              <w:overflowPunct/>
              <w:topLinePunct w:val="0"/>
              <w:bidi w:val="0"/>
              <w:snapToGrid/>
              <w:spacing w:line="440" w:lineRule="exact"/>
              <w:ind w:left="720" w:hanging="720" w:hangingChars="300"/>
              <w:textAlignment w:val="auto"/>
              <w:rPr>
                <w:rFonts w:hint="eastAsia" w:ascii="仿宋" w:hAnsi="仿宋" w:eastAsia="仿宋" w:cs="仿宋"/>
                <w:kern w:val="0"/>
                <w:sz w:val="24"/>
              </w:rPr>
            </w:pPr>
            <w:r>
              <w:rPr>
                <w:rFonts w:hint="eastAsia" w:ascii="仿宋" w:hAnsi="仿宋" w:eastAsia="仿宋" w:cs="仿宋"/>
                <w:kern w:val="0"/>
                <w:sz w:val="24"/>
              </w:rPr>
              <w:t>地址：杭州市之江路925号临江金座2号楼1009室</w:t>
            </w:r>
          </w:p>
        </w:tc>
        <w:tc>
          <w:tcPr>
            <w:tcW w:w="5161" w:type="dxa"/>
            <w:noWrap w:val="0"/>
            <w:vAlign w:val="top"/>
          </w:tcPr>
          <w:p>
            <w:pPr>
              <w:keepNext w:val="0"/>
              <w:keepLines w:val="0"/>
              <w:pageBreakBefore w:val="0"/>
              <w:widowControl/>
              <w:kinsoku/>
              <w:wordWrap/>
              <w:overflowPunct/>
              <w:topLinePunct w:val="0"/>
              <w:bidi w:val="0"/>
              <w:snapToGrid/>
              <w:spacing w:line="440" w:lineRule="exact"/>
              <w:ind w:firstLine="120"/>
              <w:textAlignment w:val="auto"/>
              <w:rPr>
                <w:rFonts w:hint="eastAsia" w:ascii="仿宋" w:hAnsi="仿宋" w:eastAsia="仿宋" w:cs="仿宋"/>
                <w:kern w:val="0"/>
                <w:sz w:val="24"/>
              </w:rPr>
            </w:pPr>
            <w:r>
              <w:rPr>
                <w:rFonts w:hint="eastAsia" w:ascii="仿宋" w:hAnsi="仿宋" w:eastAsia="仿宋" w:cs="仿宋"/>
                <w:kern w:val="0"/>
                <w:sz w:val="24"/>
              </w:rPr>
              <w:t xml:space="preserve">地址： </w:t>
            </w:r>
          </w:p>
        </w:tc>
      </w:tr>
      <w:tr>
        <w:tblPrEx>
          <w:tblLayout w:type="fixed"/>
          <w:tblCellMar>
            <w:top w:w="0" w:type="dxa"/>
            <w:left w:w="108" w:type="dxa"/>
            <w:bottom w:w="0" w:type="dxa"/>
            <w:right w:w="108" w:type="dxa"/>
          </w:tblCellMar>
        </w:tblPrEx>
        <w:trPr>
          <w:jc w:val="center"/>
        </w:trPr>
        <w:tc>
          <w:tcPr>
            <w:tcW w:w="4416" w:type="dxa"/>
            <w:noWrap w:val="0"/>
            <w:vAlign w:val="top"/>
          </w:tcPr>
          <w:p>
            <w:pPr>
              <w:keepNext w:val="0"/>
              <w:keepLines w:val="0"/>
              <w:pageBreakBefore w:val="0"/>
              <w:widowControl/>
              <w:kinsoku/>
              <w:wordWrap/>
              <w:overflowPunct/>
              <w:topLinePunct w:val="0"/>
              <w:bidi w:val="0"/>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联系人：顾敏洁</w:t>
            </w:r>
          </w:p>
        </w:tc>
        <w:tc>
          <w:tcPr>
            <w:tcW w:w="5161" w:type="dxa"/>
            <w:noWrap w:val="0"/>
            <w:vAlign w:val="top"/>
          </w:tcPr>
          <w:p>
            <w:pPr>
              <w:keepNext w:val="0"/>
              <w:keepLines w:val="0"/>
              <w:pageBreakBefore w:val="0"/>
              <w:widowControl/>
              <w:kinsoku/>
              <w:wordWrap/>
              <w:overflowPunct/>
              <w:topLinePunct w:val="0"/>
              <w:bidi w:val="0"/>
              <w:snapToGrid/>
              <w:spacing w:line="440" w:lineRule="exact"/>
              <w:ind w:firstLine="120"/>
              <w:textAlignment w:val="auto"/>
              <w:rPr>
                <w:rFonts w:hint="eastAsia" w:ascii="仿宋" w:hAnsi="仿宋" w:eastAsia="仿宋" w:cs="仿宋"/>
                <w:kern w:val="0"/>
                <w:sz w:val="24"/>
              </w:rPr>
            </w:pPr>
            <w:r>
              <w:rPr>
                <w:rFonts w:hint="eastAsia" w:ascii="仿宋" w:hAnsi="仿宋" w:eastAsia="仿宋" w:cs="仿宋"/>
                <w:kern w:val="0"/>
                <w:sz w:val="24"/>
              </w:rPr>
              <w:t>联系人：</w:t>
            </w:r>
          </w:p>
        </w:tc>
      </w:tr>
      <w:tr>
        <w:tblPrEx>
          <w:tblLayout w:type="fixed"/>
          <w:tblCellMar>
            <w:top w:w="0" w:type="dxa"/>
            <w:left w:w="108" w:type="dxa"/>
            <w:bottom w:w="0" w:type="dxa"/>
            <w:right w:w="108" w:type="dxa"/>
          </w:tblCellMar>
        </w:tblPrEx>
        <w:trPr>
          <w:jc w:val="center"/>
        </w:trPr>
        <w:tc>
          <w:tcPr>
            <w:tcW w:w="4416" w:type="dxa"/>
            <w:noWrap w:val="0"/>
            <w:vAlign w:val="top"/>
          </w:tcPr>
          <w:p>
            <w:pPr>
              <w:keepNext w:val="0"/>
              <w:keepLines w:val="0"/>
              <w:pageBreakBefore w:val="0"/>
              <w:widowControl/>
              <w:kinsoku/>
              <w:wordWrap/>
              <w:overflowPunct/>
              <w:topLinePunct w:val="0"/>
              <w:bidi w:val="0"/>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联系电话：0571-85085029</w:t>
            </w:r>
          </w:p>
        </w:tc>
        <w:tc>
          <w:tcPr>
            <w:tcW w:w="5161" w:type="dxa"/>
            <w:noWrap w:val="0"/>
            <w:vAlign w:val="top"/>
          </w:tcPr>
          <w:p>
            <w:pPr>
              <w:keepNext w:val="0"/>
              <w:keepLines w:val="0"/>
              <w:pageBreakBefore w:val="0"/>
              <w:widowControl/>
              <w:kinsoku/>
              <w:wordWrap/>
              <w:overflowPunct/>
              <w:topLinePunct w:val="0"/>
              <w:bidi w:val="0"/>
              <w:snapToGrid/>
              <w:spacing w:line="440" w:lineRule="exact"/>
              <w:ind w:firstLine="120"/>
              <w:textAlignment w:val="auto"/>
              <w:rPr>
                <w:rFonts w:hint="eastAsia" w:ascii="仿宋" w:hAnsi="仿宋" w:eastAsia="仿宋" w:cs="仿宋"/>
                <w:kern w:val="0"/>
                <w:sz w:val="24"/>
              </w:rPr>
            </w:pPr>
            <w:r>
              <w:rPr>
                <w:rFonts w:hint="eastAsia" w:ascii="仿宋" w:hAnsi="仿宋" w:eastAsia="仿宋" w:cs="仿宋"/>
                <w:kern w:val="0"/>
                <w:sz w:val="24"/>
              </w:rPr>
              <w:t>联系电话：</w:t>
            </w:r>
          </w:p>
        </w:tc>
      </w:tr>
      <w:tr>
        <w:tblPrEx>
          <w:tblLayout w:type="fixed"/>
          <w:tblCellMar>
            <w:top w:w="0" w:type="dxa"/>
            <w:left w:w="108" w:type="dxa"/>
            <w:bottom w:w="0" w:type="dxa"/>
            <w:right w:w="108" w:type="dxa"/>
          </w:tblCellMar>
        </w:tblPrEx>
        <w:trPr>
          <w:jc w:val="center"/>
        </w:trPr>
        <w:tc>
          <w:tcPr>
            <w:tcW w:w="4416" w:type="dxa"/>
            <w:noWrap w:val="0"/>
            <w:vAlign w:val="top"/>
          </w:tcPr>
          <w:p>
            <w:pPr>
              <w:keepNext w:val="0"/>
              <w:keepLines w:val="0"/>
              <w:pageBreakBefore w:val="0"/>
              <w:widowControl/>
              <w:kinsoku/>
              <w:wordWrap/>
              <w:overflowPunct/>
              <w:topLinePunct w:val="0"/>
              <w:bidi w:val="0"/>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传真：0571-85085442</w:t>
            </w:r>
          </w:p>
        </w:tc>
        <w:tc>
          <w:tcPr>
            <w:tcW w:w="5161" w:type="dxa"/>
            <w:noWrap w:val="0"/>
            <w:vAlign w:val="top"/>
          </w:tcPr>
          <w:p>
            <w:pPr>
              <w:keepNext w:val="0"/>
              <w:keepLines w:val="0"/>
              <w:pageBreakBefore w:val="0"/>
              <w:widowControl/>
              <w:kinsoku/>
              <w:wordWrap/>
              <w:overflowPunct/>
              <w:topLinePunct w:val="0"/>
              <w:bidi w:val="0"/>
              <w:snapToGrid/>
              <w:spacing w:line="440" w:lineRule="exact"/>
              <w:ind w:firstLine="120"/>
              <w:textAlignment w:val="auto"/>
              <w:rPr>
                <w:rFonts w:hint="eastAsia" w:ascii="仿宋" w:hAnsi="仿宋" w:eastAsia="仿宋" w:cs="仿宋"/>
                <w:kern w:val="0"/>
                <w:sz w:val="24"/>
              </w:rPr>
            </w:pPr>
            <w:r>
              <w:rPr>
                <w:rFonts w:hint="eastAsia" w:ascii="仿宋" w:hAnsi="仿宋" w:eastAsia="仿宋" w:cs="仿宋"/>
                <w:kern w:val="0"/>
                <w:sz w:val="24"/>
              </w:rPr>
              <w:t>传真：</w:t>
            </w:r>
          </w:p>
        </w:tc>
      </w:tr>
      <w:tr>
        <w:tblPrEx>
          <w:tblLayout w:type="fixed"/>
          <w:tblCellMar>
            <w:top w:w="0" w:type="dxa"/>
            <w:left w:w="108" w:type="dxa"/>
            <w:bottom w:w="0" w:type="dxa"/>
            <w:right w:w="108" w:type="dxa"/>
          </w:tblCellMar>
        </w:tblPrEx>
        <w:trPr>
          <w:jc w:val="center"/>
        </w:trPr>
        <w:tc>
          <w:tcPr>
            <w:tcW w:w="4416" w:type="dxa"/>
            <w:noWrap w:val="0"/>
            <w:vAlign w:val="top"/>
          </w:tcPr>
          <w:p>
            <w:pPr>
              <w:keepNext w:val="0"/>
              <w:keepLines w:val="0"/>
              <w:pageBreakBefore w:val="0"/>
              <w:widowControl/>
              <w:kinsoku/>
              <w:wordWrap/>
              <w:overflowPunct/>
              <w:topLinePunct w:val="0"/>
              <w:bidi w:val="0"/>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开户银行：杭州银行市民中心支行</w:t>
            </w:r>
          </w:p>
          <w:p>
            <w:pPr>
              <w:keepNext w:val="0"/>
              <w:keepLines w:val="0"/>
              <w:pageBreakBefore w:val="0"/>
              <w:widowControl/>
              <w:kinsoku/>
              <w:wordWrap/>
              <w:overflowPunct/>
              <w:topLinePunct w:val="0"/>
              <w:bidi w:val="0"/>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户名：</w:t>
            </w:r>
            <w:r>
              <w:rPr>
                <w:rFonts w:hint="eastAsia" w:ascii="仿宋" w:hAnsi="仿宋" w:eastAsia="仿宋" w:cs="仿宋"/>
                <w:bCs/>
                <w:sz w:val="24"/>
              </w:rPr>
              <w:t>政府采购年度保证金账户</w:t>
            </w:r>
          </w:p>
        </w:tc>
        <w:tc>
          <w:tcPr>
            <w:tcW w:w="5161" w:type="dxa"/>
            <w:noWrap w:val="0"/>
            <w:vAlign w:val="top"/>
          </w:tcPr>
          <w:p>
            <w:pPr>
              <w:keepNext w:val="0"/>
              <w:keepLines w:val="0"/>
              <w:pageBreakBefore w:val="0"/>
              <w:widowControl/>
              <w:kinsoku/>
              <w:wordWrap/>
              <w:overflowPunct/>
              <w:topLinePunct w:val="0"/>
              <w:bidi w:val="0"/>
              <w:snapToGrid/>
              <w:spacing w:line="440" w:lineRule="exact"/>
              <w:ind w:firstLine="120"/>
              <w:textAlignment w:val="auto"/>
              <w:rPr>
                <w:rFonts w:hint="eastAsia" w:ascii="仿宋" w:hAnsi="仿宋" w:eastAsia="仿宋" w:cs="仿宋"/>
                <w:kern w:val="0"/>
                <w:sz w:val="24"/>
              </w:rPr>
            </w:pPr>
            <w:r>
              <w:rPr>
                <w:rFonts w:hint="eastAsia" w:ascii="仿宋" w:hAnsi="仿宋" w:eastAsia="仿宋" w:cs="仿宋"/>
                <w:kern w:val="0"/>
                <w:sz w:val="24"/>
              </w:rPr>
              <w:t>开户银行：</w:t>
            </w:r>
          </w:p>
        </w:tc>
      </w:tr>
      <w:tr>
        <w:tblPrEx>
          <w:tblLayout w:type="fixed"/>
          <w:tblCellMar>
            <w:top w:w="0" w:type="dxa"/>
            <w:left w:w="108" w:type="dxa"/>
            <w:bottom w:w="0" w:type="dxa"/>
            <w:right w:w="108" w:type="dxa"/>
          </w:tblCellMar>
        </w:tblPrEx>
        <w:trPr>
          <w:jc w:val="center"/>
        </w:trPr>
        <w:tc>
          <w:tcPr>
            <w:tcW w:w="4416" w:type="dxa"/>
            <w:noWrap w:val="0"/>
            <w:vAlign w:val="top"/>
          </w:tcPr>
          <w:p>
            <w:pPr>
              <w:keepNext w:val="0"/>
              <w:keepLines w:val="0"/>
              <w:pageBreakBefore w:val="0"/>
              <w:widowControl/>
              <w:kinsoku/>
              <w:wordWrap/>
              <w:overflowPunct/>
              <w:topLinePunct w:val="0"/>
              <w:bidi w:val="0"/>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帐    号：</w:t>
            </w:r>
            <w:r>
              <w:rPr>
                <w:rFonts w:hint="eastAsia" w:ascii="仿宋" w:hAnsi="仿宋" w:eastAsia="仿宋" w:cs="仿宋"/>
                <w:bCs/>
                <w:sz w:val="24"/>
              </w:rPr>
              <w:t>75828100067166-002</w:t>
            </w:r>
          </w:p>
        </w:tc>
        <w:tc>
          <w:tcPr>
            <w:tcW w:w="5161" w:type="dxa"/>
            <w:noWrap w:val="0"/>
            <w:vAlign w:val="top"/>
          </w:tcPr>
          <w:p>
            <w:pPr>
              <w:keepNext w:val="0"/>
              <w:keepLines w:val="0"/>
              <w:pageBreakBefore w:val="0"/>
              <w:widowControl/>
              <w:kinsoku/>
              <w:wordWrap/>
              <w:overflowPunct/>
              <w:topLinePunct w:val="0"/>
              <w:bidi w:val="0"/>
              <w:snapToGrid/>
              <w:spacing w:line="440" w:lineRule="exact"/>
              <w:ind w:firstLine="120"/>
              <w:textAlignment w:val="auto"/>
              <w:rPr>
                <w:rFonts w:hint="eastAsia" w:ascii="仿宋" w:hAnsi="仿宋" w:eastAsia="仿宋" w:cs="仿宋"/>
                <w:kern w:val="0"/>
                <w:sz w:val="24"/>
              </w:rPr>
            </w:pPr>
            <w:r>
              <w:rPr>
                <w:rFonts w:hint="eastAsia" w:ascii="仿宋" w:hAnsi="仿宋" w:eastAsia="仿宋" w:cs="仿宋"/>
                <w:kern w:val="0"/>
                <w:sz w:val="24"/>
              </w:rPr>
              <w:t>帐    号：</w:t>
            </w:r>
          </w:p>
        </w:tc>
      </w:tr>
      <w:tr>
        <w:tblPrEx>
          <w:tblLayout w:type="fixed"/>
          <w:tblCellMar>
            <w:top w:w="0" w:type="dxa"/>
            <w:left w:w="108" w:type="dxa"/>
            <w:bottom w:w="0" w:type="dxa"/>
            <w:right w:w="108" w:type="dxa"/>
          </w:tblCellMar>
        </w:tblPrEx>
        <w:trPr>
          <w:jc w:val="center"/>
        </w:trPr>
        <w:tc>
          <w:tcPr>
            <w:tcW w:w="4416" w:type="dxa"/>
            <w:noWrap w:val="0"/>
            <w:vAlign w:val="top"/>
          </w:tcPr>
          <w:p>
            <w:pPr>
              <w:keepNext w:val="0"/>
              <w:keepLines w:val="0"/>
              <w:pageBreakBefore w:val="0"/>
              <w:widowControl/>
              <w:kinsoku/>
              <w:wordWrap/>
              <w:overflowPunct/>
              <w:topLinePunct w:val="0"/>
              <w:bidi w:val="0"/>
              <w:snapToGrid/>
              <w:spacing w:line="440" w:lineRule="exact"/>
              <w:textAlignment w:val="auto"/>
              <w:rPr>
                <w:rFonts w:hint="eastAsia" w:ascii="仿宋" w:hAnsi="仿宋" w:eastAsia="仿宋" w:cs="仿宋"/>
                <w:kern w:val="0"/>
                <w:sz w:val="24"/>
              </w:rPr>
            </w:pPr>
            <w:r>
              <w:rPr>
                <w:rFonts w:hint="eastAsia" w:ascii="仿宋" w:hAnsi="仿宋" w:eastAsia="仿宋" w:cs="仿宋"/>
                <w:sz w:val="24"/>
              </w:rPr>
              <w:t xml:space="preserve">签约日期： </w:t>
            </w:r>
            <w:r>
              <w:rPr>
                <w:rFonts w:hint="eastAsia" w:ascii="仿宋" w:hAnsi="仿宋" w:eastAsia="仿宋" w:cs="仿宋"/>
                <w:sz w:val="24"/>
                <w:lang w:val="en-US" w:eastAsia="zh-CN"/>
              </w:rPr>
              <w:t xml:space="preserve">  </w:t>
            </w:r>
            <w:r>
              <w:rPr>
                <w:rFonts w:hint="eastAsia" w:ascii="仿宋" w:hAnsi="仿宋" w:eastAsia="仿宋" w:cs="仿宋"/>
                <w:sz w:val="24"/>
              </w:rPr>
              <w:t xml:space="preserve">年  </w:t>
            </w:r>
            <w:r>
              <w:rPr>
                <w:rFonts w:hint="eastAsia" w:ascii="仿宋" w:hAnsi="仿宋" w:eastAsia="仿宋" w:cs="仿宋"/>
                <w:sz w:val="24"/>
                <w:lang w:val="en-US" w:eastAsia="zh-CN"/>
              </w:rPr>
              <w:t xml:space="preserve"> </w:t>
            </w:r>
            <w:r>
              <w:rPr>
                <w:rFonts w:hint="eastAsia" w:ascii="仿宋" w:hAnsi="仿宋" w:eastAsia="仿宋" w:cs="仿宋"/>
                <w:sz w:val="24"/>
              </w:rPr>
              <w:t xml:space="preserve"> 月    日</w:t>
            </w:r>
          </w:p>
        </w:tc>
        <w:tc>
          <w:tcPr>
            <w:tcW w:w="5161" w:type="dxa"/>
            <w:noWrap w:val="0"/>
            <w:vAlign w:val="top"/>
          </w:tcPr>
          <w:p>
            <w:pPr>
              <w:keepNext w:val="0"/>
              <w:keepLines w:val="0"/>
              <w:pageBreakBefore w:val="0"/>
              <w:widowControl/>
              <w:kinsoku/>
              <w:wordWrap/>
              <w:overflowPunct/>
              <w:topLinePunct w:val="0"/>
              <w:bidi w:val="0"/>
              <w:snapToGrid/>
              <w:spacing w:line="440" w:lineRule="exact"/>
              <w:ind w:firstLine="120"/>
              <w:textAlignment w:val="auto"/>
              <w:rPr>
                <w:rFonts w:hint="eastAsia" w:ascii="仿宋" w:hAnsi="仿宋" w:eastAsia="仿宋" w:cs="仿宋"/>
                <w:kern w:val="0"/>
                <w:sz w:val="24"/>
              </w:rPr>
            </w:pPr>
            <w:r>
              <w:rPr>
                <w:rFonts w:hint="eastAsia" w:ascii="仿宋" w:hAnsi="仿宋" w:eastAsia="仿宋" w:cs="仿宋"/>
                <w:sz w:val="24"/>
              </w:rPr>
              <w:t>签约日期：</w:t>
            </w:r>
            <w:r>
              <w:rPr>
                <w:rFonts w:hint="eastAsia" w:ascii="仿宋" w:hAnsi="仿宋" w:eastAsia="仿宋" w:cs="仿宋"/>
                <w:sz w:val="24"/>
                <w:lang w:val="en-US" w:eastAsia="zh-CN"/>
              </w:rPr>
              <w:t xml:space="preserve">  </w:t>
            </w:r>
            <w:r>
              <w:rPr>
                <w:rFonts w:hint="eastAsia" w:ascii="仿宋" w:hAnsi="仿宋" w:eastAsia="仿宋" w:cs="仿宋"/>
                <w:sz w:val="24"/>
              </w:rPr>
              <w:t xml:space="preserve"> 年   月    日</w:t>
            </w:r>
          </w:p>
        </w:tc>
      </w:tr>
    </w:tbl>
    <w:p>
      <w:pPr>
        <w:keepNext w:val="0"/>
        <w:keepLines w:val="0"/>
        <w:pageBreakBefore w:val="0"/>
        <w:kinsoku/>
        <w:wordWrap/>
        <w:overflowPunct/>
        <w:topLinePunct w:val="0"/>
        <w:bidi w:val="0"/>
        <w:snapToGrid/>
        <w:spacing w:line="440" w:lineRule="exact"/>
        <w:textAlignment w:val="auto"/>
      </w:pPr>
    </w:p>
    <w:sectPr>
      <w:pgSz w:w="11906" w:h="16838"/>
      <w:pgMar w:top="1077" w:right="1247" w:bottom="1077" w:left="124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E9C0A"/>
    <w:multiLevelType w:val="singleLevel"/>
    <w:tmpl w:val="224E9C0A"/>
    <w:lvl w:ilvl="0" w:tentative="0">
      <w:start w:val="6"/>
      <w:numFmt w:val="chineseCounting"/>
      <w:suff w:val="space"/>
      <w:lvlText w:val="第%1条"/>
      <w:lvlJc w:val="left"/>
      <w:rPr>
        <w:rFonts w:hint="eastAsia"/>
      </w:rPr>
    </w:lvl>
  </w:abstractNum>
  <w:abstractNum w:abstractNumId="1">
    <w:nsid w:val="4C6417E5"/>
    <w:multiLevelType w:val="singleLevel"/>
    <w:tmpl w:val="4C6417E5"/>
    <w:lvl w:ilvl="0" w:tentative="0">
      <w:start w:val="9"/>
      <w:numFmt w:val="chineseCounting"/>
      <w:suff w:val="space"/>
      <w:lvlText w:val="第%1条"/>
      <w:lvlJc w:val="left"/>
      <w:rPr>
        <w:rFonts w:hint="eastAsia"/>
      </w:rPr>
    </w:lvl>
  </w:abstractNum>
  <w:abstractNum w:abstractNumId="2">
    <w:nsid w:val="6E91A9FB"/>
    <w:multiLevelType w:val="singleLevel"/>
    <w:tmpl w:val="6E91A9FB"/>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BB4E24"/>
    <w:rsid w:val="0F3108E4"/>
    <w:rsid w:val="5CBB4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2019-01-11T08:25:00Z</dcterms:created>
  <dc:creator>xcglczy</dc:creator>
  <cp:lastModifiedBy>xcglczy</cp:lastModifiedBy>
  <dcterms:modified xsi:type="dcterms:W3CDTF">2019-01-11T08:35:24Z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