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4"/>
          <w:szCs w:val="44"/>
          <w:highlight w:val="none"/>
          <w:lang w:eastAsia="zh-CN"/>
        </w:rPr>
      </w:pPr>
      <w:r>
        <w:rPr>
          <w:rFonts w:hint="eastAsia" w:ascii="宋体" w:hAnsi="宋体" w:cs="宋体"/>
          <w:color w:val="auto"/>
          <w:sz w:val="44"/>
          <w:szCs w:val="44"/>
          <w:highlight w:val="none"/>
          <w:lang w:eastAsia="zh-CN"/>
        </w:rPr>
        <w:t>河庄街道安置房三期配套九年一贯制学校厨房设备采购项目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QTCG-GK-2024-043</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杭州市钱塘区教育局</w:t>
      </w:r>
    </w:p>
    <w:p>
      <w:pPr>
        <w:snapToGrid w:val="0"/>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浙江省房地产管理咨询有限公司</w:t>
      </w:r>
    </w:p>
    <w:p>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lang w:val="en-US" w:eastAsia="zh-CN"/>
        </w:rPr>
        <w:t>2024</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3</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u w:val="none"/>
          <w:lang w:val="en-US" w:eastAsia="zh-CN"/>
        </w:rPr>
        <w:t>25</w:t>
      </w:r>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宋体" w:hAnsi="宋体" w:cs="宋体"/>
          <w:color w:val="auto"/>
          <w:sz w:val="24"/>
          <w:highlight w:val="none"/>
          <w:u w:val="single"/>
          <w:lang w:eastAsia="zh-CN"/>
        </w:rPr>
        <w:t>河庄街道安置房三期配套九年一贯制学校厨房设备采购项目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w:t>
      </w:r>
      <w:r>
        <w:rPr>
          <w:rStyle w:val="76"/>
          <w:rFonts w:hint="eastAsia" w:cs="Times New Roman" w:asciiTheme="minorEastAsia" w:hAnsiTheme="minorEastAsia" w:eastAsiaTheme="minorEastAsia"/>
          <w:snapToGrid/>
          <w:color w:val="auto"/>
          <w:kern w:val="2"/>
          <w:sz w:val="24"/>
          <w:szCs w:val="24"/>
          <w:highlight w:val="none"/>
          <w:lang w:eastAsia="zh-CN"/>
        </w:rPr>
        <w:t>2</w:t>
      </w:r>
      <w:r>
        <w:rPr>
          <w:rStyle w:val="76"/>
          <w:rFonts w:hint="eastAsia" w:cs="Times New Roman" w:asciiTheme="minorEastAsia" w:hAnsiTheme="minorEastAsia" w:eastAsiaTheme="minorEastAsia"/>
          <w:snapToGrid/>
          <w:color w:val="auto"/>
          <w:kern w:val="2"/>
          <w:sz w:val="24"/>
          <w:szCs w:val="24"/>
          <w:highlight w:val="none"/>
          <w:lang w:val="en-US" w:eastAsia="zh-CN"/>
        </w:rPr>
        <w:t>4</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5</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9</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eastAsia="zh-CN"/>
        </w:rPr>
        <w:t>0</w:t>
      </w:r>
      <w:r>
        <w:rPr>
          <w:rStyle w:val="76"/>
          <w:rFonts w:hint="eastAsia" w:cs="Times New Roman" w:asciiTheme="minorEastAsia" w:hAnsiTheme="minorEastAsia" w:eastAsiaTheme="minorEastAsia"/>
          <w:snapToGrid/>
          <w:color w:val="auto"/>
          <w:kern w:val="2"/>
          <w:sz w:val="24"/>
          <w:szCs w:val="24"/>
          <w:highlight w:val="none"/>
          <w:lang w:val="en-US" w:eastAsia="zh-CN"/>
        </w:rPr>
        <w:t>9</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eastAsia="zh-CN"/>
        </w:rPr>
        <w:t>3</w:t>
      </w:r>
      <w:r>
        <w:rPr>
          <w:rStyle w:val="76"/>
          <w:rFonts w:hint="eastAsia" w:cs="Times New Roman" w:asciiTheme="minorEastAsia" w:hAnsiTheme="minorEastAsia" w:eastAsiaTheme="minorEastAsia"/>
          <w:snapToGrid/>
          <w:color w:val="auto"/>
          <w:kern w:val="2"/>
          <w:sz w:val="24"/>
          <w:szCs w:val="24"/>
          <w:highlight w:val="none"/>
          <w:lang w:val="en-US" w:eastAsia="zh-CN"/>
        </w:rPr>
        <w:t>0</w:t>
      </w:r>
      <w:r>
        <w:rPr>
          <w:rStyle w:val="76"/>
          <w:rFonts w:hint="eastAsia" w:cs="Times New Roman" w:asciiTheme="minorEastAsia" w:hAnsiTheme="minorEastAsia" w:eastAsiaTheme="minorEastAsia"/>
          <w:snapToGrid/>
          <w:color w:val="auto"/>
          <w:kern w:val="2"/>
          <w:sz w:val="24"/>
          <w:szCs w:val="24"/>
          <w:highlight w:val="none"/>
        </w:rPr>
        <w:t>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QTCG-GK-2024-043</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u w:val="none"/>
          <w:lang w:eastAsia="zh-CN"/>
        </w:rPr>
        <w:t>河庄街道安置房三期配套九年一贯制学校厨房设备采购项目</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2640194</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2640194</w:t>
      </w:r>
      <w:r>
        <w:rPr>
          <w:rFonts w:hint="eastAsia" w:ascii="宋体" w:hAnsi="宋体" w:cs="宋体"/>
          <w:color w:val="auto"/>
          <w:sz w:val="24"/>
          <w:highlight w:val="none"/>
        </w:rPr>
        <w:t xml:space="preserve"> </w:t>
      </w:r>
    </w:p>
    <w:p>
      <w:pPr>
        <w:pStyle w:val="17"/>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color w:val="auto"/>
          <w:sz w:val="24"/>
          <w:highlight w:val="none"/>
          <w:u w:val="none"/>
          <w:lang w:eastAsia="zh-CN"/>
        </w:rPr>
        <w:t>河庄街道安置房三期配套九年一贯制学校厨房设备采购项目</w:t>
      </w:r>
      <w:r>
        <w:rPr>
          <w:rFonts w:hint="eastAsia" w:hAnsi="宋体" w:cs="宋体"/>
          <w:bCs/>
          <w:snapToGrid/>
          <w:color w:val="auto"/>
          <w:kern w:val="2"/>
          <w:sz w:val="24"/>
          <w:szCs w:val="24"/>
          <w:highlight w:val="none"/>
        </w:rPr>
        <w:t xml:space="preserve">主要内容： </w:t>
      </w:r>
      <w:r>
        <w:rPr>
          <w:rFonts w:hint="eastAsia" w:ascii="宋体" w:hAnsi="宋体" w:eastAsia="宋体" w:cs="宋体"/>
          <w:color w:val="auto"/>
          <w:sz w:val="24"/>
          <w:szCs w:val="28"/>
          <w:highlight w:val="none"/>
          <w:shd w:val="clear" w:color="auto" w:fill="auto"/>
        </w:rPr>
        <w:t>收货区</w:t>
      </w:r>
      <w:r>
        <w:rPr>
          <w:rFonts w:hint="eastAsia" w:hAnsi="宋体" w:cs="宋体"/>
          <w:color w:val="auto"/>
          <w:sz w:val="24"/>
          <w:szCs w:val="28"/>
          <w:highlight w:val="none"/>
          <w:shd w:val="clear" w:color="auto" w:fill="auto"/>
          <w:lang w:eastAsia="zh-CN"/>
        </w:rPr>
        <w:t>、检测留样间、库房、蔬菜粗加工区、肉类粗加工区等区域的</w:t>
      </w:r>
      <w:r>
        <w:rPr>
          <w:rFonts w:hint="eastAsia" w:ascii="宋体" w:hAnsi="宋体" w:eastAsia="宋体" w:cs="宋体"/>
          <w:color w:val="auto"/>
          <w:sz w:val="24"/>
          <w:szCs w:val="28"/>
          <w:highlight w:val="none"/>
          <w:shd w:val="clear" w:color="auto" w:fill="auto"/>
          <w:lang w:eastAsia="zh-CN"/>
        </w:rPr>
        <w:t>厨房设备采购</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pPr>
        <w:pStyle w:val="130"/>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宋体"/>
          <w:bCs/>
          <w:color w:val="auto"/>
          <w:szCs w:val="21"/>
          <w:highlight w:val="none"/>
        </w:rPr>
        <w:t>合同签订之日起</w:t>
      </w:r>
      <w:r>
        <w:rPr>
          <w:rFonts w:hint="eastAsia" w:ascii="宋体" w:hAnsi="宋体" w:cs="宋体"/>
          <w:bCs/>
          <w:color w:val="auto"/>
          <w:szCs w:val="21"/>
          <w:highlight w:val="none"/>
          <w:lang w:val="en-US" w:eastAsia="zh-CN"/>
        </w:rPr>
        <w:t>60</w:t>
      </w:r>
      <w:r>
        <w:rPr>
          <w:rFonts w:hint="eastAsia" w:ascii="宋体" w:hAnsi="宋体" w:cs="宋体"/>
          <w:bCs/>
          <w:color w:val="auto"/>
          <w:szCs w:val="21"/>
          <w:highlight w:val="none"/>
        </w:rPr>
        <w:t>日历天内完成本项目的供货、安装及调试，并通过验收。</w:t>
      </w:r>
      <w:r>
        <w:rPr>
          <w:rFonts w:hint="eastAsia" w:ascii="宋体" w:hAnsi="宋体" w:cs="宋体"/>
          <w:b/>
          <w:color w:val="auto"/>
          <w:highlight w:val="none"/>
        </w:rPr>
        <w:t xml:space="preserve"> </w:t>
      </w:r>
    </w:p>
    <w:p>
      <w:pPr>
        <w:pStyle w:val="1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snapToGrid/>
              <w:color w:val="auto"/>
              <w:kern w:val="2"/>
              <w:sz w:val="24"/>
              <w:szCs w:val="24"/>
              <w:highlight w:val="none"/>
              <w:lang w:val="en-US" w:eastAsia="zh-CN" w:bidi="ar-SA"/>
            </w:rPr>
            <w:t>þ</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是；</w:t>
      </w:r>
      <w:sdt>
        <w:sdtPr>
          <w:rPr>
            <w:rFonts w:hint="eastAsia" w:ascii="宋体" w:hAnsi="宋体" w:cs="宋体"/>
            <w:snapToGrid/>
            <w:color w:val="auto"/>
            <w:kern w:val="2"/>
            <w:sz w:val="24"/>
            <w:szCs w:val="24"/>
            <w:highlight w:val="none"/>
          </w:rPr>
          <w:id w:val="-1276331357"/>
          <w14:checkbox>
            <w14:checked w14:val="0"/>
            <w14:checkedState w14:val="00FE" w14:font="Wingdings"/>
            <w14:uncheckedState w14:val="2610" w14:font="MS Gothic"/>
          </w14:checkbox>
        </w:sdtPr>
        <w:sdtEndPr>
          <w:rPr>
            <w:rFonts w:hint="eastAsia" w:ascii="宋体" w:hAnsi="宋体" w:cs="宋体"/>
            <w:snapToGrid/>
            <w:color w:val="auto"/>
            <w:kern w:val="2"/>
            <w:sz w:val="24"/>
            <w:szCs w:val="24"/>
            <w:highlight w:val="none"/>
          </w:rPr>
        </w:sdtEndPr>
        <w:sdtContent>
          <w:r>
            <w:rPr>
              <w:rFonts w:hint="eastAsia" w:ascii="宋体" w:hAnsi="宋体" w:cs="宋体"/>
              <w:snapToGrid/>
              <w:color w:val="auto"/>
              <w:kern w:val="2"/>
              <w:sz w:val="24"/>
              <w:szCs w:val="24"/>
              <w:highlight w:val="none"/>
            </w:rPr>
            <w:t>☐</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否</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bookmarkStart w:id="12" w:name="_Hlk101132524"/>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numPr>
          <w:ilvl w:val="0"/>
          <w:numId w:val="1"/>
        </w:numPr>
        <w:snapToGrid w:val="0"/>
        <w:spacing w:line="360" w:lineRule="auto"/>
        <w:ind w:firstLine="480" w:firstLineChars="200"/>
        <w:jc w:val="left"/>
        <w:rPr>
          <w:rFonts w:hint="eastAsia" w:ascii="宋体" w:hAnsi="宋体" w:cs="宋体"/>
          <w:color w:val="0000FF"/>
          <w:sz w:val="24"/>
          <w:highlight w:val="none"/>
        </w:rPr>
      </w:pPr>
      <w:r>
        <w:rPr>
          <w:rFonts w:hint="eastAsia" w:ascii="宋体" w:hAnsi="宋体" w:cs="宋体"/>
          <w:color w:val="auto"/>
          <w:sz w:val="24"/>
          <w:highlight w:val="none"/>
        </w:rPr>
        <w:t>本项目的特定资格要求</w:t>
      </w:r>
      <w:r>
        <w:rPr>
          <w:rFonts w:hint="eastAsia" w:ascii="宋体" w:hAnsi="宋体" w:cs="宋体"/>
          <w:color w:val="auto"/>
          <w:sz w:val="24"/>
          <w:highlight w:val="none"/>
          <w:lang w:eastAsia="zh-CN"/>
        </w:rPr>
        <w:t>：</w:t>
      </w:r>
      <w:sdt>
        <w:sdtPr>
          <w:rPr>
            <w:rFonts w:hint="eastAsia" w:ascii="宋体" w:hAnsi="宋体" w:cs="宋体"/>
            <w:color w:val="auto"/>
            <w:kern w:val="0"/>
            <w:sz w:val="24"/>
            <w:highlight w:val="none"/>
          </w:rPr>
          <w:id w:val="-160711229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eastAsia="zh-CN"/>
        </w:rPr>
        <w:t>0</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eastAsia="zh-CN"/>
        </w:rPr>
        <w:t>3</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eastAsia="zh-CN"/>
        </w:rPr>
        <w:t>0</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eastAsia="zh-CN"/>
        </w:rPr>
        <w:t>3</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分00秒</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五、</w:t>
      </w:r>
      <w:r>
        <w:rPr>
          <w:rFonts w:hint="eastAsia" w:ascii="宋体" w:hAnsi="宋体" w:eastAsia="宋体" w:cs="宋体"/>
          <w:b/>
          <w:color w:val="auto"/>
          <w:sz w:val="24"/>
          <w:highlight w:val="none"/>
        </w:rPr>
        <w:t xml:space="preserve">采购意向公开链接 </w:t>
      </w:r>
    </w:p>
    <w:p>
      <w:pPr>
        <w:spacing w:line="360" w:lineRule="auto"/>
        <w:ind w:firstLine="482" w:firstLineChars="200"/>
        <w:rPr>
          <w:rFonts w:hint="eastAsia" w:ascii="宋体" w:hAnsi="宋体" w:cs="宋体"/>
          <w:b/>
          <w:color w:val="auto"/>
          <w:sz w:val="24"/>
          <w:highlight w:val="none"/>
          <w:lang w:eastAsia="zh-CN"/>
        </w:rPr>
      </w:pPr>
      <w:r>
        <w:rPr>
          <w:rFonts w:hint="eastAsia" w:ascii="宋体" w:hAnsi="宋体" w:cs="宋体"/>
          <w:b/>
          <w:color w:val="auto"/>
          <w:sz w:val="24"/>
          <w:highlight w:val="none"/>
          <w:lang w:eastAsia="zh-CN"/>
        </w:rPr>
        <w:t>https://zfcg.czt.zj.gov.cn/luban/detail?parentId=600007&amp;articleId=cWKLc/0UN0ITFT1eTf4A6w==&amp;_app_=zcy.procurement&amp;utm=web-delegation-order-front.358733cc.0.0.462d6b40e83011ee8dad653ecc0b9ea7</w:t>
      </w:r>
    </w:p>
    <w:p>
      <w:pPr>
        <w:spacing w:line="360" w:lineRule="auto"/>
        <w:rPr>
          <w:rFonts w:ascii="宋体" w:hAnsi="宋体" w:cs="宋体"/>
          <w:color w:val="auto"/>
          <w:sz w:val="24"/>
          <w:highlight w:val="none"/>
        </w:rPr>
      </w:pPr>
      <w:r>
        <w:rPr>
          <w:rFonts w:hint="eastAsia" w:ascii="宋体" w:hAnsi="宋体" w:cs="宋体"/>
          <w:b/>
          <w:color w:val="auto"/>
          <w:sz w:val="24"/>
          <w:highlight w:val="none"/>
          <w:lang w:eastAsia="zh-CN"/>
        </w:rPr>
        <w:t>六</w:t>
      </w:r>
      <w:r>
        <w:rPr>
          <w:rFonts w:hint="eastAsia" w:ascii="宋体" w:hAnsi="宋体" w:cs="宋体"/>
          <w:b/>
          <w:color w:val="auto"/>
          <w:sz w:val="24"/>
          <w:highlight w:val="none"/>
        </w:rPr>
        <w:t xml:space="preserve">、公告期限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七</w:t>
      </w:r>
      <w:r>
        <w:rPr>
          <w:rFonts w:hint="eastAsia" w:ascii="宋体" w:hAnsi="宋体" w:cs="宋体"/>
          <w:b/>
          <w:color w:val="auto"/>
          <w:sz w:val="24"/>
          <w:highlight w:val="none"/>
        </w:rPr>
        <w:t>、其他补充事宜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auto"/>
          <w:sz w:val="24"/>
          <w:highlight w:val="none"/>
          <w:lang w:val="en-US" w:eastAsia="zh-CN"/>
        </w:rPr>
        <w:t>项目是否接收备份文件，以前附表说明为准。</w:t>
      </w:r>
      <w:r>
        <w:rPr>
          <w:rFonts w:hint="eastAsia" w:ascii="宋体" w:hAnsi="宋体" w:cs="宋体"/>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八</w:t>
      </w:r>
      <w:r>
        <w:rPr>
          <w:rFonts w:hint="eastAsia" w:ascii="宋体" w:hAnsi="宋体" w:cs="宋体"/>
          <w:b/>
          <w:color w:val="auto"/>
          <w:sz w:val="24"/>
          <w:highlight w:val="none"/>
        </w:rPr>
        <w:t>、对本次采购提出询问、质疑、投诉，请按以下方式联系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称：杭州市钱塘区教育局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址：杭州市钱塘区迎康路28号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项目联系人（询问）：陶老师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项目联系方式（询问）：0571-</w:t>
      </w:r>
      <w:r>
        <w:rPr>
          <w:rFonts w:hint="eastAsia" w:ascii="宋体" w:hAnsi="宋体" w:cs="宋体"/>
          <w:color w:val="auto"/>
          <w:sz w:val="24"/>
          <w:highlight w:val="none"/>
          <w:lang w:val="en-US" w:eastAsia="zh-CN"/>
        </w:rPr>
        <w:t>89536164</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质疑联系人：毛老师</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w:t>
      </w:r>
      <w:r>
        <w:rPr>
          <w:rFonts w:hint="eastAsia" w:ascii="宋体" w:hAnsi="宋体" w:cs="宋体"/>
          <w:color w:val="auto"/>
          <w:sz w:val="24"/>
          <w:highlight w:val="none"/>
          <w:lang w:val="en-US" w:eastAsia="zh-CN"/>
        </w:rPr>
        <w:t xml:space="preserve">0571-89536181 </w:t>
      </w:r>
      <w:r>
        <w:rPr>
          <w:rFonts w:hint="eastAsia" w:ascii="宋体" w:hAnsi="宋体" w:eastAsia="宋体" w:cs="宋体"/>
          <w:color w:val="auto"/>
          <w:sz w:val="24"/>
          <w:highlight w:val="none"/>
        </w:rPr>
        <w:t xml:space="preserve"> </w:t>
      </w:r>
    </w:p>
    <w:p>
      <w:pPr>
        <w:numPr>
          <w:ilvl w:val="0"/>
          <w:numId w:val="2"/>
        </w:numPr>
        <w:spacing w:line="360" w:lineRule="auto"/>
        <w:ind w:left="48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采购代理机构信息            </w:t>
      </w:r>
    </w:p>
    <w:p>
      <w:pPr>
        <w:numPr>
          <w:ilvl w:val="0"/>
          <w:numId w:val="0"/>
        </w:numPr>
        <w:spacing w:line="360" w:lineRule="auto"/>
        <w:ind w:left="480" w:left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val="en-US" w:eastAsia="zh-CN"/>
        </w:rPr>
        <w:t>浙江省房地产管理咨询有限公司</w:t>
      </w:r>
    </w:p>
    <w:p>
      <w:pPr>
        <w:pageBreakBefore w:val="0"/>
        <w:kinsoku/>
        <w:overflowPunct/>
        <w:topLinePunct w:val="0"/>
        <w:bidi w:val="0"/>
        <w:spacing w:line="360" w:lineRule="auto"/>
        <w:ind w:firstLine="480" w:firstLineChars="200"/>
        <w:jc w:val="left"/>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地  址：</w:t>
      </w:r>
      <w:bookmarkStart w:id="13" w:name="_Toc28359087"/>
      <w:bookmarkStart w:id="14" w:name="_Toc28359010"/>
      <w:r>
        <w:rPr>
          <w:rFonts w:hint="eastAsia" w:ascii="宋体" w:hAnsi="宋体" w:cs="宋体"/>
          <w:color w:val="auto"/>
          <w:sz w:val="24"/>
          <w:highlight w:val="none"/>
        </w:rPr>
        <w:t xml:space="preserve">杭州市拱墅区绍兴路538号三立时代广场1206室   </w:t>
      </w:r>
    </w:p>
    <w:p>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传    真：0571-88477702 </w:t>
      </w:r>
    </w:p>
    <w:p>
      <w:pPr>
        <w:pageBreakBefore w:val="0"/>
        <w:kinsoku/>
        <w:overflowPunct/>
        <w:topLinePunct w:val="0"/>
        <w:bidi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项目联系人（询问）：</w:t>
      </w:r>
      <w:r>
        <w:rPr>
          <w:rFonts w:hint="eastAsia" w:ascii="宋体" w:hAnsi="宋体" w:cs="宋体"/>
          <w:color w:val="auto"/>
          <w:sz w:val="24"/>
          <w:highlight w:val="none"/>
        </w:rPr>
        <w:t>伍红仙</w:t>
      </w:r>
    </w:p>
    <w:bookmarkEnd w:id="13"/>
    <w:bookmarkEnd w:id="14"/>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项目联系方式（询问）：13357106093/18868089351</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质疑联系人：刘宝林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质疑联系方式：0571-88023816</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称：杭州市钱塘区财政局、浙江省政府采购行政裁决服务中心（杭州）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址：杭州市上城区四季青街道新业路市民之家G03办公室（快递仅限ems或顺丰）</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监督投诉电话：0571-85252453</w:t>
      </w:r>
    </w:p>
    <w:p>
      <w:pPr>
        <w:spacing w:line="360" w:lineRule="auto"/>
        <w:ind w:firstLine="480" w:firstLineChars="200"/>
        <w:jc w:val="left"/>
        <w:rPr>
          <w:rFonts w:hint="eastAsia" w:ascii="宋体" w:hAnsi="宋体" w:cs="宋体"/>
          <w:color w:val="auto"/>
          <w:sz w:val="24"/>
          <w:highlight w:val="none"/>
        </w:rPr>
      </w:pPr>
    </w:p>
    <w:p>
      <w:pPr>
        <w:spacing w:line="360" w:lineRule="auto"/>
        <w:ind w:firstLine="480" w:firstLineChars="200"/>
        <w:jc w:val="left"/>
        <w:rPr>
          <w:rFonts w:hint="eastAsia" w:ascii="宋体" w:hAnsi="宋体" w:cs="宋体"/>
          <w:color w:val="auto"/>
          <w:sz w:val="24"/>
          <w:highlight w:val="none"/>
        </w:rPr>
      </w:pP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4"/>
        <w:spacing w:line="360" w:lineRule="auto"/>
        <w:jc w:val="left"/>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5"/>
        <w:rPr>
          <w:rFonts w:ascii="宋体"/>
          <w:snapToGrid w:val="0"/>
          <w:color w:val="auto"/>
          <w:highlight w:val="none"/>
        </w:rPr>
      </w:pPr>
      <w:r>
        <w:rPr>
          <w:color w:val="auto"/>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788"/>
        <w:gridCol w:w="61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24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788" w:type="dxa"/>
            <w:tcBorders>
              <w:top w:val="single" w:color="000000" w:sz="8" w:space="0"/>
              <w:left w:val="single" w:color="auto" w:sz="4" w:space="0"/>
              <w:bottom w:val="single" w:color="000000" w:sz="8" w:space="0"/>
              <w:right w:val="single" w:color="000000" w:sz="8" w:space="0"/>
            </w:tcBorders>
            <w:vAlign w:val="center"/>
          </w:tcPr>
          <w:p>
            <w:pPr>
              <w:snapToGrid w:val="0"/>
              <w:spacing w:line="24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150" w:type="dxa"/>
            <w:tcBorders>
              <w:top w:val="single" w:color="000000" w:sz="8" w:space="0"/>
              <w:left w:val="single" w:color="000000" w:sz="2" w:space="0"/>
              <w:bottom w:val="single" w:color="000000" w:sz="8" w:space="0"/>
              <w:right w:val="single" w:color="000000" w:sz="8" w:space="0"/>
            </w:tcBorders>
            <w:vAlign w:val="center"/>
          </w:tcPr>
          <w:p>
            <w:pPr>
              <w:snapToGrid w:val="0"/>
              <w:spacing w:line="24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1788"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厨房灭火系统</w:t>
            </w:r>
            <w:r>
              <w:rPr>
                <w:rFonts w:hint="eastAsia" w:ascii="宋体" w:hAnsi="宋体" w:cs="宋体"/>
                <w:color w:val="auto"/>
                <w:kern w:val="0"/>
                <w:sz w:val="24"/>
                <w:highlight w:val="none"/>
                <w:u w:val="single"/>
                <w:lang w:eastAsia="zh-CN"/>
              </w:rPr>
              <w:t>、过滤式油网烟罩(前置新风）、智能集成蒸箱、</w:t>
            </w:r>
            <w:r>
              <w:rPr>
                <w:rFonts w:hint="eastAsia" w:ascii="宋体" w:hAnsi="宋体" w:cs="宋体"/>
                <w:color w:val="auto"/>
                <w:sz w:val="24"/>
                <w:highlight w:val="none"/>
                <w:u w:val="single"/>
                <w:lang w:val="en-US" w:eastAsia="zh-CN"/>
              </w:rPr>
              <w:t>炊用燃气大锅灶（双眼大锅灶）、静电油烟净化设备（不锈钢外壳双段式）；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788"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（1）标的：</w:t>
            </w:r>
            <w:r>
              <w:rPr>
                <w:rFonts w:hint="eastAsia" w:ascii="宋体" w:hAnsi="宋体" w:cs="宋体"/>
                <w:color w:val="auto"/>
                <w:sz w:val="24"/>
                <w:highlight w:val="none"/>
                <w:u w:val="single"/>
                <w:lang w:val="en-US" w:eastAsia="zh-CN"/>
              </w:rPr>
              <w:t>货物清单中的全部产品</w:t>
            </w:r>
            <w:r>
              <w:rPr>
                <w:rFonts w:hint="eastAsia" w:ascii="宋体" w:hAnsi="宋体" w:eastAsia="宋体" w:cs="宋体"/>
                <w:color w:val="auto"/>
                <w:sz w:val="24"/>
                <w:szCs w:val="24"/>
                <w:highlight w:val="none"/>
              </w:rPr>
              <w:t>，属于</w:t>
            </w:r>
            <w:r>
              <w:rPr>
                <w:rFonts w:hint="eastAsia" w:ascii="宋体" w:hAnsi="宋体" w:cs="宋体"/>
                <w:color w:val="auto"/>
                <w:sz w:val="24"/>
                <w:highlight w:val="none"/>
                <w:u w:val="single"/>
              </w:rPr>
              <w:t>工业</w:t>
            </w:r>
            <w:r>
              <w:rPr>
                <w:rFonts w:hint="eastAsia" w:ascii="宋体" w:hAnsi="宋体" w:eastAsia="宋体" w:cs="宋体"/>
                <w:color w:val="auto"/>
                <w:sz w:val="24"/>
                <w:szCs w:val="24"/>
                <w:highlight w:val="none"/>
              </w:rPr>
              <w:t>行业；</w:t>
            </w:r>
          </w:p>
          <w:p>
            <w:pPr>
              <w:keepNext w:val="0"/>
              <w:keepLines w:val="0"/>
              <w:pageBreakBefore w:val="0"/>
              <w:widowControl w:val="0"/>
              <w:tabs>
                <w:tab w:val="left" w:pos="1470"/>
              </w:tabs>
              <w:kinsoku/>
              <w:wordWrap/>
              <w:overflowPunct/>
              <w:topLinePunct w:val="0"/>
              <w:autoSpaceDE/>
              <w:autoSpaceDN/>
              <w:bidi w:val="0"/>
              <w:adjustRightInd w:val="0"/>
              <w:spacing w:line="312" w:lineRule="auto"/>
              <w:textAlignment w:val="auto"/>
              <w:rPr>
                <w:rFonts w:hint="eastAsia" w:eastAsia="宋体"/>
                <w:color w:val="auto"/>
                <w:highlight w:val="none"/>
                <w:lang w:val="en-US" w:eastAsia="zh-CN"/>
              </w:rPr>
            </w:pPr>
            <w:r>
              <w:rPr>
                <w:rFonts w:hint="eastAsia" w:ascii="宋体" w:hAnsi="宋体" w:eastAsia="宋体" w:cs="宋体"/>
                <w:color w:val="auto"/>
                <w:sz w:val="24"/>
                <w:szCs w:val="24"/>
                <w:highlight w:val="none"/>
              </w:rPr>
              <w:t>《关于印发中小企业划型标准规定的通知》工信部联企业〔2011〕300号</w:t>
            </w:r>
            <w:r>
              <w:rPr>
                <w:rFonts w:hint="eastAsia" w:ascii="宋体" w:hAnsi="宋体" w:cs="宋体"/>
                <w:color w:val="auto"/>
                <w:sz w:val="24"/>
                <w:szCs w:val="24"/>
                <w:highlight w:val="none"/>
                <w:lang w:eastAsia="zh-CN"/>
              </w:rPr>
              <w:t>文件规定，</w:t>
            </w:r>
            <w:r>
              <w:rPr>
                <w:rFonts w:hint="eastAsia" w:ascii="宋体" w:hAnsi="宋体" w:eastAsia="宋体" w:cs="宋体"/>
                <w:snapToGrid/>
                <w:color w:val="auto"/>
                <w:sz w:val="24"/>
                <w:highlight w:val="none"/>
                <w:u w:val="single"/>
              </w:rPr>
              <w:t>工业</w:t>
            </w:r>
            <w:r>
              <w:rPr>
                <w:rFonts w:hint="eastAsia" w:ascii="宋体" w:hAnsi="宋体" w:eastAsia="宋体" w:cs="宋体"/>
                <w:snapToGrid/>
                <w:color w:val="auto"/>
                <w:sz w:val="24"/>
                <w:highlight w:val="none"/>
                <w:lang w:eastAsia="zh-CN"/>
              </w:rPr>
              <w:t>中小企业划分标准如下：</w:t>
            </w:r>
            <w:r>
              <w:rPr>
                <w:rFonts w:hint="eastAsia" w:ascii="宋体" w:hAnsi="宋体" w:eastAsia="宋体" w:cs="宋体"/>
                <w:snapToGrid/>
                <w:color w:val="auto"/>
                <w:sz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1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788"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color w:val="auto"/>
                <w:sz w:val="24"/>
                <w:szCs w:val="24"/>
                <w:highlight w:val="none"/>
              </w:rPr>
              <w:t>本项目不允许采购进口产品。</w:t>
            </w:r>
          </w:p>
          <w:p>
            <w:pPr>
              <w:keepNext w:val="0"/>
              <w:keepLines w:val="0"/>
              <w:pageBreakBefore w:val="0"/>
              <w:widowControl w:val="0"/>
              <w:kinsoku/>
              <w:wordWrap/>
              <w:overflowPunct/>
              <w:topLinePunct w:val="0"/>
              <w:autoSpaceDE/>
              <w:autoSpaceDN/>
              <w:bidi w:val="0"/>
              <w:adjustRightInd w:val="0"/>
              <w:spacing w:line="312" w:lineRule="auto"/>
              <w:textAlignment w:val="auto"/>
              <w:rPr>
                <w:color w:val="auto"/>
                <w:highlight w:val="none"/>
              </w:rPr>
            </w:pPr>
            <w:sdt>
              <w:sdtPr>
                <w:rPr>
                  <w:rFonts w:hint="eastAsia" w:ascii="宋体" w:hAnsi="宋体" w:eastAsia="宋体" w:cs="宋体"/>
                  <w:color w:val="auto"/>
                  <w:sz w:val="24"/>
                  <w:szCs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采购进口产品。</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优先采购向我国企业转让技术、与我国企业签订消化吸收再创新方案的供应商的进口产品，详见</w:t>
            </w:r>
            <w:r>
              <w:rPr>
                <w:rFonts w:hint="eastAsia" w:ascii="宋体" w:hAnsi="宋体" w:eastAsia="宋体" w:cs="宋体"/>
                <w:color w:val="auto"/>
                <w:kern w:val="0"/>
                <w:sz w:val="24"/>
                <w:szCs w:val="24"/>
                <w:highlight w:val="none"/>
                <w:u w:val="single"/>
              </w:rPr>
              <w:t>评分标准</w:t>
            </w:r>
            <w:r>
              <w:rPr>
                <w:rFonts w:hint="eastAsia" w:ascii="宋体" w:hAnsi="宋体" w:eastAsia="宋体" w:cs="宋体"/>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788"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分包</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lang w:val="en-US" w:eastAsia="zh-CN"/>
              </w:rPr>
              <w:t>货物运输</w:t>
            </w:r>
            <w:r>
              <w:rPr>
                <w:rFonts w:hint="eastAsia" w:ascii="宋体" w:hAnsi="宋体" w:cs="宋体"/>
                <w:color w:val="auto"/>
                <w:sz w:val="24"/>
                <w:highlight w:val="none"/>
              </w:rPr>
              <w:t>工作分包。</w:t>
            </w:r>
          </w:p>
          <w:p>
            <w:pPr>
              <w:spacing w:line="360" w:lineRule="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477286927"/>
              </w:sdtPr>
              <w:sdtEndPr>
                <w:rPr>
                  <w:rFonts w:hint="eastAsia" w:ascii="宋体" w:hAnsi="宋体" w:eastAsia="宋体" w:cs="宋体"/>
                  <w:color w:val="auto"/>
                  <w:kern w:val="0"/>
                  <w:sz w:val="24"/>
                  <w:szCs w:val="24"/>
                  <w:highlight w:val="none"/>
                </w:rPr>
              </w:sdtEndPr>
              <w:sdtContent>
                <w:sdt>
                  <w:sdtPr>
                    <w:rPr>
                      <w:rFonts w:hint="eastAsia" w:ascii="宋体" w:hAnsi="宋体" w:eastAsia="宋体" w:cs="宋体"/>
                      <w:color w:val="auto"/>
                      <w:kern w:val="0"/>
                      <w:sz w:val="24"/>
                      <w:szCs w:val="24"/>
                      <w:highlight w:val="none"/>
                    </w:rPr>
                    <w:id w:val="-924730588"/>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sdt>
                  <w:sdtPr>
                    <w:rPr>
                      <w:rFonts w:hint="eastAsia" w:ascii="宋体" w:hAnsi="宋体" w:eastAsia="宋体" w:cs="宋体"/>
                      <w:color w:val="auto"/>
                      <w:kern w:val="0"/>
                      <w:sz w:val="24"/>
                      <w:szCs w:val="24"/>
                      <w:highlight w:val="none"/>
                    </w:rPr>
                    <w:id w:val="-924730588"/>
                    <w:showingPlcHdr/>
                  </w:sdtPr>
                  <w:sdtEndPr>
                    <w:rPr>
                      <w:rFonts w:hint="eastAsia" w:ascii="宋体" w:hAnsi="宋体" w:eastAsia="宋体" w:cs="宋体"/>
                      <w:color w:val="auto"/>
                      <w:kern w:val="0"/>
                      <w:sz w:val="24"/>
                      <w:szCs w:val="24"/>
                      <w:highlight w:val="none"/>
                    </w:rPr>
                  </w:sdtEndPr>
                  <w:sdtContent/>
                </w:sdt>
              </w:sdtContent>
            </w:sdt>
            <w:r>
              <w:rPr>
                <w:rFonts w:hint="eastAsia" w:ascii="宋体" w:hAnsi="宋体" w:eastAsia="宋体" w:cs="宋体"/>
                <w:color w:val="auto"/>
                <w:kern w:val="0"/>
                <w:sz w:val="24"/>
                <w:szCs w:val="24"/>
                <w:highlight w:val="none"/>
              </w:rPr>
              <w:t xml:space="preserve"> B</w:t>
            </w:r>
            <w:r>
              <w:rPr>
                <w:rFonts w:hint="eastAsia" w:ascii="宋体" w:hAnsi="宋体" w:eastAsia="宋体" w:cs="宋体"/>
                <w:color w:val="auto"/>
                <w:sz w:val="24"/>
                <w:szCs w:val="24"/>
                <w:highlight w:val="none"/>
              </w:rPr>
              <w:t>同意</w:t>
            </w:r>
            <w:r>
              <w:rPr>
                <w:rFonts w:hint="eastAsia" w:ascii="宋体" w:hAnsi="宋体" w:eastAsia="宋体" w:cs="宋体"/>
                <w:color w:val="auto"/>
                <w:sz w:val="24"/>
                <w:szCs w:val="24"/>
                <w:highlight w:val="none"/>
                <w:lang w:val="en-US" w:eastAsia="zh-CN"/>
              </w:rPr>
              <w:t>中型企业向小微企业、小微企业向小微企业合理分包</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312" w:lineRule="auto"/>
              <w:textAlignment w:val="auto"/>
              <w:rPr>
                <w:rFonts w:ascii="宋体" w:hAnsi="宋体" w:cs="宋体"/>
                <w:color w:val="auto"/>
                <w:sz w:val="24"/>
                <w:highlight w:val="none"/>
              </w:rPr>
            </w:pPr>
            <w:sdt>
              <w:sdtPr>
                <w:rPr>
                  <w:rFonts w:hint="eastAsia" w:ascii="宋体" w:hAnsi="宋体" w:eastAsia="宋体" w:cs="宋体"/>
                  <w:color w:val="auto"/>
                  <w:kern w:val="0"/>
                  <w:sz w:val="24"/>
                  <w:szCs w:val="24"/>
                  <w:highlight w:val="none"/>
                </w:rPr>
                <w:id w:val="-1276331357"/>
              </w:sdtPr>
              <w:sdtEndPr>
                <w:rPr>
                  <w:rFonts w:hint="eastAsia" w:ascii="宋体" w:hAnsi="宋体" w:eastAsia="宋体" w:cs="宋体"/>
                  <w:color w:val="auto"/>
                  <w:kern w:val="0"/>
                  <w:sz w:val="24"/>
                  <w:szCs w:val="24"/>
                  <w:highlight w:val="none"/>
                </w:rPr>
              </w:sdtEndPr>
              <w:sdtContent>
                <w:sdt>
                  <w:sdtPr>
                    <w:rPr>
                      <w:rFonts w:hint="eastAsia" w:ascii="宋体" w:hAnsi="宋体" w:eastAsia="宋体" w:cs="宋体"/>
                      <w:color w:val="auto"/>
                      <w:kern w:val="0"/>
                      <w:sz w:val="24"/>
                      <w:szCs w:val="24"/>
                      <w:highlight w:val="none"/>
                    </w:rPr>
                    <w:id w:val="-924730588"/>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lang w:val="en-US" w:eastAsia="zh-CN" w:bidi="ar-SA"/>
                      </w:rPr>
                      <w:t>☐</w:t>
                    </w:r>
                  </w:sdtContent>
                </w:sdt>
                <w:sdt>
                  <w:sdtPr>
                    <w:rPr>
                      <w:rFonts w:hint="eastAsia" w:ascii="宋体" w:hAnsi="宋体" w:eastAsia="宋体" w:cs="宋体"/>
                      <w:color w:val="auto"/>
                      <w:kern w:val="0"/>
                      <w:sz w:val="24"/>
                      <w:szCs w:val="24"/>
                      <w:highlight w:val="none"/>
                    </w:rPr>
                    <w:id w:val="-924730588"/>
                    <w:showingPlcHdr/>
                  </w:sdtPr>
                  <w:sdtEndPr>
                    <w:rPr>
                      <w:rFonts w:hint="eastAsia" w:ascii="宋体" w:hAnsi="宋体" w:eastAsia="宋体" w:cs="宋体"/>
                      <w:color w:val="auto"/>
                      <w:kern w:val="0"/>
                      <w:sz w:val="24"/>
                      <w:szCs w:val="24"/>
                      <w:highlight w:val="none"/>
                    </w:rPr>
                  </w:sdtEndPr>
                  <w:sdtContent/>
                </w:sdt>
              </w:sdtContent>
            </w:sdt>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C</w:t>
            </w:r>
            <w:r>
              <w:rPr>
                <w:rFonts w:hint="eastAsia" w:ascii="宋体" w:hAnsi="宋体" w:eastAsia="宋体" w:cs="宋体"/>
                <w:color w:val="auto"/>
                <w:sz w:val="24"/>
                <w:szCs w:val="24"/>
                <w:highlight w:val="none"/>
              </w:rPr>
              <w:t>不同意分包。</w:t>
            </w:r>
          </w:p>
          <w:p>
            <w:pPr>
              <w:keepNext w:val="0"/>
              <w:keepLines w:val="0"/>
              <w:pageBreakBefore w:val="0"/>
              <w:widowControl w:val="0"/>
              <w:kinsoku/>
              <w:wordWrap/>
              <w:overflowPunct/>
              <w:topLinePunct w:val="0"/>
              <w:autoSpaceDE/>
              <w:autoSpaceDN/>
              <w:bidi w:val="0"/>
              <w:adjustRightInd w:val="0"/>
              <w:spacing w:line="312" w:lineRule="auto"/>
              <w:textAlignment w:val="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788"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keepNext w:val="0"/>
              <w:keepLines w:val="0"/>
              <w:pageBreakBefore w:val="0"/>
              <w:widowControl w:val="0"/>
              <w:kinsoku/>
              <w:wordWrap/>
              <w:overflowPunct/>
              <w:topLinePunct w:val="0"/>
              <w:autoSpaceDE/>
              <w:autoSpaceDN/>
              <w:bidi w:val="0"/>
              <w:adjustRightInd w:val="0"/>
              <w:spacing w:line="312" w:lineRule="auto"/>
              <w:textAlignment w:val="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p>
          <w:p>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788" w:type="dxa"/>
            <w:tcBorders>
              <w:top w:val="single" w:color="000000" w:sz="8" w:space="0"/>
              <w:left w:val="single" w:color="auto" w:sz="4" w:space="0"/>
              <w:bottom w:val="single" w:color="000000" w:sz="8" w:space="0"/>
              <w:right w:val="single" w:color="000000" w:sz="8" w:space="0"/>
            </w:tcBorders>
            <w:vAlign w:val="center"/>
          </w:tcPr>
          <w:p>
            <w:pPr>
              <w:snapToGrid w:val="0"/>
              <w:spacing w:line="24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639946486"/>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A不要求提供。</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B要求提供，</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（1）样品：</w:t>
            </w:r>
            <w:r>
              <w:rPr>
                <w:rFonts w:hint="eastAsia" w:ascii="宋体" w:hAnsi="宋体" w:eastAsia="宋体" w:cs="宋体"/>
                <w:color w:val="auto"/>
                <w:sz w:val="24"/>
                <w:highlight w:val="none"/>
                <w:u w:val="single"/>
                <w:lang w:val="en-US" w:eastAsia="zh-CN"/>
              </w:rPr>
              <w:t>75.炊用</w:t>
            </w:r>
            <w:r>
              <w:rPr>
                <w:rFonts w:hint="eastAsia" w:ascii="宋体" w:hAnsi="宋体" w:cs="宋体"/>
                <w:color w:val="auto"/>
                <w:sz w:val="24"/>
                <w:highlight w:val="none"/>
                <w:u w:val="single"/>
                <w:lang w:val="en-US" w:eastAsia="zh-CN"/>
              </w:rPr>
              <w:t>燃气大锅灶（双眼大锅灶）</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（2）样品制作的标准和要求：</w:t>
            </w:r>
            <w:r>
              <w:rPr>
                <w:rFonts w:hint="eastAsia" w:ascii="宋体" w:hAnsi="宋体" w:cs="宋体"/>
                <w:color w:val="auto"/>
                <w:sz w:val="24"/>
                <w:highlight w:val="none"/>
                <w:u w:val="single"/>
              </w:rPr>
              <w:t>同实际供货要求</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（3）样品的评审方法以及评审标准：详见评标办法；</w:t>
            </w:r>
            <w:r>
              <w:rPr>
                <w:rFonts w:hint="eastAsia" w:ascii="宋体" w:hAnsi="宋体" w:eastAsia="宋体" w:cs="宋体"/>
                <w:color w:val="auto"/>
                <w:sz w:val="24"/>
                <w:szCs w:val="24"/>
                <w:highlight w:val="none"/>
              </w:rPr>
              <w:br w:type="textWrapping"/>
            </w:r>
            <w:sdt>
              <w:sdtPr>
                <w:rPr>
                  <w:rFonts w:hint="eastAsia" w:ascii="宋体" w:hAnsi="宋体" w:eastAsia="宋体" w:cs="宋体"/>
                  <w:color w:val="auto"/>
                  <w:kern w:val="0"/>
                  <w:sz w:val="24"/>
                  <w:szCs w:val="24"/>
                  <w:highlight w:val="none"/>
                </w:rPr>
                <w:id w:val="-135009224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样品分未超过价格分的50%；</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85540415"/>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样品分超过价格分的50%，理由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详见招标文件第四部分评标办分法。 </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（4）是否需要随样品提交检测报告：</w:t>
            </w:r>
            <w:sdt>
              <w:sdtPr>
                <w:rPr>
                  <w:rFonts w:hint="eastAsia" w:ascii="宋体" w:hAnsi="宋体" w:eastAsia="宋体" w:cs="宋体"/>
                  <w:color w:val="auto"/>
                  <w:sz w:val="24"/>
                  <w:szCs w:val="24"/>
                  <w:highlight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否；</w:t>
            </w:r>
            <w:sdt>
              <w:sdtPr>
                <w:rPr>
                  <w:rFonts w:hint="eastAsia" w:ascii="宋体" w:hAnsi="宋体" w:eastAsia="宋体" w:cs="宋体"/>
                  <w:color w:val="auto"/>
                  <w:sz w:val="24"/>
                  <w:szCs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是，检测机构的要求：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；检测内容：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cs="宋体"/>
                <w:color w:val="auto"/>
                <w:sz w:val="24"/>
                <w:highlight w:val="none"/>
                <w:u w:val="single"/>
                <w:lang w:val="en-US" w:eastAsia="zh-CN"/>
              </w:rPr>
              <w:t>2024年5月9日08:30 至09:30</w:t>
            </w:r>
            <w:r>
              <w:rPr>
                <w:rFonts w:hint="eastAsia" w:ascii="宋体" w:hAnsi="宋体" w:eastAsia="宋体" w:cs="宋体"/>
                <w:color w:val="auto"/>
                <w:sz w:val="24"/>
                <w:szCs w:val="24"/>
                <w:highlight w:val="none"/>
              </w:rPr>
              <w:t xml:space="preserve"> ；地点：</w:t>
            </w:r>
            <w:r>
              <w:rPr>
                <w:rFonts w:hint="eastAsia" w:ascii="宋体" w:hAnsi="宋体" w:cs="宋体"/>
                <w:color w:val="auto"/>
                <w:sz w:val="24"/>
                <w:highlight w:val="none"/>
                <w:u w:val="single"/>
              </w:rPr>
              <w:t>钱塘区金沙大道600号东楼B-2停车场</w:t>
            </w: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u w:val="single"/>
                <w:lang w:eastAsia="zh-CN"/>
              </w:rPr>
              <w:t>伍红仙</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highlight w:val="none"/>
                <w:u w:val="single"/>
                <w:lang w:val="en-US" w:eastAsia="zh-CN"/>
              </w:rPr>
              <w:t>1</w:t>
            </w:r>
            <w:r>
              <w:rPr>
                <w:rFonts w:hint="eastAsia" w:ascii="宋体" w:hAnsi="宋体" w:cs="宋体"/>
                <w:color w:val="auto"/>
                <w:sz w:val="24"/>
                <w:highlight w:val="none"/>
                <w:u w:val="single"/>
                <w:lang w:val="en-US" w:eastAsia="zh-CN"/>
              </w:rPr>
              <w:t>3357106093</w:t>
            </w:r>
            <w:r>
              <w:rPr>
                <w:rFonts w:hint="eastAsia" w:ascii="宋体" w:hAnsi="宋体" w:cs="宋体"/>
                <w:color w:val="auto"/>
                <w:sz w:val="24"/>
                <w:highlight w:val="none"/>
                <w:u w:val="none"/>
                <w:lang w:val="en-US" w:eastAsia="zh-CN"/>
              </w:rPr>
              <w:t>。</w:t>
            </w:r>
            <w:r>
              <w:rPr>
                <w:rFonts w:hint="eastAsia" w:ascii="宋体" w:hAnsi="宋体" w:eastAsia="宋体" w:cs="宋体"/>
                <w:color w:val="auto"/>
                <w:sz w:val="24"/>
                <w:szCs w:val="24"/>
                <w:highlight w:val="none"/>
              </w:rPr>
              <w:t>请投标人在上述时间内提供样品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样品递交人须提供投标人的授权书（见附件格式，法人代表请携带身份证复件及营业执照复印件）、身份证</w:t>
            </w:r>
            <w:r>
              <w:rPr>
                <w:rFonts w:hint="eastAsia" w:ascii="宋体" w:hAnsi="宋体" w:eastAsia="宋体" w:cs="宋体"/>
                <w:color w:val="auto"/>
                <w:sz w:val="24"/>
                <w:szCs w:val="24"/>
                <w:highlight w:val="none"/>
                <w:lang w:val="en-US" w:eastAsia="zh-CN"/>
              </w:rPr>
              <w:t>明</w:t>
            </w:r>
            <w:r>
              <w:rPr>
                <w:rFonts w:hint="eastAsia" w:ascii="宋体" w:hAnsi="宋体" w:eastAsia="宋体" w:cs="宋体"/>
                <w:color w:val="auto"/>
                <w:sz w:val="24"/>
                <w:szCs w:val="24"/>
                <w:highlight w:val="none"/>
              </w:rPr>
              <w:t>。超过截止时间的，采购人或采购代理机构将不予接收，并将清场并封闭样品现场。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(6)采购活动结束后，对于未中标人提供的样品，采购人、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将通知未中标人在规定的时间内取回，逾期未取回的，采购人、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color w:val="auto"/>
                <w:highlight w:val="none"/>
              </w:rPr>
            </w:pPr>
            <w:r>
              <w:rPr>
                <w:rFonts w:hint="eastAsia" w:ascii="宋体" w:hAnsi="宋体" w:eastAsia="宋体" w:cs="宋体"/>
                <w:color w:val="auto"/>
                <w:sz w:val="24"/>
                <w:szCs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r>
              <w:rPr>
                <w:rFonts w:hint="eastAsia" w:ascii="宋体" w:hAnsi="宋体" w:cs="宋体"/>
                <w:color w:val="auto"/>
                <w:sz w:val="24"/>
                <w:highlight w:val="none"/>
              </w:rPr>
              <w:t>7</w:t>
            </w:r>
          </w:p>
        </w:tc>
        <w:tc>
          <w:tcPr>
            <w:tcW w:w="1788"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150"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12" w:lineRule="auto"/>
              <w:ind w:left="0"/>
              <w:textAlignment w:val="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pageBreakBefore w:val="0"/>
              <w:widowControl w:val="0"/>
              <w:kinsoku/>
              <w:wordWrap/>
              <w:overflowPunct/>
              <w:topLinePunct w:val="0"/>
              <w:autoSpaceDE/>
              <w:autoSpaceDN/>
              <w:bidi w:val="0"/>
              <w:spacing w:line="312" w:lineRule="auto"/>
              <w:ind w:left="0"/>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pageBreakBefore w:val="0"/>
              <w:widowControl w:val="0"/>
              <w:kinsoku/>
              <w:wordWrap/>
              <w:overflowPunct/>
              <w:topLinePunct w:val="0"/>
              <w:autoSpaceDE/>
              <w:autoSpaceDN/>
              <w:bidi w:val="0"/>
              <w:snapToGrid w:val="0"/>
              <w:spacing w:line="312" w:lineRule="auto"/>
              <w:ind w:left="0"/>
              <w:textAlignment w:val="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pPr>
              <w:pageBreakBefore w:val="0"/>
              <w:widowControl w:val="0"/>
              <w:kinsoku/>
              <w:wordWrap/>
              <w:overflowPunct/>
              <w:topLinePunct w:val="0"/>
              <w:autoSpaceDE/>
              <w:autoSpaceDN/>
              <w:bidi w:val="0"/>
              <w:snapToGrid w:val="0"/>
              <w:spacing w:line="312" w:lineRule="auto"/>
              <w:ind w:left="0"/>
              <w:textAlignment w:val="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pageBreakBefore w:val="0"/>
              <w:widowControl w:val="0"/>
              <w:kinsoku/>
              <w:wordWrap/>
              <w:overflowPunct/>
              <w:topLinePunct w:val="0"/>
              <w:autoSpaceDE/>
              <w:autoSpaceDN/>
              <w:bidi w:val="0"/>
              <w:snapToGrid w:val="0"/>
              <w:spacing w:line="312" w:lineRule="auto"/>
              <w:ind w:left="0"/>
              <w:textAlignment w:val="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pStyle w:val="5"/>
              <w:pageBreakBefore w:val="0"/>
              <w:widowControl w:val="0"/>
              <w:kinsoku/>
              <w:wordWrap/>
              <w:overflowPunct/>
              <w:topLinePunct w:val="0"/>
              <w:autoSpaceDE/>
              <w:autoSpaceDN/>
              <w:bidi w:val="0"/>
              <w:spacing w:line="312" w:lineRule="auto"/>
              <w:textAlignment w:val="auto"/>
              <w:rPr>
                <w:color w:val="auto"/>
                <w:highlight w:val="none"/>
              </w:rPr>
            </w:pPr>
            <w:r>
              <w:rPr>
                <w:rFonts w:hint="eastAsia" w:ascii="宋体" w:hAnsi="宋体" w:cs="宋体"/>
                <w:color w:val="auto"/>
                <w:kern w:val="0"/>
                <w:sz w:val="24"/>
                <w:highlight w:val="none"/>
              </w:rPr>
              <w:t>方式</w:t>
            </w:r>
            <w:r>
              <w:rPr>
                <w:rFonts w:hint="default" w:ascii="宋体" w:hAnsi="宋体" w:cs="宋体"/>
                <w:color w:val="auto"/>
                <w:kern w:val="0"/>
                <w:sz w:val="24"/>
                <w:highlight w:val="none"/>
                <w:lang w:val="en-US"/>
              </w:rPr>
              <w:t>二</w:t>
            </w:r>
            <w:r>
              <w:rPr>
                <w:rFonts w:hint="eastAsia" w:ascii="宋体" w:hAnsi="宋体" w:cs="宋体"/>
                <w:color w:val="auto"/>
                <w:kern w:val="0"/>
                <w:sz w:val="24"/>
                <w:highlight w:val="none"/>
              </w:rPr>
              <w:t>：交易中心现场讲解演示。现场讲解地点为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，讲解演示所用电脑等设备由投标人自备。现场讲解演示人员进场时提供讲解人员名单（加盖公章）及身份证明</w:t>
            </w:r>
            <w:r>
              <w:rPr>
                <w:rFonts w:hint="eastAsia" w:ascii="宋体" w:hAnsi="宋体" w:cs="宋体"/>
                <w:color w:val="auto"/>
                <w:kern w:val="0"/>
                <w:sz w:val="24"/>
                <w:highlight w:val="none"/>
                <w:lang w:eastAsia="zh-CN"/>
              </w:rPr>
              <w:t>，</w:t>
            </w:r>
            <w:r>
              <w:rPr>
                <w:rFonts w:hint="eastAsia"/>
                <w:bCs/>
                <w:color w:val="auto"/>
                <w:sz w:val="22"/>
                <w:highlight w:val="none"/>
              </w:rPr>
              <w:t>法人代表请携带身份证复件及营业执照复印件）</w:t>
            </w:r>
            <w:r>
              <w:rPr>
                <w:rFonts w:hint="eastAsia" w:ascii="宋体" w:hAnsi="宋体" w:cs="宋体"/>
                <w:color w:val="auto"/>
                <w:kern w:val="0"/>
                <w:sz w:val="24"/>
                <w:highlight w:val="none"/>
              </w:rPr>
              <w:t>，否则不得讲解演示。</w:t>
            </w:r>
          </w:p>
          <w:p>
            <w:pPr>
              <w:pageBreakBefore w:val="0"/>
              <w:widowControl w:val="0"/>
              <w:kinsoku/>
              <w:wordWrap/>
              <w:overflowPunct/>
              <w:topLinePunct w:val="0"/>
              <w:autoSpaceDE/>
              <w:autoSpaceDN/>
              <w:bidi w:val="0"/>
              <w:snapToGrid w:val="0"/>
              <w:spacing w:line="312" w:lineRule="auto"/>
              <w:ind w:left="0"/>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w:t>
            </w:r>
            <w:r>
              <w:rPr>
                <w:rFonts w:hint="eastAsia" w:ascii="宋体" w:hAnsi="宋体" w:cs="宋体"/>
                <w:color w:val="auto"/>
                <w:kern w:val="0"/>
                <w:sz w:val="24"/>
                <w:szCs w:val="24"/>
                <w:highlight w:val="none"/>
              </w:rPr>
              <w:t>任自负。因平台原因导致本项目方案讲解演示环节无法顺利开展，按照《浙江省政府采购项目电子交易管理暂行办法》相关规定执行。</w:t>
            </w:r>
            <w:r>
              <w:rPr>
                <w:rFonts w:hint="eastAsia"/>
                <w:bCs/>
                <w:color w:val="auto"/>
                <w:sz w:val="24"/>
                <w:szCs w:val="24"/>
                <w:highlight w:val="none"/>
                <w:lang w:val="en-US" w:eastAsia="zh-CN"/>
              </w:rPr>
              <w:t>演示人员</w:t>
            </w:r>
            <w:r>
              <w:rPr>
                <w:rFonts w:hint="eastAsia"/>
                <w:bCs/>
                <w:color w:val="auto"/>
                <w:sz w:val="24"/>
                <w:szCs w:val="24"/>
                <w:highlight w:val="none"/>
              </w:rPr>
              <w:t>须提供投标人的授权书（见附件格式，法人代表请携带身份证复件及营业执照复印件）、身份证</w:t>
            </w:r>
            <w:r>
              <w:rPr>
                <w:rFonts w:hint="eastAsia"/>
                <w:bCs/>
                <w:color w:val="auto"/>
                <w:sz w:val="24"/>
                <w:szCs w:val="24"/>
                <w:highlight w:val="none"/>
                <w:lang w:eastAsia="zh-CN"/>
              </w:rPr>
              <w:t>（</w:t>
            </w:r>
            <w:r>
              <w:rPr>
                <w:rFonts w:hint="eastAsia"/>
                <w:bCs/>
                <w:color w:val="auto"/>
                <w:sz w:val="24"/>
                <w:szCs w:val="24"/>
                <w:highlight w:val="none"/>
                <w:lang w:val="en-US" w:eastAsia="zh-CN"/>
              </w:rPr>
              <w:t>复印件</w:t>
            </w:r>
            <w:r>
              <w:rPr>
                <w:rFonts w:hint="eastAsia"/>
                <w:bCs/>
                <w:color w:val="auto"/>
                <w:sz w:val="24"/>
                <w:szCs w:val="24"/>
                <w:highlight w:val="none"/>
                <w:lang w:eastAsia="zh-CN"/>
              </w:rPr>
              <w:t>）</w:t>
            </w:r>
            <w:r>
              <w:rPr>
                <w:rFonts w:hint="eastAsia"/>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p>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p>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r>
              <w:rPr>
                <w:rFonts w:hint="eastAsia" w:ascii="宋体" w:hAnsi="宋体" w:cs="宋体"/>
                <w:color w:val="auto"/>
                <w:sz w:val="24"/>
                <w:highlight w:val="none"/>
              </w:rPr>
              <w:t>8</w:t>
            </w:r>
          </w:p>
        </w:tc>
        <w:tc>
          <w:tcPr>
            <w:tcW w:w="1788" w:type="dxa"/>
            <w:vMerge w:val="restart"/>
            <w:tcBorders>
              <w:top w:val="single" w:color="000000" w:sz="8" w:space="0"/>
              <w:left w:val="single" w:color="auto" w:sz="4" w:space="0"/>
              <w:right w:val="single" w:color="000000" w:sz="8" w:space="0"/>
            </w:tcBorders>
            <w:vAlign w:val="center"/>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150" w:type="dxa"/>
            <w:tcBorders>
              <w:top w:val="single" w:color="000000" w:sz="8" w:space="0"/>
              <w:left w:val="single" w:color="000000" w:sz="2" w:space="0"/>
              <w:bottom w:val="single" w:color="auto" w:sz="4" w:space="0"/>
              <w:right w:val="single" w:color="000000" w:sz="8" w:space="0"/>
            </w:tcBorders>
            <w:vAlign w:val="center"/>
          </w:tcPr>
          <w:p>
            <w:pPr>
              <w:pageBreakBefore w:val="0"/>
              <w:widowControl w:val="0"/>
              <w:kinsoku/>
              <w:wordWrap/>
              <w:overflowPunct/>
              <w:topLinePunct w:val="0"/>
              <w:autoSpaceDE/>
              <w:autoSpaceDN/>
              <w:bidi w:val="0"/>
              <w:spacing w:line="312" w:lineRule="auto"/>
              <w:ind w:left="0"/>
              <w:textAlignment w:val="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pageBreakBefore w:val="0"/>
              <w:widowControl w:val="0"/>
              <w:kinsoku/>
              <w:wordWrap/>
              <w:overflowPunct/>
              <w:topLinePunct w:val="0"/>
              <w:autoSpaceDE/>
              <w:autoSpaceDN/>
              <w:bidi w:val="0"/>
              <w:spacing w:line="312" w:lineRule="auto"/>
              <w:ind w:left="0"/>
              <w:textAlignment w:val="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p>
        </w:tc>
        <w:tc>
          <w:tcPr>
            <w:tcW w:w="1788" w:type="dxa"/>
            <w:vMerge w:val="continue"/>
            <w:tcBorders>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b/>
                <w:color w:val="auto"/>
                <w:sz w:val="24"/>
                <w:highlight w:val="none"/>
              </w:rPr>
            </w:pPr>
          </w:p>
        </w:tc>
        <w:tc>
          <w:tcPr>
            <w:tcW w:w="6150" w:type="dxa"/>
            <w:tcBorders>
              <w:top w:val="single" w:color="auto" w:sz="4"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12" w:lineRule="auto"/>
              <w:ind w:left="0"/>
              <w:textAlignment w:val="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p>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p>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color w:val="auto"/>
                <w:sz w:val="24"/>
                <w:highlight w:val="none"/>
              </w:rPr>
            </w:pPr>
            <w:r>
              <w:rPr>
                <w:rFonts w:hint="eastAsia" w:ascii="宋体" w:hAnsi="宋体" w:cs="宋体"/>
                <w:color w:val="auto"/>
                <w:sz w:val="24"/>
                <w:highlight w:val="none"/>
              </w:rPr>
              <w:t>9</w:t>
            </w:r>
          </w:p>
        </w:tc>
        <w:tc>
          <w:tcPr>
            <w:tcW w:w="1788"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12" w:lineRule="auto"/>
              <w:ind w:left="0"/>
              <w:jc w:val="center"/>
              <w:textAlignment w:val="auto"/>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15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w:t>
            </w:r>
            <w:r>
              <w:rPr>
                <w:rFonts w:hint="eastAsia" w:ascii="宋体" w:hAnsi="宋体" w:eastAsia="宋体" w:cs="宋体"/>
                <w:color w:val="auto"/>
                <w:kern w:val="0"/>
                <w:sz w:val="24"/>
                <w:highlight w:val="none"/>
              </w:rPr>
              <w:t>、环境标志产品认证证书，对获得证书的产品实施政府优先采购或强制采购</w:t>
            </w:r>
            <w:r>
              <w:rPr>
                <w:rFonts w:hint="eastAsia" w:ascii="宋体" w:hAnsi="宋体" w:eastAsia="宋体" w:cs="宋体"/>
                <w:color w:val="auto"/>
                <w:kern w:val="0"/>
                <w:sz w:val="24"/>
                <w:highlight w:val="none"/>
                <w:lang w:eastAsia="zh-CN"/>
              </w:rPr>
              <w:t>。</w:t>
            </w:r>
          </w:p>
          <w:p>
            <w:pPr>
              <w:spacing w:line="360" w:lineRule="auto"/>
              <w:rPr>
                <w:rFonts w:hint="eastAsia" w:ascii="宋体" w:hAnsi="宋体" w:eastAsia="宋体" w:cs="宋体"/>
                <w:color w:val="auto"/>
                <w:sz w:val="24"/>
                <w:highlight w:val="none"/>
              </w:rPr>
            </w:pPr>
            <w:sdt>
              <w:sdtPr>
                <w:rPr>
                  <w:rFonts w:hint="eastAsia" w:ascii="宋体" w:hAnsi="宋体" w:eastAsia="宋体" w:cs="宋体"/>
                  <w:kern w:val="0"/>
                  <w:sz w:val="24"/>
                  <w:highlight w:val="none"/>
                </w:rPr>
                <w:id w:val="-924730588"/>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szCs w:val="24"/>
                    <w:highlight w:val="none"/>
                    <w:lang w:val="en-US" w:eastAsia="zh-CN" w:bidi="ar-SA"/>
                  </w:rPr>
                  <w:t>☐</w:t>
                </w:r>
              </w:sdtContent>
            </w:sdt>
            <w:sdt>
              <w:sdtPr>
                <w:rPr>
                  <w:rFonts w:hint="eastAsia" w:ascii="宋体" w:hAnsi="宋体" w:eastAsia="宋体" w:cs="宋体"/>
                  <w:kern w:val="0"/>
                  <w:sz w:val="24"/>
                  <w:highlight w:val="none"/>
                </w:rPr>
                <w:id w:val="-924730588"/>
                <w:showingPlcHdr/>
              </w:sdtPr>
              <w:sdtEndPr>
                <w:rPr>
                  <w:rFonts w:hint="eastAsia" w:ascii="宋体" w:hAnsi="宋体" w:eastAsia="宋体" w:cs="宋体"/>
                  <w:kern w:val="0"/>
                  <w:sz w:val="24"/>
                  <w:highlight w:val="none"/>
                </w:rPr>
              </w:sdtEndPr>
              <w:sdtContent/>
            </w:sdt>
            <w:r>
              <w:rPr>
                <w:rFonts w:hint="eastAsia" w:ascii="宋体" w:hAnsi="宋体" w:eastAsia="宋体" w:cs="宋体"/>
                <w:color w:val="auto"/>
                <w:kern w:val="0"/>
                <w:sz w:val="24"/>
                <w:highlight w:val="none"/>
              </w:rPr>
              <w:t>A无</w:t>
            </w:r>
          </w:p>
          <w:p>
            <w:pPr>
              <w:pStyle w:val="25"/>
              <w:rPr>
                <w:rFonts w:hint="eastAsia" w:ascii="宋体" w:hAnsi="宋体" w:eastAsia="宋体" w:cs="宋体"/>
                <w:color w:val="auto"/>
                <w:kern w:val="0"/>
                <w:highlight w:val="none"/>
              </w:rPr>
            </w:pPr>
            <w:sdt>
              <w:sdtPr>
                <w:rPr>
                  <w:rFonts w:hint="eastAsia" w:ascii="宋体" w:hAnsi="宋体" w:eastAsia="宋体" w:cs="宋体"/>
                  <w:kern w:val="0"/>
                  <w:sz w:val="24"/>
                  <w:highlight w:val="none"/>
                </w:rPr>
                <w:id w:val="-924730588"/>
                <w14:checkbox>
                  <w14:checked w14:val="1"/>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Wingdings" w:hAnsi="Wingdings" w:eastAsia="宋体" w:cs="宋体"/>
                    <w:snapToGrid w:val="0"/>
                    <w:kern w:val="0"/>
                    <w:sz w:val="24"/>
                    <w:szCs w:val="24"/>
                    <w:highlight w:val="none"/>
                    <w:lang w:val="en-US" w:eastAsia="zh-CN" w:bidi="ar-SA"/>
                  </w:rPr>
                  <w:t>þ</w:t>
                </w:r>
              </w:sdtContent>
            </w:sdt>
            <w:sdt>
              <w:sdtPr>
                <w:rPr>
                  <w:rFonts w:hint="eastAsia" w:ascii="宋体" w:hAnsi="宋体" w:eastAsia="宋体" w:cs="宋体"/>
                  <w:kern w:val="0"/>
                  <w:sz w:val="24"/>
                  <w:highlight w:val="none"/>
                </w:rPr>
                <w:id w:val="-924730588"/>
                <w:showingPlcHdr/>
              </w:sdtPr>
              <w:sdtEndPr>
                <w:rPr>
                  <w:rFonts w:hint="eastAsia" w:ascii="宋体" w:hAnsi="宋体" w:eastAsia="宋体" w:cs="宋体"/>
                  <w:kern w:val="0"/>
                  <w:sz w:val="24"/>
                  <w:highlight w:val="none"/>
                </w:rPr>
              </w:sdtEndPr>
              <w:sdtContent/>
            </w:sdt>
            <w:r>
              <w:rPr>
                <w:rFonts w:hint="eastAsia" w:ascii="宋体" w:hAnsi="宋体" w:eastAsia="宋体" w:cs="宋体"/>
                <w:color w:val="auto"/>
                <w:kern w:val="0"/>
                <w:highlight w:val="none"/>
              </w:rPr>
              <w:t>B</w:t>
            </w:r>
            <w:r>
              <w:rPr>
                <w:rFonts w:hint="eastAsia" w:ascii="宋体" w:hAnsi="宋体" w:eastAsia="宋体" w:cs="宋体"/>
                <w:color w:val="auto"/>
                <w:kern w:val="0"/>
                <w:highlight w:val="none"/>
                <w:lang w:val="en-US"/>
              </w:rPr>
              <w:t xml:space="preserve"> 政府</w:t>
            </w:r>
            <w:r>
              <w:rPr>
                <w:rFonts w:hint="eastAsia" w:ascii="宋体" w:hAnsi="宋体" w:eastAsia="宋体" w:cs="宋体"/>
                <w:color w:val="auto"/>
                <w:highlight w:val="none"/>
                <w:lang w:val="en-US"/>
              </w:rPr>
              <w:t>强制采购节能产品</w:t>
            </w:r>
            <w:r>
              <w:rPr>
                <w:rFonts w:hint="eastAsia" w:ascii="宋体" w:hAnsi="宋体" w:eastAsia="宋体" w:cs="宋体"/>
                <w:color w:val="auto"/>
                <w:kern w:val="0"/>
                <w:highlight w:val="none"/>
              </w:rPr>
              <w:t>：</w:t>
            </w:r>
          </w:p>
          <w:p>
            <w:pPr>
              <w:pStyle w:val="25"/>
              <w:numPr>
                <w:ilvl w:val="0"/>
                <w:numId w:val="3"/>
              </w:numPr>
              <w:ind w:firstLine="480" w:firstLineChars="200"/>
              <w:rPr>
                <w:rFonts w:hint="eastAsia" w:ascii="宋体" w:hAnsi="宋体" w:eastAsia="宋体" w:cs="宋体"/>
                <w:color w:val="auto"/>
                <w:highlight w:val="none"/>
                <w:lang w:val="en-US"/>
              </w:rPr>
            </w:pPr>
            <w:r>
              <w:rPr>
                <w:rFonts w:hint="eastAsia" w:ascii="宋体" w:hAnsi="宋体" w:eastAsia="宋体" w:cs="宋体"/>
                <w:color w:val="auto"/>
                <w:highlight w:val="none"/>
                <w:u w:val="single"/>
              </w:rPr>
              <w:t>A060806 水嘴</w:t>
            </w:r>
            <w:r>
              <w:rPr>
                <w:rFonts w:hint="eastAsia" w:ascii="宋体" w:hAnsi="宋体" w:eastAsia="宋体" w:cs="宋体"/>
                <w:color w:val="auto"/>
                <w:highlight w:val="none"/>
                <w:u w:val="single"/>
                <w:lang w:eastAsia="zh-CN"/>
              </w:rPr>
              <w:t>（即采购清单中的星盆双温龙头、感应龙头）</w:t>
            </w:r>
            <w:r>
              <w:rPr>
                <w:rFonts w:hint="eastAsia" w:hAnsi="宋体" w:cs="宋体"/>
                <w:color w:val="auto"/>
                <w:highlight w:val="none"/>
                <w:lang w:val="en-US" w:eastAsia="zh-CN"/>
              </w:rPr>
              <w:t>。</w:t>
            </w:r>
          </w:p>
          <w:p>
            <w:pPr>
              <w:pStyle w:val="25"/>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highlight w:val="none"/>
              </w:rPr>
              <w:t>水嘴</w:t>
            </w:r>
            <w:r>
              <w:rPr>
                <w:rFonts w:hint="eastAsia" w:ascii="宋体" w:hAnsi="宋体" w:eastAsia="宋体" w:cs="宋体"/>
                <w:b/>
                <w:bCs/>
                <w:color w:val="auto"/>
                <w:sz w:val="24"/>
                <w:highlight w:val="none"/>
                <w:lang w:eastAsia="zh-CN"/>
              </w:rPr>
              <w:t>（即采购清单中的星盆双温龙头、感应龙头）需提供</w:t>
            </w:r>
            <w:r>
              <w:rPr>
                <w:rFonts w:hint="eastAsia" w:ascii="宋体" w:hAnsi="宋体" w:eastAsia="宋体" w:cs="宋体"/>
                <w:b/>
                <w:bCs/>
                <w:color w:val="auto"/>
                <w:sz w:val="24"/>
                <w:highlight w:val="none"/>
              </w:rPr>
              <w:t>节</w:t>
            </w:r>
            <w:r>
              <w:rPr>
                <w:rFonts w:hint="eastAsia" w:ascii="宋体" w:hAnsi="宋体" w:cs="宋体"/>
                <w:b/>
                <w:bCs/>
                <w:color w:val="auto"/>
                <w:sz w:val="24"/>
                <w:highlight w:val="none"/>
              </w:rPr>
              <w:t>能产品认证证书</w:t>
            </w:r>
            <w:r>
              <w:rPr>
                <w:rFonts w:hint="eastAsia" w:ascii="宋体" w:hAnsi="宋体" w:cs="宋体"/>
                <w:b/>
                <w:bCs/>
                <w:color w:val="auto"/>
                <w:sz w:val="24"/>
                <w:highlight w:val="none"/>
                <w:lang w:eastAsia="zh-CN"/>
              </w:rPr>
              <w:t>。</w:t>
            </w:r>
          </w:p>
          <w:p>
            <w:pPr>
              <w:pStyle w:val="25"/>
              <w:rPr>
                <w:rFonts w:hint="eastAsia" w:ascii="宋体" w:hAnsi="宋体" w:eastAsia="宋体" w:cs="宋体"/>
                <w:color w:val="auto"/>
                <w:kern w:val="0"/>
                <w:highlight w:val="none"/>
              </w:rPr>
            </w:pPr>
            <w:sdt>
              <w:sdtPr>
                <w:rPr>
                  <w:rFonts w:hint="eastAsia" w:ascii="宋体" w:hAnsi="宋体" w:eastAsia="宋体" w:cs="宋体"/>
                  <w:kern w:val="0"/>
                  <w:sz w:val="24"/>
                  <w:highlight w:val="none"/>
                </w:rPr>
                <w:id w:val="-924730588"/>
                <w14:checkbox>
                  <w14:checked w14:val="1"/>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Wingdings" w:hAnsi="Wingdings" w:eastAsia="宋体" w:cs="宋体"/>
                    <w:snapToGrid w:val="0"/>
                    <w:kern w:val="0"/>
                    <w:sz w:val="24"/>
                    <w:szCs w:val="24"/>
                    <w:highlight w:val="none"/>
                    <w:lang w:val="en-US" w:eastAsia="zh-CN" w:bidi="ar-SA"/>
                  </w:rPr>
                  <w:t>þ</w:t>
                </w:r>
              </w:sdtContent>
            </w:sdt>
            <w:sdt>
              <w:sdtPr>
                <w:rPr>
                  <w:rFonts w:hint="eastAsia" w:ascii="宋体" w:hAnsi="宋体" w:eastAsia="宋体" w:cs="宋体"/>
                  <w:kern w:val="0"/>
                  <w:sz w:val="24"/>
                  <w:highlight w:val="none"/>
                </w:rPr>
                <w:id w:val="-924730588"/>
                <w:showingPlcHdr/>
              </w:sdtPr>
              <w:sdtEndPr>
                <w:rPr>
                  <w:rFonts w:hint="eastAsia" w:ascii="宋体" w:hAnsi="宋体" w:eastAsia="宋体" w:cs="宋体"/>
                  <w:kern w:val="0"/>
                  <w:sz w:val="24"/>
                  <w:highlight w:val="none"/>
                </w:rPr>
              </w:sdtEndPr>
              <w:sdtContent/>
            </w:sdt>
            <w:r>
              <w:rPr>
                <w:rFonts w:hint="eastAsia" w:ascii="宋体" w:hAnsi="宋体" w:eastAsia="宋体" w:cs="宋体"/>
                <w:color w:val="auto"/>
                <w:kern w:val="0"/>
                <w:highlight w:val="none"/>
                <w:lang w:val="en-US"/>
              </w:rPr>
              <w:t xml:space="preserve">C </w:t>
            </w:r>
            <w:r>
              <w:rPr>
                <w:rFonts w:hint="eastAsia" w:ascii="宋体" w:hAnsi="宋体" w:eastAsia="宋体" w:cs="宋体"/>
                <w:color w:val="auto"/>
                <w:highlight w:val="none"/>
                <w:lang w:val="en-US"/>
              </w:rPr>
              <w:t>政府优先采购节能产品</w:t>
            </w:r>
            <w:r>
              <w:rPr>
                <w:rFonts w:hint="eastAsia" w:ascii="宋体" w:hAnsi="宋体" w:eastAsia="宋体" w:cs="宋体"/>
                <w:color w:val="auto"/>
                <w:kern w:val="0"/>
                <w:highlight w:val="none"/>
              </w:rPr>
              <w:t>：</w:t>
            </w:r>
          </w:p>
          <w:p>
            <w:pPr>
              <w:pStyle w:val="25"/>
              <w:ind w:firstLine="480" w:firstLineChars="200"/>
              <w:rPr>
                <w:rFonts w:ascii="宋体" w:hAnsi="宋体" w:cs="宋体"/>
                <w:color w:val="auto"/>
                <w:highlight w:val="none"/>
              </w:rPr>
            </w:pPr>
            <w:r>
              <w:rPr>
                <w:rFonts w:hint="eastAsia" w:ascii="宋体" w:hAnsi="宋体" w:eastAsia="宋体" w:cs="宋体"/>
                <w:color w:val="auto"/>
                <w:kern w:val="0"/>
                <w:highlight w:val="none"/>
                <w:lang w:val="en-US"/>
              </w:rPr>
              <w:t>（1）</w:t>
            </w:r>
            <w:r>
              <w:rPr>
                <w:rFonts w:hint="eastAsia" w:ascii="宋体" w:hAnsi="宋体" w:eastAsia="宋体" w:cs="宋体"/>
                <w:color w:val="auto"/>
                <w:highlight w:val="none"/>
                <w:u w:val="single"/>
              </w:rPr>
              <w:t>A031210 饮食炊事机械</w:t>
            </w:r>
            <w:r>
              <w:rPr>
                <w:rFonts w:hint="eastAsia" w:ascii="宋体" w:hAnsi="宋体" w:eastAsia="宋体" w:cs="宋体"/>
                <w:color w:val="auto"/>
                <w:highlight w:val="none"/>
                <w:u w:val="single"/>
                <w:lang w:val="en-US"/>
              </w:rPr>
              <w:t xml:space="preserve"> 商用燃气灶具</w:t>
            </w:r>
            <w:r>
              <w:rPr>
                <w:rFonts w:hint="eastAsia" w:ascii="宋体" w:hAnsi="宋体" w:eastAsia="宋体" w:cs="宋体"/>
                <w:color w:val="auto"/>
                <w:highlight w:val="none"/>
                <w:u w:val="single"/>
                <w:lang w:eastAsia="zh-CN"/>
              </w:rPr>
              <w:t>（即炊用燃气大锅灶（双眼大锅灶）、中餐燃气炒菜灶</w:t>
            </w:r>
            <w:r>
              <w:rPr>
                <w:rFonts w:hint="eastAsia" w:hAnsi="宋体" w:cs="宋体"/>
                <w:color w:val="auto"/>
                <w:highlight w:val="none"/>
                <w:u w:val="single"/>
                <w:lang w:eastAsia="zh-CN"/>
              </w:rPr>
              <w:t>（</w:t>
            </w:r>
            <w:r>
              <w:rPr>
                <w:rFonts w:hint="eastAsia" w:hAnsi="宋体" w:cs="宋体"/>
                <w:color w:val="auto"/>
                <w:highlight w:val="none"/>
                <w:u w:val="single"/>
              </w:rPr>
              <w:t>两眼一汤炒灶</w:t>
            </w:r>
            <w:r>
              <w:rPr>
                <w:rFonts w:hint="eastAsia" w:hAnsi="宋体" w:cs="宋体"/>
                <w:color w:val="auto"/>
                <w:highlight w:val="none"/>
                <w:u w:val="single"/>
                <w:lang w:eastAsia="zh-CN"/>
              </w:rPr>
              <w:t>）、商用物联智能双炒双尾广式灶、广式双门100KG燃气蒸饭箱、三门燃气蒸柜（配电磁阀）</w:t>
            </w:r>
            <w:r>
              <w:rPr>
                <w:rFonts w:hint="eastAsia" w:ascii="宋体" w:hAnsi="宋体" w:eastAsia="宋体" w:cs="宋体"/>
                <w:color w:val="auto"/>
                <w:highlight w:val="none"/>
                <w:u w:val="single"/>
                <w:lang w:eastAsia="zh-CN"/>
              </w:rPr>
              <w:t>）</w:t>
            </w:r>
            <w:r>
              <w:rPr>
                <w:rFonts w:hint="eastAsia" w:hAnsi="宋体" w:cs="宋体"/>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10</w:t>
            </w:r>
          </w:p>
        </w:tc>
        <w:tc>
          <w:tcPr>
            <w:tcW w:w="1788"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报价要求</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keepNext w:val="0"/>
              <w:keepLines w:val="0"/>
              <w:pageBreakBefore w:val="0"/>
              <w:widowControl w:val="0"/>
              <w:kinsoku/>
              <w:wordWrap/>
              <w:overflowPunct/>
              <w:topLinePunct w:val="0"/>
              <w:autoSpaceDE/>
              <w:autoSpaceDN/>
              <w:bidi w:val="0"/>
              <w:adjustRightInd w:val="0"/>
              <w:snapToGrid w:val="0"/>
              <w:spacing w:line="312" w:lineRule="auto"/>
              <w:ind w:firstLine="241" w:firstLineChars="100"/>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312" w:lineRule="auto"/>
              <w:ind w:firstLine="241" w:firstLineChars="100"/>
              <w:jc w:val="left"/>
              <w:textAlignment w:val="auto"/>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val="0"/>
              <w:spacing w:line="312" w:lineRule="auto"/>
              <w:ind w:firstLine="241" w:firstLineChars="100"/>
              <w:textAlignment w:val="auto"/>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keepNext w:val="0"/>
              <w:keepLines w:val="0"/>
              <w:pageBreakBefore w:val="0"/>
              <w:widowControl w:val="0"/>
              <w:kinsoku/>
              <w:wordWrap/>
              <w:overflowPunct/>
              <w:topLinePunct w:val="0"/>
              <w:autoSpaceDE/>
              <w:autoSpaceDN/>
              <w:bidi w:val="0"/>
              <w:adjustRightInd w:val="0"/>
              <w:spacing w:line="312" w:lineRule="auto"/>
              <w:ind w:firstLine="241" w:firstLineChars="100"/>
              <w:textAlignment w:val="auto"/>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4" w:hRule="atLeast"/>
          <w:tblHeader/>
        </w:trPr>
        <w:tc>
          <w:tcPr>
            <w:tcW w:w="629" w:type="dxa"/>
            <w:vMerge w:val="restart"/>
            <w:tcBorders>
              <w:top w:val="single" w:color="auto" w:sz="4" w:space="0"/>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11</w:t>
            </w:r>
          </w:p>
        </w:tc>
        <w:tc>
          <w:tcPr>
            <w:tcW w:w="1788" w:type="dxa"/>
            <w:vMerge w:val="restart"/>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150" w:type="dxa"/>
            <w:tcBorders>
              <w:top w:val="single" w:color="000000" w:sz="8" w:space="0"/>
              <w:left w:val="single" w:color="000000" w:sz="2"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color w:val="auto"/>
                <w:highlight w:val="none"/>
              </w:rPr>
            </w:pPr>
            <w:r>
              <w:rPr>
                <w:rFonts w:hint="eastAsia" w:ascii="宋体" w:hAnsi="宋体" w:eastAsia="宋体" w:cs="宋体"/>
                <w:snapToGrid w:val="0"/>
                <w:color w:val="auto"/>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14" w:hRule="atLeast"/>
          <w:tblHeader/>
        </w:trPr>
        <w:tc>
          <w:tcPr>
            <w:tcW w:w="629" w:type="dxa"/>
            <w:vMerge w:val="continue"/>
            <w:tcBorders>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cs="宋体"/>
                <w:color w:val="auto"/>
                <w:sz w:val="24"/>
                <w:highlight w:val="none"/>
              </w:rPr>
            </w:pPr>
          </w:p>
        </w:tc>
        <w:tc>
          <w:tcPr>
            <w:tcW w:w="1788" w:type="dxa"/>
            <w:vMerge w:val="continue"/>
            <w:tcBorders>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cs="宋体"/>
                <w:b/>
                <w:color w:val="auto"/>
                <w:sz w:val="24"/>
                <w:highlight w:val="none"/>
              </w:rPr>
            </w:pPr>
          </w:p>
        </w:tc>
        <w:tc>
          <w:tcPr>
            <w:tcW w:w="6150" w:type="dxa"/>
            <w:tcBorders>
              <w:top w:val="single" w:color="auto" w:sz="4"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color w:val="auto"/>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12</w:t>
            </w:r>
          </w:p>
        </w:tc>
        <w:tc>
          <w:tcPr>
            <w:tcW w:w="1788"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150" w:type="dxa"/>
            <w:tcBorders>
              <w:top w:val="single" w:color="000000" w:sz="8" w:space="0"/>
              <w:left w:val="single" w:color="000000" w:sz="2" w:space="0"/>
              <w:bottom w:val="single" w:color="000000" w:sz="8" w:space="0"/>
              <w:right w:val="single" w:color="000000" w:sz="8" w:space="0"/>
            </w:tcBorders>
            <w:vAlign w:val="center"/>
          </w:tcPr>
          <w:p>
            <w:pPr>
              <w:pStyle w:val="34"/>
              <w:keepNext w:val="0"/>
              <w:keepLines w:val="0"/>
              <w:pageBreakBefore w:val="0"/>
              <w:widowControl w:val="0"/>
              <w:kinsoku/>
              <w:wordWrap/>
              <w:overflowPunct/>
              <w:topLinePunct w:val="0"/>
              <w:autoSpaceDE/>
              <w:autoSpaceDN/>
              <w:bidi w:val="0"/>
              <w:adjustRightInd w:val="0"/>
              <w:spacing w:line="312" w:lineRule="auto"/>
              <w:textAlignment w:val="auto"/>
              <w:rPr>
                <w:rFonts w:hAnsi="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hAnsi="宋体" w:cs="宋体"/>
                <w:color w:val="auto"/>
                <w:sz w:val="24"/>
                <w:highlight w:val="none"/>
                <w:u w:val="single"/>
              </w:rPr>
              <w:t>杭州市拱墅区绍兴路538号三立时代广场A座1206室</w:t>
            </w:r>
            <w:r>
              <w:rPr>
                <w:rFonts w:hint="eastAsia" w:ascii="宋体" w:hAnsi="宋体" w:eastAsia="宋体" w:cs="宋体"/>
                <w:color w:val="auto"/>
                <w:kern w:val="28"/>
                <w:sz w:val="24"/>
                <w:szCs w:val="24"/>
                <w:highlight w:val="none"/>
              </w:rPr>
              <w:t>；备份投标文件签收人员联系电话：</w:t>
            </w:r>
            <w:r>
              <w:rPr>
                <w:rFonts w:hint="eastAsia" w:hAnsi="宋体" w:cs="宋体"/>
                <w:color w:val="auto"/>
                <w:sz w:val="24"/>
                <w:highlight w:val="none"/>
                <w:u w:val="single"/>
                <w:lang w:val="en-US" w:eastAsia="zh-CN"/>
              </w:rPr>
              <w:t>伍红仙 13357106093</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after="0" w:line="26" w:lineRule="atLeas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1788"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bidi w:val="0"/>
              <w:adjustRightInd w:val="0"/>
              <w:snapToGrid/>
              <w:spacing w:after="0" w:line="26" w:lineRule="atLeas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资格审查和信用信息审查</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本项目由采购人进行资格</w:t>
            </w:r>
            <w:r>
              <w:rPr>
                <w:rFonts w:hint="eastAsia" w:ascii="宋体" w:hAnsi="宋体" w:cs="宋体"/>
                <w:color w:val="auto"/>
                <w:sz w:val="24"/>
                <w:szCs w:val="24"/>
                <w:highlight w:val="none"/>
                <w:lang w:eastAsia="zh-CN"/>
              </w:rPr>
              <w:t>审查</w:t>
            </w:r>
            <w:r>
              <w:rPr>
                <w:rFonts w:hint="eastAsia" w:ascii="宋体" w:hAnsi="宋体" w:eastAsia="宋体" w:cs="宋体"/>
                <w:color w:val="auto"/>
                <w:sz w:val="24"/>
                <w:szCs w:val="24"/>
                <w:highlight w:val="none"/>
              </w:rPr>
              <w:t>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after="0" w:line="26" w:lineRule="atLeas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4</w:t>
            </w:r>
          </w:p>
        </w:tc>
        <w:tc>
          <w:tcPr>
            <w:tcW w:w="1788"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bidi w:val="0"/>
              <w:adjustRightInd w:val="0"/>
              <w:snapToGrid/>
              <w:spacing w:after="0" w:line="26" w:lineRule="atLeas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质疑接收人及答复</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采购人、采购机构质疑接收人、联系方式：详见公告</w:t>
            </w:r>
          </w:p>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线上提交质疑方式：政采云线上质疑路径：项目采购-询问质疑投诉-质疑列表。请使用ca签章在每一页质疑文件中加盖电子公章，上传完整附件。</w:t>
            </w:r>
          </w:p>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本项目涉及资格条件、采购需求、评分办法及采购过程中有关现场考察或开标前答疑会等事项由采购人进行答复。</w:t>
            </w:r>
          </w:p>
          <w:p>
            <w:pPr>
              <w:keepNext w:val="0"/>
              <w:keepLines w:val="0"/>
              <w:pageBreakBefore w:val="0"/>
              <w:widowControl w:val="0"/>
              <w:kinsoku/>
              <w:wordWrap/>
              <w:overflowPunct/>
              <w:topLinePunct w:val="0"/>
              <w:autoSpaceDE/>
              <w:autoSpaceDN/>
              <w:bidi w:val="0"/>
              <w:adjustRightInd w:val="0"/>
              <w:snapToGrid/>
              <w:spacing w:after="0"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涉及流程规范性、组织程序等相关事项，由采购机构进行答复。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keepNext w:val="0"/>
              <w:keepLines w:val="0"/>
              <w:pageBreakBefore w:val="0"/>
              <w:widowControl w:val="0"/>
              <w:kinsoku/>
              <w:wordWrap/>
              <w:overflowPunct/>
              <w:topLinePunct w:val="0"/>
              <w:bidi w:val="0"/>
              <w:adjustRightInd w:val="0"/>
              <w:snapToGrid/>
              <w:spacing w:line="26" w:lineRule="atLeas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1788" w:type="dxa"/>
            <w:vMerge w:val="restart"/>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bidi w:val="0"/>
              <w:adjustRightInd w:val="0"/>
              <w:snapToGrid/>
              <w:spacing w:line="26" w:lineRule="atLeas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sym w:font="Wingdings 2" w:char="00A3"/>
            </w: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snapToGrid w:val="0"/>
                <w:color w:val="auto"/>
                <w:kern w:val="28"/>
                <w:sz w:val="24"/>
                <w:szCs w:val="24"/>
                <w:highlight w:val="none"/>
                <w:lang w:eastAsia="zh-CN"/>
              </w:rPr>
            </w:pPr>
            <w:r>
              <w:rPr>
                <w:rFonts w:hint="eastAsia" w:ascii="宋体" w:hAnsi="宋体" w:eastAsia="宋体" w:cs="宋体"/>
                <w:snapToGrid w:val="0"/>
                <w:color w:val="auto"/>
                <w:kern w:val="28"/>
                <w:sz w:val="24"/>
                <w:szCs w:val="24"/>
                <w:highlight w:val="none"/>
              </w:rPr>
              <w:sym w:font="Wingdings 2" w:char="0052"/>
            </w:r>
            <w:r>
              <w:rPr>
                <w:rFonts w:hint="eastAsia" w:ascii="宋体" w:hAnsi="宋体" w:eastAsia="宋体" w:cs="宋体"/>
                <w:snapToGrid w:val="0"/>
                <w:color w:val="auto"/>
                <w:kern w:val="28"/>
                <w:sz w:val="24"/>
                <w:szCs w:val="24"/>
                <w:highlight w:val="none"/>
              </w:rPr>
              <w:t>联合体投标的，由联合体牵头方出具相应的业绩证明</w:t>
            </w:r>
            <w:r>
              <w:rPr>
                <w:rFonts w:hint="eastAsia" w:ascii="宋体" w:hAnsi="宋体" w:cs="宋体"/>
                <w:snapToGrid w:val="0"/>
                <w:color w:val="auto"/>
                <w:kern w:val="28"/>
                <w:sz w:val="24"/>
                <w:szCs w:val="24"/>
                <w:highlight w:val="none"/>
                <w:lang w:eastAsia="zh-CN"/>
              </w:rPr>
              <w:t>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keepNext w:val="0"/>
              <w:keepLines w:val="0"/>
              <w:pageBreakBefore w:val="0"/>
              <w:widowControl w:val="0"/>
              <w:kinsoku/>
              <w:wordWrap/>
              <w:overflowPunct/>
              <w:topLinePunct w:val="0"/>
              <w:bidi w:val="0"/>
              <w:adjustRightInd w:val="0"/>
              <w:snapToGrid/>
              <w:spacing w:line="26" w:lineRule="atLeast"/>
              <w:jc w:val="center"/>
              <w:textAlignment w:val="auto"/>
              <w:rPr>
                <w:rFonts w:hint="eastAsia" w:ascii="宋体" w:hAnsi="宋体" w:eastAsia="宋体" w:cs="宋体"/>
                <w:color w:val="auto"/>
                <w:sz w:val="24"/>
                <w:szCs w:val="24"/>
                <w:highlight w:val="none"/>
              </w:rPr>
            </w:pPr>
          </w:p>
        </w:tc>
        <w:tc>
          <w:tcPr>
            <w:tcW w:w="1788" w:type="dxa"/>
            <w:vMerge w:val="continue"/>
            <w:tcBorders>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bidi w:val="0"/>
              <w:adjustRightInd w:val="0"/>
              <w:snapToGrid/>
              <w:spacing w:line="26" w:lineRule="atLeast"/>
              <w:jc w:val="center"/>
              <w:textAlignment w:val="auto"/>
              <w:rPr>
                <w:rFonts w:hint="eastAsia" w:ascii="宋体" w:hAnsi="宋体" w:eastAsia="宋体" w:cs="宋体"/>
                <w:b/>
                <w:color w:val="auto"/>
                <w:sz w:val="24"/>
                <w:szCs w:val="24"/>
                <w:highlight w:val="none"/>
              </w:rPr>
            </w:pPr>
          </w:p>
        </w:tc>
        <w:tc>
          <w:tcPr>
            <w:tcW w:w="6150"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369766551"/>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联合体投标的，联合体各方均需按招标文件第四部分评标标准要求提供资信证明文件，否则视为不符合相关要求。</w:t>
            </w:r>
          </w:p>
          <w:p>
            <w:pPr>
              <w:keepNext w:val="0"/>
              <w:keepLines w:val="0"/>
              <w:pageBreakBefore w:val="0"/>
              <w:widowControl w:val="0"/>
              <w:kinsoku/>
              <w:wordWrap/>
              <w:overflowPunct/>
              <w:topLinePunct w:val="0"/>
              <w:autoSpaceDE/>
              <w:autoSpaceDN/>
              <w:bidi w:val="0"/>
              <w:adjustRightInd w:val="0"/>
              <w:snapToGrid/>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color w:val="auto"/>
                <w:sz w:val="24"/>
                <w:szCs w:val="24"/>
                <w:highlight w:val="none"/>
              </w:rPr>
              <w:t>联合体投标的，联合体中有一方或者联合体成员根据分工按招标文件第四部分评标标准要求提供资信证明文件的，视为符合了相关要求。</w:t>
            </w:r>
            <w:r>
              <w:rPr>
                <w:rFonts w:hint="eastAsia" w:ascii="宋体" w:hAnsi="宋体" w:eastAsia="宋体" w:cs="宋体"/>
                <w:color w:val="auto"/>
                <w:sz w:val="24"/>
                <w:szCs w:val="24"/>
                <w:highlight w:val="none"/>
              </w:rPr>
              <w:br w:type="textWrapping"/>
            </w:r>
            <w:r>
              <w:rPr>
                <w:rFonts w:hint="eastAsia" w:ascii="宋体" w:hAnsi="宋体" w:eastAsia="宋体" w:cs="宋体"/>
                <w:color w:val="auto"/>
                <w:kern w:val="0"/>
                <w:sz w:val="24"/>
                <w:szCs w:val="24"/>
                <w:highlight w:val="none"/>
              </w:rPr>
              <w:t>评审因素对应的要求视为采购需求的一部分。</w:t>
            </w:r>
          </w:p>
        </w:tc>
      </w:tr>
      <w:bookmarkEnd w:id="10"/>
    </w:tbl>
    <w:p>
      <w:pPr>
        <w:rPr>
          <w:rFonts w:hint="eastAsia" w:ascii="宋体" w:hAnsi="宋体" w:cs="宋体"/>
          <w:b/>
          <w:color w:val="auto"/>
          <w:sz w:val="32"/>
          <w:szCs w:val="20"/>
          <w:highlight w:val="none"/>
        </w:rPr>
      </w:pPr>
      <w:bookmarkStart w:id="15" w:name="第三部分"/>
      <w:bookmarkStart w:id="16" w:name="_Toc164416483"/>
      <w:r>
        <w:rPr>
          <w:rFonts w:hint="eastAsia" w:ascii="宋体" w:hAnsi="宋体" w:cs="宋体"/>
          <w:b/>
          <w:color w:val="auto"/>
          <w:sz w:val="32"/>
          <w:szCs w:val="20"/>
          <w:highlight w:val="none"/>
        </w:rPr>
        <w:br w:type="page"/>
      </w:r>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hint="eastAsia" w:ascii="宋体" w:hAnsi="宋体" w:eastAsia="宋体" w:cs="宋体"/>
          <w:color w:val="auto"/>
          <w:sz w:val="24"/>
          <w:highlight w:val="none"/>
        </w:rPr>
        <w:t>“★”系产品采购项目中单一产品或核心产品，</w:t>
      </w:r>
      <w:r>
        <w:rPr>
          <w:rFonts w:hint="eastAsia" w:ascii="宋体" w:hAnsi="宋体" w:cs="宋体"/>
          <w:color w:val="auto"/>
          <w:sz w:val="24"/>
          <w:highlight w:val="none"/>
        </w:rPr>
        <w:t>“</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0" w:firstLineChars="0"/>
        <w:rPr>
          <w:rFonts w:ascii="仿宋" w:hAnsi="仿宋" w:eastAsia="仿宋"/>
          <w:b/>
          <w:i/>
          <w:color w:val="000000" w:themeColor="text1"/>
          <w:sz w:val="24"/>
          <w14:textFill>
            <w14:solidFill>
              <w14:schemeClr w14:val="tx1"/>
            </w14:solidFill>
          </w14:textFill>
        </w:rPr>
      </w:pPr>
      <w:r>
        <w:rPr>
          <w:rFonts w:hint="eastAsia" w:ascii="仿宋" w:hAnsi="仿宋" w:eastAsia="仿宋"/>
          <w:b/>
          <w:i/>
          <w:color w:val="000000" w:themeColor="text1"/>
          <w:sz w:val="24"/>
          <w14:textFill>
            <w14:solidFill>
              <w14:schemeClr w14:val="tx1"/>
            </w14:solidFill>
          </w14:textFill>
        </w:rPr>
        <w:t>附:《节能产品政府采购品目清单（强制采购部分）》（如遇调整，按最新清单执行）</w:t>
      </w:r>
    </w:p>
    <w:tbl>
      <w:tblPr>
        <w:tblStyle w:val="62"/>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993"/>
        <w:gridCol w:w="2268"/>
        <w:gridCol w:w="59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993" w:type="dxa"/>
            <w:shd w:val="clear" w:color="auto" w:fill="DAEEF3"/>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品目清单序号</w:t>
            </w:r>
          </w:p>
        </w:tc>
        <w:tc>
          <w:tcPr>
            <w:tcW w:w="8221" w:type="dxa"/>
            <w:gridSpan w:val="2"/>
            <w:shd w:val="clear" w:color="auto" w:fill="DAEEF3"/>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产品名称（本表内以</w:t>
            </w:r>
            <w:r>
              <w:rPr>
                <w:rFonts w:ascii="仿宋" w:hAnsi="仿宋" w:eastAsia="仿宋"/>
                <w:b/>
                <w:color w:val="000000" w:themeColor="text1"/>
                <w:w w:val="90"/>
                <w:sz w:val="24"/>
                <w14:textFill>
                  <w14:solidFill>
                    <w14:schemeClr w14:val="tx1"/>
                  </w14:solidFill>
                </w14:textFill>
              </w:rPr>
              <w:t>“</w:t>
            </w:r>
            <w:r>
              <w:rPr>
                <w:rFonts w:hint="eastAsia" w:ascii="仿宋" w:hAnsi="仿宋" w:eastAsia="仿宋"/>
                <w:b/>
                <w:color w:val="000000" w:themeColor="text1"/>
                <w:w w:val="90"/>
                <w:sz w:val="24"/>
                <w14:textFill>
                  <w14:solidFill>
                    <w14:schemeClr w14:val="tx1"/>
                  </w14:solidFill>
                </w14:textFill>
              </w:rPr>
              <w:t>☆</w:t>
            </w:r>
            <w:r>
              <w:rPr>
                <w:rFonts w:ascii="仿宋" w:hAnsi="仿宋" w:eastAsia="仿宋"/>
                <w:b/>
                <w:color w:val="000000" w:themeColor="text1"/>
                <w:w w:val="90"/>
                <w:sz w:val="24"/>
                <w14:textFill>
                  <w14:solidFill>
                    <w14:schemeClr w14:val="tx1"/>
                  </w14:solidFill>
                </w14:textFill>
              </w:rPr>
              <w:t>”</w:t>
            </w:r>
            <w:r>
              <w:rPr>
                <w:rFonts w:hint="eastAsia" w:ascii="仿宋" w:hAnsi="仿宋" w:eastAsia="仿宋"/>
                <w:b/>
                <w:color w:val="000000" w:themeColor="text1"/>
                <w:w w:val="90"/>
                <w:sz w:val="24"/>
                <w14:textFill>
                  <w14:solidFill>
                    <w14:schemeClr w14:val="tx1"/>
                  </w14:solidFill>
                </w14:textFill>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w:t>
            </w:r>
          </w:p>
        </w:tc>
        <w:tc>
          <w:tcPr>
            <w:tcW w:w="2268"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A020101计算机设备</w:t>
            </w:r>
          </w:p>
        </w:tc>
        <w:tc>
          <w:tcPr>
            <w:tcW w:w="5953"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☆A02010104台式计算机</w:t>
            </w:r>
            <w:r>
              <w:rPr>
                <w:rFonts w:hint="eastAsia" w:ascii="仿宋" w:hAnsi="仿宋" w:eastAsia="仿宋"/>
                <w:color w:val="000000" w:themeColor="text1"/>
                <w:w w:val="90"/>
                <w:sz w:val="24"/>
                <w14:textFill>
                  <w14:solidFill>
                    <w14:schemeClr w14:val="tx1"/>
                  </w14:solidFill>
                </w14:textFill>
              </w:rPr>
              <w:t>；</w:t>
            </w:r>
          </w:p>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☆A02010105便携式计算机</w:t>
            </w:r>
            <w:r>
              <w:rPr>
                <w:rFonts w:hint="eastAsia" w:ascii="仿宋" w:hAnsi="仿宋" w:eastAsia="仿宋"/>
                <w:color w:val="000000" w:themeColor="text1"/>
                <w:w w:val="90"/>
                <w:sz w:val="24"/>
                <w14:textFill>
                  <w14:solidFill>
                    <w14:schemeClr w14:val="tx1"/>
                  </w14:solidFill>
                </w14:textFill>
              </w:rPr>
              <w:t>；</w:t>
            </w:r>
          </w:p>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☆A02010107平板式微型计算机</w:t>
            </w:r>
            <w:r>
              <w:rPr>
                <w:rFonts w:hint="eastAsia" w:ascii="仿宋" w:hAnsi="仿宋" w:eastAsia="仿宋"/>
                <w:color w:val="000000" w:themeColor="text1"/>
                <w:w w:val="90"/>
                <w:sz w:val="24"/>
                <w14:textFill>
                  <w14:solidFill>
                    <w14:schemeClr w14:val="tx1"/>
                  </w14:solidFill>
                </w14:textFill>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2</w:t>
            </w:r>
          </w:p>
        </w:tc>
        <w:tc>
          <w:tcPr>
            <w:tcW w:w="2268"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A020106输入输出设备</w:t>
            </w:r>
          </w:p>
        </w:tc>
        <w:tc>
          <w:tcPr>
            <w:tcW w:w="5953"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☆A0201060102激光打印机</w:t>
            </w:r>
            <w:r>
              <w:rPr>
                <w:rFonts w:hint="eastAsia" w:ascii="仿宋" w:hAnsi="仿宋" w:eastAsia="仿宋"/>
                <w:color w:val="000000" w:themeColor="text1"/>
                <w:w w:val="90"/>
                <w:sz w:val="24"/>
                <w14:textFill>
                  <w14:solidFill>
                    <w14:schemeClr w14:val="tx1"/>
                  </w14:solidFill>
                </w14:textFill>
              </w:rPr>
              <w:t>；</w:t>
            </w:r>
          </w:p>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☆A0201060104针式打印机</w:t>
            </w:r>
            <w:r>
              <w:rPr>
                <w:rFonts w:hint="eastAsia" w:ascii="仿宋" w:hAnsi="仿宋" w:eastAsia="仿宋"/>
                <w:color w:val="000000" w:themeColor="text1"/>
                <w:w w:val="90"/>
                <w:sz w:val="24"/>
                <w14:textFill>
                  <w14:solidFill>
                    <w14:schemeClr w14:val="tx1"/>
                  </w14:solidFill>
                </w14:textFill>
              </w:rPr>
              <w:t>；</w:t>
            </w:r>
          </w:p>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☆A0201060401液晶显示器</w:t>
            </w:r>
            <w:r>
              <w:rPr>
                <w:rFonts w:hint="eastAsia" w:ascii="仿宋" w:hAnsi="仿宋" w:eastAsia="仿宋"/>
                <w:color w:val="000000" w:themeColor="text1"/>
                <w:w w:val="90"/>
                <w:sz w:val="24"/>
                <w14:textFill>
                  <w14:solidFill>
                    <w14:schemeClr w14:val="tx1"/>
                  </w14:solidFill>
                </w14:textFill>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6</w:t>
            </w:r>
          </w:p>
        </w:tc>
        <w:tc>
          <w:tcPr>
            <w:tcW w:w="2268"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A020523制冷空调设备</w:t>
            </w:r>
          </w:p>
        </w:tc>
        <w:tc>
          <w:tcPr>
            <w:tcW w:w="5953"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☆A02052301制冷压缩机：</w:t>
            </w:r>
            <w:r>
              <w:rPr>
                <w:rFonts w:hint="eastAsia" w:ascii="仿宋" w:hAnsi="仿宋" w:eastAsia="仿宋"/>
                <w:color w:val="000000" w:themeColor="text1"/>
                <w:w w:val="90"/>
                <w:sz w:val="24"/>
                <w14:textFill>
                  <w14:solidFill>
                    <w14:schemeClr w14:val="tx1"/>
                  </w14:solidFill>
                </w14:textFill>
              </w:rPr>
              <w:t>冷水机组、水源热泵机组、溴化锂吸收式冷水机组；</w:t>
            </w:r>
          </w:p>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☆A02052305空调机组:</w:t>
            </w:r>
            <w:r>
              <w:rPr>
                <w:rFonts w:hint="eastAsia" w:ascii="仿宋" w:hAnsi="仿宋" w:eastAsia="仿宋"/>
                <w:color w:val="000000" w:themeColor="text1"/>
                <w:w w:val="90"/>
                <w:sz w:val="24"/>
                <w14:textFill>
                  <w14:solidFill>
                    <w14:schemeClr w14:val="tx1"/>
                  </w14:solidFill>
                </w14:textFill>
              </w:rPr>
              <w:t>多联式空调（热泵）机组(制冷量&gt;14000W)）、单元式空气调节机(制冷量&gt;14000W)；</w:t>
            </w:r>
          </w:p>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☆A02052309专用制冷、空调设备：</w:t>
            </w:r>
            <w:r>
              <w:rPr>
                <w:rFonts w:hint="eastAsia" w:ascii="仿宋" w:hAnsi="仿宋" w:eastAsia="仿宋"/>
                <w:color w:val="000000" w:themeColor="text1"/>
                <w:w w:val="90"/>
                <w:sz w:val="24"/>
                <w14:textFill>
                  <w14:solidFill>
                    <w14:schemeClr w14:val="tx1"/>
                  </w14:solidFill>
                </w14:textFill>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9</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☆A020609镇流器</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管型荧光灯镇流器</w:t>
            </w:r>
            <w:r>
              <w:rPr>
                <w:rFonts w:hint="eastAsia" w:ascii="仿宋" w:hAnsi="仿宋" w:eastAsia="仿宋"/>
                <w:color w:val="000000" w:themeColor="text1"/>
                <w:w w:val="90"/>
                <w:sz w:val="24"/>
                <w14:textFill>
                  <w14:solidFill>
                    <w14:schemeClr w14:val="tx1"/>
                  </w14:solidFill>
                </w14:textFill>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10</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A020618生活用电器</w:t>
            </w:r>
          </w:p>
        </w:tc>
        <w:tc>
          <w:tcPr>
            <w:tcW w:w="5953" w:type="dxa"/>
            <w:vAlign w:val="center"/>
          </w:tcPr>
          <w:p>
            <w:pPr>
              <w:adjustRightInd w:val="0"/>
              <w:snapToGrid w:val="0"/>
              <w:spacing w:line="276" w:lineRule="auto"/>
              <w:rPr>
                <w:rFonts w:ascii="仿宋" w:hAnsi="仿宋" w:eastAsia="仿宋"/>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☆A0206180203空调机：</w:t>
            </w:r>
            <w:r>
              <w:rPr>
                <w:rFonts w:hint="eastAsia" w:ascii="仿宋" w:hAnsi="仿宋" w:eastAsia="仿宋"/>
                <w:color w:val="000000" w:themeColor="text1"/>
                <w:w w:val="90"/>
                <w:sz w:val="24"/>
                <w14:textFill>
                  <w14:solidFill>
                    <w14:schemeClr w14:val="tx1"/>
                  </w14:solidFill>
                </w14:textFill>
              </w:rPr>
              <w:t>房间空气调节器、多联式空调（热泵）机组（制冷量≤14000W）、单元式空气调节机(制冷量≤14000W)）；</w:t>
            </w:r>
          </w:p>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A02061808热水器：</w:t>
            </w:r>
            <w:r>
              <w:rPr>
                <w:rFonts w:hint="eastAsia" w:ascii="仿宋" w:hAnsi="仿宋" w:eastAsia="仿宋"/>
                <w:b/>
                <w:color w:val="000000" w:themeColor="text1"/>
                <w:w w:val="90"/>
                <w:sz w:val="24"/>
                <w14:textFill>
                  <w14:solidFill>
                    <w14:schemeClr w14:val="tx1"/>
                  </w14:solidFill>
                </w14:textFill>
              </w:rPr>
              <w:t>☆电热水器</w:t>
            </w:r>
            <w:r>
              <w:rPr>
                <w:rFonts w:hint="eastAsia" w:ascii="仿宋" w:hAnsi="仿宋" w:eastAsia="仿宋"/>
                <w:color w:val="000000" w:themeColor="text1"/>
                <w:w w:val="90"/>
                <w:sz w:val="24"/>
                <w14:textFill>
                  <w14:solidFill>
                    <w14:schemeClr w14:val="tx1"/>
                  </w14:solidFill>
                </w14:textFill>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11</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A020619照明设备</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☆普通照明用双端荧光灯</w:t>
            </w:r>
            <w:r>
              <w:rPr>
                <w:rFonts w:hint="eastAsia" w:ascii="仿宋" w:hAnsi="仿宋" w:eastAsia="仿宋"/>
                <w:color w:val="000000" w:themeColor="text1"/>
                <w:w w:val="90"/>
                <w:sz w:val="24"/>
                <w14:textFill>
                  <w14:solidFill>
                    <w14:schemeClr w14:val="tx1"/>
                  </w14:solidFill>
                </w14:textFill>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12</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☆A020910电视设备</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13</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☆A020911视频设备</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15</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☆A060805便器</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pPr>
              <w:adjustRightInd w:val="0"/>
              <w:snapToGrid w:val="0"/>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16</w:t>
            </w:r>
          </w:p>
        </w:tc>
        <w:tc>
          <w:tcPr>
            <w:tcW w:w="2268"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☆A060806水嘴</w:t>
            </w:r>
          </w:p>
        </w:tc>
        <w:tc>
          <w:tcPr>
            <w:tcW w:w="5953" w:type="dxa"/>
            <w:vAlign w:val="center"/>
          </w:tcPr>
          <w:p>
            <w:pPr>
              <w:adjustRightInd w:val="0"/>
              <w:snapToGrid w:val="0"/>
              <w:spacing w:line="276" w:lineRule="auto"/>
              <w:rPr>
                <w:rFonts w:ascii="仿宋" w:hAnsi="仿宋" w:eastAsia="仿宋"/>
                <w:b/>
                <w:color w:val="000000" w:themeColor="text1"/>
                <w:w w:val="90"/>
                <w:sz w:val="24"/>
                <w14:textFill>
                  <w14:solidFill>
                    <w14:schemeClr w14:val="tx1"/>
                  </w14:solidFill>
                </w14:textFill>
              </w:rPr>
            </w:pPr>
            <w:r>
              <w:rPr>
                <w:rFonts w:hint="eastAsia" w:ascii="仿宋" w:hAnsi="仿宋" w:eastAsia="仿宋"/>
                <w:color w:val="000000" w:themeColor="text1"/>
                <w:w w:val="90"/>
                <w:sz w:val="24"/>
                <w14:textFill>
                  <w14:solidFill>
                    <w14:schemeClr w14:val="tx1"/>
                  </w14:solidFill>
                </w14:textFill>
              </w:rPr>
              <w:t>水嘴。</w:t>
            </w: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7"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7"/>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2</w:t>
      </w:r>
      <w:r>
        <w:rPr>
          <w:rFonts w:ascii="宋体" w:hAnsi="宋体" w:cs="宋体"/>
          <w:color w:val="auto"/>
          <w:sz w:val="24"/>
          <w:highlight w:val="none"/>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8" w:name="_Hlk101132181"/>
      <w:r>
        <w:rPr>
          <w:rFonts w:hint="eastAsia" w:ascii="宋体" w:hAnsi="宋体" w:cs="宋体"/>
          <w:color w:val="auto"/>
          <w:sz w:val="24"/>
          <w:highlight w:val="none"/>
        </w:rPr>
        <w:t>联合协议或者分包意向协议约定小微企业的合同份额占到合同总金额30%以上的</w:t>
      </w:r>
      <w:bookmarkEnd w:id="18"/>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pStyle w:val="5"/>
        <w:adjustRightInd w:val="0"/>
        <w:ind w:left="433" w:leftChars="202" w:hanging="9" w:hangingChars="4"/>
        <w:rPr>
          <w:color w:val="auto"/>
        </w:rPr>
      </w:pPr>
      <w:r>
        <w:rPr>
          <w:rFonts w:hint="eastAsia" w:ascii="宋体" w:hAnsi="宋体" w:eastAsia="宋体" w:cs="仿宋"/>
          <w:b w:val="0"/>
          <w:bCs w:val="0"/>
          <w:color w:val="auto"/>
          <w:sz w:val="24"/>
          <w:szCs w:val="24"/>
          <w:lang w:val="en-US"/>
        </w:rPr>
        <w:t xml:space="preserve">3.4.3 </w:t>
      </w:r>
      <w:r>
        <w:rPr>
          <w:rFonts w:hint="eastAsia" w:ascii="宋体" w:hAnsi="宋体" w:eastAsia="宋体" w:cs="仿宋"/>
          <w:b w:val="0"/>
          <w:bCs w:val="0"/>
          <w:color w:val="auto"/>
          <w:sz w:val="24"/>
          <w:szCs w:val="24"/>
          <w:lang w:val="en-US" w:eastAsia="zh-CN"/>
        </w:rPr>
        <w:t>采购人应当贯彻落实知识产权保护相关法律法规，</w:t>
      </w:r>
      <w:r>
        <w:rPr>
          <w:rFonts w:hint="eastAsia" w:ascii="宋体" w:hAnsi="宋体" w:eastAsia="宋体" w:cs="仿宋"/>
          <w:b w:val="0"/>
          <w:bCs w:val="0"/>
          <w:color w:val="auto"/>
          <w:sz w:val="24"/>
          <w:szCs w:val="24"/>
          <w:lang w:val="en-US"/>
        </w:rPr>
        <w:t>应当采购使用正版软件。</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询问、质疑、投诉、补偿救济</w:t>
      </w:r>
    </w:p>
    <w:p>
      <w:pPr>
        <w:pStyle w:val="888"/>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88"/>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1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4.4.3供应商投诉应当有明确的请求和必要的证明材料。</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4.4.4 以联合体形式参加政府采购活动的，其投诉应当由组成联合体的所有供应商共同提出。</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4.5 补偿救济</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采购人（行政机关）因政策变化、规划调整而不履行政府采购合同的，供应商可依据《杭州市涉企补偿救济实施办法（试行）》向采购人（行政机关）提起补偿申请。</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投诉书范本及制作说明详见附件3。</w:t>
      </w:r>
    </w:p>
    <w:p>
      <w:pPr>
        <w:pStyle w:val="130"/>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1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9" w:name="_Hlk101259339"/>
      <w:r>
        <w:rPr>
          <w:rFonts w:hint="eastAsia" w:ascii="宋体" w:hAnsi="宋体" w:cs="宋体"/>
          <w:snapToGrid w:val="0"/>
          <w:color w:val="auto"/>
          <w:kern w:val="28"/>
          <w:sz w:val="24"/>
          <w:szCs w:val="20"/>
          <w:highlight w:val="none"/>
        </w:rPr>
        <w:t>联合协议</w:t>
      </w:r>
      <w:bookmarkEnd w:id="19"/>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pStyle w:val="79"/>
        <w:adjustRightInd w:val="0"/>
        <w:spacing w:line="360" w:lineRule="auto"/>
        <w:ind w:firstLine="960" w:firstLineChars="400"/>
        <w:rPr>
          <w:color w:val="auto"/>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pPr>
        <w:spacing w:line="360" w:lineRule="auto"/>
        <w:ind w:firstLine="720" w:firstLineChars="300"/>
        <w:rPr>
          <w:rFonts w:hint="eastAsia"/>
          <w:color w:val="auto"/>
          <w:sz w:val="24"/>
          <w:szCs w:val="24"/>
          <w:shd w:val="clear" w:color="auto" w:fill="FFFFFF"/>
          <w:lang w:val="en-US" w:eastAsia="zh-CN"/>
        </w:rPr>
      </w:pPr>
      <w:r>
        <w:rPr>
          <w:rFonts w:hint="eastAsia"/>
          <w:color w:val="auto"/>
          <w:sz w:val="24"/>
          <w:szCs w:val="24"/>
          <w:shd w:val="clear" w:color="auto" w:fill="FFFFFF"/>
          <w:lang w:val="en-US" w:eastAsia="zh-CN"/>
        </w:rPr>
        <w:t>投标人应对投标文件中材料的真实性、合法性负责。</w:t>
      </w:r>
    </w:p>
    <w:p>
      <w:pPr>
        <w:pStyle w:val="130"/>
        <w:snapToGrid w:val="0"/>
        <w:spacing w:before="0"/>
        <w:ind w:firstLine="0" w:firstLineChars="0"/>
        <w:outlineLvl w:val="0"/>
        <w:rPr>
          <w:rFonts w:hint="eastAsia" w:ascii="宋体" w:hAnsi="宋体" w:cs="宋体"/>
          <w:b/>
          <w:color w:val="auto"/>
          <w:szCs w:val="24"/>
          <w:highlight w:val="none"/>
        </w:rPr>
      </w:pPr>
    </w:p>
    <w:p>
      <w:pPr>
        <w:pStyle w:val="130"/>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30"/>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30"/>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eastAsia="zh-CN"/>
        </w:rPr>
        <w:t>或</w:t>
      </w:r>
      <w:r>
        <w:rPr>
          <w:rFonts w:hint="eastAsia" w:hAnsi="宋体" w:cs="宋体"/>
          <w:color w:val="auto"/>
          <w:sz w:val="24"/>
          <w:highlight w:val="none"/>
          <w:lang w:val="en-US" w:eastAsia="zh-CN"/>
        </w:rPr>
        <w:t>U盘等存储介质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30"/>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30"/>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30"/>
        <w:spacing w:before="0"/>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pPr>
        <w:pStyle w:val="130"/>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6"/>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6"/>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3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30"/>
        <w:snapToGrid w:val="0"/>
        <w:spacing w:before="0"/>
        <w:ind w:firstLine="480"/>
        <w:rPr>
          <w:rFonts w:ascii="宋体" w:hAnsi="宋体" w:cs="宋体"/>
          <w:color w:val="auto"/>
        </w:rPr>
      </w:pPr>
      <w:r>
        <w:rPr>
          <w:rFonts w:hint="eastAsia" w:ascii="宋体" w:hAnsi="宋体" w:cs="宋体"/>
          <w:color w:val="auto"/>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130"/>
        <w:spacing w:before="0"/>
        <w:ind w:firstLine="480"/>
        <w:rPr>
          <w:rFonts w:ascii="宋体" w:hAnsi="宋体" w:cs="宋体"/>
          <w:color w:val="auto"/>
          <w:highlight w:val="none"/>
        </w:rPr>
      </w:pP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val="en-US" w:eastAsia="zh-CN"/>
        </w:rPr>
        <w:t>采购人或采购代理机构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0"/>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20"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3"/>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30"/>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auto"/>
          <w:szCs w:val="24"/>
        </w:rPr>
        <w:t>，为提高政府采购效率，</w:t>
      </w:r>
      <w:r>
        <w:rPr>
          <w:rFonts w:hint="eastAsia" w:ascii="宋体" w:hAnsi="宋体" w:cs="宋体"/>
          <w:color w:val="auto"/>
          <w:szCs w:val="24"/>
          <w:lang w:val="en-US" w:eastAsia="zh-CN"/>
        </w:rPr>
        <w:t>鼓励</w:t>
      </w:r>
      <w:r>
        <w:rPr>
          <w:rFonts w:hint="eastAsia" w:ascii="宋体" w:hAnsi="宋体" w:cs="宋体"/>
          <w:color w:val="auto"/>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Cs w:val="24"/>
        </w:rPr>
        <w:t>确定中标或者成交供应商</w:t>
      </w:r>
      <w:r>
        <w:rPr>
          <w:rFonts w:hint="eastAsia" w:ascii="宋体" w:hAnsi="宋体" w:cs="宋体"/>
          <w:color w:val="auto"/>
          <w:szCs w:val="24"/>
          <w:highlight w:val="none"/>
        </w:rPr>
        <w:t>。中标、成交通知书和中标、成交结果公告应当在规定时间内同时发出。</w:t>
      </w:r>
    </w:p>
    <w:p>
      <w:pPr>
        <w:pStyle w:val="130"/>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pStyle w:val="130"/>
        <w:adjustRightInd w:val="0"/>
        <w:snapToGrid w:val="0"/>
        <w:spacing w:before="0"/>
        <w:ind w:firstLine="482" w:firstLineChars="200"/>
        <w:rPr>
          <w:rStyle w:val="78"/>
          <w:color w:val="auto"/>
        </w:rPr>
      </w:pPr>
      <w:r>
        <w:rPr>
          <w:rFonts w:hint="eastAsia" w:ascii="宋体" w:hAnsi="宋体" w:cs="宋体"/>
          <w:b/>
          <w:color w:val="auto"/>
          <w:szCs w:val="24"/>
        </w:rPr>
        <w:t>2</w:t>
      </w:r>
      <w:r>
        <w:rPr>
          <w:rFonts w:hint="eastAsia" w:ascii="宋体" w:hAnsi="宋体" w:cs="宋体"/>
          <w:b/>
          <w:color w:val="auto"/>
          <w:szCs w:val="24"/>
          <w:lang w:eastAsia="zh-CN"/>
        </w:rPr>
        <w:t>3</w:t>
      </w:r>
      <w:r>
        <w:rPr>
          <w:rFonts w:hint="eastAsia" w:ascii="宋体" w:hAnsi="宋体" w:cs="宋体"/>
          <w:b/>
          <w:color w:val="auto"/>
          <w:szCs w:val="24"/>
          <w:lang w:val="en-US" w:eastAsia="zh-CN"/>
        </w:rPr>
        <w:t xml:space="preserve">.4 </w:t>
      </w:r>
      <w:r>
        <w:rPr>
          <w:rFonts w:hint="eastAsia" w:ascii="宋体" w:hAnsi="宋体" w:cs="宋体"/>
          <w:b w:val="0"/>
          <w:bCs/>
          <w:color w:val="auto"/>
          <w:szCs w:val="24"/>
        </w:rPr>
        <w:t>由于</w:t>
      </w:r>
      <w:r>
        <w:rPr>
          <w:rFonts w:hint="eastAsia" w:ascii="宋体" w:hAnsi="宋体" w:cs="宋体"/>
          <w:bCs/>
          <w:color w:val="auto"/>
          <w:szCs w:val="24"/>
        </w:rPr>
        <w:t>中标、成交供应商原因导致重新采购的，应当承担支付代理费和专家评审费等费用在内的赔偿责任。</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3"/>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3"/>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3"/>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5"/>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30"/>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30"/>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3"/>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w:t>
      </w:r>
      <w:r>
        <w:rPr>
          <w:rFonts w:hint="eastAsia" w:ascii="宋体" w:hAnsi="宋体" w:cs="宋体"/>
          <w:color w:val="auto"/>
          <w:kern w:val="0"/>
          <w:sz w:val="24"/>
        </w:rPr>
        <w:t>采购人应当根据采购项目的具体情况，自行组织项目验收或者委托采购代理机构验收。</w:t>
      </w:r>
      <w:r>
        <w:rPr>
          <w:rFonts w:hint="eastAsia" w:ascii="宋体" w:hAnsi="宋体" w:cs="宋体"/>
          <w:color w:val="auto"/>
          <w:kern w:val="0"/>
          <w:sz w:val="24"/>
          <w:highlight w:val="none"/>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0"/>
    <w:p>
      <w:pPr>
        <w:pStyle w:val="5"/>
        <w:adjustRightInd w:val="0"/>
        <w:snapToGrid w:val="0"/>
        <w:ind w:left="0" w:firstLine="480" w:firstLineChars="200"/>
        <w:rPr>
          <w:rFonts w:ascii="宋体" w:hAnsi="宋体" w:eastAsia="宋体" w:cs="宋体"/>
          <w:b w:val="0"/>
          <w:bCs w:val="0"/>
          <w:color w:val="auto"/>
          <w:kern w:val="0"/>
          <w:sz w:val="24"/>
          <w:szCs w:val="24"/>
          <w:lang w:val="en-US"/>
        </w:rPr>
      </w:pPr>
      <w:bookmarkStart w:id="21" w:name="_Hlt68403820"/>
      <w:bookmarkEnd w:id="21"/>
      <w:bookmarkStart w:id="22" w:name="_Hlt68072990"/>
      <w:bookmarkEnd w:id="22"/>
      <w:bookmarkStart w:id="23" w:name="_Hlt74730295"/>
      <w:bookmarkEnd w:id="23"/>
      <w:bookmarkStart w:id="24" w:name="_Hlt74707468"/>
      <w:bookmarkEnd w:id="24"/>
      <w:bookmarkStart w:id="25" w:name="_Hlt74729768"/>
      <w:bookmarkEnd w:id="25"/>
      <w:bookmarkStart w:id="26" w:name="_Hlt68057669"/>
      <w:bookmarkEnd w:id="26"/>
      <w:bookmarkStart w:id="27" w:name="_Hlt68072998"/>
      <w:bookmarkEnd w:id="27"/>
      <w:bookmarkStart w:id="28" w:name="_Hlt75236290"/>
      <w:bookmarkEnd w:id="28"/>
      <w:bookmarkStart w:id="29" w:name="_Hlt68073093"/>
      <w:bookmarkEnd w:id="29"/>
      <w:bookmarkStart w:id="30" w:name="_Hlt75236101"/>
      <w:bookmarkEnd w:id="30"/>
      <w:bookmarkStart w:id="31" w:name="_Hlt75236011"/>
      <w:bookmarkEnd w:id="31"/>
      <w:bookmarkStart w:id="32" w:name="_Hlt74714665"/>
      <w:bookmarkEnd w:id="32"/>
      <w:r>
        <w:rPr>
          <w:rFonts w:hint="eastAsia" w:ascii="宋体" w:hAnsi="宋体" w:eastAsia="宋体" w:cs="宋体"/>
          <w:b w:val="0"/>
          <w:bCs w:val="0"/>
          <w:color w:val="auto"/>
          <w:kern w:val="0"/>
          <w:sz w:val="24"/>
          <w:szCs w:val="24"/>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lang w:val="en-US" w:eastAsia="zh-CN"/>
        </w:rPr>
        <w:t>合同管理</w:t>
      </w:r>
      <w:r>
        <w:rPr>
          <w:rFonts w:hint="eastAsia" w:ascii="宋体" w:hAnsi="宋体" w:eastAsia="宋体" w:cs="宋体"/>
          <w:b w:val="0"/>
          <w:bCs w:val="0"/>
          <w:color w:val="auto"/>
          <w:kern w:val="0"/>
          <w:sz w:val="24"/>
          <w:szCs w:val="24"/>
          <w:lang w:val="en-US"/>
        </w:rPr>
        <w:t>-支付管理。对于供应商提起在线支付申请的，采购</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lang w:val="en-US"/>
        </w:rPr>
        <w:t>应当</w:t>
      </w:r>
      <w:r>
        <w:rPr>
          <w:rFonts w:hint="eastAsia" w:ascii="宋体" w:hAnsi="宋体" w:eastAsia="宋体" w:cs="宋体"/>
          <w:b w:val="0"/>
          <w:bCs w:val="0"/>
          <w:color w:val="auto"/>
          <w:kern w:val="0"/>
          <w:sz w:val="24"/>
          <w:szCs w:val="24"/>
          <w:lang w:val="en-US" w:eastAsia="zh-CN"/>
        </w:rPr>
        <w:t>按规定</w:t>
      </w:r>
      <w:r>
        <w:rPr>
          <w:rFonts w:hint="eastAsia" w:ascii="宋体" w:hAnsi="宋体" w:eastAsia="宋体" w:cs="宋体"/>
          <w:b w:val="0"/>
          <w:bCs w:val="0"/>
          <w:color w:val="auto"/>
          <w:kern w:val="0"/>
          <w:sz w:val="24"/>
          <w:szCs w:val="24"/>
          <w:lang w:val="en-US"/>
        </w:rPr>
        <w:t>做好审核并完成支付。</w:t>
      </w:r>
    </w:p>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5"/>
    <w:bookmarkEnd w:id="16"/>
    <w:p>
      <w:pPr>
        <w:spacing w:line="360" w:lineRule="auto"/>
        <w:jc w:val="center"/>
        <w:outlineLvl w:val="0"/>
        <w:rPr>
          <w:rFonts w:ascii="宋体" w:hAnsi="宋体" w:cs="宋体"/>
          <w:b/>
          <w:color w:val="auto"/>
          <w:sz w:val="36"/>
          <w:szCs w:val="36"/>
          <w:highlight w:val="none"/>
        </w:rPr>
      </w:pPr>
      <w:bookmarkStart w:id="33" w:name="第四部分"/>
      <w:r>
        <w:rPr>
          <w:rFonts w:hint="eastAsia" w:ascii="宋体" w:hAnsi="宋体" w:cs="宋体"/>
          <w:b/>
          <w:color w:val="auto"/>
          <w:sz w:val="36"/>
          <w:szCs w:val="36"/>
          <w:highlight w:val="none"/>
        </w:rPr>
        <w:t>第三部分   采购需求</w:t>
      </w:r>
    </w:p>
    <w:p>
      <w:pPr>
        <w:snapToGrid w:val="0"/>
        <w:rPr>
          <w:rStyle w:val="964"/>
          <w:i w:val="0"/>
          <w:iCs w:val="0"/>
          <w:color w:val="auto"/>
          <w:highlight w:val="none"/>
        </w:rPr>
      </w:pPr>
      <w:r>
        <w:rPr>
          <w:rStyle w:val="964"/>
          <w:rFonts w:hint="eastAsia"/>
          <w:i w:val="0"/>
          <w:iCs w:val="0"/>
          <w:color w:val="auto"/>
          <w:highlight w:val="none"/>
        </w:rPr>
        <w:t>属于实质性要求条款的，请用符号“▲”标明，否则属于非实质性要求。</w:t>
      </w:r>
    </w:p>
    <w:p>
      <w:pPr>
        <w:snapToGrid w:val="0"/>
        <w:rPr>
          <w:rStyle w:val="964"/>
          <w:rFonts w:hint="eastAsia"/>
          <w:i w:val="0"/>
          <w:iCs w:val="0"/>
          <w:color w:val="auto"/>
          <w:highlight w:val="none"/>
        </w:rPr>
      </w:pPr>
      <w:r>
        <w:rPr>
          <w:rStyle w:val="964"/>
          <w:rFonts w:hint="eastAsia"/>
          <w:i w:val="0"/>
          <w:iCs w:val="0"/>
          <w:color w:val="auto"/>
          <w:highlight w:val="none"/>
        </w:rPr>
        <w:t>“★”系产品采购项目中单一产品或核心产品。</w:t>
      </w:r>
    </w:p>
    <w:p>
      <w:pPr>
        <w:adjustRightInd/>
        <w:spacing w:line="360" w:lineRule="auto"/>
        <w:jc w:val="center"/>
        <w:outlineLvl w:val="1"/>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一、招标一览表</w:t>
      </w:r>
    </w:p>
    <w:tbl>
      <w:tblPr>
        <w:tblStyle w:val="62"/>
        <w:tblW w:w="0" w:type="auto"/>
        <w:jc w:val="center"/>
        <w:tblLayout w:type="fixed"/>
        <w:tblCellMar>
          <w:top w:w="0" w:type="dxa"/>
          <w:left w:w="0" w:type="dxa"/>
          <w:bottom w:w="0" w:type="dxa"/>
          <w:right w:w="0" w:type="dxa"/>
        </w:tblCellMar>
      </w:tblPr>
      <w:tblGrid>
        <w:gridCol w:w="744"/>
        <w:gridCol w:w="3850"/>
        <w:gridCol w:w="1858"/>
        <w:gridCol w:w="828"/>
        <w:gridCol w:w="828"/>
        <w:gridCol w:w="828"/>
      </w:tblGrid>
      <w:tr>
        <w:tblPrEx>
          <w:tblCellMar>
            <w:top w:w="0" w:type="dxa"/>
            <w:left w:w="0" w:type="dxa"/>
            <w:bottom w:w="0" w:type="dxa"/>
            <w:right w:w="0" w:type="dxa"/>
          </w:tblCellMar>
        </w:tblPrEx>
        <w:trPr>
          <w:cantSplit/>
          <w:trHeight w:val="557" w:hRule="atLeast"/>
          <w:jc w:val="center"/>
        </w:trPr>
        <w:tc>
          <w:tcPr>
            <w:tcW w:w="74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序号</w:t>
            </w:r>
          </w:p>
        </w:tc>
        <w:tc>
          <w:tcPr>
            <w:tcW w:w="38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名称</w:t>
            </w:r>
          </w:p>
        </w:tc>
        <w:tc>
          <w:tcPr>
            <w:tcW w:w="185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规格型号与参数</w:t>
            </w:r>
          </w:p>
        </w:tc>
        <w:tc>
          <w:tcPr>
            <w:tcW w:w="82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单位</w:t>
            </w:r>
          </w:p>
        </w:tc>
        <w:tc>
          <w:tcPr>
            <w:tcW w:w="82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数量</w:t>
            </w:r>
          </w:p>
        </w:tc>
        <w:tc>
          <w:tcPr>
            <w:tcW w:w="82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备注</w:t>
            </w:r>
          </w:p>
        </w:tc>
      </w:tr>
      <w:tr>
        <w:tblPrEx>
          <w:tblCellMar>
            <w:top w:w="0" w:type="dxa"/>
            <w:left w:w="0" w:type="dxa"/>
            <w:bottom w:w="0" w:type="dxa"/>
            <w:right w:w="0" w:type="dxa"/>
          </w:tblCellMar>
        </w:tblPrEx>
        <w:trPr>
          <w:cantSplit/>
          <w:trHeight w:val="548" w:hRule="atLeast"/>
          <w:jc w:val="center"/>
        </w:trPr>
        <w:tc>
          <w:tcPr>
            <w:tcW w:w="74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一</w:t>
            </w:r>
          </w:p>
        </w:tc>
        <w:tc>
          <w:tcPr>
            <w:tcW w:w="38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lang w:eastAsia="zh-CN"/>
              </w:rPr>
            </w:pPr>
            <w:r>
              <w:rPr>
                <w:rFonts w:hint="eastAsia" w:ascii="宋体" w:hAnsi="宋体" w:cs="宋体"/>
                <w:color w:val="auto"/>
                <w:sz w:val="24"/>
                <w:highlight w:val="none"/>
                <w:lang w:eastAsia="zh-CN"/>
              </w:rPr>
              <w:t>河庄街道安置房三期配套九年一贯制学校厨房设备采购项目</w:t>
            </w:r>
          </w:p>
        </w:tc>
        <w:tc>
          <w:tcPr>
            <w:tcW w:w="185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详见</w:t>
            </w:r>
            <w:r>
              <w:rPr>
                <w:rFonts w:hint="eastAsia" w:ascii="宋体" w:hAnsi="宋体" w:eastAsia="宋体" w:cs="宋体"/>
                <w:color w:val="auto"/>
                <w:position w:val="-6"/>
                <w:sz w:val="24"/>
                <w:highlight w:val="none"/>
                <w:shd w:val="clear" w:color="auto" w:fill="auto"/>
                <w:lang w:eastAsia="zh-CN"/>
              </w:rPr>
              <w:t>采购</w:t>
            </w:r>
            <w:r>
              <w:rPr>
                <w:rFonts w:hint="eastAsia" w:ascii="宋体" w:hAnsi="宋体" w:eastAsia="宋体" w:cs="宋体"/>
                <w:color w:val="auto"/>
                <w:position w:val="-6"/>
                <w:sz w:val="24"/>
                <w:highlight w:val="none"/>
                <w:shd w:val="clear" w:color="auto" w:fill="auto"/>
              </w:rPr>
              <w:t>需求</w:t>
            </w:r>
          </w:p>
        </w:tc>
        <w:tc>
          <w:tcPr>
            <w:tcW w:w="828"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项</w:t>
            </w:r>
          </w:p>
        </w:tc>
        <w:tc>
          <w:tcPr>
            <w:tcW w:w="82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360" w:lineRule="auto"/>
              <w:jc w:val="center"/>
              <w:rPr>
                <w:rFonts w:hint="eastAsia" w:ascii="宋体" w:hAnsi="宋体" w:eastAsia="宋体" w:cs="宋体"/>
                <w:color w:val="auto"/>
                <w:position w:val="-6"/>
                <w:sz w:val="24"/>
                <w:highlight w:val="none"/>
                <w:shd w:val="clear" w:color="auto" w:fill="auto"/>
              </w:rPr>
            </w:pPr>
            <w:r>
              <w:rPr>
                <w:rFonts w:hint="eastAsia" w:ascii="宋体" w:hAnsi="宋体" w:eastAsia="宋体" w:cs="宋体"/>
                <w:color w:val="auto"/>
                <w:position w:val="-6"/>
                <w:sz w:val="24"/>
                <w:highlight w:val="none"/>
                <w:shd w:val="clear" w:color="auto" w:fill="auto"/>
              </w:rPr>
              <w:t>1</w:t>
            </w:r>
          </w:p>
        </w:tc>
        <w:tc>
          <w:tcPr>
            <w:tcW w:w="828" w:type="dxa"/>
            <w:tcBorders>
              <w:top w:val="nil"/>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position w:val="-6"/>
                <w:sz w:val="24"/>
                <w:highlight w:val="none"/>
                <w:shd w:val="clear" w:color="auto" w:fill="auto"/>
              </w:rPr>
            </w:pPr>
          </w:p>
        </w:tc>
      </w:tr>
    </w:tbl>
    <w:p>
      <w:pPr>
        <w:spacing w:line="500" w:lineRule="exact"/>
        <w:jc w:val="center"/>
        <w:rPr>
          <w:rFonts w:hint="eastAsia" w:ascii="宋体" w:hAnsi="宋体" w:eastAsia="宋体" w:cs="宋体"/>
          <w:color w:val="auto"/>
          <w:kern w:val="1"/>
          <w:sz w:val="30"/>
          <w:szCs w:val="30"/>
          <w:highlight w:val="none"/>
        </w:rPr>
      </w:pPr>
    </w:p>
    <w:p>
      <w:pPr>
        <w:numPr>
          <w:ilvl w:val="0"/>
          <w:numId w:val="4"/>
        </w:numPr>
        <w:adjustRightInd/>
        <w:spacing w:line="360" w:lineRule="auto"/>
        <w:jc w:val="center"/>
        <w:outlineLvl w:val="1"/>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招标需求</w:t>
      </w:r>
    </w:p>
    <w:p>
      <w:pPr>
        <w:pStyle w:val="26"/>
        <w:numPr>
          <w:ilvl w:val="0"/>
          <w:numId w:val="0"/>
        </w:numPr>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一、货物清单</w:t>
      </w:r>
    </w:p>
    <w:tbl>
      <w:tblPr>
        <w:tblStyle w:val="62"/>
        <w:tblW w:w="5746" w:type="pct"/>
        <w:jc w:val="center"/>
        <w:tblLayout w:type="fixed"/>
        <w:tblCellMar>
          <w:top w:w="0" w:type="dxa"/>
          <w:left w:w="108" w:type="dxa"/>
          <w:bottom w:w="0" w:type="dxa"/>
          <w:right w:w="108" w:type="dxa"/>
        </w:tblCellMar>
      </w:tblPr>
      <w:tblGrid>
        <w:gridCol w:w="694"/>
        <w:gridCol w:w="936"/>
        <w:gridCol w:w="936"/>
        <w:gridCol w:w="1903"/>
        <w:gridCol w:w="3209"/>
        <w:gridCol w:w="660"/>
        <w:gridCol w:w="510"/>
        <w:gridCol w:w="915"/>
      </w:tblGrid>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right="30" w:firstLine="405" w:firstLineChars="193"/>
              <w:jc w:val="left"/>
              <w:rPr>
                <w:rFonts w:ascii="宋体" w:hAnsi="宋体" w:cs="宋体"/>
                <w:b/>
                <w:bCs/>
                <w:color w:val="auto"/>
                <w:sz w:val="20"/>
                <w:szCs w:val="20"/>
                <w:highlight w:val="none"/>
              </w:rPr>
            </w:pPr>
            <w:r>
              <w:rPr>
                <w:rFonts w:hint="eastAsia" w:ascii="宋体" w:hAnsi="宋体" w:cs="宋体"/>
                <w:bCs/>
                <w:color w:val="auto"/>
                <w:szCs w:val="21"/>
                <w:highlight w:val="none"/>
              </w:rPr>
              <w:t xml:space="preserve">      </w:t>
            </w:r>
            <w:r>
              <w:rPr>
                <w:rFonts w:hint="eastAsia" w:ascii="宋体" w:hAnsi="宋体" w:cs="宋体"/>
                <w:b/>
                <w:bCs/>
                <w:color w:val="auto"/>
                <w:sz w:val="20"/>
                <w:szCs w:val="20"/>
                <w:highlight w:val="none"/>
              </w:rPr>
              <w:t>序号</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产品名称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尺寸</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参考图片</w:t>
            </w:r>
          </w:p>
        </w:tc>
        <w:tc>
          <w:tcPr>
            <w:tcW w:w="16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技术参数</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数量</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单位</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备注</w:t>
            </w: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1.收货区</w:t>
            </w:r>
          </w:p>
        </w:tc>
      </w:tr>
      <w:tr>
        <w:tblPrEx>
          <w:tblCellMar>
            <w:top w:w="0" w:type="dxa"/>
            <w:left w:w="108" w:type="dxa"/>
            <w:bottom w:w="0" w:type="dxa"/>
            <w:right w:w="108" w:type="dxa"/>
          </w:tblCellMar>
        </w:tblPrEx>
        <w:trPr>
          <w:trHeight w:val="200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1968" behindDoc="0" locked="0" layoutInCell="1" allowOverlap="1">
                  <wp:simplePos x="0" y="0"/>
                  <wp:positionH relativeFrom="column">
                    <wp:posOffset>85725</wp:posOffset>
                  </wp:positionH>
                  <wp:positionV relativeFrom="paragraph">
                    <wp:posOffset>180975</wp:posOffset>
                  </wp:positionV>
                  <wp:extent cx="790575" cy="590550"/>
                  <wp:effectExtent l="0" t="0" r="9525" b="0"/>
                  <wp:wrapNone/>
                  <wp:docPr id="75" name="Picture_21"/>
                  <wp:cNvGraphicFramePr/>
                  <a:graphic xmlns:a="http://schemas.openxmlformats.org/drawingml/2006/main">
                    <a:graphicData uri="http://schemas.openxmlformats.org/drawingml/2006/picture">
                      <pic:pic xmlns:pic="http://schemas.openxmlformats.org/drawingml/2006/picture">
                        <pic:nvPicPr>
                          <pic:cNvPr id="75" name="Picture_21"/>
                          <pic:cNvPicPr/>
                        </pic:nvPicPr>
                        <pic:blipFill>
                          <a:blip r:embed="rId26"/>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5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401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77" name="Picture_1"/>
                  <wp:cNvGraphicFramePr/>
                  <a:graphic xmlns:a="http://schemas.openxmlformats.org/drawingml/2006/main">
                    <a:graphicData uri="http://schemas.openxmlformats.org/drawingml/2006/picture">
                      <pic:pic xmlns:pic="http://schemas.openxmlformats.org/drawingml/2006/picture">
                        <pic:nvPicPr>
                          <pic:cNvPr id="77" name="Picture_1"/>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634"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2.检测留样间</w:t>
            </w:r>
          </w:p>
        </w:tc>
      </w:tr>
      <w:tr>
        <w:tblPrEx>
          <w:tblCellMar>
            <w:top w:w="0" w:type="dxa"/>
            <w:left w:w="108" w:type="dxa"/>
            <w:bottom w:w="0" w:type="dxa"/>
            <w:right w:w="108" w:type="dxa"/>
          </w:tblCellMar>
        </w:tblPrEx>
        <w:trPr>
          <w:trHeight w:val="686"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立式两玻璃门冷藏柜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610*750*2200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numPr>
                <w:ilvl w:val="0"/>
                <w:numId w:val="5"/>
              </w:numPr>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内外箱均采用优质304不锈钢板材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0944" behindDoc="0" locked="0" layoutInCell="1" allowOverlap="1">
                  <wp:simplePos x="0" y="0"/>
                  <wp:positionH relativeFrom="column">
                    <wp:posOffset>-840740</wp:posOffset>
                  </wp:positionH>
                  <wp:positionV relativeFrom="paragraph">
                    <wp:posOffset>621030</wp:posOffset>
                  </wp:positionV>
                  <wp:extent cx="419100" cy="828675"/>
                  <wp:effectExtent l="0" t="0" r="0" b="9525"/>
                  <wp:wrapNone/>
                  <wp:docPr id="74" name="Picture_22"/>
                  <wp:cNvGraphicFramePr/>
                  <a:graphic xmlns:a="http://schemas.openxmlformats.org/drawingml/2006/main">
                    <a:graphicData uri="http://schemas.openxmlformats.org/drawingml/2006/picture">
                      <pic:pic xmlns:pic="http://schemas.openxmlformats.org/drawingml/2006/picture">
                        <pic:nvPicPr>
                          <pic:cNvPr id="74" name="Picture_22"/>
                          <pic:cNvPicPr/>
                        </pic:nvPicPr>
                        <pic:blipFill>
                          <a:blip r:embed="rId28"/>
                          <a:stretch>
                            <a:fillRect/>
                          </a:stretch>
                        </pic:blipFill>
                        <pic:spPr>
                          <a:xfrm>
                            <a:off x="0" y="0"/>
                            <a:ext cx="419100" cy="828675"/>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2、箱体门框，中柱内部的高效防凝露加热丝，能有效防止门磁条密封性不跑冷气，防止门框结露、滴水，保证客户的使用效果和环境卫生；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3、高效节能系统，导热好经久耐用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4、微电脑控制面板；一体发泡技术箱体强度高，坚固耐用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5、自动回归门，内箱底板拐角处为圆弧过渡，无卫生死角易清理箱体为采用聚氨酯整体发泡，保温性能好，降低能耗；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6、压缩机质保3年，性能稳定；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7、全铜管冷凝器、蒸发器,铜管外部增加电镀防腐涂层，换热效率高，制冷效果好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8、温度冷藏0～12℃，电热玻璃门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9、尺寸：610*750*2200（尺寸偏差控制在±10mm内，超出范围内属于负偏离项）</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三抽屉移门工作柜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w:t>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2992" behindDoc="0" locked="0" layoutInCell="1" allowOverlap="1">
                  <wp:simplePos x="0" y="0"/>
                  <wp:positionH relativeFrom="column">
                    <wp:posOffset>620395</wp:posOffset>
                  </wp:positionH>
                  <wp:positionV relativeFrom="paragraph">
                    <wp:posOffset>163195</wp:posOffset>
                  </wp:positionV>
                  <wp:extent cx="790575" cy="457200"/>
                  <wp:effectExtent l="0" t="0" r="9525" b="0"/>
                  <wp:wrapNone/>
                  <wp:docPr id="76" name="Picture_23"/>
                  <wp:cNvGraphicFramePr/>
                  <a:graphic xmlns:a="http://schemas.openxmlformats.org/drawingml/2006/main">
                    <a:graphicData uri="http://schemas.openxmlformats.org/drawingml/2006/picture">
                      <pic:pic xmlns:pic="http://schemas.openxmlformats.org/drawingml/2006/picture">
                        <pic:nvPicPr>
                          <pic:cNvPr id="76" name="Picture_23"/>
                          <pic:cNvPicPr/>
                        </pic:nvPicPr>
                        <pic:blipFill>
                          <a:blip r:embed="rId29"/>
                          <a:stretch>
                            <a:fillRect/>
                          </a:stretch>
                        </pic:blipFill>
                        <pic:spPr>
                          <a:xfrm>
                            <a:off x="0" y="0"/>
                            <a:ext cx="790575" cy="457200"/>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—门外板、柜内层板、底板、侧板厚1.0㎜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—抽屉层板1.0mm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05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5040" behindDoc="0" locked="0" layoutInCell="1" allowOverlap="1">
                  <wp:simplePos x="0" y="0"/>
                  <wp:positionH relativeFrom="column">
                    <wp:posOffset>85725</wp:posOffset>
                  </wp:positionH>
                  <wp:positionV relativeFrom="paragraph">
                    <wp:posOffset>180975</wp:posOffset>
                  </wp:positionV>
                  <wp:extent cx="790575" cy="590550"/>
                  <wp:effectExtent l="0" t="0" r="9525" b="0"/>
                  <wp:wrapNone/>
                  <wp:docPr id="78" name="Picture_26"/>
                  <wp:cNvGraphicFramePr/>
                  <a:graphic xmlns:a="http://schemas.openxmlformats.org/drawingml/2006/main">
                    <a:graphicData uri="http://schemas.openxmlformats.org/drawingml/2006/picture">
                      <pic:pic xmlns:pic="http://schemas.openxmlformats.org/drawingml/2006/picture">
                        <pic:nvPicPr>
                          <pic:cNvPr id="78" name="Picture_26"/>
                          <pic:cNvPicPr/>
                        </pic:nvPicPr>
                        <pic:blipFill>
                          <a:blip r:embed="rId26"/>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36"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6064"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79" name="Picture_1_SpCnt_1"/>
                  <wp:cNvGraphicFramePr/>
                  <a:graphic xmlns:a="http://schemas.openxmlformats.org/drawingml/2006/main">
                    <a:graphicData uri="http://schemas.openxmlformats.org/drawingml/2006/picture">
                      <pic:pic xmlns:pic="http://schemas.openxmlformats.org/drawingml/2006/picture">
                        <pic:nvPicPr>
                          <pic:cNvPr id="79" name="Picture_1_SpCnt_1"/>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79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智能收货（入库）系统</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163195</wp:posOffset>
                  </wp:positionH>
                  <wp:positionV relativeFrom="paragraph">
                    <wp:posOffset>124460</wp:posOffset>
                  </wp:positionV>
                  <wp:extent cx="734060" cy="1195070"/>
                  <wp:effectExtent l="0" t="0" r="8890" b="5080"/>
                  <wp:wrapNone/>
                  <wp:docPr id="80" name="图片_1"/>
                  <wp:cNvGraphicFramePr/>
                  <a:graphic xmlns:a="http://schemas.openxmlformats.org/drawingml/2006/main">
                    <a:graphicData uri="http://schemas.openxmlformats.org/drawingml/2006/picture">
                      <pic:pic xmlns:pic="http://schemas.openxmlformats.org/drawingml/2006/picture">
                        <pic:nvPicPr>
                          <pic:cNvPr id="80" name="图片_1"/>
                          <pic:cNvPicPr/>
                        </pic:nvPicPr>
                        <pic:blipFill>
                          <a:blip r:embed="rId30"/>
                          <a:stretch>
                            <a:fillRect/>
                          </a:stretch>
                        </pic:blipFill>
                        <pic:spPr>
                          <a:xfrm>
                            <a:off x="0" y="0"/>
                            <a:ext cx="734060" cy="119507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1.软件部分：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（1）本系统需与食堂采购平台无缝对接，数据相互统一。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收货（入库）环节实现：支持多个档口合并统一收货，规则化回填实收数据到收货单；支持多次叠加称重及系数化去皮操作；支持商品扫码自动称重操作；支持语音播报商品名称及实时称重数；支持称重商品远景及近景抓拍实时称重情况；支持收货人员电子签名；支持电子签收单分发到食堂负责人、配送商负责人等相关人员；支持查询签收统计报表及推送；电子签收单附带收货视频、照片信息；支持非称重商品数量录入和照片上传功能；可配有收货监管app，可直观展示过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2.硬件参数：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业务环节 硬件名称 功能点 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（1）收货（入库）称重部分：称重至少达到300kg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（2）精度±0.1kg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（3）秤体：全不锈钢，不锈钢厚度≥1.0mm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（4）视频部分：高清摄像头，分辨率≥200万/1080P，夜视：红外夜视，焦距≤2.8MM，红外夜视距离≥30米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（5）近景摄像头：分辨率 ≥1080p，视角≥120度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（6）工作温度和湿度：-30℃~50℃；湿度≤95%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（7）操作仪表：称重显示：独立重量显示和控制面板；液晶屏≥15.6寸， 分辨率≥1920x1080 ，电容触摸屏；主控板CPU核心数≥4核，CPU单核频率≥1.8Ghz；接口：RS232≥4、USB 2.0≥4、Lan≥1；通讯：支持蓝牙、支持WIFI5以上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（8）整体结构：秤盘尺寸≥450*650mm，底座尺寸≥450*650*190mm，秤体总高≥1800mm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（9）移动电源：输出12V/5V-6A，操作≥2小时以上</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51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智能出库系统</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118110</wp:posOffset>
                  </wp:positionH>
                  <wp:positionV relativeFrom="paragraph">
                    <wp:posOffset>116840</wp:posOffset>
                  </wp:positionV>
                  <wp:extent cx="843915" cy="1205865"/>
                  <wp:effectExtent l="0" t="0" r="13335" b="13335"/>
                  <wp:wrapNone/>
                  <wp:docPr id="81" name="图片_12"/>
                  <wp:cNvGraphicFramePr/>
                  <a:graphic xmlns:a="http://schemas.openxmlformats.org/drawingml/2006/main">
                    <a:graphicData uri="http://schemas.openxmlformats.org/drawingml/2006/picture">
                      <pic:pic xmlns:pic="http://schemas.openxmlformats.org/drawingml/2006/picture">
                        <pic:nvPicPr>
                          <pic:cNvPr id="81" name="图片_12"/>
                          <pic:cNvPicPr/>
                        </pic:nvPicPr>
                        <pic:blipFill>
                          <a:blip r:embed="rId31"/>
                          <a:stretch>
                            <a:fillRect/>
                          </a:stretch>
                        </pic:blipFill>
                        <pic:spPr>
                          <a:xfrm>
                            <a:off x="0" y="0"/>
                            <a:ext cx="843915" cy="120586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1.软件部分：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该系统能快速准确完成库存商品出库工作，同时系统根据操作数据，自动生成出库单，并且打印出库小票作为月底出入库台账核对依据，提高操作效率，力争库存数据实时可查可管。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出库系统需与食堂采购平台无缝对接，数据统一；具备采购订单自动入库功能，支持按类选择出库商品；具备领用人电子签名功能，可直接打印带签名领用单，支持质保期维护功能；具备自动生成出入库台账功能；设备端支持盘存商品添加、盘存操作和数据上报；打印部分内嵌支持58mm热敏打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实现：共分为八项基础功能：①盘库商品；②入库查询；③出库管理；④出入库查询；⑤库存盘点；⑥生成出入库台账；⑦库存台账查询；⑧当前库存查询。统称为“库存管理”。利用智能出库系统，通过软硬件一体化设置实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2.硬件参数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主机部分：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（1）CPU核心数: ≥4核；内存容量:≥2G；存储容量:≥16G；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（2）板载100/1000Mbps自适应网卡，内置WIFI模块。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主屏部分：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（1）主屏≥15.6寸LCD高亮度显示屏，分辨率≥1920*1080；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（2）外设部分：接口：R232串行接口≥1个、USB接口≥2个、RJ45网口≥1个、支持WIFI、1个DC电源接口；输入：AC 100-240V 50/60Hz；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（3）打印部分：内嵌支持58mm热敏打印；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（4）衡器部分：最大称重≥30kg，最小称重≤40g；分度值≤5g；秤盘采用304及以上不锈钢；秤盘尺寸：长≥370mm，宽≥270mm</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13"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3.库房</w:t>
            </w:r>
          </w:p>
        </w:tc>
      </w:tr>
      <w:tr>
        <w:tblPrEx>
          <w:tblCellMar>
            <w:top w:w="0" w:type="dxa"/>
            <w:left w:w="108" w:type="dxa"/>
            <w:bottom w:w="0" w:type="dxa"/>
            <w:right w:w="108" w:type="dxa"/>
          </w:tblCellMar>
        </w:tblPrEx>
        <w:trPr>
          <w:trHeight w:val="41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39136" behindDoc="0" locked="0" layoutInCell="1" allowOverlap="1">
                  <wp:simplePos x="0" y="0"/>
                  <wp:positionH relativeFrom="column">
                    <wp:posOffset>222885</wp:posOffset>
                  </wp:positionH>
                  <wp:positionV relativeFrom="paragraph">
                    <wp:posOffset>88900</wp:posOffset>
                  </wp:positionV>
                  <wp:extent cx="523240" cy="628015"/>
                  <wp:effectExtent l="0" t="0" r="10160" b="635"/>
                  <wp:wrapNone/>
                  <wp:docPr id="82" name="Picture_27"/>
                  <wp:cNvGraphicFramePr/>
                  <a:graphic xmlns:a="http://schemas.openxmlformats.org/drawingml/2006/main">
                    <a:graphicData uri="http://schemas.openxmlformats.org/drawingml/2006/picture">
                      <pic:pic xmlns:pic="http://schemas.openxmlformats.org/drawingml/2006/picture">
                        <pic:nvPicPr>
                          <pic:cNvPr id="82" name="Picture_27"/>
                          <pic:cNvPicPr/>
                        </pic:nvPicPr>
                        <pic:blipFill>
                          <a:blip r:embed="rId32"/>
                          <a:stretch>
                            <a:fillRect/>
                          </a:stretch>
                        </pic:blipFill>
                        <pic:spPr>
                          <a:xfrm>
                            <a:off x="0" y="0"/>
                            <a:ext cx="523240" cy="62801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大米搁架（方管型）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0160" behindDoc="0" locked="0" layoutInCell="1" allowOverlap="1">
                  <wp:simplePos x="0" y="0"/>
                  <wp:positionH relativeFrom="column">
                    <wp:posOffset>137795</wp:posOffset>
                  </wp:positionH>
                  <wp:positionV relativeFrom="paragraph">
                    <wp:posOffset>23495</wp:posOffset>
                  </wp:positionV>
                  <wp:extent cx="590550" cy="480060"/>
                  <wp:effectExtent l="0" t="0" r="0" b="15240"/>
                  <wp:wrapNone/>
                  <wp:docPr id="83" name="Picture_30"/>
                  <wp:cNvGraphicFramePr/>
                  <a:graphic xmlns:a="http://schemas.openxmlformats.org/drawingml/2006/main">
                    <a:graphicData uri="http://schemas.openxmlformats.org/drawingml/2006/picture">
                      <pic:pic xmlns:pic="http://schemas.openxmlformats.org/drawingml/2006/picture">
                        <pic:nvPicPr>
                          <pic:cNvPr id="83" name="Picture_30"/>
                          <pic:cNvPicPr/>
                        </pic:nvPicPr>
                        <pic:blipFill>
                          <a:blip r:embed="rId33"/>
                          <a:stretch>
                            <a:fillRect/>
                          </a:stretch>
                        </pic:blipFill>
                        <pic:spPr>
                          <a:xfrm>
                            <a:off x="0" y="0"/>
                            <a:ext cx="590550" cy="48006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—层外框采用38*38*1.0不锈钢方管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—层内档采用30*15*0.8不锈钢方管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—配包钢可调式子弹脚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四层板货架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≥1200*500*1550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1184" behindDoc="0" locked="0" layoutInCell="1" allowOverlap="1">
                  <wp:simplePos x="0" y="0"/>
                  <wp:positionH relativeFrom="column">
                    <wp:posOffset>123825</wp:posOffset>
                  </wp:positionH>
                  <wp:positionV relativeFrom="paragraph">
                    <wp:posOffset>190500</wp:posOffset>
                  </wp:positionV>
                  <wp:extent cx="685800" cy="828675"/>
                  <wp:effectExtent l="0" t="0" r="0" b="9525"/>
                  <wp:wrapNone/>
                  <wp:docPr id="84" name="Picture_31"/>
                  <wp:cNvGraphicFramePr/>
                  <a:graphic xmlns:a="http://schemas.openxmlformats.org/drawingml/2006/main">
                    <a:graphicData uri="http://schemas.openxmlformats.org/drawingml/2006/picture">
                      <pic:pic xmlns:pic="http://schemas.openxmlformats.org/drawingml/2006/picture">
                        <pic:nvPicPr>
                          <pic:cNvPr id="84" name="Picture_31"/>
                          <pic:cNvPicPr/>
                        </pic:nvPicPr>
                        <pic:blipFill>
                          <a:blip r:embed="rId34"/>
                          <a:stretch>
                            <a:fillRect/>
                          </a:stretch>
                        </pic:blipFill>
                        <pic:spPr>
                          <a:xfrm>
                            <a:off x="0" y="0"/>
                            <a:ext cx="68580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—层板厚≥1.0mm不锈钢板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—面板下采用折弯一体加强码，板厚0.8~1.2mm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4.蔬菜粗加工</w:t>
            </w: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2208" behindDoc="0" locked="0" layoutInCell="1" allowOverlap="1">
                  <wp:simplePos x="0" y="0"/>
                  <wp:positionH relativeFrom="column">
                    <wp:posOffset>85725</wp:posOffset>
                  </wp:positionH>
                  <wp:positionV relativeFrom="paragraph">
                    <wp:posOffset>99695</wp:posOffset>
                  </wp:positionV>
                  <wp:extent cx="790575" cy="243205"/>
                  <wp:effectExtent l="0" t="0" r="9525" b="4445"/>
                  <wp:wrapNone/>
                  <wp:docPr id="85" name="Picture_32"/>
                  <wp:cNvGraphicFramePr/>
                  <a:graphic xmlns:a="http://schemas.openxmlformats.org/drawingml/2006/main">
                    <a:graphicData uri="http://schemas.openxmlformats.org/drawingml/2006/picture">
                      <pic:pic xmlns:pic="http://schemas.openxmlformats.org/drawingml/2006/picture">
                        <pic:nvPicPr>
                          <pic:cNvPr id="85" name="Picture_32"/>
                          <pic:cNvPicPr/>
                        </pic:nvPicPr>
                        <pic:blipFill>
                          <a:blip r:embed="rId35"/>
                          <a:stretch>
                            <a:fillRect/>
                          </a:stretch>
                        </pic:blipFill>
                        <pic:spPr>
                          <a:xfrm>
                            <a:off x="0" y="0"/>
                            <a:ext cx="790575" cy="24320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3232" behindDoc="0" locked="0" layoutInCell="1" allowOverlap="1">
                  <wp:simplePos x="0" y="0"/>
                  <wp:positionH relativeFrom="column">
                    <wp:posOffset>85725</wp:posOffset>
                  </wp:positionH>
                  <wp:positionV relativeFrom="paragraph">
                    <wp:posOffset>190500</wp:posOffset>
                  </wp:positionV>
                  <wp:extent cx="790575" cy="571500"/>
                  <wp:effectExtent l="0" t="0" r="9525" b="0"/>
                  <wp:wrapNone/>
                  <wp:docPr id="86" name="Picture_34"/>
                  <wp:cNvGraphicFramePr/>
                  <a:graphic xmlns:a="http://schemas.openxmlformats.org/drawingml/2006/main">
                    <a:graphicData uri="http://schemas.openxmlformats.org/drawingml/2006/picture">
                      <pic:pic xmlns:pic="http://schemas.openxmlformats.org/drawingml/2006/picture">
                        <pic:nvPicPr>
                          <pic:cNvPr id="86" name="Picture_34"/>
                          <pic:cNvPicPr/>
                        </pic:nvPicPr>
                        <pic:blipFill>
                          <a:blip r:embed="rId36"/>
                          <a:stretch>
                            <a:fillRect/>
                          </a:stretch>
                        </pic:blipFill>
                        <pic:spPr>
                          <a:xfrm>
                            <a:off x="0" y="0"/>
                            <a:ext cx="790575" cy="571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534"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425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87" name="Picture_1_SpCnt_2"/>
                  <wp:cNvGraphicFramePr/>
                  <a:graphic xmlns:a="http://schemas.openxmlformats.org/drawingml/2006/main">
                    <a:graphicData uri="http://schemas.openxmlformats.org/drawingml/2006/picture">
                      <pic:pic xmlns:pic="http://schemas.openxmlformats.org/drawingml/2006/picture">
                        <pic:nvPicPr>
                          <pic:cNvPr id="87" name="Picture_1_SpCnt_2"/>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5280" behindDoc="0" locked="0" layoutInCell="1" allowOverlap="1">
                  <wp:simplePos x="0" y="0"/>
                  <wp:positionH relativeFrom="column">
                    <wp:posOffset>133350</wp:posOffset>
                  </wp:positionH>
                  <wp:positionV relativeFrom="paragraph">
                    <wp:posOffset>66675</wp:posOffset>
                  </wp:positionV>
                  <wp:extent cx="695325" cy="828675"/>
                  <wp:effectExtent l="0" t="0" r="9525" b="9525"/>
                  <wp:wrapNone/>
                  <wp:docPr id="88" name="Picture_35"/>
                  <wp:cNvGraphicFramePr/>
                  <a:graphic xmlns:a="http://schemas.openxmlformats.org/drawingml/2006/main">
                    <a:graphicData uri="http://schemas.openxmlformats.org/drawingml/2006/picture">
                      <pic:pic xmlns:pic="http://schemas.openxmlformats.org/drawingml/2006/picture">
                        <pic:nvPicPr>
                          <pic:cNvPr id="88" name="Picture_35"/>
                          <pic:cNvPicPr/>
                        </pic:nvPicPr>
                        <pic:blipFill>
                          <a:blip r:embed="rId3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6304" behindDoc="0" locked="0" layoutInCell="1" allowOverlap="1">
                  <wp:simplePos x="0" y="0"/>
                  <wp:positionH relativeFrom="column">
                    <wp:posOffset>141605</wp:posOffset>
                  </wp:positionH>
                  <wp:positionV relativeFrom="paragraph">
                    <wp:posOffset>54610</wp:posOffset>
                  </wp:positionV>
                  <wp:extent cx="790575" cy="295275"/>
                  <wp:effectExtent l="0" t="0" r="9525" b="9525"/>
                  <wp:wrapNone/>
                  <wp:docPr id="89" name="Picture_38"/>
                  <wp:cNvGraphicFramePr/>
                  <a:graphic xmlns:a="http://schemas.openxmlformats.org/drawingml/2006/main">
                    <a:graphicData uri="http://schemas.openxmlformats.org/drawingml/2006/picture">
                      <pic:pic xmlns:pic="http://schemas.openxmlformats.org/drawingml/2006/picture">
                        <pic:nvPicPr>
                          <pic:cNvPr id="89" name="Picture_38"/>
                          <pic:cNvPicPr/>
                        </pic:nvPicPr>
                        <pic:blipFill>
                          <a:blip r:embed="rId38"/>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7328"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90" name="Picture_39"/>
                  <wp:cNvGraphicFramePr/>
                  <a:graphic xmlns:a="http://schemas.openxmlformats.org/drawingml/2006/main">
                    <a:graphicData uri="http://schemas.openxmlformats.org/drawingml/2006/picture">
                      <pic:pic xmlns:pic="http://schemas.openxmlformats.org/drawingml/2006/picture">
                        <pic:nvPicPr>
                          <pic:cNvPr id="90" name="Picture_39"/>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8352"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91" name="Picture_40"/>
                  <wp:cNvGraphicFramePr/>
                  <a:graphic xmlns:a="http://schemas.openxmlformats.org/drawingml/2006/main">
                    <a:graphicData uri="http://schemas.openxmlformats.org/drawingml/2006/picture">
                      <pic:pic xmlns:pic="http://schemas.openxmlformats.org/drawingml/2006/picture">
                        <pic:nvPicPr>
                          <pic:cNvPr id="91" name="Picture_40"/>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2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49376"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92" name="Picture_41"/>
                  <wp:cNvGraphicFramePr/>
                  <a:graphic xmlns:a="http://schemas.openxmlformats.org/drawingml/2006/main">
                    <a:graphicData uri="http://schemas.openxmlformats.org/drawingml/2006/picture">
                      <pic:pic xmlns:pic="http://schemas.openxmlformats.org/drawingml/2006/picture">
                        <pic:nvPicPr>
                          <pic:cNvPr id="92" name="Picture_41"/>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9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0400"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93" name="Picture_1_SpCnt_3"/>
                  <wp:cNvGraphicFramePr/>
                  <a:graphic xmlns:a="http://schemas.openxmlformats.org/drawingml/2006/main">
                    <a:graphicData uri="http://schemas.openxmlformats.org/drawingml/2006/picture">
                      <pic:pic xmlns:pic="http://schemas.openxmlformats.org/drawingml/2006/picture">
                        <pic:nvPicPr>
                          <pic:cNvPr id="93" name="Picture_1_SpCnt_3"/>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1424" behindDoc="0" locked="0" layoutInCell="1" allowOverlap="1">
                  <wp:simplePos x="0" y="0"/>
                  <wp:positionH relativeFrom="column">
                    <wp:posOffset>96520</wp:posOffset>
                  </wp:positionH>
                  <wp:positionV relativeFrom="paragraph">
                    <wp:posOffset>20955</wp:posOffset>
                  </wp:positionV>
                  <wp:extent cx="790575" cy="296545"/>
                  <wp:effectExtent l="0" t="0" r="9525" b="8255"/>
                  <wp:wrapNone/>
                  <wp:docPr id="94" name="Picture_42"/>
                  <wp:cNvGraphicFramePr/>
                  <a:graphic xmlns:a="http://schemas.openxmlformats.org/drawingml/2006/main">
                    <a:graphicData uri="http://schemas.openxmlformats.org/drawingml/2006/picture">
                      <pic:pic xmlns:pic="http://schemas.openxmlformats.org/drawingml/2006/picture">
                        <pic:nvPicPr>
                          <pic:cNvPr id="94" name="Picture_42"/>
                          <pic:cNvPicPr/>
                        </pic:nvPicPr>
                        <pic:blipFill>
                          <a:blip r:embed="rId41"/>
                          <a:stretch>
                            <a:fillRect/>
                          </a:stretch>
                        </pic:blipFill>
                        <pic:spPr>
                          <a:xfrm>
                            <a:off x="0" y="0"/>
                            <a:ext cx="790575" cy="29654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5.肉类粗加工</w:t>
            </w: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2448" behindDoc="0" locked="0" layoutInCell="1" allowOverlap="1">
                  <wp:simplePos x="0" y="0"/>
                  <wp:positionH relativeFrom="column">
                    <wp:posOffset>130175</wp:posOffset>
                  </wp:positionH>
                  <wp:positionV relativeFrom="paragraph">
                    <wp:posOffset>9525</wp:posOffset>
                  </wp:positionV>
                  <wp:extent cx="790575" cy="299720"/>
                  <wp:effectExtent l="0" t="0" r="9525" b="5080"/>
                  <wp:wrapNone/>
                  <wp:docPr id="95" name="Picture_45"/>
                  <wp:cNvGraphicFramePr/>
                  <a:graphic xmlns:a="http://schemas.openxmlformats.org/drawingml/2006/main">
                    <a:graphicData uri="http://schemas.openxmlformats.org/drawingml/2006/picture">
                      <pic:pic xmlns:pic="http://schemas.openxmlformats.org/drawingml/2006/picture">
                        <pic:nvPicPr>
                          <pic:cNvPr id="95" name="Picture_45"/>
                          <pic:cNvPicPr/>
                        </pic:nvPicPr>
                        <pic:blipFill>
                          <a:blip r:embed="rId42"/>
                          <a:stretch>
                            <a:fillRect/>
                          </a:stretch>
                        </pic:blipFill>
                        <pic:spPr>
                          <a:xfrm>
                            <a:off x="0" y="0"/>
                            <a:ext cx="790575" cy="29972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3472"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96" name="Picture_46"/>
                  <wp:cNvGraphicFramePr/>
                  <a:graphic xmlns:a="http://schemas.openxmlformats.org/drawingml/2006/main">
                    <a:graphicData uri="http://schemas.openxmlformats.org/drawingml/2006/picture">
                      <pic:pic xmlns:pic="http://schemas.openxmlformats.org/drawingml/2006/picture">
                        <pic:nvPicPr>
                          <pic:cNvPr id="96" name="Picture_46"/>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1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4496" behindDoc="0" locked="0" layoutInCell="1" allowOverlap="1">
                  <wp:simplePos x="0" y="0"/>
                  <wp:positionH relativeFrom="column">
                    <wp:posOffset>222885</wp:posOffset>
                  </wp:positionH>
                  <wp:positionV relativeFrom="paragraph">
                    <wp:posOffset>85725</wp:posOffset>
                  </wp:positionV>
                  <wp:extent cx="539115" cy="647065"/>
                  <wp:effectExtent l="0" t="0" r="13335" b="635"/>
                  <wp:wrapNone/>
                  <wp:docPr id="97" name="Picture_47"/>
                  <wp:cNvGraphicFramePr/>
                  <a:graphic xmlns:a="http://schemas.openxmlformats.org/drawingml/2006/main">
                    <a:graphicData uri="http://schemas.openxmlformats.org/drawingml/2006/picture">
                      <pic:pic xmlns:pic="http://schemas.openxmlformats.org/drawingml/2006/picture">
                        <pic:nvPicPr>
                          <pic:cNvPr id="97" name="Picture_47"/>
                          <pic:cNvPicPr/>
                        </pic:nvPicPr>
                        <pic:blipFill>
                          <a:blip r:embed="rId43"/>
                          <a:stretch>
                            <a:fillRect/>
                          </a:stretch>
                        </pic:blipFill>
                        <pic:spPr>
                          <a:xfrm>
                            <a:off x="0" y="0"/>
                            <a:ext cx="539115" cy="64706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4496" behindDoc="0" locked="0" layoutInCell="1" allowOverlap="1">
                  <wp:simplePos x="0" y="0"/>
                  <wp:positionH relativeFrom="column">
                    <wp:posOffset>186055</wp:posOffset>
                  </wp:positionH>
                  <wp:positionV relativeFrom="paragraph">
                    <wp:posOffset>78105</wp:posOffset>
                  </wp:positionV>
                  <wp:extent cx="581025" cy="220345"/>
                  <wp:effectExtent l="0" t="0" r="9525" b="8255"/>
                  <wp:wrapNone/>
                  <wp:docPr id="98" name="Picture_48"/>
                  <wp:cNvGraphicFramePr/>
                  <a:graphic xmlns:a="http://schemas.openxmlformats.org/drawingml/2006/main">
                    <a:graphicData uri="http://schemas.openxmlformats.org/drawingml/2006/picture">
                      <pic:pic xmlns:pic="http://schemas.openxmlformats.org/drawingml/2006/picture">
                        <pic:nvPicPr>
                          <pic:cNvPr id="98" name="Picture_48"/>
                          <pic:cNvPicPr/>
                        </pic:nvPicPr>
                        <pic:blipFill>
                          <a:blip r:embed="rId44"/>
                          <a:stretch>
                            <a:fillRect/>
                          </a:stretch>
                        </pic:blipFill>
                        <pic:spPr>
                          <a:xfrm>
                            <a:off x="0" y="0"/>
                            <a:ext cx="581025" cy="22034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5520"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99" name="Picture_49"/>
                  <wp:cNvGraphicFramePr/>
                  <a:graphic xmlns:a="http://schemas.openxmlformats.org/drawingml/2006/main">
                    <a:graphicData uri="http://schemas.openxmlformats.org/drawingml/2006/picture">
                      <pic:pic xmlns:pic="http://schemas.openxmlformats.org/drawingml/2006/picture">
                        <pic:nvPicPr>
                          <pic:cNvPr id="99" name="Picture_49"/>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44"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6544"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00" name="Picture_1_SpCnt_4"/>
                  <wp:cNvGraphicFramePr/>
                  <a:graphic xmlns:a="http://schemas.openxmlformats.org/drawingml/2006/main">
                    <a:graphicData uri="http://schemas.openxmlformats.org/drawingml/2006/picture">
                      <pic:pic xmlns:pic="http://schemas.openxmlformats.org/drawingml/2006/picture">
                        <pic:nvPicPr>
                          <pic:cNvPr id="100" name="Picture_1_SpCnt_4"/>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7568" behindDoc="0" locked="0" layoutInCell="1" allowOverlap="1">
                  <wp:simplePos x="0" y="0"/>
                  <wp:positionH relativeFrom="column">
                    <wp:posOffset>85725</wp:posOffset>
                  </wp:positionH>
                  <wp:positionV relativeFrom="paragraph">
                    <wp:posOffset>190500</wp:posOffset>
                  </wp:positionV>
                  <wp:extent cx="790575" cy="571500"/>
                  <wp:effectExtent l="0" t="0" r="9525" b="0"/>
                  <wp:wrapNone/>
                  <wp:docPr id="101" name="Picture_50"/>
                  <wp:cNvGraphicFramePr/>
                  <a:graphic xmlns:a="http://schemas.openxmlformats.org/drawingml/2006/main">
                    <a:graphicData uri="http://schemas.openxmlformats.org/drawingml/2006/picture">
                      <pic:pic xmlns:pic="http://schemas.openxmlformats.org/drawingml/2006/picture">
                        <pic:nvPicPr>
                          <pic:cNvPr id="101" name="Picture_50"/>
                          <pic:cNvPicPr/>
                        </pic:nvPicPr>
                        <pic:blipFill>
                          <a:blip r:embed="rId36"/>
                          <a:stretch>
                            <a:fillRect/>
                          </a:stretch>
                        </pic:blipFill>
                        <pic:spPr>
                          <a:xfrm>
                            <a:off x="0" y="0"/>
                            <a:ext cx="790575" cy="571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4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8592"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02" name="Picture_1_SpCnt_5"/>
                  <wp:cNvGraphicFramePr/>
                  <a:graphic xmlns:a="http://schemas.openxmlformats.org/drawingml/2006/main">
                    <a:graphicData uri="http://schemas.openxmlformats.org/drawingml/2006/picture">
                      <pic:pic xmlns:pic="http://schemas.openxmlformats.org/drawingml/2006/picture">
                        <pic:nvPicPr>
                          <pic:cNvPr id="102" name="Picture_1_SpCnt_5"/>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59616" behindDoc="0" locked="0" layoutInCell="1" allowOverlap="1">
                  <wp:simplePos x="0" y="0"/>
                  <wp:positionH relativeFrom="column">
                    <wp:posOffset>163830</wp:posOffset>
                  </wp:positionH>
                  <wp:positionV relativeFrom="paragraph">
                    <wp:posOffset>95885</wp:posOffset>
                  </wp:positionV>
                  <wp:extent cx="530860" cy="199390"/>
                  <wp:effectExtent l="0" t="0" r="2540" b="10160"/>
                  <wp:wrapNone/>
                  <wp:docPr id="103" name="Picture_51"/>
                  <wp:cNvGraphicFramePr/>
                  <a:graphic xmlns:a="http://schemas.openxmlformats.org/drawingml/2006/main">
                    <a:graphicData uri="http://schemas.openxmlformats.org/drawingml/2006/picture">
                      <pic:pic xmlns:pic="http://schemas.openxmlformats.org/drawingml/2006/picture">
                        <pic:nvPicPr>
                          <pic:cNvPr id="103" name="Picture_51"/>
                          <pic:cNvPicPr/>
                        </pic:nvPicPr>
                        <pic:blipFill>
                          <a:blip r:embed="rId45"/>
                          <a:stretch>
                            <a:fillRect/>
                          </a:stretch>
                        </pic:blipFill>
                        <pic:spPr>
                          <a:xfrm>
                            <a:off x="0" y="0"/>
                            <a:ext cx="530860" cy="19939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4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6.水产粗加工</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0640"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04" name="Picture_54"/>
                  <wp:cNvGraphicFramePr/>
                  <a:graphic xmlns:a="http://schemas.openxmlformats.org/drawingml/2006/main">
                    <a:graphicData uri="http://schemas.openxmlformats.org/drawingml/2006/picture">
                      <pic:pic xmlns:pic="http://schemas.openxmlformats.org/drawingml/2006/picture">
                        <pic:nvPicPr>
                          <pic:cNvPr id="104" name="Picture_54"/>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00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单星剖鱼盆台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1664" behindDoc="0" locked="0" layoutInCell="1" allowOverlap="1">
                  <wp:simplePos x="0" y="0"/>
                  <wp:positionH relativeFrom="column">
                    <wp:posOffset>85725</wp:posOffset>
                  </wp:positionH>
                  <wp:positionV relativeFrom="paragraph">
                    <wp:posOffset>142875</wp:posOffset>
                  </wp:positionV>
                  <wp:extent cx="790575" cy="666750"/>
                  <wp:effectExtent l="0" t="0" r="9525" b="0"/>
                  <wp:wrapNone/>
                  <wp:docPr id="105" name="Picture_55"/>
                  <wp:cNvGraphicFramePr/>
                  <a:graphic xmlns:a="http://schemas.openxmlformats.org/drawingml/2006/main">
                    <a:graphicData uri="http://schemas.openxmlformats.org/drawingml/2006/picture">
                      <pic:pic xmlns:pic="http://schemas.openxmlformats.org/drawingml/2006/picture">
                        <pic:nvPicPr>
                          <pic:cNvPr id="105" name="Picture_55"/>
                          <pic:cNvPicPr/>
                        </pic:nvPicPr>
                        <pic:blipFill>
                          <a:blip r:embed="rId46"/>
                          <a:stretch>
                            <a:fillRect/>
                          </a:stretch>
                        </pic:blipFill>
                        <pic:spPr>
                          <a:xfrm>
                            <a:off x="0" y="0"/>
                            <a:ext cx="790575" cy="6667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—台面板一体冲压成型，左边为水池，右边冲压沥水槽，沥水槽区域尺寸≥400*400mm—台面板厚≥1.2㎜,水斗板厚≥1.0mm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2688"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06" name="Picture_1_SpCnt_6"/>
                  <wp:cNvGraphicFramePr/>
                  <a:graphic xmlns:a="http://schemas.openxmlformats.org/drawingml/2006/main">
                    <a:graphicData uri="http://schemas.openxmlformats.org/drawingml/2006/picture">
                      <pic:pic xmlns:pic="http://schemas.openxmlformats.org/drawingml/2006/picture">
                        <pic:nvPicPr>
                          <pic:cNvPr id="106" name="Picture_1_SpCnt_6"/>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高压花洒</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3712" behindDoc="0" locked="0" layoutInCell="1" allowOverlap="1">
                  <wp:simplePos x="0" y="0"/>
                  <wp:positionH relativeFrom="column">
                    <wp:posOffset>209550</wp:posOffset>
                  </wp:positionH>
                  <wp:positionV relativeFrom="paragraph">
                    <wp:posOffset>66675</wp:posOffset>
                  </wp:positionV>
                  <wp:extent cx="394970" cy="618490"/>
                  <wp:effectExtent l="0" t="0" r="5080" b="10160"/>
                  <wp:wrapNone/>
                  <wp:docPr id="107" name="Picture_1_SpCnt_7"/>
                  <wp:cNvGraphicFramePr/>
                  <a:graphic xmlns:a="http://schemas.openxmlformats.org/drawingml/2006/main">
                    <a:graphicData uri="http://schemas.openxmlformats.org/drawingml/2006/picture">
                      <pic:pic xmlns:pic="http://schemas.openxmlformats.org/drawingml/2006/picture">
                        <pic:nvPicPr>
                          <pic:cNvPr id="107" name="Picture_1_SpCnt_7"/>
                          <pic:cNvPicPr/>
                        </pic:nvPicPr>
                        <pic:blipFill>
                          <a:blip r:embed="rId47"/>
                          <a:stretch>
                            <a:fillRect/>
                          </a:stretch>
                        </pic:blipFill>
                        <pic:spPr>
                          <a:xfrm>
                            <a:off x="0" y="0"/>
                            <a:ext cx="394970" cy="61849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流量5.38LPM/1.42GPM指标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抛光镀铬黄铜本体，直管壁厚2.54mm～6.6mm，无铅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黄铜压缩阀芯带有止回阀可防止水流回流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18"不锈钢供水软管，可调墙出支架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，；一字手柄带有冷热水标色螺丝；大流量喷阀； 6"(152mm)墙出支架；开孔：孔径38mm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4736" behindDoc="0" locked="0" layoutInCell="1" allowOverlap="1">
                  <wp:simplePos x="0" y="0"/>
                  <wp:positionH relativeFrom="column">
                    <wp:posOffset>107950</wp:posOffset>
                  </wp:positionH>
                  <wp:positionV relativeFrom="paragraph">
                    <wp:posOffset>32385</wp:posOffset>
                  </wp:positionV>
                  <wp:extent cx="790575" cy="299720"/>
                  <wp:effectExtent l="0" t="0" r="9525" b="5080"/>
                  <wp:wrapNone/>
                  <wp:docPr id="108" name="Picture_56"/>
                  <wp:cNvGraphicFramePr/>
                  <a:graphic xmlns:a="http://schemas.openxmlformats.org/drawingml/2006/main">
                    <a:graphicData uri="http://schemas.openxmlformats.org/drawingml/2006/picture">
                      <pic:pic xmlns:pic="http://schemas.openxmlformats.org/drawingml/2006/picture">
                        <pic:nvPicPr>
                          <pic:cNvPr id="108" name="Picture_56"/>
                          <pic:cNvPicPr/>
                        </pic:nvPicPr>
                        <pic:blipFill>
                          <a:blip r:embed="rId41"/>
                          <a:stretch>
                            <a:fillRect/>
                          </a:stretch>
                        </pic:blipFill>
                        <pic:spPr>
                          <a:xfrm>
                            <a:off x="0" y="0"/>
                            <a:ext cx="790575" cy="29972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5760"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109" name="Picture_57"/>
                  <wp:cNvGraphicFramePr/>
                  <a:graphic xmlns:a="http://schemas.openxmlformats.org/drawingml/2006/main">
                    <a:graphicData uri="http://schemas.openxmlformats.org/drawingml/2006/picture">
                      <pic:pic xmlns:pic="http://schemas.openxmlformats.org/drawingml/2006/picture">
                        <pic:nvPicPr>
                          <pic:cNvPr id="109" name="Picture_57"/>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6784"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10" name="Picture_1_SpCnt_8"/>
                  <wp:cNvGraphicFramePr/>
                  <a:graphic xmlns:a="http://schemas.openxmlformats.org/drawingml/2006/main">
                    <a:graphicData uri="http://schemas.openxmlformats.org/drawingml/2006/picture">
                      <pic:pic xmlns:pic="http://schemas.openxmlformats.org/drawingml/2006/picture">
                        <pic:nvPicPr>
                          <pic:cNvPr id="110" name="Picture_1_SpCnt_8"/>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7808" behindDoc="0" locked="0" layoutInCell="1" allowOverlap="1">
                  <wp:simplePos x="0" y="0"/>
                  <wp:positionH relativeFrom="column">
                    <wp:posOffset>166370</wp:posOffset>
                  </wp:positionH>
                  <wp:positionV relativeFrom="paragraph">
                    <wp:posOffset>101600</wp:posOffset>
                  </wp:positionV>
                  <wp:extent cx="516890" cy="619760"/>
                  <wp:effectExtent l="0" t="0" r="16510" b="8890"/>
                  <wp:wrapNone/>
                  <wp:docPr id="111" name="Picture_58"/>
                  <wp:cNvGraphicFramePr/>
                  <a:graphic xmlns:a="http://schemas.openxmlformats.org/drawingml/2006/main">
                    <a:graphicData uri="http://schemas.openxmlformats.org/drawingml/2006/picture">
                      <pic:pic xmlns:pic="http://schemas.openxmlformats.org/drawingml/2006/picture">
                        <pic:nvPicPr>
                          <pic:cNvPr id="111" name="Picture_58"/>
                          <pic:cNvPicPr/>
                        </pic:nvPicPr>
                        <pic:blipFill>
                          <a:blip r:embed="rId48"/>
                          <a:stretch>
                            <a:fillRect/>
                          </a:stretch>
                        </pic:blipFill>
                        <pic:spPr>
                          <a:xfrm>
                            <a:off x="0" y="0"/>
                            <a:ext cx="516890" cy="61976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67"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7.水产切配</w:t>
            </w: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39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8832" behindDoc="0" locked="0" layoutInCell="1" allowOverlap="1">
                  <wp:simplePos x="0" y="0"/>
                  <wp:positionH relativeFrom="column">
                    <wp:posOffset>85725</wp:posOffset>
                  </wp:positionH>
                  <wp:positionV relativeFrom="paragraph">
                    <wp:posOffset>43180</wp:posOffset>
                  </wp:positionV>
                  <wp:extent cx="790575" cy="299720"/>
                  <wp:effectExtent l="0" t="0" r="9525" b="5080"/>
                  <wp:wrapNone/>
                  <wp:docPr id="112" name="Picture_60"/>
                  <wp:cNvGraphicFramePr/>
                  <a:graphic xmlns:a="http://schemas.openxmlformats.org/drawingml/2006/main">
                    <a:graphicData uri="http://schemas.openxmlformats.org/drawingml/2006/picture">
                      <pic:pic xmlns:pic="http://schemas.openxmlformats.org/drawingml/2006/picture">
                        <pic:nvPicPr>
                          <pic:cNvPr id="112" name="Picture_60"/>
                          <pic:cNvPicPr/>
                        </pic:nvPicPr>
                        <pic:blipFill>
                          <a:blip r:embed="rId41"/>
                          <a:stretch>
                            <a:fillRect/>
                          </a:stretch>
                        </pic:blipFill>
                        <pic:spPr>
                          <a:xfrm>
                            <a:off x="0" y="0"/>
                            <a:ext cx="790575" cy="29972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多功砧板毛巾刀具消毒柜一体机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≥1200*600*1800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69856" behindDoc="0" locked="0" layoutInCell="1" allowOverlap="1">
                  <wp:simplePos x="0" y="0"/>
                  <wp:positionH relativeFrom="column">
                    <wp:posOffset>161925</wp:posOffset>
                  </wp:positionH>
                  <wp:positionV relativeFrom="paragraph">
                    <wp:posOffset>369570</wp:posOffset>
                  </wp:positionV>
                  <wp:extent cx="490855" cy="637540"/>
                  <wp:effectExtent l="0" t="0" r="4445" b="10160"/>
                  <wp:wrapNone/>
                  <wp:docPr id="113" name="Picture_61"/>
                  <wp:cNvGraphicFramePr/>
                  <a:graphic xmlns:a="http://schemas.openxmlformats.org/drawingml/2006/main">
                    <a:graphicData uri="http://schemas.openxmlformats.org/drawingml/2006/picture">
                      <pic:pic xmlns:pic="http://schemas.openxmlformats.org/drawingml/2006/picture">
                        <pic:nvPicPr>
                          <pic:cNvPr id="113" name="Picture_61"/>
                          <pic:cNvPicPr/>
                        </pic:nvPicPr>
                        <pic:blipFill>
                          <a:blip r:embed="rId49"/>
                          <a:stretch>
                            <a:fillRect/>
                          </a:stretch>
                        </pic:blipFill>
                        <pic:spPr>
                          <a:xfrm>
                            <a:off x="0" y="0"/>
                            <a:ext cx="490855" cy="63754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毛巾、砧板、刀具消毒一体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 304-2B不锈钢板制造，厚度为1.2mm。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电压：220v  紫外线功率：17w  红外线功率：300w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消毒方式：紫外线加臭氧/红外线循环风 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毒刀数量：20把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消毒毛巾数量：24块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消毒砧板数量：10块（直径50cm厚度10cm）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0880" behindDoc="0" locked="0" layoutInCell="1" allowOverlap="1">
                  <wp:simplePos x="0" y="0"/>
                  <wp:positionH relativeFrom="column">
                    <wp:posOffset>133350</wp:posOffset>
                  </wp:positionH>
                  <wp:positionV relativeFrom="paragraph">
                    <wp:posOffset>66675</wp:posOffset>
                  </wp:positionV>
                  <wp:extent cx="695325" cy="828675"/>
                  <wp:effectExtent l="0" t="0" r="9525" b="9525"/>
                  <wp:wrapNone/>
                  <wp:docPr id="114" name="Picture_62"/>
                  <wp:cNvGraphicFramePr/>
                  <a:graphic xmlns:a="http://schemas.openxmlformats.org/drawingml/2006/main">
                    <a:graphicData uri="http://schemas.openxmlformats.org/drawingml/2006/picture">
                      <pic:pic xmlns:pic="http://schemas.openxmlformats.org/drawingml/2006/picture">
                        <pic:nvPicPr>
                          <pic:cNvPr id="114" name="Picture_62"/>
                          <pic:cNvPicPr/>
                        </pic:nvPicPr>
                        <pic:blipFill>
                          <a:blip r:embed="rId3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1904"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15" name="Picture_63"/>
                  <wp:cNvGraphicFramePr/>
                  <a:graphic xmlns:a="http://schemas.openxmlformats.org/drawingml/2006/main">
                    <a:graphicData uri="http://schemas.openxmlformats.org/drawingml/2006/picture">
                      <pic:pic xmlns:pic="http://schemas.openxmlformats.org/drawingml/2006/picture">
                        <pic:nvPicPr>
                          <pic:cNvPr id="115" name="Picture_63"/>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2928" behindDoc="0" locked="0" layoutInCell="1" allowOverlap="1">
                  <wp:simplePos x="0" y="0"/>
                  <wp:positionH relativeFrom="column">
                    <wp:posOffset>85725</wp:posOffset>
                  </wp:positionH>
                  <wp:positionV relativeFrom="paragraph">
                    <wp:posOffset>190500</wp:posOffset>
                  </wp:positionV>
                  <wp:extent cx="790575" cy="571500"/>
                  <wp:effectExtent l="0" t="0" r="9525" b="0"/>
                  <wp:wrapNone/>
                  <wp:docPr id="116" name="Picture_64"/>
                  <wp:cNvGraphicFramePr/>
                  <a:graphic xmlns:a="http://schemas.openxmlformats.org/drawingml/2006/main">
                    <a:graphicData uri="http://schemas.openxmlformats.org/drawingml/2006/picture">
                      <pic:pic xmlns:pic="http://schemas.openxmlformats.org/drawingml/2006/picture">
                        <pic:nvPicPr>
                          <pic:cNvPr id="116" name="Picture_64"/>
                          <pic:cNvPicPr/>
                        </pic:nvPicPr>
                        <pic:blipFill>
                          <a:blip r:embed="rId36"/>
                          <a:stretch>
                            <a:fillRect/>
                          </a:stretch>
                        </pic:blipFill>
                        <pic:spPr>
                          <a:xfrm>
                            <a:off x="0" y="0"/>
                            <a:ext cx="790575" cy="571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1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3952"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17" name="Picture_1_SpCnt_9"/>
                  <wp:cNvGraphicFramePr/>
                  <a:graphic xmlns:a="http://schemas.openxmlformats.org/drawingml/2006/main">
                    <a:graphicData uri="http://schemas.openxmlformats.org/drawingml/2006/picture">
                      <pic:pic xmlns:pic="http://schemas.openxmlformats.org/drawingml/2006/picture">
                        <pic:nvPicPr>
                          <pic:cNvPr id="117" name="Picture_1_SpCnt_9"/>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643"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8.肉类切配</w:t>
            </w:r>
          </w:p>
        </w:tc>
      </w:tr>
      <w:tr>
        <w:tblPrEx>
          <w:tblCellMar>
            <w:top w:w="0" w:type="dxa"/>
            <w:left w:w="108" w:type="dxa"/>
            <w:bottom w:w="0" w:type="dxa"/>
            <w:right w:w="108" w:type="dxa"/>
          </w:tblCellMar>
        </w:tblPrEx>
        <w:trPr>
          <w:trHeight w:val="68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4976" behindDoc="0" locked="0" layoutInCell="1" allowOverlap="1">
                  <wp:simplePos x="0" y="0"/>
                  <wp:positionH relativeFrom="column">
                    <wp:posOffset>85725</wp:posOffset>
                  </wp:positionH>
                  <wp:positionV relativeFrom="paragraph">
                    <wp:posOffset>66040</wp:posOffset>
                  </wp:positionV>
                  <wp:extent cx="790575" cy="295275"/>
                  <wp:effectExtent l="0" t="0" r="9525" b="9525"/>
                  <wp:wrapNone/>
                  <wp:docPr id="118" name="Picture_66"/>
                  <wp:cNvGraphicFramePr/>
                  <a:graphic xmlns:a="http://schemas.openxmlformats.org/drawingml/2006/main">
                    <a:graphicData uri="http://schemas.openxmlformats.org/drawingml/2006/picture">
                      <pic:pic xmlns:pic="http://schemas.openxmlformats.org/drawingml/2006/picture">
                        <pic:nvPicPr>
                          <pic:cNvPr id="118" name="Picture_66"/>
                          <pic:cNvPicPr/>
                        </pic:nvPicPr>
                        <pic:blipFill>
                          <a:blip r:embed="rId38"/>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6000"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19" name="Picture_67"/>
                  <wp:cNvGraphicFramePr/>
                  <a:graphic xmlns:a="http://schemas.openxmlformats.org/drawingml/2006/main">
                    <a:graphicData uri="http://schemas.openxmlformats.org/drawingml/2006/picture">
                      <pic:pic xmlns:pic="http://schemas.openxmlformats.org/drawingml/2006/picture">
                        <pic:nvPicPr>
                          <pic:cNvPr id="119" name="Picture_67"/>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多功砧板毛巾刀具消毒柜一体机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≥1200*600*1800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7024" behindDoc="0" locked="0" layoutInCell="1" allowOverlap="1">
                  <wp:simplePos x="0" y="0"/>
                  <wp:positionH relativeFrom="column">
                    <wp:posOffset>161925</wp:posOffset>
                  </wp:positionH>
                  <wp:positionV relativeFrom="paragraph">
                    <wp:posOffset>348615</wp:posOffset>
                  </wp:positionV>
                  <wp:extent cx="420370" cy="546735"/>
                  <wp:effectExtent l="0" t="0" r="17780" b="5715"/>
                  <wp:wrapNone/>
                  <wp:docPr id="120" name="Picture_69"/>
                  <wp:cNvGraphicFramePr/>
                  <a:graphic xmlns:a="http://schemas.openxmlformats.org/drawingml/2006/main">
                    <a:graphicData uri="http://schemas.openxmlformats.org/drawingml/2006/picture">
                      <pic:pic xmlns:pic="http://schemas.openxmlformats.org/drawingml/2006/picture">
                        <pic:nvPicPr>
                          <pic:cNvPr id="120" name="Picture_69"/>
                          <pic:cNvPicPr/>
                        </pic:nvPicPr>
                        <pic:blipFill>
                          <a:blip r:embed="rId50"/>
                          <a:stretch>
                            <a:fillRect/>
                          </a:stretch>
                        </pic:blipFill>
                        <pic:spPr>
                          <a:xfrm>
                            <a:off x="0" y="0"/>
                            <a:ext cx="420370" cy="54673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毛巾、砧板、刀具消毒一体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 304-2B不锈钢板制造，厚度为1.2mm。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电压：220v  紫外线功率：17w  红外线功率：300w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消毒方式：紫外线加臭氧/红外线循环风 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毒刀数量：20把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消毒毛巾数量：24块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消毒砧板数量：10块（直径50cm厚度10cm）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8048" behindDoc="0" locked="0" layoutInCell="1" allowOverlap="1">
                  <wp:simplePos x="0" y="0"/>
                  <wp:positionH relativeFrom="column">
                    <wp:posOffset>133350</wp:posOffset>
                  </wp:positionH>
                  <wp:positionV relativeFrom="paragraph">
                    <wp:posOffset>66675</wp:posOffset>
                  </wp:positionV>
                  <wp:extent cx="695325" cy="828675"/>
                  <wp:effectExtent l="0" t="0" r="9525" b="9525"/>
                  <wp:wrapNone/>
                  <wp:docPr id="121" name="Picture_70"/>
                  <wp:cNvGraphicFramePr/>
                  <a:graphic xmlns:a="http://schemas.openxmlformats.org/drawingml/2006/main">
                    <a:graphicData uri="http://schemas.openxmlformats.org/drawingml/2006/picture">
                      <pic:pic xmlns:pic="http://schemas.openxmlformats.org/drawingml/2006/picture">
                        <pic:nvPicPr>
                          <pic:cNvPr id="121" name="Picture_70"/>
                          <pic:cNvPicPr/>
                        </pic:nvPicPr>
                        <pic:blipFill>
                          <a:blip r:embed="rId3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14"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79072"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22" name="Picture_71"/>
                  <wp:cNvGraphicFramePr/>
                  <a:graphic xmlns:a="http://schemas.openxmlformats.org/drawingml/2006/main">
                    <a:graphicData uri="http://schemas.openxmlformats.org/drawingml/2006/picture">
                      <pic:pic xmlns:pic="http://schemas.openxmlformats.org/drawingml/2006/picture">
                        <pic:nvPicPr>
                          <pic:cNvPr id="122" name="Picture_71"/>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0096" behindDoc="0" locked="0" layoutInCell="1" allowOverlap="1">
                  <wp:simplePos x="0" y="0"/>
                  <wp:positionH relativeFrom="column">
                    <wp:posOffset>85725</wp:posOffset>
                  </wp:positionH>
                  <wp:positionV relativeFrom="paragraph">
                    <wp:posOffset>190500</wp:posOffset>
                  </wp:positionV>
                  <wp:extent cx="790575" cy="571500"/>
                  <wp:effectExtent l="0" t="0" r="9525" b="0"/>
                  <wp:wrapNone/>
                  <wp:docPr id="123" name="Picture_73"/>
                  <wp:cNvGraphicFramePr/>
                  <a:graphic xmlns:a="http://schemas.openxmlformats.org/drawingml/2006/main">
                    <a:graphicData uri="http://schemas.openxmlformats.org/drawingml/2006/picture">
                      <pic:pic xmlns:pic="http://schemas.openxmlformats.org/drawingml/2006/picture">
                        <pic:nvPicPr>
                          <pic:cNvPr id="123" name="Picture_73"/>
                          <pic:cNvPicPr/>
                        </pic:nvPicPr>
                        <pic:blipFill>
                          <a:blip r:embed="rId36"/>
                          <a:stretch>
                            <a:fillRect/>
                          </a:stretch>
                        </pic:blipFill>
                        <pic:spPr>
                          <a:xfrm>
                            <a:off x="0" y="0"/>
                            <a:ext cx="790575" cy="571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8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9.蔬菜切配</w:t>
            </w: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1120"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124" name="Picture_76"/>
                  <wp:cNvGraphicFramePr/>
                  <a:graphic xmlns:a="http://schemas.openxmlformats.org/drawingml/2006/main">
                    <a:graphicData uri="http://schemas.openxmlformats.org/drawingml/2006/picture">
                      <pic:pic xmlns:pic="http://schemas.openxmlformats.org/drawingml/2006/picture">
                        <pic:nvPicPr>
                          <pic:cNvPr id="124" name="Picture_76"/>
                          <pic:cNvPicPr/>
                        </pic:nvPicPr>
                        <pic:blipFill>
                          <a:blip r:embed="rId51"/>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多功砧板毛巾刀具消毒柜一体机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≥1200*600*1800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2144" behindDoc="0" locked="0" layoutInCell="1" allowOverlap="1">
                  <wp:simplePos x="0" y="0"/>
                  <wp:positionH relativeFrom="column">
                    <wp:posOffset>161925</wp:posOffset>
                  </wp:positionH>
                  <wp:positionV relativeFrom="paragraph">
                    <wp:posOffset>66675</wp:posOffset>
                  </wp:positionV>
                  <wp:extent cx="638175" cy="828675"/>
                  <wp:effectExtent l="0" t="0" r="9525" b="9525"/>
                  <wp:wrapNone/>
                  <wp:docPr id="125" name="Picture_78"/>
                  <wp:cNvGraphicFramePr/>
                  <a:graphic xmlns:a="http://schemas.openxmlformats.org/drawingml/2006/main">
                    <a:graphicData uri="http://schemas.openxmlformats.org/drawingml/2006/picture">
                      <pic:pic xmlns:pic="http://schemas.openxmlformats.org/drawingml/2006/picture">
                        <pic:nvPicPr>
                          <pic:cNvPr id="125" name="Picture_78"/>
                          <pic:cNvPicPr/>
                        </pic:nvPicPr>
                        <pic:blipFill>
                          <a:blip r:embed="rId52"/>
                          <a:stretch>
                            <a:fillRect/>
                          </a:stretch>
                        </pic:blipFill>
                        <pic:spPr>
                          <a:xfrm>
                            <a:off x="0" y="0"/>
                            <a:ext cx="63817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毛巾、砧板、刀具消毒一体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 304-2B不锈钢板制造，厚度为1.2mm。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电压：220v  紫外线功率：17w  红外线功率：300w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消毒方式：紫外线加臭氧/红外线循环风 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毒刀数量：20把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消毒毛巾数量：24块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消毒砧板数量：10块（直径50cm厚度10cm）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3168" behindDoc="0" locked="0" layoutInCell="1" allowOverlap="1">
                  <wp:simplePos x="0" y="0"/>
                  <wp:positionH relativeFrom="column">
                    <wp:posOffset>133350</wp:posOffset>
                  </wp:positionH>
                  <wp:positionV relativeFrom="paragraph">
                    <wp:posOffset>66675</wp:posOffset>
                  </wp:positionV>
                  <wp:extent cx="695325" cy="828675"/>
                  <wp:effectExtent l="0" t="0" r="9525" b="9525"/>
                  <wp:wrapNone/>
                  <wp:docPr id="126" name="Picture_79"/>
                  <wp:cNvGraphicFramePr/>
                  <a:graphic xmlns:a="http://schemas.openxmlformats.org/drawingml/2006/main">
                    <a:graphicData uri="http://schemas.openxmlformats.org/drawingml/2006/picture">
                      <pic:pic xmlns:pic="http://schemas.openxmlformats.org/drawingml/2006/picture">
                        <pic:nvPicPr>
                          <pic:cNvPr id="126" name="Picture_79"/>
                          <pic:cNvPicPr/>
                        </pic:nvPicPr>
                        <pic:blipFill>
                          <a:blip r:embed="rId3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4192"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27" name="Picture_80"/>
                  <wp:cNvGraphicFramePr/>
                  <a:graphic xmlns:a="http://schemas.openxmlformats.org/drawingml/2006/main">
                    <a:graphicData uri="http://schemas.openxmlformats.org/drawingml/2006/picture">
                      <pic:pic xmlns:pic="http://schemas.openxmlformats.org/drawingml/2006/picture">
                        <pic:nvPicPr>
                          <pic:cNvPr id="127" name="Picture_80"/>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5216" behindDoc="0" locked="0" layoutInCell="1" allowOverlap="1">
                  <wp:simplePos x="0" y="0"/>
                  <wp:positionH relativeFrom="column">
                    <wp:posOffset>85725</wp:posOffset>
                  </wp:positionH>
                  <wp:positionV relativeFrom="paragraph">
                    <wp:posOffset>190500</wp:posOffset>
                  </wp:positionV>
                  <wp:extent cx="790575" cy="571500"/>
                  <wp:effectExtent l="0" t="0" r="9525" b="0"/>
                  <wp:wrapNone/>
                  <wp:docPr id="128" name="Picture_81"/>
                  <wp:cNvGraphicFramePr/>
                  <a:graphic xmlns:a="http://schemas.openxmlformats.org/drawingml/2006/main">
                    <a:graphicData uri="http://schemas.openxmlformats.org/drawingml/2006/picture">
                      <pic:pic xmlns:pic="http://schemas.openxmlformats.org/drawingml/2006/picture">
                        <pic:nvPicPr>
                          <pic:cNvPr id="128" name="Picture_81"/>
                          <pic:cNvPicPr/>
                        </pic:nvPicPr>
                        <pic:blipFill>
                          <a:blip r:embed="rId36"/>
                          <a:stretch>
                            <a:fillRect/>
                          </a:stretch>
                        </pic:blipFill>
                        <pic:spPr>
                          <a:xfrm>
                            <a:off x="0" y="0"/>
                            <a:ext cx="790575" cy="571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4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6240"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29" name="Picture_1_SpCnt_10"/>
                  <wp:cNvGraphicFramePr/>
                  <a:graphic xmlns:a="http://schemas.openxmlformats.org/drawingml/2006/main">
                    <a:graphicData uri="http://schemas.openxmlformats.org/drawingml/2006/picture">
                      <pic:pic xmlns:pic="http://schemas.openxmlformats.org/drawingml/2006/picture">
                        <pic:nvPicPr>
                          <pic:cNvPr id="129" name="Picture_1_SpCnt_10"/>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10洗框区</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7264"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30" name="Picture_83"/>
                  <wp:cNvGraphicFramePr/>
                  <a:graphic xmlns:a="http://schemas.openxmlformats.org/drawingml/2006/main">
                    <a:graphicData uri="http://schemas.openxmlformats.org/drawingml/2006/picture">
                      <pic:pic xmlns:pic="http://schemas.openxmlformats.org/drawingml/2006/picture">
                        <pic:nvPicPr>
                          <pic:cNvPr id="130" name="Picture_83"/>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8288"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131" name="Picture_84"/>
                  <wp:cNvGraphicFramePr/>
                  <a:graphic xmlns:a="http://schemas.openxmlformats.org/drawingml/2006/main">
                    <a:graphicData uri="http://schemas.openxmlformats.org/drawingml/2006/picture">
                      <pic:pic xmlns:pic="http://schemas.openxmlformats.org/drawingml/2006/picture">
                        <pic:nvPicPr>
                          <pic:cNvPr id="131" name="Picture_84"/>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79"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59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89312"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32" name="Picture_1_SpCnt_11"/>
                  <wp:cNvGraphicFramePr/>
                  <a:graphic xmlns:a="http://schemas.openxmlformats.org/drawingml/2006/main">
                    <a:graphicData uri="http://schemas.openxmlformats.org/drawingml/2006/picture">
                      <pic:pic xmlns:pic="http://schemas.openxmlformats.org/drawingml/2006/picture">
                        <pic:nvPicPr>
                          <pic:cNvPr id="132" name="Picture_1_SpCnt_11"/>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21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11.清洁工具间</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拖把池连架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≥1000*600*1800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0336" behindDoc="0" locked="0" layoutInCell="1" allowOverlap="1">
                  <wp:simplePos x="0" y="0"/>
                  <wp:positionH relativeFrom="column">
                    <wp:posOffset>285750</wp:posOffset>
                  </wp:positionH>
                  <wp:positionV relativeFrom="paragraph">
                    <wp:posOffset>41275</wp:posOffset>
                  </wp:positionV>
                  <wp:extent cx="457200" cy="809625"/>
                  <wp:effectExtent l="0" t="0" r="0" b="9525"/>
                  <wp:wrapNone/>
                  <wp:docPr id="133" name="Picture_85"/>
                  <wp:cNvGraphicFramePr/>
                  <a:graphic xmlns:a="http://schemas.openxmlformats.org/drawingml/2006/main">
                    <a:graphicData uri="http://schemas.openxmlformats.org/drawingml/2006/picture">
                      <pic:pic xmlns:pic="http://schemas.openxmlformats.org/drawingml/2006/picture">
                        <pic:nvPicPr>
                          <pic:cNvPr id="133" name="Picture_85"/>
                          <pic:cNvPicPr/>
                        </pic:nvPicPr>
                        <pic:blipFill>
                          <a:blip r:embed="rId53"/>
                          <a:stretch>
                            <a:fillRect/>
                          </a:stretch>
                        </pic:blipFill>
                        <pic:spPr>
                          <a:xfrm>
                            <a:off x="0" y="0"/>
                            <a:ext cx="457200" cy="8096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—高背板设计防溅水设计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—水斗整体用料1.2mm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—30×30×1.0不锈钢方管架子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四层板货架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≥1200*500*1550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1360" behindDoc="0" locked="0" layoutInCell="1" allowOverlap="1">
                  <wp:simplePos x="0" y="0"/>
                  <wp:positionH relativeFrom="column">
                    <wp:posOffset>133350</wp:posOffset>
                  </wp:positionH>
                  <wp:positionV relativeFrom="paragraph">
                    <wp:posOffset>66675</wp:posOffset>
                  </wp:positionV>
                  <wp:extent cx="685800" cy="828675"/>
                  <wp:effectExtent l="0" t="0" r="0" b="9525"/>
                  <wp:wrapNone/>
                  <wp:docPr id="134" name="Picture_86"/>
                  <wp:cNvGraphicFramePr/>
                  <a:graphic xmlns:a="http://schemas.openxmlformats.org/drawingml/2006/main">
                    <a:graphicData uri="http://schemas.openxmlformats.org/drawingml/2006/picture">
                      <pic:pic xmlns:pic="http://schemas.openxmlformats.org/drawingml/2006/picture">
                        <pic:nvPicPr>
                          <pic:cNvPr id="134" name="Picture_86"/>
                          <pic:cNvPicPr/>
                        </pic:nvPicPr>
                        <pic:blipFill>
                          <a:blip r:embed="rId34"/>
                          <a:stretch>
                            <a:fillRect/>
                          </a:stretch>
                        </pic:blipFill>
                        <pic:spPr>
                          <a:xfrm>
                            <a:off x="0" y="0"/>
                            <a:ext cx="68580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—层板厚≥1.0mm不锈钢板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—面板下采用折弯一体加强码，板厚0.8~1.2mm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68"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12.物品仓库</w:t>
            </w: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四层板货架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≥1200*500*1550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2384" behindDoc="0" locked="0" layoutInCell="1" allowOverlap="1">
                  <wp:simplePos x="0" y="0"/>
                  <wp:positionH relativeFrom="column">
                    <wp:posOffset>133350</wp:posOffset>
                  </wp:positionH>
                  <wp:positionV relativeFrom="paragraph">
                    <wp:posOffset>66675</wp:posOffset>
                  </wp:positionV>
                  <wp:extent cx="685800" cy="828675"/>
                  <wp:effectExtent l="0" t="0" r="0" b="9525"/>
                  <wp:wrapNone/>
                  <wp:docPr id="135" name="Picture_87"/>
                  <wp:cNvGraphicFramePr/>
                  <a:graphic xmlns:a="http://schemas.openxmlformats.org/drawingml/2006/main">
                    <a:graphicData uri="http://schemas.openxmlformats.org/drawingml/2006/picture">
                      <pic:pic xmlns:pic="http://schemas.openxmlformats.org/drawingml/2006/picture">
                        <pic:nvPicPr>
                          <pic:cNvPr id="135" name="Picture_87"/>
                          <pic:cNvPicPr/>
                        </pic:nvPicPr>
                        <pic:blipFill>
                          <a:blip r:embed="rId34"/>
                          <a:stretch>
                            <a:fillRect/>
                          </a:stretch>
                        </pic:blipFill>
                        <pic:spPr>
                          <a:xfrm>
                            <a:off x="0" y="0"/>
                            <a:ext cx="68580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—层板厚≥1.0mm不锈钢板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—面板下采用折弯一体加强码，板厚0.8~1.2mm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6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13.烹饪区</w:t>
            </w: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3408"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136" name="Picture_89"/>
                  <wp:cNvGraphicFramePr/>
                  <a:graphic xmlns:a="http://schemas.openxmlformats.org/drawingml/2006/main">
                    <a:graphicData uri="http://schemas.openxmlformats.org/drawingml/2006/picture">
                      <pic:pic xmlns:pic="http://schemas.openxmlformats.org/drawingml/2006/picture">
                        <pic:nvPicPr>
                          <pic:cNvPr id="136" name="Picture_89"/>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工作台柜带水池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4432" behindDoc="0" locked="0" layoutInCell="1" allowOverlap="1">
                  <wp:simplePos x="0" y="0"/>
                  <wp:positionH relativeFrom="column">
                    <wp:posOffset>85725</wp:posOffset>
                  </wp:positionH>
                  <wp:positionV relativeFrom="paragraph">
                    <wp:posOffset>180975</wp:posOffset>
                  </wp:positionV>
                  <wp:extent cx="790575" cy="590550"/>
                  <wp:effectExtent l="0" t="0" r="9525" b="0"/>
                  <wp:wrapNone/>
                  <wp:docPr id="137" name="Picture_90"/>
                  <wp:cNvGraphicFramePr/>
                  <a:graphic xmlns:a="http://schemas.openxmlformats.org/drawingml/2006/main">
                    <a:graphicData uri="http://schemas.openxmlformats.org/drawingml/2006/picture">
                      <pic:pic xmlns:pic="http://schemas.openxmlformats.org/drawingml/2006/picture">
                        <pic:nvPicPr>
                          <pic:cNvPr id="137" name="Picture_90"/>
                          <pic:cNvPicPr/>
                        </pic:nvPicPr>
                        <pic:blipFill>
                          <a:blip r:embed="rId26"/>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57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545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38" name="Picture_1_SpCnt_12"/>
                  <wp:cNvGraphicFramePr/>
                  <a:graphic xmlns:a="http://schemas.openxmlformats.org/drawingml/2006/main">
                    <a:graphicData uri="http://schemas.openxmlformats.org/drawingml/2006/picture">
                      <pic:pic xmlns:pic="http://schemas.openxmlformats.org/drawingml/2006/picture">
                        <pic:nvPicPr>
                          <pic:cNvPr id="138" name="Picture_1_SpCnt_12"/>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立式四门冷藏柜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1220*750*2200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电源：220V/50HZ，输入功率：405W，电流：2.5A，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温度范围:  -6～12℃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1、内外箱均为SUS304不锈钢板；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2、使用优质压缩机，全铜管冷凝器、蒸发器；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6480" behindDoc="0" locked="0" layoutInCell="1" allowOverlap="1">
                  <wp:simplePos x="0" y="0"/>
                  <wp:positionH relativeFrom="column">
                    <wp:posOffset>-1158240</wp:posOffset>
                  </wp:positionH>
                  <wp:positionV relativeFrom="paragraph">
                    <wp:posOffset>757555</wp:posOffset>
                  </wp:positionV>
                  <wp:extent cx="619125" cy="828675"/>
                  <wp:effectExtent l="0" t="0" r="9525" b="9525"/>
                  <wp:wrapNone/>
                  <wp:docPr id="139" name="Picture_91"/>
                  <wp:cNvGraphicFramePr/>
                  <a:graphic xmlns:a="http://schemas.openxmlformats.org/drawingml/2006/main">
                    <a:graphicData uri="http://schemas.openxmlformats.org/drawingml/2006/picture">
                      <pic:pic xmlns:pic="http://schemas.openxmlformats.org/drawingml/2006/picture">
                        <pic:nvPicPr>
                          <pic:cNvPr id="139" name="Picture_91"/>
                          <pic:cNvPicPr/>
                        </pic:nvPicPr>
                        <pic:blipFill>
                          <a:blip r:embed="rId55"/>
                          <a:stretch>
                            <a:fillRect/>
                          </a:stretch>
                        </pic:blipFill>
                        <pic:spPr>
                          <a:xfrm>
                            <a:off x="0" y="0"/>
                            <a:ext cx="619125" cy="828675"/>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3、配备强制蒸发装置，自动蒸发化霜水；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4、一体式发泡工艺，整体平整、耐用；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5、产品能在43℃的环境温度下正常工作；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6、置于箱体内部的高效防露加热丝，能有效防止门框结露、滴水，保证客户的使用效果和环境卫生；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7、冰箱配备了门体自动关闭结构，方便客户操作。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容积：≥880L</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8、尺寸偏差控制在±10mm内，超出范围内属于负偏离项</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7504" behindDoc="0" locked="0" layoutInCell="1" allowOverlap="1">
                  <wp:simplePos x="0" y="0"/>
                  <wp:positionH relativeFrom="column">
                    <wp:posOffset>211455</wp:posOffset>
                  </wp:positionH>
                  <wp:positionV relativeFrom="paragraph">
                    <wp:posOffset>99695</wp:posOffset>
                  </wp:positionV>
                  <wp:extent cx="527685" cy="633730"/>
                  <wp:effectExtent l="0" t="0" r="5715" b="13970"/>
                  <wp:wrapNone/>
                  <wp:docPr id="140" name="Picture_92"/>
                  <wp:cNvGraphicFramePr/>
                  <a:graphic xmlns:a="http://schemas.openxmlformats.org/drawingml/2006/main">
                    <a:graphicData uri="http://schemas.openxmlformats.org/drawingml/2006/picture">
                      <pic:pic xmlns:pic="http://schemas.openxmlformats.org/drawingml/2006/picture">
                        <pic:nvPicPr>
                          <pic:cNvPr id="140" name="Picture_92"/>
                          <pic:cNvPicPr/>
                        </pic:nvPicPr>
                        <pic:blipFill>
                          <a:blip r:embed="rId56"/>
                          <a:stretch>
                            <a:fillRect/>
                          </a:stretch>
                        </pic:blipFill>
                        <pic:spPr>
                          <a:xfrm>
                            <a:off x="0" y="0"/>
                            <a:ext cx="527685" cy="63373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双向工作台柜（移门）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8528" behindDoc="0" locked="0" layoutInCell="1" allowOverlap="1">
                  <wp:simplePos x="0" y="0"/>
                  <wp:positionH relativeFrom="column">
                    <wp:posOffset>85725</wp:posOffset>
                  </wp:positionH>
                  <wp:positionV relativeFrom="paragraph">
                    <wp:posOffset>152400</wp:posOffset>
                  </wp:positionV>
                  <wp:extent cx="790575" cy="638175"/>
                  <wp:effectExtent l="0" t="0" r="9525" b="9525"/>
                  <wp:wrapNone/>
                  <wp:docPr id="141" name="Picture_93"/>
                  <wp:cNvGraphicFramePr/>
                  <a:graphic xmlns:a="http://schemas.openxmlformats.org/drawingml/2006/main">
                    <a:graphicData uri="http://schemas.openxmlformats.org/drawingml/2006/picture">
                      <pic:pic xmlns:pic="http://schemas.openxmlformats.org/drawingml/2006/picture">
                        <pic:nvPicPr>
                          <pic:cNvPr id="141" name="Picture_93"/>
                          <pic:cNvPicPr/>
                        </pic:nvPicPr>
                        <pic:blipFill>
                          <a:blip r:embed="rId57"/>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—门外板、柜内层板、底板、侧板厚1.0㎜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69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双向工作台柜连水池（移门）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99552"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142" name="Picture_94"/>
                  <wp:cNvGraphicFramePr/>
                  <a:graphic xmlns:a="http://schemas.openxmlformats.org/drawingml/2006/main">
                    <a:graphicData uri="http://schemas.openxmlformats.org/drawingml/2006/picture">
                      <pic:pic xmlns:pic="http://schemas.openxmlformats.org/drawingml/2006/picture">
                        <pic:nvPicPr>
                          <pic:cNvPr id="142" name="Picture_94"/>
                          <pic:cNvPicPr/>
                        </pic:nvPicPr>
                        <pic:blipFill>
                          <a:blip r:embed="rId58"/>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—门外板、柜内层板、底板、侧板厚1.0㎜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00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057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43" name="Picture_1_SpCnt_13"/>
                  <wp:cNvGraphicFramePr/>
                  <a:graphic xmlns:a="http://schemas.openxmlformats.org/drawingml/2006/main">
                    <a:graphicData uri="http://schemas.openxmlformats.org/drawingml/2006/picture">
                      <pic:pic xmlns:pic="http://schemas.openxmlformats.org/drawingml/2006/picture">
                        <pic:nvPicPr>
                          <pic:cNvPr id="143" name="Picture_1_SpCnt_13"/>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港式料台水池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≥500*1100*800/1050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1600" behindDoc="0" locked="0" layoutInCell="1" allowOverlap="1">
                  <wp:simplePos x="0" y="0"/>
                  <wp:positionH relativeFrom="column">
                    <wp:posOffset>85725</wp:posOffset>
                  </wp:positionH>
                  <wp:positionV relativeFrom="paragraph">
                    <wp:posOffset>66675</wp:posOffset>
                  </wp:positionV>
                  <wp:extent cx="790575" cy="819150"/>
                  <wp:effectExtent l="0" t="0" r="9525" b="0"/>
                  <wp:wrapNone/>
                  <wp:docPr id="144" name="Picture_95"/>
                  <wp:cNvGraphicFramePr/>
                  <a:graphic xmlns:a="http://schemas.openxmlformats.org/drawingml/2006/main">
                    <a:graphicData uri="http://schemas.openxmlformats.org/drawingml/2006/picture">
                      <pic:pic xmlns:pic="http://schemas.openxmlformats.org/drawingml/2006/picture">
                        <pic:nvPicPr>
                          <pic:cNvPr id="144" name="Picture_95"/>
                          <pic:cNvPicPr/>
                        </pic:nvPicPr>
                        <pic:blipFill>
                          <a:blip r:embed="rId59"/>
                          <a:stretch>
                            <a:fillRect/>
                          </a:stretch>
                        </pic:blipFill>
                        <pic:spPr>
                          <a:xfrm>
                            <a:off x="0" y="0"/>
                            <a:ext cx="790575" cy="8191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—后挡板、前围板厚≥1.0mm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—星盆冲压一体成型规格：≥400*400*280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2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2624"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45" name="Picture_1_SpCnt_14"/>
                  <wp:cNvGraphicFramePr/>
                  <a:graphic xmlns:a="http://schemas.openxmlformats.org/drawingml/2006/main">
                    <a:graphicData uri="http://schemas.openxmlformats.org/drawingml/2006/picture">
                      <pic:pic xmlns:pic="http://schemas.openxmlformats.org/drawingml/2006/picture">
                        <pic:nvPicPr>
                          <pic:cNvPr id="145" name="Picture_1_SpCnt_14"/>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7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可倾燃气汤锅 （200L）</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≥1430*1040*1035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3648" behindDoc="0" locked="0" layoutInCell="1" allowOverlap="1">
                  <wp:simplePos x="0" y="0"/>
                  <wp:positionH relativeFrom="column">
                    <wp:posOffset>85725</wp:posOffset>
                  </wp:positionH>
                  <wp:positionV relativeFrom="paragraph">
                    <wp:posOffset>161925</wp:posOffset>
                  </wp:positionV>
                  <wp:extent cx="790575" cy="628650"/>
                  <wp:effectExtent l="0" t="0" r="9525" b="0"/>
                  <wp:wrapNone/>
                  <wp:docPr id="146" name="Picture_96"/>
                  <wp:cNvGraphicFramePr/>
                  <a:graphic xmlns:a="http://schemas.openxmlformats.org/drawingml/2006/main">
                    <a:graphicData uri="http://schemas.openxmlformats.org/drawingml/2006/picture">
                      <pic:pic xmlns:pic="http://schemas.openxmlformats.org/drawingml/2006/picture">
                        <pic:nvPicPr>
                          <pic:cNvPr id="146" name="Picture_96"/>
                          <pic:cNvPicPr/>
                        </pic:nvPicPr>
                        <pic:blipFill>
                          <a:blip r:embed="rId60"/>
                          <a:stretch>
                            <a:fillRect/>
                          </a:stretch>
                        </pic:blipFill>
                        <pic:spPr>
                          <a:xfrm>
                            <a:off x="0" y="0"/>
                            <a:ext cx="790575" cy="6286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^锅体可倾，方便出料，清洗方便；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内锅口径：φ800mm，电功率：65w/220v符合GB3584802018标准，热负荷：42kw，热效率：64％，燃气耗量：天然气4.2m3/h液化气3kg/h标配燃气管：DN25,L=400mm；标配进水管：DN20,L=400mm，^适用于煲汤，熬煮粥、煮水饺、面条及食物的氽水；^燃气和空气混合后通过鼓风机强力射出，噪音低，热效率高；^全不锈钢制造，外形美观，结构紧凑；</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料台平板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≥500*1100*800/1050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4672" behindDoc="0" locked="0" layoutInCell="1" allowOverlap="1">
                  <wp:simplePos x="0" y="0"/>
                  <wp:positionH relativeFrom="column">
                    <wp:posOffset>152400</wp:posOffset>
                  </wp:positionH>
                  <wp:positionV relativeFrom="paragraph">
                    <wp:posOffset>132715</wp:posOffset>
                  </wp:positionV>
                  <wp:extent cx="608965" cy="635000"/>
                  <wp:effectExtent l="0" t="0" r="635" b="12700"/>
                  <wp:wrapNone/>
                  <wp:docPr id="147" name="Picture_97"/>
                  <wp:cNvGraphicFramePr/>
                  <a:graphic xmlns:a="http://schemas.openxmlformats.org/drawingml/2006/main">
                    <a:graphicData uri="http://schemas.openxmlformats.org/drawingml/2006/picture">
                      <pic:pic xmlns:pic="http://schemas.openxmlformats.org/drawingml/2006/picture">
                        <pic:nvPicPr>
                          <pic:cNvPr id="147" name="Picture_97"/>
                          <pic:cNvPicPr/>
                        </pic:nvPicPr>
                        <pic:blipFill>
                          <a:blip r:embed="rId61"/>
                          <a:stretch>
                            <a:fillRect/>
                          </a:stretch>
                        </pic:blipFill>
                        <pic:spPr>
                          <a:xfrm>
                            <a:off x="0" y="0"/>
                            <a:ext cx="608965" cy="635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—台面板厚≥1.2mm，后挡板、前围板厚≥1.0mm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27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b/>
                <w:bCs/>
                <w:color w:val="auto"/>
                <w:kern w:val="0"/>
                <w:sz w:val="20"/>
                <w:szCs w:val="20"/>
                <w:highlight w:val="none"/>
                <w:lang w:bidi="ar"/>
              </w:rPr>
              <w:t xml:space="preserve">炊用燃气大锅灶（双眼大锅灶） </w:t>
            </w:r>
            <w:r>
              <w:rPr>
                <w:rFonts w:hint="eastAsia" w:ascii="宋体" w:hAnsi="宋体" w:cs="宋体"/>
                <w:b/>
                <w:bCs/>
                <w:color w:val="auto"/>
                <w:kern w:val="0"/>
                <w:sz w:val="20"/>
                <w:szCs w:val="20"/>
                <w:highlight w:val="none"/>
                <w:u w:val="single"/>
                <w:lang w:bidi="ar"/>
              </w:rPr>
              <w:t>要求提样品</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≥2000*1100*800/1050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5696" behindDoc="0" locked="0" layoutInCell="1" allowOverlap="1">
                  <wp:simplePos x="0" y="0"/>
                  <wp:positionH relativeFrom="column">
                    <wp:posOffset>85725</wp:posOffset>
                  </wp:positionH>
                  <wp:positionV relativeFrom="paragraph">
                    <wp:posOffset>1006475</wp:posOffset>
                  </wp:positionV>
                  <wp:extent cx="790575" cy="542925"/>
                  <wp:effectExtent l="0" t="0" r="9525" b="9525"/>
                  <wp:wrapNone/>
                  <wp:docPr id="148" name="Picture_98"/>
                  <wp:cNvGraphicFramePr/>
                  <a:graphic xmlns:a="http://schemas.openxmlformats.org/drawingml/2006/main">
                    <a:graphicData uri="http://schemas.openxmlformats.org/drawingml/2006/picture">
                      <pic:pic xmlns:pic="http://schemas.openxmlformats.org/drawingml/2006/picture">
                        <pic:nvPicPr>
                          <pic:cNvPr id="148" name="Picture_98"/>
                          <pic:cNvPicPr/>
                        </pic:nvPicPr>
                        <pic:blipFill>
                          <a:blip r:embed="rId62"/>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—炉面采用冲压面板，板厚1.2mm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—开关板、后档板、水槽盖板厚0.8mm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—炉底部分用2.5mm厚铁板或高强度镀锌板折弯加强筋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—主体骨架用高强度镀锌板折弯框架结构制作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—φ63mm不锈钢炉脚，内衬2"钢管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—配φ760mm生铁大锅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—冷水摇摆龙头，背板冷却水装置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—电子点火，高效节能不锈钢炉头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—风机电压：220V/50HZ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—燃气熄火保护装置及燃气管路稳压装置</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5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中餐燃气炒菜灶（两眼一汤炒灶）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≥1800*1100*800/1050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6720" behindDoc="0" locked="0" layoutInCell="1" allowOverlap="1">
                  <wp:simplePos x="0" y="0"/>
                  <wp:positionH relativeFrom="column">
                    <wp:posOffset>85725</wp:posOffset>
                  </wp:positionH>
                  <wp:positionV relativeFrom="paragraph">
                    <wp:posOffset>1365250</wp:posOffset>
                  </wp:positionV>
                  <wp:extent cx="790575" cy="542925"/>
                  <wp:effectExtent l="0" t="0" r="9525" b="9525"/>
                  <wp:wrapNone/>
                  <wp:docPr id="149" name="Picture_99"/>
                  <wp:cNvGraphicFramePr/>
                  <a:graphic xmlns:a="http://schemas.openxmlformats.org/drawingml/2006/main">
                    <a:graphicData uri="http://schemas.openxmlformats.org/drawingml/2006/picture">
                      <pic:pic xmlns:pic="http://schemas.openxmlformats.org/drawingml/2006/picture">
                        <pic:nvPicPr>
                          <pic:cNvPr id="149" name="Picture_99"/>
                          <pic:cNvPicPr/>
                        </pic:nvPicPr>
                        <pic:blipFill>
                          <a:blip r:embed="rId63"/>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—炉面采用冲压面板，板厚1.2mm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—开关板、后档板、水槽盖板厚0.8mm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—炉膛采用保温隔热措施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—主体骨架用高强度镀锌板折弯组装框架结构制作(无焊接）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—φ63mm不锈钢炉脚，内衬2"钢管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—配φ320mm铸造灶圈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—汤罐φ250mm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—冷水摇摆龙头，背板冷却水装置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—电子点火，高效节能不锈钢炉头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—风机功率：220V/50HZ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180W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—燃气熄火保护装置及燃气管路稳压装置</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9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过滤式油网烟罩(前置新风）</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≥14600*1600*500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7744" behindDoc="0" locked="0" layoutInCell="1" allowOverlap="1">
                  <wp:simplePos x="0" y="0"/>
                  <wp:positionH relativeFrom="column">
                    <wp:posOffset>85725</wp:posOffset>
                  </wp:positionH>
                  <wp:positionV relativeFrom="paragraph">
                    <wp:posOffset>285750</wp:posOffset>
                  </wp:positionV>
                  <wp:extent cx="790575" cy="381000"/>
                  <wp:effectExtent l="0" t="0" r="9525" b="0"/>
                  <wp:wrapNone/>
                  <wp:docPr id="150" name="Picture_100"/>
                  <wp:cNvGraphicFramePr/>
                  <a:graphic xmlns:a="http://schemas.openxmlformats.org/drawingml/2006/main">
                    <a:graphicData uri="http://schemas.openxmlformats.org/drawingml/2006/picture">
                      <pic:pic xmlns:pic="http://schemas.openxmlformats.org/drawingml/2006/picture">
                        <pic:nvPicPr>
                          <pic:cNvPr id="150" name="Picture_100"/>
                          <pic:cNvPicPr/>
                        </pic:nvPicPr>
                        <pic:blipFill>
                          <a:blip r:embed="rId64"/>
                          <a:stretch>
                            <a:fillRect/>
                          </a:stretch>
                        </pic:blipFill>
                        <pic:spPr>
                          <a:xfrm>
                            <a:off x="0" y="0"/>
                            <a:ext cx="790575" cy="381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—配LED防雾烟罩灯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—灯罩玻璃采用钢化处理，压板及各加强档厚1.5mm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—前板、左右端板厚1.2mm，后板厚1.2mm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—沥油板加强片厚1.2mm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—左右小侧板、LED固定板、顶板、前网板厚≥1.0mm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—配LED灯照明，前置双涡流静音稳压新风机，220V/250W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—播风口采用abs塑料，可多角度调节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—烟罩三侧配置旋流导流孔，集烟更方便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—UV灯、控制器及风机排烟风管另计</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23.4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9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厨房灭火系统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保护5-10米</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功能组成 1. 自动机械控制箱(或副箱)；2. 药剂罐(根据各保护距离配置)；3. 氮气瓶（启动源）；；5.探测器(感温熔断片)；6. 喷嘴及喷嘴帽；7. 远距离控制手拉开关；8. 灭火药剂为食用油专用灭火药剂，该药剂应无毒、无污染、易清洗，需满足以下要求：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1、具有水冷却功能的装置，在灭火剂完全喷射后，水流联动阀立即</w:t>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8768" behindDoc="0" locked="0" layoutInCell="1" allowOverlap="1">
                  <wp:simplePos x="0" y="0"/>
                  <wp:positionH relativeFrom="column">
                    <wp:posOffset>-1084580</wp:posOffset>
                  </wp:positionH>
                  <wp:positionV relativeFrom="paragraph">
                    <wp:posOffset>292735</wp:posOffset>
                  </wp:positionV>
                  <wp:extent cx="714375" cy="828675"/>
                  <wp:effectExtent l="0" t="0" r="9525" b="9525"/>
                  <wp:wrapNone/>
                  <wp:docPr id="151" name="Picture_102"/>
                  <wp:cNvGraphicFramePr/>
                  <a:graphic xmlns:a="http://schemas.openxmlformats.org/drawingml/2006/main">
                    <a:graphicData uri="http://schemas.openxmlformats.org/drawingml/2006/picture">
                      <pic:pic xmlns:pic="http://schemas.openxmlformats.org/drawingml/2006/picture">
                        <pic:nvPicPr>
                          <pic:cNvPr id="151" name="Picture_102"/>
                          <pic:cNvPicPr/>
                        </pic:nvPicPr>
                        <pic:blipFill>
                          <a:blip r:embed="rId65"/>
                          <a:stretch>
                            <a:fillRect/>
                          </a:stretch>
                        </pic:blipFill>
                        <pic:spPr>
                          <a:xfrm>
                            <a:off x="0" y="0"/>
                            <a:ext cx="714375" cy="828675"/>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 xml:space="preserve">启动；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2</w:t>
            </w:r>
            <w:r>
              <w:rPr>
                <w:rFonts w:hint="eastAsia" w:ascii="宋体" w:hAnsi="宋体" w:cs="宋体"/>
                <w:color w:val="auto"/>
                <w:kern w:val="0"/>
                <w:sz w:val="20"/>
                <w:szCs w:val="20"/>
                <w:highlight w:val="none"/>
                <w:lang w:bidi="ar"/>
              </w:rPr>
              <w:t>、灭火系统具有自动启动、手动启动、机械启动功能，且不会复燃，能提供消防中控信号及燃气切断功能信号。</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3</w:t>
            </w:r>
            <w:r>
              <w:rPr>
                <w:rFonts w:hint="eastAsia" w:ascii="宋体" w:hAnsi="宋体" w:cs="宋体"/>
                <w:color w:val="auto"/>
                <w:kern w:val="0"/>
                <w:sz w:val="20"/>
                <w:szCs w:val="20"/>
                <w:highlight w:val="none"/>
                <w:lang w:bidi="ar"/>
              </w:rPr>
              <w:t>、联动性能，自动切换时间≤0.5秒，喷射延迟时间≤1秒。</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4</w:t>
            </w:r>
            <w:r>
              <w:rPr>
                <w:rFonts w:hint="eastAsia" w:ascii="宋体" w:hAnsi="宋体" w:cs="宋体"/>
                <w:color w:val="auto"/>
                <w:kern w:val="0"/>
                <w:sz w:val="20"/>
                <w:szCs w:val="20"/>
                <w:highlight w:val="none"/>
                <w:lang w:bidi="ar"/>
              </w:rPr>
              <w:t>、喷嘴数量：单瓶组喷嘴数量≥10只，双瓶组喷嘴数量≥18只</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5</w:t>
            </w:r>
            <w:r>
              <w:rPr>
                <w:rFonts w:hint="eastAsia" w:ascii="宋体" w:hAnsi="宋体" w:cs="宋体"/>
                <w:color w:val="auto"/>
                <w:kern w:val="0"/>
                <w:sz w:val="20"/>
                <w:szCs w:val="20"/>
                <w:highlight w:val="none"/>
                <w:lang w:bidi="ar"/>
              </w:rPr>
              <w:t>、灭火装置所用氮气阀须为H59铜材质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可调释放装置应与火灾报警系统一起联动协调运作。热熔断片的选择和安装需根据通风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系统中的操作温度而定。保险丝的设定温度如下：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热熔断片设定温度使用在工作温度不能超过下列: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138℃ 107℃</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183℃ 143℃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232℃ 182℃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保险丝应该由监控器支架/连接装置来支撑，导线管和不锈钢丝的方向改变应由压铸的铝合金滑轮及90 度弯节来达成。</w:t>
            </w:r>
          </w:p>
          <w:p>
            <w:pPr>
              <w:widowControl/>
              <w:jc w:val="left"/>
              <w:textAlignment w:val="top"/>
              <w:rPr>
                <w:rFonts w:hint="eastAsia" w:ascii="宋体" w:hAnsi="宋体" w:eastAsia="宋体" w:cs="宋体"/>
                <w:color w:val="auto"/>
                <w:sz w:val="20"/>
                <w:szCs w:val="20"/>
                <w:highlight w:val="none"/>
                <w:lang w:eastAsia="zh-CN"/>
              </w:rPr>
            </w:pPr>
            <w:r>
              <w:rPr>
                <w:rFonts w:hint="eastAsia" w:ascii="宋体" w:hAnsi="宋体" w:cs="宋体"/>
                <w:b/>
                <w:bCs/>
                <w:color w:val="auto"/>
                <w:kern w:val="0"/>
                <w:sz w:val="20"/>
                <w:szCs w:val="20"/>
                <w:highlight w:val="none"/>
                <w:lang w:bidi="ar"/>
              </w:rPr>
              <w:t>投标时需承诺中标后提供灭火系统及控制箱相关检测报告</w:t>
            </w:r>
            <w:r>
              <w:rPr>
                <w:rFonts w:hint="eastAsia" w:ascii="宋体" w:hAnsi="宋体" w:cs="宋体"/>
                <w:b/>
                <w:bCs/>
                <w:color w:val="auto"/>
                <w:kern w:val="0"/>
                <w:sz w:val="20"/>
                <w:szCs w:val="20"/>
                <w:highlight w:val="none"/>
                <w:lang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单星大盆台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09792" behindDoc="0" locked="0" layoutInCell="1" allowOverlap="1">
                  <wp:simplePos x="0" y="0"/>
                  <wp:positionH relativeFrom="column">
                    <wp:posOffset>85725</wp:posOffset>
                  </wp:positionH>
                  <wp:positionV relativeFrom="paragraph">
                    <wp:posOffset>133350</wp:posOffset>
                  </wp:positionV>
                  <wp:extent cx="790575" cy="694690"/>
                  <wp:effectExtent l="0" t="0" r="9525" b="10160"/>
                  <wp:wrapNone/>
                  <wp:docPr id="152" name="Picture_104"/>
                  <wp:cNvGraphicFramePr/>
                  <a:graphic xmlns:a="http://schemas.openxmlformats.org/drawingml/2006/main">
                    <a:graphicData uri="http://schemas.openxmlformats.org/drawingml/2006/picture">
                      <pic:pic xmlns:pic="http://schemas.openxmlformats.org/drawingml/2006/picture">
                        <pic:nvPicPr>
                          <pic:cNvPr id="152" name="Picture_104"/>
                          <pic:cNvPicPr/>
                        </pic:nvPicPr>
                        <pic:blipFill>
                          <a:blip r:embed="rId66"/>
                          <a:stretch>
                            <a:fillRect/>
                          </a:stretch>
                        </pic:blipFill>
                        <pic:spPr>
                          <a:xfrm>
                            <a:off x="0" y="0"/>
                            <a:ext cx="790575" cy="69469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—水斗规格：≥1000*500*280mm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98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081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53" name="Picture_1_SpCnt_15"/>
                  <wp:cNvGraphicFramePr/>
                  <a:graphic xmlns:a="http://schemas.openxmlformats.org/drawingml/2006/main">
                    <a:graphicData uri="http://schemas.openxmlformats.org/drawingml/2006/picture">
                      <pic:pic xmlns:pic="http://schemas.openxmlformats.org/drawingml/2006/picture">
                        <pic:nvPicPr>
                          <pic:cNvPr id="153" name="Picture_1_SpCnt_15"/>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49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过滤式油网烟罩(前置新风）</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≥5300*1600*500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1840" behindDoc="0" locked="0" layoutInCell="1" allowOverlap="1">
                  <wp:simplePos x="0" y="0"/>
                  <wp:positionH relativeFrom="column">
                    <wp:posOffset>85725</wp:posOffset>
                  </wp:positionH>
                  <wp:positionV relativeFrom="paragraph">
                    <wp:posOffset>285750</wp:posOffset>
                  </wp:positionV>
                  <wp:extent cx="790575" cy="381000"/>
                  <wp:effectExtent l="0" t="0" r="9525" b="0"/>
                  <wp:wrapNone/>
                  <wp:docPr id="154" name="Picture_105"/>
                  <wp:cNvGraphicFramePr/>
                  <a:graphic xmlns:a="http://schemas.openxmlformats.org/drawingml/2006/main">
                    <a:graphicData uri="http://schemas.openxmlformats.org/drawingml/2006/picture">
                      <pic:pic xmlns:pic="http://schemas.openxmlformats.org/drawingml/2006/picture">
                        <pic:nvPicPr>
                          <pic:cNvPr id="154" name="Picture_105"/>
                          <pic:cNvPicPr/>
                        </pic:nvPicPr>
                        <pic:blipFill>
                          <a:blip r:embed="rId64"/>
                          <a:stretch>
                            <a:fillRect/>
                          </a:stretch>
                        </pic:blipFill>
                        <pic:spPr>
                          <a:xfrm>
                            <a:off x="0" y="0"/>
                            <a:ext cx="790575" cy="381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—配LED防雾烟罩灯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—灯罩玻璃采用钢化处理，压板及各加强档厚1.5mm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—前板、左右端板厚1.2mm，后板厚1.2mm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—沥油板加强片厚1.2mm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—左右小侧板、LED固定板、顶板、前网板厚≥1.0mm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—配LED灯照明，前置双涡流静音稳压新风机，220V/250W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—播风口采用abs塑料，可多角度调节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—烟罩三侧配置旋流导流孔，集烟更方便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—UV灯、控制器及风机排烟风管另计</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8.5</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01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广式双门100KG燃气蒸饭箱</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≥1200*880*1780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2864" behindDoc="0" locked="0" layoutInCell="1" allowOverlap="1">
                  <wp:simplePos x="0" y="0"/>
                  <wp:positionH relativeFrom="column">
                    <wp:posOffset>133350</wp:posOffset>
                  </wp:positionH>
                  <wp:positionV relativeFrom="paragraph">
                    <wp:posOffset>1265555</wp:posOffset>
                  </wp:positionV>
                  <wp:extent cx="695325" cy="828675"/>
                  <wp:effectExtent l="0" t="0" r="9525" b="9525"/>
                  <wp:wrapNone/>
                  <wp:docPr id="155" name="Picture_106"/>
                  <wp:cNvGraphicFramePr/>
                  <a:graphic xmlns:a="http://schemas.openxmlformats.org/drawingml/2006/main">
                    <a:graphicData uri="http://schemas.openxmlformats.org/drawingml/2006/picture">
                      <pic:pic xmlns:pic="http://schemas.openxmlformats.org/drawingml/2006/picture">
                        <pic:nvPicPr>
                          <pic:cNvPr id="155" name="Picture_106"/>
                          <pic:cNvPicPr/>
                        </pic:nvPicPr>
                        <pic:blipFill>
                          <a:blip r:embed="rId6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—上箱前框面板厚1.2mm，侧板、内桶厚1.0mm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—水胆主体厚1.2mm，燃烧火管φ32*2.5mm的304无缝管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—门外板厚1.2㎜，门内板厚0.8㎜</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—下箱采用优质不锈钢方管框架结构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—ф63mm不锈钢炉脚，内衬2"钢管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—内置2*12蒸饭格（可放置2*12个蒸饭盘）</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—配饭铲、分饭器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—采用不锈钢火排炉头，电子自动点火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—采用静音耐高温强排风机：220V//50HZ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—配自动进水及防干烧系统，和风压监测保护系统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—配燃气熄火保护装置及燃气管路稳压装置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—密封条采用食品级硅胶条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—门采用不锈钢双把手</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冲压饭盘</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≥620*415*50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3888" behindDoc="0" locked="0" layoutInCell="1" allowOverlap="1">
                  <wp:simplePos x="0" y="0"/>
                  <wp:positionH relativeFrom="column">
                    <wp:posOffset>85725</wp:posOffset>
                  </wp:positionH>
                  <wp:positionV relativeFrom="paragraph">
                    <wp:posOffset>257175</wp:posOffset>
                  </wp:positionV>
                  <wp:extent cx="790575" cy="438150"/>
                  <wp:effectExtent l="0" t="0" r="9525" b="0"/>
                  <wp:wrapNone/>
                  <wp:docPr id="156" name="Picture_117"/>
                  <wp:cNvGraphicFramePr/>
                  <a:graphic xmlns:a="http://schemas.openxmlformats.org/drawingml/2006/main">
                    <a:graphicData uri="http://schemas.openxmlformats.org/drawingml/2006/picture">
                      <pic:pic xmlns:pic="http://schemas.openxmlformats.org/drawingml/2006/picture">
                        <pic:nvPicPr>
                          <pic:cNvPr id="156" name="Picture_117"/>
                          <pic:cNvPicPr/>
                        </pic:nvPicPr>
                        <pic:blipFill>
                          <a:blip r:embed="rId68"/>
                          <a:stretch>
                            <a:fillRect/>
                          </a:stretch>
                        </pic:blipFill>
                        <pic:spPr>
                          <a:xfrm>
                            <a:off x="0" y="0"/>
                            <a:ext cx="790575" cy="4381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—采用全SUS304板材制造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—板厚0.7mm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一800T液压机一体冲压成型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一冲压内腔尺寸：580*375mm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5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三门燃气蒸柜（配电磁阀）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≥900*880*1850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4912" behindDoc="0" locked="0" layoutInCell="1" allowOverlap="1">
                  <wp:simplePos x="0" y="0"/>
                  <wp:positionH relativeFrom="column">
                    <wp:posOffset>171450</wp:posOffset>
                  </wp:positionH>
                  <wp:positionV relativeFrom="paragraph">
                    <wp:posOffset>66675</wp:posOffset>
                  </wp:positionV>
                  <wp:extent cx="628650" cy="828675"/>
                  <wp:effectExtent l="0" t="0" r="0" b="9525"/>
                  <wp:wrapNone/>
                  <wp:docPr id="157" name="Picture_107"/>
                  <wp:cNvGraphicFramePr/>
                  <a:graphic xmlns:a="http://schemas.openxmlformats.org/drawingml/2006/main">
                    <a:graphicData uri="http://schemas.openxmlformats.org/drawingml/2006/picture">
                      <pic:pic xmlns:pic="http://schemas.openxmlformats.org/drawingml/2006/picture">
                        <pic:nvPicPr>
                          <pic:cNvPr id="157" name="Picture_107"/>
                          <pic:cNvPicPr/>
                        </pic:nvPicPr>
                        <pic:blipFill>
                          <a:blip r:embed="rId69"/>
                          <a:stretch>
                            <a:fillRect/>
                          </a:stretch>
                        </pic:blipFill>
                        <pic:spPr>
                          <a:xfrm>
                            <a:off x="0" y="0"/>
                            <a:ext cx="62865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—门面采用1.2mm304,围板及操作面板采用1.0mm304</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—水箱采用1.5mm304模具成型加工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—使用不锈钢火炬炉头，无风机，低噪音（≤45分贝）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—采用稳压双联电磁阀控制，自带熄火保护，设置常明火种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—设置防干烧保护装置，干烧会直接切断燃气阀门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—蒸发器烟道采用高温废气余热利用装置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—功率：220V/50HZ，热负荷40KW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—配燃气管路稳压装置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—密封条采用食品级硅胶条</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双头矮汤炉</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≥1300*750*500+770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5936" behindDoc="0" locked="0" layoutInCell="1" allowOverlap="1">
                  <wp:simplePos x="0" y="0"/>
                  <wp:positionH relativeFrom="column">
                    <wp:posOffset>171450</wp:posOffset>
                  </wp:positionH>
                  <wp:positionV relativeFrom="paragraph">
                    <wp:posOffset>9525</wp:posOffset>
                  </wp:positionV>
                  <wp:extent cx="685800" cy="683260"/>
                  <wp:effectExtent l="0" t="0" r="0" b="2540"/>
                  <wp:wrapNone/>
                  <wp:docPr id="158" name="Picture_109"/>
                  <wp:cNvGraphicFramePr/>
                  <a:graphic xmlns:a="http://schemas.openxmlformats.org/drawingml/2006/main">
                    <a:graphicData uri="http://schemas.openxmlformats.org/drawingml/2006/picture">
                      <pic:pic xmlns:pic="http://schemas.openxmlformats.org/drawingml/2006/picture">
                        <pic:nvPicPr>
                          <pic:cNvPr id="158" name="Picture_109"/>
                          <pic:cNvPicPr/>
                        </pic:nvPicPr>
                        <pic:blipFill>
                          <a:blip r:embed="rId70"/>
                          <a:stretch>
                            <a:fillRect/>
                          </a:stretch>
                        </pic:blipFill>
                        <pic:spPr>
                          <a:xfrm>
                            <a:off x="0" y="0"/>
                            <a:ext cx="685800" cy="68326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12KW*2/380V   标配两只直径500mm容量98L汤桶  磁控直滑式火力调节，5档；60L水，31分钟烧开；5-7度电/小时   实时显示实际输出功率，用电量；故障信息中文显示；可选配（高配款）：定时关、预约开、定温、编程烹饪功能；必须安装带全极断开装置（漏电保护开关）的独立电源；三相四线制；国标6平方线径。进水接口：标配1/2内牙接口的软水管；离地高度：180mm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8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双斗双边沥水筋星盆柜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≥2100*600*820/880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6960" behindDoc="0" locked="0" layoutInCell="1" allowOverlap="1">
                  <wp:simplePos x="0" y="0"/>
                  <wp:positionH relativeFrom="column">
                    <wp:posOffset>50800</wp:posOffset>
                  </wp:positionH>
                  <wp:positionV relativeFrom="paragraph">
                    <wp:posOffset>295275</wp:posOffset>
                  </wp:positionV>
                  <wp:extent cx="819785" cy="428625"/>
                  <wp:effectExtent l="0" t="0" r="18415" b="9525"/>
                  <wp:wrapNone/>
                  <wp:docPr id="159" name="图片_251"/>
                  <wp:cNvGraphicFramePr/>
                  <a:graphic xmlns:a="http://schemas.openxmlformats.org/drawingml/2006/main">
                    <a:graphicData uri="http://schemas.openxmlformats.org/drawingml/2006/picture">
                      <pic:pic xmlns:pic="http://schemas.openxmlformats.org/drawingml/2006/picture">
                        <pic:nvPicPr>
                          <pic:cNvPr id="159" name="图片_251"/>
                          <pic:cNvPicPr/>
                        </pic:nvPicPr>
                        <pic:blipFill>
                          <a:blip r:embed="rId71"/>
                          <a:stretch>
                            <a:fillRect/>
                          </a:stretch>
                        </pic:blipFill>
                        <pic:spPr>
                          <a:xfrm>
                            <a:off x="0" y="0"/>
                            <a:ext cx="819785" cy="4286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—台面一体拉伸尺寸：2100mm*600mm，板厚1.0㎜，双边沥水筋拉伸成型：410mm*435mm，背板厚20mm，背板高60mm。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—配1.5″下水器，高位退水器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—水斗一体冲压规格：500*400*250，边下水，厚度1.0mm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—门轴开门结构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—底板、门外板厚1.0㎜，左右侧板、门内复板0.8mm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0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7984" behindDoc="0" locked="0" layoutInCell="1" allowOverlap="1">
                  <wp:simplePos x="0" y="0"/>
                  <wp:positionH relativeFrom="column">
                    <wp:posOffset>-948690</wp:posOffset>
                  </wp:positionH>
                  <wp:positionV relativeFrom="paragraph">
                    <wp:posOffset>230505</wp:posOffset>
                  </wp:positionV>
                  <wp:extent cx="790575" cy="590550"/>
                  <wp:effectExtent l="0" t="0" r="9525" b="0"/>
                  <wp:wrapNone/>
                  <wp:docPr id="160" name="Picture_1_SpCnt_16"/>
                  <wp:cNvGraphicFramePr/>
                  <a:graphic xmlns:a="http://schemas.openxmlformats.org/drawingml/2006/main">
                    <a:graphicData uri="http://schemas.openxmlformats.org/drawingml/2006/picture">
                      <pic:pic xmlns:pic="http://schemas.openxmlformats.org/drawingml/2006/picture">
                        <pic:nvPicPr>
                          <pic:cNvPr id="160" name="Picture_1_SpCnt_16"/>
                          <pic:cNvPicPr/>
                        </pic:nvPicPr>
                        <pic:blipFill>
                          <a:blip r:embed="rId27"/>
                          <a:stretch>
                            <a:fillRect/>
                          </a:stretch>
                        </pic:blipFill>
                        <pic:spPr>
                          <a:xfrm>
                            <a:off x="0" y="0"/>
                            <a:ext cx="790575" cy="590550"/>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9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商用物联智能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双炒双尾广式灶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≥2000*1200*800/1200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19008" behindDoc="0" locked="0" layoutInCell="1" allowOverlap="1">
                  <wp:simplePos x="0" y="0"/>
                  <wp:positionH relativeFrom="column">
                    <wp:posOffset>95250</wp:posOffset>
                  </wp:positionH>
                  <wp:positionV relativeFrom="paragraph">
                    <wp:posOffset>381000</wp:posOffset>
                  </wp:positionV>
                  <wp:extent cx="666750" cy="542925"/>
                  <wp:effectExtent l="0" t="0" r="0" b="9525"/>
                  <wp:wrapNone/>
                  <wp:docPr id="161" name="图片_252"/>
                  <wp:cNvGraphicFramePr/>
                  <a:graphic xmlns:a="http://schemas.openxmlformats.org/drawingml/2006/main">
                    <a:graphicData uri="http://schemas.openxmlformats.org/drawingml/2006/picture">
                      <pic:pic xmlns:pic="http://schemas.openxmlformats.org/drawingml/2006/picture">
                        <pic:nvPicPr>
                          <pic:cNvPr id="161" name="图片_252"/>
                          <pic:cNvPicPr/>
                        </pic:nvPicPr>
                        <pic:blipFill>
                          <a:blip r:embed="rId72"/>
                          <a:stretch>
                            <a:fillRect/>
                          </a:stretch>
                        </pic:blipFill>
                        <pic:spPr>
                          <a:xfrm>
                            <a:off x="0" y="0"/>
                            <a:ext cx="666750"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—台面板厚度1.2mm采用一体 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—背板、控制板厚1.0mm，侧板厚0.8mm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—主体骨架用高强度镀锌板折弯框架结构制作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—可拆卸φ63mm不锈钢炉脚，内衬2"钢管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—摇摆水龙头：4分接驳口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—屏幕显示区域和开关板区域外覆耐高温黑色烤漆钢化玻璃（显示区域玻璃尺寸2000*140，控制面板玻璃2000*150）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—出烟口（尺寸280*85*52）、φ39防水开关、48w小火直流风机和200w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—适用气体：天然气（1KPa&lt;输入燃气压力&lt;5KPa）；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—热效率≥47%（高于一级能效）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—高效节能炉头：多孔独立式侧出火设计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—节能铸钢炉膛；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—标配LED柔性硅胶线条灯：8W*2；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—防水开关：LED指示灯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12.6寸液晶屏,可显示管道燃气压力、当前档位、比例阀开启电流、风机转速、当日运行累计时间和总累计运行时间、燃气当日使用量和燃气总累计使用量、当前日期和时间、异常状态显示、当前网络连接状态、蓝牙调试连接状态、长明火状态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—电子点火功能；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—炉膛自动清扫功能；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—熄火保护功能：侧火种意外熄火时，主动关闭燃气截止阀，清扫后再点火，重复三次未点火成功，并报警提示；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—系统运行时间统计功能：自动计算当日系统运行时间和总系统运行时间，液晶屏显示并上传物联平台；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—历史故障履历功能：最多记录99条历史故障信息，可查看；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—标配WIFI联网功能:状态和数据可通过WIFI上传物联平台；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—标配蓝牙调试功能;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14.蒸煮区</w:t>
            </w: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89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洗米机连增压泵</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≥580*580*1100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0032" behindDoc="0" locked="0" layoutInCell="1" allowOverlap="1">
                  <wp:simplePos x="0" y="0"/>
                  <wp:positionH relativeFrom="column">
                    <wp:posOffset>261620</wp:posOffset>
                  </wp:positionH>
                  <wp:positionV relativeFrom="paragraph">
                    <wp:posOffset>151130</wp:posOffset>
                  </wp:positionV>
                  <wp:extent cx="365760" cy="603885"/>
                  <wp:effectExtent l="0" t="0" r="15240" b="5715"/>
                  <wp:wrapNone/>
                  <wp:docPr id="162" name="Picture_111"/>
                  <wp:cNvGraphicFramePr/>
                  <a:graphic xmlns:a="http://schemas.openxmlformats.org/drawingml/2006/main">
                    <a:graphicData uri="http://schemas.openxmlformats.org/drawingml/2006/picture">
                      <pic:pic xmlns:pic="http://schemas.openxmlformats.org/drawingml/2006/picture">
                        <pic:nvPicPr>
                          <pic:cNvPr id="162" name="Picture_111"/>
                          <pic:cNvPicPr/>
                        </pic:nvPicPr>
                        <pic:blipFill>
                          <a:blip r:embed="rId73"/>
                          <a:stretch>
                            <a:fillRect/>
                          </a:stretch>
                        </pic:blipFill>
                        <pic:spPr>
                          <a:xfrm>
                            <a:off x="0" y="0"/>
                            <a:ext cx="365760" cy="60388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—采用SUS 304-2B不锈钢板制造，厚度为1.2mm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—容量：50kg/次（8-10分钟）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采用自来水作为洗米机动力,自来水通过本产品的主体水阀进行加压,将大米送入U形洗米机管内腔进行冲洗,以其达到洗刷大米的效果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配置液体增压泵：370W,流量：2.2m3/h，杨程15m，进水管径：25mm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4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挂墙架（单层）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≥1200*300*80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1056" behindDoc="0" locked="0" layoutInCell="1" allowOverlap="1">
                  <wp:simplePos x="0" y="0"/>
                  <wp:positionH relativeFrom="column">
                    <wp:posOffset>163830</wp:posOffset>
                  </wp:positionH>
                  <wp:positionV relativeFrom="paragraph">
                    <wp:posOffset>64770</wp:posOffset>
                  </wp:positionV>
                  <wp:extent cx="586740" cy="222250"/>
                  <wp:effectExtent l="0" t="0" r="3810" b="6350"/>
                  <wp:wrapNone/>
                  <wp:docPr id="163" name="Picture_112"/>
                  <wp:cNvGraphicFramePr/>
                  <a:graphic xmlns:a="http://schemas.openxmlformats.org/drawingml/2006/main">
                    <a:graphicData uri="http://schemas.openxmlformats.org/drawingml/2006/picture">
                      <pic:pic xmlns:pic="http://schemas.openxmlformats.org/drawingml/2006/picture">
                        <pic:nvPicPr>
                          <pic:cNvPr id="163" name="Picture_112"/>
                          <pic:cNvPicPr/>
                        </pic:nvPicPr>
                        <pic:blipFill>
                          <a:blip r:embed="rId74"/>
                          <a:stretch>
                            <a:fillRect/>
                          </a:stretch>
                        </pic:blipFill>
                        <pic:spPr>
                          <a:xfrm>
                            <a:off x="0" y="0"/>
                            <a:ext cx="586740" cy="2222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—固定膨胀螺丝外套塑料装饰帽</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2080"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64" name="Picture_113"/>
                  <wp:cNvGraphicFramePr/>
                  <a:graphic xmlns:a="http://schemas.openxmlformats.org/drawingml/2006/main">
                    <a:graphicData uri="http://schemas.openxmlformats.org/drawingml/2006/picture">
                      <pic:pic xmlns:pic="http://schemas.openxmlformats.org/drawingml/2006/picture">
                        <pic:nvPicPr>
                          <pic:cNvPr id="164" name="Picture_113"/>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3104"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165" name="Picture_114"/>
                  <wp:cNvGraphicFramePr/>
                  <a:graphic xmlns:a="http://schemas.openxmlformats.org/drawingml/2006/main">
                    <a:graphicData uri="http://schemas.openxmlformats.org/drawingml/2006/picture">
                      <pic:pic xmlns:pic="http://schemas.openxmlformats.org/drawingml/2006/picture">
                        <pic:nvPicPr>
                          <pic:cNvPr id="165" name="Picture_114"/>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4128"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166" name="Picture_1_SpCnt_17"/>
                  <wp:cNvGraphicFramePr/>
                  <a:graphic xmlns:a="http://schemas.openxmlformats.org/drawingml/2006/main">
                    <a:graphicData uri="http://schemas.openxmlformats.org/drawingml/2006/picture">
                      <pic:pic xmlns:pic="http://schemas.openxmlformats.org/drawingml/2006/picture">
                        <pic:nvPicPr>
                          <pic:cNvPr id="166" name="Picture_1_SpCnt_17"/>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4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5152"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167" name="Picture_116"/>
                  <wp:cNvGraphicFramePr/>
                  <a:graphic xmlns:a="http://schemas.openxmlformats.org/drawingml/2006/main">
                    <a:graphicData uri="http://schemas.openxmlformats.org/drawingml/2006/picture">
                      <pic:pic xmlns:pic="http://schemas.openxmlformats.org/drawingml/2006/picture">
                        <pic:nvPicPr>
                          <pic:cNvPr id="167" name="Picture_116"/>
                          <pic:cNvPicPr/>
                        </pic:nvPicPr>
                        <pic:blipFill>
                          <a:blip r:embed="rId51"/>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冲压饭盘</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≥620*415*50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6176" behindDoc="0" locked="0" layoutInCell="1" allowOverlap="1">
                  <wp:simplePos x="0" y="0"/>
                  <wp:positionH relativeFrom="column">
                    <wp:posOffset>85725</wp:posOffset>
                  </wp:positionH>
                  <wp:positionV relativeFrom="paragraph">
                    <wp:posOffset>257175</wp:posOffset>
                  </wp:positionV>
                  <wp:extent cx="790575" cy="438150"/>
                  <wp:effectExtent l="0" t="0" r="9525" b="0"/>
                  <wp:wrapNone/>
                  <wp:docPr id="168" name="Picture_117_SpCnt_1"/>
                  <wp:cNvGraphicFramePr/>
                  <a:graphic xmlns:a="http://schemas.openxmlformats.org/drawingml/2006/main">
                    <a:graphicData uri="http://schemas.openxmlformats.org/drawingml/2006/picture">
                      <pic:pic xmlns:pic="http://schemas.openxmlformats.org/drawingml/2006/picture">
                        <pic:nvPicPr>
                          <pic:cNvPr id="168" name="Picture_117_SpCnt_1"/>
                          <pic:cNvPicPr/>
                        </pic:nvPicPr>
                        <pic:blipFill>
                          <a:blip r:embed="rId68"/>
                          <a:stretch>
                            <a:fillRect/>
                          </a:stretch>
                        </pic:blipFill>
                        <pic:spPr>
                          <a:xfrm>
                            <a:off x="0" y="0"/>
                            <a:ext cx="790575" cy="4381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—采用全SUS304板材制造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—板厚0.7mm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一800T液压机一体冲压成型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一冲压内腔尺寸：580*375mm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160</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51"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b w:val="0"/>
                <w:bCs w:val="0"/>
                <w:color w:val="auto"/>
                <w:kern w:val="0"/>
                <w:sz w:val="20"/>
                <w:szCs w:val="20"/>
                <w:highlight w:val="none"/>
                <w:lang w:bidi="ar"/>
              </w:rPr>
              <w:t>智能集成蒸箱</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≥1200*1050*1800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7200" behindDoc="0" locked="0" layoutInCell="1" allowOverlap="1">
                  <wp:simplePos x="0" y="0"/>
                  <wp:positionH relativeFrom="column">
                    <wp:posOffset>154940</wp:posOffset>
                  </wp:positionH>
                  <wp:positionV relativeFrom="paragraph">
                    <wp:posOffset>167005</wp:posOffset>
                  </wp:positionV>
                  <wp:extent cx="790575" cy="742950"/>
                  <wp:effectExtent l="0" t="0" r="9525" b="0"/>
                  <wp:wrapNone/>
                  <wp:docPr id="169" name="Picture_118"/>
                  <wp:cNvGraphicFramePr/>
                  <a:graphic xmlns:a="http://schemas.openxmlformats.org/drawingml/2006/main">
                    <a:graphicData uri="http://schemas.openxmlformats.org/drawingml/2006/picture">
                      <pic:pic xmlns:pic="http://schemas.openxmlformats.org/drawingml/2006/picture">
                        <pic:nvPicPr>
                          <pic:cNvPr id="169" name="Picture_118"/>
                          <pic:cNvPicPr/>
                        </pic:nvPicPr>
                        <pic:blipFill>
                          <a:blip r:embed="rId75"/>
                          <a:stretch>
                            <a:fillRect/>
                          </a:stretch>
                        </pic:blipFill>
                        <pic:spPr>
                          <a:xfrm>
                            <a:off x="0" y="0"/>
                            <a:ext cx="790575" cy="7429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—上箱前框面板厚1.2mm，侧板、内桶厚1.0mm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—水胆主体厚1.2mm，燃烧火管φ32*2.0mm的304无缝管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—门外板厚1.2㎜，门内板厚1.0㎜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—ф63mm不锈钢炉脚，内衬2"钢管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—配推车：≥6</w:t>
            </w:r>
            <w:r>
              <w:rPr>
                <w:rFonts w:hint="eastAsia" w:ascii="宋体" w:hAnsi="宋体" w:cs="宋体"/>
                <w:color w:val="auto"/>
                <w:kern w:val="0"/>
                <w:sz w:val="20"/>
                <w:szCs w:val="20"/>
                <w:highlight w:val="none"/>
                <w:lang w:val="en-US" w:eastAsia="zh-CN" w:bidi="ar"/>
              </w:rPr>
              <w:t>80</w:t>
            </w:r>
            <w:r>
              <w:rPr>
                <w:rFonts w:hint="eastAsia" w:ascii="宋体" w:hAnsi="宋体" w:cs="宋体"/>
                <w:color w:val="auto"/>
                <w:kern w:val="0"/>
                <w:sz w:val="20"/>
                <w:szCs w:val="20"/>
                <w:highlight w:val="none"/>
                <w:lang w:bidi="ar"/>
              </w:rPr>
              <w:t>*</w:t>
            </w:r>
            <w:r>
              <w:rPr>
                <w:rFonts w:hint="eastAsia" w:ascii="宋体" w:hAnsi="宋体" w:cs="宋体"/>
                <w:color w:val="auto"/>
                <w:kern w:val="0"/>
                <w:sz w:val="20"/>
                <w:szCs w:val="20"/>
                <w:highlight w:val="none"/>
                <w:lang w:val="en-US" w:eastAsia="zh-CN" w:bidi="ar"/>
              </w:rPr>
              <w:t>70</w:t>
            </w:r>
            <w:r>
              <w:rPr>
                <w:rFonts w:hint="eastAsia" w:ascii="宋体" w:hAnsi="宋体" w:cs="宋体"/>
                <w:color w:val="auto"/>
                <w:kern w:val="0"/>
                <w:sz w:val="20"/>
                <w:szCs w:val="20"/>
                <w:highlight w:val="none"/>
                <w:lang w:bidi="ar"/>
              </w:rPr>
              <w:t>*1710,骨架采用304不锈钢管；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—内置2*16蒸饭格（可放置2*16个蒸饭盘）</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—配饭铲、分饭器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—采用不锈钢火排炉头，电子自动点火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—采用静音耐高温强排风机：220V/65W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—配自动进水及防干烧系统，和风压监测保护系统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—配燃气熄火保护装置及燃气管路稳压装置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—密封条采用食品级硅胶条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—门采用不锈钢双把手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—配备数字显示温控器及时间控制显示器；</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091"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过滤式油网烟罩(前置新风）</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≥8300*1600*500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8224" behindDoc="0" locked="0" layoutInCell="1" allowOverlap="1">
                  <wp:simplePos x="0" y="0"/>
                  <wp:positionH relativeFrom="column">
                    <wp:posOffset>85725</wp:posOffset>
                  </wp:positionH>
                  <wp:positionV relativeFrom="paragraph">
                    <wp:posOffset>809625</wp:posOffset>
                  </wp:positionV>
                  <wp:extent cx="790575" cy="381000"/>
                  <wp:effectExtent l="0" t="0" r="9525" b="0"/>
                  <wp:wrapNone/>
                  <wp:docPr id="170" name="Picture_119"/>
                  <wp:cNvGraphicFramePr/>
                  <a:graphic xmlns:a="http://schemas.openxmlformats.org/drawingml/2006/main">
                    <a:graphicData uri="http://schemas.openxmlformats.org/drawingml/2006/picture">
                      <pic:pic xmlns:pic="http://schemas.openxmlformats.org/drawingml/2006/picture">
                        <pic:nvPicPr>
                          <pic:cNvPr id="170" name="Picture_119"/>
                          <pic:cNvPicPr/>
                        </pic:nvPicPr>
                        <pic:blipFill>
                          <a:blip r:embed="rId64"/>
                          <a:stretch>
                            <a:fillRect/>
                          </a:stretch>
                        </pic:blipFill>
                        <pic:spPr>
                          <a:xfrm>
                            <a:off x="0" y="0"/>
                            <a:ext cx="790575" cy="381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—配LED防雾烟罩灯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—灯罩玻璃采用钢化处理，压板及各加强档厚1.5mm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—前板、左右端板厚1.2mm，后板厚1.2mm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—沥油板加强片厚1.2mm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—左右小侧板、LED固定板、顶板、前网板厚≥1.0mm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—配LED灯照明，前置双涡流静音稳压新风机，220V/250W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—播风口采用abs塑料，可多角度调节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—烟罩三侧配置旋流导流孔，集烟更方便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—UV灯、控制器及风机排烟风管另计</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74"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15.面点间</w:t>
            </w:r>
          </w:p>
        </w:tc>
      </w:tr>
      <w:tr>
        <w:tblPrEx>
          <w:tblCellMar>
            <w:top w:w="0" w:type="dxa"/>
            <w:left w:w="108" w:type="dxa"/>
            <w:bottom w:w="0" w:type="dxa"/>
            <w:right w:w="108" w:type="dxa"/>
          </w:tblCellMar>
        </w:tblPrEx>
        <w:trPr>
          <w:trHeight w:val="7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高身饼盘车</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≥470*650*1500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29248" behindDoc="0" locked="0" layoutInCell="1" allowOverlap="1">
                  <wp:simplePos x="0" y="0"/>
                  <wp:positionH relativeFrom="column">
                    <wp:posOffset>85725</wp:posOffset>
                  </wp:positionH>
                  <wp:positionV relativeFrom="paragraph">
                    <wp:posOffset>200025</wp:posOffset>
                  </wp:positionV>
                  <wp:extent cx="876300" cy="552450"/>
                  <wp:effectExtent l="0" t="0" r="0" b="0"/>
                  <wp:wrapNone/>
                  <wp:docPr id="171" name="Picture_122"/>
                  <wp:cNvGraphicFramePr/>
                  <a:graphic xmlns:a="http://schemas.openxmlformats.org/drawingml/2006/main">
                    <a:graphicData uri="http://schemas.openxmlformats.org/drawingml/2006/picture">
                      <pic:pic xmlns:pic="http://schemas.openxmlformats.org/drawingml/2006/picture">
                        <pic:nvPicPr>
                          <pic:cNvPr id="171" name="Picture_122"/>
                          <pic:cNvPicPr/>
                        </pic:nvPicPr>
                        <pic:blipFill>
                          <a:blip r:embed="rId76"/>
                          <a:stretch>
                            <a:fillRect/>
                          </a:stretch>
                        </pic:blipFill>
                        <pic:spPr>
                          <a:xfrm>
                            <a:off x="0" y="0"/>
                            <a:ext cx="876300" cy="5524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—滑道厚1.2mm，顶板、底板厚≥1.0mm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—不锈钢方通30*30厚1.0mm,横档30*15厚0.8mm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—配4个4"脚轮,其中两个带刹车掣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5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99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立式四门冷藏柜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1220*750*2200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0272" behindDoc="0" locked="0" layoutInCell="1" allowOverlap="1">
                  <wp:simplePos x="0" y="0"/>
                  <wp:positionH relativeFrom="column">
                    <wp:posOffset>171450</wp:posOffset>
                  </wp:positionH>
                  <wp:positionV relativeFrom="paragraph">
                    <wp:posOffset>66675</wp:posOffset>
                  </wp:positionV>
                  <wp:extent cx="619125" cy="828675"/>
                  <wp:effectExtent l="0" t="0" r="9525" b="9525"/>
                  <wp:wrapNone/>
                  <wp:docPr id="172" name="Picture_123"/>
                  <wp:cNvGraphicFramePr/>
                  <a:graphic xmlns:a="http://schemas.openxmlformats.org/drawingml/2006/main">
                    <a:graphicData uri="http://schemas.openxmlformats.org/drawingml/2006/picture">
                      <pic:pic xmlns:pic="http://schemas.openxmlformats.org/drawingml/2006/picture">
                        <pic:nvPicPr>
                          <pic:cNvPr id="172" name="Picture_123"/>
                          <pic:cNvPicPr/>
                        </pic:nvPicPr>
                        <pic:blipFill>
                          <a:blip r:embed="rId55"/>
                          <a:stretch>
                            <a:fillRect/>
                          </a:stretch>
                        </pic:blipFill>
                        <pic:spPr>
                          <a:xfrm>
                            <a:off x="0" y="0"/>
                            <a:ext cx="6191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电源：220V/50HZ，输入功率：405W，电流：2.5A，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温度范围:  -6～12℃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1、内外箱均为SUS304不锈钢板；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2、使用压缩机，全铜管冷凝器、蒸发器；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3、配备强制蒸发装置，自动蒸发化霜水；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4、一体式发泡工艺，整体平整、耐用；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5、产品能在43℃的环境温度下正常工作；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6、置于箱体内部的高效防露加热丝，能有效防止门框结露、滴水，保证客户的使用效果和环境卫生；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7、冰箱配备了门体自动关闭结构，方便客户操作。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容积：880L</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8、尺寸偏差控制在±10mm内，超出范围内属于负偏离项</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9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工作柜带水池（左星）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1296" behindDoc="0" locked="0" layoutInCell="1" allowOverlap="1">
                  <wp:simplePos x="0" y="0"/>
                  <wp:positionH relativeFrom="column">
                    <wp:posOffset>85725</wp:posOffset>
                  </wp:positionH>
                  <wp:positionV relativeFrom="paragraph">
                    <wp:posOffset>161925</wp:posOffset>
                  </wp:positionV>
                  <wp:extent cx="876300" cy="638175"/>
                  <wp:effectExtent l="0" t="0" r="0" b="9525"/>
                  <wp:wrapNone/>
                  <wp:docPr id="173" name="Picture_124"/>
                  <wp:cNvGraphicFramePr/>
                  <a:graphic xmlns:a="http://schemas.openxmlformats.org/drawingml/2006/main">
                    <a:graphicData uri="http://schemas.openxmlformats.org/drawingml/2006/picture">
                      <pic:pic xmlns:pic="http://schemas.openxmlformats.org/drawingml/2006/picture">
                        <pic:nvPicPr>
                          <pic:cNvPr id="173" name="Picture_124"/>
                          <pic:cNvPicPr/>
                        </pic:nvPicPr>
                        <pic:blipFill>
                          <a:blip r:embed="rId77"/>
                          <a:stretch>
                            <a:fillRect/>
                          </a:stretch>
                        </pic:blipFill>
                        <pic:spPr>
                          <a:xfrm>
                            <a:off x="0" y="0"/>
                            <a:ext cx="876300"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电源：220V/50HZ，输入功率：405W，电流：2.5A，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温度范围:  -6～12℃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1、内外箱均为SUS304不锈钢板；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2、使用优质压缩机，全铜管冷凝器、蒸发器；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3、配备强制蒸发装置，自动蒸发化霜水；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4、一体式发泡工艺，整体平整、耐用；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5、产品能在43℃的环境温度下正常工作；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6、置于箱体内部的高效防露加热丝，能有效防止门框结露、滴水，保证客户的使用效果和环境卫生；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7、冰箱配备了门体自动关闭结构，方便客户操作。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容积：880L</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4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2320" behindDoc="0" locked="0" layoutInCell="1" allowOverlap="1">
                  <wp:simplePos x="0" y="0"/>
                  <wp:positionH relativeFrom="column">
                    <wp:posOffset>114300</wp:posOffset>
                  </wp:positionH>
                  <wp:positionV relativeFrom="paragraph">
                    <wp:posOffset>161925</wp:posOffset>
                  </wp:positionV>
                  <wp:extent cx="847725" cy="590550"/>
                  <wp:effectExtent l="0" t="0" r="9525" b="0"/>
                  <wp:wrapNone/>
                  <wp:docPr id="174" name="Picture_1_SpCnt_18"/>
                  <wp:cNvGraphicFramePr/>
                  <a:graphic xmlns:a="http://schemas.openxmlformats.org/drawingml/2006/main">
                    <a:graphicData uri="http://schemas.openxmlformats.org/drawingml/2006/picture">
                      <pic:pic xmlns:pic="http://schemas.openxmlformats.org/drawingml/2006/picture">
                        <pic:nvPicPr>
                          <pic:cNvPr id="174" name="Picture_1_SpCnt_18"/>
                          <pic:cNvPicPr/>
                        </pic:nvPicPr>
                        <pic:blipFill>
                          <a:blip r:embed="rId78"/>
                          <a:stretch>
                            <a:fillRect/>
                          </a:stretch>
                        </pic:blipFill>
                        <pic:spPr>
                          <a:xfrm>
                            <a:off x="0" y="0"/>
                            <a:ext cx="84772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高身储碟柜（翻门) </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3344" behindDoc="0" locked="0" layoutInCell="1" allowOverlap="1">
                  <wp:simplePos x="0" y="0"/>
                  <wp:positionH relativeFrom="column">
                    <wp:posOffset>85725</wp:posOffset>
                  </wp:positionH>
                  <wp:positionV relativeFrom="paragraph">
                    <wp:posOffset>200025</wp:posOffset>
                  </wp:positionV>
                  <wp:extent cx="876300" cy="552450"/>
                  <wp:effectExtent l="0" t="0" r="0" b="0"/>
                  <wp:wrapNone/>
                  <wp:docPr id="175" name="Picture_125"/>
                  <wp:cNvGraphicFramePr/>
                  <a:graphic xmlns:a="http://schemas.openxmlformats.org/drawingml/2006/main">
                    <a:graphicData uri="http://schemas.openxmlformats.org/drawingml/2006/picture">
                      <pic:pic xmlns:pic="http://schemas.openxmlformats.org/drawingml/2006/picture">
                        <pic:nvPicPr>
                          <pic:cNvPr id="175" name="Picture_125"/>
                          <pic:cNvPicPr/>
                        </pic:nvPicPr>
                        <pic:blipFill>
                          <a:blip r:embed="rId79"/>
                          <a:stretch>
                            <a:fillRect/>
                          </a:stretch>
                        </pic:blipFill>
                        <pic:spPr>
                          <a:xfrm>
                            <a:off x="0" y="0"/>
                            <a:ext cx="876300" cy="5524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—层板、底板厚为1.0mm，门外板厚≥1.0mm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—门内复板厚0.8mm，顶板厚0.8mm，侧板厚0.8mm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0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40升多功能搅拌机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≥600*670*1090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4368" behindDoc="0" locked="0" layoutInCell="1" allowOverlap="1">
                  <wp:simplePos x="0" y="0"/>
                  <wp:positionH relativeFrom="column">
                    <wp:posOffset>247650</wp:posOffset>
                  </wp:positionH>
                  <wp:positionV relativeFrom="paragraph">
                    <wp:posOffset>76200</wp:posOffset>
                  </wp:positionV>
                  <wp:extent cx="483870" cy="561975"/>
                  <wp:effectExtent l="0" t="0" r="11430" b="9525"/>
                  <wp:wrapNone/>
                  <wp:docPr id="176" name="Picture_126"/>
                  <wp:cNvGraphicFramePr/>
                  <a:graphic xmlns:a="http://schemas.openxmlformats.org/drawingml/2006/main">
                    <a:graphicData uri="http://schemas.openxmlformats.org/drawingml/2006/picture">
                      <pic:pic xmlns:pic="http://schemas.openxmlformats.org/drawingml/2006/picture">
                        <pic:nvPicPr>
                          <pic:cNvPr id="176" name="Picture_126"/>
                          <pic:cNvPicPr/>
                        </pic:nvPicPr>
                        <pic:blipFill>
                          <a:blip r:embed="rId80"/>
                          <a:stretch>
                            <a:fillRect/>
                          </a:stretch>
                        </pic:blipFill>
                        <pic:spPr>
                          <a:xfrm>
                            <a:off x="0" y="0"/>
                            <a:ext cx="483870"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380/1.125KW;151KG;大齿轮，铸铁机体铸铁</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40升多功能搅拌机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≥600*670*1090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5392" behindDoc="0" locked="0" layoutInCell="1" allowOverlap="1">
                  <wp:simplePos x="0" y="0"/>
                  <wp:positionH relativeFrom="column">
                    <wp:posOffset>279400</wp:posOffset>
                  </wp:positionH>
                  <wp:positionV relativeFrom="paragraph">
                    <wp:posOffset>20320</wp:posOffset>
                  </wp:positionV>
                  <wp:extent cx="483870" cy="474980"/>
                  <wp:effectExtent l="0" t="0" r="11430" b="1270"/>
                  <wp:wrapNone/>
                  <wp:docPr id="177" name="Picture_127"/>
                  <wp:cNvGraphicFramePr/>
                  <a:graphic xmlns:a="http://schemas.openxmlformats.org/drawingml/2006/main">
                    <a:graphicData uri="http://schemas.openxmlformats.org/drawingml/2006/picture">
                      <pic:pic xmlns:pic="http://schemas.openxmlformats.org/drawingml/2006/picture">
                        <pic:nvPicPr>
                          <pic:cNvPr id="177" name="Picture_127"/>
                          <pic:cNvPicPr/>
                        </pic:nvPicPr>
                        <pic:blipFill>
                          <a:blip r:embed="rId80"/>
                          <a:stretch>
                            <a:fillRect/>
                          </a:stretch>
                        </pic:blipFill>
                        <pic:spPr>
                          <a:xfrm>
                            <a:off x="0" y="0"/>
                            <a:ext cx="483870" cy="47498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380/1.125KW;151KG大齿轮，铸铁机体铸铁</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45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中式压面机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≥1035*650*1065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6416" behindDoc="0" locked="0" layoutInCell="1" allowOverlap="1">
                  <wp:simplePos x="0" y="0"/>
                  <wp:positionH relativeFrom="column">
                    <wp:posOffset>171450</wp:posOffset>
                  </wp:positionH>
                  <wp:positionV relativeFrom="paragraph">
                    <wp:posOffset>15875</wp:posOffset>
                  </wp:positionV>
                  <wp:extent cx="628650" cy="828675"/>
                  <wp:effectExtent l="0" t="0" r="0" b="9525"/>
                  <wp:wrapNone/>
                  <wp:docPr id="178" name="Picture_128"/>
                  <wp:cNvGraphicFramePr/>
                  <a:graphic xmlns:a="http://schemas.openxmlformats.org/drawingml/2006/main">
                    <a:graphicData uri="http://schemas.openxmlformats.org/drawingml/2006/picture">
                      <pic:pic xmlns:pic="http://schemas.openxmlformats.org/drawingml/2006/picture">
                        <pic:nvPicPr>
                          <pic:cNvPr id="178" name="Picture_128"/>
                          <pic:cNvPicPr/>
                        </pic:nvPicPr>
                        <pic:blipFill>
                          <a:blip r:embed="rId81"/>
                          <a:stretch>
                            <a:fillRect/>
                          </a:stretch>
                        </pic:blipFill>
                        <pic:spPr>
                          <a:xfrm>
                            <a:off x="0" y="0"/>
                            <a:ext cx="62865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额定电压：380V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电机功率:2.2KW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压辊直径*长度：≥￠直径118*340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压辊转速:74rpm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压辊范围：5-25mm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净重：240KG</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5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06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18盘单门冷藏醒发箱</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≥570*1030*2180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7440" behindDoc="0" locked="0" layoutInCell="1" allowOverlap="1">
                  <wp:simplePos x="0" y="0"/>
                  <wp:positionH relativeFrom="column">
                    <wp:posOffset>392430</wp:posOffset>
                  </wp:positionH>
                  <wp:positionV relativeFrom="paragraph">
                    <wp:posOffset>10160</wp:posOffset>
                  </wp:positionV>
                  <wp:extent cx="293370" cy="629920"/>
                  <wp:effectExtent l="0" t="0" r="11430" b="17780"/>
                  <wp:wrapNone/>
                  <wp:docPr id="179" name="Picture_129"/>
                  <wp:cNvGraphicFramePr/>
                  <a:graphic xmlns:a="http://schemas.openxmlformats.org/drawingml/2006/main">
                    <a:graphicData uri="http://schemas.openxmlformats.org/drawingml/2006/picture">
                      <pic:pic xmlns:pic="http://schemas.openxmlformats.org/drawingml/2006/picture">
                        <pic:nvPicPr>
                          <pic:cNvPr id="179" name="Picture_129"/>
                          <pic:cNvPicPr/>
                        </pic:nvPicPr>
                        <pic:blipFill>
                          <a:blip r:embed="rId82"/>
                          <a:stretch>
                            <a:fillRect/>
                          </a:stretch>
                        </pic:blipFill>
                        <pic:spPr>
                          <a:xfrm>
                            <a:off x="0" y="0"/>
                            <a:ext cx="293370" cy="62992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220V;1.6KW;171KG;1、双面304不锈钢5CM发泡箱体，门为1.0mm的304不锈钢。2、电子式温湿度传感器，控制温湿度精确。3、压缩机采用左右循环风道式结构，具有防干烧，防缺水自动报警功能，门把手与门一体成型。</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67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07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面粉车</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≥330*750*710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8464" behindDoc="0" locked="0" layoutInCell="1" allowOverlap="1">
                  <wp:simplePos x="0" y="0"/>
                  <wp:positionH relativeFrom="column">
                    <wp:posOffset>85725</wp:posOffset>
                  </wp:positionH>
                  <wp:positionV relativeFrom="paragraph">
                    <wp:posOffset>405130</wp:posOffset>
                  </wp:positionV>
                  <wp:extent cx="876300" cy="719455"/>
                  <wp:effectExtent l="0" t="0" r="0" b="4445"/>
                  <wp:wrapNone/>
                  <wp:docPr id="180" name="Picture_131"/>
                  <wp:cNvGraphicFramePr/>
                  <a:graphic xmlns:a="http://schemas.openxmlformats.org/drawingml/2006/main">
                    <a:graphicData uri="http://schemas.openxmlformats.org/drawingml/2006/picture">
                      <pic:pic xmlns:pic="http://schemas.openxmlformats.org/drawingml/2006/picture">
                        <pic:nvPicPr>
                          <pic:cNvPr id="180" name="Picture_131"/>
                          <pic:cNvPicPr/>
                        </pic:nvPicPr>
                        <pic:blipFill>
                          <a:blip r:embed="rId83"/>
                          <a:stretch>
                            <a:fillRect/>
                          </a:stretch>
                        </pic:blipFill>
                        <pic:spPr>
                          <a:xfrm>
                            <a:off x="0" y="0"/>
                            <a:ext cx="876300" cy="71945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容量 ≥72.7kg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装载容量（食糖）≥ 56.3kg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装载容量(粉)≥ 56.3kg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装载容量(米)≥ 81kg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可供挂勺子的钩，令勺子藏在储物桶内，不接触配料，能轻易从储物桶内取出，方便存取。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清晰的视窗及食物材料标签，使储物桶内的材料可被轻易看见。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桶盖用扣子稳固，能确保食物材料的品质不受影响。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3寸脚轮使储物桶能轻易从厨房移动到不同的工作空间。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材料：聚碳酸酯(PC)、聚丙烯(PP)。</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08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双向工作台柜（移门）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39488" behindDoc="0" locked="0" layoutInCell="1" allowOverlap="1">
                  <wp:simplePos x="0" y="0"/>
                  <wp:positionH relativeFrom="column">
                    <wp:posOffset>85725</wp:posOffset>
                  </wp:positionH>
                  <wp:positionV relativeFrom="paragraph">
                    <wp:posOffset>152400</wp:posOffset>
                  </wp:positionV>
                  <wp:extent cx="876300" cy="638175"/>
                  <wp:effectExtent l="0" t="0" r="0" b="9525"/>
                  <wp:wrapNone/>
                  <wp:docPr id="181" name="Picture_132"/>
                  <wp:cNvGraphicFramePr/>
                  <a:graphic xmlns:a="http://schemas.openxmlformats.org/drawingml/2006/main">
                    <a:graphicData uri="http://schemas.openxmlformats.org/drawingml/2006/picture">
                      <pic:pic xmlns:pic="http://schemas.openxmlformats.org/drawingml/2006/picture">
                        <pic:nvPicPr>
                          <pic:cNvPr id="181" name="Picture_132"/>
                          <pic:cNvPicPr/>
                        </pic:nvPicPr>
                        <pic:blipFill>
                          <a:blip r:embed="rId84"/>
                          <a:stretch>
                            <a:fillRect/>
                          </a:stretch>
                        </pic:blipFill>
                        <pic:spPr>
                          <a:xfrm>
                            <a:off x="0" y="0"/>
                            <a:ext cx="876300"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—门外板、柜内层板、底板、侧板厚1.0㎜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09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木面搓粉台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0512" behindDoc="0" locked="0" layoutInCell="1" allowOverlap="1">
                  <wp:simplePos x="0" y="0"/>
                  <wp:positionH relativeFrom="column">
                    <wp:posOffset>85725</wp:posOffset>
                  </wp:positionH>
                  <wp:positionV relativeFrom="paragraph">
                    <wp:posOffset>238125</wp:posOffset>
                  </wp:positionV>
                  <wp:extent cx="876300" cy="485775"/>
                  <wp:effectExtent l="0" t="0" r="0" b="9525"/>
                  <wp:wrapNone/>
                  <wp:docPr id="182" name="Picture_133"/>
                  <wp:cNvGraphicFramePr/>
                  <a:graphic xmlns:a="http://schemas.openxmlformats.org/drawingml/2006/main">
                    <a:graphicData uri="http://schemas.openxmlformats.org/drawingml/2006/picture">
                      <pic:pic xmlns:pic="http://schemas.openxmlformats.org/drawingml/2006/picture">
                        <pic:nvPicPr>
                          <pic:cNvPr id="182" name="Picture_133"/>
                          <pic:cNvPicPr/>
                        </pic:nvPicPr>
                        <pic:blipFill>
                          <a:blip r:embed="rId85"/>
                          <a:stretch>
                            <a:fillRect/>
                          </a:stretch>
                        </pic:blipFill>
                        <pic:spPr>
                          <a:xfrm>
                            <a:off x="0" y="0"/>
                            <a:ext cx="876300" cy="4857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—台面用柳胺木面制造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—≥φ50mm厚度1.0mm不锈钢圆通腿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—≥φ32mm厚度1.0mm不锈钢下橫通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—配耐磨橡胶减震垫脚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96"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四层档货架</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≥1150*500*1800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1536" behindDoc="0" locked="0" layoutInCell="1" allowOverlap="1">
                  <wp:simplePos x="0" y="0"/>
                  <wp:positionH relativeFrom="column">
                    <wp:posOffset>107950</wp:posOffset>
                  </wp:positionH>
                  <wp:positionV relativeFrom="paragraph">
                    <wp:posOffset>3175</wp:posOffset>
                  </wp:positionV>
                  <wp:extent cx="695325" cy="828675"/>
                  <wp:effectExtent l="0" t="0" r="9525" b="9525"/>
                  <wp:wrapNone/>
                  <wp:docPr id="183" name="Picture_134"/>
                  <wp:cNvGraphicFramePr/>
                  <a:graphic xmlns:a="http://schemas.openxmlformats.org/drawingml/2006/main">
                    <a:graphicData uri="http://schemas.openxmlformats.org/drawingml/2006/picture">
                      <pic:pic xmlns:pic="http://schemas.openxmlformats.org/drawingml/2006/picture">
                        <pic:nvPicPr>
                          <pic:cNvPr id="183" name="Picture_134"/>
                          <pic:cNvPicPr/>
                        </pic:nvPicPr>
                        <pic:blipFill>
                          <a:blip r:embed="rId37"/>
                          <a:stretch>
                            <a:fillRect/>
                          </a:stretch>
                        </pic:blipFill>
                        <pic:spPr>
                          <a:xfrm>
                            <a:off x="0" y="0"/>
                            <a:ext cx="69532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—采用全不锈钢制作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—层框38*25*1.0不锈钢管制作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—搁档30*15*0.8不锈钢方管或不锈钢板折弯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4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厨房灭火系统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保护5-10米</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2560" behindDoc="0" locked="0" layoutInCell="1" allowOverlap="1">
                  <wp:simplePos x="0" y="0"/>
                  <wp:positionH relativeFrom="column">
                    <wp:posOffset>123825</wp:posOffset>
                  </wp:positionH>
                  <wp:positionV relativeFrom="paragraph">
                    <wp:posOffset>1422400</wp:posOffset>
                  </wp:positionV>
                  <wp:extent cx="714375" cy="828675"/>
                  <wp:effectExtent l="0" t="0" r="9525" b="9525"/>
                  <wp:wrapNone/>
                  <wp:docPr id="184" name="Picture_135"/>
                  <wp:cNvGraphicFramePr/>
                  <a:graphic xmlns:a="http://schemas.openxmlformats.org/drawingml/2006/main">
                    <a:graphicData uri="http://schemas.openxmlformats.org/drawingml/2006/picture">
                      <pic:pic xmlns:pic="http://schemas.openxmlformats.org/drawingml/2006/picture">
                        <pic:nvPicPr>
                          <pic:cNvPr id="184" name="Picture_135"/>
                          <pic:cNvPicPr/>
                        </pic:nvPicPr>
                        <pic:blipFill>
                          <a:blip r:embed="rId65"/>
                          <a:stretch>
                            <a:fillRect/>
                          </a:stretch>
                        </pic:blipFill>
                        <pic:spPr>
                          <a:xfrm>
                            <a:off x="0" y="0"/>
                            <a:ext cx="71437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功能组成 1. 自动机械控制箱(或副箱)；2. 药剂罐(根据各保护距离配置)；3. 氮气瓶（启动源）；；5.探测器(感温熔断片)；6. 喷嘴及喷嘴帽；7. 远距离控制手拉开关；8. 灭火药剂为食用油专用灭火药剂，该药剂应无毒、无污染、易清洗，需满足以下要求：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1、具有水冷却功能的装置，在灭火剂完全喷射后，水流联动阀立即启动；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2</w:t>
            </w:r>
            <w:r>
              <w:rPr>
                <w:rFonts w:hint="eastAsia" w:ascii="宋体" w:hAnsi="宋体" w:cs="宋体"/>
                <w:color w:val="auto"/>
                <w:kern w:val="0"/>
                <w:sz w:val="20"/>
                <w:szCs w:val="20"/>
                <w:highlight w:val="none"/>
                <w:lang w:bidi="ar"/>
              </w:rPr>
              <w:t>、灭火系统具有自动启动、手动启动、机械启动功能，且不会复燃，能提供消防中控信号及燃气切断功能信号。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3</w:t>
            </w:r>
            <w:r>
              <w:rPr>
                <w:rFonts w:hint="eastAsia" w:ascii="宋体" w:hAnsi="宋体" w:cs="宋体"/>
                <w:color w:val="auto"/>
                <w:kern w:val="0"/>
                <w:sz w:val="20"/>
                <w:szCs w:val="20"/>
                <w:highlight w:val="none"/>
                <w:lang w:bidi="ar"/>
              </w:rPr>
              <w:t>、联动性能，自动切换时间≤0.5秒，喷射延迟时间≤1秒。</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4</w:t>
            </w:r>
            <w:r>
              <w:rPr>
                <w:rFonts w:hint="eastAsia" w:ascii="宋体" w:hAnsi="宋体" w:cs="宋体"/>
                <w:color w:val="auto"/>
                <w:kern w:val="0"/>
                <w:sz w:val="20"/>
                <w:szCs w:val="20"/>
                <w:highlight w:val="none"/>
                <w:lang w:bidi="ar"/>
              </w:rPr>
              <w:t>、喷嘴数量：单瓶组喷嘴数量≥10只，双瓶组喷嘴数量≥18只</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5</w:t>
            </w:r>
            <w:r>
              <w:rPr>
                <w:rFonts w:hint="eastAsia" w:ascii="宋体" w:hAnsi="宋体" w:cs="宋体"/>
                <w:color w:val="auto"/>
                <w:kern w:val="0"/>
                <w:sz w:val="20"/>
                <w:szCs w:val="20"/>
                <w:highlight w:val="none"/>
                <w:lang w:bidi="ar"/>
              </w:rPr>
              <w:t>、灭火装置所用氮气阀须为H59铜材质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可调释放装置应与火灾报警系统一起联动协调运作。热熔断片的选择和安装需根据通风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系统中的操作温度而定。保险丝的设定温度如下：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热熔断片设定温度使用在工作温度不能超过下列: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138℃ 107℃</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183℃ 143℃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232℃ 182℃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保险丝应该由监控器支架/连接装置来支撑，导线管和不锈钢丝的方向改变应由压铸的铝合金滑轮及90 度弯节来达成。</w:t>
            </w:r>
          </w:p>
          <w:p>
            <w:pPr>
              <w:widowControl/>
              <w:jc w:val="left"/>
              <w:textAlignment w:val="top"/>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投标时需承诺中标后提供灭火系统及控制箱相关检测报告</w:t>
            </w:r>
            <w:r>
              <w:rPr>
                <w:rFonts w:hint="eastAsia" w:ascii="宋体" w:hAnsi="宋体" w:cs="宋体"/>
                <w:b/>
                <w:bCs/>
                <w:color w:val="auto"/>
                <w:kern w:val="0"/>
                <w:sz w:val="20"/>
                <w:szCs w:val="20"/>
                <w:highlight w:val="none"/>
                <w:lang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9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过滤式油网烟罩(前置新风）</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≥8700*1600*500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3584" behindDoc="0" locked="0" layoutInCell="1" allowOverlap="1">
                  <wp:simplePos x="0" y="0"/>
                  <wp:positionH relativeFrom="column">
                    <wp:posOffset>85725</wp:posOffset>
                  </wp:positionH>
                  <wp:positionV relativeFrom="paragraph">
                    <wp:posOffset>285750</wp:posOffset>
                  </wp:positionV>
                  <wp:extent cx="790575" cy="381000"/>
                  <wp:effectExtent l="0" t="0" r="9525" b="0"/>
                  <wp:wrapNone/>
                  <wp:docPr id="185" name="Picture_136"/>
                  <wp:cNvGraphicFramePr/>
                  <a:graphic xmlns:a="http://schemas.openxmlformats.org/drawingml/2006/main">
                    <a:graphicData uri="http://schemas.openxmlformats.org/drawingml/2006/picture">
                      <pic:pic xmlns:pic="http://schemas.openxmlformats.org/drawingml/2006/picture">
                        <pic:nvPicPr>
                          <pic:cNvPr id="185" name="Picture_136"/>
                          <pic:cNvPicPr/>
                        </pic:nvPicPr>
                        <pic:blipFill>
                          <a:blip r:embed="rId64"/>
                          <a:stretch>
                            <a:fillRect/>
                          </a:stretch>
                        </pic:blipFill>
                        <pic:spPr>
                          <a:xfrm>
                            <a:off x="0" y="0"/>
                            <a:ext cx="790575" cy="381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—配LED防雾烟罩灯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—灯罩玻璃采用钢化处理，压板及各加强档厚1.5mm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—前板、左右端板厚1.2mm，后板厚1.2mm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—沥油板加强片厚1.2mm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—左右小侧板、LED固定板、顶板、前网板厚≥1.0mm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—沥油板厚0.8mm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—配LED灯照明，前置双涡流静音稳压新风机，220V/250W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—播风口采用abs塑料，可多角度调节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—烟罩三侧配置旋流导流孔，集烟更方便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—UV灯、控制器及风机排烟风管另计</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13.9</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电力油炸机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≥870*665*1030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4608" behindDoc="0" locked="0" layoutInCell="1" allowOverlap="1">
                  <wp:simplePos x="0" y="0"/>
                  <wp:positionH relativeFrom="column">
                    <wp:posOffset>198120</wp:posOffset>
                  </wp:positionH>
                  <wp:positionV relativeFrom="paragraph">
                    <wp:posOffset>55245</wp:posOffset>
                  </wp:positionV>
                  <wp:extent cx="522605" cy="503555"/>
                  <wp:effectExtent l="0" t="0" r="10795" b="10795"/>
                  <wp:wrapNone/>
                  <wp:docPr id="186" name="Picture_137"/>
                  <wp:cNvGraphicFramePr/>
                  <a:graphic xmlns:a="http://schemas.openxmlformats.org/drawingml/2006/main">
                    <a:graphicData uri="http://schemas.openxmlformats.org/drawingml/2006/picture">
                      <pic:pic xmlns:pic="http://schemas.openxmlformats.org/drawingml/2006/picture">
                        <pic:nvPicPr>
                          <pic:cNvPr id="186" name="Picture_137"/>
                          <pic:cNvPicPr/>
                        </pic:nvPicPr>
                        <pic:blipFill>
                          <a:blip r:embed="rId86"/>
                          <a:stretch>
                            <a:fillRect/>
                          </a:stretch>
                        </pic:blipFill>
                        <pic:spPr>
                          <a:xfrm>
                            <a:off x="0" y="0"/>
                            <a:ext cx="522605" cy="50355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容量：≥40公升 功率/电压：6.2KW/380V  油槽尺寸：630(L)×410(W)×160(H)mm 温度范围：30～300°C 机器重量：65 KGS  标配： 不锈钢底网，温度开关，防尘盖 泄油阀，滤油网，盛油桶。超大功率，恆温操作，配备加热管，温控系统，</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调料台连下开门柜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≥450*750*800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5632" behindDoc="0" locked="0" layoutInCell="1" allowOverlap="1">
                  <wp:simplePos x="0" y="0"/>
                  <wp:positionH relativeFrom="column">
                    <wp:posOffset>85725</wp:posOffset>
                  </wp:positionH>
                  <wp:positionV relativeFrom="paragraph">
                    <wp:posOffset>161925</wp:posOffset>
                  </wp:positionV>
                  <wp:extent cx="876300" cy="628650"/>
                  <wp:effectExtent l="0" t="0" r="0" b="0"/>
                  <wp:wrapNone/>
                  <wp:docPr id="187" name="Picture_138"/>
                  <wp:cNvGraphicFramePr/>
                  <a:graphic xmlns:a="http://schemas.openxmlformats.org/drawingml/2006/main">
                    <a:graphicData uri="http://schemas.openxmlformats.org/drawingml/2006/picture">
                      <pic:pic xmlns:pic="http://schemas.openxmlformats.org/drawingml/2006/picture">
                        <pic:nvPicPr>
                          <pic:cNvPr id="187" name="Picture_138"/>
                          <pic:cNvPicPr/>
                        </pic:nvPicPr>
                        <pic:blipFill>
                          <a:blip r:embed="rId87"/>
                          <a:stretch>
                            <a:fillRect/>
                          </a:stretch>
                        </pic:blipFill>
                        <pic:spPr>
                          <a:xfrm>
                            <a:off x="0" y="0"/>
                            <a:ext cx="876300" cy="6286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1、材质：面板采用优质SUS304不锈钢板，实厚1.25，侧板201,实厚1.0。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2、台面一体成型。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3、提供设备所使用304不锈钢板材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机械款柜式电饼铛</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≥700*850*970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6656" behindDoc="0" locked="0" layoutInCell="1" allowOverlap="1">
                  <wp:simplePos x="0" y="0"/>
                  <wp:positionH relativeFrom="column">
                    <wp:posOffset>236220</wp:posOffset>
                  </wp:positionH>
                  <wp:positionV relativeFrom="paragraph">
                    <wp:posOffset>170815</wp:posOffset>
                  </wp:positionV>
                  <wp:extent cx="765175" cy="597535"/>
                  <wp:effectExtent l="0" t="0" r="15875" b="12065"/>
                  <wp:wrapNone/>
                  <wp:docPr id="188" name="Picture_139"/>
                  <wp:cNvGraphicFramePr/>
                  <a:graphic xmlns:a="http://schemas.openxmlformats.org/drawingml/2006/main">
                    <a:graphicData uri="http://schemas.openxmlformats.org/drawingml/2006/picture">
                      <pic:pic xmlns:pic="http://schemas.openxmlformats.org/drawingml/2006/picture">
                        <pic:nvPicPr>
                          <pic:cNvPr id="188" name="Picture_139"/>
                          <pic:cNvPicPr/>
                        </pic:nvPicPr>
                        <pic:blipFill>
                          <a:blip r:embed="rId88"/>
                          <a:stretch>
                            <a:fillRect/>
                          </a:stretch>
                        </pic:blipFill>
                        <pic:spPr>
                          <a:xfrm>
                            <a:off x="0" y="0"/>
                            <a:ext cx="765175" cy="59753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用料：全部采用优质不锈钢板，上盖及把手可采用304不锈钢材质，锅体采用特殊处理不粘锅，涂层永不掉，采用智能温控，精准温控，额定电压380v，额定功率50Hz，温度范围0℃-250℃，输入功率5kw，锅沿高度3cm，配有超温保护，温度误差小。</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49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8KW电磁煎包炉</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≥700*750*800+30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7680" behindDoc="0" locked="0" layoutInCell="1" allowOverlap="1">
                  <wp:simplePos x="0" y="0"/>
                  <wp:positionH relativeFrom="column">
                    <wp:posOffset>76200</wp:posOffset>
                  </wp:positionH>
                  <wp:positionV relativeFrom="paragraph">
                    <wp:posOffset>990600</wp:posOffset>
                  </wp:positionV>
                  <wp:extent cx="885825" cy="657225"/>
                  <wp:effectExtent l="0" t="0" r="9525" b="9525"/>
                  <wp:wrapNone/>
                  <wp:docPr id="189" name="Picture_140"/>
                  <wp:cNvGraphicFramePr/>
                  <a:graphic xmlns:a="http://schemas.openxmlformats.org/drawingml/2006/main">
                    <a:graphicData uri="http://schemas.openxmlformats.org/drawingml/2006/picture">
                      <pic:pic xmlns:pic="http://schemas.openxmlformats.org/drawingml/2006/picture">
                        <pic:nvPicPr>
                          <pic:cNvPr id="189" name="Picture_140"/>
                          <pic:cNvPicPr/>
                        </pic:nvPicPr>
                        <pic:blipFill>
                          <a:blip r:embed="rId89"/>
                          <a:stretch>
                            <a:fillRect/>
                          </a:stretch>
                        </pic:blipFill>
                        <pic:spPr>
                          <a:xfrm>
                            <a:off x="0" y="0"/>
                            <a:ext cx="885825" cy="6572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1、材质：面板采用优质SUS304不锈钢板，实厚1.25，侧板201,实厚1.0。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2、功率/电压：8KW/380V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3、锅体可旋转</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4、定制合金煎锅，加热快速均匀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5、显示屏带有中文故障原因，方便维修处理。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6、显示屏显示用电量，每天或每个月的能耗一目了然；节能看得见。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7、要求实时显示当前输出功率，方便火候掌控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8、智能9档菜单屏，既可以触摸设定功能，也可以九档360℃旋钮调节火力。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9，变频动态定温，接近恒温输出，厨艺不再难。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10、有3种常用功能：定时，定温，预约功能。缺一不可。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w:t>
            </w:r>
            <w:r>
              <w:rPr>
                <w:rFonts w:hint="eastAsia" w:ascii="宋体" w:hAnsi="宋体" w:cs="宋体"/>
                <w:color w:val="auto"/>
                <w:kern w:val="0"/>
                <w:sz w:val="20"/>
                <w:szCs w:val="20"/>
                <w:highlight w:val="none"/>
                <w:lang w:val="en-US" w:eastAsia="zh-CN" w:bidi="ar"/>
              </w:rPr>
              <w:t>至少</w:t>
            </w:r>
            <w:r>
              <w:rPr>
                <w:rFonts w:hint="eastAsia" w:ascii="宋体" w:hAnsi="宋体" w:cs="宋体"/>
                <w:color w:val="auto"/>
                <w:kern w:val="0"/>
                <w:sz w:val="20"/>
                <w:szCs w:val="20"/>
                <w:highlight w:val="none"/>
                <w:lang w:bidi="ar"/>
              </w:rPr>
              <w:t>有5种温度记忆菜单，可以根据不同菜品，快速选择不同温度烹饪。</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291"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15KW蒸炉(电磁单头蒸炉）</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≥700*750*800+30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8704" behindDoc="0" locked="0" layoutInCell="1" allowOverlap="1">
                  <wp:simplePos x="0" y="0"/>
                  <wp:positionH relativeFrom="column">
                    <wp:posOffset>85725</wp:posOffset>
                  </wp:positionH>
                  <wp:positionV relativeFrom="paragraph">
                    <wp:posOffset>95250</wp:posOffset>
                  </wp:positionV>
                  <wp:extent cx="876300" cy="762000"/>
                  <wp:effectExtent l="0" t="0" r="0" b="0"/>
                  <wp:wrapNone/>
                  <wp:docPr id="190" name="Picture_141"/>
                  <wp:cNvGraphicFramePr/>
                  <a:graphic xmlns:a="http://schemas.openxmlformats.org/drawingml/2006/main">
                    <a:graphicData uri="http://schemas.openxmlformats.org/drawingml/2006/picture">
                      <pic:pic xmlns:pic="http://schemas.openxmlformats.org/drawingml/2006/picture">
                        <pic:nvPicPr>
                          <pic:cNvPr id="190" name="Picture_141"/>
                          <pic:cNvPicPr/>
                        </pic:nvPicPr>
                        <pic:blipFill>
                          <a:blip r:embed="rId90"/>
                          <a:stretch>
                            <a:fillRect/>
                          </a:stretch>
                        </pic:blipFill>
                        <pic:spPr>
                          <a:xfrm>
                            <a:off x="0" y="0"/>
                            <a:ext cx="876300" cy="7620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1、材质：面板采用优质SUS304不锈钢板，实厚1.25，侧板201,实厚1.0。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2、规格（长*宽*高）：≥700*750*800+30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3、功率/电压：15KW/380V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4、自动进水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5、带排水阀设计，方便排水。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6、要求显示屏带有中文故障原因，方便维修处理。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7、要求显示屏显示用电量，每天或每个月的能耗一目了然；节能看得见。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8、要求实时显示当前输出功率，方便火候掌控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9、耐用方便的9档磁控360度旋纽火力调节器。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10变频动态定温，接近恒温输出，厨艺不再难。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11、要求实现3种常用功能：定时，定温，预约功能。缺一不可。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12、要求自带5种温度记忆菜单，快速选择不同温度烹饪。</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6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三层六盘电烤炉</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≥1420*1090*1660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49728" behindDoc="0" locked="0" layoutInCell="1" allowOverlap="1">
                  <wp:simplePos x="0" y="0"/>
                  <wp:positionH relativeFrom="column">
                    <wp:posOffset>85725</wp:posOffset>
                  </wp:positionH>
                  <wp:positionV relativeFrom="paragraph">
                    <wp:posOffset>76200</wp:posOffset>
                  </wp:positionV>
                  <wp:extent cx="876300" cy="790575"/>
                  <wp:effectExtent l="0" t="0" r="0" b="9525"/>
                  <wp:wrapNone/>
                  <wp:docPr id="191" name="Picture_142"/>
                  <wp:cNvGraphicFramePr/>
                  <a:graphic xmlns:a="http://schemas.openxmlformats.org/drawingml/2006/main">
                    <a:graphicData uri="http://schemas.openxmlformats.org/drawingml/2006/picture">
                      <pic:pic xmlns:pic="http://schemas.openxmlformats.org/drawingml/2006/picture">
                        <pic:nvPicPr>
                          <pic:cNvPr id="191" name="Picture_142"/>
                          <pic:cNvPicPr/>
                        </pic:nvPicPr>
                        <pic:blipFill>
                          <a:blip r:embed="rId91"/>
                          <a:stretch>
                            <a:fillRect/>
                          </a:stretch>
                        </pic:blipFill>
                        <pic:spPr>
                          <a:xfrm>
                            <a:off x="0" y="0"/>
                            <a:ext cx="876300" cy="7905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380V 18KW  1、数字显示触摸式控制面板，加装固态继电器，温度控制精度正负1度。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2、内胆为镀铝板，满焊，底板为5MM厚冷轧板，侧面保温层17cm，层与层之间8cm的保温层。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3、电热丝为镍铬发热丝，耐氧化耐腐蚀，不变形。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4、进线为</w:t>
            </w:r>
            <w:r>
              <w:rPr>
                <w:rFonts w:hint="eastAsia" w:ascii="宋体" w:hAnsi="宋体" w:cs="宋体"/>
                <w:color w:val="auto"/>
                <w:kern w:val="0"/>
                <w:sz w:val="20"/>
                <w:szCs w:val="20"/>
                <w:highlight w:val="none"/>
                <w:lang w:val="en-US" w:eastAsia="zh-CN" w:bidi="ar"/>
              </w:rPr>
              <w:t>优质</w:t>
            </w:r>
            <w:r>
              <w:rPr>
                <w:rFonts w:hint="eastAsia" w:ascii="宋体" w:hAnsi="宋体" w:cs="宋体"/>
                <w:color w:val="auto"/>
                <w:kern w:val="0"/>
                <w:sz w:val="20"/>
                <w:szCs w:val="20"/>
                <w:highlight w:val="none"/>
                <w:lang w:bidi="ar"/>
              </w:rPr>
              <w:t xml:space="preserve">电缆。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1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19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触控智能挂墙柜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≥700*350*720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850752" behindDoc="0" locked="0" layoutInCell="1" allowOverlap="1">
                  <wp:simplePos x="0" y="0"/>
                  <wp:positionH relativeFrom="column">
                    <wp:posOffset>333375</wp:posOffset>
                  </wp:positionH>
                  <wp:positionV relativeFrom="paragraph">
                    <wp:posOffset>92075</wp:posOffset>
                  </wp:positionV>
                  <wp:extent cx="342900" cy="317500"/>
                  <wp:effectExtent l="0" t="0" r="0" b="6350"/>
                  <wp:wrapNone/>
                  <wp:docPr id="192" name="图片_248"/>
                  <wp:cNvGraphicFramePr/>
                  <a:graphic xmlns:a="http://schemas.openxmlformats.org/drawingml/2006/main">
                    <a:graphicData uri="http://schemas.openxmlformats.org/drawingml/2006/picture">
                      <pic:pic xmlns:pic="http://schemas.openxmlformats.org/drawingml/2006/picture">
                        <pic:nvPicPr>
                          <pic:cNvPr id="192" name="图片_248"/>
                          <pic:cNvPicPr/>
                        </pic:nvPicPr>
                        <pic:blipFill>
                          <a:blip r:embed="rId92"/>
                          <a:stretch>
                            <a:fillRect/>
                          </a:stretch>
                        </pic:blipFill>
                        <pic:spPr>
                          <a:xfrm>
                            <a:off x="0" y="0"/>
                            <a:ext cx="342900" cy="317500"/>
                          </a:xfrm>
                          <a:prstGeom prst="rect">
                            <a:avLst/>
                          </a:prstGeom>
                          <a:noFill/>
                          <a:ln>
                            <a:noFill/>
                          </a:ln>
                        </pic:spPr>
                      </pic:pic>
                    </a:graphicData>
                  </a:graphic>
                </wp:anchor>
              </w:drawing>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501650</wp:posOffset>
                  </wp:positionV>
                  <wp:extent cx="316865" cy="317500"/>
                  <wp:effectExtent l="0" t="0" r="6985" b="6350"/>
                  <wp:wrapNone/>
                  <wp:docPr id="1" name="图片_249"/>
                  <wp:cNvGraphicFramePr/>
                  <a:graphic xmlns:a="http://schemas.openxmlformats.org/drawingml/2006/main">
                    <a:graphicData uri="http://schemas.openxmlformats.org/drawingml/2006/picture">
                      <pic:pic xmlns:pic="http://schemas.openxmlformats.org/drawingml/2006/picture">
                        <pic:nvPicPr>
                          <pic:cNvPr id="1" name="图片_249"/>
                          <pic:cNvPicPr/>
                        </pic:nvPicPr>
                        <pic:blipFill>
                          <a:blip r:embed="rId93"/>
                          <a:stretch>
                            <a:fillRect/>
                          </a:stretch>
                        </pic:blipFill>
                        <pic:spPr>
                          <a:xfrm>
                            <a:off x="0" y="0"/>
                            <a:ext cx="316865" cy="3175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外柜柜体采用1.0mm，304不锈钢制作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对开门设计，采用带阻尼大弯合页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人站立伸手可取物品方便，不用借助其他攀爬工具取物品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内置可升降双层置物架，可手动开门取物，也可底部触摸感应，自助升降取物，底部安装有触摸感应装置，可控制下降、上升、暂停等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采用电源适配器，220V/12W具有WIFI物联网功能，可接入厨房物联网平台</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8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16.工具消毒间</w:t>
            </w:r>
          </w:p>
        </w:tc>
      </w:tr>
      <w:tr>
        <w:tblPrEx>
          <w:tblCellMar>
            <w:top w:w="0" w:type="dxa"/>
            <w:left w:w="108" w:type="dxa"/>
            <w:bottom w:w="0" w:type="dxa"/>
            <w:right w:w="108" w:type="dxa"/>
          </w:tblCellMar>
        </w:tblPrEx>
        <w:trPr>
          <w:trHeight w:val="364"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≥750*750*950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0288"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2" name="Picture_143"/>
                  <wp:cNvGraphicFramePr/>
                  <a:graphic xmlns:a="http://schemas.openxmlformats.org/drawingml/2006/main">
                    <a:graphicData uri="http://schemas.openxmlformats.org/drawingml/2006/picture">
                      <pic:pic xmlns:pic="http://schemas.openxmlformats.org/drawingml/2006/picture">
                        <pic:nvPicPr>
                          <pic:cNvPr id="2" name="Picture_143"/>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1312"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5" name="Picture_144"/>
                  <wp:cNvGraphicFramePr/>
                  <a:graphic xmlns:a="http://schemas.openxmlformats.org/drawingml/2006/main">
                    <a:graphicData uri="http://schemas.openxmlformats.org/drawingml/2006/picture">
                      <pic:pic xmlns:pic="http://schemas.openxmlformats.org/drawingml/2006/picture">
                        <pic:nvPicPr>
                          <pic:cNvPr id="5" name="Picture_144"/>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4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7" name="Picture_1_SpCnt_19"/>
                  <wp:cNvGraphicFramePr/>
                  <a:graphic xmlns:a="http://schemas.openxmlformats.org/drawingml/2006/main">
                    <a:graphicData uri="http://schemas.openxmlformats.org/drawingml/2006/picture">
                      <pic:pic xmlns:pic="http://schemas.openxmlformats.org/drawingml/2006/picture">
                        <pic:nvPicPr>
                          <pic:cNvPr id="7" name="Picture_1_SpCnt_19"/>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立式单门消毒柜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≥670*630*1880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3360" behindDoc="0" locked="0" layoutInCell="1" allowOverlap="1">
                  <wp:simplePos x="0" y="0"/>
                  <wp:positionH relativeFrom="column">
                    <wp:posOffset>276225</wp:posOffset>
                  </wp:positionH>
                  <wp:positionV relativeFrom="paragraph">
                    <wp:posOffset>123825</wp:posOffset>
                  </wp:positionV>
                  <wp:extent cx="447040" cy="695325"/>
                  <wp:effectExtent l="0" t="0" r="10160" b="9525"/>
                  <wp:wrapNone/>
                  <wp:docPr id="8" name="Picture_145"/>
                  <wp:cNvGraphicFramePr/>
                  <a:graphic xmlns:a="http://schemas.openxmlformats.org/drawingml/2006/main">
                    <a:graphicData uri="http://schemas.openxmlformats.org/drawingml/2006/picture">
                      <pic:pic xmlns:pic="http://schemas.openxmlformats.org/drawingml/2006/picture">
                        <pic:nvPicPr>
                          <pic:cNvPr id="8" name="Picture_145"/>
                          <pic:cNvPicPr/>
                        </pic:nvPicPr>
                        <pic:blipFill>
                          <a:blip r:embed="rId94"/>
                          <a:stretch>
                            <a:fillRect/>
                          </a:stretch>
                        </pic:blipFill>
                        <pic:spPr>
                          <a:xfrm>
                            <a:off x="0" y="0"/>
                            <a:ext cx="447040" cy="6953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全优质不锈钢板材制作，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配备不锈钢框篮。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电热管热风循环加热，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柜内温度控制：30~150℃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有效容积：≥360L</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55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17.预进间</w:t>
            </w: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落地柜式洗手双星盆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≥864*420*800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4384" behindDoc="0" locked="0" layoutInCell="1" allowOverlap="1">
                  <wp:simplePos x="0" y="0"/>
                  <wp:positionH relativeFrom="column">
                    <wp:posOffset>173355</wp:posOffset>
                  </wp:positionH>
                  <wp:positionV relativeFrom="paragraph">
                    <wp:posOffset>86360</wp:posOffset>
                  </wp:positionV>
                  <wp:extent cx="577215" cy="623570"/>
                  <wp:effectExtent l="0" t="0" r="13335" b="5080"/>
                  <wp:wrapNone/>
                  <wp:docPr id="9" name="Picture_148"/>
                  <wp:cNvGraphicFramePr/>
                  <a:graphic xmlns:a="http://schemas.openxmlformats.org/drawingml/2006/main">
                    <a:graphicData uri="http://schemas.openxmlformats.org/drawingml/2006/picture">
                      <pic:pic xmlns:pic="http://schemas.openxmlformats.org/drawingml/2006/picture">
                        <pic:nvPicPr>
                          <pic:cNvPr id="9" name="Picture_148"/>
                          <pic:cNvPicPr/>
                        </pic:nvPicPr>
                        <pic:blipFill>
                          <a:blip r:embed="rId95"/>
                          <a:stretch>
                            <a:fillRect/>
                          </a:stretch>
                        </pic:blipFill>
                        <pic:spPr>
                          <a:xfrm>
                            <a:off x="0" y="0"/>
                            <a:ext cx="577215" cy="62357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—台面背板厚1.2㎜,水斗板厚≥1.0mm，左右侧板0.8mm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—水斗一体冲压折弯成型，规格：≥350*248*145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—柜式结构无卫生死角，配快拆式维修门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—配￠45落水器</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5408" behindDoc="0" locked="0" layoutInCell="1" allowOverlap="1">
                  <wp:simplePos x="0" y="0"/>
                  <wp:positionH relativeFrom="column">
                    <wp:posOffset>354330</wp:posOffset>
                  </wp:positionH>
                  <wp:positionV relativeFrom="paragraph">
                    <wp:posOffset>144780</wp:posOffset>
                  </wp:positionV>
                  <wp:extent cx="209550" cy="361950"/>
                  <wp:effectExtent l="0" t="0" r="0" b="0"/>
                  <wp:wrapNone/>
                  <wp:docPr id="10" name="Picture_1_SpCnt_20"/>
                  <wp:cNvGraphicFramePr/>
                  <a:graphic xmlns:a="http://schemas.openxmlformats.org/drawingml/2006/main">
                    <a:graphicData uri="http://schemas.openxmlformats.org/drawingml/2006/picture">
                      <pic:pic xmlns:pic="http://schemas.openxmlformats.org/drawingml/2006/picture">
                        <pic:nvPicPr>
                          <pic:cNvPr id="10" name="Picture_1_SpCnt_20"/>
                          <pic:cNvPicPr/>
                        </pic:nvPicPr>
                        <pic:blipFill>
                          <a:blip r:embed="rId96"/>
                          <a:stretch>
                            <a:fillRect/>
                          </a:stretch>
                        </pic:blipFill>
                        <pic:spPr>
                          <a:xfrm>
                            <a:off x="0" y="0"/>
                            <a:ext cx="209550" cy="3619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18.备餐间</w:t>
            </w:r>
          </w:p>
        </w:tc>
      </w:tr>
      <w:tr>
        <w:tblPrEx>
          <w:tblCellMar>
            <w:top w:w="0" w:type="dxa"/>
            <w:left w:w="108" w:type="dxa"/>
            <w:bottom w:w="0" w:type="dxa"/>
            <w:right w:w="108" w:type="dxa"/>
          </w:tblCellMar>
        </w:tblPrEx>
        <w:trPr>
          <w:trHeight w:val="217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立式双门消毒柜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≥1310*635*1880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6432" behindDoc="0" locked="0" layoutInCell="1" allowOverlap="1">
                  <wp:simplePos x="0" y="0"/>
                  <wp:positionH relativeFrom="column">
                    <wp:posOffset>220980</wp:posOffset>
                  </wp:positionH>
                  <wp:positionV relativeFrom="paragraph">
                    <wp:posOffset>638175</wp:posOffset>
                  </wp:positionV>
                  <wp:extent cx="666750" cy="828675"/>
                  <wp:effectExtent l="0" t="0" r="0" b="9525"/>
                  <wp:wrapNone/>
                  <wp:docPr id="11" name="Picture_149"/>
                  <wp:cNvGraphicFramePr/>
                  <a:graphic xmlns:a="http://schemas.openxmlformats.org/drawingml/2006/main">
                    <a:graphicData uri="http://schemas.openxmlformats.org/drawingml/2006/picture">
                      <pic:pic xmlns:pic="http://schemas.openxmlformats.org/drawingml/2006/picture">
                        <pic:nvPicPr>
                          <pic:cNvPr id="11" name="Picture_149"/>
                          <pic:cNvPicPr/>
                        </pic:nvPicPr>
                        <pic:blipFill>
                          <a:blip r:embed="rId97"/>
                          <a:stretch>
                            <a:fillRect/>
                          </a:stretch>
                        </pic:blipFill>
                        <pic:spPr>
                          <a:xfrm>
                            <a:off x="0" y="0"/>
                            <a:ext cx="66675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电源: 220V/50HZ 输入功率: 4.6KW 电流: 21.5A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温度范围30~ 150°C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2、使用耐高温风机、不锈钢加热管及微电脑控制板;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3、柜内配备不锈钢网篮，网框为不锈钢材质，表面二次镀镍防锈,生、耐用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4、内箱板材厚度1.0mm, 外箱板材厚度0.8mm。外箱顶部及外箱后背板使用环保无锌花表面钝化优质镀锌板;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5、柜内配备8个网框</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高身储碟柜（翻门) </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85725</wp:posOffset>
                  </wp:positionH>
                  <wp:positionV relativeFrom="paragraph">
                    <wp:posOffset>200025</wp:posOffset>
                  </wp:positionV>
                  <wp:extent cx="790575" cy="552450"/>
                  <wp:effectExtent l="0" t="0" r="9525" b="0"/>
                  <wp:wrapNone/>
                  <wp:docPr id="12" name="Picture_150"/>
                  <wp:cNvGraphicFramePr/>
                  <a:graphic xmlns:a="http://schemas.openxmlformats.org/drawingml/2006/main">
                    <a:graphicData uri="http://schemas.openxmlformats.org/drawingml/2006/picture">
                      <pic:pic xmlns:pic="http://schemas.openxmlformats.org/drawingml/2006/picture">
                        <pic:nvPicPr>
                          <pic:cNvPr id="12" name="Picture_150"/>
                          <pic:cNvPicPr/>
                        </pic:nvPicPr>
                        <pic:blipFill>
                          <a:blip r:embed="rId98"/>
                          <a:stretch>
                            <a:fillRect/>
                          </a:stretch>
                        </pic:blipFill>
                        <pic:spPr>
                          <a:xfrm>
                            <a:off x="0" y="0"/>
                            <a:ext cx="790575" cy="552450"/>
                          </a:xfrm>
                          <a:prstGeom prst="rect">
                            <a:avLst/>
                          </a:prstGeom>
                          <a:noFill/>
                          <a:ln>
                            <a:noFill/>
                          </a:ln>
                        </pic:spPr>
                      </pic:pic>
                    </a:graphicData>
                  </a:graphic>
                </wp:anchor>
              </w:drawing>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8480" behindDoc="0" locked="0" layoutInCell="1" allowOverlap="1">
                  <wp:simplePos x="0" y="0"/>
                  <wp:positionH relativeFrom="column">
                    <wp:posOffset>85725</wp:posOffset>
                  </wp:positionH>
                  <wp:positionV relativeFrom="paragraph">
                    <wp:posOffset>200025</wp:posOffset>
                  </wp:positionV>
                  <wp:extent cx="790575" cy="552450"/>
                  <wp:effectExtent l="0" t="0" r="9525" b="0"/>
                  <wp:wrapNone/>
                  <wp:docPr id="13" name="Picture_125_SpCnt_1"/>
                  <wp:cNvGraphicFramePr/>
                  <a:graphic xmlns:a="http://schemas.openxmlformats.org/drawingml/2006/main">
                    <a:graphicData uri="http://schemas.openxmlformats.org/drawingml/2006/picture">
                      <pic:pic xmlns:pic="http://schemas.openxmlformats.org/drawingml/2006/picture">
                        <pic:nvPicPr>
                          <pic:cNvPr id="13" name="Picture_125_SpCnt_1"/>
                          <pic:cNvPicPr/>
                        </pic:nvPicPr>
                        <pic:blipFill>
                          <a:blip r:embed="rId98"/>
                          <a:stretch>
                            <a:fillRect/>
                          </a:stretch>
                        </pic:blipFill>
                        <pic:spPr>
                          <a:xfrm>
                            <a:off x="0" y="0"/>
                            <a:ext cx="790575" cy="5524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—层板、底板厚为1.0mm，门外板厚≥1.0mm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—门内复板厚0.8mm，顶板厚0.8mm，侧板厚0.8mm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69504"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14" name="Picture_152"/>
                  <wp:cNvGraphicFramePr/>
                  <a:graphic xmlns:a="http://schemas.openxmlformats.org/drawingml/2006/main">
                    <a:graphicData uri="http://schemas.openxmlformats.org/drawingml/2006/picture">
                      <pic:pic xmlns:pic="http://schemas.openxmlformats.org/drawingml/2006/picture">
                        <pic:nvPicPr>
                          <pic:cNvPr id="14" name="Picture_152"/>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29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双星水池柜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0528" behindDoc="0" locked="0" layoutInCell="1" allowOverlap="1">
                  <wp:simplePos x="0" y="0"/>
                  <wp:positionH relativeFrom="column">
                    <wp:posOffset>85725</wp:posOffset>
                  </wp:positionH>
                  <wp:positionV relativeFrom="paragraph">
                    <wp:posOffset>133350</wp:posOffset>
                  </wp:positionV>
                  <wp:extent cx="790575" cy="676275"/>
                  <wp:effectExtent l="0" t="0" r="9525" b="9525"/>
                  <wp:wrapNone/>
                  <wp:docPr id="15" name="Picture_153"/>
                  <wp:cNvGraphicFramePr/>
                  <a:graphic xmlns:a="http://schemas.openxmlformats.org/drawingml/2006/main">
                    <a:graphicData uri="http://schemas.openxmlformats.org/drawingml/2006/picture">
                      <pic:pic xmlns:pic="http://schemas.openxmlformats.org/drawingml/2006/picture">
                        <pic:nvPicPr>
                          <pic:cNvPr id="15" name="Picture_153"/>
                          <pic:cNvPicPr/>
                        </pic:nvPicPr>
                        <pic:blipFill>
                          <a:blip r:embed="rId99"/>
                          <a:stretch>
                            <a:fillRect/>
                          </a:stretch>
                        </pic:blipFill>
                        <pic:spPr>
                          <a:xfrm>
                            <a:off x="0" y="0"/>
                            <a:ext cx="790575" cy="676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—采用SUS304-2B不锈钢板制造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—台面板厚≥1.2㎜,水斗板厚≥1.0mm，前板、侧板厚0.8mm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—门外壳板厚≥1.0mm，门内复板厚0.6mm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—柜内层板、底板板厚1.0㎜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1552" behindDoc="0" locked="0" layoutInCell="1" allowOverlap="1">
                  <wp:simplePos x="0" y="0"/>
                  <wp:positionH relativeFrom="column">
                    <wp:posOffset>314325</wp:posOffset>
                  </wp:positionH>
                  <wp:positionV relativeFrom="paragraph">
                    <wp:posOffset>19050</wp:posOffset>
                  </wp:positionV>
                  <wp:extent cx="273050" cy="471170"/>
                  <wp:effectExtent l="0" t="0" r="12700" b="5080"/>
                  <wp:wrapNone/>
                  <wp:docPr id="16" name="Picture_1_SpCnt_21"/>
                  <wp:cNvGraphicFramePr/>
                  <a:graphic xmlns:a="http://schemas.openxmlformats.org/drawingml/2006/main">
                    <a:graphicData uri="http://schemas.openxmlformats.org/drawingml/2006/picture">
                      <pic:pic xmlns:pic="http://schemas.openxmlformats.org/drawingml/2006/picture">
                        <pic:nvPicPr>
                          <pic:cNvPr id="16" name="Picture_1_SpCnt_21"/>
                          <pic:cNvPicPr/>
                        </pic:nvPicPr>
                        <pic:blipFill>
                          <a:blip r:embed="rId100"/>
                          <a:stretch>
                            <a:fillRect/>
                          </a:stretch>
                        </pic:blipFill>
                        <pic:spPr>
                          <a:xfrm>
                            <a:off x="0" y="0"/>
                            <a:ext cx="273050" cy="47117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≥1800*800*800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2576"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17" name="Picture_154"/>
                  <wp:cNvGraphicFramePr/>
                  <a:graphic xmlns:a="http://schemas.openxmlformats.org/drawingml/2006/main">
                    <a:graphicData uri="http://schemas.openxmlformats.org/drawingml/2006/picture">
                      <pic:pic xmlns:pic="http://schemas.openxmlformats.org/drawingml/2006/picture">
                        <pic:nvPicPr>
                          <pic:cNvPr id="17" name="Picture_154"/>
                          <pic:cNvPicPr/>
                        </pic:nvPicPr>
                        <pic:blipFill>
                          <a:blip r:embed="rId51"/>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19.洗碗间</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3600"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18" name="Picture_169"/>
                  <wp:cNvGraphicFramePr/>
                  <a:graphic xmlns:a="http://schemas.openxmlformats.org/drawingml/2006/main">
                    <a:graphicData uri="http://schemas.openxmlformats.org/drawingml/2006/picture">
                      <pic:pic xmlns:pic="http://schemas.openxmlformats.org/drawingml/2006/picture">
                        <pic:nvPicPr>
                          <pic:cNvPr id="18" name="Picture_169"/>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4624"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19" name="Picture_170"/>
                  <wp:cNvGraphicFramePr/>
                  <a:graphic xmlns:a="http://schemas.openxmlformats.org/drawingml/2006/main">
                    <a:graphicData uri="http://schemas.openxmlformats.org/drawingml/2006/picture">
                      <pic:pic xmlns:pic="http://schemas.openxmlformats.org/drawingml/2006/picture">
                        <pic:nvPicPr>
                          <pic:cNvPr id="19" name="Picture_170"/>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20" name="Picture_1_SpCnt_22"/>
                  <wp:cNvGraphicFramePr/>
                  <a:graphic xmlns:a="http://schemas.openxmlformats.org/drawingml/2006/main">
                    <a:graphicData uri="http://schemas.openxmlformats.org/drawingml/2006/picture">
                      <pic:pic xmlns:pic="http://schemas.openxmlformats.org/drawingml/2006/picture">
                        <pic:nvPicPr>
                          <pic:cNvPr id="20" name="Picture_1_SpCnt_22"/>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单星浸泡池（无背板）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≥1875*1350*800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6672" behindDoc="0" locked="0" layoutInCell="1" allowOverlap="1">
                  <wp:simplePos x="0" y="0"/>
                  <wp:positionH relativeFrom="column">
                    <wp:posOffset>85725</wp:posOffset>
                  </wp:positionH>
                  <wp:positionV relativeFrom="paragraph">
                    <wp:posOffset>104775</wp:posOffset>
                  </wp:positionV>
                  <wp:extent cx="790575" cy="752475"/>
                  <wp:effectExtent l="0" t="0" r="9525" b="9525"/>
                  <wp:wrapNone/>
                  <wp:docPr id="21" name="Picture_172"/>
                  <wp:cNvGraphicFramePr/>
                  <a:graphic xmlns:a="http://schemas.openxmlformats.org/drawingml/2006/main">
                    <a:graphicData uri="http://schemas.openxmlformats.org/drawingml/2006/picture">
                      <pic:pic xmlns:pic="http://schemas.openxmlformats.org/drawingml/2006/picture">
                        <pic:nvPicPr>
                          <pic:cNvPr id="21" name="Picture_172"/>
                          <pic:cNvPicPr/>
                        </pic:nvPicPr>
                        <pic:blipFill>
                          <a:blip r:embed="rId101"/>
                          <a:stretch>
                            <a:fillRect/>
                          </a:stretch>
                        </pic:blipFill>
                        <pic:spPr>
                          <a:xfrm>
                            <a:off x="0" y="0"/>
                            <a:ext cx="790575" cy="7524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—水斗规格：≥定制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—38*38mm厚度1.0mm不锈钢脚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—斗底采用38*38mm厚度1.0mm方管加强支撑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—配不锈钢包钢可调式子弹脚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74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w:t>
            </w:r>
            <w:r>
              <w:rPr>
                <w:rFonts w:hint="eastAsia" w:ascii="宋体" w:hAnsi="宋体" w:cs="宋体"/>
                <w:color w:val="auto"/>
                <w:kern w:val="0"/>
                <w:sz w:val="20"/>
                <w:szCs w:val="20"/>
                <w:highlight w:val="none"/>
                <w:lang w:bidi="ar"/>
              </w:rPr>
              <w:t>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7696" behindDoc="0" locked="0" layoutInCell="1" allowOverlap="1">
                  <wp:simplePos x="0" y="0"/>
                  <wp:positionH relativeFrom="column">
                    <wp:posOffset>304800</wp:posOffset>
                  </wp:positionH>
                  <wp:positionV relativeFrom="paragraph">
                    <wp:posOffset>346710</wp:posOffset>
                  </wp:positionV>
                  <wp:extent cx="790575" cy="590550"/>
                  <wp:effectExtent l="0" t="0" r="9525" b="0"/>
                  <wp:wrapNone/>
                  <wp:docPr id="22" name="Picture_1_SpCnt_23"/>
                  <wp:cNvGraphicFramePr/>
                  <a:graphic xmlns:a="http://schemas.openxmlformats.org/drawingml/2006/main">
                    <a:graphicData uri="http://schemas.openxmlformats.org/drawingml/2006/picture">
                      <pic:pic xmlns:pic="http://schemas.openxmlformats.org/drawingml/2006/picture">
                        <pic:nvPicPr>
                          <pic:cNvPr id="22" name="Picture_1_SpCnt_23"/>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20.碟库</w:t>
            </w:r>
          </w:p>
        </w:tc>
      </w:tr>
      <w:tr>
        <w:tblPrEx>
          <w:tblCellMar>
            <w:top w:w="0" w:type="dxa"/>
            <w:left w:w="108" w:type="dxa"/>
            <w:bottom w:w="0" w:type="dxa"/>
            <w:right w:w="108" w:type="dxa"/>
          </w:tblCellMar>
        </w:tblPrEx>
        <w:trPr>
          <w:trHeight w:val="352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r>
              <w:rPr>
                <w:rFonts w:ascii="宋体" w:hAnsi="宋体" w:cs="宋体"/>
                <w:color w:val="auto"/>
                <w:kern w:val="0"/>
                <w:sz w:val="20"/>
                <w:szCs w:val="20"/>
                <w:highlight w:val="none"/>
                <w:lang w:bidi="ar"/>
              </w:rPr>
              <w:t>37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立式双门消毒柜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≥1310*635*1880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8720" behindDoc="0" locked="0" layoutInCell="1" allowOverlap="1">
                  <wp:simplePos x="0" y="0"/>
                  <wp:positionH relativeFrom="column">
                    <wp:posOffset>101600</wp:posOffset>
                  </wp:positionH>
                  <wp:positionV relativeFrom="paragraph">
                    <wp:posOffset>368300</wp:posOffset>
                  </wp:positionV>
                  <wp:extent cx="666750" cy="228600"/>
                  <wp:effectExtent l="0" t="0" r="0" b="0"/>
                  <wp:wrapNone/>
                  <wp:docPr id="23" name="Picture_174"/>
                  <wp:cNvGraphicFramePr/>
                  <a:graphic xmlns:a="http://schemas.openxmlformats.org/drawingml/2006/main">
                    <a:graphicData uri="http://schemas.openxmlformats.org/drawingml/2006/picture">
                      <pic:pic xmlns:pic="http://schemas.openxmlformats.org/drawingml/2006/picture">
                        <pic:nvPicPr>
                          <pic:cNvPr id="23" name="Picture_174"/>
                          <pic:cNvPicPr/>
                        </pic:nvPicPr>
                        <pic:blipFill>
                          <a:blip r:embed="rId102"/>
                          <a:stretch>
                            <a:fillRect/>
                          </a:stretch>
                        </pic:blipFill>
                        <pic:spPr>
                          <a:xfrm>
                            <a:off x="0" y="0"/>
                            <a:ext cx="666750" cy="228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电源: 220V/50HZ 输入功率: 4.6KW 电流: 21.5A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温度范围30~ 150°C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2、使用耐高温风机、不锈钢加热管及微电脑控制板;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3、柜内配备不锈钢网篮，网框为不锈钢材质，表面二次镀镍防锈,生、耐用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4、内箱板材厚度≥1.0mm, 外箱板材厚度≥0.8mm。外箱顶部及外箱后背板使用环保无锌花表面钝化优质镀锌板;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5、柜内配备8个网框</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138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高身储碟柜（翻门) </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79744" behindDoc="0" locked="0" layoutInCell="1" allowOverlap="1">
                  <wp:simplePos x="0" y="0"/>
                  <wp:positionH relativeFrom="column">
                    <wp:posOffset>180975</wp:posOffset>
                  </wp:positionH>
                  <wp:positionV relativeFrom="paragraph">
                    <wp:posOffset>66675</wp:posOffset>
                  </wp:positionV>
                  <wp:extent cx="609600" cy="828675"/>
                  <wp:effectExtent l="0" t="0" r="0" b="9525"/>
                  <wp:wrapNone/>
                  <wp:docPr id="24" name="Picture_175"/>
                  <wp:cNvGraphicFramePr/>
                  <a:graphic xmlns:a="http://schemas.openxmlformats.org/drawingml/2006/main">
                    <a:graphicData uri="http://schemas.openxmlformats.org/drawingml/2006/picture">
                      <pic:pic xmlns:pic="http://schemas.openxmlformats.org/drawingml/2006/picture">
                        <pic:nvPicPr>
                          <pic:cNvPr id="24" name="Picture_175"/>
                          <pic:cNvPicPr/>
                        </pic:nvPicPr>
                        <pic:blipFill>
                          <a:blip r:embed="rId103"/>
                          <a:stretch>
                            <a:fillRect/>
                          </a:stretch>
                        </pic:blipFill>
                        <pic:spPr>
                          <a:xfrm>
                            <a:off x="0" y="0"/>
                            <a:ext cx="60960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—层板、底板厚为1.0mm，门外板厚≥1.0mm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—门内复板厚0.8mm，顶板厚0.8mm，侧板厚0.8mm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21.备餐</w:t>
            </w: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139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0768"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25" name="Picture_178"/>
                  <wp:cNvGraphicFramePr/>
                  <a:graphic xmlns:a="http://schemas.openxmlformats.org/drawingml/2006/main">
                    <a:graphicData uri="http://schemas.openxmlformats.org/drawingml/2006/picture">
                      <pic:pic xmlns:pic="http://schemas.openxmlformats.org/drawingml/2006/picture">
                        <pic:nvPicPr>
                          <pic:cNvPr id="25" name="Picture_178"/>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1792"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26" name="Picture_179"/>
                  <wp:cNvGraphicFramePr/>
                  <a:graphic xmlns:a="http://schemas.openxmlformats.org/drawingml/2006/main">
                    <a:graphicData uri="http://schemas.openxmlformats.org/drawingml/2006/picture">
                      <pic:pic xmlns:pic="http://schemas.openxmlformats.org/drawingml/2006/picture">
                        <pic:nvPicPr>
                          <pic:cNvPr id="26" name="Picture_179"/>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28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工作柜带水池（左星）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2816"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27" name="Picture_180"/>
                  <wp:cNvGraphicFramePr/>
                  <a:graphic xmlns:a="http://schemas.openxmlformats.org/drawingml/2006/main">
                    <a:graphicData uri="http://schemas.openxmlformats.org/drawingml/2006/picture">
                      <pic:pic xmlns:pic="http://schemas.openxmlformats.org/drawingml/2006/picture">
                        <pic:nvPicPr>
                          <pic:cNvPr id="27" name="Picture_180"/>
                          <pic:cNvPicPr/>
                        </pic:nvPicPr>
                        <pic:blipFill>
                          <a:blip r:embed="rId104"/>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3840" behindDoc="0" locked="0" layoutInCell="1" allowOverlap="1">
                  <wp:simplePos x="0" y="0"/>
                  <wp:positionH relativeFrom="column">
                    <wp:posOffset>308610</wp:posOffset>
                  </wp:positionH>
                  <wp:positionV relativeFrom="paragraph">
                    <wp:posOffset>112395</wp:posOffset>
                  </wp:positionV>
                  <wp:extent cx="285115" cy="401955"/>
                  <wp:effectExtent l="0" t="0" r="635" b="17145"/>
                  <wp:wrapNone/>
                  <wp:docPr id="28" name="Picture_1_SpCnt_24"/>
                  <wp:cNvGraphicFramePr/>
                  <a:graphic xmlns:a="http://schemas.openxmlformats.org/drawingml/2006/main">
                    <a:graphicData uri="http://schemas.openxmlformats.org/drawingml/2006/picture">
                      <pic:pic xmlns:pic="http://schemas.openxmlformats.org/drawingml/2006/picture">
                        <pic:nvPicPr>
                          <pic:cNvPr id="28" name="Picture_1_SpCnt_24"/>
                          <pic:cNvPicPr/>
                        </pic:nvPicPr>
                        <pic:blipFill>
                          <a:blip r:embed="rId105"/>
                          <a:stretch>
                            <a:fillRect/>
                          </a:stretch>
                        </pic:blipFill>
                        <pic:spPr>
                          <a:xfrm>
                            <a:off x="0" y="0"/>
                            <a:ext cx="285115" cy="40195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≥1121*750*800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4864"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29" name="Picture_182"/>
                  <wp:cNvGraphicFramePr/>
                  <a:graphic xmlns:a="http://schemas.openxmlformats.org/drawingml/2006/main">
                    <a:graphicData uri="http://schemas.openxmlformats.org/drawingml/2006/picture">
                      <pic:pic xmlns:pic="http://schemas.openxmlformats.org/drawingml/2006/picture">
                        <pic:nvPicPr>
                          <pic:cNvPr id="29" name="Picture_182"/>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43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6912"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31" name="Picture_183"/>
                  <wp:cNvGraphicFramePr/>
                  <a:graphic xmlns:a="http://schemas.openxmlformats.org/drawingml/2006/main">
                    <a:graphicData uri="http://schemas.openxmlformats.org/drawingml/2006/picture">
                      <pic:pic xmlns:pic="http://schemas.openxmlformats.org/drawingml/2006/picture">
                        <pic:nvPicPr>
                          <pic:cNvPr id="31" name="Picture_183"/>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5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五斗保温售菜台（不可配玻璃保护罩）</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7936" behindDoc="0" locked="0" layoutInCell="1" allowOverlap="1">
                  <wp:simplePos x="0" y="0"/>
                  <wp:positionH relativeFrom="column">
                    <wp:posOffset>85725</wp:posOffset>
                  </wp:positionH>
                  <wp:positionV relativeFrom="paragraph">
                    <wp:posOffset>219075</wp:posOffset>
                  </wp:positionV>
                  <wp:extent cx="790575" cy="523875"/>
                  <wp:effectExtent l="0" t="0" r="9525" b="9525"/>
                  <wp:wrapNone/>
                  <wp:docPr id="32" name="Picture_184"/>
                  <wp:cNvGraphicFramePr/>
                  <a:graphic xmlns:a="http://schemas.openxmlformats.org/drawingml/2006/main">
                    <a:graphicData uri="http://schemas.openxmlformats.org/drawingml/2006/picture">
                      <pic:pic xmlns:pic="http://schemas.openxmlformats.org/drawingml/2006/picture">
                        <pic:nvPicPr>
                          <pic:cNvPr id="32" name="Picture_184"/>
                          <pic:cNvPicPr/>
                        </pic:nvPicPr>
                        <pic:blipFill>
                          <a:blip r:embed="rId106"/>
                          <a:stretch>
                            <a:fillRect/>
                          </a:stretch>
                        </pic:blipFill>
                        <pic:spPr>
                          <a:xfrm>
                            <a:off x="0" y="0"/>
                            <a:ext cx="790575" cy="5238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—台面板厚≥1.2mm，围板0.8mm，水斗厚≥1.0mm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—脚杆采用38*38mm厚度1.0mm不锈钢方管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—配1/1″份数盆格5只</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—配包钢可调式子弹脚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—304不锈钢电热管，380V/6KW，电热管接线端子采用陶瓷帽绝缘保护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—电热管接线端口采用0.7~0.8mm镀锌板隔离保护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—配电磁阀自动进水装置，缺水保护装置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—配微电脑控制面板，数字显示定时定温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—电热管连接线采用国标耐高温线</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落地柜式洗手双星盆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≥864*420*800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8960" behindDoc="0" locked="0" layoutInCell="1" allowOverlap="1">
                  <wp:simplePos x="0" y="0"/>
                  <wp:positionH relativeFrom="column">
                    <wp:posOffset>219075</wp:posOffset>
                  </wp:positionH>
                  <wp:positionV relativeFrom="paragraph">
                    <wp:posOffset>114300</wp:posOffset>
                  </wp:positionV>
                  <wp:extent cx="523875" cy="562610"/>
                  <wp:effectExtent l="0" t="0" r="9525" b="8890"/>
                  <wp:wrapNone/>
                  <wp:docPr id="33" name="Picture_186"/>
                  <wp:cNvGraphicFramePr/>
                  <a:graphic xmlns:a="http://schemas.openxmlformats.org/drawingml/2006/main">
                    <a:graphicData uri="http://schemas.openxmlformats.org/drawingml/2006/picture">
                      <pic:pic xmlns:pic="http://schemas.openxmlformats.org/drawingml/2006/picture">
                        <pic:nvPicPr>
                          <pic:cNvPr id="33" name="Picture_186"/>
                          <pic:cNvPicPr/>
                        </pic:nvPicPr>
                        <pic:blipFill>
                          <a:blip r:embed="rId107"/>
                          <a:stretch>
                            <a:fillRect/>
                          </a:stretch>
                        </pic:blipFill>
                        <pic:spPr>
                          <a:xfrm>
                            <a:off x="0" y="0"/>
                            <a:ext cx="523875" cy="56261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—台面背板厚1.2㎜,水斗板厚≥1.0mm，左右侧板0.8mm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—水斗一体冲压折弯成型，规格：≥350*248*145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—柜式结构无卫生死角，配快拆式维修门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—配￠45落水器</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9984" behindDoc="0" locked="0" layoutInCell="1" allowOverlap="1">
                  <wp:simplePos x="0" y="0"/>
                  <wp:positionH relativeFrom="column">
                    <wp:posOffset>325755</wp:posOffset>
                  </wp:positionH>
                  <wp:positionV relativeFrom="paragraph">
                    <wp:posOffset>127000</wp:posOffset>
                  </wp:positionV>
                  <wp:extent cx="262255" cy="180975"/>
                  <wp:effectExtent l="0" t="0" r="4445" b="9525"/>
                  <wp:wrapNone/>
                  <wp:docPr id="34" name="Picture_1_SpCnt_25"/>
                  <wp:cNvGraphicFramePr/>
                  <a:graphic xmlns:a="http://schemas.openxmlformats.org/drawingml/2006/main">
                    <a:graphicData uri="http://schemas.openxmlformats.org/drawingml/2006/picture">
                      <pic:pic xmlns:pic="http://schemas.openxmlformats.org/drawingml/2006/picture">
                        <pic:nvPicPr>
                          <pic:cNvPr id="34" name="Picture_1_SpCnt_25"/>
                          <pic:cNvPicPr/>
                        </pic:nvPicPr>
                        <pic:blipFill>
                          <a:blip r:embed="rId108"/>
                          <a:stretch>
                            <a:fillRect/>
                          </a:stretch>
                        </pic:blipFill>
                        <pic:spPr>
                          <a:xfrm>
                            <a:off x="0" y="0"/>
                            <a:ext cx="262255" cy="180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六门智能留样柜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≥1220*750*1950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1008" behindDoc="0" locked="0" layoutInCell="1" allowOverlap="1">
                  <wp:simplePos x="0" y="0"/>
                  <wp:positionH relativeFrom="column">
                    <wp:posOffset>200025</wp:posOffset>
                  </wp:positionH>
                  <wp:positionV relativeFrom="paragraph">
                    <wp:posOffset>181610</wp:posOffset>
                  </wp:positionV>
                  <wp:extent cx="485775" cy="651510"/>
                  <wp:effectExtent l="0" t="0" r="9525" b="15240"/>
                  <wp:wrapNone/>
                  <wp:docPr id="35" name="图片_250"/>
                  <wp:cNvGraphicFramePr/>
                  <a:graphic xmlns:a="http://schemas.openxmlformats.org/drawingml/2006/main">
                    <a:graphicData uri="http://schemas.openxmlformats.org/drawingml/2006/picture">
                      <pic:pic xmlns:pic="http://schemas.openxmlformats.org/drawingml/2006/picture">
                        <pic:nvPicPr>
                          <pic:cNvPr id="35" name="图片_250"/>
                          <pic:cNvPicPr/>
                        </pic:nvPicPr>
                        <pic:blipFill>
                          <a:blip r:embed="rId109"/>
                          <a:stretch>
                            <a:fillRect/>
                          </a:stretch>
                        </pic:blipFill>
                        <pic:spPr>
                          <a:xfrm>
                            <a:off x="0" y="0"/>
                            <a:ext cx="485775" cy="65151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 内外箱均为 SUS304 不锈钢板， 面板 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使用</w:t>
            </w:r>
            <w:r>
              <w:rPr>
                <w:rFonts w:hint="eastAsia" w:ascii="宋体" w:hAnsi="宋体" w:cs="宋体"/>
                <w:color w:val="auto"/>
                <w:kern w:val="0"/>
                <w:sz w:val="20"/>
                <w:szCs w:val="20"/>
                <w:highlight w:val="none"/>
                <w:lang w:val="en-US" w:eastAsia="zh-CN" w:bidi="ar"/>
              </w:rPr>
              <w:t>优质</w:t>
            </w:r>
            <w:r>
              <w:rPr>
                <w:rFonts w:hint="eastAsia" w:ascii="宋体" w:hAnsi="宋体" w:cs="宋体"/>
                <w:color w:val="auto"/>
                <w:kern w:val="0"/>
                <w:sz w:val="20"/>
                <w:szCs w:val="20"/>
                <w:highlight w:val="none"/>
                <w:lang w:bidi="ar"/>
              </w:rPr>
              <w:t>压缩机， 全铜管冷凝器、 0.6mm 加厚铜管蒸发器蒸发器铜管外部增加电镀涂层防护；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3、配备数显电子温控，</w:t>
            </w:r>
            <w:r>
              <w:rPr>
                <w:rFonts w:hint="eastAsia" w:ascii="宋体" w:hAnsi="宋体" w:cs="宋体"/>
                <w:color w:val="auto"/>
                <w:kern w:val="0"/>
                <w:sz w:val="20"/>
                <w:szCs w:val="20"/>
                <w:highlight w:val="none"/>
                <w:lang w:val="en-US" w:eastAsia="zh-CN" w:bidi="ar"/>
              </w:rPr>
              <w:t>保证</w:t>
            </w:r>
            <w:r>
              <w:rPr>
                <w:rFonts w:hint="eastAsia" w:ascii="宋体" w:hAnsi="宋体" w:cs="宋体"/>
                <w:color w:val="auto"/>
                <w:kern w:val="0"/>
                <w:sz w:val="20"/>
                <w:szCs w:val="20"/>
                <w:highlight w:val="none"/>
                <w:lang w:bidi="ar"/>
              </w:rPr>
              <w:t>控制精度；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4、门框内部的高效防露加热丝，防止门框结露、滴水；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5、高精度电子温控（数显数控），柜内底板为圆弧设计，方便清洁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6、增加箱体消杀功能，在内部没有留样的情况下可以一键消杀，去除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柜内异味、细菌，保持留样设备自身的洁净、安全；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 配备强制蒸发装置， 自动蒸发化霜水； 产品能在 43℃的环境温度下正常工作</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22.餐厅</w:t>
            </w:r>
          </w:p>
        </w:tc>
      </w:tr>
      <w:tr>
        <w:tblPrEx>
          <w:tblCellMar>
            <w:top w:w="0" w:type="dxa"/>
            <w:left w:w="108" w:type="dxa"/>
            <w:bottom w:w="0" w:type="dxa"/>
            <w:right w:w="108" w:type="dxa"/>
          </w:tblCellMar>
        </w:tblPrEx>
        <w:trPr>
          <w:trHeight w:val="193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149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2032"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36" name="Picture_187"/>
                  <wp:cNvGraphicFramePr/>
                  <a:graphic xmlns:a="http://schemas.openxmlformats.org/drawingml/2006/main">
                    <a:graphicData uri="http://schemas.openxmlformats.org/drawingml/2006/picture">
                      <pic:pic xmlns:pic="http://schemas.openxmlformats.org/drawingml/2006/picture">
                        <pic:nvPicPr>
                          <pic:cNvPr id="36" name="Picture_187"/>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额定电压220V，功率：230-260W;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风口风量：1050-1350m3/h,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3056"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37" name="Picture_188"/>
                  <wp:cNvGraphicFramePr/>
                  <a:graphic xmlns:a="http://schemas.openxmlformats.org/drawingml/2006/main">
                    <a:graphicData uri="http://schemas.openxmlformats.org/drawingml/2006/picture">
                      <pic:pic xmlns:pic="http://schemas.openxmlformats.org/drawingml/2006/picture">
                        <pic:nvPicPr>
                          <pic:cNvPr id="37" name="Picture_188"/>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额定电压220V，功率：300-330W;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风口风量：1350-1500m3/h,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46"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4080"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38" name="Picture_189"/>
                  <wp:cNvGraphicFramePr/>
                  <a:graphic xmlns:a="http://schemas.openxmlformats.org/drawingml/2006/main">
                    <a:graphicData uri="http://schemas.openxmlformats.org/drawingml/2006/picture">
                      <pic:pic xmlns:pic="http://schemas.openxmlformats.org/drawingml/2006/picture">
                        <pic:nvPicPr>
                          <pic:cNvPr id="38" name="Picture_189"/>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额定电压220V，功率：360-390W;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风口风量：1350-1700m3/h,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18"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23.三层洗碗间</w:t>
            </w: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工作台下层板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5104" behindDoc="0" locked="0" layoutInCell="1" allowOverlap="1">
                  <wp:simplePos x="0" y="0"/>
                  <wp:positionH relativeFrom="column">
                    <wp:posOffset>85725</wp:posOffset>
                  </wp:positionH>
                  <wp:positionV relativeFrom="paragraph">
                    <wp:posOffset>200025</wp:posOffset>
                  </wp:positionV>
                  <wp:extent cx="790575" cy="542925"/>
                  <wp:effectExtent l="0" t="0" r="9525" b="9525"/>
                  <wp:wrapNone/>
                  <wp:docPr id="39" name="Picture_200"/>
                  <wp:cNvGraphicFramePr/>
                  <a:graphic xmlns:a="http://schemas.openxmlformats.org/drawingml/2006/main">
                    <a:graphicData uri="http://schemas.openxmlformats.org/drawingml/2006/picture">
                      <pic:pic xmlns:pic="http://schemas.openxmlformats.org/drawingml/2006/picture">
                        <pic:nvPicPr>
                          <pic:cNvPr id="39" name="Picture_200"/>
                          <pic:cNvPicPr/>
                        </pic:nvPicPr>
                        <pic:blipFill>
                          <a:blip r:embed="rId39"/>
                          <a:stretch>
                            <a:fillRect/>
                          </a:stretch>
                        </pic:blipFill>
                        <pic:spPr>
                          <a:xfrm>
                            <a:off x="0" y="0"/>
                            <a:ext cx="790575" cy="5429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—品牌:厂制品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—台面板采用SUS 304-2B不锈钢板制造，厚度为1.2mm，下层板厚≥1.0mm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—下层框38*38*1.0mm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—加强码用0.8~1.2mm不锈钢板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双星盆台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85888" behindDoc="0" locked="0" layoutInCell="1" allowOverlap="1">
                  <wp:simplePos x="0" y="0"/>
                  <wp:positionH relativeFrom="column">
                    <wp:posOffset>85725</wp:posOffset>
                  </wp:positionH>
                  <wp:positionV relativeFrom="paragraph">
                    <wp:posOffset>171450</wp:posOffset>
                  </wp:positionV>
                  <wp:extent cx="790575" cy="609600"/>
                  <wp:effectExtent l="0" t="0" r="9525" b="0"/>
                  <wp:wrapNone/>
                  <wp:docPr id="30" name="Picture_201"/>
                  <wp:cNvGraphicFramePr/>
                  <a:graphic xmlns:a="http://schemas.openxmlformats.org/drawingml/2006/main">
                    <a:graphicData uri="http://schemas.openxmlformats.org/drawingml/2006/picture">
                      <pic:pic xmlns:pic="http://schemas.openxmlformats.org/drawingml/2006/picture">
                        <pic:nvPicPr>
                          <pic:cNvPr id="30" name="Picture_201"/>
                          <pic:cNvPicPr/>
                        </pic:nvPicPr>
                        <pic:blipFill>
                          <a:blip r:embed="rId40"/>
                          <a:stretch>
                            <a:fillRect/>
                          </a:stretch>
                        </pic:blipFill>
                        <pic:spPr>
                          <a:xfrm>
                            <a:off x="0" y="0"/>
                            <a:ext cx="790575" cy="6096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—面板一体冲压成型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—水斗规格：≥730*500*280mm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—≥φ38mm厚度1.0mm不锈钢圆通腿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—≥φ25mm厚度1.0mm不锈钢下橫通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—配全钢可调式子弹脚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38"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7152"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41" name="Picture_1_SpCnt_26"/>
                  <wp:cNvGraphicFramePr/>
                  <a:graphic xmlns:a="http://schemas.openxmlformats.org/drawingml/2006/main">
                    <a:graphicData uri="http://schemas.openxmlformats.org/drawingml/2006/picture">
                      <pic:pic xmlns:pic="http://schemas.openxmlformats.org/drawingml/2006/picture">
                        <pic:nvPicPr>
                          <pic:cNvPr id="41" name="Picture_1_SpCnt_26"/>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18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单星浸泡池（无背板）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≥1875*1350*800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8176" behindDoc="0" locked="0" layoutInCell="1" allowOverlap="1">
                  <wp:simplePos x="0" y="0"/>
                  <wp:positionH relativeFrom="column">
                    <wp:posOffset>85725</wp:posOffset>
                  </wp:positionH>
                  <wp:positionV relativeFrom="paragraph">
                    <wp:posOffset>104775</wp:posOffset>
                  </wp:positionV>
                  <wp:extent cx="790575" cy="752475"/>
                  <wp:effectExtent l="0" t="0" r="9525" b="9525"/>
                  <wp:wrapNone/>
                  <wp:docPr id="42" name="Picture_203"/>
                  <wp:cNvGraphicFramePr/>
                  <a:graphic xmlns:a="http://schemas.openxmlformats.org/drawingml/2006/main">
                    <a:graphicData uri="http://schemas.openxmlformats.org/drawingml/2006/picture">
                      <pic:pic xmlns:pic="http://schemas.openxmlformats.org/drawingml/2006/picture">
                        <pic:nvPicPr>
                          <pic:cNvPr id="42" name="Picture_203"/>
                          <pic:cNvPicPr/>
                        </pic:nvPicPr>
                        <pic:blipFill>
                          <a:blip r:embed="rId101"/>
                          <a:stretch>
                            <a:fillRect/>
                          </a:stretch>
                        </pic:blipFill>
                        <pic:spPr>
                          <a:xfrm>
                            <a:off x="0" y="0"/>
                            <a:ext cx="790575" cy="7524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—水斗规格：≥定制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—38*38mm厚度1.0mm不锈钢脚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—斗底采用38*38mm厚度1.0mm方管加强支撑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—配不锈钢包钢可调式子弹脚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93"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星盆双温龙头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9200" behindDoc="0" locked="0" layoutInCell="1" allowOverlap="1">
                  <wp:simplePos x="0" y="0"/>
                  <wp:positionH relativeFrom="column">
                    <wp:posOffset>114300</wp:posOffset>
                  </wp:positionH>
                  <wp:positionV relativeFrom="paragraph">
                    <wp:posOffset>161925</wp:posOffset>
                  </wp:positionV>
                  <wp:extent cx="790575" cy="590550"/>
                  <wp:effectExtent l="0" t="0" r="9525" b="0"/>
                  <wp:wrapNone/>
                  <wp:docPr id="43" name="Picture_1_SpCnt_27"/>
                  <wp:cNvGraphicFramePr/>
                  <a:graphic xmlns:a="http://schemas.openxmlformats.org/drawingml/2006/main">
                    <a:graphicData uri="http://schemas.openxmlformats.org/drawingml/2006/picture">
                      <pic:pic xmlns:pic="http://schemas.openxmlformats.org/drawingml/2006/picture">
                        <pic:nvPicPr>
                          <pic:cNvPr id="43" name="Picture_1_SpCnt_27"/>
                          <pic:cNvPicPr/>
                        </pic:nvPicPr>
                        <pic:blipFill>
                          <a:blip r:embed="rId27"/>
                          <a:stretch>
                            <a:fillRect/>
                          </a:stretch>
                        </pic:blipFill>
                        <pic:spPr>
                          <a:xfrm>
                            <a:off x="0" y="0"/>
                            <a:ext cx="790575" cy="5905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本体安装: 台式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本体: 8" (203mm)中心距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阀芯: 陶瓷式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旋转式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 10" (254mm)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水嘴出水口: 层流出水装置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进水口: 1/2" NPT内螺纹,90°旋转陶瓷阀芯,NPT 外螺纹进水口</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9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24.三层碗碟库</w:t>
            </w:r>
          </w:p>
        </w:tc>
      </w:tr>
      <w:tr>
        <w:tblPrEx>
          <w:tblCellMar>
            <w:top w:w="0" w:type="dxa"/>
            <w:left w:w="108" w:type="dxa"/>
            <w:bottom w:w="0" w:type="dxa"/>
            <w:right w:w="108" w:type="dxa"/>
          </w:tblCellMar>
        </w:tblPrEx>
        <w:trPr>
          <w:trHeight w:val="364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w:t>
            </w:r>
            <w:r>
              <w:rPr>
                <w:rFonts w:hint="eastAsia" w:ascii="宋体" w:hAnsi="宋体" w:cs="宋体"/>
                <w:color w:val="auto"/>
                <w:kern w:val="0"/>
                <w:sz w:val="20"/>
                <w:szCs w:val="20"/>
                <w:highlight w:val="none"/>
                <w:lang w:bidi="ar"/>
              </w:rPr>
              <w:t>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立式双门消毒柜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≥1310*635*1880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0224" behindDoc="0" locked="0" layoutInCell="1" allowOverlap="1">
                  <wp:simplePos x="0" y="0"/>
                  <wp:positionH relativeFrom="column">
                    <wp:posOffset>98425</wp:posOffset>
                  </wp:positionH>
                  <wp:positionV relativeFrom="paragraph">
                    <wp:posOffset>458470</wp:posOffset>
                  </wp:positionV>
                  <wp:extent cx="666750" cy="828675"/>
                  <wp:effectExtent l="0" t="0" r="0" b="9525"/>
                  <wp:wrapNone/>
                  <wp:docPr id="44" name="Picture_206"/>
                  <wp:cNvGraphicFramePr/>
                  <a:graphic xmlns:a="http://schemas.openxmlformats.org/drawingml/2006/main">
                    <a:graphicData uri="http://schemas.openxmlformats.org/drawingml/2006/picture">
                      <pic:pic xmlns:pic="http://schemas.openxmlformats.org/drawingml/2006/picture">
                        <pic:nvPicPr>
                          <pic:cNvPr id="44" name="Picture_206"/>
                          <pic:cNvPicPr/>
                        </pic:nvPicPr>
                        <pic:blipFill>
                          <a:blip r:embed="rId97"/>
                          <a:stretch>
                            <a:fillRect/>
                          </a:stretch>
                        </pic:blipFill>
                        <pic:spPr>
                          <a:xfrm>
                            <a:off x="0" y="0"/>
                            <a:ext cx="66675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电源: 220V/50HZ 输入功率: 4.6KW 电流: 21.5A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温度范围30~ 150°C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1、内外箱均为304不锈钢板;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2、使用耐高温风机、不锈钢加热管及微电脑控制板;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3、柜内配备不锈钢网篮，网框为不锈钢材质，表面二次镀镍防锈,生、耐用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4、内箱板材厚度1.0mm, 外箱板材厚度0.8mm。外箱顶部及外箱后背板使用环保无锌花表面钝化优质镀锌板;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5、柜内配备8个网框</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16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w:t>
            </w:r>
            <w:r>
              <w:rPr>
                <w:rFonts w:hint="eastAsia" w:ascii="宋体" w:hAnsi="宋体" w:cs="宋体"/>
                <w:color w:val="auto"/>
                <w:kern w:val="0"/>
                <w:sz w:val="20"/>
                <w:szCs w:val="20"/>
                <w:highlight w:val="none"/>
                <w:lang w:bidi="ar"/>
              </w:rPr>
              <w:t>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高身储碟柜（翻门) </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≥1200*500*1800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1248" behindDoc="0" locked="0" layoutInCell="1" allowOverlap="1">
                  <wp:simplePos x="0" y="0"/>
                  <wp:positionH relativeFrom="column">
                    <wp:posOffset>180975</wp:posOffset>
                  </wp:positionH>
                  <wp:positionV relativeFrom="paragraph">
                    <wp:posOffset>66675</wp:posOffset>
                  </wp:positionV>
                  <wp:extent cx="609600" cy="828675"/>
                  <wp:effectExtent l="0" t="0" r="0" b="9525"/>
                  <wp:wrapNone/>
                  <wp:docPr id="45" name="Picture_207"/>
                  <wp:cNvGraphicFramePr/>
                  <a:graphic xmlns:a="http://schemas.openxmlformats.org/drawingml/2006/main">
                    <a:graphicData uri="http://schemas.openxmlformats.org/drawingml/2006/picture">
                      <pic:pic xmlns:pic="http://schemas.openxmlformats.org/drawingml/2006/picture">
                        <pic:nvPicPr>
                          <pic:cNvPr id="45" name="Picture_207"/>
                          <pic:cNvPicPr/>
                        </pic:nvPicPr>
                        <pic:blipFill>
                          <a:blip r:embed="rId103"/>
                          <a:stretch>
                            <a:fillRect/>
                          </a:stretch>
                        </pic:blipFill>
                        <pic:spPr>
                          <a:xfrm>
                            <a:off x="0" y="0"/>
                            <a:ext cx="609600"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—层板、底板厚为1.0mm，门外板厚≥1.0mm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—门内复板厚0.8mm，顶板厚0.8mm，侧板厚0.8mm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73"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25.三层备餐间</w:t>
            </w: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2272"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46" name="Picture_211"/>
                  <wp:cNvGraphicFramePr/>
                  <a:graphic xmlns:a="http://schemas.openxmlformats.org/drawingml/2006/main">
                    <a:graphicData uri="http://schemas.openxmlformats.org/drawingml/2006/picture">
                      <pic:pic xmlns:pic="http://schemas.openxmlformats.org/drawingml/2006/picture">
                        <pic:nvPicPr>
                          <pic:cNvPr id="46" name="Picture_211"/>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3296"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47" name="Picture_212"/>
                  <wp:cNvGraphicFramePr/>
                  <a:graphic xmlns:a="http://schemas.openxmlformats.org/drawingml/2006/main">
                    <a:graphicData uri="http://schemas.openxmlformats.org/drawingml/2006/picture">
                      <pic:pic xmlns:pic="http://schemas.openxmlformats.org/drawingml/2006/picture">
                        <pic:nvPicPr>
                          <pic:cNvPr id="47" name="Picture_212"/>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0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工作柜带水池（左星）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≥1500*750*950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696128" behindDoc="0" locked="0" layoutInCell="1" allowOverlap="1">
                  <wp:simplePos x="0" y="0"/>
                  <wp:positionH relativeFrom="column">
                    <wp:posOffset>85725</wp:posOffset>
                  </wp:positionH>
                  <wp:positionV relativeFrom="paragraph">
                    <wp:posOffset>161925</wp:posOffset>
                  </wp:positionV>
                  <wp:extent cx="790575" cy="638175"/>
                  <wp:effectExtent l="0" t="0" r="9525" b="9525"/>
                  <wp:wrapNone/>
                  <wp:docPr id="40" name="Picture_213"/>
                  <wp:cNvGraphicFramePr/>
                  <a:graphic xmlns:a="http://schemas.openxmlformats.org/drawingml/2006/main">
                    <a:graphicData uri="http://schemas.openxmlformats.org/drawingml/2006/picture">
                      <pic:pic xmlns:pic="http://schemas.openxmlformats.org/drawingml/2006/picture">
                        <pic:nvPicPr>
                          <pic:cNvPr id="40" name="Picture_213"/>
                          <pic:cNvPicPr/>
                        </pic:nvPicPr>
                        <pic:blipFill>
                          <a:blip r:embed="rId104"/>
                          <a:stretch>
                            <a:fillRect/>
                          </a:stretch>
                        </pic:blipFill>
                        <pic:spPr>
                          <a:xfrm>
                            <a:off x="0" y="0"/>
                            <a:ext cx="790575" cy="6381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—台面板厚≥1.2㎜,水斗板厚≥1.0mm，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—配2″去水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—水斗一体冲压成型，规格：≥500*500*280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—配304不锈钢一体冲压拦渣篮及隔水盖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—路轨导向趟门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—门外板厚1.0㎜，左右侧板、门内复板0.8mm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—配φ50不锈钢重力脚，201不锈钢厚3mm加强型三角板加固</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4320" behindDoc="0" locked="0" layoutInCell="1" allowOverlap="1">
                  <wp:simplePos x="0" y="0"/>
                  <wp:positionH relativeFrom="column">
                    <wp:posOffset>285750</wp:posOffset>
                  </wp:positionH>
                  <wp:positionV relativeFrom="paragraph">
                    <wp:posOffset>66675</wp:posOffset>
                  </wp:positionV>
                  <wp:extent cx="318135" cy="447675"/>
                  <wp:effectExtent l="0" t="0" r="5715" b="9525"/>
                  <wp:wrapNone/>
                  <wp:docPr id="48" name="Picture_1_SpCnt_28"/>
                  <wp:cNvGraphicFramePr/>
                  <a:graphic xmlns:a="http://schemas.openxmlformats.org/drawingml/2006/main">
                    <a:graphicData uri="http://schemas.openxmlformats.org/drawingml/2006/picture">
                      <pic:pic xmlns:pic="http://schemas.openxmlformats.org/drawingml/2006/picture">
                        <pic:nvPicPr>
                          <pic:cNvPr id="48" name="Picture_1_SpCnt_28"/>
                          <pic:cNvPicPr/>
                        </pic:nvPicPr>
                        <pic:blipFill>
                          <a:blip r:embed="rId111"/>
                          <a:stretch>
                            <a:fillRect/>
                          </a:stretch>
                        </pic:blipFill>
                        <pic:spPr>
                          <a:xfrm>
                            <a:off x="0" y="0"/>
                            <a:ext cx="318135" cy="447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≥1121*750*800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5344"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49" name="Picture_215"/>
                  <wp:cNvGraphicFramePr/>
                  <a:graphic xmlns:a="http://schemas.openxmlformats.org/drawingml/2006/main">
                    <a:graphicData uri="http://schemas.openxmlformats.org/drawingml/2006/picture">
                      <pic:pic xmlns:pic="http://schemas.openxmlformats.org/drawingml/2006/picture">
                        <pic:nvPicPr>
                          <pic:cNvPr id="49" name="Picture_215"/>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62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工作台柜(翻门)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6368" behindDoc="0" locked="0" layoutInCell="1" allowOverlap="1">
                  <wp:simplePos x="0" y="0"/>
                  <wp:positionH relativeFrom="column">
                    <wp:posOffset>85725</wp:posOffset>
                  </wp:positionH>
                  <wp:positionV relativeFrom="paragraph">
                    <wp:posOffset>200025</wp:posOffset>
                  </wp:positionV>
                  <wp:extent cx="790575" cy="561975"/>
                  <wp:effectExtent l="0" t="0" r="9525" b="9525"/>
                  <wp:wrapNone/>
                  <wp:docPr id="50" name="Picture_216"/>
                  <wp:cNvGraphicFramePr/>
                  <a:graphic xmlns:a="http://schemas.openxmlformats.org/drawingml/2006/main">
                    <a:graphicData uri="http://schemas.openxmlformats.org/drawingml/2006/picture">
                      <pic:pic xmlns:pic="http://schemas.openxmlformats.org/drawingml/2006/picture">
                        <pic:nvPicPr>
                          <pic:cNvPr id="50" name="Picture_216"/>
                          <pic:cNvPicPr/>
                        </pic:nvPicPr>
                        <pic:blipFill>
                          <a:blip r:embed="rId54"/>
                          <a:stretch>
                            <a:fillRect/>
                          </a:stretch>
                        </pic:blipFill>
                        <pic:spPr>
                          <a:xfrm>
                            <a:off x="0" y="0"/>
                            <a:ext cx="790575" cy="5619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—板材采用SUS304-2B不锈钢制造，台面板厚≥1.2mm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—面板下衬δ15木工板减噪，木板下复铝板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—侧板、后背板0.8mm，门内复板0.8mm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—门外板、柜内层板、底板厚1.0㎜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—上掀式V型滑轨，弧型轴承，一种带轴承的翻门结构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—配201不锈钢厚3mm加强型三角板，φ50不锈钢重力脚</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297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五斗保温售菜台（不可配玻璃保护罩）</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≥1800*750*800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7392" behindDoc="0" locked="0" layoutInCell="1" allowOverlap="1">
                  <wp:simplePos x="0" y="0"/>
                  <wp:positionH relativeFrom="column">
                    <wp:posOffset>85725</wp:posOffset>
                  </wp:positionH>
                  <wp:positionV relativeFrom="paragraph">
                    <wp:posOffset>219075</wp:posOffset>
                  </wp:positionV>
                  <wp:extent cx="790575" cy="523875"/>
                  <wp:effectExtent l="0" t="0" r="9525" b="9525"/>
                  <wp:wrapNone/>
                  <wp:docPr id="51" name="Picture_217"/>
                  <wp:cNvGraphicFramePr/>
                  <a:graphic xmlns:a="http://schemas.openxmlformats.org/drawingml/2006/main">
                    <a:graphicData uri="http://schemas.openxmlformats.org/drawingml/2006/picture">
                      <pic:pic xmlns:pic="http://schemas.openxmlformats.org/drawingml/2006/picture">
                        <pic:nvPicPr>
                          <pic:cNvPr id="51" name="Picture_217"/>
                          <pic:cNvPicPr/>
                        </pic:nvPicPr>
                        <pic:blipFill>
                          <a:blip r:embed="rId106"/>
                          <a:stretch>
                            <a:fillRect/>
                          </a:stretch>
                        </pic:blipFill>
                        <pic:spPr>
                          <a:xfrm>
                            <a:off x="0" y="0"/>
                            <a:ext cx="790575" cy="5238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—台面板厚≥1.2mm，围板0.8mm，水斗厚≥1.0mm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—脚杆采用38*38mm厚度1.0mm不锈钢方管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—配1/1″份数盆格5只</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—配包钢可调式子弹脚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—304不锈钢电热管，380V/6KW，电热管接线端子采用陶瓷帽绝缘保护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—电热管接线端口采用0.7~0.8mm镀锌板隔离保护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—配电磁阀自动进水装置，缺水保护装置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—配微电脑控制面板，数字显示定时定温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—电热管连接线采用国标耐高温线</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落地柜式洗手双星盆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≥864*420*800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8416" behindDoc="0" locked="0" layoutInCell="1" allowOverlap="1">
                  <wp:simplePos x="0" y="0"/>
                  <wp:positionH relativeFrom="column">
                    <wp:posOffset>207010</wp:posOffset>
                  </wp:positionH>
                  <wp:positionV relativeFrom="paragraph">
                    <wp:posOffset>55880</wp:posOffset>
                  </wp:positionV>
                  <wp:extent cx="605155" cy="654050"/>
                  <wp:effectExtent l="0" t="0" r="4445" b="12700"/>
                  <wp:wrapNone/>
                  <wp:docPr id="52" name="Picture_219"/>
                  <wp:cNvGraphicFramePr/>
                  <a:graphic xmlns:a="http://schemas.openxmlformats.org/drawingml/2006/main">
                    <a:graphicData uri="http://schemas.openxmlformats.org/drawingml/2006/picture">
                      <pic:pic xmlns:pic="http://schemas.openxmlformats.org/drawingml/2006/picture">
                        <pic:nvPicPr>
                          <pic:cNvPr id="52" name="Picture_219"/>
                          <pic:cNvPicPr/>
                        </pic:nvPicPr>
                        <pic:blipFill>
                          <a:blip r:embed="rId112"/>
                          <a:stretch>
                            <a:fillRect/>
                          </a:stretch>
                        </pic:blipFill>
                        <pic:spPr>
                          <a:xfrm>
                            <a:off x="0" y="0"/>
                            <a:ext cx="605155" cy="6540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—板材采用SUS304-2B不锈钢制造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—台面背板厚1.2㎜,水斗板厚≥1.0mm，左右侧板0.8mm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—水斗一体冲压折弯成型，规格：≥350*248*145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—柜式结构无卫生死角，配快拆式维修门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—配￠45落水器</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感应龙头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09440" behindDoc="0" locked="0" layoutInCell="1" allowOverlap="1">
                  <wp:simplePos x="0" y="0"/>
                  <wp:positionH relativeFrom="column">
                    <wp:posOffset>308610</wp:posOffset>
                  </wp:positionH>
                  <wp:positionV relativeFrom="paragraph">
                    <wp:posOffset>44450</wp:posOffset>
                  </wp:positionV>
                  <wp:extent cx="343535" cy="469900"/>
                  <wp:effectExtent l="0" t="0" r="18415" b="6350"/>
                  <wp:wrapNone/>
                  <wp:docPr id="53" name="Picture_1_SpCnt_29"/>
                  <wp:cNvGraphicFramePr/>
                  <a:graphic xmlns:a="http://schemas.openxmlformats.org/drawingml/2006/main">
                    <a:graphicData uri="http://schemas.openxmlformats.org/drawingml/2006/picture">
                      <pic:pic xmlns:pic="http://schemas.openxmlformats.org/drawingml/2006/picture">
                        <pic:nvPicPr>
                          <pic:cNvPr id="53" name="Picture_1_SpCnt_29"/>
                          <pic:cNvPicPr/>
                        </pic:nvPicPr>
                        <pic:blipFill>
                          <a:blip r:embed="rId113"/>
                          <a:stretch>
                            <a:fillRect/>
                          </a:stretch>
                        </pic:blipFill>
                        <pic:spPr>
                          <a:xfrm>
                            <a:off x="0" y="0"/>
                            <a:ext cx="343535" cy="4699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单孔台出感应龙头，配有旋转式鹅颈；防破坏2.2GPM(8.3LPM)起泡器；放水控制盒；交直流两用；手动混水阀</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强制节能产品，需提供节能产品认证证书</w:t>
            </w:r>
          </w:p>
        </w:tc>
      </w:tr>
      <w:tr>
        <w:tblPrEx>
          <w:tblCellMar>
            <w:top w:w="0" w:type="dxa"/>
            <w:left w:w="108" w:type="dxa"/>
            <w:bottom w:w="0" w:type="dxa"/>
            <w:right w:w="108" w:type="dxa"/>
          </w:tblCellMar>
        </w:tblPrEx>
        <w:trPr>
          <w:trHeight w:val="568"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26.三层餐厅</w:t>
            </w:r>
          </w:p>
        </w:tc>
      </w:tr>
      <w:tr>
        <w:tblPrEx>
          <w:tblCellMar>
            <w:top w:w="0" w:type="dxa"/>
            <w:left w:w="108" w:type="dxa"/>
            <w:bottom w:w="0" w:type="dxa"/>
            <w:right w:w="108" w:type="dxa"/>
          </w:tblCellMar>
        </w:tblPrEx>
        <w:trPr>
          <w:trHeight w:val="180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0464"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54" name="Picture_220"/>
                  <wp:cNvGraphicFramePr/>
                  <a:graphic xmlns:a="http://schemas.openxmlformats.org/drawingml/2006/main">
                    <a:graphicData uri="http://schemas.openxmlformats.org/drawingml/2006/picture">
                      <pic:pic xmlns:pic="http://schemas.openxmlformats.org/drawingml/2006/picture">
                        <pic:nvPicPr>
                          <pic:cNvPr id="54" name="Picture_220"/>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额定电压220V，功率：230-260W;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风口风量：1050-1350m3/h,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797"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169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1488"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55" name="Picture_221"/>
                  <wp:cNvGraphicFramePr/>
                  <a:graphic xmlns:a="http://schemas.openxmlformats.org/drawingml/2006/main">
                    <a:graphicData uri="http://schemas.openxmlformats.org/drawingml/2006/picture">
                      <pic:pic xmlns:pic="http://schemas.openxmlformats.org/drawingml/2006/picture">
                        <pic:nvPicPr>
                          <pic:cNvPr id="55" name="Picture_221"/>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额定电压220V，功率：300-330W;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风口风量：1350-1500m3/h,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86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风幕机（遥控型）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≥1500*198*215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2512" behindDoc="0" locked="0" layoutInCell="1" allowOverlap="1">
                  <wp:simplePos x="0" y="0"/>
                  <wp:positionH relativeFrom="column">
                    <wp:posOffset>85725</wp:posOffset>
                  </wp:positionH>
                  <wp:positionV relativeFrom="paragraph">
                    <wp:posOffset>333375</wp:posOffset>
                  </wp:positionV>
                  <wp:extent cx="790575" cy="295275"/>
                  <wp:effectExtent l="0" t="0" r="9525" b="9525"/>
                  <wp:wrapNone/>
                  <wp:docPr id="56" name="Picture_222"/>
                  <wp:cNvGraphicFramePr/>
                  <a:graphic xmlns:a="http://schemas.openxmlformats.org/drawingml/2006/main">
                    <a:graphicData uri="http://schemas.openxmlformats.org/drawingml/2006/picture">
                      <pic:pic xmlns:pic="http://schemas.openxmlformats.org/drawingml/2006/picture">
                        <pic:nvPicPr>
                          <pic:cNvPr id="56" name="Picture_222"/>
                          <pic:cNvPicPr/>
                        </pic:nvPicPr>
                        <pic:blipFill>
                          <a:blip r:embed="rId110"/>
                          <a:stretch>
                            <a:fillRect/>
                          </a:stretch>
                        </pic:blipFill>
                        <pic:spPr>
                          <a:xfrm>
                            <a:off x="0" y="0"/>
                            <a:ext cx="790575" cy="2952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额定电压220V，功率：360-390W;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风口风量：1350-1700m3/h,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风口风速:14.5-11.5m/s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材质：工程塑料，低噪音风机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1、贯流式强力送风轻松在室内外之间形成一道隐形的风幕墙，隔开室内外空气的同时，更可将灰尘，飞虫等阻挡于室外。</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2、遮断效果佳，风路升级体现高风速，低噪音运转。</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768"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highlight w:val="none"/>
              </w:rPr>
            </w:pPr>
          </w:p>
          <w:p>
            <w:pPr>
              <w:rPr>
                <w:rFonts w:ascii="宋体" w:hAnsi="宋体" w:cs="宋体"/>
                <w:color w:val="auto"/>
                <w:sz w:val="20"/>
                <w:szCs w:val="20"/>
                <w:highlight w:val="none"/>
              </w:rPr>
            </w:pPr>
            <w:r>
              <w:rPr>
                <w:rFonts w:hint="eastAsia" w:ascii="宋体" w:hAnsi="宋体" w:cs="宋体"/>
                <w:b/>
                <w:bCs/>
                <w:color w:val="auto"/>
                <w:kern w:val="0"/>
                <w:sz w:val="20"/>
                <w:szCs w:val="20"/>
                <w:highlight w:val="none"/>
                <w:lang w:bidi="ar"/>
              </w:rPr>
              <w:t>27.排烟系统</w:t>
            </w: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电动调节阀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≥300*450*300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3536" behindDoc="0" locked="0" layoutInCell="1" allowOverlap="1">
                  <wp:simplePos x="0" y="0"/>
                  <wp:positionH relativeFrom="column">
                    <wp:posOffset>257175</wp:posOffset>
                  </wp:positionH>
                  <wp:positionV relativeFrom="paragraph">
                    <wp:posOffset>17780</wp:posOffset>
                  </wp:positionV>
                  <wp:extent cx="447675" cy="458470"/>
                  <wp:effectExtent l="0" t="0" r="9525" b="17780"/>
                  <wp:wrapNone/>
                  <wp:docPr id="57" name="Picture_223"/>
                  <wp:cNvGraphicFramePr/>
                  <a:graphic xmlns:a="http://schemas.openxmlformats.org/drawingml/2006/main">
                    <a:graphicData uri="http://schemas.openxmlformats.org/drawingml/2006/picture">
                      <pic:pic xmlns:pic="http://schemas.openxmlformats.org/drawingml/2006/picture">
                        <pic:nvPicPr>
                          <pic:cNvPr id="57" name="Picture_223"/>
                          <pic:cNvPicPr/>
                        </pic:nvPicPr>
                        <pic:blipFill>
                          <a:blip r:embed="rId114"/>
                          <a:stretch>
                            <a:fillRect/>
                          </a:stretch>
                        </pic:blipFill>
                        <pic:spPr>
                          <a:xfrm>
                            <a:off x="0" y="0"/>
                            <a:ext cx="447675" cy="45847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采用钢板制作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电动调节阀门开启关闭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尺寸根据风管烟罩定制</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66"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厨房专用排烟风机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sz w:val="20"/>
                <w:szCs w:val="20"/>
                <w:highlight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4560" behindDoc="0" locked="0" layoutInCell="1" allowOverlap="1">
                  <wp:simplePos x="0" y="0"/>
                  <wp:positionH relativeFrom="column">
                    <wp:posOffset>85725</wp:posOffset>
                  </wp:positionH>
                  <wp:positionV relativeFrom="paragraph">
                    <wp:posOffset>561975</wp:posOffset>
                  </wp:positionV>
                  <wp:extent cx="790575" cy="661035"/>
                  <wp:effectExtent l="0" t="0" r="9525" b="5715"/>
                  <wp:wrapNone/>
                  <wp:docPr id="58" name="Picture_224"/>
                  <wp:cNvGraphicFramePr/>
                  <a:graphic xmlns:a="http://schemas.openxmlformats.org/drawingml/2006/main">
                    <a:graphicData uri="http://schemas.openxmlformats.org/drawingml/2006/picture">
                      <pic:pic xmlns:pic="http://schemas.openxmlformats.org/drawingml/2006/picture">
                        <pic:nvPicPr>
                          <pic:cNvPr id="58" name="Picture_224"/>
                          <pic:cNvPicPr/>
                        </pic:nvPicPr>
                        <pic:blipFill>
                          <a:blip r:embed="rId115"/>
                          <a:stretch>
                            <a:fillRect/>
                          </a:stretch>
                        </pic:blipFill>
                        <pic:spPr>
                          <a:xfrm>
                            <a:off x="0" y="0"/>
                            <a:ext cx="790575" cy="66103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—处理风量：55000m3/h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—风压：≥950Pa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1、采用双进风前倾﹒后倾叶轮，大流量，高静压，高效率。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2、箱体上下顶板、底板须采用整体拉升成型，密封性能好，做到不漏油烟气水等。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3、箱体须采用内外喷塑彩钢面板，防腐不易腐烂寿命10年以上，内壁采用消音材料多层复合板，进一步降低噪声（噪音低）。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4、机外须有加注润滑油保养孔，方便定期保养维护，提升使用寿命。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5、主轴采用优质40铬钢精工制品，经调质热处理，保证其强度及使用寿命。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69"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静电油烟净化设备（不锈钢外壳双段式）</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≥1100*1670*1995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5584" behindDoc="0" locked="0" layoutInCell="1" allowOverlap="1">
                  <wp:simplePos x="0" y="0"/>
                  <wp:positionH relativeFrom="column">
                    <wp:posOffset>62865</wp:posOffset>
                  </wp:positionH>
                  <wp:positionV relativeFrom="paragraph">
                    <wp:posOffset>624840</wp:posOffset>
                  </wp:positionV>
                  <wp:extent cx="790575" cy="828675"/>
                  <wp:effectExtent l="0" t="0" r="9525" b="9525"/>
                  <wp:wrapNone/>
                  <wp:docPr id="59" name="Picture_1_SpCnt_30"/>
                  <wp:cNvGraphicFramePr/>
                  <a:graphic xmlns:a="http://schemas.openxmlformats.org/drawingml/2006/main">
                    <a:graphicData uri="http://schemas.openxmlformats.org/drawingml/2006/picture">
                      <pic:pic xmlns:pic="http://schemas.openxmlformats.org/drawingml/2006/picture">
                        <pic:nvPicPr>
                          <pic:cNvPr id="59" name="Picture_1_SpCnt_30"/>
                          <pic:cNvPicPr/>
                        </pic:nvPicPr>
                        <pic:blipFill>
                          <a:blip r:embed="rId116"/>
                          <a:stretch>
                            <a:fillRect/>
                          </a:stretch>
                        </pic:blipFill>
                        <pic:spPr>
                          <a:xfrm>
                            <a:off x="0" y="0"/>
                            <a:ext cx="79057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（不锈钢外壳双段式）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≥95%净化效率，处理风量≥54000m3/h,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法兰尺寸≥1830*1810,功率≤1300W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 </w:t>
            </w:r>
            <w:r>
              <w:rPr>
                <w:rFonts w:hint="eastAsia" w:ascii="宋体" w:hAnsi="宋体" w:cs="宋体"/>
                <w:color w:val="auto"/>
                <w:kern w:val="0"/>
                <w:sz w:val="20"/>
                <w:szCs w:val="20"/>
                <w:highlight w:val="none"/>
                <w:lang w:val="en-US" w:eastAsia="zh-CN" w:bidi="ar"/>
              </w:rPr>
              <w:t>.</w:t>
            </w:r>
            <w:r>
              <w:rPr>
                <w:rFonts w:hint="eastAsia" w:ascii="宋体" w:hAnsi="宋体" w:cs="宋体"/>
                <w:color w:val="auto"/>
                <w:kern w:val="0"/>
                <w:sz w:val="20"/>
                <w:szCs w:val="20"/>
                <w:highlight w:val="none"/>
                <w:lang w:bidi="ar"/>
              </w:rPr>
              <w:t xml:space="preserve"> 静电油烟净化器须符合国家规范“饮食业油烟排放标准”（GB18483—2001）及当地环保局的要求。设备计数效率达到“计数效率（0.3-1.0） μm≥93%以上、（1.0-3.0）μm≥96%以上、（3.0-10.0）μm≥98%以上，且MERV数值不低于15。”油烟净化器需采用国内标准的二段式净化，其中静电吸附采用国际标准二段平板式结构（同一系统油烟净化器必须经过至少二组电场），包含前后2套高低压电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w:t>
            </w:r>
            <w:r>
              <w:rPr>
                <w:rFonts w:hint="eastAsia" w:ascii="宋体" w:hAnsi="宋体" w:cs="宋体"/>
                <w:color w:val="auto"/>
                <w:kern w:val="0"/>
                <w:sz w:val="20"/>
                <w:szCs w:val="20"/>
                <w:highlight w:val="none"/>
                <w:lang w:val="en-US" w:eastAsia="zh-CN" w:bidi="ar"/>
              </w:rPr>
              <w:t>.</w:t>
            </w:r>
            <w:r>
              <w:rPr>
                <w:rFonts w:hint="eastAsia" w:ascii="宋体" w:hAnsi="宋体" w:cs="宋体"/>
                <w:color w:val="auto"/>
                <w:kern w:val="0"/>
                <w:sz w:val="20"/>
                <w:szCs w:val="20"/>
                <w:highlight w:val="none"/>
                <w:lang w:bidi="ar"/>
              </w:rPr>
              <w:t>静电油烟净化器依据HG/T3210-2002规范，极板采用的绝缘柱耐酸度97.3%，耐碱度99.4%，符合化学工业及其他工业用耐酸碱陶瓷设备及零部件的材料性能</w:t>
            </w:r>
            <w:r>
              <w:rPr>
                <w:rFonts w:hint="eastAsia" w:ascii="宋体" w:hAnsi="宋体" w:cs="宋体"/>
                <w:color w:val="auto"/>
                <w:kern w:val="0"/>
                <w:sz w:val="20"/>
                <w:szCs w:val="20"/>
                <w:highlight w:val="none"/>
                <w:lang w:eastAsia="zh-CN" w:bidi="ar"/>
              </w:rPr>
              <w:t>。</w:t>
            </w:r>
            <w:r>
              <w:rPr>
                <w:rFonts w:hint="eastAsia" w:ascii="宋体" w:hAnsi="宋体" w:cs="宋体"/>
                <w:color w:val="auto"/>
                <w:kern w:val="0"/>
                <w:sz w:val="20"/>
                <w:szCs w:val="20"/>
                <w:highlight w:val="none"/>
                <w:lang w:val="en-US" w:eastAsia="zh-CN" w:bidi="ar"/>
              </w:rPr>
              <w:t>3.</w:t>
            </w:r>
            <w:r>
              <w:rPr>
                <w:rFonts w:hint="eastAsia" w:ascii="宋体" w:hAnsi="宋体" w:cs="宋体"/>
                <w:color w:val="auto"/>
                <w:kern w:val="0"/>
                <w:sz w:val="20"/>
                <w:szCs w:val="20"/>
                <w:highlight w:val="none"/>
                <w:lang w:bidi="ar"/>
              </w:rPr>
              <w:t>油烟净化器通过辐射发射测试，在发射频率为32M赫兹至300M赫兹的情况下，测得电场强度最低数值不高于33.8dBuV/m。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4.</w:t>
            </w:r>
            <w:r>
              <w:rPr>
                <w:rFonts w:hint="eastAsia" w:ascii="宋体" w:hAnsi="宋体" w:cs="宋体"/>
                <w:color w:val="auto"/>
                <w:kern w:val="0"/>
                <w:sz w:val="20"/>
                <w:szCs w:val="20"/>
                <w:highlight w:val="none"/>
                <w:lang w:bidi="ar"/>
              </w:rPr>
              <w:t>净化器（机体）连续喷雾时间为500小时</w:t>
            </w:r>
            <w:r>
              <w:rPr>
                <w:rFonts w:hint="eastAsia" w:ascii="宋体" w:hAnsi="宋体" w:cs="宋体"/>
                <w:color w:val="auto"/>
                <w:kern w:val="0"/>
                <w:sz w:val="20"/>
                <w:szCs w:val="20"/>
                <w:highlight w:val="none"/>
                <w:lang w:val="en-US" w:eastAsia="zh-CN" w:bidi="ar"/>
              </w:rPr>
              <w:t>以上</w:t>
            </w:r>
            <w:r>
              <w:rPr>
                <w:rFonts w:hint="eastAsia" w:ascii="宋体" w:hAnsi="宋体" w:cs="宋体"/>
                <w:color w:val="auto"/>
                <w:kern w:val="0"/>
                <w:sz w:val="20"/>
                <w:szCs w:val="20"/>
                <w:highlight w:val="none"/>
                <w:lang w:bidi="ar"/>
              </w:rPr>
              <w:t>，保护评级为RP：8级及以上。基板（电场）连续喷雾时间为96小时，保护评级为RP：9级。</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59"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Style w:val="964"/>
                <w:rFonts w:hint="eastAsia"/>
                <w:i w:val="0"/>
                <w:iCs w:val="0"/>
                <w:color w:val="auto"/>
                <w:highlight w:val="none"/>
              </w:rPr>
              <w:t>★</w:t>
            </w:r>
            <w:r>
              <w:rPr>
                <w:rFonts w:hint="eastAsia" w:ascii="宋体" w:hAnsi="宋体" w:cs="宋体"/>
                <w:color w:val="auto"/>
                <w:kern w:val="0"/>
                <w:sz w:val="20"/>
                <w:szCs w:val="20"/>
                <w:highlight w:val="none"/>
                <w:lang w:bidi="ar"/>
              </w:rPr>
              <w:t>静电油烟净化设备（不锈钢外壳双段式）</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≥1100*16</w:t>
            </w: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6608" behindDoc="0" locked="0" layoutInCell="1" allowOverlap="1">
                  <wp:simplePos x="0" y="0"/>
                  <wp:positionH relativeFrom="column">
                    <wp:posOffset>649605</wp:posOffset>
                  </wp:positionH>
                  <wp:positionV relativeFrom="paragraph">
                    <wp:posOffset>1011555</wp:posOffset>
                  </wp:positionV>
                  <wp:extent cx="790575" cy="666750"/>
                  <wp:effectExtent l="0" t="0" r="9525" b="0"/>
                  <wp:wrapNone/>
                  <wp:docPr id="60" name="Picture_2"/>
                  <wp:cNvGraphicFramePr/>
                  <a:graphic xmlns:a="http://schemas.openxmlformats.org/drawingml/2006/main">
                    <a:graphicData uri="http://schemas.openxmlformats.org/drawingml/2006/picture">
                      <pic:pic xmlns:pic="http://schemas.openxmlformats.org/drawingml/2006/picture">
                        <pic:nvPicPr>
                          <pic:cNvPr id="60" name="Picture_2"/>
                          <pic:cNvPicPr/>
                        </pic:nvPicPr>
                        <pic:blipFill>
                          <a:blip r:embed="rId117"/>
                          <a:stretch>
                            <a:fillRect/>
                          </a:stretch>
                        </pic:blipFill>
                        <pic:spPr>
                          <a:xfrm>
                            <a:off x="0" y="0"/>
                            <a:ext cx="790575" cy="666750"/>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70*1995</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（不锈钢外壳双段式）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≥95%净化效率。处理风量：≥50000M3/H。</w:t>
            </w:r>
          </w:p>
          <w:p>
            <w:pPr>
              <w:widowControl/>
              <w:jc w:val="lef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法兰尺寸≥</w:t>
            </w:r>
            <w:r>
              <w:rPr>
                <w:rFonts w:hint="eastAsia" w:ascii="宋体" w:hAnsi="宋体" w:cs="宋体"/>
                <w:color w:val="auto"/>
                <w:kern w:val="0"/>
                <w:sz w:val="20"/>
                <w:szCs w:val="20"/>
                <w:highlight w:val="none"/>
                <w:lang w:val="en-US" w:eastAsia="zh-CN" w:bidi="ar"/>
              </w:rPr>
              <w:t>1</w:t>
            </w:r>
            <w:r>
              <w:rPr>
                <w:rFonts w:hint="eastAsia" w:ascii="宋体" w:hAnsi="宋体" w:cs="宋体"/>
                <w:color w:val="auto"/>
                <w:kern w:val="0"/>
                <w:sz w:val="20"/>
                <w:szCs w:val="20"/>
                <w:highlight w:val="none"/>
                <w:lang w:bidi="ar"/>
              </w:rPr>
              <w:t>450*1810。功率≤1290W.</w:t>
            </w:r>
          </w:p>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 </w:t>
            </w:r>
            <w:r>
              <w:rPr>
                <w:rFonts w:hint="eastAsia" w:ascii="宋体" w:hAnsi="宋体" w:cs="宋体"/>
                <w:color w:val="auto"/>
                <w:kern w:val="0"/>
                <w:sz w:val="20"/>
                <w:szCs w:val="20"/>
                <w:highlight w:val="none"/>
                <w:lang w:val="en-US" w:eastAsia="zh-CN" w:bidi="ar"/>
              </w:rPr>
              <w:t>.</w:t>
            </w:r>
            <w:r>
              <w:rPr>
                <w:rFonts w:hint="eastAsia" w:ascii="宋体" w:hAnsi="宋体" w:cs="宋体"/>
                <w:color w:val="auto"/>
                <w:kern w:val="0"/>
                <w:sz w:val="20"/>
                <w:szCs w:val="20"/>
                <w:highlight w:val="none"/>
                <w:lang w:bidi="ar"/>
              </w:rPr>
              <w:t>静电油烟净化器须符合国家规范“饮食业油烟排放标准”（GB18483—2001）及当地环保局的要求。设备计数效率达到“计数效率（0.3-1.0） μm≥93%以上、（1.0-3.0）μm≥96%以上、（3.0-10.0）μm≥98%以上，且MERV数值不低于15。”油烟净化器需采用国内标准的二段式净化，其中静电吸附采用国际标准二段平板式结构（同一系统油烟净化器必须经过至少二组电场），包含前后2套高低压电场。</w:t>
            </w:r>
          </w:p>
          <w:p>
            <w:pPr>
              <w:widowControl/>
              <w:jc w:val="left"/>
              <w:textAlignment w:val="top"/>
              <w:rPr>
                <w:color w:val="auto"/>
                <w:highlight w:val="none"/>
              </w:rPr>
            </w:pPr>
            <w:r>
              <w:rPr>
                <w:rFonts w:hint="eastAsia" w:ascii="宋体" w:hAnsi="宋体" w:cs="宋体"/>
                <w:strike w:val="0"/>
                <w:color w:val="auto"/>
                <w:kern w:val="0"/>
                <w:sz w:val="20"/>
                <w:szCs w:val="20"/>
                <w:highlight w:val="none"/>
                <w:lang w:bidi="ar"/>
              </w:rPr>
              <w:t>2</w:t>
            </w:r>
            <w:r>
              <w:rPr>
                <w:rFonts w:hint="eastAsia" w:ascii="宋体" w:hAnsi="宋体" w:cs="宋体"/>
                <w:strike w:val="0"/>
                <w:color w:val="auto"/>
                <w:kern w:val="0"/>
                <w:sz w:val="20"/>
                <w:szCs w:val="20"/>
                <w:highlight w:val="none"/>
                <w:lang w:val="en-US" w:eastAsia="zh-CN" w:bidi="ar"/>
              </w:rPr>
              <w:t>.</w:t>
            </w:r>
            <w:r>
              <w:rPr>
                <w:rFonts w:hint="eastAsia" w:ascii="宋体" w:hAnsi="宋体" w:cs="宋体"/>
                <w:strike w:val="0"/>
                <w:color w:val="auto"/>
                <w:kern w:val="0"/>
                <w:sz w:val="20"/>
                <w:szCs w:val="20"/>
                <w:highlight w:val="none"/>
                <w:lang w:bidi="ar"/>
              </w:rPr>
              <w:t>静电油烟净化器依据HG/T3210-2002规范，极板采用的绝缘柱耐酸度97.3%，耐碱度99.4%，符合化学工业及其他工业用耐酸碱陶瓷设备及零部件的材料性能</w:t>
            </w:r>
            <w:r>
              <w:rPr>
                <w:rFonts w:hint="eastAsia" w:ascii="宋体" w:hAnsi="宋体" w:cs="宋体"/>
                <w:strike w:val="0"/>
                <w:color w:val="auto"/>
                <w:kern w:val="0"/>
                <w:sz w:val="20"/>
                <w:szCs w:val="20"/>
                <w:highlight w:val="none"/>
                <w:lang w:eastAsia="zh-CN" w:bidi="ar"/>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3.</w:t>
            </w:r>
            <w:r>
              <w:rPr>
                <w:rFonts w:hint="eastAsia" w:ascii="宋体" w:hAnsi="宋体" w:cs="宋体"/>
                <w:color w:val="auto"/>
                <w:kern w:val="0"/>
                <w:sz w:val="20"/>
                <w:szCs w:val="20"/>
                <w:highlight w:val="none"/>
                <w:lang w:bidi="ar"/>
              </w:rPr>
              <w:t>油烟净化器通过辐射发射测试，在发射频率为32M赫兹至300M赫兹的情况下，测得电场强度最低数值不高于33.8dBuV/m。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val="en-US" w:eastAsia="zh-CN" w:bidi="ar"/>
              </w:rPr>
              <w:t>4.</w:t>
            </w:r>
            <w:r>
              <w:rPr>
                <w:rFonts w:hint="eastAsia" w:ascii="宋体" w:hAnsi="宋体" w:cs="宋体"/>
                <w:color w:val="auto"/>
                <w:kern w:val="0"/>
                <w:sz w:val="20"/>
                <w:szCs w:val="20"/>
                <w:highlight w:val="none"/>
                <w:lang w:bidi="ar"/>
              </w:rPr>
              <w:t>净化器（机体）连续喷雾时间为500小时，保护评级为RP：8级及以上。基板（电场）连续喷雾时间为96小时，保护评级为RP：9级。</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33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厨灵智能控制器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≥404*676*200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7632" behindDoc="0" locked="0" layoutInCell="1" allowOverlap="1">
                  <wp:simplePos x="0" y="0"/>
                  <wp:positionH relativeFrom="column">
                    <wp:posOffset>200025</wp:posOffset>
                  </wp:positionH>
                  <wp:positionV relativeFrom="paragraph">
                    <wp:posOffset>742950</wp:posOffset>
                  </wp:positionV>
                  <wp:extent cx="561975" cy="828675"/>
                  <wp:effectExtent l="0" t="0" r="9525" b="9525"/>
                  <wp:wrapNone/>
                  <wp:docPr id="61" name="Picture_3"/>
                  <wp:cNvGraphicFramePr/>
                  <a:graphic xmlns:a="http://schemas.openxmlformats.org/drawingml/2006/main">
                    <a:graphicData uri="http://schemas.openxmlformats.org/drawingml/2006/picture">
                      <pic:pic xmlns:pic="http://schemas.openxmlformats.org/drawingml/2006/picture">
                        <pic:nvPicPr>
                          <pic:cNvPr id="61" name="Picture_3"/>
                          <pic:cNvPicPr/>
                        </pic:nvPicPr>
                        <pic:blipFill>
                          <a:blip r:embed="rId118"/>
                          <a:stretch>
                            <a:fillRect/>
                          </a:stretch>
                        </pic:blipFill>
                        <pic:spPr>
                          <a:xfrm>
                            <a:off x="0" y="0"/>
                            <a:ext cx="561975" cy="8286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外壳采用全不锈钢板制造，变频器箱含变频器产品特点：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1、具备485通讯功能的所有上微机设备都可以对他进行监控和控制，可以无缝对接多灶头控制模块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2、变频控制，无极调速操作简单免调试；</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3、一键设置，一键切换普通、强排、静音模式；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4、集成净化器电源控制，风机、净化联动同步控制；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5、集成燃气报警联动控制；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6、键盘自动锁定，防止人为误操作；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7、高端大气，不锈钢外箱与金属按钮完美结合；</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8、适用电功率：与风机配套</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风机减震器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100kg-250kg</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8656" behindDoc="0" locked="0" layoutInCell="1" allowOverlap="1">
                  <wp:simplePos x="0" y="0"/>
                  <wp:positionH relativeFrom="column">
                    <wp:posOffset>85725</wp:posOffset>
                  </wp:positionH>
                  <wp:positionV relativeFrom="paragraph">
                    <wp:posOffset>123825</wp:posOffset>
                  </wp:positionV>
                  <wp:extent cx="790575" cy="704850"/>
                  <wp:effectExtent l="0" t="0" r="9525" b="0"/>
                  <wp:wrapNone/>
                  <wp:docPr id="62" name="Picture_4"/>
                  <wp:cNvGraphicFramePr/>
                  <a:graphic xmlns:a="http://schemas.openxmlformats.org/drawingml/2006/main">
                    <a:graphicData uri="http://schemas.openxmlformats.org/drawingml/2006/picture">
                      <pic:pic xmlns:pic="http://schemas.openxmlformats.org/drawingml/2006/picture">
                        <pic:nvPicPr>
                          <pic:cNvPr id="62" name="Picture_4"/>
                          <pic:cNvPicPr/>
                        </pic:nvPicPr>
                        <pic:blipFill>
                          <a:blip r:embed="rId119"/>
                          <a:stretch>
                            <a:fillRect/>
                          </a:stretch>
                        </pic:blipFill>
                        <pic:spPr>
                          <a:xfrm>
                            <a:off x="0" y="0"/>
                            <a:ext cx="790575" cy="7048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减震器利用减震器将风机和大地隔离，减震器可以有效的阻止风机的震动传向大地，防止震动源的传播，从而起到降低震动的效果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；弹簧均经热处理、ED防锈、烤漆等程序处理；能有效消除机械结构震动。尼龙材质工作温度0℃～50℃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—承重80~250KG(根据风机定制）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—采用炭素钢材制作，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—适用温度-20~80℃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—固有频率：1.5HZ~4.9HZ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—阻尼比：0.065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—弹性系数≥9.2KG/MM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低噪声节能轴流风机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≥450*300*450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19680" behindDoc="0" locked="0" layoutInCell="1" allowOverlap="1">
                  <wp:simplePos x="0" y="0"/>
                  <wp:positionH relativeFrom="column">
                    <wp:posOffset>85725</wp:posOffset>
                  </wp:positionH>
                  <wp:positionV relativeFrom="paragraph">
                    <wp:posOffset>95250</wp:posOffset>
                  </wp:positionV>
                  <wp:extent cx="790575" cy="752475"/>
                  <wp:effectExtent l="0" t="0" r="9525" b="9525"/>
                  <wp:wrapNone/>
                  <wp:docPr id="63" name="Picture_5"/>
                  <wp:cNvGraphicFramePr/>
                  <a:graphic xmlns:a="http://schemas.openxmlformats.org/drawingml/2006/main">
                    <a:graphicData uri="http://schemas.openxmlformats.org/drawingml/2006/picture">
                      <pic:pic xmlns:pic="http://schemas.openxmlformats.org/drawingml/2006/picture">
                        <pic:nvPicPr>
                          <pic:cNvPr id="63" name="Picture_5"/>
                          <pic:cNvPicPr/>
                        </pic:nvPicPr>
                        <pic:blipFill>
                          <a:blip r:embed="rId120"/>
                          <a:stretch>
                            <a:fillRect/>
                          </a:stretch>
                        </pic:blipFill>
                        <pic:spPr>
                          <a:xfrm>
                            <a:off x="0" y="0"/>
                            <a:ext cx="790575" cy="7524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规格: 约7000风量/小时；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风柜骨架50X50X5.0mm的角铁制作；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风柜壳体为3mm镀锌板制作；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每个风柜配有相应类型的优质猪笼式扇芯一套，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配优质低噪声电机。 </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195"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178</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防火阀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≥1000*1000*200</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0704" behindDoc="0" locked="0" layoutInCell="1" allowOverlap="1">
                  <wp:simplePos x="0" y="0"/>
                  <wp:positionH relativeFrom="column">
                    <wp:posOffset>220345</wp:posOffset>
                  </wp:positionH>
                  <wp:positionV relativeFrom="paragraph">
                    <wp:posOffset>125095</wp:posOffset>
                  </wp:positionV>
                  <wp:extent cx="711200" cy="544195"/>
                  <wp:effectExtent l="0" t="0" r="12700" b="8255"/>
                  <wp:wrapNone/>
                  <wp:docPr id="64" name="Picture_6"/>
                  <wp:cNvGraphicFramePr/>
                  <a:graphic xmlns:a="http://schemas.openxmlformats.org/drawingml/2006/main">
                    <a:graphicData uri="http://schemas.openxmlformats.org/drawingml/2006/picture">
                      <pic:pic xmlns:pic="http://schemas.openxmlformats.org/drawingml/2006/picture">
                        <pic:nvPicPr>
                          <pic:cNvPr id="64" name="Picture_6"/>
                          <pic:cNvPicPr/>
                        </pic:nvPicPr>
                        <pic:blipFill>
                          <a:blip r:embed="rId121"/>
                          <a:stretch>
                            <a:fillRect/>
                          </a:stretch>
                        </pic:blipFill>
                        <pic:spPr>
                          <a:xfrm>
                            <a:off x="0" y="0"/>
                            <a:ext cx="711200" cy="54419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常开，150℃关闭，一般安装在风管穿越防火墙和结构变形缝处，起火灾控制作用，可以设置联动送（补）风机关闭。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采用防火钢材制作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规格：根据风管定制</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179</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不锈钢集油盘</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1728" behindDoc="0" locked="0" layoutInCell="1" allowOverlap="1">
                  <wp:simplePos x="0" y="0"/>
                  <wp:positionH relativeFrom="column">
                    <wp:posOffset>85725</wp:posOffset>
                  </wp:positionH>
                  <wp:positionV relativeFrom="paragraph">
                    <wp:posOffset>219075</wp:posOffset>
                  </wp:positionV>
                  <wp:extent cx="790575" cy="523875"/>
                  <wp:effectExtent l="0" t="0" r="9525" b="9525"/>
                  <wp:wrapNone/>
                  <wp:docPr id="65" name="Picture_7"/>
                  <wp:cNvGraphicFramePr/>
                  <a:graphic xmlns:a="http://schemas.openxmlformats.org/drawingml/2006/main">
                    <a:graphicData uri="http://schemas.openxmlformats.org/drawingml/2006/picture">
                      <pic:pic xmlns:pic="http://schemas.openxmlformats.org/drawingml/2006/picture">
                        <pic:nvPicPr>
                          <pic:cNvPr id="65" name="Picture_7"/>
                          <pic:cNvPicPr/>
                        </pic:nvPicPr>
                        <pic:blipFill>
                          <a:blip r:embed="rId122"/>
                          <a:stretch>
                            <a:fillRect/>
                          </a:stretch>
                        </pic:blipFill>
                        <pic:spPr>
                          <a:xfrm>
                            <a:off x="0" y="0"/>
                            <a:ext cx="790575" cy="5238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—采用优质不锈钢板制造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—板厚0.8~1.0mm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—外撑槽钢固定，地位引流口，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—配球阀开关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—具体尺寸根据风机净化器配套</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只</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180</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风管软连接</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2752" behindDoc="0" locked="0" layoutInCell="1" allowOverlap="1">
                  <wp:simplePos x="0" y="0"/>
                  <wp:positionH relativeFrom="column">
                    <wp:posOffset>242570</wp:posOffset>
                  </wp:positionH>
                  <wp:positionV relativeFrom="paragraph">
                    <wp:posOffset>58420</wp:posOffset>
                  </wp:positionV>
                  <wp:extent cx="452120" cy="455295"/>
                  <wp:effectExtent l="0" t="0" r="5080" b="1905"/>
                  <wp:wrapNone/>
                  <wp:docPr id="66" name="Picture_8"/>
                  <wp:cNvGraphicFramePr/>
                  <a:graphic xmlns:a="http://schemas.openxmlformats.org/drawingml/2006/main">
                    <a:graphicData uri="http://schemas.openxmlformats.org/drawingml/2006/picture">
                      <pic:pic xmlns:pic="http://schemas.openxmlformats.org/drawingml/2006/picture">
                        <pic:nvPicPr>
                          <pic:cNvPr id="66" name="Picture_8"/>
                          <pic:cNvPicPr/>
                        </pic:nvPicPr>
                        <pic:blipFill>
                          <a:blip r:embed="rId123"/>
                          <a:stretch>
                            <a:fillRect/>
                          </a:stretch>
                        </pic:blipFill>
                        <pic:spPr>
                          <a:xfrm>
                            <a:off x="0" y="0"/>
                            <a:ext cx="452120" cy="45529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—采用镀锌角铁等防火材料制造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—帆布连接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—具体尺寸根据风机净化器配套</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181</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净化器底座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3776" behindDoc="0" locked="0" layoutInCell="1" allowOverlap="1">
                  <wp:simplePos x="0" y="0"/>
                  <wp:positionH relativeFrom="column">
                    <wp:posOffset>309245</wp:posOffset>
                  </wp:positionH>
                  <wp:positionV relativeFrom="paragraph">
                    <wp:posOffset>38100</wp:posOffset>
                  </wp:positionV>
                  <wp:extent cx="374015" cy="292100"/>
                  <wp:effectExtent l="0" t="0" r="6985" b="12700"/>
                  <wp:wrapNone/>
                  <wp:docPr id="67" name="Picture_9"/>
                  <wp:cNvGraphicFramePr/>
                  <a:graphic xmlns:a="http://schemas.openxmlformats.org/drawingml/2006/main">
                    <a:graphicData uri="http://schemas.openxmlformats.org/drawingml/2006/picture">
                      <pic:pic xmlns:pic="http://schemas.openxmlformats.org/drawingml/2006/picture">
                        <pic:nvPicPr>
                          <pic:cNvPr id="67" name="Picture_9"/>
                          <pic:cNvPicPr/>
                        </pic:nvPicPr>
                        <pic:blipFill>
                          <a:blip r:embed="rId124"/>
                          <a:stretch>
                            <a:fillRect/>
                          </a:stretch>
                        </pic:blipFill>
                        <pic:spPr>
                          <a:xfrm>
                            <a:off x="0" y="0"/>
                            <a:ext cx="374015" cy="29210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—采用镀锌角铁制作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—承受重量：1000KG</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462"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182</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风机底座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4800" behindDoc="0" locked="0" layoutInCell="1" allowOverlap="1">
                  <wp:simplePos x="0" y="0"/>
                  <wp:positionH relativeFrom="column">
                    <wp:posOffset>276225</wp:posOffset>
                  </wp:positionH>
                  <wp:positionV relativeFrom="paragraph">
                    <wp:posOffset>12065</wp:posOffset>
                  </wp:positionV>
                  <wp:extent cx="418465" cy="325120"/>
                  <wp:effectExtent l="0" t="0" r="635" b="17780"/>
                  <wp:wrapNone/>
                  <wp:docPr id="68" name="Picture_10"/>
                  <wp:cNvGraphicFramePr/>
                  <a:graphic xmlns:a="http://schemas.openxmlformats.org/drawingml/2006/main">
                    <a:graphicData uri="http://schemas.openxmlformats.org/drawingml/2006/picture">
                      <pic:pic xmlns:pic="http://schemas.openxmlformats.org/drawingml/2006/picture">
                        <pic:nvPicPr>
                          <pic:cNvPr id="68" name="Picture_10"/>
                          <pic:cNvPicPr/>
                        </pic:nvPicPr>
                        <pic:blipFill>
                          <a:blip r:embed="rId125"/>
                          <a:stretch>
                            <a:fillRect/>
                          </a:stretch>
                        </pic:blipFill>
                        <pic:spPr>
                          <a:xfrm>
                            <a:off x="0" y="0"/>
                            <a:ext cx="418465" cy="32512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—采用镀锌角铁制作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—承受重量：1000KG</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台</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183</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灶前装饰封板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5824" behindDoc="0" locked="0" layoutInCell="1" allowOverlap="1">
                  <wp:simplePos x="0" y="0"/>
                  <wp:positionH relativeFrom="column">
                    <wp:posOffset>156845</wp:posOffset>
                  </wp:positionH>
                  <wp:positionV relativeFrom="paragraph">
                    <wp:posOffset>133985</wp:posOffset>
                  </wp:positionV>
                  <wp:extent cx="790575" cy="380365"/>
                  <wp:effectExtent l="0" t="0" r="9525" b="635"/>
                  <wp:wrapNone/>
                  <wp:docPr id="69" name="Picture_5_SpCnt_1"/>
                  <wp:cNvGraphicFramePr/>
                  <a:graphic xmlns:a="http://schemas.openxmlformats.org/drawingml/2006/main">
                    <a:graphicData uri="http://schemas.openxmlformats.org/drawingml/2006/picture">
                      <pic:pic xmlns:pic="http://schemas.openxmlformats.org/drawingml/2006/picture">
                        <pic:nvPicPr>
                          <pic:cNvPr id="69" name="Picture_5_SpCnt_1"/>
                          <pic:cNvPicPr/>
                        </pic:nvPicPr>
                        <pic:blipFill>
                          <a:blip r:embed="rId126"/>
                          <a:stretch>
                            <a:fillRect/>
                          </a:stretch>
                        </pic:blipFill>
                        <pic:spPr>
                          <a:xfrm>
                            <a:off x="0" y="0"/>
                            <a:ext cx="790575" cy="38036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优质304#不锈钢板，厚度1.0mm，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用于装饰，美观大方</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43.402</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184</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不锈钢封墙钢（灶后封板）</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6848" behindDoc="0" locked="0" layoutInCell="1" allowOverlap="1">
                  <wp:simplePos x="0" y="0"/>
                  <wp:positionH relativeFrom="column">
                    <wp:posOffset>123190</wp:posOffset>
                  </wp:positionH>
                  <wp:positionV relativeFrom="paragraph">
                    <wp:posOffset>111760</wp:posOffset>
                  </wp:positionV>
                  <wp:extent cx="616585" cy="402590"/>
                  <wp:effectExtent l="0" t="0" r="12065" b="16510"/>
                  <wp:wrapNone/>
                  <wp:docPr id="70" name="Picture_4_SpCnt_1"/>
                  <wp:cNvGraphicFramePr/>
                  <a:graphic xmlns:a="http://schemas.openxmlformats.org/drawingml/2006/main">
                    <a:graphicData uri="http://schemas.openxmlformats.org/drawingml/2006/picture">
                      <pic:pic xmlns:pic="http://schemas.openxmlformats.org/drawingml/2006/picture">
                        <pic:nvPicPr>
                          <pic:cNvPr id="70" name="Picture_4_SpCnt_1"/>
                          <pic:cNvPicPr/>
                        </pic:nvPicPr>
                        <pic:blipFill>
                          <a:blip r:embed="rId127"/>
                          <a:stretch>
                            <a:fillRect/>
                          </a:stretch>
                        </pic:blipFill>
                        <pic:spPr>
                          <a:xfrm>
                            <a:off x="0" y="0"/>
                            <a:ext cx="616585" cy="40259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采用优质SUS 304/1.0不锈钢磨砂板，δ=1.0mm。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用于烟罩及炉灶背板之间封板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蒸箱、汤锅等后封板离地500mm</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55.23</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185</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吊装式排烟管道（大小头）</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7872" behindDoc="0" locked="0" layoutInCell="1" allowOverlap="1">
                  <wp:simplePos x="0" y="0"/>
                  <wp:positionH relativeFrom="column">
                    <wp:posOffset>85725</wp:posOffset>
                  </wp:positionH>
                  <wp:positionV relativeFrom="paragraph">
                    <wp:posOffset>219075</wp:posOffset>
                  </wp:positionV>
                  <wp:extent cx="790575" cy="504825"/>
                  <wp:effectExtent l="0" t="0" r="9525" b="9525"/>
                  <wp:wrapNone/>
                  <wp:docPr id="71" name="Picture_11"/>
                  <wp:cNvGraphicFramePr/>
                  <a:graphic xmlns:a="http://schemas.openxmlformats.org/drawingml/2006/main">
                    <a:graphicData uri="http://schemas.openxmlformats.org/drawingml/2006/picture">
                      <pic:pic xmlns:pic="http://schemas.openxmlformats.org/drawingml/2006/picture">
                        <pic:nvPicPr>
                          <pic:cNvPr id="71" name="Picture_11"/>
                          <pic:cNvPicPr/>
                        </pic:nvPicPr>
                        <pic:blipFill>
                          <a:blip r:embed="rId128"/>
                          <a:stretch>
                            <a:fillRect/>
                          </a:stretch>
                        </pic:blipFill>
                        <pic:spPr>
                          <a:xfrm>
                            <a:off x="0" y="0"/>
                            <a:ext cx="790575" cy="50482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—烟罩上方和管道接口出采用304不锈钢板制造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—其他管道采用201制作，板厚≥0.8mm，内衬加强档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—配套法兰采用角铁制造，外表镀锌，—法兰采用镀锌螺丝固定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根据现场定制尺寸</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215</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631"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186</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吊装式排烟管道（直管）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8896" behindDoc="0" locked="0" layoutInCell="1" allowOverlap="1">
                  <wp:simplePos x="0" y="0"/>
                  <wp:positionH relativeFrom="column">
                    <wp:posOffset>85725</wp:posOffset>
                  </wp:positionH>
                  <wp:positionV relativeFrom="paragraph">
                    <wp:posOffset>219075</wp:posOffset>
                  </wp:positionV>
                  <wp:extent cx="790575" cy="514350"/>
                  <wp:effectExtent l="0" t="0" r="9525" b="0"/>
                  <wp:wrapNone/>
                  <wp:docPr id="72" name="Picture_12"/>
                  <wp:cNvGraphicFramePr/>
                  <a:graphic xmlns:a="http://schemas.openxmlformats.org/drawingml/2006/main">
                    <a:graphicData uri="http://schemas.openxmlformats.org/drawingml/2006/picture">
                      <pic:pic xmlns:pic="http://schemas.openxmlformats.org/drawingml/2006/picture">
                        <pic:nvPicPr>
                          <pic:cNvPr id="72" name="Picture_12"/>
                          <pic:cNvPicPr/>
                        </pic:nvPicPr>
                        <pic:blipFill>
                          <a:blip r:embed="rId129"/>
                          <a:stretch>
                            <a:fillRect/>
                          </a:stretch>
                        </pic:blipFill>
                        <pic:spPr>
                          <a:xfrm>
                            <a:off x="0" y="0"/>
                            <a:ext cx="790575" cy="514350"/>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—烟罩上方和管道接口出采用304不锈钢板制造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—其他管道采用201制作，板厚≥0.8mm，内衬加强档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—配套法兰采用角铁制造，外表镀锌，—法兰采用镀锌螺丝固定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根据现场定制尺寸</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374</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r>
        <w:tblPrEx>
          <w:tblCellMar>
            <w:top w:w="0" w:type="dxa"/>
            <w:left w:w="108" w:type="dxa"/>
            <w:bottom w:w="0" w:type="dxa"/>
            <w:right w:w="108" w:type="dxa"/>
          </w:tblCellMar>
        </w:tblPrEx>
        <w:trPr>
          <w:trHeight w:val="1350" w:hRule="atLeast"/>
          <w:jc w:val="center"/>
        </w:trPr>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auto"/>
                <w:sz w:val="20"/>
                <w:szCs w:val="20"/>
                <w:highlight w:val="none"/>
              </w:rPr>
            </w:pPr>
            <w:r>
              <w:rPr>
                <w:rFonts w:hint="eastAsia" w:ascii="宋体" w:hAnsi="宋体" w:cs="宋体"/>
                <w:color w:val="auto"/>
                <w:sz w:val="20"/>
                <w:szCs w:val="20"/>
                <w:highlight w:val="none"/>
              </w:rPr>
              <w:t>1</w:t>
            </w:r>
            <w:r>
              <w:rPr>
                <w:rFonts w:ascii="宋体" w:hAnsi="宋体" w:cs="宋体"/>
                <w:color w:val="auto"/>
                <w:sz w:val="20"/>
                <w:szCs w:val="20"/>
                <w:highlight w:val="none"/>
              </w:rPr>
              <w:t>87</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吊装式排烟管道（弯道）</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定制</w:t>
            </w:r>
          </w:p>
        </w:tc>
        <w:tc>
          <w:tcPr>
            <w:tcW w:w="9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shd w:val="clear" w:color="auto" w:fill="FFFFFF"/>
                <w:lang w:bidi="ar"/>
              </w:rPr>
              <w:drawing>
                <wp:anchor distT="0" distB="0" distL="114300" distR="114300" simplePos="0" relativeHeight="251729920" behindDoc="0" locked="0" layoutInCell="1" allowOverlap="1">
                  <wp:simplePos x="0" y="0"/>
                  <wp:positionH relativeFrom="column">
                    <wp:posOffset>85725</wp:posOffset>
                  </wp:positionH>
                  <wp:positionV relativeFrom="paragraph">
                    <wp:posOffset>95250</wp:posOffset>
                  </wp:positionV>
                  <wp:extent cx="790575" cy="752475"/>
                  <wp:effectExtent l="0" t="0" r="9525" b="9525"/>
                  <wp:wrapNone/>
                  <wp:docPr id="73" name="Picture_13"/>
                  <wp:cNvGraphicFramePr/>
                  <a:graphic xmlns:a="http://schemas.openxmlformats.org/drawingml/2006/main">
                    <a:graphicData uri="http://schemas.openxmlformats.org/drawingml/2006/picture">
                      <pic:pic xmlns:pic="http://schemas.openxmlformats.org/drawingml/2006/picture">
                        <pic:nvPicPr>
                          <pic:cNvPr id="73" name="Picture_13"/>
                          <pic:cNvPicPr/>
                        </pic:nvPicPr>
                        <pic:blipFill>
                          <a:blip r:embed="rId130"/>
                          <a:stretch>
                            <a:fillRect/>
                          </a:stretch>
                        </pic:blipFill>
                        <pic:spPr>
                          <a:xfrm>
                            <a:off x="0" y="0"/>
                            <a:ext cx="790575" cy="752475"/>
                          </a:xfrm>
                          <a:prstGeom prst="rect">
                            <a:avLst/>
                          </a:prstGeom>
                          <a:noFill/>
                          <a:ln>
                            <a:noFill/>
                          </a:ln>
                        </pic:spPr>
                      </pic:pic>
                    </a:graphicData>
                  </a:graphic>
                </wp:anchor>
              </w:drawing>
            </w:r>
          </w:p>
        </w:tc>
        <w:tc>
          <w:tcPr>
            <w:tcW w:w="1643"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品牌：厂制品</w:t>
            </w:r>
          </w:p>
          <w:p>
            <w:pPr>
              <w:widowControl/>
              <w:jc w:val="left"/>
              <w:textAlignment w:val="top"/>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—烟罩上方和管道接口出采用304不锈钢板制造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—其他管道采用201制作，板厚≥0.8mm，内衬加强档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—配套法兰采用角铁制造，外表镀锌，—法兰采用镀锌螺丝固定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根据现场定制尺寸</w:t>
            </w:r>
          </w:p>
        </w:tc>
        <w:tc>
          <w:tcPr>
            <w:tcW w:w="3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311</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平方</w:t>
            </w:r>
          </w:p>
        </w:tc>
        <w:tc>
          <w:tcPr>
            <w:tcW w:w="468"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auto"/>
                <w:sz w:val="20"/>
                <w:szCs w:val="20"/>
                <w:highlight w:val="none"/>
              </w:rPr>
            </w:pPr>
          </w:p>
        </w:tc>
      </w:tr>
    </w:tbl>
    <w:p>
      <w:pPr>
        <w:spacing w:line="360" w:lineRule="auto"/>
        <w:ind w:right="30"/>
        <w:jc w:val="left"/>
        <w:rPr>
          <w:rFonts w:ascii="宋体" w:hAnsi="宋体" w:cs="宋体"/>
          <w:bCs/>
          <w:color w:val="auto"/>
          <w:szCs w:val="21"/>
          <w:highlight w:val="none"/>
        </w:rPr>
      </w:pPr>
      <w:r>
        <w:rPr>
          <w:rFonts w:hint="eastAsia" w:ascii="宋体" w:hAnsi="宋体" w:cs="宋体"/>
          <w:bCs/>
          <w:color w:val="auto"/>
          <w:szCs w:val="21"/>
          <w:highlight w:val="none"/>
        </w:rPr>
        <w:t>注：</w:t>
      </w:r>
      <w:r>
        <w:rPr>
          <w:rFonts w:ascii="宋体" w:hAnsi="宋体" w:cs="宋体"/>
          <w:bCs/>
          <w:color w:val="auto"/>
          <w:szCs w:val="21"/>
          <w:highlight w:val="none"/>
        </w:rPr>
        <w:t>1)、</w:t>
      </w:r>
      <w:r>
        <w:rPr>
          <w:rFonts w:hint="eastAsia" w:ascii="宋体" w:hAnsi="宋体" w:cs="宋体"/>
          <w:bCs/>
          <w:color w:val="auto"/>
          <w:szCs w:val="21"/>
          <w:highlight w:val="none"/>
        </w:rPr>
        <w:t>如投标人未注明投标品牌的则招标人有权在参考品牌范围内随意指定，且投标报价不予调整。供货时产品需提供样品接受业主方预验收，其产品在品质、品牌、标准上达不到招标文件要求的，业主方有权要求调换产品直到达到品质要求满意为止，否则招标人有权解除合同，拒付货款，并扣总价款</w:t>
      </w:r>
      <w:r>
        <w:rPr>
          <w:rFonts w:ascii="宋体" w:hAnsi="宋体" w:cs="宋体"/>
          <w:bCs/>
          <w:color w:val="auto"/>
          <w:szCs w:val="21"/>
          <w:highlight w:val="none"/>
        </w:rPr>
        <w:t>10%的违约金；</w:t>
      </w:r>
    </w:p>
    <w:p>
      <w:pPr>
        <w:spacing w:line="360" w:lineRule="auto"/>
        <w:ind w:right="30" w:firstLine="420" w:firstLineChars="200"/>
        <w:jc w:val="left"/>
        <w:rPr>
          <w:rFonts w:ascii="宋体" w:hAnsi="宋体" w:cs="宋体"/>
          <w:bCs/>
          <w:color w:val="auto"/>
          <w:szCs w:val="21"/>
          <w:highlight w:val="none"/>
        </w:rPr>
      </w:pPr>
      <w:r>
        <w:rPr>
          <w:rFonts w:ascii="宋体" w:hAnsi="宋体" w:cs="宋体"/>
          <w:bCs/>
          <w:color w:val="auto"/>
          <w:szCs w:val="21"/>
          <w:highlight w:val="none"/>
        </w:rPr>
        <w:t>2)、投标人必须严格按照本次招标文件技术要求中所列设备的材质要求制造厨具，所有不锈钢板材均采用SUS304（另有特别要求的除外），如有违反需在初次验收后，在招标</w:t>
      </w:r>
      <w:r>
        <w:rPr>
          <w:rFonts w:hint="eastAsia" w:ascii="宋体" w:hAnsi="宋体" w:cs="宋体"/>
          <w:bCs/>
          <w:color w:val="auto"/>
          <w:szCs w:val="21"/>
          <w:highlight w:val="none"/>
        </w:rPr>
        <w:t>人规定时间内将未达标设备免费更换。</w:t>
      </w:r>
    </w:p>
    <w:p>
      <w:pPr>
        <w:spacing w:line="360" w:lineRule="auto"/>
        <w:ind w:right="30" w:firstLine="420" w:firstLineChars="200"/>
        <w:jc w:val="left"/>
        <w:rPr>
          <w:rFonts w:ascii="宋体" w:hAnsi="宋体" w:cs="宋体"/>
          <w:bCs/>
          <w:color w:val="auto"/>
          <w:szCs w:val="21"/>
          <w:highlight w:val="none"/>
        </w:rPr>
      </w:pPr>
      <w:r>
        <w:rPr>
          <w:rFonts w:ascii="宋体" w:hAnsi="宋体" w:cs="宋体"/>
          <w:bCs/>
          <w:color w:val="auto"/>
          <w:szCs w:val="21"/>
          <w:highlight w:val="none"/>
        </w:rPr>
        <w:t>3)、设备厂制品特殊情况下可根据现场调整保证美观度；外购件产品以型号为准。</w:t>
      </w:r>
    </w:p>
    <w:p>
      <w:pPr>
        <w:spacing w:line="360" w:lineRule="auto"/>
        <w:ind w:right="30" w:firstLine="420" w:firstLineChars="200"/>
        <w:jc w:val="left"/>
        <w:rPr>
          <w:rFonts w:ascii="宋体" w:hAnsi="宋体" w:cs="宋体"/>
          <w:bCs/>
          <w:color w:val="auto"/>
          <w:szCs w:val="21"/>
          <w:highlight w:val="none"/>
        </w:rPr>
      </w:pPr>
      <w:r>
        <w:rPr>
          <w:rFonts w:ascii="宋体" w:hAnsi="宋体" w:cs="宋体"/>
          <w:bCs/>
          <w:color w:val="auto"/>
          <w:szCs w:val="21"/>
          <w:highlight w:val="none"/>
        </w:rPr>
        <w:t>4）、设备验收将协同主管质检部门，依据招标文件及相关制度法规，对未达标产品限期整改，对认定为弄虚作假者将提报行业主管部门进行取缔并列入政府采购黑名单同时没收履约保证金并处以罚金。</w:t>
      </w:r>
    </w:p>
    <w:p>
      <w:pPr>
        <w:spacing w:line="360" w:lineRule="auto"/>
        <w:ind w:right="30"/>
        <w:jc w:val="left"/>
        <w:rPr>
          <w:rFonts w:hint="eastAsia" w:ascii="宋体" w:hAnsi="宋体" w:eastAsia="宋体" w:cs="宋体"/>
          <w:b/>
          <w:bCs w:val="0"/>
          <w:color w:val="auto"/>
          <w:kern w:val="2"/>
          <w:sz w:val="21"/>
          <w:szCs w:val="21"/>
          <w:highlight w:val="none"/>
          <w:lang w:val="zh-CN" w:eastAsia="zh-CN" w:bidi="ar-SA"/>
        </w:rPr>
      </w:pPr>
      <w:r>
        <w:rPr>
          <w:rFonts w:hint="eastAsia" w:ascii="宋体" w:hAnsi="宋体" w:eastAsia="宋体" w:cs="宋体"/>
          <w:b/>
          <w:bCs w:val="0"/>
          <w:color w:val="auto"/>
          <w:kern w:val="2"/>
          <w:sz w:val="21"/>
          <w:szCs w:val="21"/>
          <w:highlight w:val="none"/>
          <w:lang w:val="zh-CN" w:eastAsia="zh-CN" w:bidi="ar-SA"/>
        </w:rPr>
        <w:t>二、</w:t>
      </w:r>
      <w:bookmarkStart w:id="34" w:name="_Toc298856057"/>
      <w:bookmarkStart w:id="35" w:name="_Toc388261186"/>
      <w:bookmarkStart w:id="36" w:name="_Toc67579889"/>
      <w:bookmarkStart w:id="37" w:name="_Toc395615330"/>
      <w:bookmarkStart w:id="38" w:name="_Toc323386527"/>
      <w:r>
        <w:rPr>
          <w:rFonts w:hint="eastAsia" w:ascii="宋体" w:hAnsi="宋体" w:eastAsia="宋体" w:cs="宋体"/>
          <w:b/>
          <w:bCs w:val="0"/>
          <w:color w:val="auto"/>
          <w:kern w:val="2"/>
          <w:sz w:val="21"/>
          <w:szCs w:val="21"/>
          <w:highlight w:val="none"/>
          <w:lang w:val="zh-CN" w:eastAsia="zh-CN" w:bidi="ar-SA"/>
        </w:rPr>
        <w:t>项目概况</w:t>
      </w:r>
      <w:bookmarkEnd w:id="34"/>
      <w:r>
        <w:rPr>
          <w:rFonts w:hint="eastAsia" w:ascii="宋体" w:hAnsi="宋体" w:eastAsia="宋体" w:cs="宋体"/>
          <w:b/>
          <w:bCs w:val="0"/>
          <w:color w:val="auto"/>
          <w:kern w:val="2"/>
          <w:sz w:val="21"/>
          <w:szCs w:val="21"/>
          <w:highlight w:val="none"/>
          <w:lang w:val="zh-CN" w:eastAsia="zh-CN" w:bidi="ar-SA"/>
        </w:rPr>
        <w:t>及内容</w:t>
      </w:r>
      <w:bookmarkEnd w:id="35"/>
      <w:bookmarkEnd w:id="36"/>
    </w:p>
    <w:p>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ascii="宋体" w:hAnsi="宋体" w:cs="宋体"/>
          <w:bCs/>
          <w:color w:val="auto"/>
          <w:szCs w:val="21"/>
          <w:highlight w:val="none"/>
        </w:rPr>
        <w:t>、本次厨房设备采购及安装项目以杭州市</w:t>
      </w:r>
      <w:r>
        <w:rPr>
          <w:rFonts w:hint="eastAsia" w:ascii="宋体" w:hAnsi="宋体" w:cs="宋体"/>
          <w:bCs/>
          <w:color w:val="auto"/>
          <w:szCs w:val="21"/>
          <w:highlight w:val="none"/>
        </w:rPr>
        <w:t>钱塘区教育局为主体。</w:t>
      </w:r>
    </w:p>
    <w:p>
      <w:pPr>
        <w:pStyle w:val="332"/>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lang w:val="en-US" w:eastAsia="zh-CN"/>
        </w:rPr>
        <w:t>2</w:t>
      </w:r>
      <w:r>
        <w:rPr>
          <w:rFonts w:ascii="宋体" w:hAnsi="宋体" w:cs="宋体"/>
          <w:bCs/>
          <w:color w:val="auto"/>
          <w:sz w:val="21"/>
          <w:szCs w:val="21"/>
          <w:highlight w:val="none"/>
        </w:rPr>
        <w:t>、本次采购内容为厨房设备。具体采购项目及数量见</w:t>
      </w:r>
      <w:r>
        <w:rPr>
          <w:rFonts w:hint="eastAsia" w:ascii="宋体" w:hAnsi="宋体" w:cs="宋体"/>
          <w:bCs/>
          <w:color w:val="auto"/>
          <w:sz w:val="21"/>
          <w:szCs w:val="21"/>
          <w:highlight w:val="none"/>
          <w:lang w:eastAsia="zh-CN"/>
        </w:rPr>
        <w:t>货物清单</w:t>
      </w:r>
      <w:r>
        <w:rPr>
          <w:rFonts w:ascii="宋体" w:hAnsi="宋体" w:cs="宋体"/>
          <w:bCs/>
          <w:color w:val="auto"/>
          <w:sz w:val="21"/>
          <w:szCs w:val="21"/>
          <w:highlight w:val="none"/>
        </w:rPr>
        <w:t>。规格及技术要求见本</w:t>
      </w:r>
      <w:r>
        <w:rPr>
          <w:rFonts w:hint="eastAsia" w:ascii="宋体" w:hAnsi="宋体" w:cs="宋体"/>
          <w:bCs/>
          <w:color w:val="auto"/>
          <w:sz w:val="21"/>
          <w:szCs w:val="21"/>
          <w:highlight w:val="none"/>
        </w:rPr>
        <w:t>章第六部分《产品技术要求》。</w:t>
      </w:r>
      <w:bookmarkEnd w:id="37"/>
      <w:bookmarkEnd w:id="38"/>
    </w:p>
    <w:p>
      <w:pPr>
        <w:pStyle w:val="5"/>
        <w:rPr>
          <w:rFonts w:ascii="宋体" w:hAnsi="宋体" w:eastAsia="宋体" w:cs="宋体"/>
          <w:bCs w:val="0"/>
          <w:color w:val="auto"/>
          <w:sz w:val="21"/>
          <w:szCs w:val="21"/>
          <w:highlight w:val="none"/>
        </w:rPr>
      </w:pPr>
      <w:bookmarkStart w:id="39" w:name="_Toc67579890"/>
      <w:r>
        <w:rPr>
          <w:rFonts w:hint="eastAsia" w:ascii="宋体" w:hAnsi="宋体" w:eastAsia="宋体" w:cs="宋体"/>
          <w:bCs w:val="0"/>
          <w:color w:val="auto"/>
          <w:sz w:val="21"/>
          <w:szCs w:val="21"/>
          <w:highlight w:val="none"/>
          <w:lang w:eastAsia="zh-CN"/>
        </w:rPr>
        <w:t>三</w:t>
      </w:r>
      <w:r>
        <w:rPr>
          <w:rFonts w:hint="eastAsia" w:ascii="宋体" w:hAnsi="宋体" w:eastAsia="宋体" w:cs="宋体"/>
          <w:bCs w:val="0"/>
          <w:color w:val="auto"/>
          <w:sz w:val="21"/>
          <w:szCs w:val="21"/>
          <w:highlight w:val="none"/>
        </w:rPr>
        <w:t>、项目要求</w:t>
      </w:r>
      <w:bookmarkEnd w:id="39"/>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1、本项目的综合单价应包括所供清单项目的设备费（含厨房排烟设备）、材料费、人工费、运输费、保险费、采购人指定地点的卸货费、成品保管费、就位及安装费、安装材料费、安装调试费、深化设计费、检验试验费、售后服务、税费、利润等全部费用。</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2、本项目为交钥匙项目，由投标供应商自行供货并负责</w:t>
      </w:r>
      <w:r>
        <w:rPr>
          <w:rFonts w:hint="eastAsia" w:ascii="宋体" w:hAnsi="宋体" w:cs="宋体"/>
          <w:bCs/>
          <w:color w:val="auto"/>
          <w:szCs w:val="21"/>
          <w:highlight w:val="none"/>
          <w:lang w:eastAsia="zh-CN"/>
        </w:rPr>
        <w:t>运输、</w:t>
      </w:r>
      <w:r>
        <w:rPr>
          <w:rFonts w:ascii="宋体" w:hAnsi="宋体" w:cs="宋体"/>
          <w:bCs/>
          <w:color w:val="auto"/>
          <w:szCs w:val="21"/>
          <w:highlight w:val="none"/>
        </w:rPr>
        <w:t>安装</w:t>
      </w:r>
      <w:r>
        <w:rPr>
          <w:rFonts w:hint="eastAsia" w:ascii="宋体" w:hAnsi="宋体" w:cs="宋体"/>
          <w:bCs/>
          <w:color w:val="auto"/>
          <w:szCs w:val="21"/>
          <w:highlight w:val="none"/>
          <w:lang w:eastAsia="zh-CN"/>
        </w:rPr>
        <w:t>（含设备到预留点位的一米接驳、安装材料、接驳人工、吊机、支架、成品保护、调试耗材、设备机械使用等完成安装的所有费用）</w:t>
      </w:r>
      <w:r>
        <w:rPr>
          <w:rFonts w:ascii="宋体" w:hAnsi="宋体" w:cs="宋体"/>
          <w:bCs/>
          <w:color w:val="auto"/>
          <w:szCs w:val="21"/>
          <w:highlight w:val="none"/>
        </w:rPr>
        <w:t>、调试、协助验收并承担质保期内的维修费用。安装用的所有材料费、安装调试费及质保期内的维修费应全部包含在综合单价中。</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3、安装须发生的措施费由投标供应</w:t>
      </w:r>
      <w:r>
        <w:rPr>
          <w:rFonts w:hint="eastAsia" w:ascii="宋体" w:hAnsi="宋体" w:cs="宋体"/>
          <w:bCs/>
          <w:color w:val="auto"/>
          <w:szCs w:val="21"/>
          <w:highlight w:val="none"/>
        </w:rPr>
        <w:t>商综合考虑，并将其全部体现在综合单价中，今后不得调整。</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4、本项目采购文件未明确，但加工及安装工艺要求的工作内容所需费用由投标供应商在相应综合单价中综合考虑，以后不得调整。</w:t>
      </w:r>
    </w:p>
    <w:p>
      <w:pPr>
        <w:spacing w:line="360" w:lineRule="auto"/>
        <w:ind w:firstLine="422"/>
        <w:rPr>
          <w:rFonts w:ascii="宋体" w:hAnsi="宋体" w:cs="宋体"/>
          <w:bCs/>
          <w:color w:val="auto"/>
          <w:szCs w:val="21"/>
          <w:highlight w:val="none"/>
        </w:rPr>
      </w:pPr>
      <w:r>
        <w:rPr>
          <w:rFonts w:ascii="宋体" w:hAnsi="宋体" w:cs="宋体"/>
          <w:bCs/>
          <w:color w:val="auto"/>
          <w:szCs w:val="21"/>
          <w:highlight w:val="none"/>
        </w:rPr>
        <w:t>5、本项目在验收中，如采购人对产品质量有异议，有权对产品的相关材质、质量、环保性能数据等进行复检，经检验不合格，复检费用仍由中标人承担。产品检验不通过，投标供应商应无条件退货，由此造成的损失由投标供应商负责，采购人保留追究的权利。</w:t>
      </w:r>
    </w:p>
    <w:p>
      <w:pPr>
        <w:pStyle w:val="396"/>
        <w:spacing w:before="120" w:beforeLines="50" w:afterLines="0" w:line="360" w:lineRule="auto"/>
        <w:ind w:firstLine="425" w:firstLineChars="0"/>
        <w:rPr>
          <w:rFonts w:ascii="宋体" w:hAnsi="宋体" w:cs="宋体"/>
          <w:bCs/>
          <w:color w:val="auto"/>
          <w:kern w:val="2"/>
          <w:sz w:val="21"/>
          <w:szCs w:val="21"/>
          <w:highlight w:val="none"/>
        </w:rPr>
      </w:pPr>
      <w:r>
        <w:rPr>
          <w:rFonts w:ascii="宋体" w:hAnsi="宋体" w:cs="宋体"/>
          <w:bCs/>
          <w:color w:val="auto"/>
          <w:kern w:val="2"/>
          <w:sz w:val="21"/>
          <w:szCs w:val="21"/>
          <w:highlight w:val="none"/>
        </w:rPr>
        <w:t>6、</w:t>
      </w:r>
      <w:r>
        <w:rPr>
          <w:rFonts w:hint="eastAsia" w:ascii="宋体" w:hAnsi="宋体" w:cs="宋体"/>
          <w:bCs/>
          <w:color w:val="auto"/>
          <w:sz w:val="21"/>
          <w:szCs w:val="21"/>
          <w:highlight w:val="none"/>
        </w:rPr>
        <w:t>中标人做好厨房设备水、电、暖通预埋管线的指导工作，今后如果水、电、暖通的预埋管线位置不正确，整改工作及产生的整改费用由中标人自理。</w:t>
      </w:r>
    </w:p>
    <w:p>
      <w:pPr>
        <w:pStyle w:val="3"/>
        <w:spacing w:line="360" w:lineRule="auto"/>
        <w:ind w:firstLine="420"/>
        <w:rPr>
          <w:rFonts w:hint="default" w:eastAsia="宋体"/>
          <w:color w:val="auto"/>
          <w:highlight w:val="none"/>
          <w:lang w:val="en-US" w:eastAsia="zh-CN"/>
        </w:rPr>
      </w:pPr>
      <w:r>
        <w:rPr>
          <w:rFonts w:hint="eastAsia" w:cs="宋体"/>
          <w:bCs/>
          <w:color w:val="auto"/>
          <w:sz w:val="21"/>
          <w:szCs w:val="21"/>
          <w:highlight w:val="none"/>
          <w:lang w:val="en-US" w:eastAsia="zh-CN"/>
        </w:rPr>
        <w:t>7</w:t>
      </w:r>
      <w:r>
        <w:rPr>
          <w:rFonts w:cs="宋体"/>
          <w:bCs/>
          <w:color w:val="auto"/>
          <w:sz w:val="21"/>
          <w:szCs w:val="21"/>
          <w:highlight w:val="none"/>
        </w:rPr>
        <w:t>、本项目采购的燃气器具使用的气源为管道天然气，投标人在器具、管道等设计时必须响应杭州市管道天然气的参数。</w:t>
      </w:r>
    </w:p>
    <w:p>
      <w:pPr>
        <w:pStyle w:val="5"/>
        <w:rPr>
          <w:rFonts w:ascii="宋体" w:hAnsi="宋体" w:eastAsia="宋体" w:cs="宋体"/>
          <w:bCs w:val="0"/>
          <w:color w:val="auto"/>
          <w:sz w:val="21"/>
          <w:szCs w:val="21"/>
          <w:highlight w:val="none"/>
        </w:rPr>
      </w:pPr>
      <w:bookmarkStart w:id="40" w:name="_Toc67579891"/>
      <w:bookmarkStart w:id="41" w:name="_Toc307387198"/>
      <w:r>
        <w:rPr>
          <w:rFonts w:hint="eastAsia" w:ascii="宋体" w:hAnsi="宋体" w:eastAsia="宋体" w:cs="宋体"/>
          <w:bCs w:val="0"/>
          <w:color w:val="auto"/>
          <w:sz w:val="21"/>
          <w:szCs w:val="21"/>
          <w:highlight w:val="none"/>
          <w:lang w:eastAsia="zh-CN"/>
        </w:rPr>
        <w:t>四</w:t>
      </w:r>
      <w:r>
        <w:rPr>
          <w:rFonts w:hint="eastAsia" w:ascii="宋体" w:hAnsi="宋体" w:eastAsia="宋体" w:cs="宋体"/>
          <w:bCs w:val="0"/>
          <w:color w:val="auto"/>
          <w:sz w:val="21"/>
          <w:szCs w:val="21"/>
          <w:highlight w:val="none"/>
        </w:rPr>
        <w:t>、技术需求表</w:t>
      </w:r>
      <w:bookmarkEnd w:id="40"/>
      <w:bookmarkEnd w:id="41"/>
    </w:p>
    <w:tbl>
      <w:tblPr>
        <w:tblStyle w:val="62"/>
        <w:tblW w:w="83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64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exact"/>
          <w:jc w:val="center"/>
        </w:trPr>
        <w:tc>
          <w:tcPr>
            <w:tcW w:w="18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bookmarkStart w:id="42" w:name="_Toc19462"/>
            <w:bookmarkStart w:id="43" w:name="_Toc3566"/>
            <w:bookmarkStart w:id="44" w:name="_Toc3497"/>
            <w:bookmarkStart w:id="45" w:name="_Toc31472"/>
            <w:bookmarkStart w:id="46" w:name="_Toc8306"/>
            <w:bookmarkStart w:id="47" w:name="_Toc30882"/>
            <w:bookmarkStart w:id="48" w:name="_Toc4382"/>
            <w:bookmarkStart w:id="49" w:name="_Toc17911"/>
            <w:r>
              <w:rPr>
                <w:rFonts w:hint="eastAsia" w:ascii="宋体" w:hAnsi="宋体" w:cs="宋体"/>
                <w:bCs/>
                <w:color w:val="auto"/>
                <w:szCs w:val="21"/>
                <w:highlight w:val="none"/>
              </w:rPr>
              <w:t>质量标准</w:t>
            </w:r>
            <w:bookmarkEnd w:id="42"/>
            <w:bookmarkEnd w:id="43"/>
            <w:bookmarkEnd w:id="44"/>
            <w:bookmarkEnd w:id="45"/>
            <w:bookmarkEnd w:id="46"/>
            <w:bookmarkEnd w:id="47"/>
            <w:bookmarkEnd w:id="48"/>
            <w:bookmarkEnd w:id="49"/>
          </w:p>
        </w:tc>
        <w:tc>
          <w:tcPr>
            <w:tcW w:w="64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提供的产品必须符合现行最新国家、行业标准规范及其他普遍认可的标准规范要求。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8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bookmarkStart w:id="50" w:name="_Toc15712"/>
            <w:bookmarkStart w:id="51" w:name="_Toc24320"/>
            <w:bookmarkStart w:id="52" w:name="_Toc21740"/>
            <w:bookmarkStart w:id="53" w:name="_Toc4062"/>
            <w:bookmarkStart w:id="54" w:name="_Toc9259"/>
            <w:bookmarkStart w:id="55" w:name="_Toc21219"/>
            <w:bookmarkStart w:id="56" w:name="_Toc13569"/>
            <w:bookmarkStart w:id="57" w:name="_Toc19052"/>
            <w:r>
              <w:rPr>
                <w:rFonts w:hint="eastAsia" w:ascii="宋体" w:hAnsi="宋体" w:cs="宋体"/>
                <w:bCs/>
                <w:color w:val="auto"/>
                <w:szCs w:val="21"/>
                <w:highlight w:val="none"/>
              </w:rPr>
              <w:t>竣工验收</w:t>
            </w:r>
            <w:bookmarkEnd w:id="50"/>
            <w:bookmarkEnd w:id="51"/>
            <w:bookmarkEnd w:id="52"/>
            <w:bookmarkEnd w:id="53"/>
            <w:bookmarkEnd w:id="54"/>
            <w:bookmarkEnd w:id="55"/>
            <w:bookmarkEnd w:id="56"/>
            <w:bookmarkEnd w:id="57"/>
            <w:r>
              <w:rPr>
                <w:rFonts w:hint="eastAsia" w:ascii="宋体" w:hAnsi="宋体" w:cs="宋体"/>
                <w:bCs/>
                <w:color w:val="auto"/>
                <w:szCs w:val="21"/>
                <w:highlight w:val="none"/>
              </w:rPr>
              <w:t>条件</w:t>
            </w:r>
          </w:p>
        </w:tc>
        <w:tc>
          <w:tcPr>
            <w:tcW w:w="6478" w:type="dxa"/>
            <w:tcBorders>
              <w:top w:val="single" w:color="auto" w:sz="4" w:space="0"/>
              <w:left w:val="single" w:color="auto" w:sz="4" w:space="0"/>
              <w:bottom w:val="single" w:color="auto" w:sz="4" w:space="0"/>
              <w:right w:val="single" w:color="auto" w:sz="4" w:space="0"/>
            </w:tcBorders>
            <w:noWrap w:val="0"/>
            <w:vAlign w:val="center"/>
          </w:tcPr>
          <w:p>
            <w:pPr>
              <w:pStyle w:val="837"/>
              <w:rPr>
                <w:rFonts w:ascii="宋体" w:hAnsi="宋体"/>
                <w:bCs/>
                <w:color w:val="auto"/>
                <w:sz w:val="21"/>
                <w:szCs w:val="21"/>
                <w:highlight w:val="none"/>
              </w:rPr>
            </w:pPr>
            <w:r>
              <w:rPr>
                <w:rFonts w:hint="eastAsia" w:ascii="宋体" w:hAnsi="宋体"/>
                <w:bCs/>
                <w:color w:val="auto"/>
                <w:sz w:val="21"/>
                <w:szCs w:val="21"/>
                <w:highlight w:val="none"/>
              </w:rPr>
              <w:t>项目按期完成还应按财政规定流程组织验收并出具验收报告。</w:t>
            </w:r>
          </w:p>
        </w:tc>
      </w:tr>
    </w:tbl>
    <w:p>
      <w:pPr>
        <w:pStyle w:val="5"/>
        <w:rPr>
          <w:rFonts w:ascii="宋体" w:hAnsi="宋体" w:eastAsia="宋体" w:cs="宋体"/>
          <w:bCs w:val="0"/>
          <w:color w:val="auto"/>
          <w:sz w:val="21"/>
          <w:szCs w:val="21"/>
          <w:highlight w:val="none"/>
        </w:rPr>
      </w:pPr>
      <w:bookmarkStart w:id="58" w:name="_Toc67579892"/>
      <w:bookmarkStart w:id="59" w:name="_Toc18670"/>
      <w:bookmarkStart w:id="60" w:name="_Toc20341"/>
      <w:bookmarkStart w:id="61" w:name="_Toc17023"/>
      <w:bookmarkStart w:id="62" w:name="_Toc10523"/>
      <w:bookmarkStart w:id="63" w:name="_Toc307387199"/>
      <w:r>
        <w:rPr>
          <w:rFonts w:hint="eastAsia" w:ascii="宋体" w:hAnsi="宋体" w:eastAsia="宋体" w:cs="宋体"/>
          <w:bCs w:val="0"/>
          <w:color w:val="auto"/>
          <w:sz w:val="21"/>
          <w:szCs w:val="21"/>
          <w:highlight w:val="none"/>
          <w:lang w:eastAsia="zh-CN"/>
        </w:rPr>
        <w:t>五</w:t>
      </w:r>
      <w:r>
        <w:rPr>
          <w:rFonts w:hint="eastAsia" w:ascii="宋体" w:hAnsi="宋体" w:eastAsia="宋体" w:cs="宋体"/>
          <w:bCs w:val="0"/>
          <w:color w:val="auto"/>
          <w:sz w:val="21"/>
          <w:szCs w:val="21"/>
          <w:highlight w:val="none"/>
        </w:rPr>
        <w:t>、商务要求表</w:t>
      </w:r>
      <w:bookmarkEnd w:id="58"/>
      <w:bookmarkEnd w:id="59"/>
      <w:bookmarkEnd w:id="60"/>
      <w:bookmarkEnd w:id="61"/>
      <w:bookmarkEnd w:id="62"/>
      <w:bookmarkEnd w:id="63"/>
    </w:p>
    <w:tbl>
      <w:tblPr>
        <w:tblStyle w:val="62"/>
        <w:tblW w:w="83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65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4"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质保期</w:t>
            </w:r>
          </w:p>
        </w:tc>
        <w:tc>
          <w:tcPr>
            <w:tcW w:w="65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bookmarkStart w:id="64" w:name="_Toc14649"/>
            <w:bookmarkStart w:id="65" w:name="_Toc28551"/>
            <w:bookmarkStart w:id="66" w:name="_Toc23185"/>
            <w:bookmarkStart w:id="67" w:name="_Toc11385"/>
            <w:bookmarkStart w:id="68" w:name="_Toc13787"/>
            <w:bookmarkStart w:id="69" w:name="_Toc25690"/>
            <w:bookmarkStart w:id="70" w:name="_Toc30471"/>
            <w:bookmarkStart w:id="71" w:name="_Toc25508"/>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年。</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从验收合格交付使用起</w:t>
            </w:r>
            <w:bookmarkEnd w:id="64"/>
            <w:bookmarkEnd w:id="65"/>
            <w:bookmarkEnd w:id="66"/>
            <w:bookmarkEnd w:id="67"/>
            <w:bookmarkEnd w:id="68"/>
            <w:bookmarkEnd w:id="69"/>
            <w:bookmarkEnd w:id="70"/>
            <w:bookmarkEnd w:id="71"/>
            <w:r>
              <w:rPr>
                <w:rFonts w:hint="eastAsia" w:ascii="宋体" w:hAnsi="宋体" w:cs="宋体"/>
                <w:bCs/>
                <w:color w:val="auto"/>
                <w:szCs w:val="21"/>
                <w:highlight w:val="none"/>
              </w:rPr>
              <w:t>。在此期间，除人为因素外，若设备不能正常使用，投标供应商应免费维修并对其中材料设备进行更换，直至正常使用。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工期要求</w:t>
            </w:r>
          </w:p>
        </w:tc>
        <w:tc>
          <w:tcPr>
            <w:tcW w:w="65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合同签订之日起</w:t>
            </w:r>
            <w:r>
              <w:rPr>
                <w:rFonts w:hint="eastAsia" w:ascii="宋体" w:hAnsi="宋体" w:cs="宋体"/>
                <w:bCs/>
                <w:color w:val="auto"/>
                <w:szCs w:val="21"/>
                <w:highlight w:val="none"/>
                <w:lang w:val="en-US" w:eastAsia="zh-CN"/>
              </w:rPr>
              <w:t>60日历天</w:t>
            </w:r>
            <w:r>
              <w:rPr>
                <w:rFonts w:hint="eastAsia" w:ascii="宋体" w:hAnsi="宋体" w:cs="宋体"/>
                <w:bCs/>
                <w:color w:val="auto"/>
                <w:szCs w:val="21"/>
                <w:highlight w:val="none"/>
              </w:rPr>
              <w:t>内完成本项目的供货、安装及调试，并通过验收。</w:t>
            </w:r>
            <w:r>
              <w:rPr>
                <w:rFonts w:ascii="宋体" w:hAnsi="宋体" w:cs="宋体"/>
                <w:bCs/>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付款办法</w:t>
            </w:r>
          </w:p>
        </w:tc>
        <w:tc>
          <w:tcPr>
            <w:tcW w:w="65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s="宋体"/>
                <w:bCs/>
                <w:color w:val="auto"/>
                <w:szCs w:val="21"/>
                <w:highlight w:val="none"/>
              </w:rPr>
            </w:pPr>
            <w:r>
              <w:rPr>
                <w:rFonts w:ascii="宋体" w:hAnsi="宋体" w:cs="宋体"/>
                <w:bCs/>
                <w:color w:val="auto"/>
                <w:szCs w:val="21"/>
                <w:highlight w:val="none"/>
                <w:lang w:val="en-US" w:eastAsia="zh-CN"/>
              </w:rPr>
              <w:t>合同生效以及具备实施条件后</w:t>
            </w:r>
            <w:r>
              <w:rPr>
                <w:rFonts w:hint="eastAsia" w:ascii="宋体" w:hAnsi="宋体" w:cs="宋体"/>
                <w:bCs/>
                <w:color w:val="auto"/>
                <w:szCs w:val="21"/>
                <w:highlight w:val="none"/>
                <w:lang w:val="en-US" w:eastAsia="zh-CN"/>
              </w:rPr>
              <w:t>5</w:t>
            </w:r>
            <w:r>
              <w:rPr>
                <w:rFonts w:ascii="宋体" w:hAnsi="宋体" w:cs="宋体"/>
                <w:bCs/>
                <w:color w:val="auto"/>
                <w:szCs w:val="21"/>
                <w:highlight w:val="none"/>
                <w:lang w:val="en-US" w:eastAsia="zh-CN"/>
              </w:rPr>
              <w:t>个工作日内，预付合同价的50%，安装</w:t>
            </w:r>
            <w:r>
              <w:rPr>
                <w:rFonts w:ascii="宋体" w:hAnsi="宋体" w:cs="宋体"/>
                <w:bCs/>
                <w:color w:val="auto"/>
                <w:szCs w:val="21"/>
                <w:highlight w:val="none"/>
              </w:rPr>
              <w:t>完成验收合格后付至结算价100%。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2"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品牌要求</w:t>
            </w:r>
          </w:p>
        </w:tc>
        <w:tc>
          <w:tcPr>
            <w:tcW w:w="65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投标供应商在投标文件的技术标中必须对所有投标产品的品牌、产地作出说明</w:t>
            </w:r>
            <w:r>
              <w:rPr>
                <w:rFonts w:hint="eastAsia" w:ascii="宋体" w:hAnsi="宋体" w:cs="宋体"/>
                <w:bCs/>
                <w:color w:val="auto"/>
                <w:szCs w:val="21"/>
                <w:highlight w:val="none"/>
                <w:lang w:eastAsia="zh-CN"/>
              </w:rPr>
              <w:t>；报价文件中无需再次对</w:t>
            </w:r>
            <w:r>
              <w:rPr>
                <w:rFonts w:hint="eastAsia" w:ascii="宋体" w:hAnsi="宋体" w:cs="宋体"/>
                <w:bCs/>
                <w:color w:val="auto"/>
                <w:szCs w:val="21"/>
                <w:highlight w:val="none"/>
              </w:rPr>
              <w:t>产地作出说明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8" w:hRule="exact"/>
          <w:jc w:val="center"/>
        </w:trPr>
        <w:tc>
          <w:tcPr>
            <w:tcW w:w="1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售后服务要求</w:t>
            </w:r>
          </w:p>
        </w:tc>
        <w:tc>
          <w:tcPr>
            <w:tcW w:w="65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配有较强的专业技术队伍，维修响应时间为</w:t>
            </w:r>
            <w:r>
              <w:rPr>
                <w:rFonts w:ascii="宋体" w:hAnsi="宋体" w:cs="宋体"/>
                <w:bCs/>
                <w:color w:val="auto"/>
                <w:szCs w:val="21"/>
                <w:highlight w:val="none"/>
              </w:rPr>
              <w:t>1小时之内，2小时到达工地现场。</w:t>
            </w:r>
          </w:p>
        </w:tc>
      </w:tr>
    </w:tbl>
    <w:p>
      <w:pPr>
        <w:autoSpaceDE w:val="0"/>
        <w:autoSpaceDN w:val="0"/>
        <w:spacing w:line="360" w:lineRule="auto"/>
        <w:jc w:val="left"/>
        <w:rPr>
          <w:rFonts w:hint="eastAsia" w:ascii="宋体" w:hAnsi="宋体" w:cs="宋体"/>
          <w:b/>
          <w:color w:val="auto"/>
          <w:kern w:val="0"/>
          <w:szCs w:val="21"/>
          <w:highlight w:val="none"/>
          <w:lang w:eastAsia="zh-CN"/>
        </w:rPr>
      </w:pPr>
    </w:p>
    <w:p>
      <w:pPr>
        <w:numPr>
          <w:ilvl w:val="0"/>
          <w:numId w:val="0"/>
        </w:numPr>
        <w:autoSpaceDE w:val="0"/>
        <w:autoSpaceDN w:val="0"/>
        <w:spacing w:line="360" w:lineRule="auto"/>
        <w:jc w:val="left"/>
        <w:rPr>
          <w:rFonts w:hint="eastAsia" w:ascii="宋体" w:hAnsi="宋体" w:cs="宋体"/>
          <w:b/>
          <w:color w:val="auto"/>
          <w:kern w:val="0"/>
          <w:szCs w:val="21"/>
          <w:highlight w:val="none"/>
          <w:lang w:eastAsia="zh-CN"/>
        </w:rPr>
      </w:pPr>
      <w:r>
        <w:rPr>
          <w:rFonts w:hint="eastAsia" w:ascii="宋体" w:hAnsi="宋体" w:cs="宋体"/>
          <w:b/>
          <w:color w:val="auto"/>
          <w:kern w:val="0"/>
          <w:szCs w:val="21"/>
          <w:highlight w:val="none"/>
          <w:lang w:val="en-US" w:eastAsia="zh-CN"/>
        </w:rPr>
        <w:t>六、</w:t>
      </w:r>
      <w:r>
        <w:rPr>
          <w:rFonts w:hint="eastAsia" w:ascii="宋体" w:hAnsi="宋体" w:cs="宋体"/>
          <w:b/>
          <w:color w:val="auto"/>
          <w:kern w:val="0"/>
          <w:szCs w:val="21"/>
          <w:highlight w:val="none"/>
          <w:lang w:eastAsia="zh-CN"/>
        </w:rPr>
        <w:t>样品要求</w:t>
      </w:r>
    </w:p>
    <w:p>
      <w:pPr>
        <w:keepNext w:val="0"/>
        <w:keepLines w:val="0"/>
        <w:widowControl/>
        <w:suppressLineNumbers w:val="0"/>
        <w:spacing w:line="360" w:lineRule="auto"/>
        <w:ind w:firstLine="0" w:firstLineChars="0"/>
        <w:jc w:val="left"/>
        <w:rPr>
          <w:rFonts w:hint="eastAsia" w:ascii="宋体" w:hAnsi="宋体" w:eastAsia="宋体" w:cs="宋体"/>
          <w:bCs/>
          <w:color w:val="auto"/>
          <w:szCs w:val="21"/>
          <w:highlight w:val="none"/>
          <w:lang w:val="en-US" w:eastAsia="zh-CN"/>
        </w:rPr>
      </w:pPr>
      <w:r>
        <w:rPr>
          <w:rFonts w:hint="eastAsia" w:ascii="宋体" w:hAnsi="宋体" w:cs="宋体"/>
          <w:bCs/>
          <w:color w:val="auto"/>
          <w:kern w:val="2"/>
          <w:sz w:val="21"/>
          <w:szCs w:val="21"/>
          <w:highlight w:val="none"/>
          <w:lang w:val="en-US" w:eastAsia="zh-CN" w:bidi="ar"/>
        </w:rPr>
        <w:t>1.</w:t>
      </w:r>
      <w:r>
        <w:rPr>
          <w:rFonts w:hint="eastAsia" w:ascii="宋体" w:hAnsi="宋体" w:eastAsia="宋体" w:cs="宋体"/>
          <w:bCs/>
          <w:color w:val="auto"/>
          <w:kern w:val="2"/>
          <w:sz w:val="21"/>
          <w:szCs w:val="21"/>
          <w:highlight w:val="none"/>
          <w:lang w:val="en-US" w:eastAsia="zh-CN" w:bidi="ar"/>
        </w:rPr>
        <w:t>本项目要求投标人按要求递交下表所述样品</w:t>
      </w:r>
      <w:r>
        <w:rPr>
          <w:rFonts w:hint="eastAsia" w:ascii="宋体" w:hAnsi="宋体" w:cs="宋体"/>
          <w:bCs/>
          <w:color w:val="auto"/>
          <w:kern w:val="2"/>
          <w:sz w:val="21"/>
          <w:szCs w:val="21"/>
          <w:highlight w:val="none"/>
          <w:lang w:val="en-US" w:eastAsia="zh-CN" w:bidi="ar"/>
        </w:rPr>
        <w:t>。</w:t>
      </w:r>
    </w:p>
    <w:p>
      <w:pPr>
        <w:keepNext w:val="0"/>
        <w:keepLines w:val="0"/>
        <w:widowControl/>
        <w:suppressLineNumbers w:val="0"/>
        <w:jc w:val="left"/>
      </w:pP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021"/>
        <w:gridCol w:w="4981"/>
        <w:gridCol w:w="556"/>
        <w:gridCol w:w="690"/>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序号</w:t>
            </w:r>
          </w:p>
        </w:tc>
        <w:tc>
          <w:tcPr>
            <w:tcW w:w="601"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名称</w:t>
            </w:r>
          </w:p>
        </w:tc>
        <w:tc>
          <w:tcPr>
            <w:tcW w:w="2932"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规格材质</w:t>
            </w:r>
          </w:p>
        </w:tc>
        <w:tc>
          <w:tcPr>
            <w:tcW w:w="327"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数量</w:t>
            </w:r>
          </w:p>
        </w:tc>
        <w:tc>
          <w:tcPr>
            <w:tcW w:w="406"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单位</w:t>
            </w:r>
          </w:p>
        </w:tc>
        <w:tc>
          <w:tcPr>
            <w:tcW w:w="355"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378" w:type="pct"/>
            <w:vAlign w:val="center"/>
          </w:tcPr>
          <w:p>
            <w:pPr>
              <w:numPr>
                <w:ilvl w:val="-1"/>
                <w:numId w:val="0"/>
              </w:numPr>
              <w:autoSpaceDE w:val="0"/>
              <w:autoSpaceDN w:val="0"/>
              <w:spacing w:line="360" w:lineRule="auto"/>
              <w:jc w:val="center"/>
              <w:rPr>
                <w:rFonts w:hint="default" w:ascii="宋体" w:hAnsi="宋体" w:cs="宋体"/>
                <w:b/>
                <w:color w:val="auto"/>
                <w:kern w:val="0"/>
                <w:szCs w:val="21"/>
                <w:highlight w:val="none"/>
                <w:vertAlign w:val="baseline"/>
                <w:lang w:val="en-US" w:eastAsia="zh-CN"/>
              </w:rPr>
            </w:pPr>
            <w:r>
              <w:rPr>
                <w:rFonts w:hint="eastAsia" w:ascii="宋体" w:hAnsi="宋体" w:cs="宋体"/>
                <w:b/>
                <w:color w:val="auto"/>
                <w:kern w:val="0"/>
                <w:szCs w:val="21"/>
                <w:highlight w:val="none"/>
                <w:vertAlign w:val="baseline"/>
                <w:lang w:val="en-US" w:eastAsia="zh-CN"/>
              </w:rPr>
              <w:t>1</w:t>
            </w:r>
          </w:p>
        </w:tc>
        <w:tc>
          <w:tcPr>
            <w:tcW w:w="601"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Style w:val="964"/>
                <w:rFonts w:hint="eastAsia"/>
                <w:i w:val="0"/>
                <w:iCs w:val="0"/>
                <w:color w:val="auto"/>
                <w:highlight w:val="none"/>
              </w:rPr>
              <w:t>★</w:t>
            </w:r>
            <w:r>
              <w:rPr>
                <w:rFonts w:hint="eastAsia" w:ascii="宋体" w:hAnsi="宋体" w:cs="宋体"/>
                <w:b/>
                <w:color w:val="auto"/>
                <w:kern w:val="0"/>
                <w:szCs w:val="21"/>
                <w:highlight w:val="none"/>
                <w:vertAlign w:val="baseline"/>
                <w:lang w:eastAsia="zh-CN"/>
              </w:rPr>
              <w:t>炊用燃气大锅灶（双眼大锅灶）</w:t>
            </w:r>
          </w:p>
        </w:tc>
        <w:tc>
          <w:tcPr>
            <w:tcW w:w="2932" w:type="pct"/>
            <w:vAlign w:val="center"/>
          </w:tcPr>
          <w:p>
            <w:pPr>
              <w:numPr>
                <w:ilvl w:val="-1"/>
                <w:numId w:val="0"/>
              </w:numPr>
              <w:autoSpaceDE w:val="0"/>
              <w:autoSpaceDN w:val="0"/>
              <w:spacing w:line="360" w:lineRule="auto"/>
              <w:jc w:val="left"/>
              <w:rPr>
                <w:rFonts w:hint="eastAsia" w:ascii="宋体" w:hAnsi="宋体" w:cs="宋体"/>
                <w:b/>
                <w:color w:val="auto"/>
                <w:kern w:val="0"/>
                <w:szCs w:val="21"/>
                <w:highlight w:val="none"/>
                <w:vertAlign w:val="baseline"/>
                <w:lang w:eastAsia="zh-CN"/>
              </w:rPr>
            </w:pPr>
            <w:r>
              <w:rPr>
                <w:rFonts w:hint="eastAsia" w:ascii="宋体" w:hAnsi="宋体" w:cs="宋体"/>
                <w:color w:val="000000"/>
                <w:kern w:val="0"/>
                <w:sz w:val="20"/>
                <w:szCs w:val="20"/>
                <w:lang w:bidi="ar"/>
              </w:rPr>
              <w:t>—品牌:厂制品</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—采用SUS304-2B不锈钢板制造</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—炉面采用冲压面板，板厚1.2mm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—开关板、后档板、水槽盖板厚0.8mm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—炉底部分用2.5mm厚铁板或高强度镀锌板折弯加强筋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—主体骨架用高强度镀锌板折弯框架结构制作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—φ63mm不锈钢炉脚，内衬2"钢管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—配φ760mm生铁大锅</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—冷水摇摆龙头，背板冷却水装置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—电子点火，高效节能不锈钢炉头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—风机电压：220V/50HZ</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—燃气熄火保护装置及燃气管路稳压装置</w:t>
            </w:r>
          </w:p>
        </w:tc>
        <w:tc>
          <w:tcPr>
            <w:tcW w:w="327" w:type="pct"/>
            <w:vAlign w:val="center"/>
          </w:tcPr>
          <w:p>
            <w:pPr>
              <w:numPr>
                <w:ilvl w:val="-1"/>
                <w:numId w:val="0"/>
              </w:numPr>
              <w:autoSpaceDE w:val="0"/>
              <w:autoSpaceDN w:val="0"/>
              <w:spacing w:line="360" w:lineRule="auto"/>
              <w:jc w:val="center"/>
              <w:rPr>
                <w:rFonts w:hint="default" w:ascii="宋体" w:hAnsi="宋体" w:cs="宋体"/>
                <w:b/>
                <w:color w:val="auto"/>
                <w:kern w:val="0"/>
                <w:szCs w:val="21"/>
                <w:highlight w:val="none"/>
                <w:vertAlign w:val="baseline"/>
                <w:lang w:val="en-US" w:eastAsia="zh-CN"/>
              </w:rPr>
            </w:pPr>
            <w:r>
              <w:rPr>
                <w:rFonts w:hint="eastAsia" w:ascii="宋体" w:hAnsi="宋体" w:cs="宋体"/>
                <w:b/>
                <w:color w:val="auto"/>
                <w:kern w:val="0"/>
                <w:szCs w:val="21"/>
                <w:highlight w:val="none"/>
                <w:vertAlign w:val="baseline"/>
                <w:lang w:val="en-US" w:eastAsia="zh-CN"/>
              </w:rPr>
              <w:t>1</w:t>
            </w:r>
          </w:p>
        </w:tc>
        <w:tc>
          <w:tcPr>
            <w:tcW w:w="406"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r>
              <w:rPr>
                <w:rFonts w:hint="eastAsia" w:ascii="宋体" w:hAnsi="宋体" w:cs="宋体"/>
                <w:b/>
                <w:color w:val="auto"/>
                <w:kern w:val="0"/>
                <w:szCs w:val="21"/>
                <w:highlight w:val="none"/>
                <w:vertAlign w:val="baseline"/>
                <w:lang w:eastAsia="zh-CN"/>
              </w:rPr>
              <w:t>台</w:t>
            </w:r>
          </w:p>
        </w:tc>
        <w:tc>
          <w:tcPr>
            <w:tcW w:w="355" w:type="pct"/>
            <w:vAlign w:val="center"/>
          </w:tcPr>
          <w:p>
            <w:pPr>
              <w:numPr>
                <w:ilvl w:val="-1"/>
                <w:numId w:val="0"/>
              </w:numPr>
              <w:autoSpaceDE w:val="0"/>
              <w:autoSpaceDN w:val="0"/>
              <w:spacing w:line="360" w:lineRule="auto"/>
              <w:jc w:val="center"/>
              <w:rPr>
                <w:rFonts w:hint="eastAsia" w:ascii="宋体" w:hAnsi="宋体" w:cs="宋体"/>
                <w:b/>
                <w:color w:val="auto"/>
                <w:kern w:val="0"/>
                <w:szCs w:val="21"/>
                <w:highlight w:val="none"/>
                <w:vertAlign w:val="baseline"/>
                <w:lang w:eastAsia="zh-CN"/>
              </w:rPr>
            </w:pPr>
          </w:p>
        </w:tc>
      </w:tr>
    </w:tbl>
    <w:p>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auto"/>
        <w:rPr>
          <w:rFonts w:ascii="宋体" w:hAnsi="宋体" w:eastAsia="宋体" w:cs="宋体"/>
          <w:b/>
          <w:color w:val="auto"/>
          <w:kern w:val="2"/>
          <w:sz w:val="21"/>
          <w:szCs w:val="21"/>
          <w:highlight w:val="none"/>
          <w:lang w:val="en-US" w:eastAsia="zh-CN" w:bidi="ar"/>
        </w:rPr>
      </w:pPr>
      <w:r>
        <w:rPr>
          <w:rFonts w:hint="eastAsia" w:ascii="宋体" w:hAnsi="宋体" w:cs="宋体"/>
          <w:b/>
          <w:color w:val="auto"/>
          <w:kern w:val="2"/>
          <w:sz w:val="21"/>
          <w:szCs w:val="21"/>
          <w:highlight w:val="none"/>
          <w:lang w:val="en-US" w:eastAsia="zh-CN" w:bidi="ar"/>
        </w:rPr>
        <w:t>2</w:t>
      </w:r>
      <w:r>
        <w:rPr>
          <w:rFonts w:ascii="宋体" w:hAnsi="宋体" w:eastAsia="宋体" w:cs="宋体"/>
          <w:b/>
          <w:color w:val="auto"/>
          <w:kern w:val="2"/>
          <w:sz w:val="21"/>
          <w:szCs w:val="21"/>
          <w:highlight w:val="none"/>
          <w:lang w:val="en-US" w:eastAsia="zh-CN" w:bidi="ar"/>
        </w:rPr>
        <w:t>.投标样品的包装：</w:t>
      </w:r>
      <w:r>
        <w:rPr>
          <w:rFonts w:hint="default" w:ascii="宋体" w:hAnsi="宋体" w:eastAsia="宋体" w:cs="宋体"/>
          <w:b/>
          <w:color w:val="auto"/>
          <w:kern w:val="2"/>
          <w:sz w:val="21"/>
          <w:szCs w:val="21"/>
          <w:highlight w:val="none"/>
          <w:lang w:val="en-US" w:eastAsia="zh-CN" w:bidi="ar"/>
        </w:rPr>
        <w:t>投标样品标注投标人名称、货物名称等信息，否则因此出现漏评、错</w:t>
      </w:r>
      <w:r>
        <w:rPr>
          <w:rFonts w:hint="default" w:ascii="宋体" w:hAnsi="宋体" w:eastAsia="宋体" w:cs="宋体"/>
          <w:b/>
          <w:color w:val="auto"/>
          <w:kern w:val="2"/>
          <w:sz w:val="21"/>
          <w:szCs w:val="21"/>
          <w:highlight w:val="none"/>
          <w:lang w:val="en-US" w:eastAsia="zh-CN" w:bidi="ar"/>
        </w:rPr>
        <w:t>评而产生的后果由投标人自行负责。</w:t>
      </w:r>
    </w:p>
    <w:p>
      <w:pPr>
        <w:keepNext w:val="0"/>
        <w:keepLines w:val="0"/>
        <w:pageBreakBefore w:val="0"/>
        <w:widowControl/>
        <w:suppressLineNumbers w:val="0"/>
        <w:kinsoku/>
        <w:wordWrap/>
        <w:overflowPunct/>
        <w:topLinePunct w:val="0"/>
        <w:autoSpaceDE/>
        <w:autoSpaceDN/>
        <w:bidi w:val="0"/>
        <w:adjustRightInd w:val="0"/>
        <w:snapToGrid/>
        <w:spacing w:line="360" w:lineRule="auto"/>
        <w:jc w:val="left"/>
        <w:textAlignment w:val="auto"/>
        <w:rPr>
          <w:rFonts w:ascii="宋体" w:hAnsi="宋体" w:eastAsia="宋体" w:cs="宋体"/>
          <w:b/>
          <w:color w:val="auto"/>
          <w:kern w:val="2"/>
          <w:sz w:val="21"/>
          <w:szCs w:val="21"/>
          <w:highlight w:val="none"/>
          <w:lang w:val="en-US" w:eastAsia="zh-CN" w:bidi="ar"/>
        </w:rPr>
      </w:pPr>
      <w:r>
        <w:rPr>
          <w:rFonts w:hint="eastAsia" w:ascii="宋体" w:hAnsi="宋体" w:eastAsia="宋体" w:cs="宋体"/>
          <w:b/>
          <w:color w:val="auto"/>
          <w:kern w:val="2"/>
          <w:sz w:val="21"/>
          <w:szCs w:val="21"/>
          <w:highlight w:val="none"/>
          <w:lang w:val="en-US" w:eastAsia="zh-CN" w:bidi="ar"/>
        </w:rPr>
        <w:t>3.</w:t>
      </w:r>
      <w:r>
        <w:rPr>
          <w:rFonts w:ascii="宋体" w:hAnsi="宋体" w:eastAsia="宋体" w:cs="宋体"/>
          <w:b/>
          <w:color w:val="auto"/>
          <w:kern w:val="2"/>
          <w:sz w:val="21"/>
          <w:szCs w:val="21"/>
          <w:highlight w:val="none"/>
          <w:lang w:val="en-US" w:eastAsia="zh-CN" w:bidi="ar"/>
        </w:rPr>
        <w:t>样品送达时间：2024年</w:t>
      </w:r>
      <w:r>
        <w:rPr>
          <w:rFonts w:hint="eastAsia" w:ascii="宋体" w:hAnsi="宋体" w:eastAsia="宋体" w:cs="宋体"/>
          <w:b/>
          <w:color w:val="auto"/>
          <w:kern w:val="2"/>
          <w:sz w:val="21"/>
          <w:szCs w:val="21"/>
          <w:highlight w:val="none"/>
          <w:lang w:val="en-US" w:eastAsia="zh-CN" w:bidi="ar"/>
        </w:rPr>
        <w:t>5</w:t>
      </w:r>
      <w:r>
        <w:rPr>
          <w:rFonts w:ascii="宋体" w:hAnsi="宋体" w:eastAsia="宋体" w:cs="宋体"/>
          <w:b/>
          <w:color w:val="auto"/>
          <w:kern w:val="2"/>
          <w:sz w:val="21"/>
          <w:szCs w:val="21"/>
          <w:highlight w:val="none"/>
          <w:lang w:val="en-US" w:eastAsia="zh-CN" w:bidi="ar"/>
        </w:rPr>
        <w:t>月</w:t>
      </w:r>
      <w:r>
        <w:rPr>
          <w:rFonts w:hint="eastAsia" w:ascii="宋体" w:hAnsi="宋体" w:eastAsia="宋体" w:cs="宋体"/>
          <w:b/>
          <w:color w:val="auto"/>
          <w:kern w:val="2"/>
          <w:sz w:val="21"/>
          <w:szCs w:val="21"/>
          <w:highlight w:val="none"/>
          <w:lang w:val="en-US" w:eastAsia="zh-CN" w:bidi="ar"/>
        </w:rPr>
        <w:t>9</w:t>
      </w:r>
      <w:r>
        <w:rPr>
          <w:rFonts w:ascii="宋体" w:hAnsi="宋体" w:eastAsia="宋体" w:cs="宋体"/>
          <w:b/>
          <w:color w:val="auto"/>
          <w:kern w:val="2"/>
          <w:sz w:val="21"/>
          <w:szCs w:val="21"/>
          <w:highlight w:val="none"/>
          <w:lang w:val="en-US" w:eastAsia="zh-CN" w:bidi="ar"/>
        </w:rPr>
        <w:t>日08:30 至09:30</w:t>
      </w:r>
      <w:r>
        <w:rPr>
          <w:rFonts w:hint="default" w:ascii="宋体" w:hAnsi="宋体" w:eastAsia="宋体" w:cs="宋体"/>
          <w:b/>
          <w:color w:val="auto"/>
          <w:kern w:val="2"/>
          <w:sz w:val="21"/>
          <w:szCs w:val="21"/>
          <w:highlight w:val="none"/>
          <w:lang w:val="en-US" w:eastAsia="zh-CN" w:bidi="ar"/>
        </w:rPr>
        <w:t>，请投标人在上述时间内提供样品。超过投标截止时间的，采购人或采购代理机构将不予接收。</w:t>
      </w:r>
    </w:p>
    <w:p>
      <w:pPr>
        <w:keepNext w:val="0"/>
        <w:keepLines w:val="0"/>
        <w:widowControl/>
        <w:suppressLineNumbers w:val="0"/>
        <w:spacing w:beforeLines="50" w:line="360" w:lineRule="auto"/>
        <w:jc w:val="left"/>
        <w:rPr>
          <w:rFonts w:ascii="宋体" w:hAnsi="宋体" w:cs="宋体"/>
          <w:b/>
          <w:color w:val="auto"/>
          <w:szCs w:val="21"/>
          <w:highlight w:val="none"/>
          <w:lang w:bidi="ar"/>
        </w:rPr>
      </w:pPr>
      <w:r>
        <w:rPr>
          <w:rFonts w:ascii="宋体" w:hAnsi="宋体" w:eastAsia="宋体" w:cs="宋体"/>
          <w:b/>
          <w:color w:val="auto"/>
          <w:kern w:val="2"/>
          <w:sz w:val="21"/>
          <w:szCs w:val="21"/>
          <w:highlight w:val="none"/>
          <w:lang w:val="en-US" w:eastAsia="zh-CN" w:bidi="ar"/>
        </w:rPr>
        <w:t>样品运至地点：</w:t>
      </w:r>
      <w:r>
        <w:rPr>
          <w:rFonts w:hint="eastAsia" w:ascii="宋体" w:hAnsi="宋体" w:cs="宋体"/>
          <w:b/>
          <w:color w:val="auto"/>
          <w:kern w:val="2"/>
          <w:sz w:val="21"/>
          <w:szCs w:val="21"/>
          <w:highlight w:val="none"/>
          <w:lang w:val="en-US" w:eastAsia="zh-CN" w:bidi="ar"/>
        </w:rPr>
        <w:t>钱塘区金沙大道600号东楼B-2停车场</w:t>
      </w:r>
    </w:p>
    <w:p>
      <w:pPr>
        <w:keepNext w:val="0"/>
        <w:keepLines w:val="0"/>
        <w:widowControl/>
        <w:suppressLineNumbers w:val="0"/>
        <w:spacing w:beforeLines="50" w:line="360" w:lineRule="auto"/>
        <w:jc w:val="left"/>
        <w:rPr>
          <w:rFonts w:ascii="宋体" w:hAnsi="宋体" w:cs="宋体"/>
          <w:b/>
          <w:color w:val="auto"/>
          <w:szCs w:val="21"/>
          <w:highlight w:val="none"/>
          <w:lang w:bidi="ar"/>
        </w:rPr>
      </w:pPr>
      <w:r>
        <w:rPr>
          <w:rFonts w:ascii="宋体" w:hAnsi="宋体" w:eastAsia="宋体" w:cs="宋体"/>
          <w:b/>
          <w:color w:val="auto"/>
          <w:kern w:val="2"/>
          <w:sz w:val="21"/>
          <w:szCs w:val="21"/>
          <w:highlight w:val="none"/>
          <w:lang w:val="en-US" w:eastAsia="zh-CN" w:bidi="ar"/>
        </w:rPr>
        <w:t>样品取回时间：采购活动结束后，对于未中标人提供的样品，采购人、采</w:t>
      </w:r>
      <w:r>
        <w:rPr>
          <w:rFonts w:hint="default" w:ascii="宋体" w:hAnsi="宋体" w:eastAsia="宋体" w:cs="宋体"/>
          <w:b/>
          <w:color w:val="auto"/>
          <w:kern w:val="2"/>
          <w:sz w:val="21"/>
          <w:szCs w:val="21"/>
          <w:highlight w:val="none"/>
          <w:lang w:val="en-US" w:eastAsia="zh-CN" w:bidi="ar"/>
        </w:rPr>
        <w:t>购机构将通知未中标人在规定的时间内取回，逾期未取回的，采购人、采购机构不负保管义务；对于中标人提供的样品，采购人将进行保管、封存，并作为履约验收的参考。</w:t>
      </w:r>
    </w:p>
    <w:p>
      <w:pPr>
        <w:numPr>
          <w:ilvl w:val="-1"/>
          <w:numId w:val="0"/>
        </w:numPr>
        <w:autoSpaceDE w:val="0"/>
        <w:autoSpaceDN w:val="0"/>
        <w:spacing w:line="360" w:lineRule="auto"/>
        <w:jc w:val="left"/>
        <w:rPr>
          <w:rFonts w:ascii="宋体" w:hAnsi="宋体" w:cs="宋体"/>
          <w:bCs/>
          <w:color w:val="auto"/>
          <w:szCs w:val="21"/>
          <w:highlight w:val="none"/>
        </w:rPr>
      </w:pPr>
      <w:r>
        <w:rPr>
          <w:rFonts w:hint="eastAsia" w:ascii="宋体" w:hAnsi="宋体" w:cs="宋体"/>
          <w:b/>
          <w:color w:val="auto"/>
          <w:kern w:val="0"/>
          <w:szCs w:val="21"/>
          <w:highlight w:val="none"/>
          <w:lang w:val="en-US" w:eastAsia="zh-CN"/>
        </w:rPr>
        <w:t>七</w:t>
      </w:r>
      <w:r>
        <w:rPr>
          <w:rFonts w:hint="eastAsia" w:ascii="宋体" w:hAnsi="宋体" w:cs="宋体"/>
          <w:b/>
          <w:color w:val="auto"/>
          <w:kern w:val="0"/>
          <w:szCs w:val="21"/>
          <w:highlight w:val="none"/>
        </w:rPr>
        <w:t>、其他要求：</w:t>
      </w:r>
    </w:p>
    <w:p>
      <w:pPr>
        <w:spacing w:line="360" w:lineRule="auto"/>
        <w:rPr>
          <w:rFonts w:ascii="宋体" w:hAnsi="宋体" w:cs="宋体"/>
          <w:bCs/>
          <w:color w:val="auto"/>
          <w:szCs w:val="21"/>
          <w:highlight w:val="none"/>
        </w:rPr>
      </w:pPr>
      <w:r>
        <w:rPr>
          <w:rFonts w:ascii="宋体" w:hAnsi="宋体" w:cs="宋体"/>
          <w:bCs/>
          <w:color w:val="auto"/>
          <w:szCs w:val="21"/>
          <w:highlight w:val="none"/>
        </w:rPr>
        <w:t>1、说明：</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1）投标供应商所投产品技术性能指标必须</w:t>
      </w:r>
      <w:r>
        <w:rPr>
          <w:rFonts w:hint="eastAsia" w:ascii="宋体" w:hAnsi="宋体" w:cs="宋体"/>
          <w:bCs/>
          <w:color w:val="auto"/>
          <w:szCs w:val="21"/>
          <w:highlight w:val="none"/>
          <w:lang w:eastAsia="zh-CN"/>
        </w:rPr>
        <w:t>货物清单</w:t>
      </w:r>
      <w:r>
        <w:rPr>
          <w:rFonts w:ascii="宋体" w:hAnsi="宋体" w:cs="宋体"/>
          <w:bCs/>
          <w:color w:val="auto"/>
          <w:szCs w:val="21"/>
          <w:highlight w:val="none"/>
        </w:rPr>
        <w:t>中所列技术性能指标相同或超过所列指标，必须为全新原厂商包装有售后服务质保新品。</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w:t>
      </w:r>
      <w:r>
        <w:rPr>
          <w:rFonts w:ascii="宋体" w:hAnsi="宋体" w:cs="宋体"/>
          <w:bCs/>
          <w:color w:val="auto"/>
          <w:szCs w:val="21"/>
          <w:highlight w:val="none"/>
        </w:rPr>
        <w:t>）投标报价已包含设备安装、调试、配件、人工、运输、税金、水电费等涉及的全部费用。</w:t>
      </w:r>
    </w:p>
    <w:p>
      <w:pPr>
        <w:pStyle w:val="25"/>
        <w:rPr>
          <w:rFonts w:hint="eastAsia" w:hAnsi="宋体" w:cs="宋体"/>
          <w:bCs/>
          <w:color w:val="auto"/>
          <w:sz w:val="22"/>
          <w:szCs w:val="20"/>
          <w:highlight w:val="none"/>
          <w:lang w:eastAsia="zh-CN"/>
        </w:rPr>
      </w:pPr>
      <w:r>
        <w:rPr>
          <w:rFonts w:hint="eastAsia" w:hAnsi="宋体" w:cs="宋体"/>
          <w:bCs/>
          <w:color w:val="auto"/>
          <w:sz w:val="22"/>
          <w:szCs w:val="20"/>
          <w:highlight w:val="none"/>
          <w:lang w:eastAsia="zh-CN"/>
        </w:rPr>
        <w:t>（</w:t>
      </w:r>
      <w:r>
        <w:rPr>
          <w:rFonts w:hint="eastAsia" w:hAnsi="宋体" w:cs="宋体"/>
          <w:bCs/>
          <w:color w:val="auto"/>
          <w:sz w:val="22"/>
          <w:szCs w:val="20"/>
          <w:highlight w:val="none"/>
          <w:lang w:val="en-US" w:eastAsia="zh-CN"/>
        </w:rPr>
        <w:t>3</w:t>
      </w:r>
      <w:r>
        <w:rPr>
          <w:rFonts w:hint="eastAsia" w:hAnsi="宋体" w:cs="宋体"/>
          <w:bCs/>
          <w:color w:val="auto"/>
          <w:sz w:val="22"/>
          <w:szCs w:val="20"/>
          <w:highlight w:val="none"/>
          <w:lang w:eastAsia="zh-CN"/>
        </w:rPr>
        <w:t>）中标供应商拟提供的货物型号、尺寸规格、材质需经采购人确认同意后方可进行生产、制作、供货。否则采购人有权拒绝接受未经确认的产品。</w:t>
      </w:r>
    </w:p>
    <w:p>
      <w:pPr>
        <w:pStyle w:val="26"/>
        <w:ind w:firstLine="0"/>
        <w:rPr>
          <w:rFonts w:hint="eastAsia" w:hAnsi="宋体" w:cs="宋体"/>
          <w:b/>
          <w:bCs w:val="0"/>
          <w:color w:val="auto"/>
          <w:sz w:val="22"/>
          <w:szCs w:val="20"/>
          <w:highlight w:val="none"/>
          <w:lang w:eastAsia="zh-CN"/>
        </w:rPr>
      </w:pPr>
      <w:r>
        <w:rPr>
          <w:rFonts w:hint="eastAsia" w:hAnsi="宋体" w:cs="宋体"/>
          <w:b/>
          <w:bCs w:val="0"/>
          <w:color w:val="auto"/>
          <w:sz w:val="22"/>
          <w:szCs w:val="20"/>
          <w:highlight w:val="none"/>
          <w:lang w:eastAsia="zh-CN"/>
        </w:rPr>
        <w:t>▲（</w:t>
      </w:r>
      <w:r>
        <w:rPr>
          <w:rFonts w:hint="eastAsia" w:hAnsi="宋体" w:cs="宋体"/>
          <w:b/>
          <w:bCs w:val="0"/>
          <w:color w:val="auto"/>
          <w:sz w:val="22"/>
          <w:szCs w:val="20"/>
          <w:highlight w:val="none"/>
          <w:lang w:val="en-US" w:eastAsia="zh-CN"/>
        </w:rPr>
        <w:t>4</w:t>
      </w:r>
      <w:r>
        <w:rPr>
          <w:rFonts w:hint="eastAsia" w:hAnsi="宋体" w:cs="宋体"/>
          <w:b/>
          <w:bCs w:val="0"/>
          <w:color w:val="auto"/>
          <w:sz w:val="22"/>
          <w:szCs w:val="20"/>
          <w:highlight w:val="none"/>
          <w:lang w:eastAsia="zh-CN"/>
        </w:rPr>
        <w:t>）投标人所提供的“工业和商用电热食品加工设备”的生产企业须具有有效的《全国工业产品生产许可证》；投标人所提供的“各种消毒柜等消毒产品”的生产企业须具有有效的《消毒产品生产企业卫生许可证》；投标人所提供的其他产品在生产或销售中如涉及相关许可、认证等强制性规定的，应当符合其规定（投标时提供上述证书或相关证明材料的扫描件，加盖投标人公章）。</w:t>
      </w:r>
    </w:p>
    <w:p>
      <w:pPr>
        <w:pStyle w:val="26"/>
        <w:ind w:firstLine="0"/>
        <w:rPr>
          <w:rFonts w:hint="eastAsia" w:hAnsi="宋体" w:cs="宋体"/>
          <w:b/>
          <w:color w:val="auto"/>
          <w:sz w:val="22"/>
          <w:highlight w:val="none"/>
          <w:lang w:eastAsia="zh-CN"/>
        </w:rPr>
      </w:pPr>
      <w:r>
        <w:rPr>
          <w:rFonts w:hint="eastAsia" w:hAnsi="宋体" w:cs="宋体"/>
          <w:b/>
          <w:bCs w:val="0"/>
          <w:color w:val="auto"/>
          <w:sz w:val="22"/>
          <w:szCs w:val="20"/>
          <w:highlight w:val="none"/>
          <w:lang w:eastAsia="zh-CN"/>
        </w:rPr>
        <w:t>▲（</w:t>
      </w:r>
      <w:r>
        <w:rPr>
          <w:rFonts w:hint="eastAsia" w:hAnsi="宋体" w:cs="宋体"/>
          <w:b/>
          <w:bCs w:val="0"/>
          <w:color w:val="auto"/>
          <w:sz w:val="22"/>
          <w:szCs w:val="20"/>
          <w:highlight w:val="none"/>
          <w:lang w:val="en-US" w:eastAsia="zh-CN"/>
        </w:rPr>
        <w:t>5</w:t>
      </w:r>
      <w:r>
        <w:rPr>
          <w:rFonts w:hint="eastAsia" w:hAnsi="宋体" w:cs="宋体"/>
          <w:b/>
          <w:bCs w:val="0"/>
          <w:color w:val="auto"/>
          <w:sz w:val="22"/>
          <w:szCs w:val="20"/>
          <w:highlight w:val="none"/>
          <w:lang w:eastAsia="zh-CN"/>
        </w:rPr>
        <w:t>）</w:t>
      </w:r>
      <w:r>
        <w:rPr>
          <w:rFonts w:hint="eastAsia" w:ascii="宋体" w:hAnsi="宋体" w:eastAsia="宋体" w:cs="宋体"/>
          <w:b/>
          <w:bCs w:val="0"/>
          <w:color w:val="auto"/>
          <w:sz w:val="22"/>
          <w:szCs w:val="20"/>
          <w:highlight w:val="none"/>
        </w:rPr>
        <w:t>采购清单中的设备如果国家有强制进行3C认证的，必须通过国家3C强制认证，交货时提供3C强制认证证书复印件加盖公章。</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2、服务范围</w:t>
      </w:r>
    </w:p>
    <w:p>
      <w:pPr>
        <w:pStyle w:val="34"/>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1）设备及相关资料的提供</w:t>
      </w:r>
    </w:p>
    <w:p>
      <w:pPr>
        <w:pStyle w:val="34"/>
        <w:tabs>
          <w:tab w:val="left" w:pos="0"/>
        </w:tabs>
        <w:spacing w:line="360" w:lineRule="auto"/>
        <w:rPr>
          <w:rFonts w:hAnsi="宋体" w:cs="宋体"/>
          <w:bCs/>
          <w:color w:val="auto"/>
          <w:highlight w:val="none"/>
        </w:rPr>
      </w:pPr>
      <w:r>
        <w:rPr>
          <w:rFonts w:hint="eastAsia" w:hAnsi="宋体" w:cs="宋体"/>
          <w:bCs/>
          <w:color w:val="auto"/>
          <w:highlight w:val="none"/>
        </w:rPr>
        <w:t>提供的设备及相关材料须包括以下服务工作（但不限于）内容：</w:t>
      </w:r>
    </w:p>
    <w:p>
      <w:pPr>
        <w:pStyle w:val="34"/>
        <w:tabs>
          <w:tab w:val="left" w:pos="0"/>
        </w:tabs>
        <w:spacing w:line="360" w:lineRule="auto"/>
        <w:rPr>
          <w:rFonts w:hAnsi="宋体" w:cs="宋体"/>
          <w:bCs/>
          <w:color w:val="auto"/>
          <w:highlight w:val="none"/>
        </w:rPr>
      </w:pPr>
      <w:r>
        <w:rPr>
          <w:rFonts w:hAnsi="宋体" w:cs="宋体"/>
          <w:bCs/>
          <w:color w:val="auto"/>
          <w:highlight w:val="none"/>
        </w:rPr>
        <w:t>1）设备样本和使用操作说明书。</w:t>
      </w:r>
    </w:p>
    <w:p>
      <w:pPr>
        <w:pStyle w:val="34"/>
        <w:tabs>
          <w:tab w:val="left" w:pos="0"/>
        </w:tabs>
        <w:spacing w:line="360" w:lineRule="auto"/>
        <w:rPr>
          <w:rFonts w:hAnsi="宋体" w:cs="宋体"/>
          <w:bCs/>
          <w:color w:val="auto"/>
          <w:highlight w:val="none"/>
        </w:rPr>
      </w:pPr>
      <w:r>
        <w:rPr>
          <w:rFonts w:hAnsi="宋体" w:cs="宋体"/>
          <w:bCs/>
          <w:color w:val="auto"/>
          <w:highlight w:val="none"/>
        </w:rPr>
        <w:t>2）中标人须提供设备的详细成套供货清单（包括备品备件、专用工具、易损件的清单等）。</w:t>
      </w:r>
    </w:p>
    <w:p>
      <w:pPr>
        <w:pStyle w:val="34"/>
        <w:tabs>
          <w:tab w:val="left" w:pos="0"/>
        </w:tabs>
        <w:spacing w:line="360" w:lineRule="auto"/>
        <w:rPr>
          <w:rFonts w:hAnsi="宋体" w:cs="宋体"/>
          <w:bCs/>
          <w:color w:val="auto"/>
          <w:highlight w:val="none"/>
        </w:rPr>
      </w:pPr>
      <w:r>
        <w:rPr>
          <w:rFonts w:hAnsi="宋体" w:cs="宋体"/>
          <w:bCs/>
          <w:color w:val="auto"/>
          <w:highlight w:val="none"/>
        </w:rPr>
        <w:t>3）在设备到货后采购人应派员到工地进行验收，若发现任何损坏及质量问题，供应商负责更换，该工作所产生的费用由供应商自行负责。</w:t>
      </w:r>
    </w:p>
    <w:p>
      <w:pPr>
        <w:pStyle w:val="34"/>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2）安装、调试及试运行</w:t>
      </w:r>
    </w:p>
    <w:p>
      <w:pPr>
        <w:pStyle w:val="34"/>
        <w:tabs>
          <w:tab w:val="left" w:pos="0"/>
        </w:tabs>
        <w:spacing w:line="360" w:lineRule="auto"/>
        <w:rPr>
          <w:rFonts w:hAnsi="宋体" w:cs="宋体"/>
          <w:bCs/>
          <w:color w:val="auto"/>
          <w:highlight w:val="none"/>
        </w:rPr>
      </w:pPr>
      <w:r>
        <w:rPr>
          <w:rFonts w:hAnsi="宋体" w:cs="宋体"/>
          <w:bCs/>
          <w:color w:val="auto"/>
          <w:highlight w:val="none"/>
        </w:rPr>
        <w:t>1）供应商应派遣有丰富同类工作实践经验的技术人员进行设备安装、调试及运行工作，直到保证正常稳定运行。</w:t>
      </w:r>
    </w:p>
    <w:p>
      <w:pPr>
        <w:pStyle w:val="34"/>
        <w:tabs>
          <w:tab w:val="left" w:pos="0"/>
        </w:tabs>
        <w:spacing w:line="360" w:lineRule="auto"/>
        <w:rPr>
          <w:rFonts w:hAnsi="宋体" w:cs="宋体"/>
          <w:bCs/>
          <w:color w:val="auto"/>
          <w:highlight w:val="none"/>
        </w:rPr>
      </w:pPr>
      <w:r>
        <w:rPr>
          <w:rFonts w:hAnsi="宋体" w:cs="宋体"/>
          <w:bCs/>
          <w:color w:val="auto"/>
          <w:highlight w:val="none"/>
        </w:rPr>
        <w:t>2）在调试期间，供应商在现场负责测试和调试。测试、调试方法及记录表格式应由采购人认可后方可执行。供方参加测试、调试过程一切费用由供应商负责。</w:t>
      </w:r>
    </w:p>
    <w:p>
      <w:pPr>
        <w:pStyle w:val="34"/>
        <w:tabs>
          <w:tab w:val="left" w:pos="0"/>
        </w:tabs>
        <w:spacing w:line="360" w:lineRule="auto"/>
        <w:rPr>
          <w:rFonts w:hAnsi="宋体" w:cs="宋体"/>
          <w:bCs/>
          <w:color w:val="auto"/>
          <w:highlight w:val="none"/>
        </w:rPr>
      </w:pPr>
      <w:r>
        <w:rPr>
          <w:rFonts w:hAnsi="宋体" w:cs="宋体"/>
          <w:bCs/>
          <w:color w:val="auto"/>
          <w:highlight w:val="none"/>
        </w:rPr>
        <w:t>3）设备试运行需在政府有关部门及采购人的工程技术人员的监督下进行。</w:t>
      </w:r>
    </w:p>
    <w:p>
      <w:pPr>
        <w:pStyle w:val="34"/>
        <w:tabs>
          <w:tab w:val="left" w:pos="0"/>
        </w:tabs>
        <w:spacing w:line="360" w:lineRule="auto"/>
        <w:rPr>
          <w:rFonts w:hAnsi="宋体" w:cs="宋体"/>
          <w:bCs/>
          <w:color w:val="auto"/>
          <w:highlight w:val="none"/>
        </w:rPr>
      </w:pPr>
      <w:r>
        <w:rPr>
          <w:rFonts w:hAnsi="宋体" w:cs="宋体"/>
          <w:bCs/>
          <w:color w:val="auto"/>
          <w:highlight w:val="none"/>
        </w:rPr>
        <w:t>4）保证测试的项目，保证测试的内容应包括本招标范围内所有设备、仪表、电气等组件的正常、系统的稳定、及各项操作指标达到要求。</w:t>
      </w:r>
    </w:p>
    <w:p>
      <w:pPr>
        <w:pStyle w:val="34"/>
        <w:tabs>
          <w:tab w:val="left" w:pos="0"/>
        </w:tabs>
        <w:spacing w:line="360" w:lineRule="auto"/>
        <w:ind w:firstLine="422"/>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3）验收</w:t>
      </w:r>
    </w:p>
    <w:p>
      <w:pPr>
        <w:pStyle w:val="34"/>
        <w:spacing w:line="360" w:lineRule="auto"/>
        <w:rPr>
          <w:rFonts w:hAnsi="宋体" w:cs="宋体"/>
          <w:bCs/>
          <w:color w:val="auto"/>
          <w:highlight w:val="none"/>
        </w:rPr>
      </w:pPr>
      <w:r>
        <w:rPr>
          <w:rFonts w:hAnsi="宋体" w:cs="宋体"/>
          <w:bCs/>
          <w:color w:val="auto"/>
          <w:highlight w:val="none"/>
        </w:rPr>
        <w:t>1）根据中华人民共和国现行技术标准，按采购文件以及合同规定的验收评定标准等规范，由采购人根据《政府采购合同履约和验收管理办法（暂行）》组织验收。</w:t>
      </w:r>
    </w:p>
    <w:p>
      <w:pPr>
        <w:pStyle w:val="34"/>
        <w:tabs>
          <w:tab w:val="left" w:pos="0"/>
        </w:tabs>
        <w:spacing w:line="360" w:lineRule="auto"/>
        <w:rPr>
          <w:rFonts w:hAnsi="宋体" w:cs="宋体"/>
          <w:bCs/>
          <w:color w:val="auto"/>
          <w:highlight w:val="none"/>
        </w:rPr>
      </w:pPr>
      <w:r>
        <w:rPr>
          <w:rFonts w:hAnsi="宋体" w:cs="宋体"/>
          <w:bCs/>
          <w:color w:val="auto"/>
          <w:highlight w:val="none"/>
        </w:rPr>
        <w:t>2）运行结果符合合同要求。</w:t>
      </w:r>
    </w:p>
    <w:p>
      <w:pPr>
        <w:pStyle w:val="34"/>
        <w:tabs>
          <w:tab w:val="left" w:pos="0"/>
        </w:tabs>
        <w:spacing w:line="360" w:lineRule="auto"/>
        <w:rPr>
          <w:rFonts w:hAnsi="宋体" w:cs="宋体"/>
          <w:bCs/>
          <w:color w:val="auto"/>
          <w:highlight w:val="none"/>
        </w:rPr>
      </w:pPr>
      <w:r>
        <w:rPr>
          <w:rFonts w:hAnsi="宋体" w:cs="宋体"/>
          <w:bCs/>
          <w:color w:val="auto"/>
          <w:highlight w:val="none"/>
        </w:rPr>
        <w:t>3）在进行测试和验收、运行过程中发生的故障和发现的问题已被排除，并得到采购人的认可。</w:t>
      </w:r>
    </w:p>
    <w:p>
      <w:pPr>
        <w:pStyle w:val="34"/>
        <w:tabs>
          <w:tab w:val="left" w:pos="0"/>
        </w:tabs>
        <w:spacing w:line="360" w:lineRule="auto"/>
        <w:rPr>
          <w:rFonts w:hAnsi="宋体" w:cs="宋体"/>
          <w:bCs/>
          <w:color w:val="auto"/>
          <w:highlight w:val="none"/>
        </w:rPr>
      </w:pPr>
      <w:r>
        <w:rPr>
          <w:rFonts w:hAnsi="宋体" w:cs="宋体"/>
          <w:bCs/>
          <w:color w:val="auto"/>
          <w:highlight w:val="none"/>
        </w:rPr>
        <w:t>4）所有合同中规定的设备，备品备件、专用工具都已提交。</w:t>
      </w:r>
    </w:p>
    <w:p>
      <w:pPr>
        <w:pStyle w:val="34"/>
        <w:tabs>
          <w:tab w:val="left" w:pos="0"/>
        </w:tabs>
        <w:spacing w:line="360" w:lineRule="auto"/>
        <w:rPr>
          <w:rFonts w:hAnsi="宋体" w:cs="宋体"/>
          <w:bCs/>
          <w:color w:val="auto"/>
          <w:highlight w:val="none"/>
        </w:rPr>
      </w:pPr>
      <w:r>
        <w:rPr>
          <w:rFonts w:hAnsi="宋体" w:cs="宋体"/>
          <w:bCs/>
          <w:color w:val="auto"/>
          <w:highlight w:val="none"/>
        </w:rPr>
        <w:t>5）整套设备图纸及技术文件都已提交并得到接受。主要包括：</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检验记录，试验报告及质量合格证及按国家安全检测规定批准文件等出厂报告。</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设备和备品管理资料文件，包括设备和备品发运和装箱的详细资料（各种清单），设备和备品存放保管技术要求，运输超重和超大件的明细表和外形图。</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详细的产品质量文件。</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安装、运行、维护、检修所需的详尽图纸和技术文件等。</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安装、运行、维护、检修说明书。</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有关标准，规程规定应提交的技术文件、资料。</w:t>
      </w:r>
    </w:p>
    <w:p>
      <w:pPr>
        <w:pStyle w:val="34"/>
        <w:numPr>
          <w:ilvl w:val="0"/>
          <w:numId w:val="6"/>
        </w:numPr>
        <w:adjustRightInd/>
        <w:spacing w:line="360" w:lineRule="auto"/>
        <w:rPr>
          <w:rFonts w:hAnsi="宋体" w:cs="宋体"/>
          <w:bCs/>
          <w:color w:val="auto"/>
          <w:highlight w:val="none"/>
        </w:rPr>
      </w:pPr>
      <w:r>
        <w:rPr>
          <w:rFonts w:hint="eastAsia" w:hAnsi="宋体" w:cs="宋体"/>
          <w:bCs/>
          <w:color w:val="auto"/>
          <w:highlight w:val="none"/>
        </w:rPr>
        <w:t>完整的操作维护手册。</w:t>
      </w:r>
    </w:p>
    <w:p>
      <w:pPr>
        <w:pStyle w:val="34"/>
        <w:tabs>
          <w:tab w:val="left" w:pos="0"/>
        </w:tabs>
        <w:spacing w:line="360" w:lineRule="auto"/>
        <w:ind w:firstLine="365" w:firstLineChars="174"/>
        <w:rPr>
          <w:rFonts w:hAnsi="宋体" w:cs="宋体"/>
          <w:bCs/>
          <w:color w:val="auto"/>
          <w:highlight w:val="none"/>
        </w:rPr>
      </w:pPr>
      <w:r>
        <w:rPr>
          <w:rFonts w:hint="eastAsia" w:hAnsi="宋体" w:cs="宋体"/>
          <w:bCs/>
          <w:color w:val="auto"/>
          <w:highlight w:val="none"/>
        </w:rPr>
        <w:t>（</w:t>
      </w:r>
      <w:r>
        <w:rPr>
          <w:rFonts w:hAnsi="宋体" w:cs="宋体"/>
          <w:bCs/>
          <w:color w:val="auto"/>
          <w:highlight w:val="none"/>
        </w:rPr>
        <w:t>4）技术培训及售后服务</w:t>
      </w:r>
    </w:p>
    <w:p>
      <w:pPr>
        <w:pStyle w:val="34"/>
        <w:tabs>
          <w:tab w:val="left" w:pos="0"/>
        </w:tabs>
        <w:spacing w:line="360" w:lineRule="auto"/>
        <w:rPr>
          <w:rFonts w:hAnsi="宋体" w:cs="宋体"/>
          <w:bCs/>
          <w:color w:val="auto"/>
          <w:highlight w:val="none"/>
        </w:rPr>
      </w:pPr>
      <w:r>
        <w:rPr>
          <w:rFonts w:hAnsi="宋体" w:cs="宋体"/>
          <w:bCs/>
          <w:color w:val="auto"/>
          <w:highlight w:val="none"/>
        </w:rPr>
        <w:t>4.1技术培训</w:t>
      </w:r>
    </w:p>
    <w:p>
      <w:pPr>
        <w:pStyle w:val="34"/>
        <w:tabs>
          <w:tab w:val="left" w:pos="0"/>
        </w:tabs>
        <w:spacing w:line="360" w:lineRule="auto"/>
        <w:rPr>
          <w:rFonts w:hAnsi="宋体" w:cs="宋体"/>
          <w:bCs/>
          <w:color w:val="auto"/>
          <w:highlight w:val="none"/>
        </w:rPr>
      </w:pPr>
      <w:r>
        <w:rPr>
          <w:rFonts w:hint="eastAsia" w:hAnsi="宋体" w:cs="宋体"/>
          <w:bCs/>
          <w:color w:val="auto"/>
          <w:highlight w:val="none"/>
        </w:rPr>
        <w:t>投标供应商应对采购单位工作人员（至少</w:t>
      </w:r>
      <w:r>
        <w:rPr>
          <w:rFonts w:hAnsi="宋体" w:cs="宋体"/>
          <w:bCs/>
          <w:color w:val="auto"/>
          <w:highlight w:val="none"/>
        </w:rPr>
        <w:t>2人）提供设备操作维护、管理等培训，具体的培训人数、时间、地点、培训内容、培训费用等在投标文件中</w:t>
      </w:r>
      <w:r>
        <w:rPr>
          <w:rFonts w:hint="eastAsia" w:hAnsi="宋体" w:cs="宋体"/>
          <w:bCs/>
          <w:color w:val="auto"/>
          <w:highlight w:val="none"/>
        </w:rPr>
        <w:t>作出承诺，采购人有权选择是否参加。</w:t>
      </w:r>
    </w:p>
    <w:p>
      <w:pPr>
        <w:pStyle w:val="34"/>
        <w:tabs>
          <w:tab w:val="left" w:pos="0"/>
        </w:tabs>
        <w:spacing w:line="360" w:lineRule="auto"/>
        <w:rPr>
          <w:rFonts w:hAnsi="宋体" w:cs="宋体"/>
          <w:bCs/>
          <w:color w:val="auto"/>
          <w:highlight w:val="none"/>
        </w:rPr>
      </w:pPr>
      <w:r>
        <w:rPr>
          <w:rFonts w:hAnsi="宋体" w:cs="宋体"/>
          <w:bCs/>
          <w:color w:val="auto"/>
          <w:highlight w:val="none"/>
        </w:rPr>
        <w:t>4.2售后服务</w:t>
      </w:r>
    </w:p>
    <w:p>
      <w:pPr>
        <w:snapToGrid w:val="0"/>
        <w:spacing w:line="360" w:lineRule="auto"/>
        <w:ind w:left="313" w:leftChars="99" w:hanging="105" w:hangingChars="50"/>
        <w:jc w:val="left"/>
        <w:rPr>
          <w:rFonts w:ascii="宋体" w:hAnsi="宋体" w:cs="宋体"/>
          <w:bCs/>
          <w:color w:val="auto"/>
          <w:szCs w:val="21"/>
          <w:highlight w:val="none"/>
        </w:rPr>
      </w:pPr>
      <w:r>
        <w:rPr>
          <w:rFonts w:ascii="宋体" w:hAnsi="宋体" w:cs="宋体"/>
          <w:bCs/>
          <w:color w:val="auto"/>
          <w:szCs w:val="21"/>
          <w:highlight w:val="none"/>
        </w:rPr>
        <w:t>1）卖方需按本技术规格书的要求完成货物的设计、制造、运输、安装、调试及试运行、培训及售后服务等工作。按工作顺序提交所需的技术资料，所有资料必须符合本技术规格书的要求。无论其是否被明细列在合同文件中。</w:t>
      </w:r>
    </w:p>
    <w:p>
      <w:pPr>
        <w:snapToGrid w:val="0"/>
        <w:spacing w:line="360" w:lineRule="auto"/>
        <w:jc w:val="left"/>
        <w:rPr>
          <w:rFonts w:ascii="宋体" w:hAnsi="宋体" w:cs="宋体"/>
          <w:bCs/>
          <w:color w:val="auto"/>
          <w:szCs w:val="21"/>
          <w:highlight w:val="none"/>
        </w:rPr>
      </w:pPr>
      <w:r>
        <w:rPr>
          <w:rFonts w:ascii="宋体" w:hAnsi="宋体" w:cs="宋体"/>
          <w:bCs/>
          <w:color w:val="auto"/>
          <w:szCs w:val="21"/>
          <w:highlight w:val="none"/>
        </w:rPr>
        <w:t xml:space="preserve">    提供的货物</w:t>
      </w:r>
      <w:r>
        <w:rPr>
          <w:rFonts w:hint="eastAsia" w:ascii="宋体" w:hAnsi="宋体" w:cs="宋体"/>
          <w:bCs/>
          <w:color w:val="auto"/>
          <w:szCs w:val="21"/>
          <w:highlight w:val="none"/>
        </w:rPr>
        <w:t>须包括以下工作服务但不仅限于以下：</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(1) </w:t>
      </w:r>
      <w:r>
        <w:rPr>
          <w:rFonts w:hint="eastAsia" w:ascii="宋体" w:hAnsi="宋体" w:cs="宋体"/>
          <w:bCs/>
          <w:color w:val="auto"/>
          <w:szCs w:val="21"/>
          <w:highlight w:val="none"/>
        </w:rPr>
        <w:t>按招标人和设计需要完成具体设计；</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(2) 在货物就位、安装之前须提供详细的构造图、货物样本和使用操作说明书； </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(3)</w:t>
      </w:r>
      <w:r>
        <w:rPr>
          <w:rFonts w:ascii="宋体" w:hAnsi="宋体" w:cs="宋体"/>
          <w:bCs/>
          <w:color w:val="auto"/>
          <w:spacing w:val="-4"/>
          <w:szCs w:val="21"/>
          <w:highlight w:val="none"/>
        </w:rPr>
        <w:t xml:space="preserve"> 按招标人认可的设计方案和材料进行加工、制造、供货、安装、负责调试；</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(4) </w:t>
      </w:r>
      <w:r>
        <w:rPr>
          <w:rFonts w:hint="eastAsia" w:ascii="宋体" w:hAnsi="宋体" w:cs="宋体"/>
          <w:bCs/>
          <w:color w:val="auto"/>
          <w:szCs w:val="21"/>
          <w:highlight w:val="none"/>
        </w:rPr>
        <w:t>运输及装卸：货物运输至招标人建设工地指定地方，并卸至指定现场</w:t>
      </w:r>
      <w:r>
        <w:rPr>
          <w:rFonts w:ascii="宋体" w:hAnsi="宋体" w:cs="宋体"/>
          <w:bCs/>
          <w:color w:val="auto"/>
          <w:spacing w:val="-4"/>
          <w:szCs w:val="21"/>
          <w:highlight w:val="none"/>
        </w:rPr>
        <w:t>；</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(5) </w:t>
      </w:r>
      <w:r>
        <w:rPr>
          <w:rFonts w:hint="eastAsia" w:ascii="宋体" w:hAnsi="宋体" w:cs="宋体"/>
          <w:bCs/>
          <w:color w:val="auto"/>
          <w:szCs w:val="21"/>
          <w:highlight w:val="none"/>
        </w:rPr>
        <w:t>安装调试：货物吊装至设计安装部位，完成安装和调试等现场测试</w:t>
      </w:r>
      <w:r>
        <w:rPr>
          <w:rFonts w:ascii="宋体" w:hAnsi="宋体" w:cs="宋体"/>
          <w:bCs/>
          <w:color w:val="auto"/>
          <w:spacing w:val="-4"/>
          <w:szCs w:val="21"/>
          <w:highlight w:val="none"/>
        </w:rPr>
        <w:t>；</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(6) </w:t>
      </w:r>
      <w:r>
        <w:rPr>
          <w:rFonts w:hint="eastAsia" w:ascii="宋体" w:hAnsi="宋体" w:cs="宋体"/>
          <w:bCs/>
          <w:color w:val="auto"/>
          <w:szCs w:val="21"/>
          <w:highlight w:val="none"/>
        </w:rPr>
        <w:t>中标人应负责提供完整的中文操作维护使用手册。</w:t>
      </w:r>
    </w:p>
    <w:p>
      <w:pPr>
        <w:snapToGrid w:val="0"/>
        <w:spacing w:line="360" w:lineRule="auto"/>
        <w:ind w:left="384" w:leftChars="83" w:hanging="210" w:hangingChars="100"/>
        <w:rPr>
          <w:rFonts w:ascii="宋体" w:hAnsi="宋体" w:cs="宋体"/>
          <w:bCs/>
          <w:color w:val="auto"/>
          <w:szCs w:val="21"/>
          <w:highlight w:val="none"/>
        </w:rPr>
      </w:pPr>
      <w:r>
        <w:rPr>
          <w:rFonts w:ascii="宋体" w:hAnsi="宋体" w:cs="宋体"/>
          <w:bCs/>
          <w:color w:val="auto"/>
          <w:szCs w:val="21"/>
          <w:highlight w:val="none"/>
        </w:rPr>
        <w:t>2）这份规格书只是对一些原则性要求，并不是详尽的要求，投标方有责任对设计符合技术规范、标准负责。</w:t>
      </w:r>
    </w:p>
    <w:p>
      <w:pPr>
        <w:snapToGrid w:val="0"/>
        <w:spacing w:line="360" w:lineRule="auto"/>
        <w:ind w:firstLine="210" w:firstLineChars="100"/>
        <w:rPr>
          <w:rFonts w:ascii="宋体" w:hAnsi="宋体" w:cs="宋体"/>
          <w:bCs/>
          <w:color w:val="auto"/>
          <w:szCs w:val="21"/>
          <w:highlight w:val="none"/>
        </w:rPr>
      </w:pPr>
      <w:r>
        <w:rPr>
          <w:rFonts w:ascii="宋体" w:hAnsi="宋体" w:cs="宋体"/>
          <w:bCs/>
          <w:color w:val="auto"/>
          <w:szCs w:val="21"/>
          <w:highlight w:val="none"/>
        </w:rPr>
        <w:t>3）中标人须对合同中规定的整套货物提供货物通过最终验收合格次日起至少</w:t>
      </w:r>
      <w:r>
        <w:rPr>
          <w:rFonts w:hint="eastAsia" w:ascii="宋体" w:hAnsi="宋体" w:cs="宋体"/>
          <w:bCs/>
          <w:color w:val="auto"/>
          <w:szCs w:val="21"/>
          <w:highlight w:val="none"/>
          <w:lang w:val="en-US" w:eastAsia="zh-CN"/>
        </w:rPr>
        <w:t>12</w:t>
      </w:r>
      <w:r>
        <w:rPr>
          <w:rFonts w:ascii="宋体" w:hAnsi="宋体" w:cs="宋体"/>
          <w:bCs/>
          <w:color w:val="auto"/>
          <w:szCs w:val="21"/>
          <w:highlight w:val="none"/>
        </w:rPr>
        <w:t>个月的</w:t>
      </w:r>
      <w:r>
        <w:rPr>
          <w:rFonts w:hint="eastAsia" w:ascii="宋体" w:hAnsi="宋体" w:cs="宋体"/>
          <w:bCs/>
          <w:color w:val="auto"/>
          <w:szCs w:val="21"/>
          <w:highlight w:val="none"/>
        </w:rPr>
        <w:t>质保期。在此期间，因产品制造质量不良而产生损坏或不能正常使用，中标人应免费维修和正常保养。</w:t>
      </w:r>
    </w:p>
    <w:p>
      <w:pPr>
        <w:snapToGrid w:val="0"/>
        <w:spacing w:line="360" w:lineRule="auto"/>
        <w:ind w:firstLine="210" w:firstLineChars="100"/>
        <w:rPr>
          <w:rFonts w:ascii="宋体" w:hAnsi="宋体" w:cs="宋体"/>
          <w:bCs/>
          <w:color w:val="auto"/>
          <w:szCs w:val="21"/>
          <w:highlight w:val="none"/>
        </w:rPr>
      </w:pPr>
      <w:r>
        <w:rPr>
          <w:rFonts w:ascii="宋体" w:hAnsi="宋体" w:cs="宋体"/>
          <w:bCs/>
          <w:color w:val="auto"/>
          <w:szCs w:val="21"/>
          <w:highlight w:val="none"/>
        </w:rPr>
        <w:t>4）质保期内的工作应包括对所有常规检查、调整和维护（定期进行维护、保养）。保修期后为招标人提供一套完整的使用记录。具体的操作程序和内容须在投标时说明。</w:t>
      </w:r>
    </w:p>
    <w:p>
      <w:pPr>
        <w:snapToGrid w:val="0"/>
        <w:spacing w:line="360" w:lineRule="auto"/>
        <w:rPr>
          <w:rFonts w:ascii="宋体" w:hAnsi="宋体" w:cs="宋体"/>
          <w:bCs/>
          <w:color w:val="auto"/>
          <w:szCs w:val="21"/>
          <w:highlight w:val="none"/>
        </w:rPr>
      </w:pPr>
      <w:r>
        <w:rPr>
          <w:rFonts w:ascii="宋体" w:hAnsi="宋体" w:cs="宋体"/>
          <w:bCs/>
          <w:color w:val="auto"/>
          <w:szCs w:val="21"/>
          <w:highlight w:val="none"/>
        </w:rPr>
        <w:t xml:space="preserve">  5）质保期内中标人须自行付费，负责修理和替换任何由于货物自身的质量问题造成的损坏及故障。  </w:t>
      </w:r>
    </w:p>
    <w:p>
      <w:pPr>
        <w:pStyle w:val="34"/>
        <w:tabs>
          <w:tab w:val="left" w:pos="0"/>
        </w:tabs>
        <w:spacing w:line="360" w:lineRule="auto"/>
        <w:ind w:firstLine="210" w:firstLineChars="100"/>
        <w:rPr>
          <w:rFonts w:hAnsi="宋体" w:cs="宋体"/>
          <w:bCs/>
          <w:color w:val="auto"/>
          <w:highlight w:val="none"/>
        </w:rPr>
      </w:pPr>
      <w:r>
        <w:rPr>
          <w:rFonts w:hAnsi="宋体" w:cs="宋体"/>
          <w:bCs/>
          <w:color w:val="auto"/>
          <w:highlight w:val="none"/>
        </w:rPr>
        <w:t>6）投标供应商的维修点需提供足够的备件以适应维修需求。投标供应商须在投标文件中说明最近的维修点地址，如设备发生故障投标供应商能在接到故障通知1小时内响应，并及时赶到现场解决问题，保证采购单位的使用。如没有按时解决问题，采购人可选择第三方进行维修，质保期内的所需费用由供应商支付。</w:t>
      </w:r>
    </w:p>
    <w:p>
      <w:pPr>
        <w:pStyle w:val="34"/>
        <w:tabs>
          <w:tab w:val="left" w:pos="0"/>
        </w:tabs>
        <w:spacing w:line="360" w:lineRule="auto"/>
        <w:ind w:firstLine="210" w:firstLineChars="100"/>
        <w:rPr>
          <w:rFonts w:hAnsi="宋体" w:cs="宋体"/>
          <w:bCs/>
          <w:color w:val="auto"/>
          <w:highlight w:val="none"/>
        </w:rPr>
      </w:pPr>
      <w:r>
        <w:rPr>
          <w:rFonts w:hAnsi="宋体" w:cs="宋体"/>
          <w:bCs/>
          <w:color w:val="auto"/>
          <w:highlight w:val="none"/>
        </w:rPr>
        <w:t>7）备件供应</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供应商对各种型号的设备须提供足够的备件、附件和易损件并保证是原厂生产的产品，以满足设备正常运行的需要。投标供应商须在投标文件中提供备品备件清单，并承诺此价格在三年内有效。</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3、质量要求</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设计制作、材料配件选配、施工安装、试运行、调试验收等须符合现行的最新国家标准、技术规范、行业标准等，国家实施强制性产品认证的产品须具有中国国家强制性产品认证证书；国家规定实行生产许可证管理的投标产品取得《全国工业产品生产许可证》。</w:t>
      </w:r>
    </w:p>
    <w:p>
      <w:pPr>
        <w:tabs>
          <w:tab w:val="left" w:pos="0"/>
        </w:tabs>
        <w:spacing w:line="360" w:lineRule="auto"/>
        <w:rPr>
          <w:rFonts w:ascii="宋体" w:hAnsi="宋体" w:cs="宋体"/>
          <w:bCs/>
          <w:color w:val="auto"/>
          <w:szCs w:val="21"/>
          <w:highlight w:val="none"/>
        </w:rPr>
      </w:pPr>
      <w:r>
        <w:rPr>
          <w:rFonts w:ascii="宋体" w:hAnsi="宋体" w:cs="宋体"/>
          <w:bCs/>
          <w:color w:val="auto"/>
          <w:szCs w:val="21"/>
          <w:highlight w:val="none"/>
        </w:rPr>
        <w:t>4、其它说明</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1）所有供货货物是全新的，未曾使用过的。</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2）提供货物的标准附件、备品备件、专用工具及其清单。</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3）投标供应商提供的货物须符合国家有关货物的制造、安装标准。</w:t>
      </w:r>
    </w:p>
    <w:p>
      <w:pPr>
        <w:tabs>
          <w:tab w:val="left" w:pos="426"/>
        </w:tabs>
        <w:spacing w:line="360" w:lineRule="auto"/>
        <w:rPr>
          <w:rFonts w:ascii="宋体" w:hAnsi="宋体" w:cs="宋体"/>
          <w:bCs/>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4）厨房油烟排放需达到中华人民共和国环境保护行业标准--HJ/T397-2007规定。</w:t>
      </w:r>
    </w:p>
    <w:p>
      <w:pPr>
        <w:rPr>
          <w:rFonts w:hint="eastAsia" w:ascii="仿宋" w:hAnsi="仿宋" w:eastAsia="仿宋" w:cs="仿宋"/>
          <w:color w:val="auto"/>
          <w:highlight w:val="none"/>
        </w:rPr>
      </w:pP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rPr>
        <w:t>注：</w:t>
      </w: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、如有附图，仅作参考。</w:t>
      </w: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、打▲内容为实质性要求，不允许有负偏离，否则将以涉及无效投标条款作无效投标。</w:t>
      </w: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、中标人所提供的货物、服务须与投标承诺一致，不得以次充好、偷工减料，若在项目验收中发现有上述情况，将向有关部门举报，根据相关规定进行处理。</w:t>
      </w:r>
    </w:p>
    <w:p>
      <w:pPr>
        <w:spacing w:line="360" w:lineRule="auto"/>
        <w:ind w:firstLine="181" w:firstLineChars="50"/>
        <w:rPr>
          <w:rFonts w:ascii="宋体" w:hAnsi="宋体" w:cs="宋体"/>
          <w:b/>
          <w:color w:val="auto"/>
          <w:sz w:val="36"/>
          <w:szCs w:val="36"/>
          <w:highlight w:val="none"/>
        </w:rPr>
      </w:pPr>
    </w:p>
    <w:p>
      <w:pPr>
        <w:spacing w:line="360" w:lineRule="auto"/>
        <w:jc w:val="center"/>
        <w:outlineLvl w:val="0"/>
        <w:rPr>
          <w:rFonts w:ascii="宋体" w:hAnsi="宋体" w:cs="宋体"/>
          <w:b/>
          <w:color w:val="auto"/>
          <w:sz w:val="36"/>
          <w:szCs w:val="36"/>
          <w:highlight w:val="none"/>
        </w:rPr>
      </w:pPr>
      <w:bookmarkStart w:id="598" w:name="_GoBack"/>
      <w:bookmarkEnd w:id="598"/>
      <w:r>
        <w:rPr>
          <w:rFonts w:hint="eastAsia" w:ascii="宋体" w:hAnsi="宋体" w:cs="宋体"/>
          <w:b/>
          <w:color w:val="auto"/>
          <w:sz w:val="36"/>
          <w:szCs w:val="36"/>
          <w:highlight w:val="none"/>
        </w:rPr>
        <w:t xml:space="preserve">第四部分   </w:t>
      </w:r>
      <w:bookmarkStart w:id="72" w:name="_Toc184308066"/>
      <w:bookmarkEnd w:id="72"/>
      <w:bookmarkStart w:id="73" w:name="_Toc184310308"/>
      <w:bookmarkEnd w:id="73"/>
      <w:bookmarkStart w:id="74" w:name="_Toc184313261"/>
      <w:bookmarkEnd w:id="74"/>
      <w:bookmarkStart w:id="75" w:name="_Toc184313307"/>
      <w:bookmarkEnd w:id="75"/>
      <w:bookmarkStart w:id="76" w:name="_Toc184314443"/>
      <w:bookmarkEnd w:id="76"/>
      <w:bookmarkStart w:id="77" w:name="_Toc184314468"/>
      <w:bookmarkEnd w:id="77"/>
      <w:bookmarkStart w:id="78" w:name="_Toc184314441"/>
      <w:bookmarkEnd w:id="78"/>
      <w:bookmarkStart w:id="79" w:name="_Toc184308054"/>
      <w:bookmarkEnd w:id="79"/>
      <w:bookmarkStart w:id="80" w:name="_Toc184314476"/>
      <w:bookmarkEnd w:id="80"/>
      <w:bookmarkStart w:id="81" w:name="_Toc184314424"/>
      <w:bookmarkEnd w:id="81"/>
      <w:bookmarkStart w:id="82" w:name="_Toc184308046"/>
      <w:bookmarkEnd w:id="82"/>
      <w:bookmarkStart w:id="83" w:name="_Toc184310336"/>
      <w:bookmarkEnd w:id="83"/>
      <w:bookmarkStart w:id="84" w:name="_Toc184312096"/>
      <w:bookmarkEnd w:id="84"/>
      <w:bookmarkStart w:id="85" w:name="_Toc184312112"/>
      <w:bookmarkEnd w:id="85"/>
      <w:bookmarkStart w:id="86" w:name="_Toc184308076"/>
      <w:bookmarkEnd w:id="86"/>
      <w:bookmarkStart w:id="87" w:name="_Toc184308037"/>
      <w:bookmarkEnd w:id="87"/>
      <w:bookmarkStart w:id="88" w:name="_Toc184310329"/>
      <w:bookmarkEnd w:id="88"/>
      <w:bookmarkStart w:id="89" w:name="_Toc184314475"/>
      <w:bookmarkEnd w:id="89"/>
      <w:bookmarkStart w:id="90" w:name="_Toc184313240"/>
      <w:bookmarkEnd w:id="90"/>
      <w:bookmarkStart w:id="91" w:name="_Toc184312136"/>
      <w:bookmarkEnd w:id="91"/>
      <w:bookmarkStart w:id="92" w:name="_Toc184310305"/>
      <w:bookmarkEnd w:id="92"/>
      <w:bookmarkStart w:id="93" w:name="_Toc184310286"/>
      <w:bookmarkEnd w:id="93"/>
      <w:bookmarkStart w:id="94" w:name="_Toc184314465"/>
      <w:bookmarkEnd w:id="94"/>
      <w:bookmarkStart w:id="95" w:name="_Toc184310275"/>
      <w:bookmarkEnd w:id="95"/>
      <w:bookmarkStart w:id="96" w:name="_Toc184310317"/>
      <w:bookmarkEnd w:id="96"/>
      <w:bookmarkStart w:id="97" w:name="_Toc184313293"/>
      <w:bookmarkEnd w:id="97"/>
      <w:bookmarkStart w:id="98" w:name="_Toc184310325"/>
      <w:bookmarkEnd w:id="98"/>
      <w:bookmarkStart w:id="99" w:name="_Toc184313288"/>
      <w:bookmarkEnd w:id="99"/>
      <w:bookmarkStart w:id="100" w:name="_Toc184308070"/>
      <w:bookmarkEnd w:id="100"/>
      <w:bookmarkStart w:id="101" w:name="_Toc184313272"/>
      <w:bookmarkEnd w:id="101"/>
      <w:bookmarkStart w:id="102" w:name="_Toc184310309"/>
      <w:bookmarkEnd w:id="102"/>
      <w:bookmarkStart w:id="103" w:name="_Toc184313278"/>
      <w:bookmarkEnd w:id="103"/>
      <w:bookmarkStart w:id="104" w:name="_Toc184308069"/>
      <w:bookmarkEnd w:id="104"/>
      <w:bookmarkStart w:id="105" w:name="_Toc184310304"/>
      <w:bookmarkEnd w:id="105"/>
      <w:bookmarkStart w:id="106" w:name="_Toc184313244"/>
      <w:bookmarkEnd w:id="106"/>
      <w:bookmarkStart w:id="107" w:name="_Toc184310332"/>
      <w:bookmarkEnd w:id="107"/>
      <w:bookmarkStart w:id="108" w:name="_Toc184310313"/>
      <w:bookmarkEnd w:id="108"/>
      <w:bookmarkStart w:id="109" w:name="_Toc184308073"/>
      <w:bookmarkEnd w:id="109"/>
      <w:bookmarkStart w:id="110" w:name="_Toc184310302"/>
      <w:bookmarkEnd w:id="110"/>
      <w:bookmarkStart w:id="111" w:name="_Toc184312120"/>
      <w:bookmarkEnd w:id="111"/>
      <w:bookmarkStart w:id="112" w:name="_Toc184312119"/>
      <w:bookmarkEnd w:id="112"/>
      <w:bookmarkStart w:id="113" w:name="_Toc184310328"/>
      <w:bookmarkEnd w:id="113"/>
      <w:bookmarkStart w:id="114" w:name="_Toc184308056"/>
      <w:bookmarkEnd w:id="114"/>
      <w:bookmarkStart w:id="115" w:name="_Toc184310338"/>
      <w:bookmarkEnd w:id="115"/>
      <w:bookmarkStart w:id="116" w:name="_Toc184313251"/>
      <w:bookmarkEnd w:id="116"/>
      <w:bookmarkStart w:id="117" w:name="_Toc184310334"/>
      <w:bookmarkEnd w:id="117"/>
      <w:bookmarkStart w:id="118" w:name="_Toc184312098"/>
      <w:bookmarkEnd w:id="118"/>
      <w:bookmarkStart w:id="119" w:name="_Toc184313281"/>
      <w:bookmarkEnd w:id="119"/>
      <w:bookmarkStart w:id="120" w:name="_Toc184308057"/>
      <w:bookmarkEnd w:id="120"/>
      <w:bookmarkStart w:id="121" w:name="_Toc184308065"/>
      <w:bookmarkEnd w:id="121"/>
      <w:bookmarkStart w:id="122" w:name="_Toc184312135"/>
      <w:bookmarkEnd w:id="122"/>
      <w:bookmarkStart w:id="123" w:name="_Toc184313263"/>
      <w:bookmarkEnd w:id="123"/>
      <w:bookmarkStart w:id="124" w:name="_Toc184310300"/>
      <w:bookmarkEnd w:id="124"/>
      <w:bookmarkStart w:id="125" w:name="_Toc184314467"/>
      <w:bookmarkEnd w:id="125"/>
      <w:bookmarkStart w:id="126" w:name="_Toc184313271"/>
      <w:bookmarkEnd w:id="126"/>
      <w:bookmarkStart w:id="127" w:name="_Toc184314478"/>
      <w:bookmarkEnd w:id="127"/>
      <w:bookmarkStart w:id="128" w:name="_Toc184314419"/>
      <w:bookmarkEnd w:id="128"/>
      <w:bookmarkStart w:id="129" w:name="_Toc184314458"/>
      <w:bookmarkEnd w:id="129"/>
      <w:bookmarkStart w:id="130" w:name="_Toc184314471"/>
      <w:bookmarkEnd w:id="130"/>
      <w:bookmarkStart w:id="131" w:name="_Toc184312126"/>
      <w:bookmarkEnd w:id="131"/>
      <w:bookmarkStart w:id="132" w:name="_Toc184313255"/>
      <w:bookmarkEnd w:id="132"/>
      <w:bookmarkStart w:id="133" w:name="_Toc184308092"/>
      <w:bookmarkEnd w:id="133"/>
      <w:bookmarkStart w:id="134" w:name="_Toc184314482"/>
      <w:bookmarkEnd w:id="134"/>
      <w:bookmarkStart w:id="135" w:name="_Toc184314435"/>
      <w:bookmarkEnd w:id="135"/>
      <w:bookmarkStart w:id="136" w:name="_Toc184314411"/>
      <w:bookmarkEnd w:id="136"/>
      <w:bookmarkStart w:id="137" w:name="_Toc184312137"/>
      <w:bookmarkEnd w:id="137"/>
      <w:bookmarkStart w:id="138" w:name="_Toc184313287"/>
      <w:bookmarkEnd w:id="138"/>
      <w:bookmarkStart w:id="139" w:name="_Toc184312106"/>
      <w:bookmarkEnd w:id="139"/>
      <w:bookmarkStart w:id="140" w:name="_Toc184310339"/>
      <w:bookmarkEnd w:id="140"/>
      <w:bookmarkStart w:id="141" w:name="_Toc184308084"/>
      <w:bookmarkEnd w:id="141"/>
      <w:bookmarkStart w:id="142" w:name="_Toc184312070"/>
      <w:bookmarkEnd w:id="142"/>
      <w:bookmarkStart w:id="143" w:name="_Toc184313256"/>
      <w:bookmarkEnd w:id="143"/>
      <w:bookmarkStart w:id="144" w:name="_Toc184310320"/>
      <w:bookmarkEnd w:id="144"/>
      <w:bookmarkStart w:id="145" w:name="_Toc184313257"/>
      <w:bookmarkEnd w:id="145"/>
      <w:bookmarkStart w:id="146" w:name="_Toc184314421"/>
      <w:bookmarkEnd w:id="146"/>
      <w:bookmarkStart w:id="147" w:name="_Toc184308062"/>
      <w:bookmarkEnd w:id="147"/>
      <w:bookmarkStart w:id="148" w:name="_Toc184312075"/>
      <w:bookmarkEnd w:id="148"/>
      <w:bookmarkStart w:id="149" w:name="_Toc184310296"/>
      <w:bookmarkEnd w:id="149"/>
      <w:bookmarkStart w:id="150" w:name="_Toc184308093"/>
      <w:bookmarkEnd w:id="150"/>
      <w:bookmarkStart w:id="151" w:name="_Toc184312072"/>
      <w:bookmarkEnd w:id="151"/>
      <w:bookmarkStart w:id="152" w:name="_Toc184312091"/>
      <w:bookmarkEnd w:id="152"/>
      <w:bookmarkStart w:id="153" w:name="_Toc184314480"/>
      <w:bookmarkEnd w:id="153"/>
      <w:bookmarkStart w:id="154" w:name="_Toc184313247"/>
      <w:bookmarkEnd w:id="154"/>
      <w:bookmarkStart w:id="155" w:name="_Toc184312103"/>
      <w:bookmarkEnd w:id="155"/>
      <w:bookmarkStart w:id="156" w:name="_Toc184308044"/>
      <w:bookmarkEnd w:id="156"/>
      <w:bookmarkStart w:id="157" w:name="_Toc184308082"/>
      <w:bookmarkEnd w:id="157"/>
      <w:bookmarkStart w:id="158" w:name="_Toc184313268"/>
      <w:bookmarkEnd w:id="158"/>
      <w:bookmarkStart w:id="159" w:name="_Toc184308107"/>
      <w:bookmarkEnd w:id="159"/>
      <w:bookmarkStart w:id="160" w:name="_Toc184313297"/>
      <w:bookmarkEnd w:id="160"/>
      <w:bookmarkStart w:id="161" w:name="_Toc184308074"/>
      <w:bookmarkEnd w:id="161"/>
      <w:bookmarkStart w:id="162" w:name="_Toc184312102"/>
      <w:bookmarkEnd w:id="162"/>
      <w:bookmarkStart w:id="163" w:name="_Toc184312139"/>
      <w:bookmarkEnd w:id="163"/>
      <w:bookmarkStart w:id="164" w:name="_Toc184308036"/>
      <w:bookmarkEnd w:id="164"/>
      <w:bookmarkStart w:id="165" w:name="_Toc184314463"/>
      <w:bookmarkEnd w:id="165"/>
      <w:bookmarkStart w:id="166" w:name="_Toc184314469"/>
      <w:bookmarkEnd w:id="166"/>
      <w:bookmarkStart w:id="167" w:name="_Toc184313238"/>
      <w:bookmarkEnd w:id="167"/>
      <w:bookmarkStart w:id="168" w:name="_Toc184312073"/>
      <w:bookmarkEnd w:id="168"/>
      <w:bookmarkStart w:id="169" w:name="_Toc184314437"/>
      <w:bookmarkEnd w:id="169"/>
      <w:bookmarkStart w:id="170" w:name="_Toc184313279"/>
      <w:bookmarkEnd w:id="170"/>
      <w:bookmarkStart w:id="171" w:name="_Toc184312081"/>
      <w:bookmarkEnd w:id="171"/>
      <w:bookmarkStart w:id="172" w:name="_Toc184314445"/>
      <w:bookmarkEnd w:id="172"/>
      <w:bookmarkStart w:id="173" w:name="_Toc184313295"/>
      <w:bookmarkEnd w:id="173"/>
      <w:bookmarkStart w:id="174" w:name="_Toc184314423"/>
      <w:bookmarkEnd w:id="174"/>
      <w:bookmarkStart w:id="175" w:name="_Toc184314474"/>
      <w:bookmarkEnd w:id="175"/>
      <w:bookmarkStart w:id="176" w:name="_Toc184308081"/>
      <w:bookmarkEnd w:id="176"/>
      <w:bookmarkStart w:id="177" w:name="_Toc184308086"/>
      <w:bookmarkEnd w:id="177"/>
      <w:bookmarkStart w:id="178" w:name="_Toc184310321"/>
      <w:bookmarkEnd w:id="178"/>
      <w:bookmarkStart w:id="179" w:name="_Toc184314466"/>
      <w:bookmarkEnd w:id="179"/>
      <w:bookmarkStart w:id="180" w:name="_Toc184310333"/>
      <w:bookmarkEnd w:id="180"/>
      <w:bookmarkStart w:id="181" w:name="_Toc184308078"/>
      <w:bookmarkEnd w:id="181"/>
      <w:bookmarkStart w:id="182" w:name="_Toc184314459"/>
      <w:bookmarkEnd w:id="182"/>
      <w:bookmarkStart w:id="183" w:name="_Toc184314452"/>
      <w:bookmarkEnd w:id="183"/>
      <w:bookmarkStart w:id="184" w:name="_Toc184313274"/>
      <w:bookmarkEnd w:id="184"/>
      <w:bookmarkStart w:id="185" w:name="_Toc184314447"/>
      <w:bookmarkEnd w:id="185"/>
      <w:bookmarkStart w:id="186" w:name="_Toc184308105"/>
      <w:bookmarkEnd w:id="186"/>
      <w:bookmarkStart w:id="187" w:name="_Toc184308108"/>
      <w:bookmarkEnd w:id="187"/>
      <w:bookmarkStart w:id="188" w:name="_Toc184313285"/>
      <w:bookmarkEnd w:id="188"/>
      <w:bookmarkStart w:id="189" w:name="_Toc184312138"/>
      <w:bookmarkEnd w:id="189"/>
      <w:bookmarkStart w:id="190" w:name="_Toc184314448"/>
      <w:bookmarkEnd w:id="190"/>
      <w:bookmarkStart w:id="191" w:name="_Toc184314454"/>
      <w:bookmarkEnd w:id="191"/>
      <w:bookmarkStart w:id="192" w:name="_Toc184313280"/>
      <w:bookmarkEnd w:id="192"/>
      <w:bookmarkStart w:id="193" w:name="_Toc184312114"/>
      <w:bookmarkEnd w:id="193"/>
      <w:bookmarkStart w:id="194" w:name="_Toc184314432"/>
      <w:bookmarkEnd w:id="194"/>
      <w:bookmarkStart w:id="195" w:name="_Toc184312085"/>
      <w:bookmarkEnd w:id="195"/>
      <w:bookmarkStart w:id="196" w:name="_Toc184313310"/>
      <w:bookmarkEnd w:id="196"/>
      <w:bookmarkStart w:id="197" w:name="_Toc184314456"/>
      <w:bookmarkEnd w:id="197"/>
      <w:bookmarkStart w:id="198" w:name="_Toc184310284"/>
      <w:bookmarkEnd w:id="198"/>
      <w:bookmarkStart w:id="199" w:name="_Toc184312078"/>
      <w:bookmarkEnd w:id="199"/>
      <w:bookmarkStart w:id="200" w:name="_Toc184308089"/>
      <w:bookmarkEnd w:id="200"/>
      <w:bookmarkStart w:id="201" w:name="_Toc184312110"/>
      <w:bookmarkEnd w:id="201"/>
      <w:bookmarkStart w:id="202" w:name="_Toc184312118"/>
      <w:bookmarkEnd w:id="202"/>
      <w:bookmarkStart w:id="203" w:name="_Toc184313277"/>
      <w:bookmarkEnd w:id="203"/>
      <w:bookmarkStart w:id="204" w:name="_Toc184313309"/>
      <w:bookmarkEnd w:id="204"/>
      <w:bookmarkStart w:id="205" w:name="_Toc184313252"/>
      <w:bookmarkEnd w:id="205"/>
      <w:bookmarkStart w:id="206" w:name="_Toc184310281"/>
      <w:bookmarkEnd w:id="206"/>
      <w:bookmarkStart w:id="207" w:name="_Toc184310288"/>
      <w:bookmarkEnd w:id="207"/>
      <w:bookmarkStart w:id="208" w:name="_Toc184312097"/>
      <w:bookmarkEnd w:id="208"/>
      <w:bookmarkStart w:id="209" w:name="_Toc184310276"/>
      <w:bookmarkEnd w:id="209"/>
      <w:bookmarkStart w:id="210" w:name="_Toc184310279"/>
      <w:bookmarkEnd w:id="210"/>
      <w:bookmarkStart w:id="211" w:name="_Toc184313283"/>
      <w:bookmarkEnd w:id="211"/>
      <w:bookmarkStart w:id="212" w:name="_Toc184310312"/>
      <w:bookmarkEnd w:id="212"/>
      <w:bookmarkStart w:id="213" w:name="_Toc184312079"/>
      <w:bookmarkEnd w:id="213"/>
      <w:bookmarkStart w:id="214" w:name="_Toc184313291"/>
      <w:bookmarkEnd w:id="214"/>
      <w:bookmarkStart w:id="215" w:name="_Toc184308063"/>
      <w:bookmarkEnd w:id="215"/>
      <w:bookmarkStart w:id="216" w:name="_Toc184312099"/>
      <w:bookmarkEnd w:id="216"/>
      <w:bookmarkStart w:id="217" w:name="_Toc184310343"/>
      <w:bookmarkEnd w:id="217"/>
      <w:bookmarkStart w:id="218" w:name="_Toc184308060"/>
      <w:bookmarkEnd w:id="218"/>
      <w:bookmarkStart w:id="219" w:name="_Toc184313266"/>
      <w:bookmarkEnd w:id="219"/>
      <w:bookmarkStart w:id="220" w:name="_Toc184310311"/>
      <w:bookmarkEnd w:id="220"/>
      <w:bookmarkStart w:id="221" w:name="_Toc184310283"/>
      <w:bookmarkEnd w:id="221"/>
      <w:bookmarkStart w:id="222" w:name="_Toc184314470"/>
      <w:bookmarkEnd w:id="222"/>
      <w:bookmarkStart w:id="223" w:name="_Toc184312132"/>
      <w:bookmarkEnd w:id="223"/>
      <w:bookmarkStart w:id="224" w:name="_Toc184308050"/>
      <w:bookmarkEnd w:id="224"/>
      <w:bookmarkStart w:id="225" w:name="_Toc184313305"/>
      <w:bookmarkEnd w:id="225"/>
      <w:bookmarkStart w:id="226" w:name="_Toc184310342"/>
      <w:bookmarkEnd w:id="226"/>
      <w:bookmarkStart w:id="227" w:name="_Toc184312123"/>
      <w:bookmarkEnd w:id="227"/>
      <w:bookmarkStart w:id="228" w:name="_Toc184313284"/>
      <w:bookmarkEnd w:id="228"/>
      <w:bookmarkStart w:id="229" w:name="_Toc184314479"/>
      <w:bookmarkEnd w:id="229"/>
      <w:bookmarkStart w:id="230" w:name="_Toc184314477"/>
      <w:bookmarkEnd w:id="230"/>
      <w:bookmarkStart w:id="231" w:name="_Toc184308061"/>
      <w:bookmarkEnd w:id="231"/>
      <w:bookmarkStart w:id="232" w:name="_Toc184313239"/>
      <w:bookmarkEnd w:id="232"/>
      <w:bookmarkStart w:id="233" w:name="_Toc184313250"/>
      <w:bookmarkEnd w:id="233"/>
      <w:bookmarkStart w:id="234" w:name="_Toc184310273"/>
      <w:bookmarkEnd w:id="234"/>
      <w:bookmarkStart w:id="235" w:name="_Toc184308041"/>
      <w:bookmarkEnd w:id="235"/>
      <w:bookmarkStart w:id="236" w:name="_Toc184313259"/>
      <w:bookmarkEnd w:id="236"/>
      <w:bookmarkStart w:id="237" w:name="_Toc184312108"/>
      <w:bookmarkEnd w:id="237"/>
      <w:bookmarkStart w:id="238" w:name="_Toc184314429"/>
      <w:bookmarkEnd w:id="238"/>
      <w:bookmarkStart w:id="239" w:name="_Toc184310318"/>
      <w:bookmarkEnd w:id="239"/>
      <w:bookmarkStart w:id="240" w:name="_Toc184308045"/>
      <w:bookmarkEnd w:id="240"/>
      <w:bookmarkStart w:id="241" w:name="_Toc184312127"/>
      <w:bookmarkEnd w:id="241"/>
      <w:bookmarkStart w:id="242" w:name="_Toc184310335"/>
      <w:bookmarkEnd w:id="242"/>
      <w:bookmarkStart w:id="243" w:name="_Toc184313302"/>
      <w:bookmarkEnd w:id="243"/>
      <w:bookmarkStart w:id="244" w:name="_Toc184312095"/>
      <w:bookmarkEnd w:id="244"/>
      <w:bookmarkStart w:id="245" w:name="_Toc184310324"/>
      <w:bookmarkEnd w:id="245"/>
      <w:bookmarkStart w:id="246" w:name="_Toc184312076"/>
      <w:bookmarkEnd w:id="246"/>
      <w:bookmarkStart w:id="247" w:name="_Toc184312124"/>
      <w:bookmarkEnd w:id="247"/>
      <w:bookmarkStart w:id="248" w:name="_Toc184310327"/>
      <w:bookmarkEnd w:id="248"/>
      <w:bookmarkStart w:id="249" w:name="_Toc184308051"/>
      <w:bookmarkEnd w:id="249"/>
      <w:bookmarkStart w:id="250" w:name="_Toc184312077"/>
      <w:bookmarkEnd w:id="250"/>
      <w:bookmarkStart w:id="251" w:name="_Toc184314444"/>
      <w:bookmarkEnd w:id="251"/>
      <w:bookmarkStart w:id="252" w:name="_Toc184314410"/>
      <w:bookmarkEnd w:id="252"/>
      <w:bookmarkStart w:id="253" w:name="_Toc184308072"/>
      <w:bookmarkEnd w:id="253"/>
      <w:bookmarkStart w:id="254" w:name="_Toc184313275"/>
      <w:bookmarkEnd w:id="254"/>
      <w:bookmarkStart w:id="255" w:name="_Toc184312111"/>
      <w:bookmarkEnd w:id="255"/>
      <w:bookmarkStart w:id="256" w:name="_Toc184308097"/>
      <w:bookmarkEnd w:id="256"/>
      <w:bookmarkStart w:id="257" w:name="_Toc184312107"/>
      <w:bookmarkEnd w:id="257"/>
      <w:bookmarkStart w:id="258" w:name="_Toc184313301"/>
      <w:bookmarkEnd w:id="258"/>
      <w:bookmarkStart w:id="259" w:name="_Toc184312084"/>
      <w:bookmarkEnd w:id="259"/>
      <w:bookmarkStart w:id="260" w:name="_Toc184312067"/>
      <w:bookmarkEnd w:id="260"/>
      <w:bookmarkStart w:id="261" w:name="_Toc184314434"/>
      <w:bookmarkEnd w:id="261"/>
      <w:bookmarkStart w:id="262" w:name="_Toc184312071"/>
      <w:bookmarkEnd w:id="262"/>
      <w:bookmarkStart w:id="263" w:name="_Toc184314450"/>
      <w:bookmarkEnd w:id="263"/>
      <w:bookmarkStart w:id="264" w:name="_Toc184313245"/>
      <w:bookmarkEnd w:id="264"/>
      <w:bookmarkStart w:id="265" w:name="_Toc184308043"/>
      <w:bookmarkEnd w:id="265"/>
      <w:bookmarkStart w:id="266" w:name="_Toc184314414"/>
      <w:bookmarkEnd w:id="266"/>
      <w:bookmarkStart w:id="267" w:name="_Toc184313265"/>
      <w:bookmarkEnd w:id="267"/>
      <w:bookmarkStart w:id="268" w:name="_Toc184310316"/>
      <w:bookmarkEnd w:id="268"/>
      <w:bookmarkStart w:id="269" w:name="_Toc184313273"/>
      <w:bookmarkEnd w:id="269"/>
      <w:bookmarkStart w:id="270" w:name="_Toc184310315"/>
      <w:bookmarkEnd w:id="270"/>
      <w:bookmarkStart w:id="271" w:name="_Toc184314439"/>
      <w:bookmarkEnd w:id="271"/>
      <w:bookmarkStart w:id="272" w:name="_Toc184312088"/>
      <w:bookmarkEnd w:id="272"/>
      <w:bookmarkStart w:id="273" w:name="_Toc184312125"/>
      <w:bookmarkEnd w:id="273"/>
      <w:bookmarkStart w:id="274" w:name="_Toc184313262"/>
      <w:bookmarkEnd w:id="274"/>
      <w:bookmarkStart w:id="275" w:name="_Toc184314413"/>
      <w:bookmarkEnd w:id="275"/>
      <w:bookmarkStart w:id="276" w:name="_Toc184313296"/>
      <w:bookmarkEnd w:id="276"/>
      <w:bookmarkStart w:id="277" w:name="_Toc184313270"/>
      <w:bookmarkEnd w:id="277"/>
      <w:bookmarkStart w:id="278" w:name="_Toc184308048"/>
      <w:bookmarkEnd w:id="278"/>
      <w:bookmarkStart w:id="279" w:name="_Toc184310310"/>
      <w:bookmarkEnd w:id="279"/>
      <w:bookmarkStart w:id="280" w:name="_Toc184314442"/>
      <w:bookmarkEnd w:id="280"/>
      <w:bookmarkStart w:id="281" w:name="_Toc184310278"/>
      <w:bookmarkEnd w:id="281"/>
      <w:bookmarkStart w:id="282" w:name="_Toc184314412"/>
      <w:bookmarkEnd w:id="282"/>
      <w:bookmarkStart w:id="283" w:name="_Toc184312093"/>
      <w:bookmarkEnd w:id="283"/>
      <w:bookmarkStart w:id="284" w:name="_Toc184308102"/>
      <w:bookmarkEnd w:id="284"/>
      <w:bookmarkStart w:id="285" w:name="_Toc184314426"/>
      <w:bookmarkEnd w:id="285"/>
      <w:bookmarkStart w:id="286" w:name="_Toc184314436"/>
      <w:bookmarkEnd w:id="286"/>
      <w:bookmarkStart w:id="287" w:name="_Toc184312116"/>
      <w:bookmarkEnd w:id="287"/>
      <w:bookmarkStart w:id="288" w:name="_Toc184313264"/>
      <w:bookmarkEnd w:id="288"/>
      <w:bookmarkStart w:id="289" w:name="_Toc184314462"/>
      <w:bookmarkEnd w:id="289"/>
      <w:bookmarkStart w:id="290" w:name="_Toc184313276"/>
      <w:bookmarkEnd w:id="290"/>
      <w:bookmarkStart w:id="291" w:name="_Toc184310326"/>
      <w:bookmarkEnd w:id="291"/>
      <w:bookmarkStart w:id="292" w:name="_Toc184313306"/>
      <w:bookmarkEnd w:id="292"/>
      <w:bookmarkStart w:id="293" w:name="_Toc184312109"/>
      <w:bookmarkEnd w:id="293"/>
      <w:bookmarkStart w:id="294" w:name="_Toc184308042"/>
      <w:bookmarkEnd w:id="294"/>
      <w:bookmarkStart w:id="295" w:name="_Toc184312104"/>
      <w:bookmarkEnd w:id="295"/>
      <w:bookmarkStart w:id="296" w:name="_Toc184314415"/>
      <w:bookmarkEnd w:id="296"/>
      <w:bookmarkStart w:id="297" w:name="_Toc184312087"/>
      <w:bookmarkEnd w:id="297"/>
      <w:bookmarkStart w:id="298" w:name="_Toc184310337"/>
      <w:bookmarkEnd w:id="298"/>
      <w:bookmarkStart w:id="299" w:name="_Toc184312129"/>
      <w:bookmarkEnd w:id="299"/>
      <w:bookmarkStart w:id="300" w:name="_Toc184314418"/>
      <w:bookmarkEnd w:id="300"/>
      <w:bookmarkStart w:id="301" w:name="_Toc184308106"/>
      <w:bookmarkEnd w:id="301"/>
      <w:bookmarkStart w:id="302" w:name="_Toc184308038"/>
      <w:bookmarkEnd w:id="302"/>
      <w:bookmarkStart w:id="303" w:name="_Toc184310292"/>
      <w:bookmarkEnd w:id="303"/>
      <w:bookmarkStart w:id="304" w:name="_Toc184310291"/>
      <w:bookmarkEnd w:id="304"/>
      <w:bookmarkStart w:id="305" w:name="_Toc184310297"/>
      <w:bookmarkEnd w:id="305"/>
      <w:bookmarkStart w:id="306" w:name="_Toc184313253"/>
      <w:bookmarkEnd w:id="306"/>
      <w:bookmarkStart w:id="307" w:name="_Toc184310306"/>
      <w:bookmarkEnd w:id="307"/>
      <w:bookmarkStart w:id="308" w:name="_Toc184314431"/>
      <w:bookmarkEnd w:id="308"/>
      <w:bookmarkStart w:id="309" w:name="_Toc184310295"/>
      <w:bookmarkEnd w:id="309"/>
      <w:bookmarkStart w:id="310" w:name="_Toc184313294"/>
      <w:bookmarkEnd w:id="310"/>
      <w:bookmarkStart w:id="311" w:name="_Toc184314433"/>
      <w:bookmarkEnd w:id="311"/>
      <w:bookmarkStart w:id="312" w:name="_Toc184312105"/>
      <w:bookmarkEnd w:id="312"/>
      <w:bookmarkStart w:id="313" w:name="_Toc184312131"/>
      <w:bookmarkEnd w:id="313"/>
      <w:bookmarkStart w:id="314" w:name="_Toc184313300"/>
      <w:bookmarkEnd w:id="314"/>
      <w:bookmarkStart w:id="315" w:name="_Toc184308059"/>
      <w:bookmarkEnd w:id="315"/>
      <w:bookmarkStart w:id="316" w:name="_Toc184310287"/>
      <w:bookmarkEnd w:id="316"/>
      <w:bookmarkStart w:id="317" w:name="_Toc184314451"/>
      <w:bookmarkEnd w:id="317"/>
      <w:bookmarkStart w:id="318" w:name="_Toc184313292"/>
      <w:bookmarkEnd w:id="318"/>
      <w:bookmarkStart w:id="319" w:name="_Toc184314461"/>
      <w:bookmarkEnd w:id="319"/>
      <w:bookmarkStart w:id="320" w:name="_Toc184312134"/>
      <w:bookmarkEnd w:id="320"/>
      <w:bookmarkStart w:id="321" w:name="_Toc184308104"/>
      <w:bookmarkEnd w:id="321"/>
      <w:bookmarkStart w:id="322" w:name="_Toc184312074"/>
      <w:bookmarkEnd w:id="322"/>
      <w:bookmarkStart w:id="323" w:name="_Toc184308100"/>
      <w:bookmarkEnd w:id="323"/>
      <w:bookmarkStart w:id="324" w:name="_Toc184314428"/>
      <w:bookmarkEnd w:id="324"/>
      <w:bookmarkStart w:id="325" w:name="_Toc184314440"/>
      <w:bookmarkEnd w:id="325"/>
      <w:bookmarkStart w:id="326" w:name="_Toc184312121"/>
      <w:bookmarkEnd w:id="326"/>
      <w:bookmarkStart w:id="327" w:name="_Toc184310319"/>
      <w:bookmarkEnd w:id="327"/>
      <w:bookmarkStart w:id="328" w:name="_Toc184308095"/>
      <w:bookmarkEnd w:id="328"/>
      <w:bookmarkStart w:id="329" w:name="_Toc184308079"/>
      <w:bookmarkEnd w:id="329"/>
      <w:bookmarkStart w:id="330" w:name="_Toc184313308"/>
      <w:bookmarkEnd w:id="330"/>
      <w:bookmarkStart w:id="331" w:name="_Toc184308075"/>
      <w:bookmarkEnd w:id="331"/>
      <w:bookmarkStart w:id="332" w:name="_Toc184314427"/>
      <w:bookmarkEnd w:id="332"/>
      <w:bookmarkStart w:id="333" w:name="_Toc184312130"/>
      <w:bookmarkEnd w:id="333"/>
      <w:bookmarkStart w:id="334" w:name="_Toc184310322"/>
      <w:bookmarkEnd w:id="334"/>
      <w:bookmarkStart w:id="335" w:name="_Toc184314416"/>
      <w:bookmarkEnd w:id="335"/>
      <w:bookmarkStart w:id="336" w:name="_Toc184312100"/>
      <w:bookmarkEnd w:id="336"/>
      <w:bookmarkStart w:id="337" w:name="_Toc184312101"/>
      <w:bookmarkEnd w:id="337"/>
      <w:bookmarkStart w:id="338" w:name="_Toc184312092"/>
      <w:bookmarkEnd w:id="338"/>
      <w:bookmarkStart w:id="339" w:name="_Toc184314464"/>
      <w:bookmarkEnd w:id="339"/>
      <w:bookmarkStart w:id="340" w:name="_Toc184308094"/>
      <w:bookmarkEnd w:id="340"/>
      <w:bookmarkStart w:id="341" w:name="_Toc184312080"/>
      <w:bookmarkEnd w:id="341"/>
      <w:bookmarkStart w:id="342" w:name="_Toc184314438"/>
      <w:bookmarkEnd w:id="342"/>
      <w:bookmarkStart w:id="343" w:name="_Toc184313248"/>
      <w:bookmarkEnd w:id="343"/>
      <w:bookmarkStart w:id="344" w:name="_Toc184312128"/>
      <w:bookmarkEnd w:id="344"/>
      <w:bookmarkStart w:id="345" w:name="_Toc184310289"/>
      <w:bookmarkEnd w:id="345"/>
      <w:bookmarkStart w:id="346" w:name="_Toc184308064"/>
      <w:bookmarkEnd w:id="346"/>
      <w:bookmarkStart w:id="347" w:name="_Toc184313282"/>
      <w:bookmarkEnd w:id="347"/>
      <w:bookmarkStart w:id="348" w:name="_Toc184312089"/>
      <w:bookmarkEnd w:id="348"/>
      <w:bookmarkStart w:id="349" w:name="_Toc184308085"/>
      <w:bookmarkEnd w:id="349"/>
      <w:bookmarkStart w:id="350" w:name="_Toc184310323"/>
      <w:bookmarkEnd w:id="350"/>
      <w:bookmarkStart w:id="351" w:name="_Toc184314460"/>
      <w:bookmarkEnd w:id="351"/>
      <w:bookmarkStart w:id="352" w:name="_Toc184314422"/>
      <w:bookmarkEnd w:id="352"/>
      <w:bookmarkStart w:id="353" w:name="_Toc184314472"/>
      <w:bookmarkEnd w:id="353"/>
      <w:bookmarkStart w:id="354" w:name="_Toc184314425"/>
      <w:bookmarkEnd w:id="354"/>
      <w:bookmarkStart w:id="355" w:name="_Toc184313269"/>
      <w:bookmarkEnd w:id="355"/>
      <w:bookmarkStart w:id="356" w:name="_Toc184310341"/>
      <w:bookmarkEnd w:id="356"/>
      <w:bookmarkStart w:id="357" w:name="_Toc184308071"/>
      <w:bookmarkEnd w:id="357"/>
      <w:bookmarkStart w:id="358" w:name="_Toc184308053"/>
      <w:bookmarkEnd w:id="358"/>
      <w:bookmarkStart w:id="359" w:name="_Toc184308047"/>
      <w:bookmarkEnd w:id="359"/>
      <w:bookmarkStart w:id="360" w:name="_Toc184310285"/>
      <w:bookmarkEnd w:id="360"/>
      <w:bookmarkStart w:id="361" w:name="_Toc184310344"/>
      <w:bookmarkEnd w:id="361"/>
      <w:bookmarkStart w:id="362" w:name="_Toc184310282"/>
      <w:bookmarkEnd w:id="362"/>
      <w:bookmarkStart w:id="363" w:name="_Toc184313243"/>
      <w:bookmarkEnd w:id="363"/>
      <w:bookmarkStart w:id="364" w:name="_Toc184308088"/>
      <w:bookmarkEnd w:id="364"/>
      <w:bookmarkStart w:id="365" w:name="_Toc184310272"/>
      <w:bookmarkEnd w:id="365"/>
      <w:bookmarkStart w:id="366" w:name="_Toc184308087"/>
      <w:bookmarkEnd w:id="366"/>
      <w:bookmarkStart w:id="367" w:name="_Toc184312086"/>
      <w:bookmarkEnd w:id="367"/>
      <w:bookmarkStart w:id="368" w:name="_Toc184308077"/>
      <w:bookmarkEnd w:id="368"/>
      <w:bookmarkStart w:id="369" w:name="_Toc184310314"/>
      <w:bookmarkEnd w:id="369"/>
      <w:bookmarkStart w:id="370" w:name="_Toc184308099"/>
      <w:bookmarkEnd w:id="370"/>
      <w:bookmarkStart w:id="371" w:name="_Toc184312069"/>
      <w:bookmarkEnd w:id="371"/>
      <w:bookmarkStart w:id="372" w:name="_Toc184308039"/>
      <w:bookmarkEnd w:id="372"/>
      <w:bookmarkStart w:id="373" w:name="_Toc184314455"/>
      <w:bookmarkEnd w:id="373"/>
      <w:bookmarkStart w:id="374" w:name="_Toc184310301"/>
      <w:bookmarkEnd w:id="374"/>
      <w:bookmarkStart w:id="375" w:name="_Toc184313246"/>
      <w:bookmarkEnd w:id="375"/>
      <w:bookmarkStart w:id="376" w:name="_Toc184308058"/>
      <w:bookmarkEnd w:id="376"/>
      <w:bookmarkStart w:id="377" w:name="_Toc184310277"/>
      <w:bookmarkEnd w:id="377"/>
      <w:bookmarkStart w:id="378" w:name="_Toc184313254"/>
      <w:bookmarkEnd w:id="378"/>
      <w:bookmarkStart w:id="379" w:name="_Toc184313242"/>
      <w:bookmarkEnd w:id="379"/>
      <w:bookmarkStart w:id="380" w:name="_Toc184310303"/>
      <w:bookmarkEnd w:id="380"/>
      <w:bookmarkStart w:id="381" w:name="_Toc184314449"/>
      <w:bookmarkEnd w:id="381"/>
      <w:bookmarkStart w:id="382" w:name="_Toc184308067"/>
      <w:bookmarkEnd w:id="382"/>
      <w:bookmarkStart w:id="383" w:name="_Toc184308080"/>
      <w:bookmarkEnd w:id="383"/>
      <w:bookmarkStart w:id="384" w:name="_Toc184308098"/>
      <w:bookmarkEnd w:id="384"/>
      <w:bookmarkStart w:id="385" w:name="_Toc184313249"/>
      <w:bookmarkEnd w:id="385"/>
      <w:bookmarkStart w:id="386" w:name="_Toc184310299"/>
      <w:bookmarkEnd w:id="386"/>
      <w:bookmarkStart w:id="387" w:name="_Toc184313289"/>
      <w:bookmarkEnd w:id="387"/>
      <w:bookmarkStart w:id="388" w:name="_Toc184313260"/>
      <w:bookmarkEnd w:id="388"/>
      <w:bookmarkStart w:id="389" w:name="_Toc184313241"/>
      <w:bookmarkEnd w:id="389"/>
      <w:bookmarkStart w:id="390" w:name="_Toc184314457"/>
      <w:bookmarkEnd w:id="390"/>
      <w:bookmarkStart w:id="391" w:name="_Toc184313258"/>
      <w:bookmarkEnd w:id="391"/>
      <w:bookmarkStart w:id="392" w:name="_Toc184312082"/>
      <w:bookmarkEnd w:id="392"/>
      <w:bookmarkStart w:id="393" w:name="_Toc184313304"/>
      <w:bookmarkEnd w:id="393"/>
      <w:bookmarkStart w:id="394" w:name="_Toc184310298"/>
      <w:bookmarkEnd w:id="394"/>
      <w:bookmarkStart w:id="395" w:name="_Toc184308096"/>
      <w:bookmarkEnd w:id="395"/>
      <w:bookmarkStart w:id="396" w:name="_Toc184310290"/>
      <w:bookmarkEnd w:id="396"/>
      <w:bookmarkStart w:id="397" w:name="_Toc184308103"/>
      <w:bookmarkEnd w:id="397"/>
      <w:bookmarkStart w:id="398" w:name="_Toc184314473"/>
      <w:bookmarkEnd w:id="398"/>
      <w:bookmarkStart w:id="399" w:name="_Toc184312133"/>
      <w:bookmarkEnd w:id="399"/>
      <w:bookmarkStart w:id="400" w:name="_Toc184308049"/>
      <w:bookmarkEnd w:id="400"/>
      <w:bookmarkStart w:id="401" w:name="_Toc184313303"/>
      <w:bookmarkEnd w:id="401"/>
      <w:bookmarkStart w:id="402" w:name="_Toc184314420"/>
      <w:bookmarkEnd w:id="402"/>
      <w:bookmarkStart w:id="403" w:name="_Toc184313267"/>
      <w:bookmarkEnd w:id="403"/>
      <w:bookmarkStart w:id="404" w:name="_Toc184308091"/>
      <w:bookmarkEnd w:id="404"/>
      <w:bookmarkStart w:id="405" w:name="_Toc184310280"/>
      <w:bookmarkEnd w:id="405"/>
      <w:bookmarkStart w:id="406" w:name="_Toc184308090"/>
      <w:bookmarkEnd w:id="406"/>
      <w:bookmarkStart w:id="407" w:name="_Toc184310340"/>
      <w:bookmarkEnd w:id="407"/>
      <w:bookmarkStart w:id="408" w:name="_Toc184312117"/>
      <w:bookmarkEnd w:id="408"/>
      <w:bookmarkStart w:id="409" w:name="_Toc184308101"/>
      <w:bookmarkEnd w:id="409"/>
      <w:bookmarkStart w:id="410" w:name="_Toc184314453"/>
      <w:bookmarkEnd w:id="410"/>
      <w:bookmarkStart w:id="411" w:name="_Toc184310307"/>
      <w:bookmarkEnd w:id="411"/>
      <w:bookmarkStart w:id="412" w:name="_Toc184312068"/>
      <w:bookmarkEnd w:id="412"/>
      <w:bookmarkStart w:id="413" w:name="_Toc184308040"/>
      <w:bookmarkEnd w:id="413"/>
      <w:bookmarkStart w:id="414" w:name="_Toc184314481"/>
      <w:bookmarkEnd w:id="414"/>
      <w:bookmarkStart w:id="415" w:name="_Toc184312122"/>
      <w:bookmarkEnd w:id="415"/>
      <w:bookmarkStart w:id="416" w:name="_Toc184312090"/>
      <w:bookmarkEnd w:id="416"/>
      <w:bookmarkStart w:id="417" w:name="_Toc184310293"/>
      <w:bookmarkEnd w:id="417"/>
      <w:bookmarkStart w:id="418" w:name="_Toc184312083"/>
      <w:bookmarkEnd w:id="418"/>
      <w:bookmarkStart w:id="419" w:name="_Toc184310331"/>
      <w:bookmarkEnd w:id="419"/>
      <w:bookmarkStart w:id="420" w:name="_Toc184314417"/>
      <w:bookmarkEnd w:id="420"/>
      <w:bookmarkStart w:id="421" w:name="_Toc184310294"/>
      <w:bookmarkEnd w:id="421"/>
      <w:bookmarkStart w:id="422" w:name="_Toc184313290"/>
      <w:bookmarkEnd w:id="422"/>
      <w:bookmarkStart w:id="423" w:name="_Toc184313298"/>
      <w:bookmarkEnd w:id="423"/>
      <w:bookmarkStart w:id="424" w:name="_Toc184308083"/>
      <w:bookmarkEnd w:id="424"/>
      <w:bookmarkStart w:id="425" w:name="_Toc184308055"/>
      <w:bookmarkEnd w:id="425"/>
      <w:bookmarkStart w:id="426" w:name="_Toc184308052"/>
      <w:bookmarkEnd w:id="426"/>
      <w:bookmarkStart w:id="427" w:name="_Toc184313286"/>
      <w:bookmarkEnd w:id="427"/>
      <w:bookmarkStart w:id="428" w:name="_Toc184314446"/>
      <w:bookmarkEnd w:id="428"/>
      <w:bookmarkStart w:id="429" w:name="_Toc184312094"/>
      <w:bookmarkEnd w:id="429"/>
      <w:bookmarkStart w:id="430" w:name="_Toc184312115"/>
      <w:bookmarkEnd w:id="430"/>
      <w:bookmarkStart w:id="431" w:name="_Toc184314430"/>
      <w:bookmarkEnd w:id="431"/>
      <w:bookmarkStart w:id="432" w:name="_Toc184312113"/>
      <w:bookmarkEnd w:id="432"/>
      <w:bookmarkStart w:id="433" w:name="_Toc184310330"/>
      <w:bookmarkEnd w:id="433"/>
      <w:bookmarkStart w:id="434" w:name="_Toc184308068"/>
      <w:bookmarkEnd w:id="434"/>
      <w:bookmarkStart w:id="435" w:name="_Toc184310274"/>
      <w:bookmarkEnd w:id="435"/>
      <w:bookmarkStart w:id="436" w:name="_Toc184313299"/>
      <w:bookmarkEnd w:id="436"/>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015"/>
        <w:gridCol w:w="1066"/>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序号</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评标标准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权重</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投标文件中评标标准相应的商务技术资料目录</w:t>
            </w:r>
            <w:r>
              <w:rPr>
                <w:rFonts w:hint="eastAsia" w:ascii="宋体" w:hAnsi="宋体" w:cs="宋体"/>
                <w:bCs/>
                <w:color w:val="auto"/>
                <w:szCs w:val="21"/>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1</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pStyle w:val="234"/>
              <w:keepNext w:val="0"/>
              <w:keepLines w:val="0"/>
              <w:pageBreakBefore w:val="0"/>
              <w:kinsoku/>
              <w:wordWrap/>
              <w:overflowPunct/>
              <w:topLinePunct w:val="0"/>
              <w:bidi w:val="0"/>
              <w:adjustRightInd w:val="0"/>
              <w:spacing w:line="288" w:lineRule="auto"/>
              <w:rPr>
                <w:rFonts w:hint="eastAsia" w:ascii="宋体" w:hAnsi="宋体" w:cs="宋体"/>
                <w:bCs/>
                <w:color w:val="auto"/>
                <w:szCs w:val="21"/>
                <w:highlight w:val="none"/>
              </w:rPr>
            </w:pPr>
            <w:r>
              <w:rPr>
                <w:rFonts w:hint="eastAsia" w:ascii="宋体" w:hAnsi="宋体" w:eastAsia="宋体" w:cs="Times New Roman"/>
                <w:color w:val="auto"/>
                <w:sz w:val="21"/>
                <w:szCs w:val="21"/>
                <w:highlight w:val="none"/>
              </w:rPr>
              <w:t>投标人或所投产品生产商具有有效的质量管理体系认证证书、环境管理体系认证证书、职业健康安全管理体系认证证书，每提供一个得1分，最高得3分。</w:t>
            </w:r>
            <w:r>
              <w:rPr>
                <w:rFonts w:hint="eastAsia" w:ascii="宋体" w:hAnsi="宋体" w:eastAsia="宋体" w:cs="宋体"/>
                <w:b/>
                <w:bCs/>
                <w:color w:val="auto"/>
                <w:sz w:val="20"/>
                <w:szCs w:val="20"/>
                <w:highlight w:val="none"/>
              </w:rPr>
              <w:t>（提供</w:t>
            </w:r>
            <w:r>
              <w:rPr>
                <w:rFonts w:hint="eastAsia" w:ascii="宋体" w:hAnsi="宋体" w:eastAsia="宋体" w:cs="宋体"/>
                <w:b/>
                <w:bCs/>
                <w:color w:val="auto"/>
                <w:sz w:val="20"/>
                <w:szCs w:val="20"/>
                <w:highlight w:val="none"/>
                <w:lang w:val="en-US" w:eastAsia="zh-CN"/>
              </w:rPr>
              <w:t>相关</w:t>
            </w:r>
            <w:r>
              <w:rPr>
                <w:rFonts w:hint="eastAsia" w:ascii="宋体" w:hAnsi="宋体" w:eastAsia="宋体" w:cs="宋体"/>
                <w:b/>
                <w:bCs/>
                <w:color w:val="auto"/>
                <w:sz w:val="20"/>
                <w:szCs w:val="20"/>
                <w:highlight w:val="none"/>
              </w:rPr>
              <w:t>证书</w:t>
            </w:r>
            <w:r>
              <w:rPr>
                <w:rFonts w:hint="eastAsia" w:ascii="宋体" w:hAnsi="宋体" w:eastAsia="宋体" w:cs="宋体"/>
                <w:b/>
                <w:bCs/>
                <w:color w:val="auto"/>
                <w:sz w:val="20"/>
                <w:szCs w:val="20"/>
                <w:highlight w:val="none"/>
                <w:lang w:val="en-US" w:eastAsia="zh-CN"/>
              </w:rPr>
              <w:t>扫描件</w:t>
            </w:r>
            <w:r>
              <w:rPr>
                <w:rFonts w:hint="eastAsia" w:ascii="宋体" w:hAnsi="宋体" w:eastAsia="宋体" w:cs="宋体"/>
                <w:b/>
                <w:bCs/>
                <w:color w:val="auto"/>
                <w:sz w:val="20"/>
                <w:szCs w:val="20"/>
                <w:highlight w:val="none"/>
                <w:lang w:eastAsia="zh-CN"/>
              </w:rPr>
              <w:t>，</w:t>
            </w:r>
            <w:r>
              <w:rPr>
                <w:rFonts w:hint="eastAsia" w:ascii="宋体" w:hAnsi="宋体" w:eastAsia="宋体" w:cs="宋体"/>
                <w:b/>
                <w:bCs/>
                <w:color w:val="auto"/>
                <w:sz w:val="20"/>
                <w:szCs w:val="20"/>
                <w:highlight w:val="none"/>
              </w:rPr>
              <w:t>由</w:t>
            </w:r>
            <w:r>
              <w:rPr>
                <w:rFonts w:hint="eastAsia" w:ascii="宋体" w:hAnsi="宋体" w:eastAsia="宋体" w:cs="宋体"/>
                <w:b/>
                <w:bCs/>
                <w:color w:val="auto"/>
                <w:sz w:val="20"/>
                <w:szCs w:val="20"/>
                <w:highlight w:val="none"/>
                <w:lang w:val="en-US" w:eastAsia="zh-CN"/>
              </w:rPr>
              <w:t>评标委员会在国家认监委网站</w:t>
            </w:r>
            <w:r>
              <w:rPr>
                <w:rFonts w:hint="eastAsia" w:ascii="宋体" w:hAnsi="宋体" w:eastAsia="宋体" w:cs="宋体"/>
                <w:b/>
                <w:bCs/>
                <w:color w:val="auto"/>
                <w:sz w:val="20"/>
                <w:szCs w:val="20"/>
                <w:highlight w:val="none"/>
              </w:rPr>
              <w:t>（www.cnca.gov.cn）查询</w:t>
            </w:r>
            <w:r>
              <w:rPr>
                <w:rFonts w:hint="eastAsia" w:ascii="宋体" w:hAnsi="宋体" w:eastAsia="宋体" w:cs="宋体"/>
                <w:b/>
                <w:bCs/>
                <w:color w:val="auto"/>
                <w:sz w:val="20"/>
                <w:szCs w:val="20"/>
                <w:highlight w:val="none"/>
                <w:lang w:val="en-US" w:eastAsia="zh-CN"/>
              </w:rPr>
              <w:t>，未在该网站上查询到的或</w:t>
            </w:r>
            <w:r>
              <w:rPr>
                <w:rFonts w:hint="eastAsia" w:ascii="宋体" w:hAnsi="宋体" w:eastAsia="宋体" w:cs="宋体"/>
                <w:b/>
                <w:bCs/>
                <w:color w:val="auto"/>
                <w:sz w:val="20"/>
                <w:szCs w:val="20"/>
                <w:highlight w:val="none"/>
              </w:rPr>
              <w:t>未提供</w:t>
            </w:r>
            <w:r>
              <w:rPr>
                <w:rFonts w:hint="eastAsia" w:ascii="宋体" w:hAnsi="宋体" w:eastAsia="宋体" w:cs="宋体"/>
                <w:b/>
                <w:bCs/>
                <w:color w:val="auto"/>
                <w:sz w:val="20"/>
                <w:szCs w:val="20"/>
                <w:highlight w:val="none"/>
                <w:lang w:val="en-US" w:eastAsia="zh-CN"/>
              </w:rPr>
              <w:t>的</w:t>
            </w:r>
            <w:r>
              <w:rPr>
                <w:rFonts w:hint="eastAsia" w:ascii="宋体" w:hAnsi="宋体" w:eastAsia="宋体" w:cs="宋体"/>
                <w:b/>
                <w:bCs/>
                <w:color w:val="auto"/>
                <w:sz w:val="20"/>
                <w:szCs w:val="20"/>
                <w:highlight w:val="none"/>
              </w:rPr>
              <w:t>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0-3分（客观）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288" w:lineRule="auto"/>
              <w:jc w:val="center"/>
              <w:rPr>
                <w:rFonts w:hint="eastAsia" w:ascii="宋体" w:hAnsi="宋体" w:cs="宋体"/>
                <w:bCs/>
                <w:color w:val="auto"/>
                <w:szCs w:val="21"/>
                <w:highlight w:val="none"/>
              </w:rPr>
            </w:pPr>
            <w:r>
              <w:rPr>
                <w:rFonts w:hint="eastAsia" w:ascii="宋体" w:hAnsi="宋体"/>
                <w:color w:val="auto"/>
                <w:szCs w:val="21"/>
                <w:highlight w:val="none"/>
              </w:rPr>
              <w:t>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2</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rPr>
                <w:rFonts w:hint="eastAsia" w:ascii="宋体" w:hAnsi="宋体"/>
                <w:color w:val="auto"/>
                <w:kern w:val="0"/>
                <w:szCs w:val="21"/>
                <w:highlight w:val="none"/>
              </w:rPr>
            </w:pPr>
            <w:r>
              <w:rPr>
                <w:rFonts w:hint="eastAsia" w:ascii="宋体" w:hAnsi="宋体"/>
                <w:color w:val="auto"/>
                <w:kern w:val="0"/>
                <w:szCs w:val="21"/>
                <w:highlight w:val="none"/>
              </w:rPr>
              <w:t>投标人自202</w:t>
            </w: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年</w:t>
            </w: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月1日（以合同签订日期</w:t>
            </w:r>
            <w:r>
              <w:rPr>
                <w:rFonts w:hint="eastAsia" w:ascii="宋体" w:hAnsi="宋体"/>
                <w:color w:val="auto"/>
                <w:kern w:val="0"/>
                <w:szCs w:val="21"/>
                <w:highlight w:val="none"/>
                <w:lang w:eastAsia="zh-CN"/>
              </w:rPr>
              <w:t>或中标通知书发出之日</w:t>
            </w:r>
            <w:r>
              <w:rPr>
                <w:rFonts w:hint="eastAsia" w:ascii="宋体" w:hAnsi="宋体"/>
                <w:color w:val="auto"/>
                <w:kern w:val="0"/>
                <w:szCs w:val="21"/>
                <w:highlight w:val="none"/>
              </w:rPr>
              <w:t>为准）以来完成过的类似业绩,每个业绩1分，最高得3分。</w:t>
            </w:r>
          </w:p>
          <w:p>
            <w:pPr>
              <w:keepNext w:val="0"/>
              <w:keepLines w:val="0"/>
              <w:pageBreakBefore w:val="0"/>
              <w:widowControl/>
              <w:kinsoku/>
              <w:wordWrap/>
              <w:overflowPunct/>
              <w:topLinePunct w:val="0"/>
              <w:bidi w:val="0"/>
              <w:adjustRightInd w:val="0"/>
              <w:spacing w:line="288" w:lineRule="auto"/>
              <w:jc w:val="left"/>
              <w:rPr>
                <w:rFonts w:hint="eastAsia" w:ascii="宋体" w:hAnsi="宋体" w:eastAsia="宋体" w:cs="Times New Roman"/>
                <w:color w:val="auto"/>
                <w:sz w:val="21"/>
                <w:szCs w:val="21"/>
                <w:highlight w:val="none"/>
              </w:rPr>
            </w:pPr>
            <w:r>
              <w:rPr>
                <w:rFonts w:hint="eastAsia" w:ascii="宋体" w:hAnsi="宋体"/>
                <w:b/>
                <w:color w:val="auto"/>
                <w:kern w:val="0"/>
                <w:szCs w:val="21"/>
                <w:highlight w:val="none"/>
              </w:rPr>
              <w:t>（证明材料：</w:t>
            </w:r>
            <w:r>
              <w:rPr>
                <w:rFonts w:hint="eastAsia" w:ascii="宋体" w:hAnsi="宋体"/>
                <w:b/>
                <w:color w:val="auto"/>
                <w:kern w:val="0"/>
                <w:szCs w:val="21"/>
                <w:highlight w:val="none"/>
                <w:lang w:eastAsia="zh-CN"/>
              </w:rPr>
              <w:t>合同</w:t>
            </w:r>
            <w:r>
              <w:rPr>
                <w:rFonts w:hint="eastAsia" w:ascii="宋体" w:hAnsi="宋体"/>
                <w:b/>
                <w:color w:val="auto"/>
                <w:kern w:val="0"/>
                <w:szCs w:val="21"/>
                <w:highlight w:val="none"/>
              </w:rPr>
              <w:t>需同时提供合同、验收合格报告</w:t>
            </w:r>
            <w:r>
              <w:rPr>
                <w:rFonts w:hint="eastAsia" w:ascii="宋体" w:hAnsi="宋体"/>
                <w:b/>
                <w:color w:val="auto"/>
                <w:kern w:val="0"/>
                <w:szCs w:val="21"/>
                <w:highlight w:val="none"/>
                <w:lang w:eastAsia="zh-CN"/>
              </w:rPr>
              <w:t>扫描</w:t>
            </w:r>
            <w:r>
              <w:rPr>
                <w:rFonts w:hint="eastAsia" w:ascii="宋体" w:hAnsi="宋体"/>
                <w:b/>
                <w:color w:val="auto"/>
                <w:kern w:val="0"/>
                <w:szCs w:val="21"/>
                <w:highlight w:val="none"/>
              </w:rPr>
              <w:t>件并加盖</w:t>
            </w:r>
            <w:r>
              <w:rPr>
                <w:rFonts w:hint="eastAsia" w:ascii="宋体" w:hAnsi="宋体"/>
                <w:b/>
                <w:color w:val="auto"/>
                <w:kern w:val="0"/>
                <w:szCs w:val="21"/>
                <w:highlight w:val="none"/>
                <w:lang w:eastAsia="zh-CN"/>
              </w:rPr>
              <w:t>电子签章</w:t>
            </w:r>
            <w:r>
              <w:rPr>
                <w:rFonts w:hint="eastAsia" w:ascii="宋体" w:hAnsi="宋体"/>
                <w:b/>
                <w:color w:val="auto"/>
                <w:kern w:val="0"/>
                <w:szCs w:val="21"/>
                <w:highlight w:val="none"/>
              </w:rPr>
              <w:t>，</w:t>
            </w:r>
            <w:r>
              <w:rPr>
                <w:rFonts w:hint="eastAsia" w:ascii="宋体" w:hAnsi="宋体"/>
                <w:b/>
                <w:color w:val="auto"/>
                <w:kern w:val="0"/>
                <w:szCs w:val="21"/>
                <w:highlight w:val="none"/>
                <w:lang w:eastAsia="zh-CN"/>
              </w:rPr>
              <w:t>两</w:t>
            </w:r>
            <w:r>
              <w:rPr>
                <w:rFonts w:hint="eastAsia" w:ascii="宋体" w:hAnsi="宋体"/>
                <w:b/>
                <w:color w:val="auto"/>
                <w:kern w:val="0"/>
                <w:szCs w:val="21"/>
                <w:highlight w:val="none"/>
              </w:rPr>
              <w:t>者缺少一项不得分</w:t>
            </w:r>
            <w:r>
              <w:rPr>
                <w:rFonts w:hint="eastAsia" w:ascii="宋体" w:hAnsi="宋体"/>
                <w:b/>
                <w:color w:val="auto"/>
                <w:kern w:val="0"/>
                <w:szCs w:val="21"/>
                <w:highlight w:val="none"/>
                <w:lang w:eastAsia="zh-CN"/>
              </w:rPr>
              <w:t>；</w:t>
            </w:r>
            <w:r>
              <w:rPr>
                <w:rFonts w:hint="eastAsia" w:ascii="宋体" w:hAnsi="宋体"/>
                <w:color w:val="auto"/>
                <w:kern w:val="0"/>
                <w:szCs w:val="21"/>
                <w:highlight w:val="none"/>
                <w:lang w:eastAsia="zh-CN"/>
              </w:rPr>
              <w:t>中标通知书需提供中标通知书扫描件并加盖电子签章。</w:t>
            </w:r>
            <w:r>
              <w:rPr>
                <w:rFonts w:hint="eastAsia" w:ascii="宋体" w:hAnsi="宋体" w:cs="宋体"/>
                <w:b/>
                <w:color w:val="auto"/>
                <w:kern w:val="0"/>
                <w:szCs w:val="21"/>
                <w:highlight w:val="none"/>
              </w:rPr>
              <w:t>业绩不提供或提供不完整的不得分）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0-3分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olor w:val="auto"/>
                <w:szCs w:val="21"/>
                <w:highlight w:val="none"/>
              </w:rPr>
            </w:pPr>
            <w:r>
              <w:rPr>
                <w:rFonts w:hint="eastAsia" w:ascii="宋体" w:hAnsi="宋体" w:cs="宋体"/>
                <w:bCs/>
                <w:color w:val="auto"/>
                <w:szCs w:val="21"/>
                <w:highlight w:val="none"/>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3</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bidi w:val="0"/>
              <w:adjustRightInd w:val="0"/>
              <w:spacing w:line="288" w:lineRule="auto"/>
              <w:rPr>
                <w:rFonts w:hint="eastAsia" w:hAnsi="宋体" w:cs="宋体"/>
                <w:snapToGrid/>
                <w:color w:val="auto"/>
                <w:sz w:val="21"/>
                <w:highlight w:val="none"/>
                <w:lang w:val="en-US"/>
              </w:rPr>
            </w:pPr>
            <w:r>
              <w:rPr>
                <w:rFonts w:hint="eastAsia" w:hAnsi="宋体" w:cs="宋体"/>
                <w:snapToGrid/>
                <w:color w:val="auto"/>
                <w:sz w:val="21"/>
                <w:highlight w:val="none"/>
                <w:lang w:val="en-US"/>
              </w:rPr>
              <w:t>投标人所投产品除强制采购节能产品外有列入政府采购节能产品品目清单范围的优先采购节能产品的</w:t>
            </w:r>
            <w:r>
              <w:rPr>
                <w:rFonts w:hint="eastAsia" w:hAnsi="宋体" w:cs="宋体"/>
                <w:snapToGrid/>
                <w:color w:val="auto"/>
                <w:sz w:val="21"/>
                <w:highlight w:val="none"/>
                <w:lang w:val="en-US" w:eastAsia="zh-CN"/>
              </w:rPr>
              <w:t>（</w:t>
            </w:r>
            <w:r>
              <w:rPr>
                <w:rFonts w:hint="eastAsia" w:hAnsi="宋体" w:cs="宋体"/>
                <w:snapToGrid/>
                <w:color w:val="auto"/>
                <w:sz w:val="21"/>
                <w:highlight w:val="none"/>
                <w:lang w:val="en-US"/>
              </w:rPr>
              <w:t>即炊用燃气大锅灶（双眼大锅灶）、中餐燃气炒菜灶</w:t>
            </w:r>
            <w:r>
              <w:rPr>
                <w:rFonts w:hint="eastAsia" w:hAnsi="宋体" w:cs="宋体"/>
                <w:snapToGrid/>
                <w:color w:val="auto"/>
                <w:sz w:val="21"/>
                <w:highlight w:val="none"/>
                <w:lang w:val="en-US" w:eastAsia="zh-CN"/>
              </w:rPr>
              <w:t>（</w:t>
            </w:r>
            <w:r>
              <w:rPr>
                <w:rFonts w:hint="eastAsia" w:hAnsi="宋体" w:cs="宋体"/>
                <w:snapToGrid/>
                <w:color w:val="auto"/>
                <w:sz w:val="21"/>
                <w:highlight w:val="none"/>
                <w:lang w:val="en-US"/>
              </w:rPr>
              <w:t>两眼一汤炒灶</w:t>
            </w:r>
            <w:r>
              <w:rPr>
                <w:rFonts w:hint="eastAsia" w:hAnsi="宋体" w:cs="宋体"/>
                <w:snapToGrid/>
                <w:color w:val="auto"/>
                <w:sz w:val="21"/>
                <w:highlight w:val="none"/>
                <w:lang w:val="en-US" w:eastAsia="zh-CN"/>
              </w:rPr>
              <w:t>）</w:t>
            </w:r>
            <w:r>
              <w:rPr>
                <w:rFonts w:hint="eastAsia" w:hAnsi="宋体" w:cs="宋体"/>
                <w:snapToGrid/>
                <w:color w:val="auto"/>
                <w:sz w:val="21"/>
                <w:highlight w:val="none"/>
                <w:lang w:val="en-US"/>
              </w:rPr>
              <w:t>、商用物联智能双炒双尾广式灶、广式双门100KG燃气蒸饭箱、三门燃气蒸柜（配电磁阀）</w:t>
            </w:r>
            <w:r>
              <w:rPr>
                <w:rFonts w:hint="eastAsia" w:hAnsi="宋体" w:cs="宋体"/>
                <w:snapToGrid/>
                <w:color w:val="auto"/>
                <w:sz w:val="21"/>
                <w:highlight w:val="none"/>
                <w:lang w:val="en-US" w:eastAsia="zh-CN"/>
              </w:rPr>
              <w:t>）</w:t>
            </w:r>
            <w:r>
              <w:rPr>
                <w:rFonts w:hint="eastAsia" w:hAnsi="宋体" w:cs="宋体"/>
                <w:snapToGrid/>
                <w:color w:val="auto"/>
                <w:sz w:val="21"/>
                <w:highlight w:val="none"/>
                <w:lang w:val="en-US"/>
              </w:rPr>
              <w:t>，每提供一个得</w:t>
            </w:r>
            <w:r>
              <w:rPr>
                <w:rFonts w:hint="eastAsia" w:hAnsi="宋体" w:cs="宋体"/>
                <w:snapToGrid/>
                <w:color w:val="auto"/>
                <w:sz w:val="21"/>
                <w:highlight w:val="none"/>
                <w:lang w:val="en-US" w:eastAsia="zh-CN"/>
              </w:rPr>
              <w:t>0.5</w:t>
            </w:r>
            <w:r>
              <w:rPr>
                <w:rFonts w:hint="eastAsia" w:hAnsi="宋体" w:cs="宋体"/>
                <w:snapToGrid/>
                <w:color w:val="auto"/>
                <w:sz w:val="21"/>
                <w:highlight w:val="none"/>
                <w:lang w:val="en-US"/>
              </w:rPr>
              <w:t>分，最高得1分。</w:t>
            </w:r>
          </w:p>
          <w:p>
            <w:pPr>
              <w:pStyle w:val="25"/>
              <w:keepNext w:val="0"/>
              <w:keepLines w:val="0"/>
              <w:pageBreakBefore w:val="0"/>
              <w:kinsoku/>
              <w:wordWrap/>
              <w:overflowPunct/>
              <w:topLinePunct w:val="0"/>
              <w:bidi w:val="0"/>
              <w:adjustRightInd w:val="0"/>
              <w:spacing w:line="288" w:lineRule="auto"/>
              <w:rPr>
                <w:rFonts w:hint="eastAsia" w:ascii="宋体" w:hAnsi="宋体"/>
                <w:b/>
                <w:color w:val="auto"/>
                <w:kern w:val="0"/>
                <w:szCs w:val="21"/>
                <w:highlight w:val="none"/>
              </w:rPr>
            </w:pPr>
            <w:r>
              <w:rPr>
                <w:rFonts w:hint="eastAsia" w:hAnsi="宋体" w:cs="宋体"/>
                <w:b/>
                <w:snapToGrid/>
                <w:color w:val="auto"/>
                <w:sz w:val="21"/>
                <w:highlight w:val="none"/>
                <w:lang w:val="en-US"/>
              </w:rPr>
              <w:t>（证明材料：提供国家认可的第三方认证机构出具的处于有效期之内的节能产品认证证书，否则不得分）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0-1分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政府采购政策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4</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30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投标供应商所选用产品对采购需求的响应情况。</w:t>
            </w:r>
          </w:p>
          <w:p>
            <w:pPr>
              <w:keepNext w:val="0"/>
              <w:keepLines w:val="0"/>
              <w:pageBreakBefore w:val="0"/>
              <w:widowControl/>
              <w:suppressLineNumbers w:val="0"/>
              <w:kinsoku/>
              <w:wordWrap/>
              <w:overflowPunct/>
              <w:topLinePunct w:val="0"/>
              <w:autoSpaceDE/>
              <w:autoSpaceDN/>
              <w:bidi w:val="0"/>
              <w:adjustRightInd w:val="0"/>
              <w:snapToGrid/>
              <w:spacing w:line="30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核心产品（打★）中每个产品的技术要求存在负偏离的扣2分，非核心产品中每个产品的技术要求存在负偏离的扣1分，扣完为止。完全满足招标文件要求的得</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分。</w:t>
            </w:r>
          </w:p>
          <w:p>
            <w:pPr>
              <w:keepNext w:val="0"/>
              <w:keepLines w:val="0"/>
              <w:pageBreakBefore w:val="0"/>
              <w:widowControl/>
              <w:suppressLineNumbers w:val="0"/>
              <w:kinsoku/>
              <w:wordWrap/>
              <w:overflowPunct/>
              <w:topLinePunct w:val="0"/>
              <w:autoSpaceDE/>
              <w:autoSpaceDN/>
              <w:bidi w:val="0"/>
              <w:adjustRightInd w:val="0"/>
              <w:snapToGrid/>
              <w:spacing w:line="30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证明材料：有效的技术响应表（后附技术资料：如</w:t>
            </w:r>
            <w:r>
              <w:rPr>
                <w:rFonts w:hint="eastAsia" w:ascii="宋体" w:hAnsi="宋体" w:cs="宋体"/>
                <w:color w:val="auto"/>
                <w:szCs w:val="21"/>
                <w:highlight w:val="none"/>
                <w:lang w:eastAsia="zh-CN"/>
              </w:rPr>
              <w:t>相关证书、</w:t>
            </w:r>
            <w:r>
              <w:rPr>
                <w:rFonts w:hint="eastAsia" w:ascii="宋体" w:hAnsi="宋体" w:cs="宋体"/>
                <w:color w:val="auto"/>
                <w:szCs w:val="21"/>
                <w:highlight w:val="none"/>
              </w:rPr>
              <w:t>产品样本资料或技术说明书或官网上公开的技术参数可以体现参数响应情况的资料）。</w:t>
            </w:r>
          </w:p>
          <w:p>
            <w:pPr>
              <w:keepNext w:val="0"/>
              <w:keepLines w:val="0"/>
              <w:widowControl/>
              <w:suppressLineNumbers w:val="0"/>
              <w:jc w:val="left"/>
              <w:rPr>
                <w:rFonts w:hint="eastAsia" w:ascii="宋体" w:hAnsi="宋体" w:cs="宋体"/>
                <w:color w:val="auto"/>
                <w:szCs w:val="21"/>
                <w:highlight w:val="none"/>
              </w:rPr>
            </w:pPr>
            <w:r>
              <w:rPr>
                <w:rFonts w:hint="eastAsia" w:ascii="宋体" w:hAnsi="宋体" w:cs="宋体"/>
                <w:color w:val="auto"/>
                <w:szCs w:val="21"/>
                <w:highlight w:val="none"/>
              </w:rPr>
              <w:t>备注：（1）标注▲的实质性要求条款存在负偏离的视为未实质性响应采购要求，作无效标处理。（2）相同产品的条款不重复计算条数。</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2分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center"/>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投标产品的基本功能、技术指标与需求的满足情况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5</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rPr>
                <w:rFonts w:hint="eastAsia" w:ascii="宋体" w:hAnsi="宋体" w:cs="宋体"/>
                <w:bCs/>
                <w:color w:val="FF0000"/>
                <w:kern w:val="0"/>
                <w:szCs w:val="21"/>
                <w:highlight w:val="none"/>
              </w:rPr>
            </w:pPr>
            <w:r>
              <w:rPr>
                <w:rFonts w:hint="eastAsia" w:ascii="宋体" w:hAnsi="宋体" w:cs="宋体"/>
                <w:bCs/>
                <w:color w:val="FF0000"/>
                <w:kern w:val="0"/>
                <w:szCs w:val="21"/>
                <w:highlight w:val="none"/>
              </w:rPr>
              <w:t>投标人或所投产品制造商具有国家认可的第三方权威认证机构出具的不同厚度的不锈钢原材料（304不锈钢板材、304不锈钢管材）符合检测依据为GB/T10125-2021《人造气氛腐蚀试验盐雾试验》的检测报告，每提供一份检测报告得1.5分，最高得3分。</w:t>
            </w:r>
          </w:p>
          <w:p>
            <w:pPr>
              <w:keepNext w:val="0"/>
              <w:keepLines w:val="0"/>
              <w:pageBreakBefore w:val="0"/>
              <w:widowControl/>
              <w:kinsoku/>
              <w:wordWrap/>
              <w:overflowPunct/>
              <w:topLinePunct w:val="0"/>
              <w:bidi w:val="0"/>
              <w:adjustRightInd w:val="0"/>
              <w:spacing w:line="288" w:lineRule="auto"/>
              <w:jc w:val="left"/>
              <w:rPr>
                <w:rFonts w:hint="eastAsia" w:ascii="宋体" w:hAnsi="宋体" w:cs="宋体"/>
                <w:bCs/>
                <w:color w:val="auto"/>
                <w:kern w:val="0"/>
                <w:szCs w:val="21"/>
                <w:highlight w:val="none"/>
              </w:rPr>
            </w:pPr>
            <w:r>
              <w:rPr>
                <w:rFonts w:hint="eastAsia" w:ascii="宋体" w:hAnsi="宋体" w:cs="宋体"/>
                <w:b/>
                <w:bCs w:val="0"/>
                <w:color w:val="FF0000"/>
                <w:kern w:val="0"/>
                <w:szCs w:val="21"/>
                <w:highlight w:val="none"/>
              </w:rPr>
              <w:t>（证明材料：提供国家认可的第三方权威检测机构出具的检测报告）</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center"/>
              <w:textAlignment w:val="center"/>
              <w:rPr>
                <w:rFonts w:hint="eastAsia" w:ascii="宋体" w:hAnsi="宋体" w:cs="宋体"/>
                <w:bCs/>
                <w:color w:val="auto"/>
                <w:szCs w:val="21"/>
                <w:highlight w:val="none"/>
              </w:rPr>
            </w:pPr>
            <w:r>
              <w:rPr>
                <w:rFonts w:hint="eastAsia" w:ascii="宋体" w:hAnsi="宋体" w:cs="宋体"/>
                <w:bCs/>
                <w:color w:val="auto"/>
                <w:szCs w:val="21"/>
                <w:highlight w:val="none"/>
              </w:rPr>
              <w:t>产品质量保证情况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2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6</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根据各投标人设备进场前工序：水电点位现场测量及符合标准等情况打分（包括施工界面、分墙及水电图要求、具体实施要点、操作细则等）。</w:t>
            </w:r>
            <w:r>
              <w:rPr>
                <w:rFonts w:hint="eastAsia" w:ascii="宋体" w:hAnsi="宋体" w:cs="宋体"/>
                <w:color w:val="auto"/>
                <w:kern w:val="0"/>
                <w:szCs w:val="21"/>
                <w:highlight w:val="none"/>
              </w:rPr>
              <w:t>方案详细、合理、满足采购需求、承诺切实可行的得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分；方案可行、基本满足采购需求、承诺基本可行的得</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val="en-US" w:eastAsia="zh-CN"/>
              </w:rPr>
              <w:t>方案一般、部分满足的得1分；</w:t>
            </w:r>
            <w:r>
              <w:rPr>
                <w:rFonts w:hint="eastAsia" w:ascii="宋体" w:hAnsi="宋体" w:cs="宋体"/>
                <w:color w:val="auto"/>
                <w:kern w:val="0"/>
                <w:szCs w:val="21"/>
                <w:highlight w:val="none"/>
              </w:rPr>
              <w:t>不满足或不提供不得分。</w:t>
            </w:r>
            <w:r>
              <w:rPr>
                <w:rFonts w:hint="eastAsia" w:ascii="宋体" w:hAnsi="宋体" w:cs="宋体"/>
                <w:bCs/>
                <w:color w:val="auto"/>
                <w:kern w:val="0"/>
                <w:szCs w:val="21"/>
                <w:highlight w:val="none"/>
              </w:rPr>
              <w:t>最高得</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分。</w:t>
            </w:r>
          </w:p>
        </w:tc>
        <w:tc>
          <w:tcPr>
            <w:tcW w:w="1066"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color w:val="auto"/>
                <w:szCs w:val="21"/>
                <w:highlight w:val="none"/>
              </w:rPr>
              <w:t>设备进场前工序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25"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7</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rPr>
                <w:rFonts w:hint="eastAsia" w:ascii="宋体" w:hAnsi="宋体" w:cs="宋体"/>
                <w:color w:val="auto"/>
                <w:szCs w:val="21"/>
                <w:highlight w:val="none"/>
              </w:rPr>
            </w:pPr>
            <w:r>
              <w:rPr>
                <w:rFonts w:hint="eastAsia" w:ascii="宋体" w:hAnsi="宋体" w:cs="宋体"/>
                <w:color w:val="FF0000"/>
                <w:szCs w:val="21"/>
                <w:highlight w:val="none"/>
              </w:rPr>
              <w:t>根据流程方案：1）订单处理流程；2）工程现场复核流程；3）产品生产流程；4）工程进度跟踪确认单；5）售后服务管理流程。相关流程是否符合要求，合理可行。</w:t>
            </w:r>
            <w:r>
              <w:rPr>
                <w:rFonts w:hint="eastAsia" w:ascii="宋体" w:hAnsi="宋体" w:cs="宋体"/>
                <w:color w:val="FF0000"/>
                <w:kern w:val="0"/>
                <w:szCs w:val="21"/>
                <w:highlight w:val="none"/>
              </w:rPr>
              <w:t>方案详细、合理、满足采购需求、承诺切实可行的得</w:t>
            </w:r>
            <w:r>
              <w:rPr>
                <w:rFonts w:hint="eastAsia" w:ascii="宋体" w:hAnsi="宋体" w:cs="宋体"/>
                <w:color w:val="FF0000"/>
                <w:kern w:val="0"/>
                <w:szCs w:val="21"/>
                <w:highlight w:val="none"/>
                <w:lang w:val="en-US" w:eastAsia="zh-CN"/>
              </w:rPr>
              <w:t>4</w:t>
            </w:r>
            <w:r>
              <w:rPr>
                <w:rFonts w:hint="eastAsia" w:ascii="宋体" w:hAnsi="宋体" w:cs="宋体"/>
                <w:color w:val="FF0000"/>
                <w:kern w:val="0"/>
                <w:szCs w:val="21"/>
                <w:highlight w:val="none"/>
              </w:rPr>
              <w:t>分；方案可行、基本满足采购需求、承诺基本可行的得</w:t>
            </w:r>
            <w:r>
              <w:rPr>
                <w:rFonts w:hint="eastAsia" w:ascii="宋体" w:hAnsi="宋体" w:cs="宋体"/>
                <w:color w:val="FF0000"/>
                <w:kern w:val="0"/>
                <w:szCs w:val="21"/>
                <w:highlight w:val="none"/>
                <w:lang w:val="en-US" w:eastAsia="zh-CN"/>
              </w:rPr>
              <w:t>3</w:t>
            </w:r>
            <w:r>
              <w:rPr>
                <w:rFonts w:hint="eastAsia" w:ascii="宋体" w:hAnsi="宋体" w:cs="宋体"/>
                <w:color w:val="FF0000"/>
                <w:kern w:val="0"/>
                <w:szCs w:val="21"/>
                <w:highlight w:val="none"/>
              </w:rPr>
              <w:t>分；方案一般、部分满足的得</w:t>
            </w:r>
            <w:r>
              <w:rPr>
                <w:rFonts w:hint="eastAsia" w:ascii="宋体" w:hAnsi="宋体" w:cs="宋体"/>
                <w:color w:val="FF0000"/>
                <w:kern w:val="0"/>
                <w:szCs w:val="21"/>
                <w:highlight w:val="none"/>
                <w:lang w:val="en-US" w:eastAsia="zh-CN"/>
              </w:rPr>
              <w:t>2</w:t>
            </w:r>
            <w:r>
              <w:rPr>
                <w:rFonts w:hint="eastAsia" w:ascii="宋体" w:hAnsi="宋体" w:cs="宋体"/>
                <w:color w:val="FF0000"/>
                <w:kern w:val="0"/>
                <w:szCs w:val="21"/>
                <w:highlight w:val="none"/>
              </w:rPr>
              <w:t>分</w:t>
            </w:r>
            <w:r>
              <w:rPr>
                <w:rFonts w:hint="eastAsia" w:ascii="宋体" w:hAnsi="宋体" w:cs="宋体"/>
                <w:color w:val="FF0000"/>
                <w:kern w:val="0"/>
                <w:szCs w:val="21"/>
                <w:highlight w:val="none"/>
                <w:lang w:eastAsia="zh-CN"/>
              </w:rPr>
              <w:t>；方案欠缺较大，针对性较差得</w:t>
            </w:r>
            <w:r>
              <w:rPr>
                <w:rFonts w:hint="eastAsia" w:ascii="宋体" w:hAnsi="宋体" w:cs="宋体"/>
                <w:color w:val="FF0000"/>
                <w:kern w:val="0"/>
                <w:szCs w:val="21"/>
                <w:highlight w:val="none"/>
                <w:lang w:val="en-US" w:eastAsia="zh-CN"/>
              </w:rPr>
              <w:t>1分；</w:t>
            </w:r>
            <w:r>
              <w:rPr>
                <w:rFonts w:hint="eastAsia" w:ascii="宋体" w:hAnsi="宋体" w:cs="宋体"/>
                <w:color w:val="FF0000"/>
                <w:kern w:val="0"/>
                <w:szCs w:val="21"/>
                <w:highlight w:val="none"/>
              </w:rPr>
              <w:t>不满足或不提供不得分。</w:t>
            </w:r>
            <w:r>
              <w:rPr>
                <w:rFonts w:hint="eastAsia" w:ascii="宋体" w:hAnsi="宋体" w:cs="宋体"/>
                <w:bCs/>
                <w:color w:val="FF0000"/>
                <w:kern w:val="0"/>
                <w:szCs w:val="21"/>
                <w:highlight w:val="none"/>
              </w:rPr>
              <w:t>最高得</w:t>
            </w:r>
            <w:r>
              <w:rPr>
                <w:rFonts w:hint="eastAsia" w:ascii="宋体" w:hAnsi="宋体" w:cs="宋体"/>
                <w:bCs/>
                <w:color w:val="FF0000"/>
                <w:kern w:val="0"/>
                <w:szCs w:val="21"/>
                <w:highlight w:val="none"/>
                <w:lang w:val="en-US" w:eastAsia="zh-CN"/>
              </w:rPr>
              <w:t>4</w:t>
            </w:r>
            <w:r>
              <w:rPr>
                <w:rFonts w:hint="eastAsia" w:ascii="宋体" w:hAnsi="宋体" w:cs="宋体"/>
                <w:bCs/>
                <w:color w:val="FF0000"/>
                <w:kern w:val="0"/>
                <w:szCs w:val="21"/>
                <w:highlight w:val="none"/>
              </w:rPr>
              <w:t>分。</w:t>
            </w:r>
          </w:p>
        </w:tc>
        <w:tc>
          <w:tcPr>
            <w:tcW w:w="1066"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color w:val="auto"/>
                <w:szCs w:val="21"/>
                <w:highlight w:val="none"/>
              </w:rPr>
              <w:t>流程方案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25"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8</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rPr>
                <w:rFonts w:hint="eastAsia" w:ascii="宋体" w:hAnsi="宋体" w:cs="宋体"/>
                <w:color w:val="auto"/>
                <w:szCs w:val="21"/>
                <w:highlight w:val="none"/>
              </w:rPr>
            </w:pPr>
            <w:r>
              <w:rPr>
                <w:rFonts w:hint="eastAsia" w:ascii="宋体" w:hAnsi="宋体" w:cs="宋体"/>
                <w:color w:val="FF0000"/>
                <w:szCs w:val="21"/>
                <w:highlight w:val="none"/>
              </w:rPr>
              <w:t>针对本项目的成品设备在运输、保管、就位等保障方案可靠性、完整性。</w:t>
            </w:r>
            <w:r>
              <w:rPr>
                <w:rFonts w:hint="eastAsia" w:ascii="宋体" w:hAnsi="宋体" w:cs="宋体"/>
                <w:color w:val="FF0000"/>
                <w:kern w:val="0"/>
                <w:szCs w:val="21"/>
                <w:highlight w:val="none"/>
              </w:rPr>
              <w:t>方案详细、合理、满足采购需求、承诺切实可行的得</w:t>
            </w:r>
            <w:r>
              <w:rPr>
                <w:rFonts w:hint="eastAsia" w:ascii="宋体" w:hAnsi="宋体" w:cs="宋体"/>
                <w:color w:val="FF0000"/>
                <w:kern w:val="0"/>
                <w:szCs w:val="21"/>
                <w:highlight w:val="none"/>
                <w:lang w:val="en-US" w:eastAsia="zh-CN"/>
              </w:rPr>
              <w:t>3</w:t>
            </w:r>
            <w:r>
              <w:rPr>
                <w:rFonts w:hint="eastAsia" w:ascii="宋体" w:hAnsi="宋体" w:cs="宋体"/>
                <w:color w:val="FF0000"/>
                <w:kern w:val="0"/>
                <w:szCs w:val="21"/>
                <w:highlight w:val="none"/>
              </w:rPr>
              <w:t>分；方案可行、基本满足采购需求、承诺基本可行的得</w:t>
            </w:r>
            <w:r>
              <w:rPr>
                <w:rFonts w:hint="eastAsia" w:ascii="宋体" w:hAnsi="宋体" w:cs="宋体"/>
                <w:color w:val="FF0000"/>
                <w:kern w:val="0"/>
                <w:szCs w:val="21"/>
                <w:highlight w:val="none"/>
                <w:lang w:val="en-US" w:eastAsia="zh-CN"/>
              </w:rPr>
              <w:t>2</w:t>
            </w:r>
            <w:r>
              <w:rPr>
                <w:rFonts w:hint="eastAsia" w:ascii="宋体" w:hAnsi="宋体" w:cs="宋体"/>
                <w:color w:val="FF0000"/>
                <w:kern w:val="0"/>
                <w:szCs w:val="21"/>
                <w:highlight w:val="none"/>
              </w:rPr>
              <w:t>分；方案一般、部分满足的得1分，不满足或不提供不得分。</w:t>
            </w:r>
            <w:r>
              <w:rPr>
                <w:rFonts w:hint="eastAsia" w:ascii="宋体" w:hAnsi="宋体" w:cs="宋体"/>
                <w:bCs/>
                <w:color w:val="FF0000"/>
                <w:kern w:val="0"/>
                <w:szCs w:val="21"/>
                <w:highlight w:val="none"/>
              </w:rPr>
              <w:t>最高得</w:t>
            </w:r>
            <w:r>
              <w:rPr>
                <w:rFonts w:hint="eastAsia" w:ascii="宋体" w:hAnsi="宋体" w:cs="宋体"/>
                <w:bCs/>
                <w:color w:val="FF0000"/>
                <w:kern w:val="0"/>
                <w:szCs w:val="21"/>
                <w:highlight w:val="none"/>
                <w:lang w:val="en-US" w:eastAsia="zh-CN"/>
              </w:rPr>
              <w:t>3</w:t>
            </w:r>
            <w:r>
              <w:rPr>
                <w:rFonts w:hint="eastAsia" w:ascii="宋体" w:hAnsi="宋体" w:cs="宋体"/>
                <w:bCs/>
                <w:color w:val="FF0000"/>
                <w:kern w:val="0"/>
                <w:szCs w:val="21"/>
                <w:highlight w:val="none"/>
              </w:rPr>
              <w:t>分。</w:t>
            </w:r>
          </w:p>
        </w:tc>
        <w:tc>
          <w:tcPr>
            <w:tcW w:w="1066"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color w:val="auto"/>
                <w:szCs w:val="21"/>
                <w:highlight w:val="none"/>
              </w:rPr>
              <w:t>成品设备方案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2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9</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rPr>
                <w:rFonts w:hint="eastAsia" w:ascii="宋体" w:hAnsi="宋体" w:cs="宋体"/>
                <w:color w:val="auto"/>
                <w:szCs w:val="21"/>
                <w:highlight w:val="none"/>
                <w:lang w:val="zh-CN"/>
              </w:rPr>
            </w:pPr>
            <w:r>
              <w:rPr>
                <w:rFonts w:hint="eastAsia" w:ascii="宋体" w:hAnsi="宋体" w:cs="宋体"/>
                <w:bCs/>
                <w:color w:val="auto"/>
                <w:kern w:val="0"/>
                <w:szCs w:val="21"/>
                <w:highlight w:val="none"/>
              </w:rPr>
              <w:t>投标人能根据采购人提供的厨房设备清单结合现场勘察针对本项目提供合理、科学、实用的方案平面设计，并且能对平面方案进行深化设计，提供相应的平面设备布局图、给水图、排水地沟图、供电图、墙体图等点位图纸，每缺一份扣</w:t>
            </w:r>
            <w:r>
              <w:rPr>
                <w:rFonts w:hint="eastAsia" w:ascii="宋体" w:hAnsi="宋体" w:cs="宋体"/>
                <w:bCs/>
                <w:color w:val="auto"/>
                <w:kern w:val="0"/>
                <w:szCs w:val="21"/>
                <w:highlight w:val="none"/>
                <w:lang w:val="en-US" w:eastAsia="zh-CN"/>
              </w:rPr>
              <w:t>0.5</w:t>
            </w:r>
            <w:r>
              <w:rPr>
                <w:rFonts w:hint="eastAsia" w:ascii="宋体" w:hAnsi="宋体" w:cs="宋体"/>
                <w:bCs/>
                <w:color w:val="auto"/>
                <w:kern w:val="0"/>
                <w:szCs w:val="21"/>
                <w:highlight w:val="none"/>
              </w:rPr>
              <w:t>分，最高得</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分。</w:t>
            </w:r>
          </w:p>
        </w:tc>
        <w:tc>
          <w:tcPr>
            <w:tcW w:w="1066"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客</w:t>
            </w:r>
            <w:r>
              <w:rPr>
                <w:rFonts w:hint="eastAsia" w:ascii="宋体" w:hAnsi="宋体" w:cs="宋体"/>
                <w:bCs/>
                <w:color w:val="auto"/>
                <w:szCs w:val="21"/>
                <w:highlight w:val="none"/>
              </w:rPr>
              <w:t>观）</w:t>
            </w:r>
          </w:p>
        </w:tc>
        <w:tc>
          <w:tcPr>
            <w:tcW w:w="158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center"/>
              <w:textAlignment w:val="center"/>
              <w:rPr>
                <w:rFonts w:hint="eastAsia" w:ascii="宋体" w:hAnsi="宋体" w:cs="宋体"/>
                <w:bCs/>
                <w:color w:val="auto"/>
                <w:szCs w:val="21"/>
                <w:highlight w:val="none"/>
                <w:lang w:val="zh-CN"/>
              </w:rPr>
            </w:pPr>
            <w:r>
              <w:rPr>
                <w:rFonts w:hint="eastAsia" w:ascii="宋体" w:hAnsi="宋体" w:cs="宋体"/>
                <w:bCs/>
                <w:color w:val="auto"/>
                <w:szCs w:val="21"/>
                <w:highlight w:val="none"/>
              </w:rPr>
              <w:t>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10</w:t>
            </w:r>
          </w:p>
        </w:tc>
        <w:tc>
          <w:tcPr>
            <w:tcW w:w="60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rPr>
                <w:rFonts w:hint="eastAsia" w:ascii="宋体" w:hAnsi="宋体" w:cs="宋体"/>
                <w:bCs/>
                <w:color w:val="auto"/>
                <w:kern w:val="0"/>
                <w:szCs w:val="21"/>
                <w:highlight w:val="none"/>
              </w:rPr>
            </w:pPr>
            <w:r>
              <w:rPr>
                <w:rFonts w:hint="eastAsia" w:ascii="宋体" w:hAnsi="宋体" w:cs="宋体"/>
                <w:color w:val="auto"/>
                <w:szCs w:val="21"/>
                <w:highlight w:val="none"/>
              </w:rPr>
              <w:t>拟派项目实施团队情况，包括配置的人员专业能力、资格水平、类似工作经验、分工情况等，配置人员上述每一项都完全满足项目需求的得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分；描述完整基本满足要求的得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分；稍有欠缺但基本满足要求的得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分；不提供的不得分。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拟派项目班子成员情况</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11</w:t>
            </w:r>
          </w:p>
        </w:tc>
        <w:tc>
          <w:tcPr>
            <w:tcW w:w="601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8" w:lineRule="auto"/>
              <w:rPr>
                <w:rFonts w:hint="eastAsia" w:ascii="宋体" w:hAnsi="宋体"/>
                <w:color w:val="auto"/>
                <w:szCs w:val="21"/>
                <w:highlight w:val="none"/>
              </w:rPr>
            </w:pPr>
            <w:r>
              <w:rPr>
                <w:rFonts w:hint="eastAsia" w:ascii="宋体" w:hAnsi="宋体"/>
                <w:color w:val="auto"/>
                <w:szCs w:val="21"/>
                <w:highlight w:val="none"/>
              </w:rPr>
              <w:t>拟派项目班子成员中工程操作人员拥有特种作业操作证书：电工证，每提供一个证书得2分，最高得2分。</w:t>
            </w:r>
          </w:p>
          <w:p>
            <w:pPr>
              <w:keepNext w:val="0"/>
              <w:keepLines w:val="0"/>
              <w:pageBreakBefore w:val="0"/>
              <w:widowControl/>
              <w:kinsoku/>
              <w:wordWrap/>
              <w:overflowPunct/>
              <w:topLinePunct w:val="0"/>
              <w:bidi w:val="0"/>
              <w:adjustRightInd w:val="0"/>
              <w:spacing w:line="288" w:lineRule="auto"/>
              <w:jc w:val="left"/>
              <w:rPr>
                <w:rFonts w:ascii="宋体" w:hAnsi="宋体" w:cs="宋体"/>
                <w:bCs/>
                <w:color w:val="auto"/>
                <w:kern w:val="0"/>
                <w:szCs w:val="21"/>
                <w:highlight w:val="none"/>
              </w:rPr>
            </w:pPr>
            <w:r>
              <w:rPr>
                <w:rFonts w:hint="eastAsia" w:ascii="宋体" w:hAnsi="宋体"/>
                <w:b/>
                <w:bCs/>
                <w:color w:val="auto"/>
                <w:kern w:val="0"/>
                <w:szCs w:val="21"/>
                <w:highlight w:val="none"/>
              </w:rPr>
              <w:t>（证明材料：提供持证人员相关证书及</w:t>
            </w:r>
            <w:r>
              <w:rPr>
                <w:rFonts w:hint="eastAsia" w:ascii="宋体" w:hAnsi="宋体"/>
                <w:b/>
                <w:bCs/>
                <w:color w:val="auto"/>
                <w:kern w:val="0"/>
                <w:szCs w:val="21"/>
                <w:highlight w:val="none"/>
                <w:lang w:val="en-US" w:eastAsia="zh-CN"/>
              </w:rPr>
              <w:t>在投标单位缴纳社保的证明文件扫描件，社保证明须在本项目招标文件发布之后打印，未提供不得分</w:t>
            </w:r>
            <w:r>
              <w:rPr>
                <w:rFonts w:hint="eastAsia" w:ascii="宋体" w:hAnsi="宋体"/>
                <w:b/>
                <w:bCs/>
                <w:color w:val="auto"/>
                <w:kern w:val="0"/>
                <w:szCs w:val="21"/>
                <w:highlight w:val="none"/>
              </w:rPr>
              <w:t>）。</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0-2分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（客观）</w:t>
            </w:r>
          </w:p>
        </w:tc>
        <w:tc>
          <w:tcPr>
            <w:tcW w:w="158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12</w:t>
            </w:r>
          </w:p>
        </w:tc>
        <w:tc>
          <w:tcPr>
            <w:tcW w:w="60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rPr>
                <w:rFonts w:hint="eastAsia" w:ascii="宋体" w:hAnsi="宋体" w:cs="宋体"/>
                <w:bCs/>
                <w:color w:val="auto"/>
                <w:kern w:val="0"/>
                <w:szCs w:val="21"/>
                <w:highlight w:val="none"/>
              </w:rPr>
            </w:pPr>
            <w:r>
              <w:rPr>
                <w:rFonts w:hint="eastAsia" w:ascii="宋体" w:hAnsi="宋体" w:cs="宋体"/>
                <w:color w:val="auto"/>
                <w:kern w:val="0"/>
                <w:szCs w:val="21"/>
                <w:highlight w:val="none"/>
              </w:rPr>
              <w:t>各投标人提出的售后服务方案与承诺情况。包括承诺为本项目提供售后服务的售后服务机构及专业水平资质情况、售后服务人员配置情况、备品备件配备情况、售后响应能力、响应时效以及其他服务质量与承诺情况，方案详细、合理、满足采购需求、承诺切实可行的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分；方案可行、基本满足采购需求、承诺基本可行的得 </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分；方案一般、部分满足的得 1分，不满足或不提供不得分。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w:t>
            </w:r>
          </w:p>
          <w:p>
            <w:pPr>
              <w:keepNext w:val="0"/>
              <w:keepLines w:val="0"/>
              <w:pageBreakBefore w:val="0"/>
              <w:widowControl/>
              <w:kinsoku/>
              <w:wordWrap/>
              <w:overflowPunct/>
              <w:topLinePunct w:val="0"/>
              <w:bidi w:val="0"/>
              <w:adjustRightInd w:val="0"/>
              <w:spacing w:line="288" w:lineRule="auto"/>
              <w:jc w:val="center"/>
              <w:textAlignment w:val="center"/>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center"/>
              <w:textAlignment w:val="center"/>
              <w:rPr>
                <w:rFonts w:hint="eastAsia" w:ascii="宋体" w:hAnsi="宋体" w:cs="宋体"/>
                <w:bCs/>
                <w:color w:val="auto"/>
                <w:szCs w:val="21"/>
                <w:highlight w:val="none"/>
              </w:rPr>
            </w:pPr>
            <w:r>
              <w:rPr>
                <w:rFonts w:hint="eastAsia" w:ascii="宋体" w:hAnsi="宋体"/>
                <w:color w:val="auto"/>
                <w:kern w:val="0"/>
                <w:szCs w:val="21"/>
                <w:highlight w:val="none"/>
              </w:rPr>
              <w:t>售后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13</w:t>
            </w:r>
          </w:p>
        </w:tc>
        <w:tc>
          <w:tcPr>
            <w:tcW w:w="6015" w:type="dxa"/>
            <w:tcBorders>
              <w:top w:val="nil"/>
              <w:left w:val="single" w:color="auto" w:sz="4" w:space="0"/>
              <w:bottom w:val="single" w:color="auto" w:sz="4" w:space="0"/>
              <w:right w:val="single" w:color="auto" w:sz="4" w:space="0"/>
            </w:tcBorders>
            <w:noWrap w:val="0"/>
            <w:vAlign w:val="center"/>
          </w:tcPr>
          <w:p>
            <w:pPr>
              <w:pStyle w:val="234"/>
              <w:keepNext w:val="0"/>
              <w:keepLines w:val="0"/>
              <w:pageBreakBefore w:val="0"/>
              <w:kinsoku/>
              <w:wordWrap/>
              <w:overflowPunct/>
              <w:topLinePunct w:val="0"/>
              <w:bidi w:val="0"/>
              <w:adjustRightInd w:val="0"/>
              <w:spacing w:line="288" w:lineRule="auto"/>
              <w:rPr>
                <w:rFonts w:hint="eastAsia" w:ascii="宋体" w:hAnsi="宋体" w:cs="宋体"/>
                <w:color w:val="auto"/>
                <w:kern w:val="0"/>
                <w:szCs w:val="21"/>
                <w:highlight w:val="none"/>
              </w:rPr>
            </w:pPr>
            <w:r>
              <w:rPr>
                <w:rFonts w:hint="eastAsia" w:ascii="宋体" w:hAnsi="宋体" w:eastAsia="宋体" w:cs="宋体"/>
                <w:bCs/>
                <w:color w:val="auto"/>
                <w:sz w:val="21"/>
                <w:szCs w:val="21"/>
                <w:highlight w:val="none"/>
              </w:rPr>
              <w:t>质保期不低于2年的基础上，质保期每增加1年得2分，最高得6分（投标人自行提供承诺）</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0-6分（客观）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288" w:lineRule="auto"/>
              <w:jc w:val="center"/>
              <w:rPr>
                <w:rFonts w:hint="eastAsia" w:ascii="宋体" w:hAnsi="宋体"/>
                <w:color w:val="auto"/>
                <w:kern w:val="0"/>
                <w:szCs w:val="21"/>
                <w:highlight w:val="none"/>
              </w:rPr>
            </w:pPr>
            <w:r>
              <w:rPr>
                <w:rFonts w:hint="eastAsia" w:ascii="宋体" w:hAnsi="宋体"/>
                <w:color w:val="auto"/>
                <w:szCs w:val="21"/>
                <w:highlight w:val="none"/>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14</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snapToGrid w:val="0"/>
                <w:color w:val="FF0000"/>
                <w:kern w:val="2"/>
                <w:sz w:val="21"/>
                <w:szCs w:val="21"/>
                <w:lang w:val="en-US" w:eastAsia="zh-CN" w:bidi="ar-SA"/>
              </w:rPr>
            </w:pPr>
            <w:r>
              <w:rPr>
                <w:rFonts w:hint="eastAsia" w:ascii="宋体" w:hAnsi="宋体" w:eastAsia="宋体" w:cs="宋体"/>
                <w:snapToGrid w:val="0"/>
                <w:color w:val="FF0000"/>
                <w:kern w:val="2"/>
                <w:sz w:val="21"/>
                <w:szCs w:val="21"/>
                <w:lang w:val="zh-CN" w:eastAsia="zh-CN" w:bidi="ar-SA"/>
              </w:rPr>
              <w:t>（</w:t>
            </w:r>
            <w:r>
              <w:rPr>
                <w:rFonts w:hint="eastAsia" w:ascii="宋体" w:hAnsi="宋体" w:eastAsia="宋体" w:cs="宋体"/>
                <w:snapToGrid w:val="0"/>
                <w:color w:val="FF0000"/>
                <w:kern w:val="2"/>
                <w:sz w:val="21"/>
                <w:szCs w:val="21"/>
                <w:lang w:val="en-US" w:eastAsia="zh-CN" w:bidi="ar-SA"/>
              </w:rPr>
              <w:t>1</w:t>
            </w:r>
            <w:r>
              <w:rPr>
                <w:rFonts w:hint="eastAsia" w:ascii="宋体" w:hAnsi="宋体" w:eastAsia="宋体" w:cs="宋体"/>
                <w:snapToGrid w:val="0"/>
                <w:color w:val="FF0000"/>
                <w:kern w:val="2"/>
                <w:sz w:val="21"/>
                <w:szCs w:val="21"/>
                <w:lang w:val="zh-CN" w:eastAsia="zh-CN" w:bidi="ar-SA"/>
              </w:rPr>
              <w:t>）样品外观焊点牢固、无脱焊、虚焊、焊点破裂及变色现象，焊缝规则均匀得</w:t>
            </w:r>
            <w:r>
              <w:rPr>
                <w:rFonts w:hint="eastAsia" w:ascii="宋体" w:hAnsi="宋体" w:eastAsia="宋体" w:cs="宋体"/>
                <w:snapToGrid w:val="0"/>
                <w:color w:val="FF0000"/>
                <w:kern w:val="2"/>
                <w:sz w:val="21"/>
                <w:szCs w:val="21"/>
                <w:lang w:val="en-US" w:eastAsia="zh-CN" w:bidi="ar-SA"/>
              </w:rPr>
              <w:t>2分；基本符合得1分；</w:t>
            </w:r>
            <w:r>
              <w:rPr>
                <w:rFonts w:hint="eastAsia" w:ascii="宋体" w:hAnsi="宋体" w:eastAsia="宋体" w:cs="宋体"/>
                <w:snapToGrid w:val="0"/>
                <w:color w:val="FF0000"/>
                <w:kern w:val="2"/>
                <w:sz w:val="21"/>
                <w:szCs w:val="21"/>
                <w:lang w:val="zh-CN" w:eastAsia="zh-CN" w:bidi="ar-SA"/>
              </w:rPr>
              <w:t>焊接处有明显瑕疵不得</w:t>
            </w:r>
            <w:r>
              <w:rPr>
                <w:rFonts w:hint="eastAsia" w:ascii="宋体" w:hAnsi="宋体" w:eastAsia="宋体" w:cs="宋体"/>
                <w:snapToGrid w:val="0"/>
                <w:color w:val="FF0000"/>
                <w:kern w:val="2"/>
                <w:sz w:val="21"/>
                <w:szCs w:val="21"/>
                <w:lang w:val="en-US" w:eastAsia="zh-CN" w:bidi="ar-SA"/>
              </w:rPr>
              <w:t>分</w:t>
            </w:r>
            <w:r>
              <w:rPr>
                <w:rFonts w:hint="eastAsia" w:hAnsi="宋体" w:cs="宋体"/>
                <w:snapToGrid w:val="0"/>
                <w:color w:val="FF0000"/>
                <w:kern w:val="2"/>
                <w:sz w:val="21"/>
                <w:szCs w:val="21"/>
                <w:lang w:val="en-US" w:eastAsia="zh-CN" w:bidi="ar-SA"/>
              </w:rPr>
              <w:t>。</w:t>
            </w:r>
          </w:p>
          <w:p>
            <w:pPr>
              <w:pStyle w:val="25"/>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snapToGrid w:val="0"/>
                <w:color w:val="FF0000"/>
                <w:kern w:val="2"/>
                <w:sz w:val="21"/>
                <w:szCs w:val="21"/>
                <w:lang w:val="en-US" w:eastAsia="zh-CN" w:bidi="ar-SA"/>
              </w:rPr>
            </w:pPr>
            <w:r>
              <w:rPr>
                <w:rFonts w:hint="eastAsia" w:ascii="宋体" w:hAnsi="宋体" w:eastAsia="宋体" w:cs="宋体"/>
                <w:snapToGrid w:val="0"/>
                <w:color w:val="FF0000"/>
                <w:kern w:val="2"/>
                <w:sz w:val="21"/>
                <w:szCs w:val="21"/>
                <w:lang w:val="en-US" w:eastAsia="zh-CN" w:bidi="ar-SA"/>
              </w:rPr>
              <w:t>（2）</w:t>
            </w:r>
            <w:r>
              <w:rPr>
                <w:rFonts w:hint="eastAsia" w:ascii="宋体" w:hAnsi="宋体" w:eastAsia="宋体" w:cs="宋体"/>
                <w:snapToGrid w:val="0"/>
                <w:color w:val="FF0000"/>
                <w:kern w:val="2"/>
                <w:sz w:val="21"/>
                <w:szCs w:val="21"/>
                <w:lang w:val="zh-CN" w:eastAsia="zh-CN" w:bidi="ar-SA"/>
              </w:rPr>
              <w:t>样品表面无锈蚀、无裂纹等缺陷，零件无破损得</w:t>
            </w:r>
            <w:r>
              <w:rPr>
                <w:rFonts w:hint="eastAsia" w:ascii="宋体" w:hAnsi="宋体" w:eastAsia="宋体" w:cs="宋体"/>
                <w:snapToGrid w:val="0"/>
                <w:color w:val="FF0000"/>
                <w:kern w:val="2"/>
                <w:sz w:val="21"/>
                <w:szCs w:val="21"/>
                <w:lang w:val="en-US" w:eastAsia="zh-CN" w:bidi="ar-SA"/>
              </w:rPr>
              <w:t>2分；基本符合得1分；有明显瑕疵不得分。</w:t>
            </w:r>
          </w:p>
          <w:p>
            <w:pPr>
              <w:pStyle w:val="25"/>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snapToGrid w:val="0"/>
                <w:color w:val="FF0000"/>
                <w:kern w:val="2"/>
                <w:sz w:val="21"/>
                <w:szCs w:val="21"/>
                <w:lang w:val="en-US" w:eastAsia="zh-CN" w:bidi="ar-SA"/>
              </w:rPr>
            </w:pPr>
            <w:r>
              <w:rPr>
                <w:rFonts w:hint="eastAsia" w:ascii="宋体" w:hAnsi="宋体" w:eastAsia="宋体" w:cs="宋体"/>
                <w:snapToGrid w:val="0"/>
                <w:color w:val="FF0000"/>
                <w:kern w:val="2"/>
                <w:sz w:val="21"/>
                <w:szCs w:val="21"/>
                <w:lang w:val="zh-CN" w:eastAsia="zh-CN" w:bidi="ar-SA"/>
              </w:rPr>
              <w:t>（</w:t>
            </w:r>
            <w:r>
              <w:rPr>
                <w:rFonts w:hint="eastAsia" w:ascii="宋体" w:hAnsi="宋体" w:eastAsia="宋体" w:cs="宋体"/>
                <w:snapToGrid w:val="0"/>
                <w:color w:val="FF0000"/>
                <w:kern w:val="2"/>
                <w:sz w:val="21"/>
                <w:szCs w:val="21"/>
                <w:lang w:val="en-US" w:eastAsia="zh-CN" w:bidi="ar-SA"/>
              </w:rPr>
              <w:t>3</w:t>
            </w:r>
            <w:r>
              <w:rPr>
                <w:rFonts w:hint="eastAsia" w:ascii="宋体" w:hAnsi="宋体" w:eastAsia="宋体" w:cs="宋体"/>
                <w:snapToGrid w:val="0"/>
                <w:color w:val="FF0000"/>
                <w:kern w:val="2"/>
                <w:sz w:val="21"/>
                <w:szCs w:val="21"/>
                <w:lang w:val="zh-CN" w:eastAsia="zh-CN" w:bidi="ar-SA"/>
              </w:rPr>
              <w:t>）样品与人体接触的部位、存放物品的部位无毛刺、刃角、锐棱、透钉及其他尖锐物得</w:t>
            </w:r>
            <w:r>
              <w:rPr>
                <w:rFonts w:hint="eastAsia" w:ascii="宋体" w:hAnsi="宋体" w:eastAsia="宋体" w:cs="宋体"/>
                <w:snapToGrid w:val="0"/>
                <w:color w:val="FF0000"/>
                <w:kern w:val="2"/>
                <w:sz w:val="21"/>
                <w:szCs w:val="21"/>
                <w:lang w:val="en-US" w:eastAsia="zh-CN" w:bidi="ar-SA"/>
              </w:rPr>
              <w:t>2分；基本符合得1分；有明显瑕疵不得分。</w:t>
            </w:r>
          </w:p>
          <w:p>
            <w:pPr>
              <w:pStyle w:val="25"/>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snapToGrid w:val="0"/>
                <w:color w:val="FF0000"/>
                <w:kern w:val="2"/>
                <w:sz w:val="21"/>
                <w:szCs w:val="21"/>
                <w:lang w:val="en-US" w:eastAsia="zh-CN" w:bidi="ar-SA"/>
              </w:rPr>
            </w:pPr>
            <w:r>
              <w:rPr>
                <w:rFonts w:hint="eastAsia" w:ascii="宋体" w:hAnsi="宋体" w:eastAsia="宋体" w:cs="宋体"/>
                <w:snapToGrid w:val="0"/>
                <w:color w:val="FF0000"/>
                <w:kern w:val="2"/>
                <w:sz w:val="21"/>
                <w:szCs w:val="21"/>
                <w:lang w:val="en-US" w:eastAsia="zh-CN" w:bidi="ar-SA"/>
              </w:rPr>
              <w:t>（4）所投标样品的各种配件结合处无松动，安装扎实得2分；结合处牢固</w:t>
            </w:r>
            <w:r>
              <w:rPr>
                <w:rFonts w:hint="eastAsia" w:hAnsi="宋体" w:cs="宋体"/>
                <w:snapToGrid w:val="0"/>
                <w:color w:val="FF0000"/>
                <w:kern w:val="2"/>
                <w:sz w:val="21"/>
                <w:szCs w:val="21"/>
                <w:lang w:val="en-US" w:eastAsia="zh-CN" w:bidi="ar-SA"/>
              </w:rPr>
              <w:t>性</w:t>
            </w:r>
            <w:r>
              <w:rPr>
                <w:rFonts w:hint="eastAsia" w:ascii="宋体" w:hAnsi="宋体" w:eastAsia="宋体" w:cs="宋体"/>
                <w:snapToGrid w:val="0"/>
                <w:color w:val="FF0000"/>
                <w:kern w:val="2"/>
                <w:sz w:val="21"/>
                <w:szCs w:val="21"/>
                <w:lang w:val="en-US" w:eastAsia="zh-CN" w:bidi="ar-SA"/>
              </w:rPr>
              <w:t>一般的得1分；结合处有明显松动的不得分。</w:t>
            </w:r>
          </w:p>
          <w:p>
            <w:pPr>
              <w:pStyle w:val="25"/>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snapToGrid w:val="0"/>
                <w:color w:val="FF0000"/>
                <w:kern w:val="2"/>
                <w:sz w:val="21"/>
                <w:szCs w:val="21"/>
                <w:lang w:val="en-US" w:eastAsia="zh-CN" w:bidi="ar-SA"/>
              </w:rPr>
            </w:pPr>
            <w:r>
              <w:rPr>
                <w:rFonts w:hint="eastAsia" w:ascii="宋体" w:hAnsi="宋体" w:eastAsia="宋体" w:cs="宋体"/>
                <w:snapToGrid w:val="0"/>
                <w:color w:val="FF0000"/>
                <w:kern w:val="2"/>
                <w:sz w:val="21"/>
                <w:szCs w:val="21"/>
                <w:lang w:val="en-US" w:eastAsia="zh-CN" w:bidi="ar-SA"/>
              </w:rPr>
              <w:t>（5）样品外观线条流畅优美、平整光洁</w:t>
            </w:r>
            <w:r>
              <w:rPr>
                <w:rFonts w:hint="eastAsia" w:hAnsi="宋体" w:cs="宋体"/>
                <w:snapToGrid w:val="0"/>
                <w:color w:val="FF0000"/>
                <w:kern w:val="2"/>
                <w:sz w:val="21"/>
                <w:szCs w:val="21"/>
                <w:lang w:val="en-US" w:eastAsia="zh-CN" w:bidi="ar-SA"/>
              </w:rPr>
              <w:t>、</w:t>
            </w:r>
            <w:r>
              <w:rPr>
                <w:rFonts w:hint="eastAsia" w:ascii="宋体" w:hAnsi="宋体" w:eastAsia="宋体" w:cs="宋体"/>
                <w:snapToGrid w:val="0"/>
                <w:color w:val="FF0000"/>
                <w:kern w:val="2"/>
                <w:sz w:val="21"/>
                <w:szCs w:val="21"/>
                <w:lang w:val="en-US" w:eastAsia="zh-CN" w:bidi="ar-SA"/>
              </w:rPr>
              <w:t>无碰伤凹凸现象、易清洁得2分；产品外观线条基本流畅、较平整光洁、较容易清洁得1分；产品外观有较大欠缺，不易清洁不得分。</w:t>
            </w:r>
          </w:p>
          <w:p>
            <w:pPr>
              <w:pStyle w:val="23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snapToGrid w:val="0"/>
                <w:color w:val="FF0000"/>
                <w:kern w:val="2"/>
                <w:sz w:val="21"/>
                <w:szCs w:val="21"/>
                <w:lang w:val="en-US" w:eastAsia="zh-CN" w:bidi="ar-SA"/>
              </w:rPr>
              <w:t>（6）水龙头、点火装置等设备安装对称均匀，操作方便得2分；水龙头、点火装置等设备安装基本对称均匀，操作较方便得1分；水龙头、点火装置等设备安装有明显瑕疵不得分。</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0-</w:t>
            </w:r>
            <w:r>
              <w:rPr>
                <w:rFonts w:hint="eastAsia" w:ascii="宋体" w:hAnsi="宋体" w:cs="宋体"/>
                <w:bCs/>
                <w:color w:val="auto"/>
                <w:szCs w:val="21"/>
                <w:highlight w:val="none"/>
                <w:lang w:val="en-US" w:eastAsia="zh-CN"/>
              </w:rPr>
              <w:t>12</w:t>
            </w:r>
            <w:r>
              <w:rPr>
                <w:rFonts w:hint="eastAsia" w:ascii="宋体" w:hAnsi="宋体" w:cs="宋体"/>
                <w:bCs/>
                <w:color w:val="auto"/>
                <w:szCs w:val="21"/>
                <w:highlight w:val="none"/>
              </w:rPr>
              <w:t>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（主观）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288" w:lineRule="auto"/>
              <w:jc w:val="center"/>
              <w:rPr>
                <w:rFonts w:hint="eastAsia" w:ascii="宋体" w:hAnsi="宋体"/>
                <w:color w:val="auto"/>
                <w:szCs w:val="21"/>
                <w:highlight w:val="none"/>
              </w:rPr>
            </w:pPr>
            <w:r>
              <w:rPr>
                <w:rFonts w:hint="eastAsia" w:ascii="宋体" w:hAnsi="宋体" w:cs="宋体"/>
                <w:bCs/>
                <w:color w:val="auto"/>
                <w:kern w:val="0"/>
                <w:szCs w:val="21"/>
                <w:highlight w:val="none"/>
              </w:rPr>
              <w:t>提供样品情况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15</w:t>
            </w:r>
          </w:p>
        </w:tc>
        <w:tc>
          <w:tcPr>
            <w:tcW w:w="60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adjustRightInd w:val="0"/>
              <w:spacing w:line="288" w:lineRule="auto"/>
              <w:jc w:val="left"/>
              <w:textAlignment w:val="center"/>
              <w:rPr>
                <w:rFonts w:hint="eastAsia" w:ascii="宋体" w:hAnsi="宋体" w:cs="宋体"/>
                <w:bCs/>
                <w:color w:val="auto"/>
                <w:szCs w:val="21"/>
                <w:highlight w:val="none"/>
              </w:rPr>
            </w:pPr>
            <w:r>
              <w:rPr>
                <w:rFonts w:hint="eastAsia" w:ascii="宋体" w:hAnsi="宋体" w:cs="宋体"/>
                <w:bCs/>
                <w:color w:val="auto"/>
                <w:szCs w:val="21"/>
                <w:highlight w:val="none"/>
              </w:rPr>
              <w:t>有效投标报价的最低价作为评标基准价，其最低报价为满分；按［投标报价得分=（评标基准价/投标报价）*30］的计算公式计算。</w:t>
            </w:r>
          </w:p>
          <w:p>
            <w:pPr>
              <w:keepNext w:val="0"/>
              <w:keepLines w:val="0"/>
              <w:pageBreakBefore w:val="0"/>
              <w:widowControl/>
              <w:shd w:val="clear" w:color="auto" w:fill="FFFFFF"/>
              <w:kinsoku/>
              <w:wordWrap/>
              <w:overflowPunct/>
              <w:topLinePunct w:val="0"/>
              <w:bidi w:val="0"/>
              <w:adjustRightInd w:val="0"/>
              <w:spacing w:line="288"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评标过程中，不得去掉报价中的最高报价和最低报价。</w:t>
            </w:r>
          </w:p>
          <w:p>
            <w:pPr>
              <w:keepNext w:val="0"/>
              <w:keepLines w:val="0"/>
              <w:pageBreakBefore w:val="0"/>
              <w:widowControl/>
              <w:shd w:val="clear" w:color="auto" w:fill="FFFFFF"/>
              <w:kinsoku/>
              <w:wordWrap/>
              <w:overflowPunct/>
              <w:topLinePunct w:val="0"/>
              <w:bidi w:val="0"/>
              <w:adjustRightInd w:val="0"/>
              <w:spacing w:line="288"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因落实政府采购政策需要进行价格调整的，以调整后的价格计算评标基准价和投标报价。</w:t>
            </w:r>
          </w:p>
        </w:tc>
        <w:tc>
          <w:tcPr>
            <w:tcW w:w="10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30分</w:t>
            </w:r>
          </w:p>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（客观）</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pacing w:line="288" w:lineRule="auto"/>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w:t>
            </w:r>
          </w:p>
        </w:tc>
      </w:tr>
    </w:tbl>
    <w:p>
      <w:pPr>
        <w:spacing w:line="360" w:lineRule="auto"/>
        <w:rPr>
          <w:rFonts w:cs="仿宋_GB2312"/>
          <w:color w:val="auto"/>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cs="仿宋_GB2312"/>
          <w:color w:val="auto"/>
          <w:highlight w:val="none"/>
        </w:rPr>
        <w:t>投标人编制投标文件（商务技术文件部分）时，建议按此目录（序号和内容）提供评标标准相应的商务技术资料。</w:t>
      </w:r>
      <w:r>
        <w:rPr>
          <w:rFonts w:cs="仿宋_GB2312"/>
          <w:color w:val="auto"/>
          <w:highlight w:val="none"/>
        </w:rPr>
        <w:t>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30"/>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30"/>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spacing w:line="360" w:lineRule="auto"/>
        <w:ind w:firstLine="480" w:firstLineChars="200"/>
        <w:rPr>
          <w:color w:val="auto"/>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 xml:space="preserve"> 投标文件不满足招标文件的实质性要求的；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3"/>
        <w:snapToGrid w:val="0"/>
        <w:spacing w:line="360" w:lineRule="auto"/>
        <w:rPr>
          <w:rFonts w:cs="宋体"/>
          <w:color w:val="auto"/>
          <w:highlight w:val="none"/>
        </w:rPr>
      </w:pPr>
      <w:r>
        <w:rPr>
          <w:rFonts w:hint="eastAsia" w:cs="宋体"/>
          <w:color w:val="auto"/>
          <w:highlight w:val="none"/>
        </w:rPr>
        <w:t>5.4因重大变故，采购任务取消的。</w:t>
      </w:r>
    </w:p>
    <w:p>
      <w:pPr>
        <w:pStyle w:val="3"/>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3"/>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3"/>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3"/>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3"/>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3"/>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3"/>
        <w:snapToGrid w:val="0"/>
        <w:spacing w:line="360" w:lineRule="auto"/>
        <w:ind w:firstLine="0" w:firstLineChars="0"/>
        <w:rPr>
          <w:rFonts w:cs="宋体"/>
          <w:color w:val="auto"/>
          <w:highlight w:val="none"/>
        </w:rPr>
      </w:pPr>
    </w:p>
    <w:bookmarkEnd w:id="33"/>
    <w:p>
      <w:pPr>
        <w:spacing w:line="360" w:lineRule="auto"/>
        <w:ind w:left="720" w:leftChars="343" w:firstLine="1084" w:firstLineChars="300"/>
        <w:outlineLvl w:val="0"/>
        <w:rPr>
          <w:rFonts w:ascii="宋体" w:hAnsi="宋体" w:cs="宋体"/>
          <w:b/>
          <w:color w:val="auto"/>
          <w:sz w:val="36"/>
          <w:szCs w:val="36"/>
          <w:highlight w:val="none"/>
        </w:rPr>
      </w:pPr>
      <w:bookmarkStart w:id="437" w:name="第五部分"/>
      <w:bookmarkStart w:id="438" w:name="_Toc86217003"/>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pPr>
        <w:spacing w:line="360" w:lineRule="auto"/>
        <w:ind w:left="720" w:leftChars="343" w:firstLine="1084" w:firstLineChars="300"/>
        <w:outlineLvl w:val="0"/>
        <w:rPr>
          <w:rFonts w:ascii="宋体" w:hAnsi="宋体" w:cs="宋体"/>
          <w:b/>
          <w:color w:val="auto"/>
          <w:sz w:val="36"/>
          <w:szCs w:val="36"/>
          <w:highlight w:val="none"/>
        </w:rPr>
      </w:pPr>
    </w:p>
    <w:p>
      <w:pPr>
        <w:spacing w:line="240" w:lineRule="auto"/>
        <w:ind w:left="0" w:leftChars="0" w:firstLine="0" w:firstLineChars="0"/>
        <w:outlineLvl w:val="9"/>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701"/>
        <w:rPr>
          <w:rFonts w:ascii="宋体" w:hAnsi="宋体" w:cs="宋体"/>
          <w:color w:val="auto"/>
          <w:szCs w:val="24"/>
          <w:highlight w:val="none"/>
        </w:rPr>
      </w:pPr>
    </w:p>
    <w:p>
      <w:pPr>
        <w:pStyle w:val="701"/>
        <w:rPr>
          <w:rFonts w:ascii="宋体" w:hAnsi="宋体" w:cs="宋体"/>
          <w:color w:val="auto"/>
          <w:szCs w:val="24"/>
          <w:highlight w:val="none"/>
        </w:rPr>
      </w:pPr>
    </w:p>
    <w:p>
      <w:pPr>
        <w:pStyle w:val="701"/>
        <w:jc w:val="center"/>
        <w:rPr>
          <w:rFonts w:ascii="宋体" w:hAnsi="宋体" w:cs="宋体"/>
          <w:color w:val="auto"/>
          <w:szCs w:val="24"/>
          <w:highlight w:val="none"/>
        </w:rPr>
      </w:pPr>
    </w:p>
    <w:p>
      <w:pPr>
        <w:pStyle w:val="701"/>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701"/>
        <w:rPr>
          <w:rFonts w:ascii="宋体" w:hAnsi="宋体" w:cs="宋体"/>
          <w:color w:val="auto"/>
          <w:szCs w:val="24"/>
          <w:highlight w:val="none"/>
        </w:rPr>
      </w:pPr>
    </w:p>
    <w:p>
      <w:pPr>
        <w:pStyle w:val="701"/>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8"/>
        <w:spacing w:before="120" w:line="22" w:lineRule="atLeast"/>
        <w:rPr>
          <w:rFonts w:ascii="宋体" w:hAnsi="宋体" w:eastAsia="宋体" w:cs="宋体"/>
          <w:color w:val="auto"/>
          <w:szCs w:val="24"/>
          <w:highlight w:val="none"/>
        </w:rPr>
      </w:pPr>
    </w:p>
    <w:p>
      <w:pPr>
        <w:pStyle w:val="598"/>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560" w:lineRule="exact"/>
        <w:ind w:firstLine="482" w:firstLineChars="200"/>
        <w:outlineLvl w:val="0"/>
        <w:rPr>
          <w:rFonts w:ascii="宋体" w:hAnsi="宋体" w:cs="宋体"/>
          <w:b/>
          <w:color w:val="auto"/>
          <w:sz w:val="24"/>
          <w:highlight w:val="none"/>
        </w:rPr>
      </w:pPr>
      <w:bookmarkStart w:id="439" w:name="_Toc24059"/>
      <w:bookmarkStart w:id="440" w:name="_Toc2232"/>
      <w:bookmarkStart w:id="441" w:name="_Toc3029"/>
      <w:r>
        <w:rPr>
          <w:rFonts w:hint="eastAsia" w:ascii="宋体" w:hAnsi="宋体" w:cs="宋体"/>
          <w:b/>
          <w:color w:val="auto"/>
          <w:sz w:val="24"/>
          <w:highlight w:val="none"/>
        </w:rPr>
        <w:t>1.1 合同组成部分</w:t>
      </w:r>
      <w:bookmarkEnd w:id="439"/>
      <w:bookmarkEnd w:id="440"/>
      <w:bookmarkEnd w:id="44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pacing w:line="560" w:lineRule="exact"/>
        <w:ind w:firstLine="482" w:firstLineChars="200"/>
        <w:outlineLvl w:val="0"/>
        <w:rPr>
          <w:rFonts w:ascii="宋体" w:hAnsi="宋体" w:cs="宋体"/>
          <w:b/>
          <w:color w:val="auto"/>
          <w:sz w:val="24"/>
          <w:highlight w:val="none"/>
        </w:rPr>
      </w:pPr>
      <w:bookmarkStart w:id="442" w:name="_Toc24300"/>
      <w:bookmarkStart w:id="443" w:name="_Toc21295"/>
      <w:bookmarkStart w:id="444" w:name="_Toc27126"/>
      <w:r>
        <w:rPr>
          <w:rFonts w:hint="eastAsia" w:ascii="宋体" w:hAnsi="宋体" w:cs="宋体"/>
          <w:b/>
          <w:color w:val="auto"/>
          <w:sz w:val="24"/>
          <w:highlight w:val="none"/>
        </w:rPr>
        <w:t>1.2 货物</w:t>
      </w:r>
      <w:bookmarkEnd w:id="442"/>
      <w:bookmarkEnd w:id="443"/>
      <w:bookmarkEnd w:id="444"/>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pPr>
        <w:spacing w:line="560" w:lineRule="exact"/>
        <w:ind w:firstLine="482" w:firstLineChars="200"/>
        <w:outlineLvl w:val="0"/>
        <w:rPr>
          <w:rFonts w:ascii="宋体" w:hAnsi="宋体" w:cs="宋体"/>
          <w:b/>
          <w:color w:val="auto"/>
          <w:sz w:val="24"/>
          <w:highlight w:val="none"/>
        </w:rPr>
      </w:pPr>
      <w:bookmarkStart w:id="445" w:name="_Toc23292"/>
      <w:bookmarkStart w:id="446" w:name="_Toc21631"/>
      <w:bookmarkStart w:id="447" w:name="_Toc21551"/>
      <w:r>
        <w:rPr>
          <w:rFonts w:hint="eastAsia" w:ascii="宋体" w:hAnsi="宋体" w:cs="宋体"/>
          <w:b/>
          <w:color w:val="auto"/>
          <w:sz w:val="24"/>
          <w:highlight w:val="none"/>
        </w:rPr>
        <w:t>1.3 价款</w:t>
      </w:r>
      <w:bookmarkEnd w:id="445"/>
      <w:bookmarkEnd w:id="446"/>
      <w:bookmarkEnd w:id="44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Ansi="宋体" w:cs="宋体"/>
                <w:color w:val="auto"/>
                <w:sz w:val="24"/>
                <w:szCs w:val="24"/>
                <w:highlight w:val="none"/>
              </w:rPr>
            </w:pPr>
          </w:p>
        </w:tc>
      </w:tr>
    </w:tbl>
    <w:p>
      <w:pPr>
        <w:pStyle w:val="959"/>
        <w:spacing w:before="0" w:beforeAutospacing="0" w:after="0" w:afterAutospacing="0" w:line="360" w:lineRule="auto"/>
        <w:ind w:firstLine="480"/>
        <w:rPr>
          <w:b/>
          <w:color w:val="auto"/>
          <w:highlight w:val="none"/>
        </w:rPr>
      </w:pPr>
      <w:bookmarkStart w:id="448" w:name="_Toc1814"/>
      <w:bookmarkStart w:id="449" w:name="_Toc10340"/>
      <w:bookmarkStart w:id="450" w:name="_Toc22618"/>
      <w:r>
        <w:rPr>
          <w:rFonts w:hint="eastAsia"/>
          <w:b/>
          <w:color w:val="auto"/>
          <w:highlight w:val="none"/>
        </w:rPr>
        <w:t>1.4履约保证金</w:t>
      </w:r>
    </w:p>
    <w:p>
      <w:pPr>
        <w:pStyle w:val="959"/>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是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5"/>
        <w:tabs>
          <w:tab w:val="left" w:pos="0"/>
          <w:tab w:val="clear" w:pos="432"/>
        </w:tabs>
        <w:spacing w:line="560" w:lineRule="exact"/>
        <w:ind w:left="0" w:firstLine="480" w:firstLineChars="200"/>
        <w:rPr>
          <w:rFonts w:eastAsia="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color w:val="auto"/>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48"/>
      <w:bookmarkEnd w:id="449"/>
      <w:bookmarkEnd w:id="450"/>
      <w:r>
        <w:rPr>
          <w:rFonts w:hint="eastAsia" w:ascii="宋体" w:hAnsi="宋体" w:cs="宋体"/>
          <w:b/>
          <w:color w:val="auto"/>
          <w:sz w:val="24"/>
          <w:highlight w:val="none"/>
        </w:rPr>
        <w:t>预付款</w:t>
      </w:r>
    </w:p>
    <w:p>
      <w:pPr>
        <w:pStyle w:val="959"/>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959"/>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9"/>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9"/>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959"/>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1" w:name="_Toc2846"/>
      <w:bookmarkStart w:id="452" w:name="_Toc32071"/>
      <w:bookmarkStart w:id="453" w:name="_Toc19304"/>
      <w:r>
        <w:rPr>
          <w:rFonts w:hint="eastAsia" w:ascii="宋体" w:hAnsi="宋体" w:cs="宋体"/>
          <w:b/>
          <w:color w:val="auto"/>
          <w:sz w:val="24"/>
          <w:highlight w:val="none"/>
        </w:rPr>
        <w:t>1.7货物交付期限、地点和方式</w:t>
      </w:r>
      <w:bookmarkEnd w:id="451"/>
      <w:bookmarkEnd w:id="452"/>
      <w:bookmarkEnd w:id="453"/>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4" w:name="_Toc21423"/>
      <w:bookmarkStart w:id="455" w:name="_Toc19554"/>
      <w:bookmarkStart w:id="456" w:name="_Toc27250"/>
      <w:r>
        <w:rPr>
          <w:rFonts w:hint="eastAsia" w:ascii="宋体" w:hAnsi="宋体" w:cs="宋体"/>
          <w:b/>
          <w:color w:val="auto"/>
          <w:sz w:val="24"/>
          <w:highlight w:val="none"/>
        </w:rPr>
        <w:t>1.8违约责任</w:t>
      </w:r>
      <w:bookmarkEnd w:id="454"/>
      <w:bookmarkEnd w:id="455"/>
      <w:bookmarkEnd w:id="45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pacing w:line="560" w:lineRule="exact"/>
        <w:ind w:firstLine="482" w:firstLineChars="200"/>
        <w:outlineLvl w:val="0"/>
        <w:rPr>
          <w:rFonts w:ascii="宋体" w:hAnsi="宋体" w:cs="宋体"/>
          <w:b/>
          <w:color w:val="auto"/>
          <w:sz w:val="24"/>
          <w:highlight w:val="none"/>
        </w:rPr>
      </w:pPr>
      <w:bookmarkStart w:id="457" w:name="_Toc28375"/>
      <w:bookmarkStart w:id="458" w:name="_Toc15583"/>
      <w:bookmarkStart w:id="459" w:name="_Toc16021"/>
      <w:r>
        <w:rPr>
          <w:rFonts w:hint="eastAsia" w:ascii="宋体" w:hAnsi="宋体" w:cs="宋体"/>
          <w:b/>
          <w:color w:val="auto"/>
          <w:sz w:val="24"/>
          <w:highlight w:val="none"/>
        </w:rPr>
        <w:t>1.9合同争议的解决</w:t>
      </w:r>
      <w:bookmarkEnd w:id="457"/>
      <w:bookmarkEnd w:id="458"/>
      <w:bookmarkEnd w:id="459"/>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bookmarkStart w:id="460" w:name="_Toc11173"/>
      <w:bookmarkStart w:id="461" w:name="_Toc7245"/>
      <w:bookmarkStart w:id="462" w:name="_Toc15322"/>
      <w:r>
        <w:rPr>
          <w:rFonts w:hint="eastAsia" w:ascii="宋体" w:hAnsi="宋体" w:cs="宋体"/>
          <w:b/>
          <w:color w:val="auto"/>
          <w:sz w:val="24"/>
          <w:highlight w:val="none"/>
        </w:rPr>
        <w:t>2.0 合同生效</w:t>
      </w:r>
      <w:bookmarkEnd w:id="460"/>
      <w:bookmarkEnd w:id="461"/>
      <w:bookmarkEnd w:id="462"/>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pStyle w:val="701"/>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pPr>
        <w:spacing w:line="560" w:lineRule="exact"/>
        <w:ind w:firstLine="482" w:firstLineChars="200"/>
        <w:outlineLvl w:val="0"/>
        <w:rPr>
          <w:rFonts w:ascii="宋体" w:hAnsi="宋体" w:cs="宋体"/>
          <w:b/>
          <w:color w:val="auto"/>
          <w:sz w:val="24"/>
          <w:highlight w:val="none"/>
        </w:rPr>
      </w:pPr>
      <w:bookmarkStart w:id="463" w:name="_Ref467379214"/>
      <w:bookmarkStart w:id="464" w:name="_Ref467378463"/>
      <w:bookmarkStart w:id="465" w:name="_Toc28763"/>
      <w:bookmarkStart w:id="466" w:name="_Toc19614"/>
      <w:bookmarkStart w:id="467" w:name="_Ref467379205"/>
      <w:bookmarkStart w:id="468" w:name="_Ref467379109"/>
      <w:bookmarkStart w:id="469" w:name="_Toc279701240"/>
      <w:bookmarkStart w:id="470" w:name="_Ref467379225"/>
      <w:bookmarkStart w:id="471" w:name="_Toc487900349"/>
      <w:bookmarkStart w:id="472" w:name="_Toc16917"/>
      <w:bookmarkStart w:id="473" w:name="_Ref467379094"/>
      <w:bookmarkStart w:id="474" w:name="_Ref467378499"/>
      <w:bookmarkStart w:id="475" w:name="_Ref467378404"/>
      <w:bookmarkStart w:id="476" w:name="_Ref467379195"/>
      <w:bookmarkStart w:id="477" w:name="_Ref467379101"/>
      <w:bookmarkStart w:id="478" w:name="_Toc259093669"/>
      <w:r>
        <w:rPr>
          <w:rFonts w:hint="eastAsia" w:ascii="宋体" w:hAnsi="宋体" w:cs="宋体"/>
          <w:b/>
          <w:color w:val="auto"/>
          <w:sz w:val="24"/>
          <w:highlight w:val="none"/>
        </w:rPr>
        <w:t>2.1 定义</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auto"/>
          <w:sz w:val="24"/>
          <w:highlight w:val="none"/>
        </w:rPr>
      </w:pPr>
      <w:bookmarkStart w:id="479" w:name="_Ref467378840"/>
      <w:r>
        <w:rPr>
          <w:rFonts w:hint="eastAsia" w:ascii="宋体" w:hAnsi="宋体" w:cs="宋体"/>
          <w:color w:val="auto"/>
          <w:sz w:val="24"/>
          <w:highlight w:val="none"/>
        </w:rPr>
        <w:t>2.1.4 “甲方”系指与中标或成交供应商签署合同的采购人</w:t>
      </w:r>
      <w:bookmarkEnd w:id="479"/>
      <w:r>
        <w:rPr>
          <w:rFonts w:hint="eastAsia" w:ascii="宋体" w:hAnsi="宋体" w:cs="宋体"/>
          <w:color w:val="auto"/>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auto"/>
          <w:sz w:val="24"/>
          <w:highlight w:val="none"/>
        </w:rPr>
      </w:pPr>
      <w:bookmarkStart w:id="480" w:name="_Ref467379400"/>
      <w:r>
        <w:rPr>
          <w:rFonts w:hint="eastAsia" w:ascii="宋体" w:hAnsi="宋体" w:cs="宋体"/>
          <w:color w:val="auto"/>
          <w:sz w:val="24"/>
          <w:highlight w:val="none"/>
        </w:rPr>
        <w:t>2.1.5 “乙方”系指根据合同约定交付货物的中标或成交供应商</w:t>
      </w:r>
      <w:bookmarkEnd w:id="480"/>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auto"/>
          <w:sz w:val="24"/>
          <w:highlight w:val="none"/>
        </w:rPr>
      </w:pPr>
      <w:bookmarkStart w:id="481" w:name="_Ref467379436"/>
      <w:r>
        <w:rPr>
          <w:rFonts w:hint="eastAsia" w:ascii="宋体" w:hAnsi="宋体" w:cs="宋体"/>
          <w:color w:val="auto"/>
          <w:sz w:val="24"/>
          <w:highlight w:val="none"/>
        </w:rPr>
        <w:t>2.1.6 “现场”系指合同约定货物将要运至或者安装的地点。</w:t>
      </w:r>
      <w:bookmarkEnd w:id="481"/>
    </w:p>
    <w:p>
      <w:pPr>
        <w:spacing w:line="560" w:lineRule="exact"/>
        <w:ind w:firstLine="482" w:firstLineChars="200"/>
        <w:outlineLvl w:val="0"/>
        <w:rPr>
          <w:rFonts w:ascii="宋体" w:hAnsi="宋体" w:cs="宋体"/>
          <w:b/>
          <w:color w:val="auto"/>
          <w:sz w:val="24"/>
          <w:highlight w:val="none"/>
        </w:rPr>
      </w:pPr>
      <w:bookmarkStart w:id="482" w:name="_Toc259093670"/>
      <w:bookmarkStart w:id="483" w:name="_Toc13336"/>
      <w:bookmarkStart w:id="484" w:name="_Toc32504"/>
      <w:bookmarkStart w:id="485" w:name="_Toc279701241"/>
      <w:bookmarkStart w:id="486" w:name="_Toc487900350"/>
      <w:bookmarkStart w:id="487" w:name="_Toc27635"/>
      <w:r>
        <w:rPr>
          <w:rFonts w:hint="eastAsia" w:ascii="宋体" w:hAnsi="宋体" w:cs="宋体"/>
          <w:b/>
          <w:color w:val="auto"/>
          <w:sz w:val="24"/>
          <w:highlight w:val="none"/>
        </w:rPr>
        <w:t>2.2 技术规范</w:t>
      </w:r>
      <w:bookmarkEnd w:id="482"/>
      <w:bookmarkEnd w:id="483"/>
      <w:bookmarkEnd w:id="484"/>
      <w:bookmarkEnd w:id="485"/>
      <w:bookmarkEnd w:id="486"/>
      <w:bookmarkEnd w:id="48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color w:val="auto"/>
          <w:sz w:val="24"/>
          <w:highlight w:val="none"/>
        </w:rPr>
      </w:pPr>
      <w:bookmarkStart w:id="488" w:name="_Toc9829"/>
      <w:bookmarkStart w:id="489" w:name="_Toc279701242"/>
      <w:bookmarkStart w:id="490" w:name="_Toc487900351"/>
      <w:bookmarkStart w:id="491" w:name="_Toc31634"/>
      <w:bookmarkStart w:id="492" w:name="_Toc259093671"/>
      <w:bookmarkStart w:id="493" w:name="_Toc27853"/>
      <w:r>
        <w:rPr>
          <w:rFonts w:hint="eastAsia" w:ascii="宋体" w:hAnsi="宋体" w:cs="宋体"/>
          <w:b/>
          <w:color w:val="auto"/>
          <w:sz w:val="24"/>
          <w:highlight w:val="none"/>
        </w:rPr>
        <w:t>2.3 知识产权</w:t>
      </w:r>
      <w:bookmarkEnd w:id="488"/>
      <w:bookmarkEnd w:id="489"/>
      <w:bookmarkEnd w:id="490"/>
      <w:bookmarkEnd w:id="491"/>
      <w:bookmarkEnd w:id="492"/>
      <w:bookmarkEnd w:id="49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94" w:name="_Toc4194"/>
      <w:bookmarkStart w:id="495" w:name="_Toc29149"/>
      <w:bookmarkStart w:id="496" w:name="_Toc11932"/>
      <w:r>
        <w:rPr>
          <w:rFonts w:hint="eastAsia" w:ascii="宋体" w:hAnsi="宋体" w:cs="宋体"/>
          <w:b/>
          <w:color w:val="auto"/>
          <w:sz w:val="24"/>
          <w:highlight w:val="none"/>
        </w:rPr>
        <w:t>2.4 包装和装运</w:t>
      </w:r>
      <w:bookmarkEnd w:id="494"/>
      <w:bookmarkEnd w:id="495"/>
      <w:bookmarkEnd w:id="49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97" w:name="_Ref467378591"/>
      <w:bookmarkStart w:id="498" w:name="_Ref467378541"/>
      <w:bookmarkStart w:id="499" w:name="_Toc487900354"/>
      <w:bookmarkStart w:id="500" w:name="_Ref467379527"/>
      <w:bookmarkStart w:id="501" w:name="_Toc279701245"/>
      <w:bookmarkStart w:id="502" w:name="_Ref467379536"/>
      <w:bookmarkStart w:id="503" w:name="_Toc259093674"/>
      <w:bookmarkStart w:id="504" w:name="_Ref467379542"/>
      <w:bookmarkStart w:id="505" w:name="_Toc30272"/>
      <w:bookmarkStart w:id="506" w:name="_Toc19074"/>
      <w:bookmarkStart w:id="507" w:name="_Toc26182"/>
      <w:r>
        <w:rPr>
          <w:rFonts w:hint="eastAsia" w:ascii="宋体" w:hAnsi="宋体" w:cs="宋体"/>
          <w:b/>
          <w:color w:val="auto"/>
          <w:sz w:val="24"/>
          <w:highlight w:val="none"/>
        </w:rPr>
        <w:t>2.</w:t>
      </w:r>
      <w:bookmarkEnd w:id="497"/>
      <w:bookmarkEnd w:id="498"/>
      <w:bookmarkEnd w:id="499"/>
      <w:bookmarkEnd w:id="500"/>
      <w:bookmarkEnd w:id="501"/>
      <w:bookmarkEnd w:id="502"/>
      <w:bookmarkEnd w:id="503"/>
      <w:bookmarkEnd w:id="504"/>
      <w:r>
        <w:rPr>
          <w:rFonts w:hint="eastAsia" w:ascii="宋体" w:hAnsi="宋体" w:cs="宋体"/>
          <w:b/>
          <w:color w:val="auto"/>
          <w:sz w:val="24"/>
          <w:highlight w:val="none"/>
        </w:rPr>
        <w:t>5 履约检查和问题反馈</w:t>
      </w:r>
      <w:bookmarkEnd w:id="505"/>
      <w:bookmarkEnd w:id="506"/>
      <w:bookmarkEnd w:id="507"/>
    </w:p>
    <w:p>
      <w:pPr>
        <w:spacing w:line="560" w:lineRule="exact"/>
        <w:ind w:firstLine="480" w:firstLineChars="200"/>
        <w:rPr>
          <w:rFonts w:ascii="宋体" w:hAnsi="宋体" w:cs="宋体"/>
          <w:color w:val="auto"/>
          <w:sz w:val="24"/>
          <w:highlight w:val="none"/>
        </w:rPr>
      </w:pPr>
      <w:bookmarkStart w:id="508" w:name="_Ref467379657"/>
      <w:r>
        <w:rPr>
          <w:rFonts w:hint="eastAsia" w:ascii="宋体" w:hAnsi="宋体" w:cs="宋体"/>
          <w:color w:val="auto"/>
          <w:sz w:val="24"/>
          <w:highlight w:val="none"/>
        </w:rPr>
        <w:t>2.5.1</w:t>
      </w:r>
      <w:bookmarkEnd w:id="508"/>
      <w:bookmarkStart w:id="509" w:name="_Toc186431854"/>
      <w:bookmarkStart w:id="510" w:name="_Toc487900357"/>
      <w:bookmarkStart w:id="511" w:name="_Toc259093676"/>
      <w:bookmarkStart w:id="512" w:name="_Ref467379807"/>
      <w:bookmarkStart w:id="513" w:name="_Toc279701247"/>
      <w:bookmarkStart w:id="514" w:name="_Ref467379793"/>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509"/>
      <w:bookmarkStart w:id="515" w:name="_Toc186431855"/>
      <w:r>
        <w:rPr>
          <w:rFonts w:hint="eastAsia" w:ascii="宋体" w:hAnsi="宋体" w:cs="宋体"/>
          <w:color w:val="auto"/>
          <w:sz w:val="24"/>
          <w:highlight w:val="none"/>
        </w:rPr>
        <w:t>。</w:t>
      </w:r>
    </w:p>
    <w:bookmarkEnd w:id="510"/>
    <w:bookmarkEnd w:id="511"/>
    <w:bookmarkEnd w:id="512"/>
    <w:bookmarkEnd w:id="513"/>
    <w:bookmarkEnd w:id="514"/>
    <w:bookmarkEnd w:id="515"/>
    <w:p>
      <w:pPr>
        <w:spacing w:line="560" w:lineRule="exact"/>
        <w:ind w:firstLine="482" w:firstLineChars="200"/>
        <w:outlineLvl w:val="0"/>
        <w:rPr>
          <w:rFonts w:ascii="宋体" w:hAnsi="宋体" w:cs="宋体"/>
          <w:b/>
          <w:color w:val="auto"/>
          <w:sz w:val="24"/>
          <w:highlight w:val="none"/>
        </w:rPr>
      </w:pPr>
      <w:bookmarkStart w:id="516" w:name="_Ref467379852"/>
      <w:bookmarkStart w:id="517" w:name="_Ref467379863"/>
      <w:bookmarkStart w:id="518" w:name="_Toc279701248"/>
      <w:bookmarkStart w:id="519" w:name="_Toc259093677"/>
      <w:bookmarkStart w:id="520" w:name="_Toc487900358"/>
      <w:bookmarkStart w:id="521" w:name="_Ref467379923"/>
      <w:bookmarkStart w:id="522" w:name="_Toc3225"/>
      <w:bookmarkStart w:id="523" w:name="_Toc774"/>
      <w:bookmarkStart w:id="524" w:name="_Toc16110"/>
      <w:r>
        <w:rPr>
          <w:rFonts w:hint="eastAsia" w:ascii="宋体" w:hAnsi="宋体" w:cs="宋体"/>
          <w:b/>
          <w:color w:val="auto"/>
          <w:sz w:val="24"/>
          <w:highlight w:val="none"/>
        </w:rPr>
        <w:t>2.6 技术资料</w:t>
      </w:r>
      <w:bookmarkEnd w:id="516"/>
      <w:bookmarkEnd w:id="517"/>
      <w:bookmarkEnd w:id="518"/>
      <w:bookmarkEnd w:id="519"/>
      <w:bookmarkEnd w:id="520"/>
      <w:bookmarkEnd w:id="521"/>
      <w:r>
        <w:rPr>
          <w:rFonts w:hint="eastAsia" w:ascii="宋体" w:hAnsi="宋体" w:cs="宋体"/>
          <w:b/>
          <w:color w:val="auto"/>
          <w:sz w:val="24"/>
          <w:highlight w:val="none"/>
        </w:rPr>
        <w:t>和保密义务</w:t>
      </w:r>
      <w:bookmarkEnd w:id="522"/>
      <w:bookmarkEnd w:id="523"/>
      <w:bookmarkEnd w:id="52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color w:val="auto"/>
          <w:sz w:val="24"/>
          <w:highlight w:val="none"/>
        </w:rPr>
      </w:pPr>
      <w:bookmarkStart w:id="525" w:name="_Toc7860"/>
      <w:r>
        <w:rPr>
          <w:rFonts w:hint="eastAsia" w:ascii="宋体" w:hAnsi="宋体" w:cs="宋体"/>
          <w:b/>
          <w:color w:val="auto"/>
          <w:sz w:val="24"/>
          <w:highlight w:val="none"/>
        </w:rPr>
        <w:t>2.7 质量保证</w:t>
      </w:r>
      <w:bookmarkEnd w:id="525"/>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color w:val="auto"/>
          <w:sz w:val="24"/>
          <w:highlight w:val="none"/>
        </w:rPr>
      </w:pPr>
      <w:bookmarkStart w:id="526" w:name="_Toc17244"/>
      <w:bookmarkStart w:id="527" w:name="_Toc259093681"/>
      <w:bookmarkStart w:id="528" w:name="_Toc487900362"/>
      <w:bookmarkStart w:id="529" w:name="_Toc279701252"/>
      <w:r>
        <w:rPr>
          <w:rFonts w:hint="eastAsia" w:ascii="宋体" w:hAnsi="宋体" w:cs="宋体"/>
          <w:b/>
          <w:color w:val="auto"/>
          <w:sz w:val="24"/>
          <w:highlight w:val="none"/>
        </w:rPr>
        <w:t>2.8 货物的风险负担</w:t>
      </w:r>
      <w:bookmarkEnd w:id="526"/>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530" w:name="_Toc14055"/>
      <w:r>
        <w:rPr>
          <w:rFonts w:hint="eastAsia" w:ascii="宋体" w:hAnsi="宋体" w:cs="宋体"/>
          <w:b/>
          <w:color w:val="auto"/>
          <w:sz w:val="24"/>
          <w:highlight w:val="none"/>
        </w:rPr>
        <w:t>2.9 延迟交货</w:t>
      </w:r>
      <w:bookmarkEnd w:id="527"/>
      <w:bookmarkEnd w:id="528"/>
      <w:bookmarkEnd w:id="529"/>
      <w:bookmarkEnd w:id="530"/>
    </w:p>
    <w:p>
      <w:pPr>
        <w:spacing w:line="560" w:lineRule="exact"/>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color w:val="auto"/>
          <w:sz w:val="24"/>
          <w:highlight w:val="none"/>
        </w:rPr>
      </w:pPr>
      <w:bookmarkStart w:id="531" w:name="_Toc7502"/>
      <w:bookmarkStart w:id="532" w:name="_Ref467378121"/>
      <w:bookmarkStart w:id="533" w:name="_Toc487900364"/>
      <w:bookmarkStart w:id="534" w:name="_Toc259093683"/>
      <w:bookmarkStart w:id="535" w:name="_Toc279701254"/>
      <w:r>
        <w:rPr>
          <w:rFonts w:hint="eastAsia" w:ascii="宋体" w:hAnsi="宋体" w:cs="宋体"/>
          <w:b/>
          <w:color w:val="auto"/>
          <w:sz w:val="24"/>
          <w:highlight w:val="none"/>
        </w:rPr>
        <w:t>2.10 合同变更</w:t>
      </w:r>
      <w:bookmarkEnd w:id="53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36" w:name="_Toc259093688"/>
      <w:bookmarkStart w:id="537" w:name="_Toc487900369"/>
      <w:bookmarkStart w:id="538" w:name="_Toc279701259"/>
    </w:p>
    <w:p>
      <w:pPr>
        <w:spacing w:line="560" w:lineRule="exact"/>
        <w:ind w:firstLine="482" w:firstLineChars="200"/>
        <w:outlineLvl w:val="0"/>
        <w:rPr>
          <w:rFonts w:ascii="宋体" w:hAnsi="宋体" w:cs="宋体"/>
          <w:b/>
          <w:color w:val="auto"/>
          <w:sz w:val="24"/>
          <w:highlight w:val="none"/>
        </w:rPr>
      </w:pPr>
      <w:bookmarkStart w:id="539" w:name="_Toc22955"/>
      <w:bookmarkStart w:id="540" w:name="_Toc15237"/>
      <w:bookmarkStart w:id="541" w:name="_Toc10366"/>
      <w:r>
        <w:rPr>
          <w:rFonts w:hint="eastAsia" w:ascii="宋体" w:hAnsi="宋体" w:cs="宋体"/>
          <w:b/>
          <w:color w:val="auto"/>
          <w:sz w:val="24"/>
          <w:highlight w:val="none"/>
        </w:rPr>
        <w:t>2.11 合同转让</w:t>
      </w:r>
      <w:bookmarkEnd w:id="536"/>
      <w:bookmarkEnd w:id="537"/>
      <w:bookmarkEnd w:id="538"/>
      <w:r>
        <w:rPr>
          <w:rFonts w:hint="eastAsia" w:ascii="宋体" w:hAnsi="宋体" w:cs="宋体"/>
          <w:b/>
          <w:color w:val="auto"/>
          <w:sz w:val="24"/>
          <w:highlight w:val="none"/>
        </w:rPr>
        <w:t>和分包</w:t>
      </w:r>
      <w:bookmarkEnd w:id="539"/>
      <w:bookmarkEnd w:id="540"/>
      <w:bookmarkEnd w:id="54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pacing w:line="560" w:lineRule="exact"/>
        <w:ind w:firstLine="482" w:firstLineChars="200"/>
        <w:outlineLvl w:val="0"/>
        <w:rPr>
          <w:rFonts w:ascii="宋体" w:hAnsi="宋体" w:cs="宋体"/>
          <w:b/>
          <w:color w:val="auto"/>
          <w:sz w:val="24"/>
          <w:highlight w:val="none"/>
        </w:rPr>
      </w:pPr>
      <w:bookmarkStart w:id="542" w:name="_Toc13566"/>
      <w:bookmarkStart w:id="543" w:name="_Toc14066"/>
      <w:bookmarkStart w:id="544" w:name="_Toc16508"/>
      <w:r>
        <w:rPr>
          <w:rFonts w:hint="eastAsia" w:ascii="宋体" w:hAnsi="宋体" w:cs="宋体"/>
          <w:b/>
          <w:color w:val="auto"/>
          <w:sz w:val="24"/>
          <w:highlight w:val="none"/>
        </w:rPr>
        <w:t>2.12 不可抗力</w:t>
      </w:r>
      <w:bookmarkEnd w:id="542"/>
      <w:bookmarkEnd w:id="543"/>
      <w:bookmarkEnd w:id="54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pacing w:line="560" w:lineRule="exact"/>
        <w:ind w:firstLine="482" w:firstLineChars="200"/>
        <w:outlineLvl w:val="0"/>
        <w:rPr>
          <w:rFonts w:ascii="宋体" w:hAnsi="宋体" w:cs="宋体"/>
          <w:b/>
          <w:color w:val="auto"/>
          <w:sz w:val="24"/>
          <w:highlight w:val="none"/>
        </w:rPr>
      </w:pPr>
      <w:bookmarkStart w:id="545" w:name="_Toc30676"/>
      <w:bookmarkStart w:id="546" w:name="_Toc279701255"/>
      <w:bookmarkStart w:id="547" w:name="_Toc259093684"/>
      <w:bookmarkStart w:id="548" w:name="_Toc487900365"/>
      <w:bookmarkStart w:id="549" w:name="_Toc689"/>
      <w:bookmarkStart w:id="550" w:name="_Toc6969"/>
      <w:r>
        <w:rPr>
          <w:rFonts w:hint="eastAsia" w:ascii="宋体" w:hAnsi="宋体" w:cs="宋体"/>
          <w:b/>
          <w:color w:val="auto"/>
          <w:sz w:val="24"/>
          <w:highlight w:val="none"/>
        </w:rPr>
        <w:t>2.13 税费</w:t>
      </w:r>
      <w:bookmarkEnd w:id="545"/>
      <w:bookmarkEnd w:id="546"/>
      <w:bookmarkEnd w:id="547"/>
      <w:bookmarkEnd w:id="548"/>
      <w:bookmarkEnd w:id="549"/>
      <w:bookmarkEnd w:id="55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560" w:lineRule="exact"/>
        <w:ind w:firstLine="482" w:firstLineChars="200"/>
        <w:outlineLvl w:val="0"/>
        <w:rPr>
          <w:rFonts w:ascii="宋体" w:hAnsi="宋体" w:cs="宋体"/>
          <w:b/>
          <w:color w:val="auto"/>
          <w:sz w:val="24"/>
          <w:highlight w:val="none"/>
        </w:rPr>
      </w:pPr>
      <w:bookmarkStart w:id="551" w:name="_Toc487900368"/>
      <w:bookmarkStart w:id="552" w:name="_Toc259093687"/>
      <w:bookmarkStart w:id="553" w:name="_Toc16959"/>
      <w:bookmarkStart w:id="554" w:name="_Toc8298"/>
      <w:bookmarkStart w:id="555" w:name="_Toc279701258"/>
      <w:bookmarkStart w:id="556" w:name="_Toc7102"/>
      <w:r>
        <w:rPr>
          <w:rFonts w:hint="eastAsia" w:ascii="宋体" w:hAnsi="宋体" w:cs="宋体"/>
          <w:b/>
          <w:color w:val="auto"/>
          <w:sz w:val="24"/>
          <w:highlight w:val="none"/>
        </w:rPr>
        <w:t>2.14乙方破产</w:t>
      </w:r>
      <w:bookmarkEnd w:id="551"/>
      <w:bookmarkEnd w:id="552"/>
      <w:bookmarkEnd w:id="553"/>
      <w:bookmarkEnd w:id="554"/>
      <w:bookmarkEnd w:id="555"/>
      <w:bookmarkEnd w:id="55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color w:val="auto"/>
          <w:sz w:val="24"/>
          <w:highlight w:val="none"/>
        </w:rPr>
      </w:pPr>
      <w:bookmarkStart w:id="557" w:name="_Toc6134"/>
      <w:bookmarkStart w:id="558" w:name="_Toc29333"/>
      <w:bookmarkStart w:id="559" w:name="_Toc15387"/>
      <w:r>
        <w:rPr>
          <w:rFonts w:hint="eastAsia" w:ascii="宋体" w:hAnsi="宋体" w:cs="宋体"/>
          <w:b/>
          <w:color w:val="auto"/>
          <w:sz w:val="24"/>
          <w:highlight w:val="none"/>
        </w:rPr>
        <w:t>2.15 合同中止、终止</w:t>
      </w:r>
      <w:bookmarkEnd w:id="557"/>
      <w:bookmarkEnd w:id="558"/>
      <w:bookmarkEnd w:id="559"/>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color w:val="auto"/>
          <w:sz w:val="24"/>
          <w:highlight w:val="none"/>
        </w:rPr>
      </w:pPr>
      <w:bookmarkStart w:id="560" w:name="_Toc1125"/>
      <w:bookmarkStart w:id="561" w:name="_Toc6596"/>
      <w:bookmarkStart w:id="562" w:name="_Toc14563"/>
      <w:r>
        <w:rPr>
          <w:rFonts w:hint="eastAsia" w:ascii="宋体" w:hAnsi="宋体" w:cs="宋体"/>
          <w:b/>
          <w:color w:val="auto"/>
          <w:sz w:val="24"/>
          <w:highlight w:val="none"/>
        </w:rPr>
        <w:t>2.16检验和验收</w:t>
      </w:r>
      <w:bookmarkEnd w:id="560"/>
      <w:bookmarkEnd w:id="561"/>
      <w:bookmarkEnd w:id="562"/>
    </w:p>
    <w:p>
      <w:pPr>
        <w:tabs>
          <w:tab w:val="left" w:pos="360"/>
          <w:tab w:val="left" w:pos="540"/>
          <w:tab w:val="left" w:pos="1080"/>
        </w:tabs>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 xml:space="preserve">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532"/>
    <w:bookmarkEnd w:id="533"/>
    <w:bookmarkEnd w:id="534"/>
    <w:bookmarkEnd w:id="535"/>
    <w:p>
      <w:pPr>
        <w:spacing w:line="560" w:lineRule="exact"/>
        <w:ind w:firstLine="482" w:firstLineChars="200"/>
        <w:outlineLvl w:val="0"/>
        <w:rPr>
          <w:rFonts w:ascii="宋体" w:hAnsi="宋体" w:cs="宋体"/>
          <w:b/>
          <w:color w:val="auto"/>
          <w:sz w:val="24"/>
          <w:highlight w:val="none"/>
        </w:rPr>
      </w:pPr>
      <w:bookmarkStart w:id="563" w:name="_Toc279701261"/>
      <w:bookmarkStart w:id="564" w:name="_Toc487900371"/>
      <w:bookmarkStart w:id="565" w:name="_Toc259093690"/>
      <w:bookmarkStart w:id="566" w:name="_Toc19604"/>
      <w:bookmarkStart w:id="567" w:name="_Toc11284"/>
      <w:bookmarkStart w:id="568" w:name="_Toc25182"/>
      <w:r>
        <w:rPr>
          <w:rFonts w:hint="eastAsia" w:ascii="宋体" w:hAnsi="宋体" w:cs="宋体"/>
          <w:b/>
          <w:color w:val="auto"/>
          <w:sz w:val="24"/>
          <w:highlight w:val="none"/>
        </w:rPr>
        <w:t>2.17 通知</w:t>
      </w:r>
      <w:bookmarkEnd w:id="563"/>
      <w:bookmarkEnd w:id="564"/>
      <w:bookmarkEnd w:id="565"/>
      <w:r>
        <w:rPr>
          <w:rFonts w:hint="eastAsia" w:ascii="宋体" w:hAnsi="宋体" w:cs="宋体"/>
          <w:b/>
          <w:color w:val="auto"/>
          <w:sz w:val="24"/>
          <w:highlight w:val="none"/>
        </w:rPr>
        <w:t>和送达</w:t>
      </w:r>
      <w:bookmarkEnd w:id="566"/>
      <w:bookmarkEnd w:id="567"/>
      <w:bookmarkEnd w:id="568"/>
    </w:p>
    <w:p>
      <w:pPr>
        <w:spacing w:line="560" w:lineRule="exact"/>
        <w:ind w:firstLine="480" w:firstLineChars="200"/>
        <w:rPr>
          <w:rFonts w:ascii="宋体" w:hAnsi="宋体" w:cs="宋体"/>
          <w:color w:val="auto"/>
          <w:sz w:val="24"/>
          <w:highlight w:val="none"/>
        </w:rPr>
      </w:pPr>
      <w:bookmarkStart w:id="569" w:name="_Toc6698"/>
      <w:bookmarkStart w:id="570" w:name="_Toc3135"/>
      <w:bookmarkStart w:id="571" w:name="_Toc259093691"/>
      <w:bookmarkStart w:id="572" w:name="_Toc279701262"/>
      <w:bookmarkStart w:id="573"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69"/>
      <w:bookmarkEnd w:id="570"/>
    </w:p>
    <w:p>
      <w:pPr>
        <w:spacing w:line="560" w:lineRule="exact"/>
        <w:ind w:firstLine="480" w:firstLineChars="200"/>
        <w:rPr>
          <w:rFonts w:ascii="宋体" w:hAnsi="宋体" w:cs="宋体"/>
          <w:color w:val="auto"/>
          <w:sz w:val="24"/>
          <w:highlight w:val="none"/>
        </w:rPr>
      </w:pPr>
      <w:bookmarkStart w:id="574" w:name="_Toc23128"/>
      <w:bookmarkStart w:id="575"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74"/>
      <w:bookmarkEnd w:id="575"/>
    </w:p>
    <w:p>
      <w:pPr>
        <w:spacing w:line="560" w:lineRule="exact"/>
        <w:ind w:firstLine="482" w:firstLineChars="200"/>
        <w:outlineLvl w:val="0"/>
        <w:rPr>
          <w:rFonts w:ascii="宋体" w:hAnsi="宋体" w:cs="宋体"/>
          <w:b/>
          <w:color w:val="auto"/>
          <w:sz w:val="24"/>
          <w:highlight w:val="none"/>
        </w:rPr>
      </w:pPr>
      <w:bookmarkStart w:id="576" w:name="_Toc30599"/>
      <w:bookmarkStart w:id="577" w:name="_Toc4355"/>
      <w:bookmarkStart w:id="578" w:name="_Toc18540"/>
      <w:r>
        <w:rPr>
          <w:rFonts w:hint="eastAsia" w:ascii="宋体" w:hAnsi="宋体" w:cs="宋体"/>
          <w:b/>
          <w:color w:val="auto"/>
          <w:sz w:val="24"/>
          <w:highlight w:val="none"/>
        </w:rPr>
        <w:t>2.18 计量单位</w:t>
      </w:r>
      <w:bookmarkEnd w:id="571"/>
      <w:bookmarkEnd w:id="572"/>
      <w:bookmarkEnd w:id="573"/>
      <w:bookmarkEnd w:id="576"/>
      <w:bookmarkEnd w:id="577"/>
      <w:bookmarkEnd w:id="57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pacing w:line="560" w:lineRule="exact"/>
        <w:ind w:firstLine="482" w:firstLineChars="200"/>
        <w:outlineLvl w:val="0"/>
        <w:rPr>
          <w:rFonts w:ascii="宋体" w:hAnsi="宋体" w:cs="宋体"/>
          <w:b/>
          <w:color w:val="auto"/>
          <w:sz w:val="24"/>
          <w:highlight w:val="none"/>
        </w:rPr>
      </w:pPr>
      <w:bookmarkStart w:id="579" w:name="_Toc487900373"/>
      <w:bookmarkStart w:id="580" w:name="_Toc10330"/>
      <w:bookmarkStart w:id="581" w:name="_Toc259093692"/>
      <w:bookmarkStart w:id="582" w:name="_Toc18567"/>
      <w:bookmarkStart w:id="583" w:name="_Toc12773"/>
      <w:bookmarkStart w:id="584" w:name="_Toc279701263"/>
      <w:r>
        <w:rPr>
          <w:rFonts w:hint="eastAsia" w:ascii="宋体" w:hAnsi="宋体" w:cs="宋体"/>
          <w:b/>
          <w:color w:val="auto"/>
          <w:sz w:val="24"/>
          <w:highlight w:val="none"/>
        </w:rPr>
        <w:t>2.19 合同使用的文字和适用的法律</w:t>
      </w:r>
      <w:bookmarkEnd w:id="579"/>
      <w:bookmarkEnd w:id="580"/>
      <w:bookmarkEnd w:id="581"/>
      <w:bookmarkEnd w:id="582"/>
      <w:bookmarkEnd w:id="583"/>
      <w:bookmarkEnd w:id="58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pacing w:line="560" w:lineRule="exact"/>
        <w:ind w:firstLine="482" w:firstLineChars="200"/>
        <w:outlineLvl w:val="0"/>
        <w:rPr>
          <w:rFonts w:ascii="宋体" w:hAnsi="宋体" w:cs="宋体"/>
          <w:b/>
          <w:color w:val="auto"/>
          <w:sz w:val="24"/>
          <w:highlight w:val="none"/>
        </w:rPr>
      </w:pPr>
      <w:bookmarkStart w:id="585" w:name="_Toc19890"/>
      <w:bookmarkStart w:id="586" w:name="_Toc14001"/>
      <w:bookmarkStart w:id="587" w:name="_Toc6885"/>
      <w:r>
        <w:rPr>
          <w:rFonts w:hint="eastAsia" w:ascii="宋体" w:hAnsi="宋体" w:cs="宋体"/>
          <w:b/>
          <w:color w:val="auto"/>
          <w:sz w:val="24"/>
          <w:highlight w:val="none"/>
        </w:rPr>
        <w:t>2.20 合同份数</w:t>
      </w:r>
      <w:bookmarkEnd w:id="585"/>
      <w:bookmarkEnd w:id="586"/>
      <w:bookmarkEnd w:id="58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adjustRightInd/>
        <w:spacing w:line="360" w:lineRule="auto"/>
        <w:ind w:firstLine="2513" w:firstLineChars="1197"/>
        <w:outlineLvl w:val="0"/>
        <w:rPr>
          <w:rFonts w:ascii="宋体" w:hAnsi="宋体" w:cs="宋体"/>
          <w:b/>
          <w:color w:val="auto"/>
          <w:highlight w:val="none"/>
        </w:rPr>
      </w:pPr>
      <w:r>
        <w:rPr>
          <w:rFonts w:hint="eastAsia" w:ascii="宋体" w:hAnsi="宋体" w:cs="宋体"/>
          <w:color w:val="auto"/>
          <w:kern w:val="0"/>
          <w:highlight w:val="none"/>
        </w:rPr>
        <w:br w:type="page"/>
      </w:r>
      <w:r>
        <w:rPr>
          <w:rFonts w:hint="eastAsia" w:ascii="宋体" w:hAnsi="宋体" w:cs="宋体"/>
          <w:b/>
          <w:color w:val="auto"/>
          <w:sz w:val="32"/>
          <w:szCs w:val="20"/>
          <w:highlight w:val="none"/>
        </w:rPr>
        <w:t xml:space="preserve"> 第三部分  合同专用条款</w:t>
      </w:r>
    </w:p>
    <w:p>
      <w:pPr>
        <w:spacing w:line="560" w:lineRule="exac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534"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4534" w:type="pct"/>
            <w:vAlign w:val="center"/>
          </w:tcPr>
          <w:p>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color w:val="auto"/>
                <w:sz w:val="24"/>
                <w:szCs w:val="24"/>
                <w:highlight w:val="none"/>
                <w:lang w:eastAsia="zh-CN"/>
              </w:rPr>
            </w:pPr>
            <w:r>
              <w:rPr>
                <w:rFonts w:hint="eastAsia" w:ascii="宋体" w:hAnsi="宋体" w:cs="宋体"/>
                <w:color w:val="auto"/>
                <w:sz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合同签订后</w:t>
            </w:r>
            <w:r>
              <w:rPr>
                <w:rFonts w:hint="eastAsia" w:ascii="宋体" w:hAnsi="宋体" w:eastAsia="宋体" w:cs="宋体"/>
                <w:b w:val="0"/>
                <w:bCs/>
                <w:color w:val="auto"/>
                <w:sz w:val="24"/>
                <w:szCs w:val="24"/>
                <w:highlight w:val="none"/>
                <w:lang w:val="en-US" w:eastAsia="zh-CN"/>
              </w:rPr>
              <w:t>1</w:t>
            </w:r>
            <w:r>
              <w:rPr>
                <w:rFonts w:hint="eastAsia"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日内，乙方当以支票、汇票、本票或者金融机构、担保机构出具的保函等非现金形式向甲方支付合同总价1%的履约保证金，作为乙方认真履行合同的条款的保证。如在服务过程中发现乙方提供的服务质量不能满足采购需求所需承担的违约金、赔偿金、罚金等费用，甲方有权直接从保证金中扣除，保证金不足以扣除的，甲方有权从进度款的服务费中扣除。</w:t>
            </w:r>
          </w:p>
          <w:p>
            <w:pPr>
              <w:pStyle w:val="3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b w:val="0"/>
                <w:bCs/>
                <w:color w:val="auto"/>
                <w:sz w:val="24"/>
                <w:szCs w:val="24"/>
                <w:highlight w:val="none"/>
                <w:lang w:val="en-US" w:eastAsia="zh-CN"/>
              </w:rPr>
              <w:t>2、杭州市政府采购网公布的供应商履约评价为满分的免收履约保证金。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4534" w:type="pct"/>
            <w:vAlign w:val="center"/>
          </w:tcPr>
          <w:p>
            <w:pPr>
              <w:spacing w:line="360" w:lineRule="auto"/>
              <w:rPr>
                <w:rFonts w:ascii="宋体" w:hAnsi="宋体" w:cs="宋体"/>
                <w:color w:val="auto"/>
                <w:sz w:val="32"/>
                <w:szCs w:val="32"/>
                <w:highlight w:val="none"/>
              </w:rPr>
            </w:pPr>
            <w:r>
              <w:rPr>
                <w:rFonts w:ascii="宋体" w:hAnsi="宋体" w:cs="宋体"/>
                <w:bCs/>
                <w:color w:val="auto"/>
                <w:sz w:val="24"/>
                <w:szCs w:val="24"/>
                <w:highlight w:val="none"/>
                <w:lang w:val="en-US" w:eastAsia="zh-CN"/>
              </w:rPr>
              <w:t>合同生效以及具备实施条件后</w:t>
            </w:r>
            <w:r>
              <w:rPr>
                <w:rFonts w:hint="eastAsia" w:ascii="宋体" w:hAnsi="宋体" w:cs="宋体"/>
                <w:bCs/>
                <w:color w:val="auto"/>
                <w:sz w:val="24"/>
                <w:szCs w:val="24"/>
                <w:highlight w:val="none"/>
                <w:lang w:val="en-US" w:eastAsia="zh-CN"/>
              </w:rPr>
              <w:t>5</w:t>
            </w:r>
            <w:r>
              <w:rPr>
                <w:rFonts w:ascii="宋体" w:hAnsi="宋体" w:cs="宋体"/>
                <w:bCs/>
                <w:color w:val="auto"/>
                <w:sz w:val="24"/>
                <w:szCs w:val="24"/>
                <w:highlight w:val="none"/>
                <w:lang w:val="en-US" w:eastAsia="zh-CN"/>
              </w:rPr>
              <w:t>个工作日内</w:t>
            </w:r>
            <w:r>
              <w:rPr>
                <w:rFonts w:ascii="宋体" w:hAnsi="宋体" w:cs="宋体"/>
                <w:bCs/>
                <w:color w:val="auto"/>
                <w:sz w:val="24"/>
                <w:szCs w:val="24"/>
                <w:highlight w:val="none"/>
              </w:rPr>
              <w:t>，预付合同价的50%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4534" w:type="pct"/>
            <w:vAlign w:val="center"/>
          </w:tcPr>
          <w:p>
            <w:pPr>
              <w:spacing w:line="360" w:lineRule="auto"/>
              <w:rPr>
                <w:rFonts w:hint="default" w:ascii="宋体" w:hAnsi="宋体" w:eastAsia="宋体" w:cs="宋体"/>
                <w:color w:val="auto"/>
                <w:sz w:val="32"/>
                <w:szCs w:val="32"/>
                <w:highlight w:val="none"/>
                <w:lang w:val="en-US" w:eastAsia="zh-CN"/>
              </w:rPr>
            </w:pPr>
            <w:r>
              <w:rPr>
                <w:rFonts w:hint="eastAsia" w:ascii="宋体" w:hAnsi="宋体" w:cs="宋体"/>
                <w:color w:val="auto"/>
                <w:sz w:val="32"/>
                <w:szCs w:val="32"/>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4534" w:type="pct"/>
            <w:vAlign w:val="center"/>
          </w:tcPr>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534" w:type="pct"/>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安装完成验收合格后付至结算价100%。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534" w:type="pct"/>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合同签订之日起</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0日历天内完成本项目的供货、安装及调试，并通过验收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8277" w:type="dxa"/>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项目所在地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8277" w:type="dxa"/>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交钥匙工程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4534" w:type="pct"/>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1.甲方无正当理由拒收货物的，甲方向乙方偿付拒收货款总值的百分之五违约金。</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2.甲方无故逾期验收和办理货款支付手续的,甲方应按逾期付款总额每日万分之五向乙方支付违约金。</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 xml:space="preserve">3.乙方逾期交付货物的，乙方应按逾期交货总额每日万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lang w:val="en-US" w:eastAsia="zh-CN"/>
              </w:rPr>
              <w:t>4.</w:t>
            </w:r>
            <w:r>
              <w:rPr>
                <w:rFonts w:hint="eastAsia" w:hAnsi="宋体" w:cs="宋体"/>
                <w:snapToGrid/>
                <w:color w:val="auto"/>
                <w:sz w:val="24"/>
                <w:szCs w:val="24"/>
                <w:highlight w:val="none"/>
                <w:lang w:eastAsia="zh-CN"/>
              </w:rPr>
              <w:t>乙方拟提供的货物型号、尺寸规格、材质需经甲方确认同意后方可进行生产、制作、供货。否则甲方有权拒绝接受未经确认的产品。</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lang w:val="en-US" w:eastAsia="zh-CN"/>
              </w:rPr>
              <w:t>5</w:t>
            </w:r>
            <w:r>
              <w:rPr>
                <w:rFonts w:hint="eastAsia" w:hAnsi="宋体" w:cs="宋体"/>
                <w:snapToGrid/>
                <w:color w:val="auto"/>
                <w:sz w:val="24"/>
                <w:szCs w:val="24"/>
                <w:highlight w:val="none"/>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lang w:val="en-US" w:eastAsia="zh-CN"/>
              </w:rPr>
              <w:t>6</w:t>
            </w:r>
            <w:r>
              <w:rPr>
                <w:rFonts w:hint="eastAsia" w:hAnsi="宋体" w:cs="宋体"/>
                <w:snapToGrid/>
                <w:color w:val="auto"/>
                <w:sz w:val="24"/>
                <w:szCs w:val="24"/>
                <w:highlight w:val="none"/>
              </w:rPr>
              <w:t>.自预付款担保交纳之日起至竣工验收合格后7日内有效，在此有效期截止日后14天内此预付款担保（如有剩余）解除。如工期延误，则承包人必须在有效期满前1个月办理预付款担保有效期顺延事宜，否则发包人有权不予支付工程款。</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lang w:val="en-US" w:eastAsia="zh-CN"/>
              </w:rPr>
              <w:t>7.</w:t>
            </w:r>
            <w:r>
              <w:rPr>
                <w:rFonts w:hint="eastAsia" w:hAnsi="宋体" w:cs="宋体"/>
                <w:snapToGrid/>
                <w:color w:val="auto"/>
                <w:sz w:val="24"/>
                <w:szCs w:val="24"/>
                <w:highlight w:val="none"/>
              </w:rPr>
              <w:t>银行、保险公司等金融机构出具的预付款保函。预付款担保的金额：合同金额的50%（不含暂列金）。预付款担保有效期合同履行期间如承包人出现违约情况，发包人将予以处罚，承包人应在接到处罚通知后15天内缴纳违约金，否则发包人有权停止支付工程进度款或从工程进度款中扣除。</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lang w:val="en-US" w:eastAsia="zh-CN"/>
              </w:rPr>
              <w:t>8.</w:t>
            </w:r>
            <w:r>
              <w:rPr>
                <w:rFonts w:hint="eastAsia" w:hAnsi="宋体" w:cs="宋体"/>
                <w:snapToGrid/>
                <w:color w:val="auto"/>
                <w:sz w:val="24"/>
                <w:szCs w:val="24"/>
                <w:highlight w:val="none"/>
              </w:rPr>
              <w:t>承包人提供履约担保的形式、金额及期限的：本工程要求承包人提供的履约担保金额为合同总价的1%（采用支票、汇票、转帐、银行保函、保险机构保证保险保单或融资担保公司保函等）；在合同签订后14天内提交，承包人若未按合同约定时间交纳履约担保，发包人将延迟支付工程款项并处以按迟交天数日乘合同价的万分之五的违约金。若采用履约保函形式，因故导致保函有效期在竣工验收前过期的，乙方无条件做好延期，未按时延期的，视同未按时交纳履约担保，按合同价的万分之五／日计算违约金。</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银行保函从签订本合同至竣工验收合格后90天内有效。</w:t>
            </w:r>
          </w:p>
          <w:p>
            <w:pPr>
              <w:spacing w:line="240" w:lineRule="auto"/>
              <w:jc w:val="both"/>
              <w:rPr>
                <w:rFonts w:ascii="宋体" w:hAnsi="宋体" w:cs="宋体"/>
                <w:color w:val="auto"/>
                <w:sz w:val="24"/>
                <w:highlight w:val="none"/>
              </w:rPr>
            </w:pPr>
            <w:r>
              <w:rPr>
                <w:rFonts w:hint="eastAsia" w:hAnsi="宋体" w:cs="宋体"/>
                <w:snapToGrid/>
                <w:color w:val="auto"/>
                <w:sz w:val="24"/>
                <w:szCs w:val="24"/>
                <w:highlight w:val="none"/>
              </w:rPr>
              <w:t>履约担保的退还：承包人完成全部合同约定内容，合同履约期间无违约行为，一次性竣工验收合格的，则在工程竣工验收合格后10日内，发包人退还履约担保（无息）。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4534" w:type="pct"/>
            <w:vAlign w:val="center"/>
          </w:tcPr>
          <w:p>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534" w:type="pct"/>
            <w:vAlign w:val="center"/>
          </w:tcPr>
          <w:p>
            <w:pPr>
              <w:spacing w:line="360" w:lineRule="auto"/>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归属于甲方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4534" w:type="pct"/>
            <w:vAlign w:val="center"/>
          </w:tcPr>
          <w:p>
            <w:pPr>
              <w:spacing w:line="360" w:lineRule="auto"/>
              <w:ind w:left="-420" w:leftChars="-200" w:right="-420" w:rightChars="-200"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4534" w:type="pct"/>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1. 乙方应在货物发运前对其进行满足运输距离、防潮、防震、防锈和防破损装卸等要求包装，以保证货物安全运达甲方指定地点。</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2. 使用说明书、质量检验证明书、随配附件和工具以及清单一并附于货物内。</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3. 乙方在货物发运手续办理完毕后24小时内或货到甲方48小时前通知甲方，以准备接货。</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hAnsi="宋体" w:cs="宋体"/>
                <w:snapToGrid/>
                <w:color w:val="auto"/>
                <w:sz w:val="24"/>
                <w:szCs w:val="24"/>
                <w:highlight w:val="none"/>
              </w:rPr>
            </w:pPr>
            <w:r>
              <w:rPr>
                <w:rFonts w:hint="eastAsia" w:hAnsi="宋体" w:cs="宋体"/>
                <w:snapToGrid/>
                <w:color w:val="auto"/>
                <w:sz w:val="24"/>
                <w:szCs w:val="24"/>
                <w:highlight w:val="none"/>
              </w:rPr>
              <w:t>4. 货物在交付甲方前发生的风险均由乙方负责。</w:t>
            </w:r>
          </w:p>
          <w:p>
            <w:pPr>
              <w:spacing w:line="360" w:lineRule="auto"/>
              <w:rPr>
                <w:rFonts w:ascii="宋体" w:hAnsi="宋体" w:cs="宋体"/>
                <w:color w:val="auto"/>
                <w:sz w:val="24"/>
                <w:highlight w:val="none"/>
              </w:rPr>
            </w:pPr>
            <w:r>
              <w:rPr>
                <w:rFonts w:hint="eastAsia" w:hAnsi="宋体" w:cs="宋体"/>
                <w:snapToGrid/>
                <w:color w:val="auto"/>
                <w:sz w:val="24"/>
                <w:szCs w:val="24"/>
                <w:highlight w:val="none"/>
              </w:rPr>
              <w:t>5. 货物在规定的交付期限内由乙方送达甲方指定的地点视为交付，乙方同时需通知甲方货物已送达。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4534" w:type="pct"/>
          </w:tcPr>
          <w:p>
            <w:pPr>
              <w:spacing w:line="360" w:lineRule="auto"/>
              <w:rPr>
                <w:rFonts w:ascii="宋体" w:hAnsi="宋体" w:cs="宋体"/>
                <w:color w:val="auto"/>
                <w:sz w:val="24"/>
                <w:highlight w:val="none"/>
              </w:rPr>
            </w:pPr>
            <w:r>
              <w:rPr>
                <w:rFonts w:hint="eastAsia" w:ascii="宋体" w:hAnsi="宋体" w:cs="宋体"/>
                <w:color w:val="auto"/>
                <w:sz w:val="24"/>
                <w:highlight w:val="none"/>
              </w:rPr>
              <w:t>货物在交付甲方前发生的风险均由乙方负责。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8277" w:type="dxa"/>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30日历天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8277" w:type="dxa"/>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14日历天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8277" w:type="dxa"/>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4534" w:type="pct"/>
            <w:vAlign w:val="center"/>
          </w:tcPr>
          <w:p>
            <w:pPr>
              <w:pStyle w:val="34"/>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1）根据中华人民共和国现行技术标准，按采购文件以及合同规定的验收评定标准等规范，由采购人根据《政府采购合同履约和验收管理办法（暂行）》组织验收。</w:t>
            </w:r>
          </w:p>
          <w:p>
            <w:pPr>
              <w:pStyle w:val="34"/>
              <w:tabs>
                <w:tab w:val="left" w:pos="0"/>
              </w:tabs>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2）运行结果符合合同要求。</w:t>
            </w:r>
          </w:p>
          <w:p>
            <w:pPr>
              <w:pStyle w:val="34"/>
              <w:tabs>
                <w:tab w:val="left" w:pos="0"/>
              </w:tabs>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3）在进行测试和验收、运行过程中发生的故障和发现的问题已被排除，并得到采购人的认可。</w:t>
            </w:r>
          </w:p>
          <w:p>
            <w:pPr>
              <w:pStyle w:val="34"/>
              <w:tabs>
                <w:tab w:val="left" w:pos="0"/>
              </w:tabs>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4）所有合同中规定的设备，备品备件、专用工具都已提交。</w:t>
            </w:r>
          </w:p>
          <w:p>
            <w:pPr>
              <w:pStyle w:val="34"/>
              <w:tabs>
                <w:tab w:val="left" w:pos="0"/>
              </w:tabs>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5）整套设备图纸及技术文件都已提交并得到接受。主要包括：</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检验记录，试验报告及质量合格证及按国家安全检测规定批准文件等出厂报告。</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设备和备品管理资料文件，包括设备和备品发运和装箱的详细资料（各种清单），设备和备品存放保管技术要求，运输超重和超大件的明细表和外形图。</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详细的产品质量文件。</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安装、运行、维护、检修所需的详尽图纸和技术文件等。</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安装、运行、维护、检修说明书。</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有关标准，规程规定应提交的技术文件、资料。</w:t>
            </w:r>
          </w:p>
          <w:p>
            <w:pPr>
              <w:pStyle w:val="34"/>
              <w:numPr>
                <w:ilvl w:val="0"/>
                <w:numId w:val="7"/>
              </w:numPr>
              <w:adjustRightInd/>
              <w:spacing w:line="360" w:lineRule="auto"/>
              <w:rPr>
                <w:rFonts w:hint="eastAsia" w:ascii="Times New Roman" w:hAnsi="宋体" w:eastAsia="宋体" w:cs="宋体"/>
                <w:snapToGrid/>
                <w:color w:val="auto"/>
                <w:kern w:val="2"/>
                <w:sz w:val="24"/>
                <w:szCs w:val="24"/>
                <w:highlight w:val="none"/>
                <w:lang w:val="en-US" w:eastAsia="zh-CN" w:bidi="ar-SA"/>
              </w:rPr>
            </w:pPr>
            <w:r>
              <w:rPr>
                <w:rFonts w:hint="eastAsia" w:ascii="Times New Roman" w:hAnsi="宋体" w:eastAsia="宋体" w:cs="宋体"/>
                <w:snapToGrid/>
                <w:color w:val="auto"/>
                <w:kern w:val="2"/>
                <w:sz w:val="24"/>
                <w:szCs w:val="24"/>
                <w:highlight w:val="none"/>
                <w:lang w:val="en-US" w:eastAsia="zh-CN" w:bidi="ar-SA"/>
              </w:rPr>
              <w:t>完整的操作维护手册。</w:t>
            </w:r>
          </w:p>
          <w:p>
            <w:pPr>
              <w:pStyle w:val="34"/>
              <w:tabs>
                <w:tab w:val="left" w:pos="0"/>
              </w:tabs>
              <w:spacing w:line="360" w:lineRule="auto"/>
              <w:ind w:firstLine="417" w:firstLineChars="174"/>
              <w:rPr>
                <w:rFonts w:ascii="宋体" w:hAnsi="宋体" w:cs="宋体"/>
                <w:color w:val="auto"/>
                <w:sz w:val="24"/>
                <w:highlight w:val="none"/>
              </w:rPr>
            </w:pPr>
            <w:r>
              <w:rPr>
                <w:rFonts w:hint="eastAsia" w:ascii="Times New Roman" w:hAnsi="宋体" w:eastAsia="宋体" w:cs="宋体"/>
                <w:snapToGrid/>
                <w:color w:val="auto"/>
                <w:kern w:val="2"/>
                <w:sz w:val="24"/>
                <w:szCs w:val="24"/>
                <w:highlight w:val="none"/>
                <w:lang w:val="en-US" w:eastAsia="zh-CN" w:bidi="ar-SA"/>
              </w:rPr>
              <w:t>（4）技术培训及售后服务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4534" w:type="pct"/>
            <w:vAlign w:val="center"/>
          </w:tcPr>
          <w:p>
            <w:pPr>
              <w:spacing w:line="360" w:lineRule="auto"/>
              <w:rPr>
                <w:rFonts w:ascii="宋体" w:hAnsi="宋体" w:cs="宋体"/>
                <w:color w:val="auto"/>
                <w:sz w:val="24"/>
                <w:highlight w:val="none"/>
              </w:rPr>
            </w:pPr>
            <w:r>
              <w:rPr>
                <w:rFonts w:hint="eastAsia" w:hAnsi="宋体" w:cs="宋体"/>
                <w:snapToGrid/>
                <w:color w:val="auto"/>
                <w:sz w:val="24"/>
                <w:szCs w:val="24"/>
                <w:highlight w:val="none"/>
              </w:rPr>
              <w:t>本合同正本一式陆份，甲乙双方各执三份。</w:t>
            </w: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rPr>
          <w:rFonts w:ascii="宋体" w:hAnsi="宋体" w:cs="宋体"/>
          <w:color w:val="auto"/>
          <w:sz w:val="24"/>
          <w:highlight w:val="none"/>
        </w:rPr>
      </w:pPr>
    </w:p>
    <w:p>
      <w:pPr>
        <w:pStyle w:val="5"/>
        <w:rPr>
          <w:color w:val="auto"/>
          <w:highlight w:val="none"/>
        </w:rPr>
      </w:pPr>
    </w:p>
    <w:p>
      <w:pPr>
        <w:rPr>
          <w:color w:val="auto"/>
          <w:highlight w:val="none"/>
        </w:rPr>
      </w:pPr>
    </w:p>
    <w:p>
      <w:pPr>
        <w:pStyle w:val="25"/>
        <w:rPr>
          <w:color w:val="auto"/>
          <w:highlight w:val="none"/>
        </w:rPr>
      </w:pPr>
    </w:p>
    <w:p>
      <w:pPr>
        <w:rPr>
          <w:color w:val="auto"/>
          <w:highlight w:val="none"/>
        </w:rPr>
      </w:pPr>
    </w:p>
    <w:p>
      <w:pPr>
        <w:pStyle w:val="25"/>
        <w:rPr>
          <w:color w:val="auto"/>
          <w:highlight w:val="none"/>
        </w:rPr>
      </w:pPr>
    </w:p>
    <w:p>
      <w:pPr>
        <w:rPr>
          <w:color w:val="auto"/>
          <w:highlight w:val="none"/>
        </w:rPr>
      </w:pPr>
    </w:p>
    <w:p>
      <w:pPr>
        <w:pStyle w:val="25"/>
        <w:rPr>
          <w:color w:val="auto"/>
          <w:highlight w:val="none"/>
        </w:rPr>
      </w:pPr>
    </w:p>
    <w:p>
      <w:pPr>
        <w:rPr>
          <w:color w:val="auto"/>
          <w:highlight w:val="none"/>
        </w:rPr>
      </w:pPr>
    </w:p>
    <w:p>
      <w:pPr>
        <w:pStyle w:val="25"/>
        <w:rPr>
          <w:color w:val="auto"/>
          <w:highlight w:val="none"/>
        </w:rPr>
      </w:pPr>
    </w:p>
    <w:p>
      <w:pPr>
        <w:rPr>
          <w:color w:val="auto"/>
          <w:highlight w:val="none"/>
        </w:rPr>
      </w:pPr>
    </w:p>
    <w:p>
      <w:pPr>
        <w:rPr>
          <w:color w:val="auto"/>
          <w:highlight w:val="none"/>
        </w:rPr>
      </w:pPr>
    </w:p>
    <w:p>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37"/>
      <w:r>
        <w:rPr>
          <w:rFonts w:hint="eastAsia" w:ascii="宋体" w:hAnsi="宋体" w:cs="宋体"/>
          <w:b/>
          <w:color w:val="auto"/>
          <w:sz w:val="36"/>
          <w:szCs w:val="20"/>
          <w:highlight w:val="none"/>
        </w:rPr>
        <w:t xml:space="preserve"> </w:t>
      </w:r>
      <w:bookmarkEnd w:id="438"/>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firstLine="559" w:firstLineChars="233"/>
        <w:jc w:val="left"/>
        <w:rPr>
          <w:rFonts w:hint="eastAsia" w:cs="仿宋_GB2312" w:asciiTheme="minorEastAsia" w:hAnsiTheme="minorEastAsia" w:eastAsiaTheme="minorEastAsia"/>
          <w:b/>
          <w:color w:val="auto"/>
          <w:sz w:val="24"/>
          <w:highlight w:val="none"/>
          <w:u w:val="single"/>
        </w:rPr>
      </w:pPr>
      <w:r>
        <w:rPr>
          <w:rFonts w:hint="eastAsia" w:cs="仿宋_GB2312" w:asciiTheme="minorEastAsia" w:hAnsiTheme="minorEastAsia" w:eastAsiaTheme="minorEastAsia"/>
          <w:color w:val="auto"/>
          <w:sz w:val="24"/>
          <w:highlight w:val="none"/>
        </w:rPr>
        <w:t>注：</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snapToGrid w:val="0"/>
        <w:spacing w:line="360" w:lineRule="auto"/>
        <w:ind w:right="480" w:firstLine="561" w:firstLineChars="233"/>
        <w:jc w:val="left"/>
        <w:rPr>
          <w:rFonts w:hint="eastAsia" w:cs="仿宋_GB2312" w:asciiTheme="minorEastAsia" w:hAnsiTheme="minorEastAsia" w:eastAsiaTheme="minorEastAsia"/>
          <w:b/>
          <w:color w:val="auto"/>
          <w:sz w:val="24"/>
          <w:highlight w:val="none"/>
          <w:u w:val="single"/>
        </w:rPr>
      </w:pPr>
      <w:r>
        <w:rPr>
          <w:rFonts w:hint="eastAsia" w:cs="仿宋_GB2312" w:asciiTheme="minorEastAsia" w:hAnsiTheme="minorEastAsia" w:eastAsiaTheme="minorEastAsia"/>
          <w:b/>
          <w:color w:val="auto"/>
          <w:sz w:val="24"/>
          <w:highlight w:val="none"/>
          <w:u w:val="single"/>
          <w:lang w:val="en-US" w:eastAsia="zh-CN"/>
        </w:rPr>
        <w:t>2.▲投标人为联合体的，联合体各方均须签署并提供本承诺函，否则投标无效。</w:t>
      </w:r>
    </w:p>
    <w:p>
      <w:pPr>
        <w:pStyle w:val="79"/>
        <w:rPr>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）拟派项目团队配备情况表…………………………………………………（页码）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5"/>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hint="default" w:eastAsia="仿宋_GB2312"/>
          <w:color w:val="auto"/>
          <w:lang w:val="en-US" w:eastAsia="zh-CN"/>
        </w:rPr>
      </w:pPr>
      <w:r>
        <w:rPr>
          <w:rFonts w:hint="eastAsia" w:ascii="宋体" w:hAnsi="宋体" w:cs="宋体"/>
          <w:color w:val="auto"/>
          <w:sz w:val="24"/>
          <w:lang w:val="en-US" w:eastAsia="zh-CN"/>
        </w:rPr>
        <w:t>2.3.2 报价情况说明（如果有）；</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w:t>
      </w:r>
      <w:r>
        <w:rPr>
          <w:rFonts w:hint="eastAsia" w:ascii="宋体" w:hAnsi="宋体" w:cs="宋体"/>
          <w:color w:val="auto"/>
          <w:sz w:val="24"/>
          <w:lang w:val="en-US" w:eastAsia="zh-CN"/>
        </w:rPr>
        <w:t>3</w:t>
      </w:r>
      <w:r>
        <w:rPr>
          <w:rFonts w:hint="eastAsia" w:ascii="宋体" w:hAnsi="宋体" w:cs="宋体"/>
          <w:color w:val="auto"/>
          <w:sz w:val="24"/>
        </w:rPr>
        <w:t>中小企业声明函。</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r>
        <w:rPr>
          <w:rFonts w:hint="eastAsia" w:ascii="宋体" w:hAnsi="宋体" w:cs="宋体"/>
          <w:color w:val="auto"/>
          <w:sz w:val="24"/>
        </w:rPr>
        <w:t>对投标文件中材料的真实性、合法性负责。</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pPr>
        <w:jc w:val="cente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 xml:space="preserve">      </w:t>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hint="eastAsia" w:ascii="宋体" w:hAnsi="宋体" w:cs="宋体"/>
          <w:b/>
          <w:color w:val="auto"/>
          <w:kern w:val="0"/>
          <w:sz w:val="32"/>
          <w:szCs w:val="32"/>
          <w:highlight w:val="none"/>
          <w:lang w:val="zh-CN"/>
        </w:rPr>
      </w:pPr>
    </w:p>
    <w:p>
      <w:pPr>
        <w:autoSpaceDE w:val="0"/>
        <w:autoSpaceDN w:val="0"/>
        <w:spacing w:line="360" w:lineRule="auto"/>
        <w:jc w:val="center"/>
        <w:rPr>
          <w:rFonts w:hint="eastAsia" w:ascii="宋体" w:hAnsi="宋体" w:cs="宋体"/>
          <w:b/>
          <w:color w:val="auto"/>
          <w:kern w:val="0"/>
          <w:sz w:val="32"/>
          <w:szCs w:val="32"/>
          <w:highlight w:val="none"/>
          <w:lang w:val="zh-CN"/>
        </w:rPr>
      </w:pP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8"/>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keepNext w:val="0"/>
        <w:keepLines w:val="0"/>
        <w:widowControl/>
        <w:suppressLineNumbers w:val="0"/>
        <w:jc w:val="left"/>
        <w:rPr>
          <w:highlight w:val="none"/>
        </w:rPr>
      </w:pPr>
      <w:r>
        <w:rPr>
          <w:rFonts w:ascii="仿宋" w:hAnsi="仿宋" w:eastAsia="仿宋" w:cs="仿宋"/>
          <w:b/>
          <w:bCs/>
          <w:color w:val="000000"/>
          <w:kern w:val="0"/>
          <w:sz w:val="24"/>
          <w:szCs w:val="24"/>
          <w:highlight w:val="none"/>
          <w:lang w:val="en-US" w:eastAsia="zh-CN" w:bidi="ar"/>
        </w:rPr>
        <w:t xml:space="preserve">注：供应商委派不在本单位缴纳社保的人员作为授权代表（代理人）的，应当在投 </w:t>
      </w:r>
    </w:p>
    <w:p>
      <w:pPr>
        <w:keepNext w:val="0"/>
        <w:keepLines w:val="0"/>
        <w:widowControl/>
        <w:suppressLineNumbers w:val="0"/>
        <w:jc w:val="left"/>
        <w:rPr>
          <w:highlight w:val="none"/>
        </w:rPr>
      </w:pPr>
      <w:r>
        <w:rPr>
          <w:rFonts w:hint="eastAsia" w:ascii="仿宋" w:hAnsi="仿宋" w:eastAsia="仿宋" w:cs="仿宋"/>
          <w:b/>
          <w:bCs/>
          <w:color w:val="000000"/>
          <w:kern w:val="0"/>
          <w:sz w:val="24"/>
          <w:szCs w:val="24"/>
          <w:highlight w:val="none"/>
          <w:lang w:val="en-US" w:eastAsia="zh-CN" w:bidi="ar"/>
        </w:rPr>
        <w:t xml:space="preserve">标（响应）文件中，说明具体原因、授权代表缴纳社保的单位，并附列该授权代表缴纳 </w:t>
      </w:r>
    </w:p>
    <w:p>
      <w:pPr>
        <w:keepNext w:val="0"/>
        <w:keepLines w:val="0"/>
        <w:widowControl/>
        <w:suppressLineNumbers w:val="0"/>
        <w:jc w:val="left"/>
        <w:rPr>
          <w:highlight w:val="none"/>
        </w:rPr>
      </w:pPr>
      <w:r>
        <w:rPr>
          <w:rFonts w:hint="eastAsia" w:ascii="仿宋" w:hAnsi="仿宋" w:eastAsia="仿宋" w:cs="仿宋"/>
          <w:b/>
          <w:bCs/>
          <w:color w:val="000000"/>
          <w:kern w:val="0"/>
          <w:sz w:val="24"/>
          <w:szCs w:val="24"/>
          <w:highlight w:val="none"/>
          <w:lang w:val="en-US" w:eastAsia="zh-CN" w:bidi="ar"/>
        </w:rPr>
        <w:t>社保清单。</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hint="eastAsia" w:ascii="宋体" w:hAnsi="宋体" w:cs="宋体"/>
          <w:b/>
          <w:color w:val="auto"/>
          <w:kern w:val="0"/>
          <w:sz w:val="32"/>
          <w:szCs w:val="32"/>
          <w:highlight w:val="none"/>
        </w:r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588"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88"/>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5"/>
        <w:rPr>
          <w:color w:val="auto"/>
          <w:highlight w:val="none"/>
          <w:lang w:val="en-US"/>
        </w:rPr>
      </w:pPr>
    </w:p>
    <w:p>
      <w:pPr>
        <w:rPr>
          <w:color w:val="auto"/>
          <w:highlight w:val="none"/>
        </w:rPr>
      </w:pPr>
    </w:p>
    <w:p>
      <w:pPr>
        <w:pStyle w:val="5"/>
        <w:rPr>
          <w:color w:val="auto"/>
          <w:highlight w:val="none"/>
          <w:lang w:val="en-US"/>
        </w:rPr>
      </w:pPr>
    </w:p>
    <w:p>
      <w:pPr>
        <w:jc w:val="center"/>
        <w:rPr>
          <w:rFonts w:ascii="宋体" w:hAnsi="宋体" w:cs="宋体"/>
          <w:b/>
          <w:color w:val="auto"/>
          <w:kern w:val="0"/>
          <w:sz w:val="32"/>
          <w:szCs w:val="32"/>
          <w:highlight w:val="none"/>
        </w:rPr>
      </w:pP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hint="eastAsia" w:ascii="宋体" w:hAnsi="宋体" w:eastAsia="宋体" w:cs="宋体"/>
          <w:b/>
          <w:color w:val="auto"/>
          <w:kern w:val="0"/>
          <w:sz w:val="32"/>
          <w:szCs w:val="32"/>
          <w:highlight w:val="none"/>
          <w:lang w:eastAsia="zh-CN"/>
        </w:rPr>
      </w:pPr>
      <w:r>
        <w:rPr>
          <w:rFonts w:hint="eastAsia" w:ascii="宋体" w:hAnsi="宋体" w:cs="宋体"/>
          <w:b/>
          <w:color w:val="auto"/>
          <w:kern w:val="0"/>
          <w:sz w:val="32"/>
          <w:szCs w:val="32"/>
          <w:highlight w:val="none"/>
          <w:lang w:eastAsia="zh-CN"/>
        </w:rPr>
        <w:t>（</w:t>
      </w:r>
      <w:r>
        <w:rPr>
          <w:rFonts w:hint="eastAsia" w:ascii="宋体" w:hAnsi="宋体" w:cs="宋体"/>
          <w:b/>
          <w:color w:val="auto"/>
          <w:kern w:val="0"/>
          <w:sz w:val="32"/>
          <w:szCs w:val="32"/>
          <w:highlight w:val="none"/>
          <w:lang w:val="en-US" w:eastAsia="zh-CN"/>
        </w:rPr>
        <w:t>1</w:t>
      </w:r>
      <w:r>
        <w:rPr>
          <w:rFonts w:hint="eastAsia" w:ascii="宋体" w:hAnsi="宋体" w:cs="宋体"/>
          <w:b/>
          <w:color w:val="auto"/>
          <w:kern w:val="0"/>
          <w:sz w:val="32"/>
          <w:szCs w:val="32"/>
          <w:highlight w:val="none"/>
          <w:lang w:eastAsia="zh-CN"/>
        </w:rPr>
        <w:t>）符合性审查材料汇总表</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4991" w:type="dxa"/>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采购人拟采购的产品属于政府强制采购的节能产品品目清单范围的，供应商按采购文件要求提供国家确定的认证机构出具的、处于有效期之内的节能产品认证证书。（</w:t>
            </w:r>
            <w:r>
              <w:rPr>
                <w:rFonts w:hint="eastAsia" w:ascii="宋体" w:hAnsi="宋体" w:cs="宋体"/>
                <w:b/>
                <w:bCs/>
                <w:color w:val="auto"/>
                <w:sz w:val="24"/>
                <w:highlight w:val="none"/>
                <w:lang w:eastAsia="zh-CN"/>
              </w:rPr>
              <w:t>水嘴（即采购清单中的星盆双温龙头、感应龙头）需提供节能产品认证证书</w:t>
            </w:r>
            <w:r>
              <w:rPr>
                <w:rFonts w:hint="eastAsia" w:ascii="宋体" w:hAnsi="宋体" w:cs="宋体"/>
                <w:color w:val="auto"/>
                <w:sz w:val="24"/>
                <w:highlight w:val="none"/>
              </w:rPr>
              <w:t>）</w:t>
            </w:r>
          </w:p>
        </w:tc>
        <w:tc>
          <w:tcPr>
            <w:tcW w:w="2551" w:type="dxa"/>
            <w:vAlign w:val="center"/>
          </w:tcPr>
          <w:p>
            <w:pPr>
              <w:rPr>
                <w:rFonts w:hint="eastAsia" w:ascii="宋体" w:hAnsi="宋体" w:cs="宋体"/>
                <w:color w:val="auto"/>
                <w:sz w:val="24"/>
                <w:highlight w:val="none"/>
              </w:rPr>
            </w:pPr>
            <w:r>
              <w:rPr>
                <w:rFonts w:hint="eastAsia" w:ascii="宋体" w:hAnsi="宋体" w:cs="宋体"/>
                <w:color w:val="auto"/>
                <w:sz w:val="24"/>
                <w:highlight w:val="none"/>
              </w:rPr>
              <w:t>节能产品认证证书（</w:t>
            </w:r>
            <w:r>
              <w:rPr>
                <w:rFonts w:hint="eastAsia" w:ascii="宋体" w:hAnsi="宋体" w:cs="宋体"/>
                <w:b/>
                <w:bCs/>
                <w:color w:val="auto"/>
                <w:sz w:val="24"/>
                <w:highlight w:val="none"/>
                <w:lang w:eastAsia="zh-CN"/>
              </w:rPr>
              <w:t>水嘴（即采购清单中的星盆双温龙头、感应龙头）需提供节能产品认证证书</w:t>
            </w:r>
            <w:r>
              <w:rPr>
                <w:rFonts w:hint="eastAsia" w:ascii="宋体" w:hAnsi="宋体" w:cs="宋体"/>
                <w:color w:val="auto"/>
                <w:sz w:val="24"/>
                <w:highlight w:val="none"/>
              </w:rPr>
              <w:t>）</w:t>
            </w:r>
          </w:p>
        </w:tc>
        <w:tc>
          <w:tcPr>
            <w:tcW w:w="1418" w:type="dxa"/>
            <w:vAlign w:val="center"/>
          </w:tcPr>
          <w:p>
            <w:pPr>
              <w:rPr>
                <w:rFonts w:ascii="宋体" w:hAnsi="宋体" w:cs="宋体"/>
                <w:color w:val="auto"/>
                <w:sz w:val="24"/>
                <w:highlight w:val="none"/>
              </w:rPr>
            </w:pPr>
            <w:r>
              <w:rPr>
                <w:rFonts w:hint="eastAsia" w:ascii="宋体" w:hAnsi="宋体" w:cs="宋体"/>
                <w:color w:val="auto"/>
                <w:sz w:val="24"/>
                <w:highlight w:val="none"/>
              </w:rPr>
              <w:t>见响应文件</w:t>
            </w:r>
          </w:p>
          <w:p>
            <w:pPr>
              <w:pStyle w:val="5"/>
              <w:ind w:left="432" w:leftChars="0" w:hanging="432" w:firstLineChars="0"/>
              <w:jc w:val="both"/>
              <w:rPr>
                <w:rFonts w:hint="eastAsia" w:ascii="宋体" w:hAnsi="宋体" w:cs="宋体"/>
                <w:color w:val="auto"/>
                <w:sz w:val="24"/>
                <w:highlight w:val="none"/>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4991" w:type="dxa"/>
          </w:tcPr>
          <w:p>
            <w:pPr>
              <w:spacing w:line="360" w:lineRule="auto"/>
              <w:rPr>
                <w:rFonts w:hint="eastAsia" w:ascii="宋体" w:hAnsi="宋体" w:cs="宋体"/>
                <w:color w:val="auto"/>
                <w:sz w:val="24"/>
                <w:highlight w:val="none"/>
              </w:rPr>
            </w:pPr>
            <w:r>
              <w:rPr>
                <w:rFonts w:hint="eastAsia" w:ascii="宋体" w:hAnsi="宋体" w:cs="宋体"/>
                <w:b/>
                <w:color w:val="auto"/>
                <w:kern w:val="0"/>
                <w:sz w:val="24"/>
                <w:szCs w:val="24"/>
                <w:highlight w:val="none"/>
                <w:lang w:eastAsia="zh-CN"/>
              </w:rPr>
              <w:t>投标人所提供的“工业和商用电热食品加工设备”的生产企业须具有有效的《全国工业产品生产许可证》</w:t>
            </w:r>
          </w:p>
        </w:tc>
        <w:tc>
          <w:tcPr>
            <w:tcW w:w="2551" w:type="dxa"/>
            <w:vAlign w:val="center"/>
          </w:tcPr>
          <w:p>
            <w:pPr>
              <w:rPr>
                <w:rFonts w:hint="eastAsia" w:ascii="宋体" w:hAnsi="宋体" w:cs="宋体"/>
                <w:color w:val="auto"/>
                <w:sz w:val="24"/>
                <w:highlight w:val="none"/>
              </w:rPr>
            </w:pPr>
            <w:r>
              <w:rPr>
                <w:rFonts w:hint="eastAsia" w:ascii="宋体" w:hAnsi="宋体" w:cs="宋体"/>
                <w:b/>
                <w:color w:val="auto"/>
                <w:kern w:val="0"/>
                <w:sz w:val="24"/>
                <w:szCs w:val="24"/>
                <w:highlight w:val="none"/>
                <w:lang w:eastAsia="zh-CN"/>
              </w:rPr>
              <w:t>《全国工业产品生产许可证》</w:t>
            </w:r>
            <w:r>
              <w:rPr>
                <w:rFonts w:hint="eastAsia" w:ascii="宋体" w:hAnsi="宋体" w:cs="宋体"/>
                <w:b/>
                <w:color w:val="auto"/>
                <w:kern w:val="0"/>
                <w:sz w:val="24"/>
                <w:szCs w:val="24"/>
                <w:highlight w:val="none"/>
                <w:lang w:val="en-US" w:eastAsia="zh-CN"/>
              </w:rPr>
              <w:t>扫描件</w:t>
            </w:r>
          </w:p>
        </w:tc>
        <w:tc>
          <w:tcPr>
            <w:tcW w:w="1418" w:type="dxa"/>
          </w:tcPr>
          <w:p>
            <w:pP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4991" w:type="dxa"/>
          </w:tcPr>
          <w:p>
            <w:pPr>
              <w:spacing w:line="360" w:lineRule="auto"/>
              <w:rPr>
                <w:rFonts w:hint="eastAsia" w:ascii="宋体" w:hAnsi="宋体" w:cs="宋体"/>
                <w:b/>
                <w:color w:val="auto"/>
                <w:kern w:val="0"/>
                <w:sz w:val="24"/>
                <w:szCs w:val="24"/>
                <w:highlight w:val="none"/>
                <w:lang w:eastAsia="zh-CN"/>
              </w:rPr>
            </w:pPr>
            <w:r>
              <w:rPr>
                <w:rFonts w:hint="eastAsia" w:ascii="宋体" w:hAnsi="宋体" w:cs="宋体"/>
                <w:b/>
                <w:color w:val="auto"/>
                <w:kern w:val="0"/>
                <w:sz w:val="24"/>
                <w:szCs w:val="24"/>
                <w:highlight w:val="none"/>
                <w:lang w:eastAsia="zh-CN"/>
              </w:rPr>
              <w:t>投标人所提供的“各种消毒柜等消毒产品”的生产企业须具有有效的《消毒产品生产企业卫生许可证》</w:t>
            </w:r>
          </w:p>
        </w:tc>
        <w:tc>
          <w:tcPr>
            <w:tcW w:w="2551" w:type="dxa"/>
            <w:vAlign w:val="center"/>
          </w:tcPr>
          <w:p>
            <w:pPr>
              <w:rPr>
                <w:rFonts w:hint="default" w:ascii="宋体" w:hAnsi="宋体" w:cs="宋体"/>
                <w:color w:val="auto"/>
                <w:sz w:val="24"/>
                <w:highlight w:val="none"/>
                <w:lang w:val="en-US"/>
              </w:rPr>
            </w:pPr>
            <w:r>
              <w:rPr>
                <w:rFonts w:hint="eastAsia" w:ascii="宋体" w:hAnsi="宋体" w:cs="宋体"/>
                <w:b/>
                <w:color w:val="auto"/>
                <w:kern w:val="0"/>
                <w:sz w:val="24"/>
                <w:szCs w:val="24"/>
                <w:highlight w:val="none"/>
                <w:lang w:eastAsia="zh-CN"/>
              </w:rPr>
              <w:t>《消毒产品生产企业卫生许可证》</w:t>
            </w:r>
            <w:r>
              <w:rPr>
                <w:rFonts w:hint="eastAsia" w:ascii="宋体" w:hAnsi="宋体" w:cs="宋体"/>
                <w:b/>
                <w:color w:val="auto"/>
                <w:kern w:val="0"/>
                <w:sz w:val="24"/>
                <w:szCs w:val="24"/>
                <w:highlight w:val="none"/>
                <w:lang w:val="en-US" w:eastAsia="zh-CN"/>
              </w:rPr>
              <w:t>扫描件</w:t>
            </w:r>
          </w:p>
        </w:tc>
        <w:tc>
          <w:tcPr>
            <w:tcW w:w="1418" w:type="dxa"/>
          </w:tcPr>
          <w:p>
            <w:pP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snapToGrid w:val="0"/>
        <w:jc w:val="center"/>
        <w:rPr>
          <w:rFonts w:hint="eastAsia" w:ascii="宋体" w:hAnsi="宋体" w:cs="宋体"/>
          <w:b/>
          <w:bCs/>
          <w:color w:val="auto"/>
          <w:sz w:val="32"/>
          <w:szCs w:val="32"/>
          <w:highlight w:val="none"/>
          <w:u w:val="none"/>
        </w:rPr>
      </w:pPr>
      <w:r>
        <w:rPr>
          <w:rFonts w:ascii="宋体" w:hAnsi="宋体" w:cs="宋体"/>
          <w:b/>
          <w:color w:val="auto"/>
          <w:kern w:val="0"/>
          <w:sz w:val="32"/>
          <w:szCs w:val="32"/>
          <w:highlight w:val="none"/>
        </w:rPr>
        <w:br w:type="page"/>
      </w:r>
      <w:r>
        <w:rPr>
          <w:rFonts w:hint="eastAsia" w:ascii="宋体" w:hAnsi="宋体" w:cs="宋体"/>
          <w:b/>
          <w:color w:val="auto"/>
          <w:kern w:val="0"/>
          <w:sz w:val="32"/>
          <w:szCs w:val="32"/>
          <w:highlight w:val="none"/>
          <w:lang w:eastAsia="zh-CN"/>
        </w:rPr>
        <w:t>（</w:t>
      </w:r>
      <w:r>
        <w:rPr>
          <w:rFonts w:hint="eastAsia" w:ascii="宋体" w:hAnsi="宋体" w:cs="宋体"/>
          <w:b/>
          <w:color w:val="auto"/>
          <w:kern w:val="0"/>
          <w:sz w:val="32"/>
          <w:szCs w:val="32"/>
          <w:highlight w:val="none"/>
          <w:lang w:val="en-US" w:eastAsia="zh-CN"/>
        </w:rPr>
        <w:t>2</w:t>
      </w:r>
      <w:r>
        <w:rPr>
          <w:rFonts w:hint="eastAsia" w:ascii="宋体" w:hAnsi="宋体" w:cs="宋体"/>
          <w:b/>
          <w:color w:val="auto"/>
          <w:kern w:val="0"/>
          <w:sz w:val="32"/>
          <w:szCs w:val="32"/>
          <w:highlight w:val="none"/>
          <w:lang w:eastAsia="zh-CN"/>
        </w:rPr>
        <w:t>）</w:t>
      </w:r>
      <w:r>
        <w:rPr>
          <w:rFonts w:hint="eastAsia" w:ascii="宋体" w:hAnsi="宋体" w:cs="宋体"/>
          <w:b/>
          <w:bCs/>
          <w:color w:val="auto"/>
          <w:sz w:val="32"/>
          <w:szCs w:val="32"/>
          <w:highlight w:val="none"/>
          <w:u w:val="none"/>
        </w:rPr>
        <w:t>节能产品认证证书</w:t>
      </w:r>
    </w:p>
    <w:p>
      <w:pPr>
        <w:jc w:val="left"/>
        <w:rPr>
          <w:rFonts w:hint="eastAsia" w:ascii="宋体" w:hAnsi="宋体" w:cs="宋体"/>
          <w:color w:val="auto"/>
          <w:sz w:val="24"/>
          <w:highlight w:val="none"/>
        </w:rPr>
      </w:pPr>
    </w:p>
    <w:p>
      <w:pPr>
        <w:spacing w:line="360" w:lineRule="auto"/>
        <w:jc w:val="left"/>
        <w:rPr>
          <w:rFonts w:ascii="宋体" w:hAnsi="宋体" w:cs="宋体"/>
          <w:b/>
          <w:color w:val="auto"/>
          <w:kern w:val="0"/>
          <w:sz w:val="32"/>
          <w:szCs w:val="32"/>
          <w:highlight w:val="none"/>
        </w:rPr>
      </w:pPr>
      <w:r>
        <w:rPr>
          <w:rFonts w:hint="eastAsia" w:ascii="宋体" w:hAnsi="宋体" w:cs="宋体"/>
          <w:color w:val="auto"/>
          <w:sz w:val="24"/>
          <w:highlight w:val="none"/>
        </w:rPr>
        <w:t>采购人拟采购的产品属于政府强制采购的节能产品品目清单范围的，供应商按采购文件要求提供国家确定的认证机构出具的、处于有效期之内的节能产品认证证书。（</w:t>
      </w:r>
      <w:r>
        <w:rPr>
          <w:rFonts w:hint="eastAsia" w:ascii="宋体" w:hAnsi="宋体" w:cs="宋体"/>
          <w:b/>
          <w:bCs/>
          <w:color w:val="auto"/>
          <w:sz w:val="24"/>
          <w:highlight w:val="none"/>
          <w:lang w:eastAsia="zh-CN"/>
        </w:rPr>
        <w:t>水嘴（即采购清单中的星盆双温龙头、感应龙头）需提供节能产品认证证书</w:t>
      </w:r>
      <w:r>
        <w:rPr>
          <w:rFonts w:hint="eastAsia" w:ascii="宋体" w:hAnsi="宋体" w:cs="宋体"/>
          <w:color w:val="auto"/>
          <w:sz w:val="24"/>
          <w:highlight w:val="none"/>
        </w:rPr>
        <w:t>）</w:t>
      </w:r>
    </w:p>
    <w:p>
      <w:pPr>
        <w:jc w:val="center"/>
        <w:rPr>
          <w:rFonts w:hint="eastAsia" w:ascii="宋体" w:hAnsi="宋体" w:eastAsia="宋体" w:cs="宋体"/>
          <w:b/>
          <w:color w:val="auto"/>
          <w:kern w:val="0"/>
          <w:sz w:val="32"/>
          <w:szCs w:val="32"/>
          <w:highlight w:val="none"/>
          <w:lang w:eastAsia="zh-CN"/>
        </w:rPr>
      </w:pPr>
    </w:p>
    <w:p>
      <w:pPr>
        <w:pStyle w:val="25"/>
        <w:rPr>
          <w:rFonts w:hint="eastAsia" w:ascii="宋体" w:hAnsi="宋体" w:eastAsia="宋体" w:cs="宋体"/>
          <w:b/>
          <w:color w:val="auto"/>
          <w:kern w:val="0"/>
          <w:sz w:val="32"/>
          <w:szCs w:val="32"/>
          <w:highlight w:val="none"/>
          <w:lang w:eastAsia="zh-CN"/>
        </w:rPr>
      </w:pPr>
    </w:p>
    <w:p>
      <w:pPr>
        <w:pStyle w:val="26"/>
        <w:rPr>
          <w:rFonts w:hint="eastAsia" w:ascii="宋体" w:hAnsi="宋体" w:eastAsia="宋体" w:cs="宋体"/>
          <w:b/>
          <w:color w:val="auto"/>
          <w:kern w:val="0"/>
          <w:sz w:val="32"/>
          <w:szCs w:val="32"/>
          <w:highlight w:val="none"/>
          <w:lang w:eastAsia="zh-CN"/>
        </w:rPr>
      </w:pPr>
    </w:p>
    <w:p>
      <w:pPr>
        <w:pStyle w:val="52"/>
        <w:rPr>
          <w:rFonts w:hint="eastAsia"/>
          <w:highlight w:val="none"/>
          <w:lang w:eastAsia="zh-CN"/>
        </w:rPr>
      </w:pPr>
    </w:p>
    <w:p>
      <w:pPr>
        <w:pStyle w:val="25"/>
        <w:rPr>
          <w:rFonts w:hint="eastAsia" w:ascii="宋体" w:hAnsi="宋体" w:eastAsia="宋体" w:cs="宋体"/>
          <w:b/>
          <w:color w:val="auto"/>
          <w:kern w:val="0"/>
          <w:sz w:val="32"/>
          <w:szCs w:val="32"/>
          <w:highlight w:val="none"/>
          <w:lang w:eastAsia="zh-CN"/>
        </w:rPr>
      </w:pPr>
      <w:r>
        <w:rPr>
          <w:rFonts w:hint="default" w:ascii="Calibri" w:hAnsi="Calibri" w:cs="Calibri"/>
          <w:b/>
          <w:bCs/>
          <w:color w:val="auto"/>
          <w:sz w:val="24"/>
          <w:highlight w:val="none"/>
          <w:lang w:eastAsia="zh-CN"/>
        </w:rPr>
        <w:t>①</w:t>
      </w:r>
      <w:r>
        <w:rPr>
          <w:rFonts w:hint="eastAsia" w:ascii="宋体" w:hAnsi="宋体" w:cs="宋体"/>
          <w:b/>
          <w:bCs/>
          <w:color w:val="auto"/>
          <w:sz w:val="24"/>
          <w:highlight w:val="none"/>
          <w:lang w:eastAsia="zh-CN"/>
        </w:rPr>
        <w:t>星盆双温龙头节能产品认证证书</w:t>
      </w:r>
    </w:p>
    <w:p>
      <w:pPr>
        <w:pStyle w:val="26"/>
        <w:rPr>
          <w:rFonts w:hint="eastAsia" w:ascii="宋体" w:hAnsi="宋体" w:eastAsia="宋体" w:cs="宋体"/>
          <w:b/>
          <w:color w:val="auto"/>
          <w:kern w:val="0"/>
          <w:sz w:val="32"/>
          <w:szCs w:val="32"/>
          <w:highlight w:val="none"/>
          <w:lang w:eastAsia="zh-CN"/>
        </w:rPr>
      </w:pPr>
    </w:p>
    <w:p>
      <w:pPr>
        <w:pStyle w:val="52"/>
        <w:rPr>
          <w:rFonts w:hint="eastAsia" w:ascii="宋体" w:hAnsi="宋体" w:eastAsia="宋体" w:cs="宋体"/>
          <w:b/>
          <w:color w:val="auto"/>
          <w:kern w:val="0"/>
          <w:sz w:val="32"/>
          <w:szCs w:val="32"/>
          <w:highlight w:val="none"/>
          <w:lang w:eastAsia="zh-CN"/>
        </w:rPr>
      </w:pPr>
    </w:p>
    <w:p>
      <w:pPr>
        <w:rPr>
          <w:rFonts w:hint="eastAsia"/>
          <w:highlight w:val="none"/>
          <w:lang w:eastAsia="zh-CN"/>
        </w:rPr>
      </w:pPr>
    </w:p>
    <w:p>
      <w:pPr>
        <w:pStyle w:val="25"/>
        <w:rPr>
          <w:rFonts w:hint="eastAsia"/>
          <w:highlight w:val="none"/>
          <w:lang w:eastAsia="zh-CN"/>
        </w:rPr>
      </w:pPr>
    </w:p>
    <w:p>
      <w:pPr>
        <w:pStyle w:val="52"/>
        <w:rPr>
          <w:rFonts w:hint="eastAsia" w:ascii="宋体" w:hAnsi="宋体" w:eastAsia="宋体" w:cs="宋体"/>
          <w:b/>
          <w:color w:val="auto"/>
          <w:kern w:val="0"/>
          <w:sz w:val="32"/>
          <w:szCs w:val="32"/>
          <w:highlight w:val="none"/>
          <w:lang w:eastAsia="zh-CN"/>
        </w:rPr>
      </w:pPr>
    </w:p>
    <w:p>
      <w:pPr>
        <w:rPr>
          <w:rFonts w:hint="eastAsia"/>
          <w:highlight w:val="none"/>
          <w:lang w:eastAsia="zh-CN"/>
        </w:rPr>
      </w:pPr>
    </w:p>
    <w:p>
      <w:pPr>
        <w:pStyle w:val="52"/>
        <w:ind w:left="0" w:leftChars="0" w:firstLine="0" w:firstLineChars="0"/>
        <w:rPr>
          <w:rFonts w:hint="eastAsia" w:ascii="宋体" w:hAnsi="宋体" w:eastAsia="宋体" w:cs="宋体"/>
          <w:b/>
          <w:color w:val="auto"/>
          <w:kern w:val="0"/>
          <w:sz w:val="32"/>
          <w:szCs w:val="32"/>
          <w:highlight w:val="none"/>
          <w:lang w:eastAsia="zh-CN"/>
        </w:rPr>
      </w:pPr>
      <w:r>
        <w:rPr>
          <w:rFonts w:hint="default" w:ascii="Calibri" w:hAnsi="Calibri" w:cs="Calibri"/>
          <w:b/>
          <w:bCs/>
          <w:color w:val="auto"/>
          <w:sz w:val="24"/>
          <w:highlight w:val="none"/>
          <w:lang w:eastAsia="zh-CN"/>
        </w:rPr>
        <w:t>②</w:t>
      </w:r>
      <w:r>
        <w:rPr>
          <w:rFonts w:hint="eastAsia" w:ascii="宋体" w:hAnsi="宋体" w:cs="宋体"/>
          <w:b/>
          <w:bCs/>
          <w:color w:val="auto"/>
          <w:sz w:val="24"/>
          <w:highlight w:val="none"/>
          <w:lang w:eastAsia="zh-CN"/>
        </w:rPr>
        <w:t>感应龙头节能产品认证证书</w:t>
      </w:r>
    </w:p>
    <w:p>
      <w:pPr>
        <w:rPr>
          <w:rFonts w:hint="eastAsia" w:ascii="宋体" w:hAnsi="宋体" w:eastAsia="宋体" w:cs="宋体"/>
          <w:b/>
          <w:color w:val="auto"/>
          <w:kern w:val="0"/>
          <w:sz w:val="32"/>
          <w:szCs w:val="32"/>
          <w:highlight w:val="none"/>
          <w:lang w:eastAsia="zh-CN"/>
        </w:rPr>
      </w:pPr>
    </w:p>
    <w:p>
      <w:pPr>
        <w:pStyle w:val="25"/>
        <w:rPr>
          <w:rFonts w:hint="eastAsia"/>
          <w:highlight w:val="none"/>
          <w:lang w:eastAsia="zh-CN"/>
        </w:rPr>
      </w:pPr>
    </w:p>
    <w:p>
      <w:pPr>
        <w:rPr>
          <w:rFonts w:hint="eastAsia" w:ascii="宋体" w:hAnsi="宋体" w:cs="宋体"/>
          <w:b/>
          <w:color w:val="auto"/>
          <w:kern w:val="0"/>
          <w:sz w:val="24"/>
          <w:szCs w:val="24"/>
          <w:highlight w:val="none"/>
          <w:lang w:eastAsia="zh-CN"/>
        </w:rPr>
      </w:pPr>
      <w:r>
        <w:rPr>
          <w:rFonts w:hint="eastAsia" w:ascii="宋体" w:hAnsi="宋体" w:cs="宋体"/>
          <w:b/>
          <w:color w:val="auto"/>
          <w:kern w:val="0"/>
          <w:sz w:val="24"/>
          <w:szCs w:val="24"/>
          <w:highlight w:val="none"/>
          <w:lang w:eastAsia="zh-CN"/>
        </w:rPr>
        <w:br w:type="page"/>
      </w:r>
    </w:p>
    <w:p>
      <w:pPr>
        <w:pStyle w:val="26"/>
        <w:jc w:val="center"/>
        <w:rPr>
          <w:rFonts w:hint="default" w:ascii="宋体" w:hAnsi="宋体" w:eastAsia="宋体" w:cs="宋体"/>
          <w:b/>
          <w:bCs/>
          <w:snapToGrid/>
          <w:color w:val="auto"/>
          <w:kern w:val="2"/>
          <w:sz w:val="32"/>
          <w:szCs w:val="32"/>
          <w:highlight w:val="none"/>
          <w:u w:val="none"/>
          <w:lang w:val="en-US" w:eastAsia="zh-CN" w:bidi="ar-SA"/>
        </w:rPr>
      </w:pPr>
      <w:r>
        <w:rPr>
          <w:rFonts w:hint="eastAsia" w:ascii="宋体" w:hAnsi="宋体" w:eastAsia="宋体" w:cs="宋体"/>
          <w:b/>
          <w:bCs/>
          <w:snapToGrid/>
          <w:color w:val="auto"/>
          <w:kern w:val="2"/>
          <w:sz w:val="32"/>
          <w:szCs w:val="32"/>
          <w:highlight w:val="none"/>
          <w:u w:val="none"/>
          <w:lang w:val="en-US" w:eastAsia="zh-CN" w:bidi="ar-SA"/>
        </w:rPr>
        <w:t>（</w:t>
      </w:r>
      <w:r>
        <w:rPr>
          <w:rFonts w:hint="eastAsia" w:hAnsi="宋体" w:cs="宋体"/>
          <w:b/>
          <w:bCs/>
          <w:snapToGrid/>
          <w:color w:val="auto"/>
          <w:kern w:val="2"/>
          <w:sz w:val="32"/>
          <w:szCs w:val="32"/>
          <w:highlight w:val="none"/>
          <w:u w:val="none"/>
          <w:lang w:val="en-US" w:eastAsia="zh-CN" w:bidi="ar-SA"/>
        </w:rPr>
        <w:t>3</w:t>
      </w:r>
      <w:r>
        <w:rPr>
          <w:rFonts w:hint="eastAsia" w:ascii="宋体" w:hAnsi="宋体" w:eastAsia="宋体" w:cs="宋体"/>
          <w:b/>
          <w:bCs/>
          <w:snapToGrid/>
          <w:color w:val="auto"/>
          <w:kern w:val="2"/>
          <w:sz w:val="32"/>
          <w:szCs w:val="32"/>
          <w:highlight w:val="none"/>
          <w:u w:val="none"/>
          <w:lang w:val="en-US" w:eastAsia="zh-CN" w:bidi="ar-SA"/>
        </w:rPr>
        <w:t>）</w:t>
      </w:r>
      <w:r>
        <w:rPr>
          <w:rFonts w:hint="eastAsia" w:hAnsi="宋体" w:cs="宋体"/>
          <w:b/>
          <w:bCs/>
          <w:snapToGrid/>
          <w:color w:val="auto"/>
          <w:kern w:val="2"/>
          <w:sz w:val="32"/>
          <w:szCs w:val="32"/>
          <w:highlight w:val="none"/>
          <w:u w:val="none"/>
          <w:lang w:val="en-US" w:eastAsia="zh-CN" w:bidi="ar-SA"/>
        </w:rPr>
        <w:t>其他证书（若有）</w:t>
      </w:r>
    </w:p>
    <w:p>
      <w:pPr>
        <w:pStyle w:val="26"/>
        <w:rPr>
          <w:rFonts w:hint="eastAsia"/>
          <w:sz w:val="21"/>
          <w:szCs w:val="16"/>
          <w:highlight w:val="none"/>
          <w:lang w:eastAsia="zh-CN"/>
        </w:rPr>
      </w:pPr>
      <w:r>
        <w:rPr>
          <w:rFonts w:hint="eastAsia" w:ascii="宋体" w:hAnsi="宋体" w:cs="宋体"/>
          <w:b/>
          <w:color w:val="auto"/>
          <w:kern w:val="0"/>
          <w:sz w:val="24"/>
          <w:szCs w:val="24"/>
          <w:highlight w:val="none"/>
          <w:lang w:eastAsia="zh-CN"/>
        </w:rPr>
        <w:t>投标人所提供的其他产品在生产或销售中如涉及相关许可、认证等强制性规定的，应当符合其规定（投标时提供上述证书或相关证明材料的扫描件，加盖投标人公章）</w:t>
      </w:r>
    </w:p>
    <w:p>
      <w:pPr>
        <w:pStyle w:val="52"/>
        <w:rPr>
          <w:rFonts w:hint="eastAsia"/>
          <w:lang w:eastAsia="zh-CN"/>
        </w:rPr>
      </w:pPr>
    </w:p>
    <w:p>
      <w:pPr>
        <w:widowControl/>
        <w:adjustRightInd/>
        <w:jc w:val="left"/>
        <w:rPr>
          <w:rFonts w:ascii="宋体" w:hAnsi="宋体" w:cs="宋体"/>
          <w:b/>
          <w:color w:val="auto"/>
          <w:kern w:val="0"/>
          <w:sz w:val="32"/>
          <w:szCs w:val="32"/>
          <w:highlight w:val="none"/>
        </w:rPr>
      </w:pP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hint="eastAsia" w:ascii="宋体" w:hAnsi="宋体" w:cs="宋体"/>
          <w:b/>
          <w:color w:val="auto"/>
          <w:sz w:val="24"/>
          <w:highlight w:val="none"/>
        </w:rPr>
      </w:pP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w:t>
      </w:r>
      <w:r>
        <w:rPr>
          <w:rFonts w:hint="eastAsia" w:ascii="仿宋_GB2312" w:hAnsi="仿宋" w:eastAsia="仿宋_GB2312" w:cs="仿宋_GB2312"/>
          <w:b/>
          <w:color w:val="auto"/>
          <w:kern w:val="0"/>
          <w:sz w:val="32"/>
          <w:szCs w:val="32"/>
          <w:highlight w:val="none"/>
        </w:rPr>
        <w:t>拟派项目团队配备情况表</w:t>
      </w:r>
    </w:p>
    <w:p>
      <w:pPr>
        <w:jc w:val="center"/>
        <w:rPr>
          <w:rFonts w:ascii="宋体" w:hAnsi="宋体" w:cs="宋体"/>
          <w:b/>
          <w:color w:val="auto"/>
          <w:kern w:val="0"/>
          <w:sz w:val="32"/>
          <w:szCs w:val="32"/>
          <w:highlight w:val="none"/>
        </w:rPr>
      </w:pPr>
    </w:p>
    <w:tbl>
      <w:tblPr>
        <w:tblStyle w:val="62"/>
        <w:tblW w:w="4996" w:type="pct"/>
        <w:tblInd w:w="0" w:type="dxa"/>
        <w:tblLayout w:type="autofit"/>
        <w:tblCellMar>
          <w:top w:w="0" w:type="dxa"/>
          <w:left w:w="108" w:type="dxa"/>
          <w:bottom w:w="0" w:type="dxa"/>
          <w:right w:w="108" w:type="dxa"/>
        </w:tblCellMar>
      </w:tblPr>
      <w:tblGrid>
        <w:gridCol w:w="658"/>
        <w:gridCol w:w="700"/>
        <w:gridCol w:w="1763"/>
        <w:gridCol w:w="1321"/>
        <w:gridCol w:w="658"/>
        <w:gridCol w:w="659"/>
        <w:gridCol w:w="659"/>
        <w:gridCol w:w="1101"/>
        <w:gridCol w:w="1101"/>
        <w:gridCol w:w="659"/>
      </w:tblGrid>
      <w:tr>
        <w:tblPrEx>
          <w:tblCellMar>
            <w:top w:w="0" w:type="dxa"/>
            <w:left w:w="108" w:type="dxa"/>
            <w:bottom w:w="0" w:type="dxa"/>
            <w:right w:w="108" w:type="dxa"/>
          </w:tblCellMar>
        </w:tblPrEx>
        <w:trPr>
          <w:trHeight w:val="396" w:hRule="atLeast"/>
        </w:trPr>
        <w:tc>
          <w:tcPr>
            <w:tcW w:w="427" w:type="pct"/>
            <w:tcBorders>
              <w:top w:val="single" w:color="auto" w:sz="12" w:space="0"/>
              <w:left w:val="single" w:color="auto" w:sz="12" w:space="0"/>
              <w:bottom w:val="single" w:color="auto" w:sz="12" w:space="0"/>
              <w:right w:val="single" w:color="auto" w:sz="6" w:space="0"/>
            </w:tcBorders>
            <w:noWrap/>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序号</w:t>
            </w:r>
          </w:p>
        </w:tc>
        <w:tc>
          <w:tcPr>
            <w:tcW w:w="456"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jc w:val="center"/>
              <w:rPr>
                <w:rFonts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姓名</w:t>
            </w:r>
          </w:p>
        </w:tc>
        <w:tc>
          <w:tcPr>
            <w:tcW w:w="591"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本项目拟任岗位</w:t>
            </w:r>
          </w:p>
        </w:tc>
        <w:tc>
          <w:tcPr>
            <w:tcW w:w="718"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身份证号码</w:t>
            </w:r>
          </w:p>
        </w:tc>
        <w:tc>
          <w:tcPr>
            <w:tcW w:w="409"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年龄</w:t>
            </w:r>
          </w:p>
        </w:tc>
        <w:tc>
          <w:tcPr>
            <w:tcW w:w="371"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性别</w:t>
            </w:r>
          </w:p>
        </w:tc>
        <w:tc>
          <w:tcPr>
            <w:tcW w:w="371"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专业</w:t>
            </w:r>
          </w:p>
        </w:tc>
        <w:tc>
          <w:tcPr>
            <w:tcW w:w="371"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专业年限</w:t>
            </w:r>
          </w:p>
        </w:tc>
        <w:tc>
          <w:tcPr>
            <w:tcW w:w="695" w:type="pct"/>
            <w:tcBorders>
              <w:top w:val="single" w:color="auto" w:sz="12" w:space="0"/>
              <w:left w:val="single" w:color="auto" w:sz="6" w:space="0"/>
              <w:bottom w:val="single" w:color="auto" w:sz="12" w:space="0"/>
              <w:right w:val="single" w:color="auto" w:sz="6" w:space="0"/>
            </w:tcBorders>
            <w:noWrap/>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证书情况</w:t>
            </w:r>
          </w:p>
        </w:tc>
        <w:tc>
          <w:tcPr>
            <w:tcW w:w="587" w:type="pct"/>
            <w:tcBorders>
              <w:top w:val="single" w:color="auto" w:sz="12" w:space="0"/>
              <w:left w:val="single" w:color="auto" w:sz="6" w:space="0"/>
              <w:bottom w:val="single" w:color="auto" w:sz="12" w:space="0"/>
              <w:right w:val="single" w:color="auto" w:sz="12" w:space="0"/>
            </w:tcBorders>
            <w:noWrap/>
            <w:vAlign w:val="center"/>
          </w:tcPr>
          <w:p>
            <w:pPr>
              <w:autoSpaceDE w:val="0"/>
              <w:autoSpaceDN w:val="0"/>
              <w:jc w:val="center"/>
              <w:rPr>
                <w:rFonts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备注</w:t>
            </w:r>
          </w:p>
        </w:tc>
      </w:tr>
      <w:tr>
        <w:tblPrEx>
          <w:tblCellMar>
            <w:top w:w="0" w:type="dxa"/>
            <w:left w:w="108" w:type="dxa"/>
            <w:bottom w:w="0" w:type="dxa"/>
            <w:right w:w="108" w:type="dxa"/>
          </w:tblCellMar>
        </w:tblPrEx>
        <w:trPr>
          <w:trHeight w:val="408" w:hRule="atLeast"/>
        </w:trPr>
        <w:tc>
          <w:tcPr>
            <w:tcW w:w="427" w:type="pct"/>
            <w:tcBorders>
              <w:top w:val="single" w:color="auto" w:sz="12"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12"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12" w:space="0"/>
              <w:left w:val="single" w:color="auto" w:sz="6" w:space="0"/>
              <w:bottom w:val="single" w:color="auto" w:sz="6" w:space="0"/>
              <w:right w:val="single" w:color="auto" w:sz="6" w:space="0"/>
            </w:tcBorders>
            <w:noWrap/>
            <w:vAlign w:val="center"/>
          </w:tcPr>
          <w:p>
            <w:pPr>
              <w:autoSpaceDE w:val="0"/>
              <w:autoSpaceDN w:val="0"/>
              <w:ind w:left="5250"/>
              <w:rPr>
                <w:rFonts w:ascii="仿宋" w:hAnsi="仿宋" w:eastAsia="仿宋" w:cs="仿宋"/>
                <w:color w:val="auto"/>
                <w:szCs w:val="21"/>
                <w:highlight w:val="none"/>
              </w:rPr>
            </w:pPr>
          </w:p>
        </w:tc>
        <w:tc>
          <w:tcPr>
            <w:tcW w:w="587" w:type="pct"/>
            <w:tcBorders>
              <w:top w:val="single" w:color="auto" w:sz="12"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ind w:left="525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noWrap/>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12" w:space="0"/>
              <w:right w:val="single" w:color="auto" w:sz="6" w:space="0"/>
            </w:tcBorders>
            <w:noWrap/>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12" w:space="0"/>
              <w:right w:val="single" w:color="auto" w:sz="6" w:space="0"/>
            </w:tcBorders>
            <w:noWrap/>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12" w:space="0"/>
              <w:right w:val="single" w:color="auto" w:sz="12" w:space="0"/>
            </w:tcBorders>
            <w:noWrap/>
            <w:vAlign w:val="center"/>
          </w:tcPr>
          <w:p>
            <w:pPr>
              <w:autoSpaceDE w:val="0"/>
              <w:autoSpaceDN w:val="0"/>
              <w:rPr>
                <w:rFonts w:ascii="仿宋" w:hAnsi="仿宋" w:eastAsia="仿宋" w:cs="仿宋"/>
                <w:color w:val="auto"/>
                <w:szCs w:val="21"/>
                <w:highlight w:val="none"/>
              </w:rPr>
            </w:pPr>
          </w:p>
        </w:tc>
      </w:tr>
    </w:tbl>
    <w:p>
      <w:pPr>
        <w:keepNext w:val="0"/>
        <w:keepLines w:val="0"/>
        <w:widowControl/>
        <w:suppressLineNumbers w:val="0"/>
        <w:jc w:val="left"/>
      </w:pPr>
      <w:r>
        <w:rPr>
          <w:rFonts w:ascii="仿宋" w:hAnsi="仿宋" w:eastAsia="仿宋" w:cs="仿宋"/>
          <w:b/>
          <w:bCs/>
          <w:color w:val="000000"/>
          <w:kern w:val="0"/>
          <w:sz w:val="20"/>
          <w:szCs w:val="20"/>
          <w:lang w:val="en-US" w:eastAsia="zh-CN" w:bidi="ar"/>
        </w:rPr>
        <w:t>注：涉及评分项的其它证明材料附后。</w:t>
      </w:r>
    </w:p>
    <w:p>
      <w:pPr>
        <w:snapToGrid w:val="0"/>
        <w:spacing w:line="360" w:lineRule="auto"/>
        <w:ind w:firstLine="576"/>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lang w:val="en-US" w:eastAsia="zh-CN"/>
        </w:rPr>
        <w:t xml:space="preserve">         </w:t>
      </w:r>
    </w:p>
    <w:p>
      <w:pPr>
        <w:snapToGrid w:val="0"/>
        <w:spacing w:line="360" w:lineRule="auto"/>
        <w:ind w:firstLine="576"/>
        <w:jc w:val="center"/>
        <w:rPr>
          <w:rFonts w:hint="eastAsia" w:ascii="宋体" w:hAnsi="宋体" w:cs="宋体"/>
          <w:color w:val="auto"/>
          <w:kern w:val="0"/>
          <w:sz w:val="24"/>
          <w:highlight w:val="none"/>
          <w:lang w:val="en-US" w:eastAsia="zh-CN"/>
        </w:rPr>
      </w:pP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宋体" w:hAnsi="宋体" w:cs="宋体"/>
          <w:color w:val="auto"/>
          <w:kern w:val="0"/>
          <w:sz w:val="24"/>
          <w:highlight w:val="none"/>
          <w:lang w:val="en-US" w:eastAsia="zh-CN"/>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 xml:space="preserve">投标人名称(电子签名)：                              </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rPr>
          <w:rFonts w:hint="eastAsia" w:ascii="仿宋" w:hAnsi="仿宋" w:eastAsia="仿宋" w:cs="仿宋"/>
          <w:b/>
          <w:snapToGrid w:val="0"/>
          <w:color w:val="auto"/>
          <w:kern w:val="0"/>
          <w:sz w:val="28"/>
          <w:szCs w:val="28"/>
          <w:highlight w:val="none"/>
        </w:rPr>
      </w:pPr>
      <w:r>
        <w:rPr>
          <w:rFonts w:hint="eastAsia" w:ascii="仿宋" w:hAnsi="仿宋" w:eastAsia="仿宋" w:cs="仿宋"/>
          <w:b/>
          <w:snapToGrid w:val="0"/>
          <w:color w:val="auto"/>
          <w:kern w:val="0"/>
          <w:sz w:val="28"/>
          <w:szCs w:val="28"/>
          <w:highlight w:val="none"/>
        </w:rPr>
        <w:br w:type="page"/>
      </w:r>
    </w:p>
    <w:p>
      <w:pPr>
        <w:pStyle w:val="34"/>
        <w:snapToGrid w:val="0"/>
        <w:spacing w:line="360" w:lineRule="auto"/>
        <w:jc w:val="center"/>
        <w:rPr>
          <w:rFonts w:hint="eastAsia" w:ascii="仿宋" w:hAnsi="仿宋" w:eastAsia="仿宋" w:cs="仿宋"/>
          <w:b/>
          <w:snapToGrid w:val="0"/>
          <w:color w:val="auto"/>
          <w:kern w:val="0"/>
          <w:sz w:val="28"/>
          <w:szCs w:val="28"/>
          <w:highlight w:val="none"/>
        </w:rPr>
      </w:pPr>
      <w:r>
        <w:rPr>
          <w:rFonts w:hint="eastAsia" w:ascii="仿宋" w:hAnsi="仿宋" w:eastAsia="仿宋" w:cs="仿宋"/>
          <w:b/>
          <w:snapToGrid w:val="0"/>
          <w:color w:val="auto"/>
          <w:kern w:val="0"/>
          <w:sz w:val="28"/>
          <w:szCs w:val="28"/>
          <w:highlight w:val="none"/>
        </w:rPr>
        <w:t>（2）项目负责人简历表</w:t>
      </w:r>
    </w:p>
    <w:tbl>
      <w:tblPr>
        <w:tblStyle w:val="62"/>
        <w:tblW w:w="0" w:type="auto"/>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
        <w:gridCol w:w="1389"/>
        <w:gridCol w:w="1155"/>
        <w:gridCol w:w="1050"/>
        <w:gridCol w:w="210"/>
        <w:gridCol w:w="1830"/>
        <w:gridCol w:w="262"/>
        <w:gridCol w:w="12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6" w:hRule="atLeast"/>
        </w:trPr>
        <w:tc>
          <w:tcPr>
            <w:tcW w:w="1474"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姓   名</w:t>
            </w:r>
          </w:p>
        </w:tc>
        <w:tc>
          <w:tcPr>
            <w:tcW w:w="1389" w:type="dxa"/>
            <w:noWrap w:val="0"/>
            <w:vAlign w:val="center"/>
          </w:tcPr>
          <w:p>
            <w:pPr>
              <w:snapToGrid w:val="0"/>
              <w:spacing w:line="320" w:lineRule="atLeast"/>
              <w:jc w:val="center"/>
              <w:rPr>
                <w:rFonts w:hint="eastAsia" w:ascii="仿宋" w:hAnsi="仿宋" w:eastAsia="仿宋" w:cs="仿宋"/>
                <w:color w:val="auto"/>
                <w:highlight w:val="none"/>
              </w:rPr>
            </w:pPr>
          </w:p>
        </w:tc>
        <w:tc>
          <w:tcPr>
            <w:tcW w:w="1155" w:type="dxa"/>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年   龄</w:t>
            </w:r>
          </w:p>
        </w:tc>
        <w:tc>
          <w:tcPr>
            <w:tcW w:w="1260" w:type="dxa"/>
            <w:gridSpan w:val="2"/>
            <w:noWrap w:val="0"/>
            <w:vAlign w:val="center"/>
          </w:tcPr>
          <w:p>
            <w:pPr>
              <w:snapToGrid w:val="0"/>
              <w:spacing w:line="320" w:lineRule="atLeast"/>
              <w:jc w:val="center"/>
              <w:rPr>
                <w:rFonts w:hint="eastAsia" w:ascii="仿宋" w:hAnsi="仿宋" w:eastAsia="仿宋" w:cs="仿宋"/>
                <w:color w:val="auto"/>
                <w:highlight w:val="none"/>
              </w:rPr>
            </w:pPr>
          </w:p>
        </w:tc>
        <w:tc>
          <w:tcPr>
            <w:tcW w:w="2092"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专   业</w:t>
            </w:r>
          </w:p>
        </w:tc>
        <w:tc>
          <w:tcPr>
            <w:tcW w:w="1270" w:type="dxa"/>
            <w:noWrap w:val="0"/>
            <w:vAlign w:val="center"/>
          </w:tcPr>
          <w:p>
            <w:pPr>
              <w:snapToGrid w:val="0"/>
              <w:spacing w:line="320" w:lineRule="atLeast"/>
              <w:jc w:val="center"/>
              <w:rPr>
                <w:rFonts w:hint="eastAsia" w:ascii="仿宋" w:hAnsi="仿宋" w:eastAsia="仿宋" w:cs="仿宋"/>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1474"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职   称</w:t>
            </w:r>
          </w:p>
        </w:tc>
        <w:tc>
          <w:tcPr>
            <w:tcW w:w="1389" w:type="dxa"/>
            <w:noWrap w:val="0"/>
            <w:vAlign w:val="center"/>
          </w:tcPr>
          <w:p>
            <w:pPr>
              <w:snapToGrid w:val="0"/>
              <w:spacing w:line="320" w:lineRule="atLeast"/>
              <w:jc w:val="center"/>
              <w:rPr>
                <w:rFonts w:hint="eastAsia" w:ascii="仿宋" w:hAnsi="仿宋" w:eastAsia="仿宋" w:cs="仿宋"/>
                <w:color w:val="auto"/>
                <w:highlight w:val="none"/>
              </w:rPr>
            </w:pPr>
          </w:p>
        </w:tc>
        <w:tc>
          <w:tcPr>
            <w:tcW w:w="1155" w:type="dxa"/>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职   务</w:t>
            </w:r>
          </w:p>
        </w:tc>
        <w:tc>
          <w:tcPr>
            <w:tcW w:w="1260" w:type="dxa"/>
            <w:gridSpan w:val="2"/>
            <w:noWrap w:val="0"/>
            <w:vAlign w:val="center"/>
          </w:tcPr>
          <w:p>
            <w:pPr>
              <w:snapToGrid w:val="0"/>
              <w:spacing w:line="320" w:lineRule="atLeast"/>
              <w:jc w:val="center"/>
              <w:rPr>
                <w:rFonts w:hint="eastAsia" w:ascii="仿宋" w:hAnsi="仿宋" w:eastAsia="仿宋" w:cs="仿宋"/>
                <w:color w:val="auto"/>
                <w:highlight w:val="none"/>
              </w:rPr>
            </w:pPr>
          </w:p>
        </w:tc>
        <w:tc>
          <w:tcPr>
            <w:tcW w:w="2092"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拟在本合同</w:t>
            </w:r>
          </w:p>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项目担任职务</w:t>
            </w:r>
          </w:p>
        </w:tc>
        <w:tc>
          <w:tcPr>
            <w:tcW w:w="1270" w:type="dxa"/>
            <w:noWrap w:val="0"/>
            <w:vAlign w:val="center"/>
          </w:tcPr>
          <w:p>
            <w:pPr>
              <w:snapToGrid w:val="0"/>
              <w:spacing w:line="320" w:lineRule="atLeast"/>
              <w:jc w:val="center"/>
              <w:rPr>
                <w:rFonts w:hint="eastAsia" w:ascii="仿宋" w:hAnsi="仿宋" w:eastAsia="仿宋" w:cs="仿宋"/>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4" w:hRule="atLeast"/>
        </w:trPr>
        <w:tc>
          <w:tcPr>
            <w:tcW w:w="1474"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毕业学校</w:t>
            </w:r>
          </w:p>
        </w:tc>
        <w:tc>
          <w:tcPr>
            <w:tcW w:w="7166" w:type="dxa"/>
            <w:gridSpan w:val="7"/>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月毕业于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学校</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系(科)，学制</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8640" w:type="dxa"/>
            <w:gridSpan w:val="9"/>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经                        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1" w:hRule="atLeast"/>
        </w:trPr>
        <w:tc>
          <w:tcPr>
            <w:tcW w:w="1468" w:type="dxa"/>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年   月</w:t>
            </w:r>
          </w:p>
        </w:tc>
        <w:tc>
          <w:tcPr>
            <w:tcW w:w="3600" w:type="dxa"/>
            <w:gridSpan w:val="4"/>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工作经历</w:t>
            </w:r>
          </w:p>
        </w:tc>
        <w:tc>
          <w:tcPr>
            <w:tcW w:w="2040"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担 任 何 职</w:t>
            </w:r>
          </w:p>
        </w:tc>
        <w:tc>
          <w:tcPr>
            <w:tcW w:w="1532" w:type="dxa"/>
            <w:gridSpan w:val="2"/>
            <w:noWrap w:val="0"/>
            <w:vAlign w:val="center"/>
          </w:tcPr>
          <w:p>
            <w:pPr>
              <w:snapToGrid w:val="0"/>
              <w:spacing w:line="320" w:lineRule="atLeast"/>
              <w:jc w:val="center"/>
              <w:rPr>
                <w:rFonts w:hint="eastAsia" w:ascii="仿宋" w:hAnsi="仿宋" w:eastAsia="仿宋" w:cs="仿宋"/>
                <w:color w:val="auto"/>
                <w:highlight w:val="none"/>
              </w:rPr>
            </w:pPr>
            <w:r>
              <w:rPr>
                <w:rFonts w:hint="eastAsia" w:ascii="仿宋" w:hAnsi="仿宋" w:eastAsia="仿宋" w:cs="仿宋"/>
                <w:color w:val="auto"/>
                <w:highlight w:val="none"/>
              </w:rPr>
              <w:t>备   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468" w:type="dxa"/>
            <w:noWrap w:val="0"/>
            <w:vAlign w:val="center"/>
          </w:tcPr>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tc>
        <w:tc>
          <w:tcPr>
            <w:tcW w:w="3600" w:type="dxa"/>
            <w:gridSpan w:val="4"/>
            <w:noWrap w:val="0"/>
            <w:vAlign w:val="center"/>
          </w:tcPr>
          <w:p>
            <w:pPr>
              <w:snapToGrid w:val="0"/>
              <w:spacing w:line="320" w:lineRule="atLeast"/>
              <w:jc w:val="center"/>
              <w:rPr>
                <w:rFonts w:hint="eastAsia" w:ascii="仿宋" w:hAnsi="仿宋" w:eastAsia="仿宋" w:cs="仿宋"/>
                <w:color w:val="auto"/>
                <w:highlight w:val="none"/>
              </w:rPr>
            </w:pPr>
          </w:p>
        </w:tc>
        <w:tc>
          <w:tcPr>
            <w:tcW w:w="2040" w:type="dxa"/>
            <w:gridSpan w:val="2"/>
            <w:noWrap w:val="0"/>
            <w:vAlign w:val="center"/>
          </w:tcPr>
          <w:p>
            <w:pPr>
              <w:snapToGrid w:val="0"/>
              <w:spacing w:line="320" w:lineRule="atLeast"/>
              <w:jc w:val="center"/>
              <w:rPr>
                <w:rFonts w:hint="eastAsia" w:ascii="仿宋" w:hAnsi="仿宋" w:eastAsia="仿宋" w:cs="仿宋"/>
                <w:color w:val="auto"/>
                <w:highlight w:val="none"/>
              </w:rPr>
            </w:pPr>
          </w:p>
        </w:tc>
        <w:tc>
          <w:tcPr>
            <w:tcW w:w="1532" w:type="dxa"/>
            <w:gridSpan w:val="2"/>
            <w:noWrap w:val="0"/>
            <w:vAlign w:val="center"/>
          </w:tcPr>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p>
            <w:pPr>
              <w:snapToGrid w:val="0"/>
              <w:spacing w:line="320" w:lineRule="atLeast"/>
              <w:jc w:val="center"/>
              <w:rPr>
                <w:rFonts w:hint="eastAsia" w:ascii="仿宋" w:hAnsi="仿宋" w:eastAsia="仿宋" w:cs="仿宋"/>
                <w:color w:val="auto"/>
                <w:highlight w:val="none"/>
              </w:rPr>
            </w:pPr>
          </w:p>
        </w:tc>
      </w:tr>
    </w:tbl>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 注：与评分有关的证明材料附后。</w:t>
      </w:r>
    </w:p>
    <w:p>
      <w:pPr>
        <w:snapToGrid w:val="0"/>
        <w:spacing w:line="360" w:lineRule="auto"/>
        <w:ind w:firstLine="576"/>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 xml:space="preserve">           </w:t>
      </w:r>
    </w:p>
    <w:p>
      <w:pPr>
        <w:snapToGrid w:val="0"/>
        <w:spacing w:line="360" w:lineRule="auto"/>
        <w:ind w:firstLine="576"/>
        <w:jc w:val="center"/>
        <w:rPr>
          <w:rFonts w:hint="eastAsia" w:ascii="仿宋" w:hAnsi="仿宋" w:eastAsia="仿宋" w:cs="仿宋"/>
          <w:color w:val="auto"/>
          <w:kern w:val="0"/>
          <w:sz w:val="24"/>
          <w:highlight w:val="none"/>
          <w:lang w:val="en-US" w:eastAsia="zh-CN"/>
        </w:rPr>
      </w:pP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 xml:space="preserve">投标人名称(电子签名)：                              </w:t>
      </w:r>
    </w:p>
    <w:p>
      <w:pPr>
        <w:spacing w:line="360" w:lineRule="auto"/>
        <w:jc w:val="center"/>
        <w:rPr>
          <w:rFonts w:ascii="宋体" w:hAnsi="宋体" w:cs="宋体"/>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rPr>
          <w:rFonts w:hint="eastAsia" w:ascii="仿宋" w:hAnsi="仿宋" w:eastAsia="仿宋" w:cs="仿宋"/>
          <w:color w:val="auto"/>
          <w:highlight w:val="none"/>
        </w:rPr>
      </w:pPr>
    </w:p>
    <w:p>
      <w:pPr>
        <w:jc w:val="center"/>
        <w:rPr>
          <w:rFonts w:hint="eastAsia" w:ascii="宋体" w:hAnsi="宋体" w:eastAsia="宋体" w:cs="宋体"/>
          <w:b/>
          <w:color w:val="auto"/>
          <w:kern w:val="0"/>
          <w:sz w:val="32"/>
          <w:szCs w:val="32"/>
          <w:highlight w:val="none"/>
          <w:lang w:val="en-US" w:eastAsia="zh-CN"/>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七</w:t>
      </w:r>
      <w:r>
        <w:rPr>
          <w:rFonts w:hint="eastAsia" w:ascii="宋体" w:hAnsi="宋体" w:cs="宋体"/>
          <w:b/>
          <w:color w:val="auto"/>
          <w:kern w:val="0"/>
          <w:sz w:val="32"/>
          <w:szCs w:val="32"/>
          <w:highlight w:val="none"/>
        </w:rPr>
        <w:t>、投标标的清单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numPr>
          <w:ilvl w:val="0"/>
          <w:numId w:val="8"/>
        </w:num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商务技术偏离表</w:t>
      </w:r>
    </w:p>
    <w:p>
      <w:pPr>
        <w:pStyle w:val="79"/>
        <w:numPr>
          <w:ilvl w:val="0"/>
          <w:numId w:val="0"/>
        </w:numPr>
        <w:jc w:val="center"/>
        <w:rPr>
          <w:rFonts w:hint="eastAsia" w:eastAsia="仿宋_GB2312"/>
          <w:b/>
          <w:bCs/>
          <w:lang w:eastAsia="zh-CN"/>
        </w:rPr>
      </w:pPr>
      <w:r>
        <w:rPr>
          <w:rFonts w:hint="eastAsia"/>
          <w:b/>
          <w:bCs/>
          <w:lang w:eastAsia="zh-CN"/>
        </w:rPr>
        <w:t>（一）商务偏离表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keepNext w:val="0"/>
        <w:keepLines w:val="0"/>
        <w:widowControl/>
        <w:suppressLineNumbers w:val="0"/>
        <w:jc w:val="center"/>
        <w:rPr>
          <w:rFonts w:ascii="宋体" w:hAnsi="宋体" w:cs="宋体"/>
          <w:b/>
          <w:bCs/>
          <w:color w:val="auto"/>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keepNext w:val="0"/>
        <w:keepLines w:val="0"/>
        <w:widowControl/>
        <w:numPr>
          <w:ilvl w:val="0"/>
          <w:numId w:val="9"/>
        </w:numPr>
        <w:suppressLineNumbers w:val="0"/>
        <w:jc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技术响应表</w:t>
      </w:r>
    </w:p>
    <w:p>
      <w:pPr>
        <w:pStyle w:val="2"/>
        <w:spacing w:before="120" w:beforeLines="50"/>
        <w:ind w:left="840" w:leftChars="400" w:firstLine="0" w:firstLineChars="0"/>
      </w:pPr>
      <w:r>
        <w:rPr>
          <w:rFonts w:hint="eastAsia" w:ascii="仿宋" w:hAnsi="仿宋" w:eastAsia="仿宋" w:cs="仿宋"/>
          <w:b/>
          <w:bCs/>
          <w:color w:val="auto"/>
          <w:sz w:val="24"/>
          <w:szCs w:val="32"/>
          <w:highlight w:val="none"/>
        </w:rPr>
        <w:t xml:space="preserve">项目名称：                                                               </w:t>
      </w:r>
      <w:r>
        <w:rPr>
          <w:rFonts w:hint="eastAsia" w:ascii="仿宋" w:hAnsi="仿宋" w:eastAsia="仿宋" w:cs="仿宋"/>
          <w:b/>
          <w:bCs/>
          <w:color w:val="auto"/>
          <w:sz w:val="24"/>
          <w:szCs w:val="32"/>
        </w:rPr>
        <w:t xml:space="preserve">                项目编号：</w:t>
      </w:r>
    </w:p>
    <w:tbl>
      <w:tblPr>
        <w:tblStyle w:val="62"/>
        <w:tblW w:w="4995" w:type="pct"/>
        <w:tblInd w:w="0" w:type="dxa"/>
        <w:tblLayout w:type="fixed"/>
        <w:tblCellMar>
          <w:top w:w="0" w:type="dxa"/>
          <w:left w:w="108" w:type="dxa"/>
          <w:bottom w:w="0" w:type="dxa"/>
          <w:right w:w="108" w:type="dxa"/>
        </w:tblCellMar>
      </w:tblPr>
      <w:tblGrid>
        <w:gridCol w:w="796"/>
        <w:gridCol w:w="1296"/>
        <w:gridCol w:w="1855"/>
        <w:gridCol w:w="5684"/>
        <w:gridCol w:w="3537"/>
        <w:gridCol w:w="1349"/>
      </w:tblGrid>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产品名称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尺寸</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技术参数</w:t>
            </w:r>
          </w:p>
        </w:tc>
        <w:tc>
          <w:tcPr>
            <w:tcW w:w="12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投标响应</w:t>
            </w:r>
          </w:p>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color w:val="auto"/>
                <w:kern w:val="0"/>
                <w:sz w:val="24"/>
                <w:szCs w:val="24"/>
                <w:highlight w:val="none"/>
              </w:rPr>
              <w:t>（逐一对应）</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偏离说明</w:t>
            </w:r>
          </w:p>
        </w:tc>
      </w:tr>
      <w:tr>
        <w:tblPrEx>
          <w:tblCellMar>
            <w:top w:w="0" w:type="dxa"/>
            <w:left w:w="108" w:type="dxa"/>
            <w:bottom w:w="0" w:type="dxa"/>
            <w:right w:w="108" w:type="dxa"/>
          </w:tblCellMar>
        </w:tblPrEx>
        <w:trPr>
          <w:trHeight w:val="200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b/>
                <w:bCs/>
                <w:i/>
                <w:iCs/>
                <w:color w:val="auto"/>
                <w:kern w:val="0"/>
                <w:sz w:val="24"/>
                <w:szCs w:val="24"/>
                <w:highlight w:val="none"/>
                <w:shd w:val="clear" w:color="FFFFFF" w:fill="D9D9D9"/>
                <w:lang w:bidi="ar"/>
              </w:rPr>
              <w:t>严禁完全复制粘贴招标要求</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right="0"/>
              <w:jc w:val="left"/>
              <w:textAlignment w:val="center"/>
              <w:rPr>
                <w:rFonts w:hint="eastAsia" w:ascii="宋体" w:hAnsi="宋体" w:eastAsia="宋体" w:cs="宋体"/>
                <w:b/>
                <w:bCs/>
                <w:color w:val="auto"/>
                <w:kern w:val="0"/>
                <w:sz w:val="21"/>
                <w:szCs w:val="21"/>
                <w:highlight w:val="none"/>
                <w:shd w:val="clear" w:color="FFFFFF" w:fill="D9D9D9"/>
                <w:lang w:bidi="ar"/>
              </w:rPr>
            </w:pPr>
          </w:p>
        </w:tc>
      </w:tr>
      <w:tr>
        <w:tblPrEx>
          <w:tblCellMar>
            <w:top w:w="0" w:type="dxa"/>
            <w:left w:w="108" w:type="dxa"/>
            <w:bottom w:w="0" w:type="dxa"/>
            <w:right w:w="108" w:type="dxa"/>
          </w:tblCellMar>
        </w:tblPrEx>
        <w:trPr>
          <w:trHeight w:val="185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86"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立式两玻璃门冷藏柜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610*750*2200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numPr>
                <w:ilvl w:val="0"/>
                <w:numId w:val="5"/>
              </w:numPr>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内外箱均采用优质304不锈钢板材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2、箱体门框，中柱内部的高效防凝露加热丝，能有效防止门磁条密封性不跑冷气，防止门框结露、滴水，保证客户的使用效果和环境卫生；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3、高效节能系统，导热好经久耐用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4、微电脑控制面板；一体发泡技术箱体强度高，坚固耐用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5、自动回归门，内箱底板拐角处为圆弧过渡，无卫生死角易清理箱体为采用聚氨酯整体发泡，保温性能好，降低能耗；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6、压缩机质保3年，性能稳定；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7、全铜管冷凝器、蒸发器,铜管外部增加电镀防腐涂层，换热效率高，制冷效果好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8、温度冷藏0～12℃，电热玻璃门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9、尺寸：610*750*2200（尺寸偏差控制在±10mm内，超出范围内属于负偏离项）</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numPr>
                <w:ilvl w:val="0"/>
                <w:numId w:val="0"/>
              </w:numPr>
              <w:kinsoku/>
              <w:wordWrap/>
              <w:overflowPunct/>
              <w:topLinePunct w:val="0"/>
              <w:autoSpaceDE/>
              <w:autoSpaceDN/>
              <w:bidi w:val="0"/>
              <w:adjustRightInd w:val="0"/>
              <w:snapToGrid/>
              <w:spacing w:line="240" w:lineRule="auto"/>
              <w:ind w:right="0" w:rightChars="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numPr>
                <w:ilvl w:val="0"/>
                <w:numId w:val="0"/>
              </w:numPr>
              <w:kinsoku/>
              <w:wordWrap/>
              <w:overflowPunct/>
              <w:topLinePunct w:val="0"/>
              <w:autoSpaceDE/>
              <w:autoSpaceDN/>
              <w:bidi w:val="0"/>
              <w:adjustRightInd w:val="0"/>
              <w:snapToGrid/>
              <w:spacing w:line="240" w:lineRule="auto"/>
              <w:ind w:right="0" w:rightChars="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三抽屉移门工作柜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—门外板、柜内层板、底板、侧板厚1.0㎜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—抽屉层板1.0mm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36"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79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智能收货（入库）系统</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1.软件部分：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（1）本系统需与食堂采购平台无缝对接，数据相互统一。</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收货（入库）环节实现：支持多个档口合并统一收货，规则化回填实收数据到收货单；支持多次叠加称重及系数化去皮操作；支持商品扫码自动称重操作；支持语音播报商品名称及实时称重数；支持称重商品远景及近景抓拍实时称重情况；支持收货人员电子签名；支持电子签收单分发到食堂负责人、配送商负责人等相关人员；支持查询签收统计报表及推送；电子签收单附带收货视频、照片信息；支持非称重商品数量录入和照片上传功能；可配有收货监管app，可直观展示过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2.硬件参数：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业务环节 硬件名称 功能点 参数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（1）收货（入库）称重部分：称重至少达到300kg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（2）精度±0.1kg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（3）秤体：全不锈钢，不锈钢厚度≥1.0mm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（4）视频部分：高清摄像头，分辨率≥200万/1080P，夜视：红外夜视，焦距≤2.8MM，红外夜视距离≥30米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（5）近景摄像头：分辨率 ≥1080p，视角≥120度</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（6）工作温度和湿度：-30℃~50℃；湿度≤95%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（7）操作仪表：称重显示：独立重量显示和控制面板；液晶屏≥15.6寸， 分辨率≥1920x1080 ，电容触摸屏；主控板CPU核心数≥4核，CPU单核频率≥1.8Ghz；接口：RS232≥4、USB 2.0≥4、Lan≥1；通讯：支持蓝牙、支持WIFI5以上</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（8）整体结构：秤盘尺寸≥450*650mm，底座尺寸≥450*650*190mm，秤体总高≥1800mm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（9）移动电源：输出12V/5V-6A，操作≥2小时以上</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41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智能出库系统</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1.软件部分：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该系统能快速准确完成库存商品出库工作，同时系统根据操作数据，自动生成出库单，并且打印出库小票作为月底出入库台账核对依据，提高操作效率，力争库存数据实时可查可管。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出库系统需与食堂采购平台无缝对接，数据统一；具备采购订单自动入库功能，支持按类选择出库商品；具备领用人电子签名功能，可直接打印带签名领用单，支持质保期维护功能；具备自动生成出入库台账功能；设备端支持盘存商品添加、盘存操作和数据上报；打印部分内嵌支持58mm热敏打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功能实现：共分为八项基础功能：①盘库商品；②入库查询；③出库管理；④出入库查询；⑤库存盘点；⑥生成出入库台账；⑦库存台账查询；⑧当前库存查询。统称为“库存管理”。利用智能出库系统，通过软硬件一体化设置实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2.硬件参数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主机部分：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（1）CPU核心数: ≥4核；内存容量:≥2G；存储容量:≥16G；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（2）板载100/1000Mbps自适应网卡，内置WIFI模块。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主屏部分：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（1）主屏≥15.6寸LCD高亮度显示屏，分辨率≥1920*1080；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（2）外设部分：接口：R232串行接口≥1个、USB接口≥2个、RJ45网口≥1个、支持WIFI、1个DC电源接口；输入：AC 100-240V 50/60Hz；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（3）打印部分：内嵌支持58mm热敏打印；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（4）衡器部分：最大称重≥30kg，最小称重≤40g；分度值≤5g；秤盘采用304及以上不锈钢；秤盘尺寸：长≥370mm，宽≥270mm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1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大米搁架（方管型）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—层外框采用38*38*1.0不锈钢方管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—层内档采用30*15*0.8不锈钢方管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—配包钢可调式子弹脚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四层板货架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≥1200*500*1550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—层板厚≥1.0mm不锈钢板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—面板下采用折弯一体加强码，板厚0.8~1.2mm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774"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58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2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2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9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1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44"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4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00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单星剖鱼盆台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—台面板一体冲压成型，左边为水池，右边冲压沥水槽，沥水槽区域尺寸≥400*400mm—台面板厚≥1.2㎜,水斗板厚≥1.0mm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高压花洒</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流量5.38LPM/1.42GPM指标</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抛光镀铬黄铜本体，直管壁厚2.54mm～6.6mm，无铅</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黄铜压缩阀芯带有止回阀可防止水流回流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18"不锈钢供水软管，可调墙出支架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，；一字手柄带有冷热水标色螺丝；大流量喷阀； 6"(152mm)墙出支架；开孔：孔径38mm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多功砧板毛巾刀具消毒柜一体机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≥1200*600*1800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毛巾、砧板、刀具消毒一体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 304-2B不锈钢板制造，厚度为1.2mm。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电压：220v  紫外线功率：17w  红外线功率：300w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消毒方式：紫外线加臭氧/红外线循环风 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毒刀数量：20把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消毒毛巾数量：24块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消毒砧板数量：10块（直径50cm厚度10cm）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1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8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多功砧板毛巾刀具消毒柜一体机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≥1200*600*1800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毛巾、砧板、刀具消毒一体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 304-2B不锈钢板制造，厚度为1.2mm。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电压：220v  紫外线功率：17w  红外线功率：300w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消毒方式：紫外线加臭氧/红外线循环风 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毒刀数量：20把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消毒毛巾数量：24块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消毒砧板数量：10块（直径50cm厚度10cm）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14"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多功砧板毛巾刀具消毒柜一体机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≥1200*600*1800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毛巾、砧板、刀具消毒一体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 304-2B不锈钢板制造，厚度为1.2mm。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电压：220v  紫外线功率：17w  红外线功率：300w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消毒方式：紫外线加臭氧/红外线循环风 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毒刀数量：20把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消毒毛巾数量：24块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消毒砧板数量：10块（直径50cm厚度10cm）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4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2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79"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拖把池连架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≥1000*600*1800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—高背板设计防溅水设计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—水斗整体用料1.2mm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—30×30×1.0不锈钢方管架子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四层板货架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≥1200*500*1550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—层板厚≥1.0mm不锈钢板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—面板下采用折弯一体加强码，板厚0.8~1.2mm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四层板货架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≥1200*500*1550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—层板厚≥1.0mm不锈钢板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—面板下采用折弯一体加强码，板厚0.8~1.2mm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工作台柜带水池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57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立式四门冷藏柜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1220*750*2200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电源：220V/50HZ，输入功率：405W，电流：2.5A，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温度范围:  -6～12℃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1、内外箱均为SUS304不锈钢板；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2、使用优质压缩机，全铜管冷凝器、蒸发器；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3、配备强制蒸发装置，自动蒸发化霜水；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4、一体式发泡工艺，整体平整、耐用；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5、产品能在43℃的环境温度下正常工作；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6、置于箱体内部的高效防露加热丝，能有效防止门框结露、滴水，保证客户的使用效果和环境卫生；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7、冰箱配备了门体自动关闭结构，方便客户操作。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容积：≥880L</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8、尺寸偏差控制在±10mm内，超出范围内属于负偏离项</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双向工作台柜（移门）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—门外板、柜内层板、底板、侧板厚1.0㎜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双向工作台柜连水池（移门）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—门外板、柜内层板、底板、侧板厚1.0㎜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00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港式料台水池</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≥500*1100*800/1050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—后挡板、前围板厚≥1.0mm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—星盆冲压一体成型规格：≥400*400*280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2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可倾燃气汤锅 （200L）</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≥1430*1040*1035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^锅体可倾，方便出料，清洗方便；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内锅口径：φ800mm，电功率：65w/220v符合GB3584802018标准，热负荷：42kw，热效率：64％，燃气耗量：天然气4.2m3/h液化气3kg/h标配燃气管：DN25,L=400mm；标配进水管：DN20,L=400mm，^适用于煲汤，熬煮粥、煮水饺、面条及食物的氽水；^燃气和空气混合后通过鼓风机强力射出，噪音低，热效率高；^全不锈钢制造，外形美观，结构紧凑；</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料台平板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≥500*1100*800/1050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—台面板厚≥1.2mm，后挡板、前围板厚≥1.0mm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27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b/>
                <w:bCs/>
                <w:color w:val="auto"/>
                <w:kern w:val="0"/>
                <w:sz w:val="21"/>
                <w:szCs w:val="21"/>
                <w:highlight w:val="none"/>
                <w:lang w:bidi="ar"/>
              </w:rPr>
              <w:t xml:space="preserve">炊用燃气大锅灶（双眼大锅灶） </w:t>
            </w:r>
            <w:r>
              <w:rPr>
                <w:rFonts w:hint="eastAsia" w:ascii="宋体" w:hAnsi="宋体" w:eastAsia="宋体" w:cs="宋体"/>
                <w:b/>
                <w:bCs/>
                <w:color w:val="auto"/>
                <w:kern w:val="0"/>
                <w:sz w:val="21"/>
                <w:szCs w:val="21"/>
                <w:highlight w:val="none"/>
                <w:u w:val="single"/>
                <w:lang w:bidi="ar"/>
              </w:rPr>
              <w:t>要求提样品</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≥2000*1100*800/1050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—炉面采用冲压面板，板厚1.2mm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—开关板、后档板、水槽盖板厚0.8mm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—炉底部分用2.5mm厚铁板或高强度镀锌板折弯加强筋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—主体骨架用高强度镀锌板折弯框架结构制作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—φ63mm不锈钢炉脚，内衬2"钢管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—配φ760mm生铁大锅</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—冷水摇摆龙头，背板冷却水装置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—电子点火，高效节能不锈钢炉头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—风机电压：220V/50HZ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—燃气熄火保护装置及燃气管路稳压装置</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5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中餐燃气炒菜灶（两眼一汤炒灶）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≥1800*1100*800/1050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—炉面采用冲压面板，板厚1.2mm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—开关板、后档板、水槽盖板厚0.8mm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—炉膛采用保温隔热措施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—主体骨架用高强度镀锌板折弯组装框架结构制作(无焊接）</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—φ63mm不锈钢炉脚，内衬2"钢管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—配φ320mm铸造灶圈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—汤罐φ250mm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—冷水摇摆龙头，背板冷却水装置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—电子点火，高效节能不锈钢炉头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—风机功率：220V/50HZ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180W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—燃气熄火保护装置及燃气管路稳压装置</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9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过滤式油网烟罩(前置新风）</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≥14600*1600*500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—配LED防雾烟罩灯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—灯罩玻璃采用钢化处理，压板及各加强档厚1.5mm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—前板、左右端板厚1.2mm，后板厚1.2mm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—沥油板加强片厚1.2mm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—左右小侧板、LED固定板、顶板、前网板厚≥1.0mm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—配LED灯照明，前置双涡流静音稳压新风机，220V/250W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—播风口采用abs塑料，可多角度调节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—烟罩三侧配置旋流导流孔，集烟更方便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—UV灯、控制器及风机排烟风管另计</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9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厨房灭火系统</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保护5-10米</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功能组成 1. 自动机械控制箱(或副箱)；2. 药剂罐(根据各保护距离配置)；3. 氮气瓶（启动源）；；5.探测器(感温熔断片)；6. 喷嘴及喷嘴帽；7. 远距离控制手拉开关；8. 灭火药剂为食用油专用灭火药剂，该药剂应无毒、无污染、易清洗，需满足以下要求：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1、具有水冷却功能的装置，在灭火剂完全喷射后，水流联动阀立即启动；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、灭火系统具有自动启动、手动启动、机械启动功能，且不会复燃，能提供消防中控信号及燃气切断功能信号。</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、联动性能，自动切换时间≤0.5秒，喷射延迟时间≤1秒。</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、喷嘴数量：单瓶组喷嘴数量≥10只，双瓶组喷嘴数量≥18只</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、灭火装置所用氮气阀须为H59铜材质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可调释放装置应与火灾报警系统一起联动协调运作。热熔断片的选择和安装需根据通风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系统中的操作温度而定。保险丝的设定温度如下：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热熔断片设定温度使用在工作温度不能超过下列: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138℃ 107℃</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183℃ 143℃</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232℃ 182℃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保险丝应该由监控器支架/连接装置来支撑，导线管和不锈钢丝的方向改变应由压铸的铝合金滑轮及90 度弯节来达成。</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lang w:eastAsia="zh-CN"/>
              </w:rPr>
            </w:pPr>
            <w:r>
              <w:rPr>
                <w:rFonts w:hint="eastAsia" w:ascii="宋体" w:hAnsi="宋体" w:eastAsia="宋体" w:cs="宋体"/>
                <w:b/>
                <w:bCs/>
                <w:color w:val="auto"/>
                <w:kern w:val="0"/>
                <w:sz w:val="21"/>
                <w:szCs w:val="21"/>
                <w:highlight w:val="none"/>
                <w:lang w:bidi="ar"/>
              </w:rPr>
              <w:t>投标时需承诺中标后提供灭火系统及控制箱相关检测报告</w:t>
            </w:r>
            <w:r>
              <w:rPr>
                <w:rFonts w:hint="eastAsia" w:ascii="宋体" w:hAnsi="宋体" w:eastAsia="宋体" w:cs="宋体"/>
                <w:b/>
                <w:bCs/>
                <w:color w:val="auto"/>
                <w:kern w:val="0"/>
                <w:sz w:val="21"/>
                <w:szCs w:val="21"/>
                <w:highlight w:val="none"/>
                <w:lang w:eastAsia="zh-CN" w:bidi="ar"/>
              </w:rPr>
              <w:t>。</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b/>
                <w:bCs/>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b/>
                <w:bCs/>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单星大盆台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—水斗规格：≥1000*500*280mm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98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9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过滤式油网烟罩(前置新风）</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≥5300*1600*500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—配LED防雾烟罩灯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—灯罩玻璃采用钢化处理，压板及各加强档厚1.5mm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—前板、左右端板厚1.2mm，后板厚1.2mm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—沥油板加强片厚1.2mm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—左右小侧板、LED固定板、顶板、前网板厚≥1.0mm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—配LED灯照明，前置双涡流静音稳压新风机，220V/250W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—播风口采用abs塑料，可多角度调节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—烟罩三侧配置旋流导流孔，集烟更方便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—UV灯、控制器及风机排烟风管另计</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广式双门100KG燃气蒸饭箱</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≥1200*880*1780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—上箱前框面板厚1.2mm，侧板、内桶厚1.0mm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—水胆主体厚1.2mm，燃烧火管φ32*2.5mm的304无缝管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—门外板厚1.2㎜，门内板厚0.8㎜</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—下箱采用优质不锈钢方管框架结构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—ф63mm不锈钢炉脚，内衬2"钢管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—内置2*12蒸饭格（可放置2*12个蒸饭盘）</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—配饭铲、分饭器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—采用不锈钢火排炉头，电子自动点火</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—采用静音耐高温强排风机：220V//50HZ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—配自动进水及防干烧系统，和风压监测保护系统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—配燃气熄火保护装置及燃气管路稳压装置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—密封条采用食品级硅胶条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—门采用不锈钢双把手</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冲压饭盘</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≥620*415*50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—采用全SUS304板材制造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—板厚0.7mm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一800T液压机一体冲压成型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一冲压内腔尺寸：580*375mm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5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三门燃气蒸柜（配电磁阀）</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≥900*880*1850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—门面采用1.2mm304,围板及操作面板采用1.0mm304</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—水箱采用1.5mm304模具成型加工</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—使用不锈钢火炬炉头，无风机，低噪音（≤45分贝）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—采用稳压双联电磁阀控制，自带熄火保护，设置常明火种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—设置防干烧保护装置，干烧会直接切断燃气阀门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—蒸发器烟道采用高温废气余热利用装置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—功率：220V/50HZ，热负荷40KW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—配燃气管路稳压装置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—密封条采用食品级硅胶条</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双头矮汤炉</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≥1300*750*500+770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12KW*2/380V   标配两只直径500mm容量98L汤桶  磁控直滑式火力调节，5档；60L水，31分钟烧开；5-7度电/小时   实时显示实际输出功率，用电量；故障信息中文显示；可选配（高配款）：定时关、预约开、定温、编程烹饪功能；必须安装带全极断开装置（漏电保护开关）的独立电源；三相四线制；国标6平方线径。进水接口：标配1/2内牙接口的软水管；离地高度：180mm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8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双斗双边沥水筋星盆柜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≥2100*600*820/880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—台面一体拉伸尺寸：2100mm*600mm，板厚1.0㎜，双边沥水筋拉伸成型：410mm*435mm，背板厚20mm，背板高60mm。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—配1.5″下水器，高位退水器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—水斗一体冲压规格：500*400*250，边下水，厚度1.0mm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—门轴开门结构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—底板、门外板厚1.0㎜，左右侧板、门内复板0.8mm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0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商用物联智能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双炒双尾广式灶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≥2000*1200*800/1200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—台面板厚度1.2mm采用一体 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—背板、控制板厚1.0mm，侧板厚0.8mm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—主体骨架用高强度镀锌板折弯框架结构制作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—可拆卸φ63mm不锈钢炉脚，内衬2"钢管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—摇摆水龙头：4分接驳口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—屏幕显示区域和开关板区域外覆耐高温黑色烤漆钢化玻璃（显示区域玻璃尺寸2000*140，控制面板玻璃2000*150）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—出烟口（尺寸280*85*52）、φ39防水开关、48w小火直流风机和200w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—适用气体：天然气（1KPa&lt;输入燃气压力&lt;5KPa）；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—热效率≥47%（高于一级能效）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—高效节能炉头：多孔独立式侧出火设计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—节能铸钢炉膛；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—标配LED柔性硅胶线条灯：8W*2；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—防水开关：LED指示灯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12.6寸液晶屏,可显示管道燃气压力、当前档位、比例阀开启电流、风机转速、当日运行累计时间和总累计运行时间、燃气当日使用量和燃气总累计使用量、当前日期和时间、异常状态显示、当前网络连接状态、蓝牙调试连接状态、长明火状态等)</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—电子点火功能；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—炉膛自动清扫功能；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—熄火保护功能：侧火种意外熄火时，主动关闭燃气截止阀，清扫后再点火，重复三次未点火成功，并报警提示；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—系统运行时间统计功能：自动计算当日系统运行时间和总系统运行时间，液晶屏显示并上传物联平台；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—历史故障履历功能：最多记录99条历史故障信息，可查看；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—标配WIFI联网功能:状态和数据可通过WIFI上传物联平台；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—标配蓝牙调试功能;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洗米机连增压泵</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≥580*580*1100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—采用SUS 304-2B不锈钢板制造，厚度为1.2mm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—容量：50kg/次（8-10分钟）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采用自来水作为洗米机动力,自来水通过本产品的主体水阀进行加压,将大米送入U形洗米机管内腔进行冲洗,以其达到洗刷大米的效果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配置液体增压泵：370W,流量：2.2m3/h，杨程15m，进水管径：25mm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挂墙架（单层）</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≥1200*300*80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—固定膨胀螺丝外套塑料装饰帽</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冲压饭盘</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≥620*415*50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—采用全SUS304板材制造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—板厚0.7mm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一800T液压机一体冲压成型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一冲压内腔尺寸：580*375mm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5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b w:val="0"/>
                <w:bCs w:val="0"/>
                <w:color w:val="auto"/>
                <w:kern w:val="0"/>
                <w:sz w:val="21"/>
                <w:szCs w:val="21"/>
                <w:highlight w:val="none"/>
                <w:lang w:bidi="ar"/>
              </w:rPr>
              <w:t>智能集成蒸箱</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≥1200*1050*1800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—上箱前框面板厚1.2mm，侧板、内桶厚1.0mm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—水胆主体厚1.2mm，燃烧火管φ32*2.0mm的304无缝管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—门外板厚1.2㎜，门内板厚1.0㎜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—ф63mm不锈钢炉脚，内衬2"钢管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—配推车：≥6</w:t>
            </w:r>
            <w:r>
              <w:rPr>
                <w:rFonts w:hint="eastAsia" w:ascii="宋体" w:hAnsi="宋体" w:eastAsia="宋体" w:cs="宋体"/>
                <w:color w:val="auto"/>
                <w:kern w:val="0"/>
                <w:sz w:val="21"/>
                <w:szCs w:val="21"/>
                <w:highlight w:val="none"/>
                <w:lang w:val="en-US" w:eastAsia="zh-CN" w:bidi="ar"/>
              </w:rPr>
              <w:t>80</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70</w:t>
            </w:r>
            <w:r>
              <w:rPr>
                <w:rFonts w:hint="eastAsia" w:ascii="宋体" w:hAnsi="宋体" w:eastAsia="宋体" w:cs="宋体"/>
                <w:color w:val="auto"/>
                <w:kern w:val="0"/>
                <w:sz w:val="21"/>
                <w:szCs w:val="21"/>
                <w:highlight w:val="none"/>
                <w:lang w:bidi="ar"/>
              </w:rPr>
              <w:t>*1710,骨架采用304不锈钢管；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—内置2*16蒸饭格（可放置2*16个蒸饭盘）</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—配饭铲、分饭器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—采用不锈钢火排炉头，电子自动点火</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—采用静音耐高温强排风机：220V/65W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—配自动进水及防干烧系统，和风压监测保护系统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—配燃气熄火保护装置及燃气管路稳压装置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—密封条采用食品级硅胶条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—门采用不锈钢双把手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—配备数字显示温控器及时间控制显示器；</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09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过滤式油网烟罩(前置新风）</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≥8300*1600*500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—配LED防雾烟罩灯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—灯罩玻璃采用钢化处理，压板及各加强档厚1.5mm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—前板、左右端板厚1.2mm，后板厚1.2mm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—沥油板加强片厚1.2mm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—左右小侧板、LED固定板、顶板、前网板厚≥1.0mm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—配LED灯照明，前置双涡流静音稳压新风机，220V/250W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—播风口采用abs塑料，可多角度调节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—烟罩三侧配置旋流导流孔，集烟更方便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—UV灯、控制器及风机排烟风管另计</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7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高身饼盘车</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≥470*650*1500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—滑道厚1.2mm，顶板、底板厚≥1.0mm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—不锈钢方通30*30厚1.0mm,横档30*15厚0.8mm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—配4个4"脚轮,其中两个带刹车掣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5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立式四门冷藏柜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1220*750*2200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电源：220V/50HZ，输入功率：405W，电流：2.5A，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温度范围:  -6～12℃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1、内外箱均为SUS304不锈钢板；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2、使用压缩机，全铜管冷凝器、蒸发器；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3、配备强制蒸发装置，自动蒸发化霜水；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4、一体式发泡工艺，整体平整、耐用；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5、产品能在43℃的环境温度下正常工作；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6、置于箱体内部的高效防露加热丝，能有效防止门框结露、滴水，保证客户的使用效果和环境卫生；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7、冰箱配备了门体自动关闭结构，方便客户操作。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容积：880L</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8、尺寸偏差控制在±10mm内，超出范围内属于负偏离项</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工作柜带水池（左星）</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电源：220V/50HZ，输入功率：405W，电流：2.5A，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温度范围:  -6～12℃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1、内外箱均为SUS304不锈钢板；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2、使用优质压缩机，全铜管冷凝器、蒸发器；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3、配备强制蒸发装置，自动蒸发化霜水；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4、一体式发泡工艺，整体平整、耐用；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5、产品能在43℃的环境温度下正常工作；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6、置于箱体内部的高效防露加热丝，能有效防止门框结露、滴水，保证客户的使用效果和环境卫生；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7、冰箱配备了门体自动关闭结构，方便客户操作。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容积：880L</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4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高身储碟柜（翻门) </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—层板、底板厚为1.0mm，门外板厚≥1.0mm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—门内复板厚0.8mm，顶板厚0.8mm，侧板厚0.8mm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40升多功能搅拌机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≥600*670*1090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380/1.125KW;151KG;大齿轮，铸铁机体铸铁</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40升多功能搅拌机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≥600*670*1090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380/1.125KW;151KG大齿轮，铸铁机体铸铁</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45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中式压面机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≥1035*650*1065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电机功率:2.2KW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压辊直径*长度：≥￠直径118*340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压辊转速:74rpm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压辊范围：5-25mm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净重：240KG</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5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18盘单门冷藏醒发箱</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≥570*1030*2180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220V;1.6KW;171KG;1、双面304不锈钢5CM发泡箱体，门为1.0mm的304不锈钢。2、电子式温湿度传感器，控制温湿度精确。3、压缩机采用左右循环风道式结构，具有防干烧，防缺水自动报警功能，门把手与门一体成型。</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67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面粉车</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≥330*750*710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容量 ≥72.7kg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装载容量（食糖）≥ 56.3kg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装载容量(粉)≥ 56.3kg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装载容量(米)≥ 81kg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可供挂勺子的钩，令勺子藏在储物桶内，不接触配料，能轻易从储物桶内取出，方便存取。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清晰的视窗及食物材料标签，使储物桶内的材料可被轻易看见。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桶盖用扣子稳固，能确保食物材料的品质不受影响。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3寸脚轮使储物桶能轻易从厨房移动到不同的工作空间。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材料：聚碳酸酯(PC)、聚丙烯(PP)。</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双向工作台柜（移门）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—门外板、柜内层板、底板、侧板厚1.0㎜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9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木面搓粉台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—台面用柳胺木面制造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—≥φ50mm厚度1.0mm不锈钢圆通腿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—≥φ32mm厚度1.0mm不锈钢下橫通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—配耐磨橡胶减震垫脚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96"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四层档货架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—采用全不锈钢制作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—层框38*25*1.0不锈钢管制作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—搁档30*15*0.8不锈钢方管或不锈钢板折弯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54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厨房灭火系统</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保护5-10米</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功能组成 1. 自动机械控制箱(或副箱)；2. 药剂罐(根据各保护距离配置)；3. 氮气瓶（启动源）；；5.探测器(感温熔断片)；6. 喷嘴及喷嘴帽；7. 远距离控制手拉开关；8. 灭火药剂为食用油专用灭火药剂，该药剂应无毒、无污染、易清洗，需满足以下要求：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1、具有水冷却功能的装置，在灭火剂完全喷射后，水流联动阀立即启动；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、灭火系统具有自动启动、手动启动、机械启动功能，且不会复燃，能提供消防中控信号及燃气切断功能信号。</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、联动性能，自动切换时间≤0.5秒，喷射延迟时间≤1秒。</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、喷嘴数量：单瓶组喷嘴数量≥10只，双瓶组喷嘴数量≥18只</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、灭火装置所用氮气阀须为H59铜材质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可调释放装置应与火灾报警系统一起联动协调运作。热熔断片的选择和安装需根据通风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系统中的操作温度而定。保险丝的设定温度如下：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热熔断片设定温度使用在工作温度不能超过下列: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138℃ 107℃</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183℃ 143℃</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232℃ 182℃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保险丝应该由监控器支架/连接装置来支撑，导线管和不锈钢丝的方向改变应由压铸的铝合金滑轮及90 度弯节来达成。</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投标时需承诺中标后提供灭火系统及控制箱相关检测报告</w:t>
            </w:r>
            <w:r>
              <w:rPr>
                <w:rFonts w:hint="eastAsia" w:ascii="宋体" w:hAnsi="宋体" w:eastAsia="宋体" w:cs="宋体"/>
                <w:b/>
                <w:bCs/>
                <w:color w:val="auto"/>
                <w:kern w:val="0"/>
                <w:sz w:val="21"/>
                <w:szCs w:val="21"/>
                <w:highlight w:val="none"/>
                <w:lang w:eastAsia="zh-CN" w:bidi="ar"/>
              </w:rPr>
              <w:t>。</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b/>
                <w:bCs/>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b/>
                <w:bCs/>
                <w:color w:val="auto"/>
                <w:kern w:val="0"/>
                <w:sz w:val="21"/>
                <w:szCs w:val="21"/>
                <w:highlight w:val="none"/>
                <w:lang w:bidi="ar"/>
              </w:rPr>
            </w:pPr>
          </w:p>
        </w:tc>
      </w:tr>
      <w:tr>
        <w:tblPrEx>
          <w:tblCellMar>
            <w:top w:w="0" w:type="dxa"/>
            <w:left w:w="108" w:type="dxa"/>
            <w:bottom w:w="0" w:type="dxa"/>
            <w:right w:w="108" w:type="dxa"/>
          </w:tblCellMar>
        </w:tblPrEx>
        <w:trPr>
          <w:trHeight w:val="29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过滤式油网烟罩(前置新风）</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≥8700*1600*500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—配LED防雾烟罩灯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—灯罩玻璃采用钢化处理，压板及各加强档厚1.5mm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—前板、左右端板厚1.2mm，后板厚1.2mm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—沥油板加强片厚1.2mm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—左右小侧板、LED固定板、顶板、前网板厚≥1.0mm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—沥油板厚0.8mm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—配LED灯照明，前置双涡流静音稳压新风机，220V/250W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—播风口采用abs塑料，可多角度调节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—烟罩三侧配置旋流导流孔，集烟更方便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—UV灯、控制器及风机排烟风管另计</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电力油炸机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≥870*665*1030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容量：≥40公升 功率/电压：6.2KW/380V  油槽尺寸：630(L)×410(W)×160(H)mm 温度范围：30～300°C 机器重量：65 KGS  标配： 不锈钢底网，温度开关，防尘盖 泄油阀，滤油网，盛油桶。超大功率，恆温操作，配备加热管，温控系统，</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调料台连下开门柜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≥450*750*800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1、材质：面板采用优质SUS304不锈钢板，实厚1.25，侧板201,实厚1.0。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2、台面一体成型。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3、提供设备所使用304不锈钢板材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机械款柜式电饼铛</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≥700*850*970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料：全部采用优质不锈钢板，上盖及把手可采用304不锈钢材质，锅体采用特殊处理不粘锅，涂层永不掉，采用智能温控，精准温控，额定电压380v，额定功率50Hz，温度范围0℃-250℃，输入功率5kw，锅沿高度3cm，配有超温保护，温度误差小。</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91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8KW电磁煎包炉</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≥700*750*800+30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1、材质：面板采用优质SUS304不锈钢板，实厚1.25，侧板201,实厚1.0。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2、功率/电压：8KW/380V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3、锅体可旋转</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4、定制合金煎锅，加热快速均匀</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5、显示屏带有中文故障原因，方便维修处理。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6、显示屏显示用电量，每天或每个月的能耗一目了然；节能看得见。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7、要求实时显示当前输出功率，方便火候掌控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8、智能9档菜单屏，既可以触摸设定功能，也可以九档360℃旋钮调节火力。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9，变频动态定温，接近恒温输出，厨艺不再难。</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10、有3种常用功能：定时，定温，预约功能。缺一不可。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w:t>
            </w:r>
            <w:r>
              <w:rPr>
                <w:rFonts w:hint="eastAsia" w:ascii="宋体" w:hAnsi="宋体" w:eastAsia="宋体" w:cs="宋体"/>
                <w:color w:val="auto"/>
                <w:kern w:val="0"/>
                <w:sz w:val="21"/>
                <w:szCs w:val="21"/>
                <w:highlight w:val="none"/>
                <w:lang w:val="en-US" w:eastAsia="zh-CN" w:bidi="ar"/>
              </w:rPr>
              <w:t>至少</w:t>
            </w:r>
            <w:r>
              <w:rPr>
                <w:rFonts w:hint="eastAsia" w:ascii="宋体" w:hAnsi="宋体" w:eastAsia="宋体" w:cs="宋体"/>
                <w:color w:val="auto"/>
                <w:kern w:val="0"/>
                <w:sz w:val="21"/>
                <w:szCs w:val="21"/>
                <w:highlight w:val="none"/>
                <w:lang w:bidi="ar"/>
              </w:rPr>
              <w:t>有5种温度记忆菜单，可以根据不同菜品，快速选择不同温度烹饪。</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29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15KW蒸炉(电磁单头蒸炉）</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≥700*750*800+30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1、材质：面板采用优质SUS304不锈钢板，实厚1.25，侧板201,实厚1.0。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2、规格（长*宽*高）：≥700*750*800+30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3、功率/电压：15KW/380V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4、自动进水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5、带排水阀设计，方便排水。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6、要求显示屏带有中文故障原因，方便维修处理。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7、要求显示屏显示用电量，每天或每个月的能耗一目了然；节能看得见。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8、要求实时显示当前输出功率，方便火候掌控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9、耐用方便的9档磁控360度旋纽火力调节器。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10变频动态定温，接近恒温输出，厨艺不再难。</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11、要求实现3种常用功能：定时，定温，预约功能。缺一不可。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12、要求自带5种温度记忆菜单，快速选择不同温度烹饪。</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6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三层六盘电烤炉</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≥1420*1090*1660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380V 18KW  1、数字显示触摸式控制面板，加装固态继电器，温度控制精度正负1度。</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2、内胆为镀铝板，满焊，底板为5MM厚冷轧板，侧面保温层17cm，层与层之间8cm的保温层。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3、电热丝为镍铬发热丝，耐氧化耐腐蚀，不变形。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4、进线为</w:t>
            </w:r>
            <w:r>
              <w:rPr>
                <w:rFonts w:hint="eastAsia" w:ascii="宋体" w:hAnsi="宋体" w:eastAsia="宋体" w:cs="宋体"/>
                <w:color w:val="auto"/>
                <w:kern w:val="0"/>
                <w:sz w:val="21"/>
                <w:szCs w:val="21"/>
                <w:highlight w:val="none"/>
                <w:lang w:val="en-US" w:eastAsia="zh-CN" w:bidi="ar"/>
              </w:rPr>
              <w:t>优质</w:t>
            </w:r>
            <w:r>
              <w:rPr>
                <w:rFonts w:hint="eastAsia" w:ascii="宋体" w:hAnsi="宋体" w:eastAsia="宋体" w:cs="宋体"/>
                <w:color w:val="auto"/>
                <w:kern w:val="0"/>
                <w:sz w:val="21"/>
                <w:szCs w:val="21"/>
                <w:highlight w:val="none"/>
                <w:lang w:bidi="ar"/>
              </w:rPr>
              <w:t xml:space="preserve">电缆。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1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触控智能挂墙柜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≥700*350*720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外柜柜体采用1.0mm，304不锈钢制作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对开门设计，采用带阻尼大弯合页</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人站立伸手可取物品方便，不用借助其他攀爬工具取物品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内置可升降双层置物架，可手动开门取物，也可底部触摸感应，自助升降取物，底部安装有触摸感应装置，可控制下降、上升、暂停等</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采用电源适配器，220V/12W具有WIFI物联网功能，可接入厨房物联网平台</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64"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≥750*750*950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4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立式单门消毒柜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≥670*630*1880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全优质不锈钢板材制作，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配备不锈钢框篮。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电热管热风循环加热，</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柜内温度控制：30~150℃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有效容积：≥360L</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落地柜式洗手双星盆</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≥864*420*800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—台面背板厚1.2㎜,水斗板厚≥1.0mm，左右侧板0.8mm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—水斗一体冲压折弯成型，规格：≥350*248*145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—柜式结构无卫生死角，配快拆式维修门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—配￠45落水器</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7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立式双门消毒柜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≥1310*635*1880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 220V/50HZ 输入功率: 4.6KW 电流: 21.5A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温度范围30~ 150°C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2、使用耐高温风机、不锈钢加热管及微电脑控制板;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3、柜内配备不锈钢网篮，网框为不锈钢材质，表面二次镀镍防锈,生、耐用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4、内箱板材厚度1.0mm, 外箱板材厚度0.8mm。外箱顶部及外箱后背板使用环保无锌花表面钝化优质镀锌板;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5、柜内配备8个网框</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高身储碟柜（翻门) </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—层板、底板厚为1.0mm，门外板厚≥1.0mm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—门内复板厚0.8mm，顶板厚0.8mm，侧板厚0.8mm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双星水池柜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—采用SUS304-2B不锈钢板制造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—台面板厚≥1.2㎜,水斗板厚≥1.0mm，前板、侧板厚0.8mm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—门外壳板厚≥1.0mm，门内复板厚0.6mm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—柜内层板、底板板厚1.0㎜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43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≥1800*800*800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单星浸泡池（无背板）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≥1875*1350*800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—水斗规格：≥定制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—38*38mm厚度1.0mm不锈钢脚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—斗底采用38*38mm厚度1.0mm方管加强支撑</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—配不锈钢包钢可调式子弹脚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74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立式双门消毒柜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≥1310*635*1880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 220V/50HZ 输入功率: 4.6KW 电流: 21.5A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温度范围30~ 150°C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2、使用耐高温风机、不锈钢加热管及微电脑控制板;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3、柜内配备不锈钢网篮，网框为不锈钢材质，表面二次镀镍防锈,生、耐用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4、内箱板材厚度≥1.0mm, 外箱板材厚度≥0.8mm。外箱顶部及外箱后背板使用环保无锌花表面钝化优质镀锌板;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5、柜内配备8个网框</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6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高身储碟柜（翻门) </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—层板、底板厚为1.0mm，门外板厚≥1.0mm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—门内复板厚0.8mm，顶板厚0.8mm，侧板厚0.8mm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28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工作柜带水池（左星）</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≥1121*750*800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74"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21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五斗保温售菜台（不可配玻璃保护罩）</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—台面板厚≥1.2mm，围板0.8mm，水斗厚≥1.0mm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—脚杆采用38*38mm厚度1.0mm不锈钢方管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—配1/1″份数盆格5只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—配包钢可调式子弹脚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—304不锈钢电热管，380V/6KW，电热管接线端子采用陶瓷帽绝缘保护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—电热管接线端口采用0.7~0.8mm镀锌板隔离保护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—配电磁阀自动进水装置，缺水保护装置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—配微电脑控制面板，数字显示定时定温</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—电热管连接线采用国标耐高温线</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落地柜式洗手双星盆</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≥864*420*800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—台面背板厚1.2㎜,水斗板厚≥1.0mm，左右侧板0.8mm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—水斗一体冲压折弯成型，规格：≥350*248*145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—柜式结构无卫生死角，配快拆式维修门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—配￠45落水器</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六门智能留样柜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≥1220*750*1950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 内外箱均为 SUS304 不锈钢板， 面板 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 使用</w:t>
            </w:r>
            <w:r>
              <w:rPr>
                <w:rFonts w:hint="eastAsia" w:ascii="宋体" w:hAnsi="宋体" w:eastAsia="宋体" w:cs="宋体"/>
                <w:color w:val="auto"/>
                <w:kern w:val="0"/>
                <w:sz w:val="21"/>
                <w:szCs w:val="21"/>
                <w:highlight w:val="none"/>
                <w:lang w:val="en-US" w:eastAsia="zh-CN" w:bidi="ar"/>
              </w:rPr>
              <w:t>优质</w:t>
            </w:r>
            <w:r>
              <w:rPr>
                <w:rFonts w:hint="eastAsia" w:ascii="宋体" w:hAnsi="宋体" w:eastAsia="宋体" w:cs="宋体"/>
                <w:color w:val="auto"/>
                <w:kern w:val="0"/>
                <w:sz w:val="21"/>
                <w:szCs w:val="21"/>
                <w:highlight w:val="none"/>
                <w:lang w:bidi="ar"/>
              </w:rPr>
              <w:t>压缩机， 全铜管冷凝器、 0.6mm 加厚铜管蒸发器蒸发器铜管外部增加电镀涂层防护；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3、配备数显电子温控，</w:t>
            </w:r>
            <w:r>
              <w:rPr>
                <w:rFonts w:hint="eastAsia" w:ascii="宋体" w:hAnsi="宋体" w:eastAsia="宋体" w:cs="宋体"/>
                <w:color w:val="auto"/>
                <w:kern w:val="0"/>
                <w:sz w:val="21"/>
                <w:szCs w:val="21"/>
                <w:highlight w:val="none"/>
                <w:lang w:val="en-US" w:eastAsia="zh-CN" w:bidi="ar"/>
              </w:rPr>
              <w:t>保证</w:t>
            </w:r>
            <w:r>
              <w:rPr>
                <w:rFonts w:hint="eastAsia" w:ascii="宋体" w:hAnsi="宋体" w:eastAsia="宋体" w:cs="宋体"/>
                <w:color w:val="auto"/>
                <w:kern w:val="0"/>
                <w:sz w:val="21"/>
                <w:szCs w:val="21"/>
                <w:highlight w:val="none"/>
                <w:lang w:bidi="ar"/>
              </w:rPr>
              <w:t>控制精度；</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4、门框内部的高效防露加热丝，防止门框结露、滴水；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5、高精度电子温控（数显数控），柜内底板为圆弧设计，方便清洁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6、增加箱体消杀功能，在内部没有留样的情况下可以一键消杀，去除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柜内异味、细菌，保持留样设备自身的洁净、安全；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 配备强制蒸发装置， 自动蒸发化霜水； 产品能在 43℃的环境温度下正常工作</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93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额定电压220V，功率：230-260W;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风口风量：1050-1350m3/h,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额定电压220V，功率：300-330W;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风口风量：1350-1500m3/h,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46"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额定电压220V，功率：360-390W;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风口风量：1350-1700m3/h,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工作台下层板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—品牌:厂制品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—台面板采用SUS 304-2B不锈钢板制造，厚度为1.2mm，下层板厚≥1.0mm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—下层框38*38*1.0mm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—加强码用0.8~1.2mm不锈钢板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16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双星盆台</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—面板一体冲压成型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—水斗规格：≥730*500*280mm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—≥φ38mm厚度1.0mm不锈钢圆通腿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—≥φ25mm厚度1.0mm不锈钢下橫通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—配全钢可调式子弹脚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38"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单星浸泡池（无背板）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≥1875*1350*800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—水斗规格：≥定制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—38*38mm厚度1.0mm不锈钢脚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—斗底采用38*38mm厚度1.0mm方管加强支撑</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—配不锈钢包钢可调式子弹脚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93"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星盆双温龙头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本体安装: 台式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本体: 8" (203mm)中心距</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阀芯: 陶瓷式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旋转式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 10" (254mm)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水嘴出水口: 层流出水装置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进水口: 1/2" NPT内螺纹,90°旋转陶瓷阀芯,NPT 外螺纹进水口</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28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立式双门消毒柜</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≥1310*635*1880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 220V/50HZ 输入功率: 4.6KW 电流: 21.5A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温度范围30~ 150°C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1、内外箱均为304不锈钢板;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2、使用耐高温风机、不锈钢加热管及微电脑控制板;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3、柜内配备不锈钢网篮，网框为不锈钢材质，表面二次镀镍防锈,生、耐用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4、内箱板材厚度1.0mm, 外箱板材厚度0.8mm。外箱顶部及外箱后背板使用环保无锌花表面钝化优质镀锌板;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5、柜内配备8个网框</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48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高身储碟柜（翻门) </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≥1200*500*1800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—层板、底板厚为1.0mm，门外板厚≥1.0mm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—门内复板厚0.8mm，顶板厚0.8mm，侧板厚0.8mm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0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工作柜带水池（左星）</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≥1500*750*950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—台面板厚≥1.2㎜,水斗板厚≥1.0mm，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—配2″去水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—水斗一体冲压成型，规格：≥500*500*280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—配304不锈钢一体冲压拦渣篮及隔水盖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—路轨导向趟门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—门外板厚1.0㎜，左右侧板、门内复板0.8mm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—配φ50不锈钢重力脚，201不锈钢厚3mm加强型三角板加固</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8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≥1121*750*800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6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工作台柜(翻门)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—板材采用SUS304-2B不锈钢制造，台面板厚≥1.2mm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—面板下衬δ15木工板减噪，木板下复铝板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—侧板、后背板0.8mm，门内复板0.8mm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—门外板、柜内层板、底板厚1.0㎜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—上掀式V型滑轨，弧型轴承，一种带轴承的翻门结构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—配201不锈钢厚3mm加强型三角板，φ50不锈钢重力脚</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29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五斗保温售菜台（不可配玻璃保护罩）</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≥1800*750*800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—台面板厚≥1.2mm，围板0.8mm，水斗厚≥1.0mm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—脚杆采用38*38mm厚度1.0mm不锈钢方管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—配1/1″份数盆格5只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—配包钢可调式子弹脚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—304不锈钢电热管，380V/6KW，电热管接线端子采用陶瓷帽绝缘保护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—电热管接线端口采用0.7~0.8mm镀锌板隔离保护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—配电磁阀自动进水装置，缺水保护装置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—配微电脑控制面板，数字显示定时定温</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—电热管连接线采用国标耐高温线</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落地柜式洗手双星盆</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≥864*420*800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—板材采用SUS304-2B不锈钢制造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—台面背板厚1.2㎜,水斗板厚≥1.0mm，左右侧板0.8mm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—水斗一体冲压折弯成型，规格：≥350*248*145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—柜式结构无卫生死角，配快拆式维修门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—配￠45落水器</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感应龙头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单孔台出感应龙头，配有旋转式鹅颈；防破坏2.2GPM(8.3LPM)起泡器；放水控制盒；交直流两用；手动混水阀</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0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额定电压220V，功率：230-260W;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风口风量：1050-1350m3/h,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797"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额定电压220V，功率：300-330W;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风口风量：1350-1500m3/h,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86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风幕机（遥控型）</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≥1500*198*215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额定电压220V，功率：360-390W;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风口风量：1350-1700m3/h,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风口风速:14.5-11.5m/s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材质：工程塑料，低噪音风机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1、贯流式强力送风轻松在室内外之间形成一道隐形的风幕墙，隔开室内外空气的同时，更可将灰尘，飞虫等阻挡于室外。</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2、遮断效果佳，风路升级体现高风速，低噪音运转。</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电动调节阀</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≥300*450*300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采用钢板制作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电动调节阀门开启关闭</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尺寸根据风管烟罩定制</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66"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厨房专用排烟风机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spacing w:line="240" w:lineRule="auto"/>
              <w:ind w:right="0"/>
              <w:jc w:val="center"/>
              <w:rPr>
                <w:rFonts w:hint="eastAsia" w:ascii="宋体" w:hAnsi="宋体" w:eastAsia="宋体" w:cs="宋体"/>
                <w:color w:val="auto"/>
                <w:sz w:val="21"/>
                <w:szCs w:val="21"/>
                <w:highlight w:val="none"/>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—处理风量：55000m3/h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—风压：≥950Pa</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1、采用双进风前倾﹒后倾叶轮，大流量，高静压，高效率。</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2、箱体上下顶板、底板须采用整体拉升成型，密封性能好，做到不漏油烟气水等。</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3、箱体须采用内外喷塑彩钢面板，防腐不易腐烂寿命10年以上，内壁采用消音材料多层复合板，进一步降低噪声（噪音低）。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4、机外须有加注润滑油保养孔，方便定期保养维护，提升使用寿命。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5、主轴采用优质40铬钢精工制品，经调质热处理，保证其强度及使用寿命。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69"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静电油烟净化设备（不锈钢外壳双段式）</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≥1100*1670*1995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（不锈钢外壳双段式）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≥95%净化效率，处理风量≥54000m3/h,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法兰尺寸≥1830*1810,功率≤1300W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1 </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 xml:space="preserve"> 静电油烟净化器须符合国家规范“饮食业油烟排放标准”（GB18483—2001）及当地环保局的要求。设备计数效率达到“计数效率（0.3-1.0） μm≥93%以上、（1.0-3.0）μm≥96%以上、（3.0-10.0）μm≥98%以上，且MERV数值不低于15。”油烟净化器需采用国内标准的二段式净化，其中静电吸附采用国际标准二段平板式结构（同一系统油烟净化器必须经过至少二组电场），包含前后2套高低压电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静电油烟净化器依据HG/T3210-2002规范，极板采用的绝缘柱耐酸度97.3%，耐碱度99.4%，符合化学工业及其他工业用耐酸碱陶瓷设备及零部件的材料性能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油烟净化器通过辐射发射测试，在发射频率为32M赫兹至300M赫兹的情况下，测得电场强度最低数值不高于33.8dBuV/m。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净化器（机体）连续喷雾时间为500小时</w:t>
            </w:r>
            <w:r>
              <w:rPr>
                <w:rFonts w:hint="eastAsia" w:ascii="宋体" w:hAnsi="宋体" w:eastAsia="宋体" w:cs="宋体"/>
                <w:color w:val="auto"/>
                <w:kern w:val="0"/>
                <w:sz w:val="21"/>
                <w:szCs w:val="21"/>
                <w:highlight w:val="none"/>
                <w:lang w:val="en-US" w:eastAsia="zh-CN" w:bidi="ar"/>
              </w:rPr>
              <w:t>以上</w:t>
            </w:r>
            <w:r>
              <w:rPr>
                <w:rFonts w:hint="eastAsia" w:ascii="宋体" w:hAnsi="宋体" w:eastAsia="宋体" w:cs="宋体"/>
                <w:color w:val="auto"/>
                <w:kern w:val="0"/>
                <w:sz w:val="21"/>
                <w:szCs w:val="21"/>
                <w:highlight w:val="none"/>
                <w:lang w:bidi="ar"/>
              </w:rPr>
              <w:t>，保护评级为RP：8级及以上。基板（电场）连续喷雾时间为96小时，保护评级为RP：9级。</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59"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Style w:val="964"/>
                <w:rFonts w:hint="eastAsia" w:ascii="宋体" w:hAnsi="宋体" w:eastAsia="宋体" w:cs="宋体"/>
                <w:i w:val="0"/>
                <w:iCs w:val="0"/>
                <w:color w:val="auto"/>
                <w:sz w:val="21"/>
                <w:szCs w:val="21"/>
                <w:highlight w:val="none"/>
              </w:rPr>
              <w:t>★</w:t>
            </w:r>
            <w:r>
              <w:rPr>
                <w:rFonts w:hint="eastAsia" w:ascii="宋体" w:hAnsi="宋体" w:eastAsia="宋体" w:cs="宋体"/>
                <w:color w:val="auto"/>
                <w:kern w:val="0"/>
                <w:sz w:val="21"/>
                <w:szCs w:val="21"/>
                <w:highlight w:val="none"/>
                <w:lang w:bidi="ar"/>
              </w:rPr>
              <w:t>静电油烟净化设备（不锈钢外壳双段式）</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≥1100*1670*1995</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（不锈钢外壳双段式）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≥95%净化效率。处理风量：≥50000M3/H。</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法兰尺寸≥</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450*1810。功率≤1290W.</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1 </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静电油烟净化器须符合国家规范“饮食业油烟排放标准”（GB18483—2001）及当地环保局的要求。设备计数效率达到“计数效率（0.3-1.0） μm≥93%以上、（1.0-3.0）μm≥96%以上、（3.0-10.0）μm≥98%以上，且MERV数值不低于15。”油烟净化器需采用国内标准的二段式净化，其中静电吸附采用国际标准二段平板式结构（同一系统油烟净化器必须经过至少二组电场），包含前后2套高低压电场。</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strike w:val="0"/>
                <w:color w:val="auto"/>
                <w:kern w:val="0"/>
                <w:sz w:val="21"/>
                <w:szCs w:val="21"/>
                <w:highlight w:val="none"/>
                <w:lang w:bidi="ar"/>
              </w:rPr>
              <w:t>2</w:t>
            </w:r>
            <w:r>
              <w:rPr>
                <w:rFonts w:hint="eastAsia" w:ascii="宋体" w:hAnsi="宋体" w:eastAsia="宋体" w:cs="宋体"/>
                <w:strike w:val="0"/>
                <w:color w:val="auto"/>
                <w:kern w:val="0"/>
                <w:sz w:val="21"/>
                <w:szCs w:val="21"/>
                <w:highlight w:val="none"/>
                <w:lang w:val="en-US" w:eastAsia="zh-CN" w:bidi="ar"/>
              </w:rPr>
              <w:t>.</w:t>
            </w:r>
            <w:r>
              <w:rPr>
                <w:rFonts w:hint="eastAsia" w:ascii="宋体" w:hAnsi="宋体" w:eastAsia="宋体" w:cs="宋体"/>
                <w:strike w:val="0"/>
                <w:color w:val="auto"/>
                <w:kern w:val="0"/>
                <w:sz w:val="21"/>
                <w:szCs w:val="21"/>
                <w:highlight w:val="none"/>
                <w:lang w:bidi="ar"/>
              </w:rPr>
              <w:t>静电油烟净化器依据HG/T3210-2002规范，极板采用的绝缘柱耐酸度97.3%，耐碱度99.4%，符合化学工业及其他工业用耐酸碱陶瓷设备及零部件的材料性能</w:t>
            </w:r>
            <w:r>
              <w:rPr>
                <w:rFonts w:hint="eastAsia" w:ascii="宋体" w:hAnsi="宋体" w:eastAsia="宋体" w:cs="宋体"/>
                <w:strike w:val="0"/>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油烟净化器通过辐射发射测试，在发射频率为32M赫兹至300M赫兹的情况下，测得电场强度最低数值不高于33.8dBuV/m。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净化器（机体）连续喷雾时间为500小时，保护评级为RP：8级及以上。基板（电场）连续喷雾时间为96小时，保护评级为RP：9级。</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strike w:val="0"/>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strike w:val="0"/>
                <w:color w:val="auto"/>
                <w:kern w:val="0"/>
                <w:sz w:val="21"/>
                <w:szCs w:val="21"/>
                <w:highlight w:val="none"/>
                <w:lang w:bidi="ar"/>
              </w:rPr>
            </w:pPr>
          </w:p>
        </w:tc>
      </w:tr>
      <w:tr>
        <w:tblPrEx>
          <w:tblCellMar>
            <w:top w:w="0" w:type="dxa"/>
            <w:left w:w="108" w:type="dxa"/>
            <w:bottom w:w="0" w:type="dxa"/>
            <w:right w:w="108" w:type="dxa"/>
          </w:tblCellMar>
        </w:tblPrEx>
        <w:trPr>
          <w:trHeight w:val="33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厨灵智能控制器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≥404*676*200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外壳采用全不锈钢板制造，变频器箱含变频器产品特点：</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1、具备485通讯功能的所有上微机设备都可以对他进行监控和控制，可以无缝对接多灶头控制模块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2、变频控制，无极调速操作简单免调试；</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3、一键设置，一键切换普通、强排、静音模式；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4、集成净化器电源控制，风机、净化联动同步控制；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5、集成燃气报警联动控制；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6、键盘自动锁定，防止人为误操作；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7、高端大气，不锈钢外箱与金属按钮完美结合；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8、适用电功率：与风机配套</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风机减震器</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100kg-250kg</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减震器利用减震器将风机和大地隔离，减震器可以有效的阻止风机的震动传向大地，防止震动源的传播，从而起到降低震动的效果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；弹簧均经热处理、ED防锈、烤漆等程序处理；能有效消除机械结构震动。尼龙材质工作温度0℃～50℃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—承重80~250KG(根据风机定制）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—采用炭素钢材制作，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—适用温度-20~80℃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—固有频率：1.5HZ~4.9HZ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—阻尼比：0.065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—弹性系数≥9.2KG/MM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低噪声节能轴流风机</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≥450*300*450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规格: 约7000风量/小时；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风柜骨架50X50X5.0mm的角铁制作；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风柜壳体为3mm镀锌板制作；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每个风柜配有相应类型的优质猪笼式扇芯一套，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配优质低噪声电机。 </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19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178</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防火阀</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≥1000*1000*200</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常开，150℃关闭，一般安装在风管穿越防火墙和结构变形缝处，起火灾控制作用，可以设置联动送（补）风机关闭。</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采用防火钢材制作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规格：根据风管定制</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179</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不锈钢集油盘</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—采用优质不锈钢板制造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—板厚0.8~1.0mm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—外撑槽钢固定，地位引流口，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—配球阀开关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—具体尺寸根据风机净化器配套</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180</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风管软连接</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—采用镀锌角铁等防火材料制造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—帆布连接</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—具体尺寸根据风机净化器配套</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净化器底座</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—采用镀锌角铁制作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—承受重量：1000KG</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462"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风机底座</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—采用镀锌角铁制作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—承受重量：1000KG</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183</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灶前装饰封板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优质304#不锈钢板，厚度1.0mm，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用于装饰，美观大方</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81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184</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不锈钢封墙钢（灶后封板）</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采用优质SUS 304/1.0不锈钢磨砂板，δ=1.0mm。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用于烟罩及炉灶背板之间封板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蒸箱、汤锅等后封板离地500mm</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1350"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185</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 吊装式排烟管道（大小头）</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—烟罩上方和管道接口出采用304不锈钢板制造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—其他管道采用201制作，板厚≥0.8mm，内衬加强档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—配套法兰采用角铁制造，外表镀锌，—法兰采用镀锌螺丝固定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根据现场定制尺寸</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63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186</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 吊装式排烟管道（直管）</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—烟罩上方和管道接口出采用304不锈钢板制造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—其他管道采用201制作，板厚≥0.8mm，内衬加强档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—配套法兰采用角铁制造，外表镀锌，—法兰采用镀锌螺丝固定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根据现场定制尺寸</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r>
        <w:tblPrEx>
          <w:tblCellMar>
            <w:top w:w="0" w:type="dxa"/>
            <w:left w:w="108" w:type="dxa"/>
            <w:bottom w:w="0" w:type="dxa"/>
            <w:right w:w="108" w:type="dxa"/>
          </w:tblCellMar>
        </w:tblPrEx>
        <w:trPr>
          <w:trHeight w:val="341"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righ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 吊装式排烟管道（弯道）</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40" w:lineRule="auto"/>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定制</w:t>
            </w:r>
          </w:p>
        </w:tc>
        <w:tc>
          <w:tcPr>
            <w:tcW w:w="1957"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品牌：厂制品</w:t>
            </w:r>
          </w:p>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—烟罩上方和管道接口出采用304不锈钢板制造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—其他管道采用201制作，板厚≥0.8mm，内衬加强档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—配套法兰采用角铁制造，外表镀锌，—法兰采用镀锌螺丝固定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根据现场定制尺寸</w:t>
            </w:r>
          </w:p>
        </w:tc>
        <w:tc>
          <w:tcPr>
            <w:tcW w:w="1218"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autoSpaceDE/>
              <w:autoSpaceDN/>
              <w:bidi w:val="0"/>
              <w:adjustRightInd w:val="0"/>
              <w:snapToGrid/>
              <w:spacing w:line="240" w:lineRule="auto"/>
              <w:ind w:right="0"/>
              <w:jc w:val="left"/>
              <w:textAlignment w:val="top"/>
              <w:rPr>
                <w:rFonts w:hint="eastAsia" w:ascii="宋体" w:hAnsi="宋体" w:eastAsia="宋体" w:cs="宋体"/>
                <w:color w:val="auto"/>
                <w:kern w:val="0"/>
                <w:sz w:val="21"/>
                <w:szCs w:val="21"/>
                <w:highlight w:val="none"/>
                <w:lang w:bidi="ar"/>
              </w:rPr>
            </w:pPr>
          </w:p>
        </w:tc>
      </w:tr>
    </w:tbl>
    <w:p>
      <w:pPr>
        <w:widowControl/>
        <w:spacing w:before="120" w:beforeLines="50" w:line="360" w:lineRule="auto"/>
        <w:ind w:firstLine="482" w:firstLineChars="200"/>
        <w:jc w:val="left"/>
        <w:rPr>
          <w:rFonts w:hint="eastAsia" w:ascii="宋体" w:hAnsi="宋体" w:eastAsia="仿宋" w:cs="宋体"/>
          <w:b/>
          <w:bCs/>
          <w:color w:val="auto"/>
          <w:sz w:val="32"/>
          <w:szCs w:val="32"/>
          <w:highlight w:val="none"/>
          <w:lang w:eastAsia="zh-CN"/>
        </w:rPr>
        <w:sectPr>
          <w:pgSz w:w="16838" w:h="11906" w:orient="landscape"/>
          <w:pgMar w:top="1418" w:right="1276" w:bottom="1418" w:left="1247" w:header="851" w:footer="992" w:gutter="0"/>
          <w:cols w:space="720" w:num="1"/>
          <w:titlePg/>
          <w:docGrid w:linePitch="312" w:charSpace="0"/>
        </w:sectPr>
      </w:pPr>
      <w:r>
        <w:rPr>
          <w:rFonts w:ascii="仿宋" w:hAnsi="仿宋" w:eastAsia="仿宋" w:cs="仿宋"/>
          <w:b/>
          <w:bCs/>
          <w:color w:val="auto"/>
          <w:kern w:val="0"/>
          <w:sz w:val="24"/>
          <w:lang w:bidi="ar"/>
        </w:rPr>
        <w:t>备注：1、对照《第三部分 采购需求》如实填写上表，虚假应标一律按提供虚假材料处理；2、“偏离情况”栏填写：</w:t>
      </w:r>
      <w:r>
        <w:rPr>
          <w:rFonts w:hint="eastAsia" w:ascii="仿宋" w:hAnsi="仿宋" w:eastAsia="仿宋" w:cs="仿宋"/>
          <w:b/>
          <w:bCs/>
          <w:color w:val="auto"/>
          <w:kern w:val="0"/>
          <w:sz w:val="24"/>
          <w:lang w:bidi="ar"/>
        </w:rPr>
        <w:t>“响应”或“不响应”；</w:t>
      </w:r>
      <w:r>
        <w:rPr>
          <w:rFonts w:hint="eastAsia" w:ascii="仿宋" w:hAnsi="仿宋" w:eastAsia="仿宋" w:cs="仿宋"/>
          <w:b/>
          <w:bCs/>
          <w:i w:val="0"/>
          <w:iCs w:val="0"/>
          <w:color w:val="auto"/>
          <w:kern w:val="0"/>
          <w:sz w:val="24"/>
          <w:lang w:bidi="ar"/>
        </w:rPr>
        <w:t xml:space="preserve">3、响应内容除技术参数外还需包含规格型号、品牌等信息； </w:t>
      </w:r>
      <w:r>
        <w:rPr>
          <w:rFonts w:hint="eastAsia" w:ascii="仿宋" w:hAnsi="仿宋" w:eastAsia="仿宋" w:cs="仿宋"/>
          <w:b/>
          <w:bCs/>
          <w:color w:val="auto"/>
          <w:kern w:val="0"/>
          <w:sz w:val="24"/>
          <w:lang w:bidi="ar"/>
        </w:rPr>
        <w:t>4、后附技术资料：如相关证书、产品样本资料或技术说明书或官网上公开的技术参数可以体现参数响应情况的资料</w:t>
      </w:r>
      <w:r>
        <w:rPr>
          <w:rFonts w:hint="eastAsia" w:ascii="仿宋" w:hAnsi="仿宋" w:eastAsia="仿宋" w:cs="仿宋"/>
          <w:b/>
          <w:bCs/>
          <w:color w:val="auto"/>
          <w:kern w:val="0"/>
          <w:sz w:val="24"/>
          <w:lang w:eastAsia="zh-CN" w:bidi="ar"/>
        </w:rPr>
        <w:t>。</w:t>
      </w:r>
    </w:p>
    <w:p>
      <w:pPr>
        <w:pStyle w:val="79"/>
      </w:pPr>
    </w:p>
    <w:p>
      <w:pPr>
        <w:ind w:firstLine="1911" w:firstLineChars="595"/>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九</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color w:val="auto"/>
        </w:rPr>
      </w:pPr>
      <w:r>
        <w:rPr>
          <w:rFonts w:hint="eastAsia" w:ascii="宋体" w:hAnsi="宋体" w:cs="宋体"/>
          <w:color w:val="auto"/>
          <w:sz w:val="24"/>
        </w:rPr>
        <w:t>（</w:t>
      </w:r>
      <w:r>
        <w:rPr>
          <w:rFonts w:hint="eastAsia" w:ascii="宋体" w:hAnsi="宋体" w:cs="宋体"/>
          <w:color w:val="auto"/>
          <w:sz w:val="24"/>
          <w:szCs w:val="24"/>
          <w:lang w:val="en-US" w:eastAsia="zh-CN"/>
        </w:rPr>
        <w:t>2</w:t>
      </w:r>
      <w:r>
        <w:rPr>
          <w:rFonts w:hint="eastAsia" w:ascii="宋体" w:hAnsi="宋体" w:cs="宋体"/>
          <w:color w:val="auto"/>
          <w:sz w:val="24"/>
        </w:rPr>
        <w:t>）</w:t>
      </w:r>
      <w:r>
        <w:rPr>
          <w:rFonts w:hint="eastAsia" w:hAnsi="仿宋_GB2312" w:cs="仿宋_GB2312"/>
          <w:b w:val="0"/>
          <w:bCs/>
          <w:snapToGrid w:val="0"/>
          <w:color w:val="auto"/>
          <w:kern w:val="2"/>
          <w:sz w:val="24"/>
          <w:szCs w:val="24"/>
          <w:lang w:val="en-US" w:eastAsia="zh-CN" w:bidi="ar-SA"/>
        </w:rPr>
        <w:t>报价情况说明</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rPr>
        <w:t>（页码）</w:t>
      </w:r>
    </w:p>
    <w:p>
      <w:pPr>
        <w:snapToGrid w:val="0"/>
        <w:spacing w:line="360" w:lineRule="auto"/>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4994" w:type="pct"/>
        <w:jc w:val="center"/>
        <w:tblLayout w:type="autofit"/>
        <w:tblCellMar>
          <w:top w:w="0" w:type="dxa"/>
          <w:left w:w="108" w:type="dxa"/>
          <w:bottom w:w="0" w:type="dxa"/>
          <w:right w:w="108" w:type="dxa"/>
        </w:tblCellMar>
      </w:tblPr>
      <w:tblGrid>
        <w:gridCol w:w="731"/>
        <w:gridCol w:w="2993"/>
        <w:gridCol w:w="1013"/>
        <w:gridCol w:w="1086"/>
        <w:gridCol w:w="1362"/>
        <w:gridCol w:w="1664"/>
        <w:gridCol w:w="1664"/>
        <w:gridCol w:w="1667"/>
        <w:gridCol w:w="2334"/>
      </w:tblGrid>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产品名称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数量</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单位</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品牌</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规格型号</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单价</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合计</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备注（如果有）</w:t>
            </w:r>
          </w:p>
          <w:p>
            <w:pPr>
              <w:spacing w:line="360" w:lineRule="auto"/>
              <w:jc w:val="center"/>
              <w:rPr>
                <w:rFonts w:hint="eastAsia" w:ascii="宋体" w:hAnsi="宋体" w:cs="宋体"/>
                <w:b/>
                <w:color w:val="auto"/>
                <w:sz w:val="24"/>
                <w:szCs w:val="24"/>
                <w:highlight w:val="none"/>
              </w:rPr>
            </w:pPr>
          </w:p>
          <w:p>
            <w:pPr>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备注（如果有）</w:t>
            </w:r>
          </w:p>
          <w:p>
            <w:pPr>
              <w:spacing w:line="360" w:lineRule="auto"/>
              <w:jc w:val="center"/>
              <w:rPr>
                <w:rFonts w:hint="eastAsia" w:ascii="宋体" w:hAnsi="宋体" w:cs="宋体"/>
                <w:b/>
                <w:color w:val="auto"/>
                <w:sz w:val="24"/>
                <w:szCs w:val="24"/>
                <w:highlight w:val="none"/>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立式两玻璃门冷藏柜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三抽屉移门工作柜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智能收货（入库）系统</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智能出库系统</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大米搁架（方管型）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四层板货架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单星剖鱼盆台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高压花洒</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39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多功砧板毛巾刀具消毒柜一体机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多功砧板毛巾刀具消毒柜一体机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49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多功砧板毛巾刀具消毒柜一体机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59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拖把池连架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四层板货架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四层板货架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工作台柜带水池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立式四门冷藏柜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双向工作台柜（移门）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69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双向工作台柜连水池（移门）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港式料台水池</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可倾燃气汤锅 （200L）</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料台平板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b/>
                <w:bCs/>
                <w:color w:val="000000"/>
                <w:kern w:val="0"/>
                <w:sz w:val="24"/>
                <w:szCs w:val="24"/>
                <w:lang w:bidi="ar"/>
              </w:rPr>
              <w:t xml:space="preserve">炊用燃气大锅灶（双眼大锅灶）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中餐燃气炒菜灶（两眼一汤炒灶）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过滤式油网烟罩(前置新风）</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23.4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厨房灭火系统</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79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单星大盆台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过滤式油网烟罩(前置新风）</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8.5</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广式双门100KG燃气蒸饭箱</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冲压饭盘</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三门燃气蒸柜（配电磁阀）</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双头矮汤炉</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双斗双边沥水筋星盆柜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商用物联智能</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双炒双尾广式灶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89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洗米机连增压泵</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挂墙架（单层）</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冲压饭盘</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160</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b w:val="0"/>
                <w:bCs w:val="0"/>
                <w:color w:val="000000"/>
                <w:kern w:val="0"/>
                <w:sz w:val="24"/>
                <w:szCs w:val="24"/>
                <w:lang w:bidi="ar"/>
              </w:rPr>
              <w:t>智能集成蒸箱</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过滤式油网烟罩(前置新风）</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高身饼盘车</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99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立式四门冷藏柜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工作柜带水池（左星）</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高身储碟柜（翻门)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40升多功能搅拌机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40升多功能搅拌机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105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中式压面机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06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18盘单门冷藏醒发箱</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07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面粉车</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08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双向工作台柜（移门）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09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木面搓粉台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四层档货架</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厨房灭火系统</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过滤式油网烟罩(前置新风）</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13.9</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电力油炸机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调料台连下开门柜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1</w:t>
            </w:r>
            <w:r>
              <w:rPr>
                <w:rFonts w:ascii="宋体" w:hAnsi="宋体" w:cs="宋体"/>
                <w:color w:val="000000"/>
                <w:kern w:val="0"/>
                <w:sz w:val="24"/>
                <w:szCs w:val="24"/>
                <w:highlight w:val="none"/>
                <w:lang w:bidi="ar"/>
              </w:rPr>
              <w:t>15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机械款柜式电饼铛</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1</w:t>
            </w:r>
            <w:r>
              <w:rPr>
                <w:rFonts w:ascii="宋体" w:hAnsi="宋体" w:cs="宋体"/>
                <w:color w:val="000000"/>
                <w:kern w:val="0"/>
                <w:sz w:val="24"/>
                <w:szCs w:val="24"/>
                <w:highlight w:val="none"/>
                <w:lang w:bidi="ar"/>
              </w:rPr>
              <w:t>16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8KW电磁煎包炉</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1</w:t>
            </w:r>
            <w:r>
              <w:rPr>
                <w:rFonts w:ascii="宋体" w:hAnsi="宋体" w:cs="宋体"/>
                <w:color w:val="000000"/>
                <w:kern w:val="0"/>
                <w:sz w:val="24"/>
                <w:szCs w:val="24"/>
                <w:highlight w:val="none"/>
                <w:lang w:bidi="ar"/>
              </w:rPr>
              <w:t>17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15KW蒸炉(电磁单头蒸炉）</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1</w:t>
            </w:r>
            <w:r>
              <w:rPr>
                <w:rFonts w:ascii="宋体" w:hAnsi="宋体" w:cs="宋体"/>
                <w:color w:val="000000"/>
                <w:kern w:val="0"/>
                <w:sz w:val="24"/>
                <w:szCs w:val="24"/>
                <w:highlight w:val="none"/>
                <w:lang w:bidi="ar"/>
              </w:rPr>
              <w:t>18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三层六盘电烤炉</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触控智能挂墙柜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立式单门消毒柜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落地柜式洗手双星盆</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立式双门消毒柜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高身储碟柜（翻门)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双星水池柜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单星浸泡池（无背板）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w:t>
            </w:r>
            <w:r>
              <w:rPr>
                <w:rFonts w:hint="eastAsia" w:ascii="宋体" w:hAnsi="宋体" w:cs="宋体"/>
                <w:color w:val="000000"/>
                <w:kern w:val="0"/>
                <w:sz w:val="24"/>
                <w:szCs w:val="24"/>
                <w:lang w:bidi="ar"/>
              </w:rPr>
              <w:t>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立式双门消毒柜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138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高身储碟柜（翻门)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139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工作柜带水池（左星）</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五斗保温售菜台（不可配玻璃保护罩）</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落地柜式洗手双星盆</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六门智能留样柜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149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工作台下层板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双星盆台</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单星浸泡池（无背板）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星盆双温龙头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w:t>
            </w:r>
            <w:r>
              <w:rPr>
                <w:rFonts w:hint="eastAsia" w:ascii="宋体" w:hAnsi="宋体" w:cs="宋体"/>
                <w:color w:val="000000"/>
                <w:kern w:val="0"/>
                <w:sz w:val="24"/>
                <w:szCs w:val="24"/>
                <w:lang w:bidi="ar"/>
              </w:rPr>
              <w:t>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立式双门消毒柜</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w:t>
            </w:r>
            <w:r>
              <w:rPr>
                <w:rFonts w:hint="eastAsia" w:ascii="宋体" w:hAnsi="宋体" w:cs="宋体"/>
                <w:color w:val="000000"/>
                <w:kern w:val="0"/>
                <w:sz w:val="24"/>
                <w:szCs w:val="24"/>
                <w:lang w:bidi="ar"/>
              </w:rPr>
              <w:t>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高身储碟柜（翻门)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159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工作柜带水池（左星）</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工作台柜(翻门)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五斗保温售菜台（不可配玻璃保护罩）</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落地柜式洗手双星盆</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感应龙头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169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风幕机（遥控型）</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电动调节阀</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厨房专用排烟风机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601"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静电油烟净化设备（不锈钢外壳双段式）</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670"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Style w:val="964"/>
                <w:rFonts w:hint="eastAsia"/>
                <w:i w:val="0"/>
                <w:iCs w:val="0"/>
                <w:color w:val="auto"/>
                <w:sz w:val="24"/>
                <w:szCs w:val="24"/>
                <w:highlight w:val="none"/>
              </w:rPr>
              <w:t>★</w:t>
            </w:r>
            <w:r>
              <w:rPr>
                <w:rFonts w:hint="eastAsia" w:ascii="宋体" w:hAnsi="宋体" w:cs="宋体"/>
                <w:color w:val="000000"/>
                <w:kern w:val="0"/>
                <w:sz w:val="24"/>
                <w:szCs w:val="24"/>
                <w:lang w:bidi="ar"/>
              </w:rPr>
              <w:t>静电油烟净化设备（不锈钢外壳双段式）</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厨灵智能控制器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风机减震器</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低噪声节能轴流风机</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178</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防火阀</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179</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不锈钢集油盘</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只</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180</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风管软连接</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181</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净化器底座</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182</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风机底座</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183</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灶前装饰封板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43.402</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184</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不锈钢封墙钢（灶后封板）</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55.23</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185</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吊装式排烟管道（大小头）</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215</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186</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吊装式排烟管道（直管）</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374</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87</w:t>
            </w:r>
          </w:p>
        </w:tc>
        <w:tc>
          <w:tcPr>
            <w:tcW w:w="10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吊装式排烟管道（弯道）</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311</w:t>
            </w:r>
          </w:p>
        </w:tc>
        <w:tc>
          <w:tcPr>
            <w:tcW w:w="3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平方</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006"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color w:val="000000"/>
                <w:kern w:val="0"/>
                <w:sz w:val="24"/>
                <w:szCs w:val="24"/>
                <w:lang w:bidi="ar"/>
              </w:rPr>
            </w:pPr>
            <w:r>
              <w:rPr>
                <w:rFonts w:hint="eastAsia" w:ascii="宋体" w:hAnsi="宋体" w:cs="宋体"/>
                <w:b/>
                <w:color w:val="auto"/>
                <w:sz w:val="24"/>
                <w:szCs w:val="24"/>
                <w:highlight w:val="none"/>
              </w:rPr>
              <w:t>投标报价（小写）</w:t>
            </w:r>
          </w:p>
        </w:tc>
        <w:tc>
          <w:tcPr>
            <w:tcW w:w="2993"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567" w:hRule="exact"/>
          <w:jc w:val="center"/>
        </w:trPr>
        <w:tc>
          <w:tcPr>
            <w:tcW w:w="2006"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cs="宋体"/>
                <w:color w:val="000000"/>
                <w:kern w:val="0"/>
                <w:sz w:val="24"/>
                <w:szCs w:val="24"/>
                <w:lang w:bidi="ar"/>
              </w:rPr>
            </w:pPr>
            <w:r>
              <w:rPr>
                <w:rFonts w:hint="eastAsia" w:ascii="宋体" w:hAnsi="宋体" w:cs="宋体"/>
                <w:b/>
                <w:color w:val="auto"/>
                <w:sz w:val="24"/>
                <w:szCs w:val="24"/>
                <w:highlight w:val="none"/>
              </w:rPr>
              <w:t>投标报价（大写）</w:t>
            </w:r>
          </w:p>
        </w:tc>
        <w:tc>
          <w:tcPr>
            <w:tcW w:w="2993"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4"/>
                <w:szCs w:val="24"/>
                <w:lang w:bidi="ar"/>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highlight w:val="none"/>
          <w:lang w:val="zh-CN"/>
        </w:rPr>
        <w:t>2、有关本项目实施所涉及的一切费用均计入报价。有关本项目实施所涉及的一切费用均计入报价。</w:t>
      </w:r>
      <w:r>
        <w:rPr>
          <w:rFonts w:hint="eastAsia" w:ascii="宋体" w:hAnsi="宋体" w:cs="宋体"/>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宋体" w:hAnsi="宋体" w:eastAsia="宋体" w:cs="宋体"/>
          <w:b/>
          <w:color w:val="auto"/>
          <w:kern w:val="0"/>
          <w:sz w:val="24"/>
          <w:highlight w:val="none"/>
          <w:lang w:eastAsia="zh-CN"/>
        </w:rPr>
      </w:pPr>
      <w:r>
        <w:rPr>
          <w:rFonts w:hint="eastAsia" w:ascii="宋体" w:hAnsi="宋体" w:cs="宋体"/>
          <w:b/>
          <w:color w:val="auto"/>
          <w:sz w:val="24"/>
          <w:highlight w:val="none"/>
        </w:rPr>
        <w:t>5、特别说明：▲供应商报价低于项目预算50%的，应当在报价文件中详细阐述不影响产品质量或者诚信履约的具体原因</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未做阐述说明的，投标无效。</w:t>
      </w: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numPr>
          <w:ilvl w:val="0"/>
          <w:numId w:val="10"/>
        </w:numPr>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r>
        <w:rPr>
          <w:rFonts w:hint="eastAsia" w:ascii="宋体" w:hAnsi="宋体" w:eastAsia="宋体" w:cs="宋体"/>
          <w:color w:val="auto"/>
          <w:kern w:val="2"/>
          <w:sz w:val="32"/>
          <w:szCs w:val="32"/>
          <w:lang w:val="en-US" w:eastAsia="zh-CN"/>
        </w:rPr>
        <w:t>报价情况说明（如果有）</w:t>
      </w:r>
    </w:p>
    <w:p>
      <w:pPr>
        <w:pStyle w:val="5"/>
        <w:keepNext w:val="0"/>
        <w:pageBreakBefore w:val="0"/>
        <w:numPr>
          <w:ilvl w:val="-1"/>
          <w:numId w:val="0"/>
        </w:numPr>
        <w:tabs>
          <w:tab w:val="clear" w:pos="432"/>
        </w:tabs>
        <w:snapToGrid w:val="0"/>
        <w:spacing w:before="120" w:after="120"/>
        <w:ind w:firstLine="0"/>
        <w:outlineLvl w:val="9"/>
        <w:rPr>
          <w:rFonts w:hint="default" w:ascii="宋体" w:hAnsi="宋体" w:eastAsia="宋体" w:cs="宋体"/>
          <w:color w:val="auto"/>
          <w:kern w:val="2"/>
          <w:sz w:val="32"/>
          <w:szCs w:val="32"/>
          <w:lang w:val="en-US" w:eastAsia="zh-CN"/>
        </w:rPr>
      </w:pPr>
      <w:r>
        <w:rPr>
          <w:rFonts w:hint="eastAsia" w:ascii="宋体" w:hAnsi="宋体" w:eastAsia="宋体" w:cs="宋体"/>
          <w:b w:val="0"/>
          <w:bCs w:val="0"/>
          <w:color w:val="auto"/>
          <w:sz w:val="24"/>
          <w:szCs w:val="24"/>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rPr>
        <w:t>）</w:t>
      </w:r>
    </w:p>
    <w:p>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eastAsia="zh-CN"/>
        </w:rPr>
      </w:pPr>
    </w:p>
    <w:p>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eastAsia="zh-CN"/>
        </w:rPr>
      </w:pPr>
    </w:p>
    <w:p>
      <w:pPr>
        <w:pStyle w:val="692"/>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2"/>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25"/>
        <w:rPr>
          <w:rFonts w:ascii="宋体" w:hAnsi="宋体" w:cs="宋体"/>
          <w:b/>
          <w:color w:val="auto"/>
          <w:kern w:val="0"/>
          <w:sz w:val="36"/>
          <w:szCs w:val="36"/>
          <w:highlight w:val="none"/>
        </w:rPr>
      </w:pPr>
    </w:p>
    <w:p>
      <w:pPr>
        <w:rPr>
          <w:rFonts w:ascii="宋体" w:hAnsi="宋体" w:cs="宋体"/>
          <w:b/>
          <w:color w:val="auto"/>
          <w:kern w:val="0"/>
          <w:sz w:val="36"/>
          <w:szCs w:val="36"/>
          <w:highlight w:val="none"/>
        </w:rPr>
      </w:pPr>
    </w:p>
    <w:p>
      <w:pPr>
        <w:pStyle w:val="25"/>
        <w:rPr>
          <w:rFonts w:ascii="宋体" w:hAnsi="宋体" w:cs="宋体"/>
          <w:b/>
          <w:color w:val="auto"/>
          <w:kern w:val="0"/>
          <w:sz w:val="36"/>
          <w:szCs w:val="36"/>
          <w:highlight w:val="none"/>
        </w:rPr>
      </w:pPr>
    </w:p>
    <w:p>
      <w:pPr>
        <w:rPr>
          <w:rFonts w:ascii="宋体" w:hAnsi="宋体" w:cs="宋体"/>
          <w:b/>
          <w:color w:val="auto"/>
          <w:kern w:val="0"/>
          <w:sz w:val="36"/>
          <w:szCs w:val="36"/>
          <w:highlight w:val="none"/>
        </w:rPr>
      </w:pPr>
    </w:p>
    <w:p>
      <w:pPr>
        <w:pStyle w:val="25"/>
        <w:rPr>
          <w:rFonts w:ascii="宋体" w:hAnsi="宋体" w:cs="宋体"/>
          <w:b/>
          <w:color w:val="auto"/>
          <w:kern w:val="0"/>
          <w:sz w:val="36"/>
          <w:szCs w:val="36"/>
          <w:highlight w:val="none"/>
        </w:rPr>
      </w:pPr>
    </w:p>
    <w:p>
      <w:pPr>
        <w:rPr>
          <w:rFonts w:ascii="宋体" w:hAnsi="宋体" w:cs="宋体"/>
          <w:b/>
          <w:color w:val="auto"/>
          <w:kern w:val="0"/>
          <w:sz w:val="36"/>
          <w:szCs w:val="36"/>
          <w:highlight w:val="none"/>
        </w:rPr>
      </w:pPr>
    </w:p>
    <w:p>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关于钱塘区政府采购支持中小企业信用融资相关事项通知</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一、适用对象</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在浙江“政采云”平台注册入库，并取得钱塘区政府采购合同的中小企业供应商。</w:t>
      </w:r>
    </w:p>
    <w:p>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二、相关信息获取方式</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请登陆杭州钱塘新区管理委员会官网（http://qt.hangzhou.gov.cn） “公告公示”专栏，查看信用融资政策文件及各相关银行服务方案。</w:t>
      </w:r>
    </w:p>
    <w:p>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三、申请方式和步骤</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1、供应商若有融资意向，需先与钱塘区财政局合作的银行对接，办理相关融资前期手续；</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2、中标后，供应商应与采购单位或者采购代理机构及时联系，告知融资需求；</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3、相关合作银行联系并审核供应商及相关中标信息，办理相关融资事宜；</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lang w:val="zh-CN"/>
        </w:rPr>
        <w:t>、采购单位应及时将信用融资合同提交备案。</w:t>
      </w:r>
    </w:p>
    <w:p>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四、注意事项</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五、合作银行及联系方式</w:t>
      </w:r>
    </w:p>
    <w:tbl>
      <w:tblPr>
        <w:tblStyle w:val="62"/>
        <w:tblW w:w="0" w:type="auto"/>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建设银行钱塘支行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张苏航</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2</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左劼</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3</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吕刚</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4</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杭州银行钱塘支行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费莎</w:t>
            </w:r>
          </w:p>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严培蓓</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13388617781</w:t>
            </w:r>
          </w:p>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5</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丁萍</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6</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中国银行钱塘支行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沈振华</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13957168926</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7</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李燕珍</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13735710338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8</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贾磊</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9</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王宁</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10</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农业银行钱塘支行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王安东</w:t>
            </w:r>
          </w:p>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方若愚</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15158025713</w:t>
            </w:r>
          </w:p>
          <w:p>
            <w:pPr>
              <w:widowControl/>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11</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浙商银行杭州钱塘支行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徐伟刚</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82921293，18258888258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12</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浦发银行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林云鹏</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18805812679</w:t>
            </w:r>
          </w:p>
        </w:tc>
      </w:tr>
    </w:tbl>
    <w:p>
      <w:pPr>
        <w:rPr>
          <w:color w:val="auto"/>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589" w:name="_Toc465665161"/>
      <w:r>
        <w:rPr>
          <w:rFonts w:hint="eastAsia" w:ascii="宋体" w:hAnsi="宋体" w:cs="宋体"/>
          <w:color w:val="auto"/>
          <w:highlight w:val="none"/>
        </w:rPr>
        <w:t>附件</w:t>
      </w:r>
      <w:bookmarkEnd w:id="589"/>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90" w:name="OLE_LINK14"/>
      <w:bookmarkStart w:id="591" w:name="OLE_LINK13"/>
      <w:r>
        <w:rPr>
          <w:rFonts w:hint="eastAsia" w:ascii="宋体" w:hAnsi="宋体" w:cs="宋体"/>
          <w:b/>
          <w:color w:val="auto"/>
          <w:spacing w:val="6"/>
          <w:sz w:val="32"/>
          <w:szCs w:val="32"/>
          <w:highlight w:val="none"/>
        </w:rPr>
        <w:t>残疾人福利性单位声明函</w:t>
      </w:r>
    </w:p>
    <w:bookmarkEnd w:id="590"/>
    <w:bookmarkEnd w:id="591"/>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75244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56403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75347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56300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92"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92"/>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93"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93"/>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widowControl/>
        <w:adjustRightInd/>
        <w:jc w:val="left"/>
        <w:rPr>
          <w:rFonts w:ascii="宋体" w:hAnsi="宋体" w:cs="宋体"/>
          <w:b/>
          <w:color w:val="auto"/>
          <w:kern w:val="0"/>
          <w:sz w:val="32"/>
          <w:szCs w:val="32"/>
          <w:highlight w:val="none"/>
        </w:rPr>
      </w:pPr>
    </w:p>
    <w:p>
      <w:pPr>
        <w:rPr>
          <w:rFonts w:hint="eastAsia"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（杭州市钱塘区教育局）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（河庄街道安置房三期配套九年一贯制学校厨房设备采购项目）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详见附件（标的名称）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r>
        <w:rPr>
          <w:rFonts w:hint="eastAsia" w:ascii="宋体" w:hAnsi="宋体" w:cs="宋体"/>
          <w:b/>
          <w:bCs/>
          <w:i/>
          <w:iCs/>
          <w:color w:val="auto"/>
          <w:sz w:val="24"/>
          <w:highlight w:val="yellow"/>
          <w:lang w:eastAsia="zh-CN"/>
        </w:rPr>
        <w:t>（特别提醒：选择其中一种企业类型填写，不要全部写上，下同）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详见附件（标的名称）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详见附件（标的名称）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firstLine="482" w:firstLineChars="200"/>
        <w:rPr>
          <w:rFonts w:hint="eastAsia" w:ascii="宋体" w:hAnsi="宋体" w:eastAsia="宋体" w:cs="宋体"/>
          <w:b/>
          <w:bCs/>
          <w:i/>
          <w:iCs/>
          <w:color w:val="auto"/>
          <w:sz w:val="24"/>
          <w:highlight w:val="yellow"/>
          <w:lang w:val="en-US" w:eastAsia="zh-CN"/>
        </w:rPr>
      </w:pPr>
      <w:r>
        <w:rPr>
          <w:rFonts w:hint="eastAsia" w:ascii="宋体" w:hAnsi="宋体" w:eastAsia="宋体" w:cs="宋体"/>
          <w:b/>
          <w:bCs/>
          <w:i/>
          <w:iCs/>
          <w:color w:val="auto"/>
          <w:sz w:val="24"/>
          <w:highlight w:val="yellow"/>
          <w:lang w:val="en-US" w:eastAsia="zh-CN"/>
        </w:rPr>
        <w:t>特别提醒:</w:t>
      </w:r>
    </w:p>
    <w:p>
      <w:pPr>
        <w:keepNext w:val="0"/>
        <w:keepLines w:val="0"/>
        <w:pageBreakBefore w:val="0"/>
        <w:widowControl w:val="0"/>
        <w:kinsoku/>
        <w:wordWrap/>
        <w:overflowPunct/>
        <w:topLinePunct w:val="0"/>
        <w:autoSpaceDE/>
        <w:autoSpaceDN/>
        <w:bidi w:val="0"/>
        <w:adjustRightInd w:val="0"/>
        <w:snapToGrid w:val="0"/>
        <w:spacing w:line="360" w:lineRule="auto"/>
        <w:ind w:right="420" w:firstLine="482" w:firstLineChars="200"/>
        <w:textAlignment w:val="auto"/>
        <w:rPr>
          <w:rFonts w:hint="eastAsia" w:ascii="宋体" w:hAnsi="宋体" w:eastAsia="宋体" w:cs="宋体"/>
          <w:b/>
          <w:bCs/>
          <w:i/>
          <w:iCs/>
          <w:color w:val="auto"/>
          <w:sz w:val="24"/>
          <w:szCs w:val="24"/>
          <w:highlight w:val="yellow"/>
          <w:lang w:val="en-US" w:eastAsia="zh-CN"/>
        </w:rPr>
      </w:pPr>
      <w:r>
        <w:rPr>
          <w:rFonts w:hint="eastAsia" w:ascii="宋体" w:hAnsi="宋体" w:eastAsia="宋体" w:cs="宋体"/>
          <w:b/>
          <w:bCs/>
          <w:i/>
          <w:iCs/>
          <w:color w:val="auto"/>
          <w:sz w:val="24"/>
          <w:szCs w:val="24"/>
          <w:highlight w:val="yellow"/>
          <w:lang w:val="en-US" w:eastAsia="zh-CN"/>
        </w:rPr>
        <w:t>1.本项目含有多个标的物，各标的物对应的所属行业均为工业。投标人必须针对所有标的物制造商的情况逐个进行说明。</w:t>
      </w:r>
    </w:p>
    <w:p>
      <w:pPr>
        <w:keepNext w:val="0"/>
        <w:keepLines w:val="0"/>
        <w:pageBreakBefore w:val="0"/>
        <w:widowControl w:val="0"/>
        <w:kinsoku/>
        <w:wordWrap/>
        <w:overflowPunct/>
        <w:topLinePunct w:val="0"/>
        <w:autoSpaceDE/>
        <w:autoSpaceDN/>
        <w:bidi w:val="0"/>
        <w:adjustRightInd w:val="0"/>
        <w:snapToGrid w:val="0"/>
        <w:spacing w:line="360" w:lineRule="auto"/>
        <w:ind w:right="420" w:firstLine="482" w:firstLineChars="200"/>
        <w:textAlignment w:val="auto"/>
        <w:rPr>
          <w:rFonts w:hint="default" w:ascii="仿宋" w:hAnsi="仿宋" w:eastAsia="仿宋" w:cs="仿宋"/>
          <w:b/>
          <w:bCs/>
          <w:i/>
          <w:iCs/>
          <w:sz w:val="21"/>
          <w:szCs w:val="21"/>
          <w:highlight w:val="yellow"/>
          <w:lang w:val="en-US" w:eastAsia="zh-CN"/>
        </w:rPr>
        <w:sectPr>
          <w:pgSz w:w="11906" w:h="16838"/>
          <w:pgMar w:top="1276" w:right="1418" w:bottom="1247" w:left="1418" w:header="992" w:footer="992" w:gutter="0"/>
          <w:cols w:space="720" w:num="1"/>
          <w:titlePg/>
          <w:docGrid w:linePitch="312" w:charSpace="0"/>
        </w:sectPr>
      </w:pPr>
      <w:r>
        <w:rPr>
          <w:rFonts w:hint="eastAsia" w:ascii="宋体" w:hAnsi="宋体" w:eastAsia="宋体" w:cs="宋体"/>
          <w:b/>
          <w:bCs/>
          <w:i/>
          <w:iCs/>
          <w:color w:val="auto"/>
          <w:sz w:val="24"/>
          <w:szCs w:val="24"/>
          <w:highlight w:val="yellow"/>
          <w:lang w:val="en-US" w:eastAsia="zh-CN"/>
        </w:rPr>
        <w:t>2.鉴于本项目标的物数量较多，请各供应商直接按照附件格式填写</w:t>
      </w:r>
      <w:r>
        <w:rPr>
          <w:rFonts w:hint="eastAsia" w:ascii="仿宋" w:hAnsi="仿宋" w:eastAsia="仿宋" w:cs="仿宋"/>
          <w:b/>
          <w:bCs/>
          <w:i/>
          <w:iCs/>
          <w:sz w:val="21"/>
          <w:szCs w:val="21"/>
          <w:highlight w:val="yellow"/>
          <w:lang w:val="en-US" w:eastAsia="zh-CN"/>
        </w:rPr>
        <w:t>。</w:t>
      </w:r>
    </w:p>
    <w:p>
      <w:pPr>
        <w:spacing w:line="360" w:lineRule="auto"/>
        <w:jc w:val="both"/>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附件</w:t>
      </w:r>
    </w:p>
    <w:tbl>
      <w:tblPr>
        <w:tblStyle w:val="62"/>
        <w:tblW w:w="5209" w:type="pct"/>
        <w:tblInd w:w="-429" w:type="dxa"/>
        <w:tblLayout w:type="fixed"/>
        <w:tblCellMar>
          <w:top w:w="0" w:type="dxa"/>
          <w:left w:w="108" w:type="dxa"/>
          <w:bottom w:w="0" w:type="dxa"/>
          <w:right w:w="108" w:type="dxa"/>
        </w:tblCellMar>
      </w:tblPr>
      <w:tblGrid>
        <w:gridCol w:w="615"/>
        <w:gridCol w:w="2040"/>
        <w:gridCol w:w="1065"/>
        <w:gridCol w:w="1380"/>
        <w:gridCol w:w="810"/>
        <w:gridCol w:w="885"/>
        <w:gridCol w:w="975"/>
        <w:gridCol w:w="1905"/>
      </w:tblGrid>
      <w:tr>
        <w:tblPrEx>
          <w:tblCellMar>
            <w:top w:w="0" w:type="dxa"/>
            <w:left w:w="108" w:type="dxa"/>
            <w:bottom w:w="0" w:type="dxa"/>
            <w:right w:w="108" w:type="dxa"/>
          </w:tblCellMar>
        </w:tblPrEx>
        <w:trPr>
          <w:trHeight w:val="952" w:hRule="exact"/>
        </w:trPr>
        <w:tc>
          <w:tcPr>
            <w:tcW w:w="317" w:type="pct"/>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eastAsia="zh-CN" w:bidi="ar"/>
              </w:rPr>
              <w:t>序号</w:t>
            </w:r>
            <w:r>
              <w:rPr>
                <w:rFonts w:hint="eastAsia" w:ascii="宋体" w:hAnsi="宋体" w:cs="宋体"/>
                <w:b/>
                <w:bCs/>
                <w:color w:val="000000"/>
                <w:kern w:val="0"/>
                <w:sz w:val="20"/>
                <w:szCs w:val="20"/>
                <w:lang w:bidi="ar"/>
              </w:rPr>
              <w:t xml:space="preserve">        </w:t>
            </w:r>
          </w:p>
        </w:tc>
        <w:tc>
          <w:tcPr>
            <w:tcW w:w="1054" w:type="pct"/>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产品名称</w:t>
            </w:r>
          </w:p>
        </w:tc>
        <w:tc>
          <w:tcPr>
            <w:tcW w:w="550" w:type="pct"/>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采购文件中明确的所属行业</w:t>
            </w:r>
          </w:p>
        </w:tc>
        <w:tc>
          <w:tcPr>
            <w:tcW w:w="3077"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所投产品制造商信息</w:t>
            </w:r>
          </w:p>
        </w:tc>
      </w:tr>
      <w:tr>
        <w:tblPrEx>
          <w:tblCellMar>
            <w:top w:w="0" w:type="dxa"/>
            <w:left w:w="108" w:type="dxa"/>
            <w:bottom w:w="0" w:type="dxa"/>
            <w:right w:w="108" w:type="dxa"/>
          </w:tblCellMar>
        </w:tblPrEx>
        <w:trPr>
          <w:trHeight w:val="952" w:hRule="exact"/>
        </w:trPr>
        <w:tc>
          <w:tcPr>
            <w:tcW w:w="317" w:type="pct"/>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bidi="ar"/>
              </w:rPr>
            </w:pPr>
          </w:p>
        </w:tc>
        <w:tc>
          <w:tcPr>
            <w:tcW w:w="1054" w:type="pct"/>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bidi="ar"/>
              </w:rPr>
            </w:pPr>
          </w:p>
        </w:tc>
        <w:tc>
          <w:tcPr>
            <w:tcW w:w="550" w:type="pct"/>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b/>
                <w:bCs/>
                <w:color w:val="000000"/>
                <w:kern w:val="0"/>
                <w:sz w:val="20"/>
                <w:szCs w:val="20"/>
                <w:lang w:eastAsia="zh-CN" w:bidi="ar"/>
              </w:rPr>
            </w:pP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企业名称</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从业人员（人）</w:t>
            </w: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 xml:space="preserve">营业收入（万元）  </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资产总额（万元）</w:t>
            </w: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eastAsia="zh-CN" w:bidi="ar"/>
              </w:rPr>
            </w:pPr>
            <w:r>
              <w:rPr>
                <w:rFonts w:hint="eastAsia" w:ascii="宋体" w:hAnsi="宋体" w:cs="宋体"/>
                <w:b/>
                <w:bCs/>
                <w:color w:val="000000"/>
                <w:kern w:val="0"/>
                <w:sz w:val="20"/>
                <w:szCs w:val="20"/>
                <w:lang w:eastAsia="zh-CN" w:bidi="ar"/>
              </w:rPr>
              <w:t>对应的企业划型（填写“中型”或“小型”或“微型”）</w:t>
            </w: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kern w:val="0"/>
                <w:sz w:val="20"/>
                <w:szCs w:val="20"/>
                <w:lang w:eastAsia="zh-CN"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立式两玻璃门冷藏柜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三抽屉移门工作柜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w:t>
            </w:r>
          </w:p>
        </w:tc>
        <w:tc>
          <w:tcPr>
            <w:tcW w:w="10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智能收货（入库）系统</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w:t>
            </w:r>
          </w:p>
        </w:tc>
        <w:tc>
          <w:tcPr>
            <w:tcW w:w="10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智能出库系统</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大米搁架（方管型）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四层板货架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29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单星剖鱼盆台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高压花洒</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39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多功砧板毛巾刀具消毒柜一体机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多功砧板毛巾刀具消毒柜一体机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49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多功砧板毛巾刀具消毒柜一体机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59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拖把池连架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四层板货架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四层板货架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工作台柜带水池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立式四门冷藏柜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双向工作台柜（移门）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69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双向工作台柜连水池（移门）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港式料台水池</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可倾燃气汤锅 （200L）</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港式料台平板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b/>
                <w:bCs/>
                <w:color w:val="000000"/>
                <w:kern w:val="0"/>
                <w:sz w:val="20"/>
                <w:szCs w:val="20"/>
                <w:lang w:bidi="ar"/>
              </w:rPr>
              <w:t xml:space="preserve">炊用燃气大锅灶（双眼大锅灶） </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中餐燃气炒菜灶（两眼一汤炒灶）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过滤式油网烟罩(前置新风）</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厨房灭火系统</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79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单星大盆台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过滤式油网烟罩(前置新风）</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广式双门100KG燃气蒸饭箱</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冲压饭盘</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三门燃气蒸柜（配电磁阀）</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双头矮汤炉</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双斗双边沥水筋星盆柜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商用物联智能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双炒双尾广式灶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89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洗米机连增压泵</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挂墙架（单层）</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冲压饭盘</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b w:val="0"/>
                <w:bCs w:val="0"/>
                <w:color w:val="000000"/>
                <w:kern w:val="0"/>
                <w:sz w:val="20"/>
                <w:szCs w:val="20"/>
                <w:lang w:bidi="ar"/>
              </w:rPr>
              <w:t>智能集成蒸箱</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val="0"/>
                <w:bCs w:val="0"/>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过滤式油网烟罩(前置新风）</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高身饼盘车</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99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立式四门冷藏柜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工作柜带水池（左星）</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高身储碟柜（翻门) </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40升多功能搅拌机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40升多功能搅拌机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105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中式压面机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18盘单门冷藏醒发箱</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面粉车</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双向工作台柜（移门）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09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木面搓粉台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四层档货架</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厨房灭火系统</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过滤式油网烟罩(前置新风）</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电力油炸机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调料台连下开门柜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机械款柜式电饼铛</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8KW电磁煎包炉</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15KW蒸炉(电磁单头蒸炉）</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三层六盘电烤炉</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19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触控智能挂墙柜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立式单门消毒柜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落地柜式洗手双星盆</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立式双门消毒柜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高身储碟柜（翻门) </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29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双星水池柜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单星浸泡池（无背板）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37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立式双门消毒柜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138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高身储碟柜（翻门) </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139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工作柜带水池（左星）</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五斗保温售菜台（不可配玻璃保护罩）</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落地柜式洗手双星盆</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六门智能留样柜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149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工作台下层板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双星盆台</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单星浸泡池（无背板）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星盆双温龙头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w:t>
            </w:r>
            <w:r>
              <w:rPr>
                <w:rFonts w:hint="eastAsia" w:ascii="宋体" w:hAnsi="宋体" w:cs="宋体"/>
                <w:color w:val="000000"/>
                <w:kern w:val="0"/>
                <w:sz w:val="20"/>
                <w:szCs w:val="20"/>
                <w:lang w:bidi="ar"/>
              </w:rPr>
              <w:t>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立式双门消毒柜</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w:t>
            </w:r>
            <w:r>
              <w:rPr>
                <w:rFonts w:hint="eastAsia" w:ascii="宋体" w:hAnsi="宋体" w:cs="宋体"/>
                <w:color w:val="000000"/>
                <w:kern w:val="0"/>
                <w:sz w:val="20"/>
                <w:szCs w:val="20"/>
                <w:lang w:bidi="ar"/>
              </w:rPr>
              <w:t>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高身储碟柜（翻门) </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159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工作柜带水池（左星）</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工作台柜(翻门)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五斗保温售菜台（不可配玻璃保护罩）</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落地柜式洗手双星盆</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感应龙头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169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风幕机（遥控型）</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电动调节阀</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厨房专用排烟风机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静电油烟净化设备（不锈钢外壳双段式）</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Style w:val="964"/>
                <w:rFonts w:hint="eastAsia"/>
                <w:i w:val="0"/>
                <w:iCs w:val="0"/>
                <w:color w:val="auto"/>
                <w:highlight w:val="none"/>
              </w:rPr>
              <w:t>★</w:t>
            </w:r>
            <w:r>
              <w:rPr>
                <w:rFonts w:hint="eastAsia" w:ascii="宋体" w:hAnsi="宋体" w:cs="宋体"/>
                <w:color w:val="000000"/>
                <w:kern w:val="0"/>
                <w:sz w:val="20"/>
                <w:szCs w:val="20"/>
                <w:lang w:bidi="ar"/>
              </w:rPr>
              <w:t>静电油烟净化设备（不锈钢外壳双段式）</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厨灵智能控制器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风机减震器</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低噪声节能轴流风机</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178</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防火阀</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179</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不锈钢集油盘</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180</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风管软连接</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181</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净化器底座</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182</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风机底座</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183</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灶前装饰封板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184</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不锈钢封墙钢（灶后封板）</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185</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吊装式排烟管道（大小头）</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ascii="宋体" w:hAnsi="宋体" w:cs="宋体"/>
                <w:color w:val="000000"/>
                <w:kern w:val="0"/>
                <w:sz w:val="20"/>
                <w:szCs w:val="20"/>
                <w:lang w:bidi="ar"/>
              </w:rPr>
              <w:t>186</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吊装式排烟管道（直管）</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r>
        <w:tblPrEx>
          <w:tblCellMar>
            <w:top w:w="0" w:type="dxa"/>
            <w:left w:w="108" w:type="dxa"/>
            <w:bottom w:w="0" w:type="dxa"/>
            <w:right w:w="108" w:type="dxa"/>
          </w:tblCellMar>
        </w:tblPrEx>
        <w:trPr>
          <w:trHeight w:val="567" w:hRule="exact"/>
        </w:trPr>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87</w:t>
            </w: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 吊装式排烟管道（弯道）</w:t>
            </w:r>
          </w:p>
        </w:tc>
        <w:tc>
          <w:tcPr>
            <w:tcW w:w="5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eastAsia="zh-CN" w:bidi="ar"/>
              </w:rPr>
              <w:t>工业</w:t>
            </w:r>
          </w:p>
        </w:tc>
        <w:tc>
          <w:tcPr>
            <w:tcW w:w="7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4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c>
          <w:tcPr>
            <w:tcW w:w="98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20"/>
                <w:szCs w:val="20"/>
                <w:lang w:eastAsia="zh-CN" w:bidi="ar"/>
              </w:rPr>
            </w:pPr>
          </w:p>
        </w:tc>
      </w:tr>
    </w:tbl>
    <w:p>
      <w:pPr>
        <w:numPr>
          <w:ilvl w:val="0"/>
          <w:numId w:val="11"/>
        </w:numPr>
        <w:spacing w:line="360" w:lineRule="auto"/>
        <w:ind w:right="420" w:firstLine="0" w:firstLineChars="0"/>
        <w:jc w:val="left"/>
        <w:rPr>
          <w:rFonts w:hint="eastAsia"/>
          <w:color w:val="auto"/>
          <w:highlight w:val="none"/>
        </w:rPr>
      </w:pPr>
      <w:r>
        <w:rPr>
          <w:rFonts w:hint="eastAsia"/>
          <w:color w:val="auto"/>
          <w:highlight w:val="none"/>
        </w:rPr>
        <w:br w:type="page"/>
      </w:r>
    </w:p>
    <w:p>
      <w:pPr>
        <w:pStyle w:val="5"/>
        <w:jc w:val="left"/>
        <w:rPr>
          <w:rFonts w:cs="仿宋_GB2312"/>
          <w:color w:val="auto"/>
          <w:sz w:val="24"/>
          <w:highlight w:val="none"/>
        </w:rPr>
      </w:pPr>
      <w:r>
        <w:rPr>
          <w:rFonts w:hint="eastAsia"/>
          <w:color w:val="auto"/>
          <w:highlight w:val="none"/>
        </w:rPr>
        <w:t>附件</w:t>
      </w:r>
      <w:r>
        <w:rPr>
          <w:rFonts w:hint="eastAsia"/>
          <w:color w:val="auto"/>
          <w:highlight w:val="none"/>
          <w:lang w:val="en-US" w:eastAsia="zh-CN"/>
        </w:rPr>
        <w:t>8</w:t>
      </w:r>
      <w:r>
        <w:rPr>
          <w:rFonts w:hint="eastAsia"/>
          <w:color w:val="auto"/>
          <w:highlight w:val="none"/>
        </w:rPr>
        <w:t>样品（演示）授权委托书</w:t>
      </w:r>
    </w:p>
    <w:p>
      <w:pPr>
        <w:jc w:val="center"/>
        <w:rPr>
          <w:color w:val="auto"/>
          <w:sz w:val="40"/>
          <w:highlight w:val="none"/>
        </w:rPr>
      </w:pPr>
      <w:r>
        <w:rPr>
          <w:rFonts w:hint="eastAsia"/>
          <w:color w:val="auto"/>
          <w:sz w:val="40"/>
          <w:highlight w:val="none"/>
        </w:rPr>
        <w:t>样品（演示）授权委托书</w:t>
      </w:r>
    </w:p>
    <w:p>
      <w:pPr>
        <w:jc w:val="center"/>
        <w:rPr>
          <w:color w:val="auto"/>
          <w:sz w:val="40"/>
          <w:highlight w:val="none"/>
        </w:rPr>
      </w:pPr>
    </w:p>
    <w:p>
      <w:pPr>
        <w:snapToGrid w:val="0"/>
        <w:spacing w:line="360" w:lineRule="auto"/>
        <w:rPr>
          <w:rFonts w:cs="仿宋"/>
          <w:color w:val="auto"/>
          <w:highlight w:val="none"/>
        </w:rPr>
      </w:pPr>
      <w:r>
        <w:rPr>
          <w:rFonts w:hint="eastAsia" w:cs="仿宋_GB2312"/>
          <w:color w:val="auto"/>
          <w:highlight w:val="none"/>
        </w:rPr>
        <w:t>XXX（单位名称或采购机构名称）</w:t>
      </w:r>
      <w:r>
        <w:rPr>
          <w:rFonts w:hint="eastAsia" w:cs="仿宋"/>
          <w:color w:val="auto"/>
          <w:highlight w:val="none"/>
          <w:lang w:val="zh-CN"/>
        </w:rPr>
        <w:t>：</w:t>
      </w:r>
    </w:p>
    <w:p>
      <w:pPr>
        <w:snapToGrid w:val="0"/>
        <w:spacing w:line="360" w:lineRule="auto"/>
        <w:ind w:left="254" w:leftChars="121" w:firstLine="420" w:firstLineChars="200"/>
        <w:rPr>
          <w:rFonts w:cs="仿宋"/>
          <w:color w:val="auto"/>
          <w:highlight w:val="none"/>
          <w:u w:val="single"/>
          <w:lang w:val="zh-CN"/>
        </w:rPr>
      </w:pPr>
      <w:r>
        <w:rPr>
          <w:rFonts w:hint="eastAsia" w:cs="仿宋"/>
          <w:color w:val="auto"/>
          <w:highlight w:val="none"/>
          <w:lang w:val="zh-CN"/>
        </w:rPr>
        <w:t>兹委派</w:t>
      </w:r>
      <w:r>
        <w:rPr>
          <w:rFonts w:hint="eastAsia" w:cs="仿宋"/>
          <w:color w:val="auto"/>
          <w:highlight w:val="none"/>
          <w:u w:val="single"/>
          <w:lang w:val="zh-CN"/>
        </w:rPr>
        <w:t xml:space="preserve">                </w:t>
      </w:r>
      <w:r>
        <w:rPr>
          <w:rFonts w:hint="eastAsia" w:cs="仿宋"/>
          <w:color w:val="auto"/>
          <w:highlight w:val="none"/>
          <w:lang w:val="zh-CN"/>
        </w:rPr>
        <w:t>先生/女士，身份证号：</w:t>
      </w:r>
      <w:r>
        <w:rPr>
          <w:rFonts w:hint="eastAsia" w:cs="仿宋"/>
          <w:color w:val="auto"/>
          <w:highlight w:val="none"/>
          <w:u w:val="single"/>
          <w:lang w:val="zh-CN"/>
        </w:rPr>
        <w:t xml:space="preserve"> </w:t>
      </w:r>
      <w:r>
        <w:rPr>
          <w:rFonts w:cs="仿宋"/>
          <w:color w:val="auto"/>
          <w:highlight w:val="none"/>
          <w:u w:val="single"/>
          <w:lang w:val="zh-CN"/>
        </w:rPr>
        <w:t xml:space="preserve">                  </w:t>
      </w:r>
    </w:p>
    <w:p>
      <w:pPr>
        <w:snapToGrid w:val="0"/>
        <w:spacing w:line="360" w:lineRule="auto"/>
        <w:ind w:left="254" w:leftChars="121" w:firstLine="420" w:firstLineChars="200"/>
        <w:rPr>
          <w:rFonts w:cs="仿宋"/>
          <w:color w:val="auto"/>
          <w:highlight w:val="none"/>
        </w:rPr>
      </w:pPr>
      <w:r>
        <w:rPr>
          <w:rFonts w:hint="eastAsia" w:cs="仿宋"/>
          <w:color w:val="auto"/>
          <w:highlight w:val="none"/>
          <w:lang w:val="zh-CN"/>
        </w:rPr>
        <w:t>手机：</w:t>
      </w:r>
      <w:r>
        <w:rPr>
          <w:rFonts w:hint="eastAsia" w:cs="仿宋"/>
          <w:color w:val="auto"/>
          <w:highlight w:val="none"/>
          <w:u w:val="single"/>
          <w:lang w:val="zh-CN"/>
        </w:rPr>
        <w:t xml:space="preserve">      </w:t>
      </w:r>
      <w:r>
        <w:rPr>
          <w:rFonts w:cs="仿宋"/>
          <w:color w:val="auto"/>
          <w:highlight w:val="none"/>
          <w:u w:val="single"/>
          <w:lang w:val="zh-CN"/>
        </w:rPr>
        <w:t xml:space="preserve">     </w:t>
      </w:r>
      <w:r>
        <w:rPr>
          <w:rFonts w:hint="eastAsia" w:cs="仿宋"/>
          <w:color w:val="auto"/>
          <w:highlight w:val="none"/>
          <w:u w:val="single"/>
          <w:lang w:val="zh-CN"/>
        </w:rPr>
        <w:t xml:space="preserve">  </w:t>
      </w:r>
      <w:r>
        <w:rPr>
          <w:rFonts w:hint="eastAsia" w:cs="仿宋"/>
          <w:color w:val="auto"/>
          <w:highlight w:val="none"/>
          <w:lang w:val="zh-CN"/>
        </w:rPr>
        <w:t>，代表我公司前来递交</w:t>
      </w:r>
      <w:r>
        <w:rPr>
          <w:rFonts w:cs="仿宋"/>
          <w:color w:val="auto"/>
          <w:highlight w:val="none"/>
          <w:u w:val="single"/>
          <w:lang w:val="zh-CN"/>
        </w:rPr>
        <w:t xml:space="preserve">                           </w:t>
      </w:r>
      <w:r>
        <w:rPr>
          <w:rFonts w:hint="eastAsia" w:cs="仿宋"/>
          <w:color w:val="auto"/>
          <w:highlight w:val="none"/>
          <w:u w:val="single"/>
          <w:lang w:val="zh-CN"/>
        </w:rPr>
        <w:t>采购项目</w:t>
      </w:r>
      <w:r>
        <w:rPr>
          <w:rFonts w:hint="eastAsia" w:cs="仿宋"/>
          <w:color w:val="auto"/>
          <w:highlight w:val="none"/>
          <w:lang w:val="zh-CN"/>
        </w:rPr>
        <w:t>【项目编号：</w:t>
      </w:r>
      <w:r>
        <w:rPr>
          <w:rFonts w:cs="仿宋"/>
          <w:color w:val="auto"/>
          <w:highlight w:val="none"/>
          <w:lang w:val="zh-CN"/>
        </w:rPr>
        <w:t xml:space="preserve">              </w:t>
      </w:r>
      <w:r>
        <w:rPr>
          <w:rFonts w:hint="eastAsia" w:cs="仿宋"/>
          <w:color w:val="auto"/>
          <w:highlight w:val="none"/>
          <w:lang w:val="zh-CN"/>
        </w:rPr>
        <w:t xml:space="preserve">】（标项号： </w:t>
      </w:r>
      <w:r>
        <w:rPr>
          <w:rFonts w:cs="仿宋"/>
          <w:color w:val="auto"/>
          <w:highlight w:val="none"/>
          <w:lang w:val="zh-CN"/>
        </w:rPr>
        <w:t xml:space="preserve"> </w:t>
      </w:r>
      <w:r>
        <w:rPr>
          <w:rFonts w:hint="eastAsia" w:cs="仿宋"/>
          <w:color w:val="auto"/>
          <w:highlight w:val="none"/>
          <w:lang w:val="zh-CN"/>
        </w:rPr>
        <w:t>）投标样品或参加演示，并全权负责标后取回样品等其他处理事宜。</w:t>
      </w:r>
    </w:p>
    <w:p>
      <w:pPr>
        <w:snapToGrid w:val="0"/>
        <w:spacing w:line="360" w:lineRule="auto"/>
        <w:rPr>
          <w:rFonts w:cs="仿宋"/>
          <w:color w:val="auto"/>
          <w:highlight w:val="none"/>
          <w:lang w:val="zh-CN"/>
        </w:rPr>
      </w:pPr>
      <w:r>
        <w:rPr>
          <w:rFonts w:hint="eastAsia" w:cs="仿宋"/>
          <w:color w:val="auto"/>
          <w:highlight w:val="none"/>
          <w:lang w:val="zh-CN"/>
        </w:rPr>
        <w:t xml:space="preserve">  </w:t>
      </w:r>
    </w:p>
    <w:p>
      <w:pPr>
        <w:snapToGrid w:val="0"/>
        <w:spacing w:line="360" w:lineRule="auto"/>
        <w:rPr>
          <w:rFonts w:cs="仿宋"/>
          <w:color w:val="auto"/>
          <w:highlight w:val="none"/>
        </w:rPr>
      </w:pPr>
      <w:r>
        <w:rPr>
          <w:rFonts w:hint="eastAsia" w:cs="仿宋"/>
          <w:color w:val="auto"/>
          <w:highlight w:val="none"/>
          <w:lang w:val="zh-CN"/>
        </w:rPr>
        <w:t xml:space="preserve">    特此告知。</w:t>
      </w:r>
    </w:p>
    <w:p>
      <w:pPr>
        <w:snapToGrid w:val="0"/>
        <w:spacing w:line="360" w:lineRule="auto"/>
        <w:rPr>
          <w:rFonts w:cs="仿宋"/>
          <w:color w:val="auto"/>
          <w:highlight w:val="none"/>
        </w:rPr>
      </w:pPr>
      <w:r>
        <w:rPr>
          <w:rFonts w:hint="eastAsia" w:cs="仿宋"/>
          <w:color w:val="auto"/>
          <w:highlight w:val="none"/>
          <w:lang w:val="zh-CN"/>
        </w:rPr>
        <w:t xml:space="preserve">                                                  投标人名称(公章)：</w:t>
      </w:r>
    </w:p>
    <w:p>
      <w:pPr>
        <w:snapToGrid w:val="0"/>
        <w:spacing w:line="360" w:lineRule="auto"/>
        <w:rPr>
          <w:rFonts w:cs="仿宋"/>
          <w:color w:val="auto"/>
          <w:highlight w:val="none"/>
        </w:rPr>
      </w:pPr>
      <w:r>
        <w:rPr>
          <w:rFonts w:hint="eastAsia" w:cs="仿宋"/>
          <w:color w:val="auto"/>
          <w:highlight w:val="none"/>
          <w:lang w:val="zh-CN"/>
        </w:rPr>
        <w:t xml:space="preserve">                                                  </w:t>
      </w:r>
    </w:p>
    <w:p>
      <w:pPr>
        <w:snapToGrid w:val="0"/>
        <w:spacing w:line="360" w:lineRule="auto"/>
        <w:ind w:right="240"/>
        <w:jc w:val="right"/>
        <w:rPr>
          <w:rFonts w:cs="仿宋"/>
          <w:color w:val="auto"/>
          <w:highlight w:val="none"/>
          <w:lang w:val="zh-CN"/>
        </w:rPr>
      </w:pPr>
      <w:r>
        <w:rPr>
          <w:rFonts w:hint="eastAsia" w:cs="仿宋"/>
          <w:color w:val="auto"/>
          <w:highlight w:val="none"/>
          <w:lang w:val="zh-CN"/>
        </w:rPr>
        <w:t>签发日期：  年  月   日</w:t>
      </w:r>
    </w:p>
    <w:p>
      <w:pPr>
        <w:snapToGrid w:val="0"/>
        <w:spacing w:line="360" w:lineRule="auto"/>
        <w:ind w:right="240"/>
        <w:jc w:val="right"/>
        <w:rPr>
          <w:rFonts w:cs="仿宋"/>
          <w:color w:val="auto"/>
          <w:highlight w:val="none"/>
          <w:lang w:val="zh-CN"/>
        </w:rPr>
      </w:pPr>
    </w:p>
    <w:p>
      <w:pPr>
        <w:snapToGrid w:val="0"/>
        <w:spacing w:line="360" w:lineRule="auto"/>
        <w:ind w:right="1920"/>
        <w:rPr>
          <w:rFonts w:cs="仿宋"/>
          <w:color w:val="auto"/>
          <w:highlight w:val="none"/>
          <w:lang w:val="zh-CN"/>
        </w:rPr>
      </w:pPr>
    </w:p>
    <w:p>
      <w:pPr>
        <w:snapToGrid w:val="0"/>
        <w:spacing w:line="360" w:lineRule="auto"/>
        <w:ind w:right="240"/>
        <w:jc w:val="right"/>
        <w:rPr>
          <w:rFonts w:cs="仿宋"/>
          <w:color w:val="auto"/>
          <w:highlight w:val="none"/>
          <w:lang w:val="zh-CN"/>
        </w:rPr>
      </w:pPr>
    </w:p>
    <w:p>
      <w:pPr>
        <w:snapToGrid w:val="0"/>
        <w:spacing w:line="360" w:lineRule="auto"/>
        <w:ind w:right="240"/>
        <w:rPr>
          <w:rFonts w:cs="仿宋"/>
          <w:color w:val="auto"/>
          <w:highlight w:val="none"/>
          <w:lang w:val="zh-CN"/>
        </w:rPr>
      </w:pPr>
      <w:r>
        <w:rPr>
          <w:rFonts w:hint="eastAsia" w:cs="仿宋"/>
          <w:color w:val="auto"/>
          <w:highlight w:val="none"/>
        </w:rPr>
        <w:t>受委托人</w:t>
      </w:r>
      <w:r>
        <w:rPr>
          <w:rFonts w:hint="eastAsia" w:cs="仿宋"/>
          <w:color w:val="auto"/>
          <w:highlight w:val="none"/>
          <w:lang w:val="zh-CN"/>
        </w:rPr>
        <w:t>身份证复印件：</w:t>
      </w:r>
    </w:p>
    <w:p>
      <w:pPr>
        <w:snapToGrid w:val="0"/>
        <w:spacing w:line="360" w:lineRule="auto"/>
        <w:ind w:right="240"/>
        <w:rPr>
          <w:rFonts w:cs="仿宋"/>
          <w:color w:val="auto"/>
          <w:highlight w:val="none"/>
          <w:lang w:val="zh-CN"/>
        </w:rPr>
      </w:pPr>
    </w:p>
    <w:p>
      <w:pPr>
        <w:snapToGrid w:val="0"/>
        <w:spacing w:line="360" w:lineRule="auto"/>
        <w:ind w:right="240"/>
        <w:rPr>
          <w:rFonts w:cs="仿宋"/>
          <w:color w:val="auto"/>
          <w:highlight w:val="none"/>
          <w:lang w:val="zh-CN"/>
        </w:rPr>
      </w:pPr>
      <w:r>
        <w:rPr>
          <w:rFonts w:hint="eastAsia" w:cs="仿宋"/>
          <w:color w:val="auto"/>
          <w:highlight w:val="none"/>
          <w:lang w:val="zh-CN"/>
        </w:rPr>
        <w:t>说明：本委托书在有样品或演示时由受委托人携带至指定地点。</w:t>
      </w:r>
    </w:p>
    <w:p>
      <w:pPr>
        <w:spacing w:line="360" w:lineRule="auto"/>
        <w:rPr>
          <w:rFonts w:cs="仿宋_GB2312"/>
          <w:b/>
          <w:color w:val="auto"/>
          <w:highlight w:val="none"/>
        </w:rPr>
      </w:pPr>
      <w:r>
        <w:rPr>
          <w:rFonts w:cs="仿宋_GB2312"/>
          <w:b/>
          <w:color w:val="auto"/>
          <w:highlight w:val="none"/>
        </w:rPr>
        <w:t>同时有样品和演示的</w:t>
      </w:r>
      <w:r>
        <w:rPr>
          <w:rFonts w:hint="eastAsia" w:cs="仿宋_GB2312"/>
          <w:b/>
          <w:color w:val="auto"/>
          <w:highlight w:val="none"/>
        </w:rPr>
        <w:t>，</w:t>
      </w:r>
      <w:r>
        <w:rPr>
          <w:rFonts w:cs="仿宋_GB2312"/>
          <w:b/>
          <w:color w:val="auto"/>
          <w:highlight w:val="none"/>
        </w:rPr>
        <w:t>可委托不同人员</w:t>
      </w:r>
      <w:r>
        <w:rPr>
          <w:rFonts w:hint="eastAsia" w:cs="仿宋_GB2312"/>
          <w:b/>
          <w:color w:val="auto"/>
          <w:highlight w:val="none"/>
        </w:rPr>
        <w:t>。</w:t>
      </w:r>
    </w:p>
    <w:p>
      <w:pPr>
        <w:pStyle w:val="5"/>
        <w:rPr>
          <w:color w:val="auto"/>
          <w:highlight w:val="none"/>
        </w:rPr>
      </w:pPr>
    </w:p>
    <w:p>
      <w:pPr>
        <w:spacing w:line="360" w:lineRule="auto"/>
        <w:jc w:val="center"/>
        <w:rPr>
          <w:rFonts w:ascii="宋体" w:hAnsi="宋体" w:cs="宋体"/>
          <w:b/>
          <w:color w:val="auto"/>
          <w:sz w:val="32"/>
          <w:szCs w:val="32"/>
          <w:highlight w:val="none"/>
        </w:rPr>
      </w:pPr>
    </w:p>
    <w:p>
      <w:pPr>
        <w:rPr>
          <w:rFonts w:ascii="仿宋" w:hAnsi="仿宋" w:eastAsia="仿宋" w:cs="仿宋"/>
          <w:color w:val="000000"/>
          <w:kern w:val="0"/>
          <w:sz w:val="20"/>
          <w:szCs w:val="20"/>
          <w:lang w:val="en-US" w:eastAsia="zh-CN" w:bidi="ar"/>
        </w:rPr>
      </w:pPr>
      <w:r>
        <w:rPr>
          <w:rFonts w:ascii="仿宋" w:hAnsi="仿宋" w:eastAsia="仿宋" w:cs="仿宋"/>
          <w:color w:val="000000"/>
          <w:kern w:val="0"/>
          <w:sz w:val="20"/>
          <w:szCs w:val="20"/>
          <w:lang w:val="en-US" w:eastAsia="zh-CN" w:bidi="ar"/>
        </w:rPr>
        <w:br w:type="page"/>
      </w:r>
    </w:p>
    <w:p>
      <w:pPr>
        <w:spacing w:line="360" w:lineRule="auto"/>
        <w:jc w:val="center"/>
        <w:rPr>
          <w:rFonts w:ascii="宋体" w:hAnsi="宋体" w:cs="宋体"/>
          <w:b/>
          <w:color w:val="auto"/>
          <w:sz w:val="32"/>
          <w:szCs w:val="32"/>
          <w:highlight w:val="none"/>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Pr>
        <w:spacing w:line="360" w:lineRule="auto"/>
        <w:rPr>
          <w:rFonts w:ascii="宋体" w:hAnsi="宋体" w:cs="宋体"/>
          <w:bCs/>
          <w:color w:val="auto"/>
          <w:sz w:val="24"/>
          <w:highlight w:val="none"/>
        </w:rPr>
      </w:pPr>
      <w:r>
        <w:rPr>
          <w:rFonts w:hint="eastAsia" w:hAnsi="宋体" w:cs="宋体"/>
          <w:color w:val="auto"/>
          <w:highlight w:val="none"/>
          <w:lang w:val="en-US"/>
        </w:rPr>
        <w:drawing>
          <wp:inline distT="0" distB="0" distL="114300" distR="114300">
            <wp:extent cx="9091295" cy="5498465"/>
            <wp:effectExtent l="0" t="0" r="1460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1"/>
                    <a:stretch>
                      <a:fillRect/>
                    </a:stretch>
                  </pic:blipFill>
                  <pic:spPr>
                    <a:xfrm>
                      <a:off x="0" y="0"/>
                      <a:ext cx="9091295" cy="5498465"/>
                    </a:xfrm>
                    <a:prstGeom prst="rect">
                      <a:avLst/>
                    </a:prstGeom>
                    <a:noFill/>
                    <a:ln>
                      <a:noFill/>
                    </a:ln>
                  </pic:spPr>
                </pic:pic>
              </a:graphicData>
            </a:graphic>
          </wp:inline>
        </w:drawing>
      </w: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94" w:name="_Toc91899912"/>
    <w:bookmarkStart w:id="595" w:name="_Toc36110187"/>
    <w:bookmarkStart w:id="596" w:name="_Toc131845147"/>
    <w:bookmarkStart w:id="597" w:name="_Toc164085800"/>
    <w:r>
      <w:rPr>
        <w:rFonts w:hint="eastAsia" w:ascii="仿宋_GB2312" w:eastAsia="仿宋_GB2312"/>
        <w:kern w:val="0"/>
        <w:szCs w:val="21"/>
      </w:rPr>
      <w:t xml:space="preserve"> 页</w:t>
    </w:r>
    <w:bookmarkEnd w:id="594"/>
    <w:bookmarkEnd w:id="595"/>
    <w:bookmarkEnd w:id="596"/>
    <w:bookmarkEnd w:id="59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62DE9"/>
    <w:multiLevelType w:val="singleLevel"/>
    <w:tmpl w:val="B6D62DE9"/>
    <w:lvl w:ilvl="0" w:tentative="0">
      <w:start w:val="4"/>
      <w:numFmt w:val="decimal"/>
      <w:lvlText w:val="%1."/>
      <w:lvlJc w:val="left"/>
      <w:pPr>
        <w:tabs>
          <w:tab w:val="left" w:pos="312"/>
        </w:tabs>
      </w:pPr>
      <w:rPr>
        <w:rFonts w:hint="default"/>
        <w:color w:val="auto"/>
      </w:rPr>
    </w:lvl>
  </w:abstractNum>
  <w:abstractNum w:abstractNumId="1">
    <w:nsid w:val="C80BF05E"/>
    <w:multiLevelType w:val="singleLevel"/>
    <w:tmpl w:val="C80BF05E"/>
    <w:lvl w:ilvl="0" w:tentative="0">
      <w:start w:val="1"/>
      <w:numFmt w:val="decimal"/>
      <w:suff w:val="nothing"/>
      <w:lvlText w:val="%1、"/>
      <w:lvlJc w:val="left"/>
    </w:lvl>
  </w:abstractNum>
  <w:abstractNum w:abstractNumId="2">
    <w:nsid w:val="DA0EF633"/>
    <w:multiLevelType w:val="singleLevel"/>
    <w:tmpl w:val="DA0EF633"/>
    <w:lvl w:ilvl="0" w:tentative="0">
      <w:start w:val="2"/>
      <w:numFmt w:val="chineseCounting"/>
      <w:suff w:val="nothing"/>
      <w:lvlText w:val="（%1）"/>
      <w:lvlJc w:val="left"/>
      <w:rPr>
        <w:rFonts w:hint="eastAsia"/>
      </w:rPr>
    </w:lvl>
  </w:abstractNum>
  <w:abstractNum w:abstractNumId="3">
    <w:nsid w:val="F288EEFE"/>
    <w:multiLevelType w:val="singleLevel"/>
    <w:tmpl w:val="F288EEFE"/>
    <w:lvl w:ilvl="0" w:tentative="0">
      <w:start w:val="1"/>
      <w:numFmt w:val="decimal"/>
      <w:suff w:val="nothing"/>
      <w:lvlText w:val="%1、"/>
      <w:lvlJc w:val="left"/>
    </w:lvl>
  </w:abstractNum>
  <w:abstractNum w:abstractNumId="4">
    <w:nsid w:val="16973B6C"/>
    <w:multiLevelType w:val="singleLevel"/>
    <w:tmpl w:val="16973B6C"/>
    <w:lvl w:ilvl="0" w:tentative="0">
      <w:start w:val="2"/>
      <w:numFmt w:val="chineseCounting"/>
      <w:suff w:val="nothing"/>
      <w:lvlText w:val="%1、"/>
      <w:lvlJc w:val="left"/>
      <w:rPr>
        <w:rFonts w:hint="eastAsia"/>
      </w:rPr>
    </w:lvl>
  </w:abstractNum>
  <w:abstractNum w:abstractNumId="5">
    <w:nsid w:val="35D71722"/>
    <w:multiLevelType w:val="singleLevel"/>
    <w:tmpl w:val="35D71722"/>
    <w:lvl w:ilvl="0" w:tentative="0">
      <w:start w:val="2"/>
      <w:numFmt w:val="chineseCounting"/>
      <w:suff w:val="nothing"/>
      <w:lvlText w:val="%1、"/>
      <w:lvlJc w:val="left"/>
      <w:rPr>
        <w:rFonts w:hint="eastAsia"/>
      </w:rPr>
    </w:lvl>
  </w:abstractNum>
  <w:abstractNum w:abstractNumId="6">
    <w:nsid w:val="3A4167CE"/>
    <w:multiLevelType w:val="singleLevel"/>
    <w:tmpl w:val="3A4167CE"/>
    <w:lvl w:ilvl="0" w:tentative="0">
      <w:start w:val="1"/>
      <w:numFmt w:val="decimal"/>
      <w:suff w:val="nothing"/>
      <w:lvlText w:val="（%1）"/>
      <w:lvlJc w:val="left"/>
    </w:lvl>
  </w:abstractNum>
  <w:abstractNum w:abstractNumId="7">
    <w:nsid w:val="61BF1789"/>
    <w:multiLevelType w:val="singleLevel"/>
    <w:tmpl w:val="61BF1789"/>
    <w:lvl w:ilvl="0" w:tentative="0">
      <w:start w:val="2"/>
      <w:numFmt w:val="decimal"/>
      <w:lvlText w:val="%1."/>
      <w:lvlJc w:val="left"/>
      <w:pPr>
        <w:tabs>
          <w:tab w:val="left" w:pos="312"/>
        </w:tabs>
        <w:ind w:left="480" w:firstLine="0"/>
      </w:pPr>
    </w:lvl>
  </w:abstractNum>
  <w:abstractNum w:abstractNumId="8">
    <w:nsid w:val="6248F874"/>
    <w:multiLevelType w:val="multilevel"/>
    <w:tmpl w:val="6248F874"/>
    <w:lvl w:ilvl="0" w:tentative="0">
      <w:start w:val="1"/>
      <w:numFmt w:val="upperLetter"/>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68280281"/>
    <w:multiLevelType w:val="singleLevel"/>
    <w:tmpl w:val="68280281"/>
    <w:lvl w:ilvl="0" w:tentative="0">
      <w:start w:val="8"/>
      <w:numFmt w:val="chineseCounting"/>
      <w:suff w:val="nothing"/>
      <w:lvlText w:val="%1、"/>
      <w:lvlJc w:val="left"/>
      <w:rPr>
        <w:rFonts w:hint="eastAsia"/>
      </w:rPr>
    </w:lvl>
  </w:abstractNum>
  <w:abstractNum w:abstractNumId="10">
    <w:nsid w:val="7FE00D97"/>
    <w:multiLevelType w:val="multilevel"/>
    <w:tmpl w:val="7FE00D97"/>
    <w:lvl w:ilvl="0" w:tentative="0">
      <w:start w:val="1"/>
      <w:numFmt w:val="upperLetter"/>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 w:numId="2">
    <w:abstractNumId w:val="7"/>
  </w:num>
  <w:num w:numId="3">
    <w:abstractNumId w:val="6"/>
  </w:num>
  <w:num w:numId="4">
    <w:abstractNumId w:val="4"/>
  </w:num>
  <w:num w:numId="5">
    <w:abstractNumId w:val="3"/>
  </w:num>
  <w:num w:numId="6">
    <w:abstractNumId w:val="10"/>
  </w:num>
  <w:num w:numId="7">
    <w:abstractNumId w:val="8"/>
  </w:num>
  <w:num w:numId="8">
    <w:abstractNumId w:val="9"/>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mZjBiYjZjMGM5ZTRmMzU0MjIzNDFkNzNiNzUzM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C31FA1"/>
    <w:rsid w:val="01D55165"/>
    <w:rsid w:val="01DF6BF8"/>
    <w:rsid w:val="01EC2C57"/>
    <w:rsid w:val="020105E8"/>
    <w:rsid w:val="025F0711"/>
    <w:rsid w:val="026B2E25"/>
    <w:rsid w:val="02824D4D"/>
    <w:rsid w:val="02D2788D"/>
    <w:rsid w:val="02DC4B10"/>
    <w:rsid w:val="02DD0278"/>
    <w:rsid w:val="02DD76CE"/>
    <w:rsid w:val="02F36323"/>
    <w:rsid w:val="02F5619C"/>
    <w:rsid w:val="02F62D5C"/>
    <w:rsid w:val="0326446A"/>
    <w:rsid w:val="032D5555"/>
    <w:rsid w:val="036634D2"/>
    <w:rsid w:val="03B1713F"/>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1F00D4"/>
    <w:rsid w:val="06493CA7"/>
    <w:rsid w:val="065A6178"/>
    <w:rsid w:val="066F1CF3"/>
    <w:rsid w:val="06930BB8"/>
    <w:rsid w:val="06A92350"/>
    <w:rsid w:val="06BB0A1A"/>
    <w:rsid w:val="07245D42"/>
    <w:rsid w:val="07264C62"/>
    <w:rsid w:val="0779354C"/>
    <w:rsid w:val="08061376"/>
    <w:rsid w:val="0825203D"/>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352404"/>
    <w:rsid w:val="0B4C6C14"/>
    <w:rsid w:val="0B547599"/>
    <w:rsid w:val="0B631A88"/>
    <w:rsid w:val="0B683D45"/>
    <w:rsid w:val="0B7F3F11"/>
    <w:rsid w:val="0B884417"/>
    <w:rsid w:val="0BF6188C"/>
    <w:rsid w:val="0BF73C91"/>
    <w:rsid w:val="0C170175"/>
    <w:rsid w:val="0C193247"/>
    <w:rsid w:val="0C571A41"/>
    <w:rsid w:val="0C5C1171"/>
    <w:rsid w:val="0C5E1CBC"/>
    <w:rsid w:val="0C615B50"/>
    <w:rsid w:val="0C8445DA"/>
    <w:rsid w:val="0C87121B"/>
    <w:rsid w:val="0CAA755C"/>
    <w:rsid w:val="0CB60A60"/>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710BF6"/>
    <w:rsid w:val="0E8D7100"/>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9C2F25"/>
    <w:rsid w:val="10C26171"/>
    <w:rsid w:val="10F33360"/>
    <w:rsid w:val="10FC16EA"/>
    <w:rsid w:val="10FC6AD8"/>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782CAF"/>
    <w:rsid w:val="139B1A0A"/>
    <w:rsid w:val="139D25C7"/>
    <w:rsid w:val="13BF3CE4"/>
    <w:rsid w:val="13FD017F"/>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1F0D37"/>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06F66"/>
    <w:rsid w:val="19A20DD5"/>
    <w:rsid w:val="19A838D1"/>
    <w:rsid w:val="19AE03F1"/>
    <w:rsid w:val="1A071A03"/>
    <w:rsid w:val="1A1F16AE"/>
    <w:rsid w:val="1A3B5C77"/>
    <w:rsid w:val="1A984BAD"/>
    <w:rsid w:val="1AB8220E"/>
    <w:rsid w:val="1AE4166C"/>
    <w:rsid w:val="1AF06CFB"/>
    <w:rsid w:val="1AF11B8D"/>
    <w:rsid w:val="1B11359C"/>
    <w:rsid w:val="1B2A271F"/>
    <w:rsid w:val="1B530544"/>
    <w:rsid w:val="1B642F6C"/>
    <w:rsid w:val="1B713184"/>
    <w:rsid w:val="1BA209CF"/>
    <w:rsid w:val="1BB4777D"/>
    <w:rsid w:val="1BD75AB8"/>
    <w:rsid w:val="1C0459C2"/>
    <w:rsid w:val="1C1B3B4A"/>
    <w:rsid w:val="1C88086E"/>
    <w:rsid w:val="1CE441BD"/>
    <w:rsid w:val="1D266CE1"/>
    <w:rsid w:val="1D3963AF"/>
    <w:rsid w:val="1D6A673C"/>
    <w:rsid w:val="1D9247AE"/>
    <w:rsid w:val="1DB567EC"/>
    <w:rsid w:val="1DEF6D8A"/>
    <w:rsid w:val="1DF51A98"/>
    <w:rsid w:val="1E051CD9"/>
    <w:rsid w:val="1E3D060F"/>
    <w:rsid w:val="1E3F7D2E"/>
    <w:rsid w:val="1E4134E4"/>
    <w:rsid w:val="1E5062B3"/>
    <w:rsid w:val="1E523514"/>
    <w:rsid w:val="1E714A66"/>
    <w:rsid w:val="1E7554E1"/>
    <w:rsid w:val="1E802593"/>
    <w:rsid w:val="1E8B6156"/>
    <w:rsid w:val="1E9A552B"/>
    <w:rsid w:val="1EA703CC"/>
    <w:rsid w:val="1EB7330C"/>
    <w:rsid w:val="1F0A0FF3"/>
    <w:rsid w:val="1F5771FF"/>
    <w:rsid w:val="1FB42039"/>
    <w:rsid w:val="1FD52574"/>
    <w:rsid w:val="1FE868A9"/>
    <w:rsid w:val="20034907"/>
    <w:rsid w:val="20173E4B"/>
    <w:rsid w:val="204E48BC"/>
    <w:rsid w:val="205D622D"/>
    <w:rsid w:val="208921B3"/>
    <w:rsid w:val="208D5628"/>
    <w:rsid w:val="209150AE"/>
    <w:rsid w:val="20973DEB"/>
    <w:rsid w:val="20B26522"/>
    <w:rsid w:val="20B44310"/>
    <w:rsid w:val="211116EB"/>
    <w:rsid w:val="216133FC"/>
    <w:rsid w:val="21C2643E"/>
    <w:rsid w:val="21D56769"/>
    <w:rsid w:val="21E52EF3"/>
    <w:rsid w:val="21FB5D7B"/>
    <w:rsid w:val="22015E94"/>
    <w:rsid w:val="220B1C3D"/>
    <w:rsid w:val="221D1D20"/>
    <w:rsid w:val="22334A87"/>
    <w:rsid w:val="223956DB"/>
    <w:rsid w:val="224C70C3"/>
    <w:rsid w:val="227A4A01"/>
    <w:rsid w:val="22BE6801"/>
    <w:rsid w:val="233500BF"/>
    <w:rsid w:val="23377FF7"/>
    <w:rsid w:val="236B425F"/>
    <w:rsid w:val="23836192"/>
    <w:rsid w:val="23901F29"/>
    <w:rsid w:val="239C0061"/>
    <w:rsid w:val="23B908A4"/>
    <w:rsid w:val="23BA7198"/>
    <w:rsid w:val="23E95BEF"/>
    <w:rsid w:val="23FD0064"/>
    <w:rsid w:val="2443357E"/>
    <w:rsid w:val="245375B0"/>
    <w:rsid w:val="24642C0A"/>
    <w:rsid w:val="24A438C3"/>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7B6969"/>
    <w:rsid w:val="27907362"/>
    <w:rsid w:val="27B6464C"/>
    <w:rsid w:val="28333E1D"/>
    <w:rsid w:val="28454BD6"/>
    <w:rsid w:val="28455253"/>
    <w:rsid w:val="28551971"/>
    <w:rsid w:val="285B1C53"/>
    <w:rsid w:val="289F7086"/>
    <w:rsid w:val="28C32028"/>
    <w:rsid w:val="28CC490F"/>
    <w:rsid w:val="28DE40AA"/>
    <w:rsid w:val="29345E77"/>
    <w:rsid w:val="293E4D31"/>
    <w:rsid w:val="294C65AD"/>
    <w:rsid w:val="29806583"/>
    <w:rsid w:val="298B3C4C"/>
    <w:rsid w:val="299732C3"/>
    <w:rsid w:val="29E67BCF"/>
    <w:rsid w:val="29F26D24"/>
    <w:rsid w:val="2A15033F"/>
    <w:rsid w:val="2A1662C1"/>
    <w:rsid w:val="2A1C7367"/>
    <w:rsid w:val="2A2815FA"/>
    <w:rsid w:val="2A6D6092"/>
    <w:rsid w:val="2A7D76B4"/>
    <w:rsid w:val="2ACC7CD0"/>
    <w:rsid w:val="2B437463"/>
    <w:rsid w:val="2B7807EE"/>
    <w:rsid w:val="2BA50BF7"/>
    <w:rsid w:val="2BBF00EC"/>
    <w:rsid w:val="2BC37CFD"/>
    <w:rsid w:val="2BD5237F"/>
    <w:rsid w:val="2BD61589"/>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ECF1CF8"/>
    <w:rsid w:val="2F0A6B38"/>
    <w:rsid w:val="2F7048FF"/>
    <w:rsid w:val="2F946CCB"/>
    <w:rsid w:val="2FD25781"/>
    <w:rsid w:val="2FDC745C"/>
    <w:rsid w:val="2FFD7934"/>
    <w:rsid w:val="30491329"/>
    <w:rsid w:val="30733ACD"/>
    <w:rsid w:val="308C3862"/>
    <w:rsid w:val="309379D8"/>
    <w:rsid w:val="30A270F7"/>
    <w:rsid w:val="30DF1478"/>
    <w:rsid w:val="30EC586F"/>
    <w:rsid w:val="310570DC"/>
    <w:rsid w:val="310E70FE"/>
    <w:rsid w:val="31556AAC"/>
    <w:rsid w:val="316A07AA"/>
    <w:rsid w:val="319C6071"/>
    <w:rsid w:val="31AC537E"/>
    <w:rsid w:val="31E3679B"/>
    <w:rsid w:val="31E732FD"/>
    <w:rsid w:val="32517576"/>
    <w:rsid w:val="32B51EF8"/>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5B84990"/>
    <w:rsid w:val="35EA5CD3"/>
    <w:rsid w:val="363A3B40"/>
    <w:rsid w:val="365302AE"/>
    <w:rsid w:val="36607A0A"/>
    <w:rsid w:val="366E227C"/>
    <w:rsid w:val="366F2E0D"/>
    <w:rsid w:val="367B6A5C"/>
    <w:rsid w:val="36A14E21"/>
    <w:rsid w:val="36A74ADA"/>
    <w:rsid w:val="36AD60D5"/>
    <w:rsid w:val="36B224F9"/>
    <w:rsid w:val="36B3510A"/>
    <w:rsid w:val="36EC0CC9"/>
    <w:rsid w:val="373F410B"/>
    <w:rsid w:val="376D4844"/>
    <w:rsid w:val="37AD13F0"/>
    <w:rsid w:val="37EE7094"/>
    <w:rsid w:val="38296C89"/>
    <w:rsid w:val="383002EB"/>
    <w:rsid w:val="38586797"/>
    <w:rsid w:val="385D15DF"/>
    <w:rsid w:val="386429E2"/>
    <w:rsid w:val="38BC0149"/>
    <w:rsid w:val="38D87D1C"/>
    <w:rsid w:val="39357784"/>
    <w:rsid w:val="393618B9"/>
    <w:rsid w:val="395446BF"/>
    <w:rsid w:val="39636459"/>
    <w:rsid w:val="39643757"/>
    <w:rsid w:val="396B7F6C"/>
    <w:rsid w:val="39B417A9"/>
    <w:rsid w:val="39FC5695"/>
    <w:rsid w:val="3A006D8E"/>
    <w:rsid w:val="3A136626"/>
    <w:rsid w:val="3A1E0383"/>
    <w:rsid w:val="3A3651E5"/>
    <w:rsid w:val="3A744481"/>
    <w:rsid w:val="3A8C7BEF"/>
    <w:rsid w:val="3A906246"/>
    <w:rsid w:val="3A98366A"/>
    <w:rsid w:val="3AB06A98"/>
    <w:rsid w:val="3B2349B7"/>
    <w:rsid w:val="3B616CFF"/>
    <w:rsid w:val="3B6259F6"/>
    <w:rsid w:val="3B976654"/>
    <w:rsid w:val="3BC01EFC"/>
    <w:rsid w:val="3BCA786A"/>
    <w:rsid w:val="3BD31E2F"/>
    <w:rsid w:val="3BF15831"/>
    <w:rsid w:val="3C0331F7"/>
    <w:rsid w:val="3C105946"/>
    <w:rsid w:val="3C281ED2"/>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C220F1"/>
    <w:rsid w:val="4019356B"/>
    <w:rsid w:val="40592157"/>
    <w:rsid w:val="406E1CAE"/>
    <w:rsid w:val="40A0133A"/>
    <w:rsid w:val="40A77CE0"/>
    <w:rsid w:val="40C31A53"/>
    <w:rsid w:val="40FF545D"/>
    <w:rsid w:val="410067C8"/>
    <w:rsid w:val="418F0D2A"/>
    <w:rsid w:val="41D01505"/>
    <w:rsid w:val="41EF74E9"/>
    <w:rsid w:val="42474939"/>
    <w:rsid w:val="424C3C57"/>
    <w:rsid w:val="42613FF3"/>
    <w:rsid w:val="42660D96"/>
    <w:rsid w:val="428667D2"/>
    <w:rsid w:val="42CD1CE0"/>
    <w:rsid w:val="42E1381E"/>
    <w:rsid w:val="42ED6459"/>
    <w:rsid w:val="42FE58DD"/>
    <w:rsid w:val="43174B3D"/>
    <w:rsid w:val="43465A4C"/>
    <w:rsid w:val="434B790E"/>
    <w:rsid w:val="4360274F"/>
    <w:rsid w:val="43977AB6"/>
    <w:rsid w:val="43A3342B"/>
    <w:rsid w:val="43C77C27"/>
    <w:rsid w:val="43DE09EE"/>
    <w:rsid w:val="44002FAD"/>
    <w:rsid w:val="44301C44"/>
    <w:rsid w:val="449101DD"/>
    <w:rsid w:val="44DE1391"/>
    <w:rsid w:val="451B225C"/>
    <w:rsid w:val="452410C9"/>
    <w:rsid w:val="45317DFB"/>
    <w:rsid w:val="456D3CE4"/>
    <w:rsid w:val="4579042C"/>
    <w:rsid w:val="457F0571"/>
    <w:rsid w:val="45814568"/>
    <w:rsid w:val="45851176"/>
    <w:rsid w:val="45C63B94"/>
    <w:rsid w:val="460E7DA5"/>
    <w:rsid w:val="46276812"/>
    <w:rsid w:val="46422483"/>
    <w:rsid w:val="4659254A"/>
    <w:rsid w:val="465B0637"/>
    <w:rsid w:val="465E3F0D"/>
    <w:rsid w:val="466A16E6"/>
    <w:rsid w:val="46893F2B"/>
    <w:rsid w:val="46C4686E"/>
    <w:rsid w:val="477B778F"/>
    <w:rsid w:val="478203EC"/>
    <w:rsid w:val="47B025FA"/>
    <w:rsid w:val="4809698F"/>
    <w:rsid w:val="480B000A"/>
    <w:rsid w:val="480E5EDB"/>
    <w:rsid w:val="4811697D"/>
    <w:rsid w:val="487A3E25"/>
    <w:rsid w:val="488B5503"/>
    <w:rsid w:val="48937E21"/>
    <w:rsid w:val="489A0361"/>
    <w:rsid w:val="48B94FF3"/>
    <w:rsid w:val="48CC0682"/>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0C5FD6"/>
    <w:rsid w:val="4B236AAE"/>
    <w:rsid w:val="4B707271"/>
    <w:rsid w:val="4B9739F7"/>
    <w:rsid w:val="4BA206E8"/>
    <w:rsid w:val="4BEE2503"/>
    <w:rsid w:val="4C245A30"/>
    <w:rsid w:val="4CB6685F"/>
    <w:rsid w:val="4CC367FE"/>
    <w:rsid w:val="4CF7055E"/>
    <w:rsid w:val="4D077F3C"/>
    <w:rsid w:val="4D123355"/>
    <w:rsid w:val="4D2A3B31"/>
    <w:rsid w:val="4D312C52"/>
    <w:rsid w:val="4D905305"/>
    <w:rsid w:val="4D964A72"/>
    <w:rsid w:val="4D9C1254"/>
    <w:rsid w:val="4E1F37AC"/>
    <w:rsid w:val="4E793892"/>
    <w:rsid w:val="4E800872"/>
    <w:rsid w:val="4EC569ED"/>
    <w:rsid w:val="4ED50EA1"/>
    <w:rsid w:val="4EEC050C"/>
    <w:rsid w:val="4F104EC3"/>
    <w:rsid w:val="4F3855EC"/>
    <w:rsid w:val="4F47354A"/>
    <w:rsid w:val="4F8540B8"/>
    <w:rsid w:val="4F911C54"/>
    <w:rsid w:val="4FE625E0"/>
    <w:rsid w:val="4FF37764"/>
    <w:rsid w:val="5021480F"/>
    <w:rsid w:val="50962ECB"/>
    <w:rsid w:val="50A42E38"/>
    <w:rsid w:val="50A4577F"/>
    <w:rsid w:val="50B73D1F"/>
    <w:rsid w:val="50BD5BC9"/>
    <w:rsid w:val="50C11EEE"/>
    <w:rsid w:val="50E97CFC"/>
    <w:rsid w:val="50FA4028"/>
    <w:rsid w:val="510D65B7"/>
    <w:rsid w:val="511157AB"/>
    <w:rsid w:val="5142540C"/>
    <w:rsid w:val="518832C8"/>
    <w:rsid w:val="519A07DF"/>
    <w:rsid w:val="519D3C50"/>
    <w:rsid w:val="51A0432A"/>
    <w:rsid w:val="51A86090"/>
    <w:rsid w:val="51B7396D"/>
    <w:rsid w:val="522E4CC3"/>
    <w:rsid w:val="52414D89"/>
    <w:rsid w:val="5244713B"/>
    <w:rsid w:val="52615633"/>
    <w:rsid w:val="526F4DE4"/>
    <w:rsid w:val="52977FD4"/>
    <w:rsid w:val="52A25790"/>
    <w:rsid w:val="52A96B6F"/>
    <w:rsid w:val="52B45975"/>
    <w:rsid w:val="52D94AA4"/>
    <w:rsid w:val="52EA3A62"/>
    <w:rsid w:val="52F50BB8"/>
    <w:rsid w:val="52FF7816"/>
    <w:rsid w:val="53097272"/>
    <w:rsid w:val="530B3D85"/>
    <w:rsid w:val="53544462"/>
    <w:rsid w:val="5397158E"/>
    <w:rsid w:val="53A72B6C"/>
    <w:rsid w:val="54013861"/>
    <w:rsid w:val="54441D24"/>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2406A2"/>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3733A3"/>
    <w:rsid w:val="58917D2F"/>
    <w:rsid w:val="5894085C"/>
    <w:rsid w:val="58AE4F0C"/>
    <w:rsid w:val="58B85899"/>
    <w:rsid w:val="58E363A9"/>
    <w:rsid w:val="59166304"/>
    <w:rsid w:val="591732B3"/>
    <w:rsid w:val="595E1678"/>
    <w:rsid w:val="596D5BD4"/>
    <w:rsid w:val="597E3DD8"/>
    <w:rsid w:val="59A64B68"/>
    <w:rsid w:val="59F80043"/>
    <w:rsid w:val="5A09252F"/>
    <w:rsid w:val="5A0B2778"/>
    <w:rsid w:val="5A2A7C7B"/>
    <w:rsid w:val="5A3E2560"/>
    <w:rsid w:val="5A5D3B6E"/>
    <w:rsid w:val="5A637A76"/>
    <w:rsid w:val="5A6D33BA"/>
    <w:rsid w:val="5A792B1F"/>
    <w:rsid w:val="5A874767"/>
    <w:rsid w:val="5AA153EC"/>
    <w:rsid w:val="5AA85BE2"/>
    <w:rsid w:val="5AAD6F28"/>
    <w:rsid w:val="5AD63A24"/>
    <w:rsid w:val="5AE71988"/>
    <w:rsid w:val="5B2E1A1D"/>
    <w:rsid w:val="5B843A1C"/>
    <w:rsid w:val="5B873E3F"/>
    <w:rsid w:val="5BBB49A8"/>
    <w:rsid w:val="5C02690E"/>
    <w:rsid w:val="5C196DA7"/>
    <w:rsid w:val="5C1C706A"/>
    <w:rsid w:val="5C2A048C"/>
    <w:rsid w:val="5C327B4C"/>
    <w:rsid w:val="5C80234E"/>
    <w:rsid w:val="5C8A680C"/>
    <w:rsid w:val="5CA73DB1"/>
    <w:rsid w:val="5CFA59A7"/>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8D0B82"/>
    <w:rsid w:val="5FA40637"/>
    <w:rsid w:val="5FCC5339"/>
    <w:rsid w:val="5FE34A5B"/>
    <w:rsid w:val="5FFE1E36"/>
    <w:rsid w:val="601E122F"/>
    <w:rsid w:val="60232584"/>
    <w:rsid w:val="6045463A"/>
    <w:rsid w:val="607330CE"/>
    <w:rsid w:val="60825176"/>
    <w:rsid w:val="609F2AC4"/>
    <w:rsid w:val="60FA2EE8"/>
    <w:rsid w:val="61054A27"/>
    <w:rsid w:val="610A52BC"/>
    <w:rsid w:val="611D2366"/>
    <w:rsid w:val="613444C1"/>
    <w:rsid w:val="61421856"/>
    <w:rsid w:val="615227C4"/>
    <w:rsid w:val="61654E3F"/>
    <w:rsid w:val="6182292A"/>
    <w:rsid w:val="61834D74"/>
    <w:rsid w:val="619F7F92"/>
    <w:rsid w:val="61C64CD9"/>
    <w:rsid w:val="61F94C26"/>
    <w:rsid w:val="62000E56"/>
    <w:rsid w:val="624F3E49"/>
    <w:rsid w:val="62632286"/>
    <w:rsid w:val="62885958"/>
    <w:rsid w:val="62F40B65"/>
    <w:rsid w:val="62FC2CFE"/>
    <w:rsid w:val="63024505"/>
    <w:rsid w:val="634843D1"/>
    <w:rsid w:val="635600A5"/>
    <w:rsid w:val="635B1DB5"/>
    <w:rsid w:val="636613E1"/>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61C35"/>
    <w:rsid w:val="672F3F24"/>
    <w:rsid w:val="673E055F"/>
    <w:rsid w:val="67550FD9"/>
    <w:rsid w:val="67551CE3"/>
    <w:rsid w:val="67A22552"/>
    <w:rsid w:val="67B22DCC"/>
    <w:rsid w:val="67BE71AA"/>
    <w:rsid w:val="67C823EF"/>
    <w:rsid w:val="67D90273"/>
    <w:rsid w:val="67DE5875"/>
    <w:rsid w:val="67DF7354"/>
    <w:rsid w:val="67E55852"/>
    <w:rsid w:val="67EB1AB4"/>
    <w:rsid w:val="67FA1285"/>
    <w:rsid w:val="682269E1"/>
    <w:rsid w:val="68551F4F"/>
    <w:rsid w:val="68690137"/>
    <w:rsid w:val="68751AA8"/>
    <w:rsid w:val="687C10C9"/>
    <w:rsid w:val="68840C16"/>
    <w:rsid w:val="68876EFB"/>
    <w:rsid w:val="68884654"/>
    <w:rsid w:val="689F444F"/>
    <w:rsid w:val="68B96DBB"/>
    <w:rsid w:val="68BC69A9"/>
    <w:rsid w:val="68CA2805"/>
    <w:rsid w:val="68E937A3"/>
    <w:rsid w:val="693130A1"/>
    <w:rsid w:val="693E15D3"/>
    <w:rsid w:val="69627681"/>
    <w:rsid w:val="6977531D"/>
    <w:rsid w:val="698A6279"/>
    <w:rsid w:val="69CC2BFF"/>
    <w:rsid w:val="69FD55B8"/>
    <w:rsid w:val="6A0B1C62"/>
    <w:rsid w:val="6A2406C8"/>
    <w:rsid w:val="6ADE0BD1"/>
    <w:rsid w:val="6AE96859"/>
    <w:rsid w:val="6B147746"/>
    <w:rsid w:val="6B24787C"/>
    <w:rsid w:val="6B573233"/>
    <w:rsid w:val="6B5B6274"/>
    <w:rsid w:val="6B890DF1"/>
    <w:rsid w:val="6B935D53"/>
    <w:rsid w:val="6C196F71"/>
    <w:rsid w:val="6C226FCB"/>
    <w:rsid w:val="6C31226F"/>
    <w:rsid w:val="6C552F0B"/>
    <w:rsid w:val="6C8C67B7"/>
    <w:rsid w:val="6C9D744C"/>
    <w:rsid w:val="6D167928"/>
    <w:rsid w:val="6D26299B"/>
    <w:rsid w:val="6D4772EC"/>
    <w:rsid w:val="6D9078AF"/>
    <w:rsid w:val="6DA97A76"/>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F5661B"/>
    <w:rsid w:val="71360107"/>
    <w:rsid w:val="713B688E"/>
    <w:rsid w:val="715440AF"/>
    <w:rsid w:val="719F449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16D9B"/>
    <w:rsid w:val="7564475C"/>
    <w:rsid w:val="7583797F"/>
    <w:rsid w:val="75D20F1D"/>
    <w:rsid w:val="75DA2C18"/>
    <w:rsid w:val="75F54412"/>
    <w:rsid w:val="761D08E0"/>
    <w:rsid w:val="765D347C"/>
    <w:rsid w:val="76826699"/>
    <w:rsid w:val="76C87133"/>
    <w:rsid w:val="76CD08D5"/>
    <w:rsid w:val="76DB4B92"/>
    <w:rsid w:val="76F37EC6"/>
    <w:rsid w:val="76FF5330"/>
    <w:rsid w:val="77052AA4"/>
    <w:rsid w:val="77136511"/>
    <w:rsid w:val="77167A87"/>
    <w:rsid w:val="771739AE"/>
    <w:rsid w:val="77340A39"/>
    <w:rsid w:val="77351FD0"/>
    <w:rsid w:val="77472422"/>
    <w:rsid w:val="777F31F2"/>
    <w:rsid w:val="77D1700D"/>
    <w:rsid w:val="77EA74CC"/>
    <w:rsid w:val="77EC04CC"/>
    <w:rsid w:val="78775729"/>
    <w:rsid w:val="78A42DB0"/>
    <w:rsid w:val="78A656AB"/>
    <w:rsid w:val="78B2245C"/>
    <w:rsid w:val="78E172CC"/>
    <w:rsid w:val="78EA1D1F"/>
    <w:rsid w:val="7904172F"/>
    <w:rsid w:val="790F7E27"/>
    <w:rsid w:val="79254583"/>
    <w:rsid w:val="792A231A"/>
    <w:rsid w:val="79316829"/>
    <w:rsid w:val="79635B60"/>
    <w:rsid w:val="797E66A9"/>
    <w:rsid w:val="798518A4"/>
    <w:rsid w:val="79A97383"/>
    <w:rsid w:val="79AD136E"/>
    <w:rsid w:val="79E27E8B"/>
    <w:rsid w:val="79F850CE"/>
    <w:rsid w:val="79FD443C"/>
    <w:rsid w:val="7A1D1975"/>
    <w:rsid w:val="7A3E5150"/>
    <w:rsid w:val="7A4670D6"/>
    <w:rsid w:val="7A534B63"/>
    <w:rsid w:val="7A615382"/>
    <w:rsid w:val="7A67303B"/>
    <w:rsid w:val="7AAB1D04"/>
    <w:rsid w:val="7ABA4368"/>
    <w:rsid w:val="7AD05746"/>
    <w:rsid w:val="7B257FFD"/>
    <w:rsid w:val="7B2C6B48"/>
    <w:rsid w:val="7B343476"/>
    <w:rsid w:val="7B5A2978"/>
    <w:rsid w:val="7B5A7E4C"/>
    <w:rsid w:val="7B667AF9"/>
    <w:rsid w:val="7B7468F8"/>
    <w:rsid w:val="7BEB3C37"/>
    <w:rsid w:val="7BEE0103"/>
    <w:rsid w:val="7C0A0FE4"/>
    <w:rsid w:val="7C254906"/>
    <w:rsid w:val="7C395948"/>
    <w:rsid w:val="7C590818"/>
    <w:rsid w:val="7C6732F0"/>
    <w:rsid w:val="7C6F4969"/>
    <w:rsid w:val="7C7C10F6"/>
    <w:rsid w:val="7C853BEA"/>
    <w:rsid w:val="7C881368"/>
    <w:rsid w:val="7CD460A4"/>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link w:val="120"/>
    <w:autoRedefine/>
    <w:qFormat/>
    <w:uiPriority w:val="0"/>
    <w:pPr>
      <w:adjustRightInd/>
      <w:spacing w:after="120" w:line="240" w:lineRule="auto"/>
      <w:ind w:left="420" w:leftChars="200" w:firstLine="210"/>
    </w:pPr>
    <w:rPr>
      <w:sz w:val="21"/>
    </w:rPr>
  </w:style>
  <w:style w:type="paragraph" w:styleId="3">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link w:val="320"/>
    <w:autoRedefine/>
    <w:qFormat/>
    <w:uiPriority w:val="0"/>
    <w:pPr>
      <w:ind w:firstLine="420"/>
    </w:pPr>
    <w:rPr>
      <w:rFonts w:hAnsi="Calibri" w:cs="Times New Roman"/>
      <w:snapToGrid/>
      <w:szCs w:val="20"/>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7"/>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autoRedefine/>
    <w:qFormat/>
    <w:uiPriority w:val="0"/>
    <w:rPr>
      <w:b/>
      <w:bCs/>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0"/>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20"/>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7"/>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8"/>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3"/>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4"/>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2"/>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7"/>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0"/>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6"/>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3"/>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autoRedefine/>
    <w:qFormat/>
    <w:uiPriority w:val="0"/>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17"/>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6"/>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8"/>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7"/>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4"/>
    <w:autoRedefine/>
    <w:qFormat/>
    <w:uiPriority w:val="0"/>
    <w:pPr>
      <w:tabs>
        <w:tab w:val="left" w:pos="840"/>
      </w:tabs>
      <w:adjustRightInd/>
      <w:ind w:left="840" w:hanging="420"/>
    </w:pPr>
  </w:style>
  <w:style w:type="paragraph" w:customStyle="1" w:styleId="625">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20"/>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autoRedefine/>
    <w:qFormat/>
    <w:uiPriority w:val="0"/>
    <w:pPr>
      <w:tabs>
        <w:tab w:val="left" w:pos="1080"/>
      </w:tabs>
      <w:ind w:left="1080" w:hanging="1080"/>
    </w:pPr>
  </w:style>
  <w:style w:type="paragraph" w:customStyle="1" w:styleId="896">
    <w:name w:val="数字标题1"/>
    <w:basedOn w:val="4"/>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9"/>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64">
    <w:name w:val="不明显强调1"/>
    <w:autoRedefine/>
    <w:qFormat/>
    <w:uiPriority w:val="19"/>
    <w:rPr>
      <w:i/>
      <w:iCs/>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5" Type="http://schemas.openxmlformats.org/officeDocument/2006/relationships/fontTable" Target="fontTable.xml"/><Relationship Id="rId134" Type="http://schemas.openxmlformats.org/officeDocument/2006/relationships/customXml" Target="../customXml/item2.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207</Pages>
  <Words>48332</Words>
  <Characters>53843</Characters>
  <Lines>279</Lines>
  <Paragraphs>78</Paragraphs>
  <TotalTime>7</TotalTime>
  <ScaleCrop>false</ScaleCrop>
  <LinksUpToDate>false</LinksUpToDate>
  <CharactersWithSpaces>61587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小小5</cp:lastModifiedBy>
  <cp:lastPrinted>2021-12-27T03:06:00Z</cp:lastPrinted>
  <dcterms:modified xsi:type="dcterms:W3CDTF">2024-04-19T05:31:21Z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B82378271C904F85A3B9FE6D85ED715B_13</vt:lpwstr>
  </property>
</Properties>
</file>