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jc w:val="center"/>
        <w:rPr>
          <w:rFonts w:hint="eastAsia" w:ascii="宋体" w:hAnsi="宋体" w:eastAsia="宋体" w:cs="宋体"/>
          <w:b/>
          <w:sz w:val="48"/>
          <w:szCs w:val="48"/>
          <w:lang w:eastAsia="zh-CN"/>
        </w:rPr>
      </w:pPr>
      <w:r>
        <w:rPr>
          <w:rFonts w:hint="eastAsia" w:ascii="宋体" w:hAnsi="宋体" w:cs="宋体"/>
          <w:b/>
          <w:sz w:val="44"/>
          <w:szCs w:val="44"/>
          <w:lang w:eastAsia="zh-CN"/>
        </w:rPr>
        <w:t>新安江第二小学多媒体影像设备采购</w:t>
      </w:r>
    </w:p>
    <w:p>
      <w:pPr>
        <w:spacing w:line="600" w:lineRule="exact"/>
        <w:ind w:firstLine="2072" w:firstLineChars="645"/>
        <w:rPr>
          <w:rFonts w:ascii="宋体" w:hAnsi="宋体" w:cs="宋体"/>
          <w:b/>
          <w:sz w:val="32"/>
          <w:szCs w:val="32"/>
        </w:rPr>
      </w:pPr>
      <w:r>
        <w:rPr>
          <w:rFonts w:hint="eastAsia" w:ascii="宋体" w:hAnsi="宋体" w:cs="宋体"/>
          <w:b/>
          <w:sz w:val="32"/>
          <w:szCs w:val="32"/>
        </w:rPr>
        <w:t xml:space="preserve">   </w:t>
      </w:r>
    </w:p>
    <w:p>
      <w:pPr>
        <w:spacing w:line="600" w:lineRule="exact"/>
        <w:jc w:val="center"/>
        <w:rPr>
          <w:rFonts w:hint="default" w:ascii="宋体" w:hAnsi="宋体" w:eastAsia="宋体" w:cs="宋体"/>
          <w:b/>
          <w:sz w:val="32"/>
          <w:szCs w:val="32"/>
          <w:highlight w:val="yellow"/>
          <w:lang w:val="en-US" w:eastAsia="zh-CN"/>
        </w:rPr>
      </w:pPr>
      <w:r>
        <w:rPr>
          <w:rFonts w:hint="eastAsia" w:ascii="宋体" w:hAnsi="宋体" w:cs="宋体"/>
          <w:b/>
          <w:sz w:val="32"/>
          <w:szCs w:val="32"/>
        </w:rPr>
        <w:t>招标编号：JDYH2021-</w:t>
      </w:r>
      <w:r>
        <w:rPr>
          <w:rFonts w:hint="eastAsia" w:ascii="宋体" w:hAnsi="宋体" w:cs="宋体"/>
          <w:b/>
          <w:sz w:val="32"/>
          <w:szCs w:val="32"/>
          <w:lang w:val="en-US" w:eastAsia="zh-CN"/>
        </w:rPr>
        <w:t>001</w:t>
      </w:r>
    </w:p>
    <w:p>
      <w:pPr>
        <w:spacing w:line="600" w:lineRule="exact"/>
        <w:ind w:firstLine="2331" w:firstLineChars="645"/>
        <w:rPr>
          <w:rFonts w:ascii="宋体" w:hAnsi="宋体" w:cs="宋体"/>
          <w:b/>
          <w:sz w:val="36"/>
          <w:szCs w:val="36"/>
        </w:rPr>
      </w:pPr>
    </w:p>
    <w:p>
      <w:pPr>
        <w:spacing w:line="1360" w:lineRule="exact"/>
        <w:jc w:val="center"/>
        <w:rPr>
          <w:rFonts w:ascii="宋体" w:hAnsi="宋体" w:cs="宋体"/>
          <w:b/>
          <w:sz w:val="84"/>
        </w:rPr>
      </w:pPr>
      <w:r>
        <w:rPr>
          <w:rFonts w:hint="eastAsia" w:ascii="宋体" w:hAnsi="宋体" w:cs="宋体"/>
          <w:b/>
          <w:sz w:val="84"/>
        </w:rPr>
        <w:t>招</w:t>
      </w:r>
    </w:p>
    <w:p>
      <w:pPr>
        <w:spacing w:line="1360" w:lineRule="exact"/>
        <w:jc w:val="center"/>
        <w:rPr>
          <w:rFonts w:ascii="宋体" w:hAnsi="宋体" w:cs="宋体"/>
          <w:b/>
          <w:sz w:val="84"/>
        </w:rPr>
      </w:pPr>
      <w:r>
        <w:rPr>
          <w:rFonts w:hint="eastAsia" w:ascii="宋体" w:hAnsi="宋体" w:cs="宋体"/>
          <w:b/>
          <w:sz w:val="84"/>
        </w:rPr>
        <w:t>标</w:t>
      </w:r>
    </w:p>
    <w:p>
      <w:pPr>
        <w:spacing w:line="1360" w:lineRule="exact"/>
        <w:jc w:val="center"/>
        <w:rPr>
          <w:rFonts w:ascii="宋体" w:hAnsi="宋体" w:cs="宋体"/>
          <w:b/>
          <w:sz w:val="84"/>
        </w:rPr>
      </w:pPr>
      <w:r>
        <w:rPr>
          <w:rFonts w:hint="eastAsia" w:ascii="宋体" w:hAnsi="宋体" w:cs="宋体"/>
          <w:b/>
          <w:sz w:val="84"/>
        </w:rPr>
        <w:t>文</w:t>
      </w:r>
    </w:p>
    <w:p>
      <w:pPr>
        <w:spacing w:line="1360" w:lineRule="exact"/>
        <w:jc w:val="center"/>
        <w:rPr>
          <w:rFonts w:ascii="宋体" w:hAnsi="宋体" w:cs="宋体"/>
          <w:b/>
          <w:sz w:val="84"/>
        </w:rPr>
      </w:pPr>
      <w:r>
        <w:rPr>
          <w:rFonts w:hint="eastAsia" w:ascii="宋体" w:hAnsi="宋体" w:cs="宋体"/>
          <w:b/>
          <w:sz w:val="84"/>
        </w:rPr>
        <w:t>件</w:t>
      </w:r>
    </w:p>
    <w:p>
      <w:pPr>
        <w:pStyle w:val="23"/>
        <w:spacing w:line="600" w:lineRule="exact"/>
        <w:ind w:left="0"/>
        <w:rPr>
          <w:rFonts w:ascii="宋体" w:hAnsi="宋体" w:cs="宋体"/>
          <w:b/>
          <w:sz w:val="32"/>
          <w:szCs w:val="32"/>
        </w:rPr>
      </w:pPr>
    </w:p>
    <w:p>
      <w:pPr>
        <w:pStyle w:val="23"/>
        <w:spacing w:line="600" w:lineRule="exact"/>
        <w:ind w:left="2765" w:leftChars="456" w:hanging="1807" w:hangingChars="500"/>
        <w:rPr>
          <w:rFonts w:hint="eastAsia" w:ascii="宋体" w:hAnsi="宋体" w:cs="宋体"/>
          <w:b/>
          <w:sz w:val="36"/>
          <w:szCs w:val="36"/>
        </w:rPr>
      </w:pPr>
      <w:r>
        <w:rPr>
          <w:rFonts w:hint="eastAsia" w:ascii="宋体" w:hAnsi="宋体" w:cs="宋体"/>
          <w:b/>
          <w:sz w:val="36"/>
          <w:szCs w:val="36"/>
        </w:rPr>
        <w:t>采购单位：建德市新安江第二小学</w:t>
      </w:r>
    </w:p>
    <w:p>
      <w:pPr>
        <w:pStyle w:val="23"/>
        <w:spacing w:line="600" w:lineRule="exact"/>
        <w:ind w:left="2753" w:leftChars="1311" w:firstLine="0" w:firstLineChars="0"/>
        <w:rPr>
          <w:rFonts w:hint="eastAsia" w:ascii="宋体" w:hAnsi="宋体" w:cs="宋体"/>
          <w:b/>
          <w:sz w:val="36"/>
          <w:szCs w:val="36"/>
        </w:rPr>
      </w:pPr>
      <w:r>
        <w:rPr>
          <w:rFonts w:hint="eastAsia" w:ascii="宋体" w:hAnsi="宋体" w:cs="宋体"/>
          <w:b/>
          <w:sz w:val="36"/>
          <w:szCs w:val="36"/>
        </w:rPr>
        <w:t xml:space="preserve">建德市资产经营投资有限公司 </w:t>
      </w:r>
    </w:p>
    <w:p>
      <w:pPr>
        <w:pStyle w:val="23"/>
        <w:spacing w:line="600" w:lineRule="exact"/>
        <w:ind w:left="2765" w:leftChars="456" w:hanging="1807" w:hangingChars="500"/>
        <w:rPr>
          <w:rFonts w:hint="eastAsia" w:ascii="宋体" w:hAnsi="宋体" w:cs="宋体"/>
          <w:b/>
          <w:sz w:val="36"/>
          <w:szCs w:val="36"/>
        </w:rPr>
      </w:pPr>
      <w:r>
        <w:rPr>
          <w:rFonts w:hint="eastAsia" w:ascii="宋体" w:hAnsi="宋体" w:cs="宋体"/>
          <w:b/>
          <w:sz w:val="36"/>
          <w:szCs w:val="36"/>
        </w:rPr>
        <w:t>代理单位：耀华建设管理有限公司</w:t>
      </w:r>
    </w:p>
    <w:p>
      <w:pPr>
        <w:spacing w:line="600" w:lineRule="exact"/>
        <w:jc w:val="center"/>
        <w:rPr>
          <w:rFonts w:ascii="宋体" w:hAnsi="宋体" w:cs="宋体"/>
          <w:b/>
          <w:sz w:val="32"/>
          <w:szCs w:val="32"/>
          <w:highlight w:val="yellow"/>
        </w:rPr>
      </w:pPr>
      <w:r>
        <w:rPr>
          <w:rFonts w:hint="eastAsia" w:ascii="宋体" w:hAnsi="宋体" w:cs="宋体"/>
          <w:b/>
          <w:sz w:val="32"/>
          <w:szCs w:val="32"/>
        </w:rPr>
        <w:t>2021年</w:t>
      </w:r>
      <w:r>
        <w:rPr>
          <w:rFonts w:hint="eastAsia" w:ascii="宋体" w:hAnsi="宋体" w:cs="宋体"/>
          <w:b/>
          <w:sz w:val="32"/>
          <w:szCs w:val="32"/>
          <w:lang w:val="en-US" w:eastAsia="zh-CN"/>
        </w:rPr>
        <w:t>3</w:t>
      </w:r>
      <w:r>
        <w:rPr>
          <w:rFonts w:hint="eastAsia" w:ascii="宋体" w:hAnsi="宋体" w:cs="宋体"/>
          <w:b/>
          <w:sz w:val="32"/>
          <w:szCs w:val="32"/>
        </w:rPr>
        <w:t>月</w:t>
      </w:r>
      <w:r>
        <w:rPr>
          <w:rFonts w:hint="eastAsia" w:ascii="宋体" w:hAnsi="宋体" w:cs="宋体"/>
          <w:b/>
          <w:sz w:val="32"/>
          <w:szCs w:val="32"/>
          <w:lang w:val="en-US" w:eastAsia="zh-CN"/>
        </w:rPr>
        <w:t>25</w:t>
      </w:r>
      <w:r>
        <w:rPr>
          <w:rFonts w:hint="eastAsia" w:ascii="宋体" w:hAnsi="宋体" w:cs="宋体"/>
          <w:b/>
          <w:sz w:val="32"/>
          <w:szCs w:val="32"/>
        </w:rPr>
        <w:t>日</w:t>
      </w:r>
    </w:p>
    <w:p>
      <w:pPr>
        <w:rPr>
          <w:rFonts w:ascii="宋体" w:hAnsi="宋体" w:cs="宋体"/>
        </w:rPr>
      </w:pPr>
    </w:p>
    <w:tbl>
      <w:tblPr>
        <w:tblStyle w:val="3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788" w:type="dxa"/>
            <w:vAlign w:val="center"/>
          </w:tcPr>
          <w:p>
            <w:pPr>
              <w:autoSpaceDE w:val="0"/>
              <w:adjustRightInd w:val="0"/>
              <w:spacing w:after="100" w:afterAutospacing="1"/>
              <w:rPr>
                <w:rFonts w:ascii="宋体" w:hAnsi="宋体" w:cs="宋体"/>
                <w:b/>
                <w:bCs/>
                <w:kern w:val="0"/>
                <w:sz w:val="30"/>
                <w:szCs w:val="30"/>
              </w:rPr>
            </w:pPr>
            <w:r>
              <w:rPr>
                <w:rFonts w:hint="eastAsia" w:ascii="宋体" w:hAnsi="宋体" w:cs="宋体"/>
                <w:b/>
                <w:bCs/>
                <w:kern w:val="0"/>
                <w:sz w:val="30"/>
                <w:szCs w:val="30"/>
              </w:rPr>
              <w:t>采购单位确认（公章）：</w:t>
            </w:r>
          </w:p>
          <w:p>
            <w:pPr>
              <w:autoSpaceDE w:val="0"/>
              <w:adjustRightInd w:val="0"/>
              <w:spacing w:after="100" w:afterAutospacing="1"/>
              <w:rPr>
                <w:rFonts w:ascii="宋体" w:hAnsi="宋体" w:cs="宋体"/>
                <w:b/>
                <w:bCs/>
                <w:kern w:val="0"/>
                <w:sz w:val="30"/>
                <w:szCs w:val="30"/>
              </w:rPr>
            </w:pPr>
            <w:r>
              <w:rPr>
                <w:rFonts w:hint="eastAsia" w:ascii="宋体" w:hAnsi="宋体" w:cs="宋体"/>
                <w:b/>
                <w:bCs/>
                <w:kern w:val="0"/>
                <w:sz w:val="30"/>
                <w:szCs w:val="30"/>
              </w:rPr>
              <w:t>该采购文件已经我单位审核确认。</w:t>
            </w:r>
          </w:p>
          <w:p>
            <w:pPr>
              <w:autoSpaceDE w:val="0"/>
              <w:adjustRightInd w:val="0"/>
              <w:spacing w:after="100" w:afterAutospacing="1"/>
              <w:rPr>
                <w:rFonts w:ascii="宋体" w:hAnsi="宋体" w:cs="宋体"/>
                <w:b/>
                <w:bCs/>
                <w:kern w:val="0"/>
                <w:sz w:val="30"/>
                <w:szCs w:val="30"/>
              </w:rPr>
            </w:pPr>
            <w:r>
              <w:rPr>
                <w:rFonts w:hint="eastAsia" w:ascii="宋体" w:hAnsi="宋体" w:cs="宋体"/>
                <w:b/>
                <w:bCs/>
                <w:kern w:val="0"/>
                <w:sz w:val="30"/>
                <w:szCs w:val="30"/>
              </w:rPr>
              <w:t>经办人（签名）：</w:t>
            </w:r>
          </w:p>
          <w:p>
            <w:pPr>
              <w:autoSpaceDE w:val="0"/>
              <w:adjustRightInd w:val="0"/>
              <w:spacing w:after="100" w:afterAutospacing="1"/>
              <w:rPr>
                <w:rFonts w:ascii="宋体" w:hAnsi="宋体" w:cs="宋体"/>
                <w:b/>
                <w:bCs/>
                <w:kern w:val="0"/>
                <w:sz w:val="30"/>
                <w:szCs w:val="30"/>
              </w:rPr>
            </w:pPr>
            <w:r>
              <w:rPr>
                <w:rFonts w:hint="eastAsia" w:ascii="宋体" w:hAnsi="宋体" w:cs="宋体"/>
                <w:b/>
                <w:bCs/>
                <w:kern w:val="0"/>
                <w:sz w:val="30"/>
                <w:szCs w:val="30"/>
              </w:rPr>
              <w:t>日期：2021年</w:t>
            </w:r>
            <w:r>
              <w:rPr>
                <w:rFonts w:hint="eastAsia" w:ascii="宋体" w:hAnsi="宋体" w:cs="宋体"/>
                <w:b/>
                <w:bCs/>
                <w:kern w:val="0"/>
                <w:sz w:val="30"/>
                <w:szCs w:val="30"/>
                <w:lang w:val="en-US" w:eastAsia="zh-CN"/>
              </w:rPr>
              <w:t>3</w:t>
            </w:r>
            <w:r>
              <w:rPr>
                <w:rFonts w:hint="eastAsia" w:ascii="宋体" w:hAnsi="宋体" w:cs="宋体"/>
                <w:b/>
                <w:bCs/>
                <w:kern w:val="0"/>
                <w:sz w:val="30"/>
                <w:szCs w:val="30"/>
              </w:rPr>
              <w:t>月</w:t>
            </w:r>
            <w:r>
              <w:rPr>
                <w:rFonts w:hint="eastAsia" w:ascii="宋体" w:hAnsi="宋体" w:cs="宋体"/>
                <w:b/>
                <w:bCs/>
                <w:kern w:val="0"/>
                <w:sz w:val="30"/>
                <w:szCs w:val="30"/>
                <w:lang w:val="en-US" w:eastAsia="zh-CN"/>
              </w:rPr>
              <w:t>25</w:t>
            </w:r>
            <w:r>
              <w:rPr>
                <w:rFonts w:hint="eastAsia" w:ascii="宋体" w:hAnsi="宋体" w:cs="宋体"/>
                <w:b/>
                <w:bCs/>
                <w:kern w:val="0"/>
                <w:sz w:val="30"/>
                <w:szCs w:val="30"/>
              </w:rPr>
              <w:t>日</w:t>
            </w:r>
          </w:p>
        </w:tc>
        <w:tc>
          <w:tcPr>
            <w:tcW w:w="4788" w:type="dxa"/>
            <w:vAlign w:val="center"/>
          </w:tcPr>
          <w:p>
            <w:pPr>
              <w:autoSpaceDE w:val="0"/>
              <w:adjustRightInd w:val="0"/>
              <w:spacing w:after="100" w:afterAutospacing="1"/>
              <w:rPr>
                <w:rFonts w:ascii="宋体" w:hAnsi="宋体" w:cs="宋体"/>
                <w:b/>
                <w:sz w:val="30"/>
                <w:szCs w:val="30"/>
              </w:rPr>
            </w:pPr>
            <w:r>
              <w:rPr>
                <w:rFonts w:hint="eastAsia" w:ascii="宋体" w:hAnsi="宋体" w:cs="宋体"/>
                <w:b/>
                <w:sz w:val="30"/>
                <w:szCs w:val="30"/>
              </w:rPr>
              <w:t>代理机构审批（章）：</w:t>
            </w:r>
          </w:p>
          <w:p>
            <w:pPr>
              <w:autoSpaceDE w:val="0"/>
              <w:adjustRightInd w:val="0"/>
              <w:spacing w:after="100" w:afterAutospacing="1"/>
              <w:rPr>
                <w:rFonts w:ascii="宋体" w:hAnsi="宋体" w:cs="宋体"/>
                <w:b/>
                <w:sz w:val="30"/>
                <w:szCs w:val="30"/>
              </w:rPr>
            </w:pPr>
            <w:r>
              <w:rPr>
                <w:rFonts w:hint="eastAsia" w:ascii="宋体" w:hAnsi="宋体" w:cs="宋体"/>
                <w:b/>
                <w:sz w:val="30"/>
                <w:szCs w:val="30"/>
              </w:rPr>
              <w:t>同意发布。</w:t>
            </w:r>
          </w:p>
          <w:p>
            <w:pPr>
              <w:autoSpaceDE w:val="0"/>
              <w:adjustRightInd w:val="0"/>
              <w:spacing w:after="100" w:afterAutospacing="1"/>
              <w:rPr>
                <w:rFonts w:ascii="宋体" w:hAnsi="宋体" w:cs="宋体"/>
                <w:b/>
                <w:sz w:val="30"/>
                <w:szCs w:val="30"/>
              </w:rPr>
            </w:pPr>
            <w:r>
              <w:rPr>
                <w:rFonts w:hint="eastAsia" w:ascii="宋体" w:hAnsi="宋体" w:cs="宋体"/>
                <w:b/>
                <w:sz w:val="30"/>
                <w:szCs w:val="30"/>
              </w:rPr>
              <w:t>经办人（签名）：</w:t>
            </w:r>
          </w:p>
          <w:p>
            <w:pPr>
              <w:autoSpaceDE w:val="0"/>
              <w:adjustRightInd w:val="0"/>
              <w:spacing w:after="100" w:afterAutospacing="1"/>
              <w:rPr>
                <w:rFonts w:ascii="宋体" w:hAnsi="宋体" w:cs="宋体"/>
                <w:b/>
                <w:bCs/>
                <w:kern w:val="0"/>
                <w:sz w:val="30"/>
                <w:szCs w:val="30"/>
              </w:rPr>
            </w:pPr>
            <w:r>
              <w:rPr>
                <w:rFonts w:hint="eastAsia" w:ascii="宋体" w:hAnsi="宋体" w:cs="宋体"/>
                <w:b/>
                <w:sz w:val="30"/>
                <w:szCs w:val="30"/>
              </w:rPr>
              <w:t>日期：</w:t>
            </w:r>
            <w:r>
              <w:rPr>
                <w:rFonts w:hint="eastAsia" w:ascii="宋体" w:hAnsi="宋体" w:cs="宋体"/>
                <w:b/>
                <w:bCs/>
                <w:kern w:val="0"/>
                <w:sz w:val="30"/>
                <w:szCs w:val="30"/>
              </w:rPr>
              <w:t>2021年</w:t>
            </w:r>
            <w:r>
              <w:rPr>
                <w:rFonts w:hint="eastAsia" w:ascii="宋体" w:hAnsi="宋体" w:cs="宋体"/>
                <w:b/>
                <w:bCs/>
                <w:kern w:val="0"/>
                <w:sz w:val="30"/>
                <w:szCs w:val="30"/>
                <w:lang w:val="en-US" w:eastAsia="zh-CN"/>
              </w:rPr>
              <w:t>3</w:t>
            </w:r>
            <w:r>
              <w:rPr>
                <w:rFonts w:hint="eastAsia" w:ascii="宋体" w:hAnsi="宋体" w:cs="宋体"/>
                <w:b/>
                <w:bCs/>
                <w:kern w:val="0"/>
                <w:sz w:val="30"/>
                <w:szCs w:val="30"/>
              </w:rPr>
              <w:t>月</w:t>
            </w:r>
            <w:r>
              <w:rPr>
                <w:rFonts w:hint="eastAsia" w:ascii="宋体" w:hAnsi="宋体" w:cs="宋体"/>
                <w:b/>
                <w:bCs/>
                <w:kern w:val="0"/>
                <w:sz w:val="30"/>
                <w:szCs w:val="30"/>
                <w:lang w:val="en-US" w:eastAsia="zh-CN"/>
              </w:rPr>
              <w:t>25</w:t>
            </w:r>
            <w:r>
              <w:rPr>
                <w:rFonts w:hint="eastAsia" w:ascii="宋体" w:hAnsi="宋体" w:cs="宋体"/>
                <w:b/>
                <w:bCs/>
                <w:kern w:val="0"/>
                <w:sz w:val="30"/>
                <w:szCs w:val="30"/>
              </w:rPr>
              <w:t>日</w:t>
            </w:r>
          </w:p>
        </w:tc>
      </w:tr>
    </w:tbl>
    <w:p>
      <w:pPr>
        <w:jc w:val="center"/>
        <w:rPr>
          <w:rFonts w:ascii="宋体" w:hAnsi="宋体" w:cs="宋体"/>
          <w:b/>
          <w:sz w:val="44"/>
        </w:rPr>
        <w:sectPr>
          <w:headerReference r:id="rId4" w:type="first"/>
          <w:headerReference r:id="rId3" w:type="default"/>
          <w:footerReference r:id="rId5" w:type="default"/>
          <w:footerReference r:id="rId6" w:type="even"/>
          <w:pgSz w:w="11906" w:h="16838"/>
          <w:pgMar w:top="1559" w:right="1287" w:bottom="1134" w:left="1287" w:header="851" w:footer="992" w:gutter="0"/>
          <w:pgNumType w:start="0"/>
          <w:cols w:space="720" w:num="1"/>
          <w:titlePg/>
          <w:docGrid w:linePitch="312" w:charSpace="0"/>
        </w:sectPr>
      </w:pPr>
    </w:p>
    <w:p>
      <w:pPr>
        <w:jc w:val="center"/>
        <w:rPr>
          <w:rFonts w:ascii="宋体" w:hAnsi="宋体" w:cs="宋体"/>
          <w:b/>
          <w:sz w:val="44"/>
        </w:rPr>
      </w:pPr>
      <w:r>
        <w:rPr>
          <w:rFonts w:hint="eastAsia" w:ascii="宋体" w:hAnsi="宋体" w:cs="宋体"/>
          <w:b/>
          <w:sz w:val="44"/>
        </w:rPr>
        <w:t xml:space="preserve"> </w:t>
      </w:r>
    </w:p>
    <w:p>
      <w:pPr>
        <w:spacing w:line="480" w:lineRule="auto"/>
        <w:jc w:val="center"/>
        <w:rPr>
          <w:rFonts w:ascii="宋体" w:hAnsi="宋体" w:cs="宋体"/>
          <w:b/>
          <w:sz w:val="44"/>
        </w:rPr>
      </w:pPr>
      <w:r>
        <w:rPr>
          <w:rFonts w:hint="eastAsia" w:ascii="宋体" w:hAnsi="宋体" w:cs="宋体"/>
          <w:b/>
          <w:sz w:val="44"/>
        </w:rPr>
        <w:t>目  录</w:t>
      </w:r>
    </w:p>
    <w:p>
      <w:pPr>
        <w:pStyle w:val="2"/>
        <w:tabs>
          <w:tab w:val="right" w:leader="dot" w:pos="9332"/>
        </w:tabs>
        <w:spacing w:line="360" w:lineRule="auto"/>
        <w:rPr>
          <w:rFonts w:ascii="宋体" w:hAnsi="宋体" w:eastAsia="宋体" w:cs="宋体"/>
          <w:sz w:val="30"/>
          <w:szCs w:val="30"/>
        </w:rPr>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"_Toc1172" </w:instrText>
      </w:r>
      <w:r>
        <w:fldChar w:fldCharType="separate"/>
      </w:r>
      <w:r>
        <w:rPr>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_Toc1172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rPr>
          <w:rFonts w:ascii="宋体" w:hAnsi="宋体" w:eastAsia="宋体" w:cs="宋体"/>
          <w:sz w:val="30"/>
          <w:szCs w:val="30"/>
        </w:rPr>
      </w:pPr>
      <w:r>
        <w:fldChar w:fldCharType="begin"/>
      </w:r>
      <w:r>
        <w:instrText xml:space="preserve"> HYPERLINK \l "_Toc28642" </w:instrText>
      </w:r>
      <w:r>
        <w:fldChar w:fldCharType="separate"/>
      </w:r>
      <w:r>
        <w:rPr>
          <w:rFonts w:hint="eastAsia" w:ascii="宋体" w:hAnsi="宋体" w:eastAsia="宋体" w:cs="宋体"/>
          <w:sz w:val="30"/>
          <w:szCs w:val="30"/>
        </w:rPr>
        <w:t>第二章  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_Toc28642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rPr>
          <w:rFonts w:ascii="宋体" w:hAnsi="宋体" w:eastAsia="宋体" w:cs="宋体"/>
          <w:sz w:val="30"/>
          <w:szCs w:val="30"/>
        </w:rPr>
      </w:pPr>
      <w:r>
        <w:fldChar w:fldCharType="begin"/>
      </w:r>
      <w:r>
        <w:instrText xml:space="preserve"> HYPERLINK \l "_Toc26011" </w:instrText>
      </w:r>
      <w:r>
        <w:fldChar w:fldCharType="separate"/>
      </w:r>
      <w:r>
        <w:rPr>
          <w:rFonts w:hint="eastAsia" w:ascii="宋体" w:hAnsi="宋体" w:eastAsia="宋体" w:cs="宋体"/>
          <w:sz w:val="30"/>
          <w:szCs w:val="30"/>
        </w:rPr>
        <w:t>第三章  开标和评标须知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_Toc26011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rPr>
          <w:rFonts w:ascii="宋体" w:hAnsi="宋体" w:eastAsia="宋体" w:cs="宋体"/>
          <w:sz w:val="30"/>
          <w:szCs w:val="30"/>
        </w:rPr>
      </w:pPr>
      <w:r>
        <w:fldChar w:fldCharType="begin"/>
      </w:r>
      <w:r>
        <w:instrText xml:space="preserve"> HYPERLINK \l "_Toc19318" </w:instrText>
      </w:r>
      <w:r>
        <w:fldChar w:fldCharType="separate"/>
      </w:r>
      <w:r>
        <w:rPr>
          <w:rFonts w:hint="eastAsia" w:ascii="宋体" w:hAnsi="宋体" w:eastAsia="宋体" w:cs="宋体"/>
          <w:sz w:val="30"/>
          <w:szCs w:val="30"/>
        </w:rPr>
        <w:t>第四章  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_Toc19318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rPr>
          <w:rFonts w:ascii="宋体" w:hAnsi="宋体" w:eastAsia="宋体" w:cs="宋体"/>
          <w:sz w:val="30"/>
          <w:szCs w:val="30"/>
        </w:rPr>
      </w:pPr>
      <w:r>
        <w:fldChar w:fldCharType="begin"/>
      </w:r>
      <w:r>
        <w:instrText xml:space="preserve"> HYPERLINK \l "_Toc15102" </w:instrText>
      </w:r>
      <w:r>
        <w:fldChar w:fldCharType="separate"/>
      </w:r>
      <w:r>
        <w:rPr>
          <w:rFonts w:hint="eastAsia" w:ascii="宋体" w:hAnsi="宋体" w:eastAsia="宋体" w:cs="宋体"/>
          <w:kern w:val="44"/>
          <w:sz w:val="30"/>
          <w:szCs w:val="30"/>
        </w:rPr>
        <w:t>第五章  招标内容与技术要求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_Toc15102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rPr>
          <w:rFonts w:ascii="宋体" w:hAnsi="宋体" w:eastAsia="宋体" w:cs="宋体"/>
          <w:sz w:val="30"/>
          <w:szCs w:val="30"/>
        </w:rPr>
      </w:pPr>
      <w:r>
        <w:fldChar w:fldCharType="begin"/>
      </w:r>
      <w:r>
        <w:instrText xml:space="preserve"> HYPERLINK \l "_Toc26252" </w:instrText>
      </w:r>
      <w:r>
        <w:fldChar w:fldCharType="separate"/>
      </w:r>
      <w:r>
        <w:rPr>
          <w:rFonts w:hint="eastAsia" w:ascii="宋体" w:hAnsi="宋体" w:eastAsia="宋体" w:cs="宋体"/>
          <w:sz w:val="30"/>
          <w:szCs w:val="30"/>
        </w:rPr>
        <w:t>第六章  商务条款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_Toc26252 </w:instrText>
      </w:r>
      <w:r>
        <w:rPr>
          <w:rFonts w:hint="eastAsia" w:ascii="宋体" w:hAnsi="宋体" w:eastAsia="宋体" w:cs="宋体"/>
          <w:sz w:val="30"/>
          <w:szCs w:val="30"/>
        </w:rPr>
        <w:fldChar w:fldCharType="separate"/>
      </w:r>
      <w:r>
        <w:rPr>
          <w:rFonts w:hint="eastAsia" w:ascii="宋体" w:hAnsi="宋体" w:eastAsia="宋体" w:cs="宋体"/>
          <w:sz w:val="30"/>
          <w:szCs w:val="30"/>
        </w:rPr>
        <w:t>80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rPr>
          <w:rFonts w:ascii="宋体" w:hAnsi="宋体" w:eastAsia="宋体" w:cs="宋体"/>
          <w:sz w:val="30"/>
          <w:szCs w:val="30"/>
        </w:rPr>
      </w:pPr>
      <w:r>
        <w:fldChar w:fldCharType="begin"/>
      </w:r>
      <w:r>
        <w:instrText xml:space="preserve"> HYPERLINK \l "_Toc7456" </w:instrText>
      </w:r>
      <w:r>
        <w:fldChar w:fldCharType="separate"/>
      </w:r>
      <w:r>
        <w:rPr>
          <w:rFonts w:hint="eastAsia" w:ascii="宋体" w:hAnsi="宋体" w:eastAsia="宋体" w:cs="宋体"/>
          <w:sz w:val="30"/>
          <w:szCs w:val="30"/>
        </w:rPr>
        <w:t>第七章  财务结算</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_Toc7456 </w:instrText>
      </w:r>
      <w:r>
        <w:rPr>
          <w:rFonts w:hint="eastAsia" w:ascii="宋体" w:hAnsi="宋体" w:eastAsia="宋体" w:cs="宋体"/>
          <w:sz w:val="30"/>
          <w:szCs w:val="30"/>
        </w:rPr>
        <w:fldChar w:fldCharType="separate"/>
      </w:r>
      <w:r>
        <w:rPr>
          <w:rFonts w:hint="eastAsia" w:ascii="宋体" w:hAnsi="宋体" w:eastAsia="宋体" w:cs="宋体"/>
          <w:sz w:val="30"/>
          <w:szCs w:val="30"/>
        </w:rPr>
        <w:t>82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rPr>
          <w:rFonts w:ascii="宋体" w:hAnsi="宋体" w:eastAsia="宋体" w:cs="宋体"/>
          <w:sz w:val="30"/>
          <w:szCs w:val="30"/>
        </w:rPr>
      </w:pPr>
      <w:r>
        <w:fldChar w:fldCharType="begin"/>
      </w:r>
      <w:r>
        <w:instrText xml:space="preserve"> HYPERLINK \l "_Toc5788" </w:instrText>
      </w:r>
      <w:r>
        <w:fldChar w:fldCharType="separate"/>
      </w:r>
      <w:r>
        <w:rPr>
          <w:rFonts w:hint="eastAsia" w:ascii="宋体" w:hAnsi="宋体" w:eastAsia="宋体" w:cs="宋体"/>
          <w:sz w:val="30"/>
          <w:szCs w:val="30"/>
        </w:rPr>
        <w:t>第八章  合同范本及格式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_Toc5788 </w:instrText>
      </w:r>
      <w:r>
        <w:rPr>
          <w:rFonts w:hint="eastAsia" w:ascii="宋体" w:hAnsi="宋体" w:eastAsia="宋体" w:cs="宋体"/>
          <w:sz w:val="30"/>
          <w:szCs w:val="30"/>
        </w:rPr>
        <w:fldChar w:fldCharType="separate"/>
      </w:r>
      <w:r>
        <w:rPr>
          <w:rFonts w:hint="eastAsia" w:ascii="宋体" w:hAnsi="宋体" w:eastAsia="宋体" w:cs="宋体"/>
          <w:sz w:val="30"/>
          <w:szCs w:val="30"/>
        </w:rPr>
        <w:t>83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tabs>
          <w:tab w:val="right" w:leader="dot" w:pos="9332"/>
        </w:tabs>
        <w:spacing w:line="360" w:lineRule="auto"/>
      </w:pPr>
      <w:r>
        <w:fldChar w:fldCharType="begin"/>
      </w:r>
      <w:r>
        <w:instrText xml:space="preserve"> HYPERLINK \l "_Toc14258" </w:instrText>
      </w:r>
      <w:r>
        <w:fldChar w:fldCharType="separate"/>
      </w:r>
      <w:r>
        <w:rPr>
          <w:rFonts w:hint="eastAsia" w:ascii="宋体" w:hAnsi="宋体" w:eastAsia="宋体" w:cs="宋体"/>
          <w:sz w:val="30"/>
          <w:szCs w:val="30"/>
        </w:rPr>
        <w:t>第九章  附 件</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_Toc14258 </w:instrText>
      </w:r>
      <w:r>
        <w:rPr>
          <w:rFonts w:hint="eastAsia" w:ascii="宋体" w:hAnsi="宋体" w:eastAsia="宋体" w:cs="宋体"/>
          <w:sz w:val="30"/>
          <w:szCs w:val="30"/>
        </w:rPr>
        <w:fldChar w:fldCharType="separate"/>
      </w:r>
      <w:r>
        <w:rPr>
          <w:rFonts w:hint="eastAsia" w:ascii="宋体" w:hAnsi="宋体" w:eastAsia="宋体" w:cs="宋体"/>
          <w:sz w:val="30"/>
          <w:szCs w:val="30"/>
        </w:rPr>
        <w:t>87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pPr>
      <w:r>
        <w:rPr>
          <w:rFonts w:hint="eastAsia"/>
        </w:rPr>
        <w:fldChar w:fldCharType="end"/>
      </w:r>
    </w:p>
    <w:p>
      <w:pPr>
        <w:spacing w:line="480" w:lineRule="auto"/>
        <w:ind w:left="600"/>
        <w:jc w:val="center"/>
        <w:rPr>
          <w:rFonts w:ascii="宋体" w:hAnsi="宋体" w:cs="宋体"/>
          <w:sz w:val="36"/>
        </w:rPr>
        <w:sectPr>
          <w:footerReference r:id="rId8" w:type="first"/>
          <w:footerReference r:id="rId7" w:type="default"/>
          <w:pgSz w:w="11906" w:h="16838"/>
          <w:pgMar w:top="1559" w:right="1287" w:bottom="1134" w:left="1287" w:header="851" w:footer="992" w:gutter="0"/>
          <w:pgNumType w:start="1"/>
          <w:cols w:space="720" w:num="1"/>
          <w:docGrid w:linePitch="312" w:charSpace="0"/>
        </w:sectPr>
      </w:pPr>
    </w:p>
    <w:p>
      <w:pPr>
        <w:numPr>
          <w:ilvl w:val="0"/>
          <w:numId w:val="1"/>
        </w:numPr>
        <w:spacing w:before="120" w:beforeLines="50" w:after="120" w:afterLines="50" w:line="360" w:lineRule="auto"/>
        <w:ind w:left="1621" w:hanging="1621"/>
        <w:jc w:val="center"/>
        <w:outlineLvl w:val="0"/>
        <w:rPr>
          <w:rStyle w:val="105"/>
          <w:rFonts w:ascii="宋体" w:hAnsi="宋体" w:cs="宋体"/>
          <w:sz w:val="36"/>
          <w:szCs w:val="36"/>
        </w:rPr>
      </w:pPr>
      <w:bookmarkStart w:id="0" w:name="_Toc17341"/>
      <w:r>
        <w:rPr>
          <w:rStyle w:val="105"/>
          <w:rFonts w:hint="eastAsia" w:ascii="宋体" w:hAnsi="宋体" w:cs="宋体"/>
          <w:sz w:val="36"/>
          <w:szCs w:val="36"/>
        </w:rPr>
        <w:t xml:space="preserve"> </w:t>
      </w:r>
      <w:bookmarkStart w:id="1" w:name="_Toc1172"/>
      <w:r>
        <w:rPr>
          <w:rStyle w:val="105"/>
          <w:rFonts w:hint="eastAsia" w:ascii="宋体" w:hAnsi="宋体" w:cs="宋体"/>
          <w:sz w:val="36"/>
          <w:szCs w:val="36"/>
        </w:rPr>
        <w:t>招标公告</w:t>
      </w:r>
      <w:bookmarkEnd w:id="0"/>
      <w:bookmarkEnd w:id="1"/>
    </w:p>
    <w:p>
      <w:pPr>
        <w:tabs>
          <w:tab w:val="left" w:pos="8820"/>
        </w:tabs>
        <w:spacing w:line="440" w:lineRule="exact"/>
        <w:ind w:firstLine="480" w:firstLineChars="200"/>
        <w:jc w:val="left"/>
        <w:rPr>
          <w:rFonts w:ascii="宋体" w:hAnsi="宋体" w:cs="宋体"/>
          <w:sz w:val="24"/>
          <w:szCs w:val="24"/>
        </w:rPr>
      </w:pPr>
      <w:r>
        <w:rPr>
          <w:rFonts w:hint="eastAsia" w:ascii="宋体" w:hAnsi="宋体" w:cs="宋体"/>
          <w:sz w:val="24"/>
          <w:szCs w:val="24"/>
        </w:rPr>
        <w:t>根据《中华人民共和国政府采购法》、《政府采购货物和服务招标投标管理办法》等有关法律法规规定，经相关部门批准，受建德市新安江第二小学</w:t>
      </w:r>
      <w:r>
        <w:rPr>
          <w:rFonts w:hint="eastAsia" w:ascii="宋体" w:hAnsi="宋体" w:cs="宋体"/>
          <w:sz w:val="24"/>
          <w:szCs w:val="24"/>
          <w:lang w:eastAsia="zh-CN"/>
        </w:rPr>
        <w:t>、</w:t>
      </w:r>
      <w:r>
        <w:rPr>
          <w:rFonts w:hint="eastAsia" w:ascii="宋体" w:hAnsi="宋体" w:cs="宋体"/>
          <w:sz w:val="24"/>
          <w:szCs w:val="24"/>
          <w:lang w:val="en-US" w:eastAsia="zh-CN"/>
        </w:rPr>
        <w:t>建德市资产经营投资有限公司</w:t>
      </w:r>
      <w:r>
        <w:rPr>
          <w:rFonts w:hint="eastAsia" w:ascii="宋体" w:hAnsi="宋体" w:cs="宋体"/>
          <w:sz w:val="24"/>
          <w:szCs w:val="24"/>
        </w:rPr>
        <w:t>（以下称：采购单位）的委托，就</w:t>
      </w:r>
      <w:r>
        <w:rPr>
          <w:rFonts w:hint="eastAsia" w:ascii="宋体" w:hAnsi="宋体" w:cs="宋体"/>
          <w:sz w:val="24"/>
          <w:szCs w:val="24"/>
          <w:lang w:eastAsia="zh-CN"/>
        </w:rPr>
        <w:t>新安江第二小学多媒体影像设备采购</w:t>
      </w:r>
      <w:r>
        <w:rPr>
          <w:rFonts w:hint="eastAsia" w:ascii="宋体" w:hAnsi="宋体" w:cs="宋体"/>
          <w:sz w:val="24"/>
          <w:szCs w:val="24"/>
        </w:rPr>
        <w:t>进行公开招标采购，欢迎国内合格的供应商前来投标。</w:t>
      </w:r>
    </w:p>
    <w:p>
      <w:pPr>
        <w:pStyle w:val="22"/>
        <w:snapToGrid w:val="0"/>
        <w:spacing w:line="440" w:lineRule="exact"/>
        <w:ind w:firstLine="482" w:firstLineChars="200"/>
        <w:rPr>
          <w:rFonts w:hint="default" w:hAnsi="宋体" w:eastAsia="宋体" w:cs="宋体"/>
          <w:b/>
          <w:sz w:val="32"/>
          <w:szCs w:val="32"/>
          <w:lang w:val="en-US" w:eastAsia="zh-CN"/>
        </w:rPr>
      </w:pPr>
      <w:r>
        <w:rPr>
          <w:rFonts w:hint="eastAsia" w:hAnsi="宋体" w:cs="宋体"/>
          <w:b/>
          <w:bCs/>
          <w:sz w:val="24"/>
          <w:szCs w:val="24"/>
        </w:rPr>
        <w:t>一、项目编号：JDYH2021-</w:t>
      </w:r>
      <w:r>
        <w:rPr>
          <w:rFonts w:hint="eastAsia" w:hAnsi="宋体" w:cs="宋体"/>
          <w:b/>
          <w:bCs/>
          <w:sz w:val="24"/>
          <w:szCs w:val="24"/>
          <w:lang w:val="en-US" w:eastAsia="zh-CN"/>
        </w:rPr>
        <w:t>001</w:t>
      </w:r>
    </w:p>
    <w:p>
      <w:pPr>
        <w:pStyle w:val="22"/>
        <w:snapToGrid w:val="0"/>
        <w:spacing w:line="440" w:lineRule="exact"/>
        <w:ind w:firstLine="482" w:firstLineChars="200"/>
        <w:rPr>
          <w:rFonts w:hAnsi="宋体" w:cs="宋体"/>
          <w:b/>
          <w:bCs/>
          <w:sz w:val="24"/>
          <w:szCs w:val="24"/>
        </w:rPr>
      </w:pPr>
      <w:r>
        <w:rPr>
          <w:rFonts w:hint="eastAsia" w:hAnsi="宋体" w:cs="宋体"/>
          <w:b/>
          <w:bCs/>
          <w:sz w:val="24"/>
          <w:szCs w:val="24"/>
        </w:rPr>
        <w:t>二、采购内容及数量：</w:t>
      </w:r>
    </w:p>
    <w:p>
      <w:pPr>
        <w:pStyle w:val="22"/>
        <w:snapToGrid w:val="0"/>
        <w:spacing w:line="440" w:lineRule="exact"/>
        <w:ind w:firstLine="480" w:firstLineChars="200"/>
        <w:rPr>
          <w:rFonts w:hint="eastAsia" w:hAnsi="宋体" w:eastAsia="宋体" w:cs="宋体"/>
          <w:sz w:val="24"/>
          <w:szCs w:val="24"/>
          <w:lang w:eastAsia="zh-CN"/>
        </w:rPr>
      </w:pPr>
      <w:r>
        <w:rPr>
          <w:rFonts w:hint="eastAsia" w:hAnsi="宋体" w:cs="宋体"/>
          <w:sz w:val="24"/>
          <w:szCs w:val="24"/>
        </w:rPr>
        <w:t>本项目采购内容为：</w:t>
      </w:r>
      <w:r>
        <w:rPr>
          <w:rFonts w:hint="eastAsia" w:hAnsi="宋体" w:cs="宋体"/>
          <w:sz w:val="24"/>
          <w:szCs w:val="24"/>
          <w:lang w:eastAsia="zh-CN"/>
        </w:rPr>
        <w:t>新安江第二小学多媒体影像设备采购</w:t>
      </w:r>
      <w:r>
        <w:rPr>
          <w:rFonts w:hint="eastAsia" w:hAnsi="宋体" w:cs="宋体"/>
          <w:sz w:val="24"/>
          <w:szCs w:val="24"/>
        </w:rPr>
        <w:t>。具体内容详见《招标内容与技术要求》。本项目的最高限价（预算价）为人民币贰佰捌拾柒万柒仟壹佰肆拾伍元整（￥:2877145元），总工期：</w:t>
      </w:r>
      <w:r>
        <w:rPr>
          <w:rFonts w:hint="eastAsia" w:hAnsi="宋体" w:cs="宋体"/>
          <w:sz w:val="24"/>
          <w:szCs w:val="24"/>
          <w:lang w:val="en-US" w:eastAsia="zh-CN"/>
        </w:rPr>
        <w:t>工期与土建工程同步（项目分两期实施）。在工期内完</w:t>
      </w:r>
      <w:r>
        <w:rPr>
          <w:rFonts w:hint="eastAsia" w:hAnsi="宋体" w:cs="宋体"/>
          <w:sz w:val="24"/>
          <w:szCs w:val="24"/>
        </w:rPr>
        <w:t>成供货、安装</w:t>
      </w:r>
      <w:r>
        <w:rPr>
          <w:rFonts w:hint="eastAsia" w:hAnsi="宋体" w:cs="宋体"/>
          <w:sz w:val="24"/>
          <w:szCs w:val="24"/>
          <w:lang w:eastAsia="zh-CN"/>
        </w:rPr>
        <w:t>、</w:t>
      </w:r>
      <w:r>
        <w:rPr>
          <w:rFonts w:hint="eastAsia" w:hAnsi="宋体" w:cs="宋体"/>
          <w:sz w:val="24"/>
          <w:szCs w:val="24"/>
        </w:rPr>
        <w:t>调试</w:t>
      </w:r>
      <w:r>
        <w:rPr>
          <w:rFonts w:hint="eastAsia" w:hAnsi="宋体" w:cs="宋体"/>
          <w:sz w:val="24"/>
          <w:szCs w:val="24"/>
          <w:lang w:eastAsia="zh-CN"/>
        </w:rPr>
        <w:t>、</w:t>
      </w:r>
      <w:r>
        <w:rPr>
          <w:rFonts w:hint="eastAsia" w:hAnsi="宋体" w:cs="宋体"/>
          <w:sz w:val="24"/>
          <w:szCs w:val="24"/>
          <w:lang w:val="en-US" w:eastAsia="zh-CN"/>
        </w:rPr>
        <w:t>验收</w:t>
      </w:r>
      <w:r>
        <w:rPr>
          <w:rFonts w:hint="eastAsia" w:hAnsi="宋体" w:cs="宋体"/>
          <w:sz w:val="24"/>
          <w:szCs w:val="24"/>
          <w:lang w:eastAsia="zh-CN"/>
        </w:rPr>
        <w:t>。</w:t>
      </w:r>
    </w:p>
    <w:p>
      <w:pPr>
        <w:pStyle w:val="22"/>
        <w:snapToGrid w:val="0"/>
        <w:spacing w:line="440" w:lineRule="exact"/>
        <w:ind w:firstLine="482" w:firstLineChars="200"/>
        <w:rPr>
          <w:rFonts w:hAnsi="宋体" w:cs="宋体"/>
          <w:sz w:val="24"/>
          <w:szCs w:val="24"/>
        </w:rPr>
      </w:pPr>
      <w:r>
        <w:rPr>
          <w:rFonts w:hint="eastAsia" w:hAnsi="宋体" w:cs="宋体"/>
          <w:b/>
          <w:bCs/>
          <w:sz w:val="24"/>
          <w:szCs w:val="24"/>
        </w:rPr>
        <w:t>三、投标供应商的资格要求：</w:t>
      </w:r>
    </w:p>
    <w:p>
      <w:pPr>
        <w:tabs>
          <w:tab w:val="left" w:pos="8820"/>
        </w:tabs>
        <w:spacing w:line="440" w:lineRule="exact"/>
        <w:ind w:firstLine="480" w:firstLineChars="200"/>
        <w:jc w:val="left"/>
        <w:rPr>
          <w:rFonts w:ascii="宋体" w:hAnsi="宋体" w:cs="宋体"/>
          <w:sz w:val="24"/>
          <w:szCs w:val="24"/>
        </w:rPr>
      </w:pPr>
      <w:r>
        <w:rPr>
          <w:rFonts w:hint="eastAsia" w:ascii="宋体" w:hAnsi="宋体" w:cs="宋体"/>
          <w:sz w:val="24"/>
          <w:szCs w:val="24"/>
        </w:rPr>
        <w:t>1、符合《中华人民共和国政府采购法》对投标主体的要求，近三年内在全国范围内没有政府采购不良记录；</w:t>
      </w:r>
    </w:p>
    <w:p>
      <w:pPr>
        <w:tabs>
          <w:tab w:val="left" w:pos="8820"/>
        </w:tabs>
        <w:spacing w:line="440" w:lineRule="exact"/>
        <w:ind w:firstLine="480" w:firstLineChars="200"/>
        <w:jc w:val="left"/>
        <w:rPr>
          <w:rFonts w:ascii="宋体" w:hAnsi="宋体" w:cs="宋体"/>
          <w:sz w:val="24"/>
          <w:szCs w:val="24"/>
        </w:rPr>
      </w:pPr>
      <w:r>
        <w:rPr>
          <w:rFonts w:hint="eastAsia" w:ascii="宋体" w:hAnsi="宋体" w:cs="宋体"/>
          <w:sz w:val="24"/>
          <w:szCs w:val="24"/>
        </w:rPr>
        <w:t>2、须具有独立法人资格、具有合格有效的企业营业执照、税务登记证、组织机构代码证或“三证合一”的营业执照，且营业执照包含本次采购范围；</w:t>
      </w:r>
    </w:p>
    <w:p>
      <w:pPr>
        <w:tabs>
          <w:tab w:val="left" w:pos="8820"/>
        </w:tabs>
        <w:spacing w:line="440" w:lineRule="exact"/>
        <w:ind w:firstLine="480" w:firstLineChars="200"/>
        <w:jc w:val="left"/>
        <w:rPr>
          <w:rFonts w:ascii="宋体" w:hAnsi="宋体" w:cs="宋体"/>
          <w:sz w:val="24"/>
          <w:szCs w:val="24"/>
        </w:rPr>
      </w:pPr>
      <w:r>
        <w:rPr>
          <w:rFonts w:hint="eastAsia" w:ascii="宋体" w:hAnsi="宋体" w:cs="宋体"/>
          <w:sz w:val="24"/>
          <w:szCs w:val="24"/>
        </w:rPr>
        <w:t>3、本项目不接受联合体投标，</w:t>
      </w:r>
      <w:r>
        <w:rPr>
          <w:rFonts w:hint="eastAsia" w:ascii="宋体" w:hAnsi="宋体" w:cs="宋体"/>
          <w:sz w:val="24"/>
          <w:szCs w:val="24"/>
          <w:lang w:val="zh-CN"/>
        </w:rPr>
        <w:t>不允许转包分包。</w:t>
      </w:r>
    </w:p>
    <w:p>
      <w:pPr>
        <w:pStyle w:val="22"/>
        <w:snapToGrid w:val="0"/>
        <w:spacing w:line="440" w:lineRule="exact"/>
        <w:ind w:firstLine="482" w:firstLineChars="200"/>
        <w:rPr>
          <w:rFonts w:hAnsi="宋体" w:cs="宋体"/>
          <w:sz w:val="24"/>
          <w:szCs w:val="24"/>
        </w:rPr>
      </w:pPr>
      <w:r>
        <w:rPr>
          <w:rFonts w:hint="eastAsia" w:hAnsi="宋体" w:cs="宋体"/>
          <w:b/>
          <w:bCs/>
          <w:sz w:val="24"/>
          <w:szCs w:val="24"/>
        </w:rPr>
        <w:t>四、招标文件的发布时间：</w:t>
      </w:r>
    </w:p>
    <w:p>
      <w:pPr>
        <w:pStyle w:val="22"/>
        <w:snapToGrid w:val="0"/>
        <w:spacing w:line="440" w:lineRule="exact"/>
        <w:ind w:firstLine="480" w:firstLineChars="200"/>
        <w:rPr>
          <w:rFonts w:hAnsi="宋体" w:cs="宋体"/>
          <w:sz w:val="24"/>
          <w:szCs w:val="24"/>
          <w:highlight w:val="yellow"/>
        </w:rPr>
      </w:pPr>
      <w:r>
        <w:rPr>
          <w:rFonts w:hint="eastAsia" w:hAnsi="宋体" w:cs="宋体"/>
          <w:sz w:val="24"/>
          <w:szCs w:val="24"/>
        </w:rPr>
        <w:t>1、发布时间：</w:t>
      </w:r>
      <w:r>
        <w:rPr>
          <w:rFonts w:hint="eastAsia" w:hAnsi="宋体" w:cs="宋体"/>
          <w:b/>
          <w:sz w:val="24"/>
          <w:szCs w:val="24"/>
        </w:rPr>
        <w:t>2021年</w:t>
      </w:r>
      <w:r>
        <w:rPr>
          <w:rFonts w:hint="eastAsia" w:hAnsi="宋体" w:cs="宋体"/>
          <w:b/>
          <w:sz w:val="24"/>
          <w:szCs w:val="24"/>
          <w:lang w:val="en-US" w:eastAsia="zh-CN"/>
        </w:rPr>
        <w:t>3</w:t>
      </w:r>
      <w:r>
        <w:rPr>
          <w:rFonts w:hint="eastAsia" w:hAnsi="宋体" w:cs="宋体"/>
          <w:b/>
          <w:sz w:val="24"/>
          <w:szCs w:val="24"/>
        </w:rPr>
        <w:t>月</w:t>
      </w:r>
      <w:r>
        <w:rPr>
          <w:rFonts w:hint="eastAsia" w:hAnsi="宋体" w:cs="宋体"/>
          <w:b/>
          <w:sz w:val="24"/>
          <w:szCs w:val="24"/>
          <w:lang w:val="en-US" w:eastAsia="zh-CN"/>
        </w:rPr>
        <w:t>25</w:t>
      </w:r>
      <w:r>
        <w:rPr>
          <w:rFonts w:hint="eastAsia" w:hAnsi="宋体" w:cs="宋体"/>
          <w:b/>
          <w:sz w:val="24"/>
          <w:szCs w:val="24"/>
        </w:rPr>
        <w:t>日至2021年</w:t>
      </w:r>
      <w:r>
        <w:rPr>
          <w:rFonts w:hint="eastAsia" w:hAnsi="宋体" w:cs="宋体"/>
          <w:b/>
          <w:sz w:val="24"/>
          <w:szCs w:val="24"/>
          <w:lang w:val="en-US" w:eastAsia="zh-CN"/>
        </w:rPr>
        <w:t>4</w:t>
      </w:r>
      <w:r>
        <w:rPr>
          <w:rFonts w:hint="eastAsia" w:hAnsi="宋体" w:cs="宋体"/>
          <w:b/>
          <w:sz w:val="24"/>
          <w:szCs w:val="24"/>
        </w:rPr>
        <w:t>月</w:t>
      </w:r>
      <w:r>
        <w:rPr>
          <w:rFonts w:hint="eastAsia" w:hAnsi="宋体" w:cs="宋体"/>
          <w:b/>
          <w:sz w:val="24"/>
          <w:szCs w:val="24"/>
          <w:lang w:val="en-US" w:eastAsia="zh-CN"/>
        </w:rPr>
        <w:t>14</w:t>
      </w:r>
      <w:r>
        <w:rPr>
          <w:rFonts w:hint="eastAsia" w:hAnsi="宋体" w:cs="宋体"/>
          <w:b/>
          <w:sz w:val="24"/>
          <w:szCs w:val="24"/>
        </w:rPr>
        <w:t>日09时00分止。</w:t>
      </w:r>
    </w:p>
    <w:p>
      <w:pPr>
        <w:pStyle w:val="22"/>
        <w:snapToGrid w:val="0"/>
        <w:spacing w:line="440" w:lineRule="exact"/>
        <w:ind w:firstLine="480" w:firstLineChars="200"/>
        <w:rPr>
          <w:rFonts w:hAnsi="宋体" w:cs="宋体"/>
          <w:sz w:val="24"/>
          <w:szCs w:val="24"/>
        </w:rPr>
      </w:pPr>
      <w:r>
        <w:rPr>
          <w:rFonts w:hint="eastAsia" w:hAnsi="宋体" w:cs="宋体"/>
          <w:sz w:val="24"/>
          <w:szCs w:val="24"/>
        </w:rPr>
        <w:t>2、发布地点：</w:t>
      </w:r>
    </w:p>
    <w:p>
      <w:pPr>
        <w:spacing w:line="420" w:lineRule="exact"/>
        <w:ind w:firstLine="460" w:firstLineChars="192"/>
        <w:rPr>
          <w:rFonts w:ascii="宋体" w:hAnsi="宋体" w:cs="宋体"/>
          <w:sz w:val="24"/>
          <w:szCs w:val="24"/>
        </w:rPr>
      </w:pPr>
      <w:r>
        <w:rPr>
          <w:rFonts w:hint="eastAsia" w:ascii="宋体" w:hAnsi="宋体" w:cs="宋体"/>
          <w:sz w:val="24"/>
          <w:szCs w:val="24"/>
        </w:rPr>
        <w:t xml:space="preserve">浙江省政府采购网( </w:t>
      </w:r>
      <w:r>
        <w:fldChar w:fldCharType="begin"/>
      </w:r>
      <w:r>
        <w:instrText xml:space="preserve"> HYPERLINK "http://www.zjzfcg.gov.cn/" </w:instrText>
      </w:r>
      <w:r>
        <w:fldChar w:fldCharType="separate"/>
      </w:r>
      <w:r>
        <w:rPr>
          <w:rFonts w:hint="eastAsia" w:ascii="宋体" w:hAnsi="宋体" w:cs="宋体"/>
          <w:sz w:val="24"/>
          <w:szCs w:val="24"/>
        </w:rPr>
        <w:t>http://www.zjzfcg.gov.cn/</w:t>
      </w:r>
      <w:r>
        <w:rPr>
          <w:rFonts w:hint="eastAsia" w:ascii="宋体" w:hAnsi="宋体" w:cs="宋体"/>
          <w:sz w:val="24"/>
          <w:szCs w:val="24"/>
        </w:rPr>
        <w:fldChar w:fldCharType="end"/>
      </w:r>
      <w:r>
        <w:rPr>
          <w:rFonts w:hint="eastAsia" w:ascii="宋体" w:hAnsi="宋体" w:cs="宋体"/>
          <w:sz w:val="24"/>
          <w:szCs w:val="24"/>
        </w:rPr>
        <w:t xml:space="preserve"> )； </w:t>
      </w:r>
    </w:p>
    <w:p>
      <w:pPr>
        <w:pStyle w:val="22"/>
        <w:spacing w:line="440" w:lineRule="exact"/>
        <w:ind w:firstLine="480" w:firstLineChars="200"/>
        <w:rPr>
          <w:rFonts w:hAnsi="宋体" w:cs="宋体"/>
          <w:sz w:val="24"/>
          <w:szCs w:val="24"/>
        </w:rPr>
      </w:pPr>
      <w:r>
        <w:rPr>
          <w:rFonts w:hint="eastAsia" w:hAnsi="宋体" w:cs="宋体"/>
          <w:sz w:val="24"/>
          <w:szCs w:val="24"/>
        </w:rPr>
        <w:t>建德市门户网（http://www.jiande.gov.cn/col/col1229346101/index.html）</w:t>
      </w:r>
      <w:r>
        <w:fldChar w:fldCharType="begin"/>
      </w:r>
      <w:r>
        <w:instrText xml:space="preserve"> HYPERLINK "http://www.zjzfcg.gov.cn" </w:instrText>
      </w:r>
      <w:r>
        <w:fldChar w:fldCharType="separate"/>
      </w:r>
      <w:r>
        <w:fldChar w:fldCharType="end"/>
      </w:r>
      <w:r>
        <w:rPr>
          <w:rFonts w:hint="eastAsia" w:hAnsi="宋体" w:cs="宋体"/>
          <w:sz w:val="24"/>
          <w:szCs w:val="24"/>
        </w:rPr>
        <w:t>。</w:t>
      </w:r>
    </w:p>
    <w:p>
      <w:pPr>
        <w:pStyle w:val="22"/>
        <w:spacing w:line="440" w:lineRule="exact"/>
        <w:ind w:firstLine="480" w:firstLineChars="200"/>
        <w:rPr>
          <w:rFonts w:hAnsi="宋体" w:cs="宋体"/>
          <w:sz w:val="24"/>
          <w:szCs w:val="24"/>
        </w:rPr>
      </w:pPr>
      <w:r>
        <w:rPr>
          <w:rFonts w:hint="eastAsia" w:hAnsi="宋体" w:cs="宋体"/>
          <w:sz w:val="24"/>
          <w:szCs w:val="24"/>
        </w:rPr>
        <w:t>3、招标文件费用：无。</w:t>
      </w:r>
    </w:p>
    <w:p>
      <w:pPr>
        <w:pStyle w:val="22"/>
        <w:snapToGrid w:val="0"/>
        <w:spacing w:line="440" w:lineRule="exact"/>
        <w:ind w:firstLine="482" w:firstLineChars="200"/>
        <w:rPr>
          <w:rFonts w:hAnsi="宋体" w:cs="宋体"/>
          <w:b/>
          <w:sz w:val="24"/>
          <w:szCs w:val="24"/>
        </w:rPr>
      </w:pPr>
      <w:r>
        <w:rPr>
          <w:rFonts w:hint="eastAsia" w:hAnsi="宋体" w:cs="宋体"/>
          <w:b/>
          <w:sz w:val="24"/>
          <w:szCs w:val="24"/>
        </w:rPr>
        <w:t>4、本项目为资格后审，无需报名。</w:t>
      </w:r>
    </w:p>
    <w:p>
      <w:pPr>
        <w:spacing w:line="420" w:lineRule="exact"/>
        <w:ind w:firstLine="523" w:firstLineChars="217"/>
        <w:rPr>
          <w:rFonts w:ascii="宋体" w:hAnsi="宋体" w:cs="宋体"/>
          <w:b/>
          <w:sz w:val="24"/>
          <w:szCs w:val="24"/>
        </w:rPr>
      </w:pPr>
      <w:r>
        <w:rPr>
          <w:rFonts w:hint="eastAsia" w:ascii="宋体" w:hAnsi="宋体" w:cs="宋体"/>
          <w:b/>
          <w:bCs/>
          <w:sz w:val="24"/>
          <w:szCs w:val="24"/>
        </w:rPr>
        <w:t>五、投标截止时间和地点：</w:t>
      </w:r>
      <w:r>
        <w:rPr>
          <w:rFonts w:hint="eastAsia" w:ascii="宋体" w:hAnsi="宋体" w:cs="宋体"/>
          <w:sz w:val="24"/>
          <w:szCs w:val="24"/>
        </w:rPr>
        <w:t>投标人应于</w:t>
      </w:r>
      <w:r>
        <w:rPr>
          <w:rFonts w:hint="eastAsia" w:ascii="宋体" w:hAnsi="宋体" w:cs="宋体"/>
          <w:b/>
          <w:sz w:val="24"/>
          <w:szCs w:val="24"/>
        </w:rPr>
        <w:t>2021年</w:t>
      </w:r>
      <w:r>
        <w:rPr>
          <w:rFonts w:hint="eastAsia" w:ascii="宋体" w:hAnsi="宋体" w:cs="宋体"/>
          <w:b/>
          <w:sz w:val="24"/>
          <w:szCs w:val="24"/>
          <w:lang w:val="en-US" w:eastAsia="zh-CN"/>
        </w:rPr>
        <w:t>4</w:t>
      </w:r>
      <w:r>
        <w:rPr>
          <w:rFonts w:hint="eastAsia" w:ascii="宋体" w:hAnsi="宋体" w:cs="宋体"/>
          <w:b/>
          <w:sz w:val="24"/>
          <w:szCs w:val="24"/>
        </w:rPr>
        <w:t>月</w:t>
      </w:r>
      <w:r>
        <w:rPr>
          <w:rFonts w:hint="eastAsia" w:ascii="宋体" w:hAnsi="宋体" w:cs="宋体"/>
          <w:b/>
          <w:sz w:val="24"/>
          <w:szCs w:val="24"/>
          <w:lang w:val="en-US" w:eastAsia="zh-CN"/>
        </w:rPr>
        <w:t>14</w:t>
      </w:r>
      <w:r>
        <w:rPr>
          <w:rFonts w:hint="eastAsia" w:ascii="宋体" w:hAnsi="宋体" w:cs="宋体"/>
          <w:b/>
          <w:sz w:val="24"/>
          <w:szCs w:val="24"/>
        </w:rPr>
        <w:t>日09时00分</w:t>
      </w:r>
      <w:r>
        <w:rPr>
          <w:rFonts w:hint="eastAsia" w:ascii="宋体" w:hAnsi="宋体" w:cs="宋体"/>
          <w:sz w:val="24"/>
          <w:szCs w:val="24"/>
        </w:rPr>
        <w:t>前将投标文件密封送交到杭州市公共资源交易中心建德分中心（建德市洋安社区荷映路113号三楼），逾期送达或未密封将予以拒收。</w:t>
      </w:r>
    </w:p>
    <w:p>
      <w:pPr>
        <w:pStyle w:val="22"/>
        <w:snapToGrid w:val="0"/>
        <w:spacing w:line="440" w:lineRule="exact"/>
        <w:ind w:firstLine="482" w:firstLineChars="200"/>
        <w:rPr>
          <w:rFonts w:hAnsi="宋体" w:cs="宋体"/>
          <w:sz w:val="24"/>
          <w:szCs w:val="24"/>
        </w:rPr>
      </w:pPr>
      <w:r>
        <w:rPr>
          <w:rFonts w:hint="eastAsia" w:hAnsi="宋体" w:cs="宋体"/>
          <w:b/>
          <w:bCs/>
          <w:sz w:val="24"/>
          <w:szCs w:val="24"/>
        </w:rPr>
        <w:t>六、开标时间及地点：</w:t>
      </w:r>
      <w:r>
        <w:rPr>
          <w:rFonts w:hint="eastAsia" w:hAnsi="宋体" w:cs="宋体"/>
          <w:sz w:val="24"/>
          <w:szCs w:val="24"/>
        </w:rPr>
        <w:t>本次招标将于</w:t>
      </w:r>
      <w:r>
        <w:rPr>
          <w:rFonts w:hint="eastAsia" w:hAnsi="宋体" w:cs="宋体"/>
          <w:b/>
          <w:sz w:val="24"/>
          <w:szCs w:val="24"/>
        </w:rPr>
        <w:t>2021年</w:t>
      </w:r>
      <w:r>
        <w:rPr>
          <w:rFonts w:hint="eastAsia" w:hAnsi="宋体" w:cs="宋体"/>
          <w:b/>
          <w:sz w:val="24"/>
          <w:szCs w:val="24"/>
          <w:lang w:val="en-US" w:eastAsia="zh-CN"/>
        </w:rPr>
        <w:t>4</w:t>
      </w:r>
      <w:r>
        <w:rPr>
          <w:rFonts w:hint="eastAsia" w:hAnsi="宋体" w:cs="宋体"/>
          <w:b/>
          <w:sz w:val="24"/>
          <w:szCs w:val="24"/>
        </w:rPr>
        <w:t>月</w:t>
      </w:r>
      <w:r>
        <w:rPr>
          <w:rFonts w:hint="eastAsia" w:hAnsi="宋体" w:cs="宋体"/>
          <w:b/>
          <w:sz w:val="24"/>
          <w:szCs w:val="24"/>
          <w:lang w:val="en-US" w:eastAsia="zh-CN"/>
        </w:rPr>
        <w:t>14</w:t>
      </w:r>
      <w:r>
        <w:rPr>
          <w:rFonts w:hint="eastAsia" w:hAnsi="宋体" w:cs="宋体"/>
          <w:b/>
          <w:sz w:val="24"/>
          <w:szCs w:val="24"/>
        </w:rPr>
        <w:t>日09时00分</w:t>
      </w:r>
      <w:r>
        <w:rPr>
          <w:rFonts w:hint="eastAsia" w:hAnsi="宋体" w:cs="宋体"/>
          <w:sz w:val="24"/>
          <w:szCs w:val="24"/>
        </w:rPr>
        <w:t>在杭州市公共资源交易中心建德分中心</w:t>
      </w:r>
      <w:r>
        <w:rPr>
          <w:rFonts w:hint="eastAsia" w:hAnsi="宋体" w:cs="宋体"/>
          <w:sz w:val="24"/>
          <w:szCs w:val="24"/>
          <w:lang w:val="en-US" w:eastAsia="zh-CN"/>
        </w:rPr>
        <w:t>3</w:t>
      </w:r>
      <w:r>
        <w:rPr>
          <w:rFonts w:hint="eastAsia" w:hAnsi="宋体" w:cs="宋体"/>
          <w:sz w:val="24"/>
          <w:szCs w:val="24"/>
        </w:rPr>
        <w:t>号开标室（建德市洋安社区荷映路113号三楼）开标，投标人代表派授权代表出席开标会议</w:t>
      </w:r>
      <w:r>
        <w:rPr>
          <w:rFonts w:hint="eastAsia" w:hAnsi="宋体" w:cs="宋体"/>
          <w:b/>
          <w:bCs/>
          <w:sz w:val="24"/>
          <w:szCs w:val="24"/>
        </w:rPr>
        <w:t>（如是授权代理人参加须携带身份证、授权委托书原件等有效证明出席，如是法定代表人参加须携带身份证、营业执照复印件出席）</w:t>
      </w:r>
      <w:r>
        <w:rPr>
          <w:rFonts w:hint="eastAsia" w:hAnsi="宋体" w:cs="宋体"/>
          <w:sz w:val="24"/>
          <w:szCs w:val="24"/>
        </w:rPr>
        <w:t>。</w:t>
      </w:r>
    </w:p>
    <w:p>
      <w:pPr>
        <w:pStyle w:val="22"/>
        <w:snapToGrid w:val="0"/>
        <w:spacing w:line="440" w:lineRule="exact"/>
        <w:ind w:firstLine="482" w:firstLineChars="200"/>
        <w:rPr>
          <w:rFonts w:hAnsi="宋体" w:cs="宋体"/>
          <w:b/>
          <w:bCs/>
          <w:sz w:val="24"/>
          <w:szCs w:val="24"/>
        </w:rPr>
      </w:pPr>
      <w:r>
        <w:rPr>
          <w:rFonts w:hint="eastAsia" w:hAnsi="宋体" w:cs="宋体"/>
          <w:b/>
          <w:bCs/>
          <w:sz w:val="24"/>
          <w:szCs w:val="24"/>
        </w:rPr>
        <w:t>七、发布媒体：</w:t>
      </w:r>
    </w:p>
    <w:p>
      <w:pPr>
        <w:spacing w:line="420" w:lineRule="exact"/>
        <w:ind w:firstLine="460" w:firstLineChars="192"/>
        <w:rPr>
          <w:rFonts w:ascii="宋体" w:hAnsi="宋体" w:cs="宋体"/>
          <w:sz w:val="24"/>
          <w:szCs w:val="24"/>
        </w:rPr>
      </w:pPr>
      <w:r>
        <w:rPr>
          <w:rFonts w:hint="eastAsia" w:ascii="宋体" w:hAnsi="宋体" w:cs="宋体"/>
          <w:sz w:val="24"/>
          <w:szCs w:val="24"/>
        </w:rPr>
        <w:t xml:space="preserve">浙江省政府采购网( </w:t>
      </w:r>
      <w:r>
        <w:fldChar w:fldCharType="begin"/>
      </w:r>
      <w:r>
        <w:instrText xml:space="preserve"> HYPERLINK "http://www.zjzfcg.gov.cn/" </w:instrText>
      </w:r>
      <w:r>
        <w:fldChar w:fldCharType="separate"/>
      </w:r>
      <w:r>
        <w:rPr>
          <w:rFonts w:hint="eastAsia" w:ascii="宋体" w:hAnsi="宋体" w:cs="宋体"/>
          <w:sz w:val="24"/>
          <w:szCs w:val="24"/>
        </w:rPr>
        <w:t>http://www.zjzfcg.gov.cn/</w:t>
      </w:r>
      <w:r>
        <w:rPr>
          <w:rFonts w:hint="eastAsia" w:ascii="宋体" w:hAnsi="宋体" w:cs="宋体"/>
          <w:sz w:val="24"/>
          <w:szCs w:val="24"/>
        </w:rPr>
        <w:fldChar w:fldCharType="end"/>
      </w:r>
      <w:r>
        <w:rPr>
          <w:rFonts w:hint="eastAsia" w:ascii="宋体" w:hAnsi="宋体" w:cs="宋体"/>
          <w:sz w:val="24"/>
          <w:szCs w:val="24"/>
        </w:rPr>
        <w:t xml:space="preserve"> )； </w:t>
      </w:r>
    </w:p>
    <w:p>
      <w:pPr>
        <w:pStyle w:val="22"/>
        <w:spacing w:line="440" w:lineRule="exact"/>
        <w:ind w:firstLine="480" w:firstLineChars="200"/>
        <w:rPr>
          <w:rFonts w:hAnsi="宋体" w:cs="宋体"/>
          <w:sz w:val="24"/>
          <w:szCs w:val="24"/>
        </w:rPr>
      </w:pPr>
      <w:r>
        <w:rPr>
          <w:rFonts w:hint="eastAsia" w:hAnsi="宋体" w:cs="宋体"/>
          <w:sz w:val="24"/>
          <w:szCs w:val="24"/>
        </w:rPr>
        <w:t>建德市门户网（http://www.jiande.gov.cn/col/col1229346101/index.html）</w:t>
      </w:r>
      <w:r>
        <w:fldChar w:fldCharType="begin"/>
      </w:r>
      <w:r>
        <w:instrText xml:space="preserve"> HYPERLINK "http://www.zjzfcg.gov.cn" </w:instrText>
      </w:r>
      <w:r>
        <w:fldChar w:fldCharType="separate"/>
      </w:r>
      <w:r>
        <w:fldChar w:fldCharType="end"/>
      </w:r>
      <w:r>
        <w:rPr>
          <w:rFonts w:hint="eastAsia" w:hAnsi="宋体" w:cs="宋体"/>
          <w:sz w:val="24"/>
          <w:szCs w:val="24"/>
        </w:rPr>
        <w:t>。</w:t>
      </w:r>
    </w:p>
    <w:p>
      <w:pPr>
        <w:spacing w:line="440" w:lineRule="exact"/>
        <w:ind w:firstLine="523" w:firstLineChars="217"/>
        <w:rPr>
          <w:rFonts w:ascii="宋体" w:hAnsi="宋体" w:cs="宋体"/>
          <w:b/>
          <w:sz w:val="24"/>
          <w:szCs w:val="24"/>
        </w:rPr>
      </w:pPr>
      <w:r>
        <w:rPr>
          <w:rFonts w:hint="eastAsia" w:ascii="宋体" w:hAnsi="宋体" w:cs="宋体"/>
          <w:b/>
          <w:sz w:val="24"/>
          <w:szCs w:val="24"/>
        </w:rPr>
        <w:t>八、信用记录</w:t>
      </w:r>
    </w:p>
    <w:p>
      <w:pPr>
        <w:spacing w:line="440" w:lineRule="exact"/>
        <w:ind w:firstLine="520" w:firstLineChars="217"/>
        <w:rPr>
          <w:rFonts w:ascii="宋体" w:hAnsi="宋体" w:cs="宋体"/>
          <w:bCs/>
          <w:sz w:val="24"/>
          <w:szCs w:val="24"/>
        </w:rPr>
      </w:pPr>
      <w:r>
        <w:rPr>
          <w:rFonts w:hint="eastAsia" w:ascii="宋体" w:hAnsi="宋体" w:cs="宋体"/>
          <w:bCs/>
          <w:sz w:val="24"/>
          <w:szCs w:val="24"/>
        </w:rPr>
        <w:t>根据财库[2016]125号《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案件当事人名单、政府采购严重违法失信行为记录名单或浙江政府采购网曝光台中尚在行政处罚期内的）</w:t>
      </w:r>
    </w:p>
    <w:p>
      <w:pPr>
        <w:spacing w:line="440" w:lineRule="exact"/>
        <w:ind w:firstLine="480" w:firstLineChars="200"/>
        <w:rPr>
          <w:rFonts w:ascii="宋体" w:hAnsi="宋体" w:cs="宋体"/>
          <w:bCs/>
          <w:sz w:val="24"/>
          <w:szCs w:val="24"/>
        </w:rPr>
      </w:pPr>
      <w:r>
        <w:rPr>
          <w:rFonts w:hint="eastAsia" w:ascii="宋体" w:hAnsi="宋体" w:cs="宋体"/>
          <w:bCs/>
          <w:sz w:val="24"/>
          <w:szCs w:val="24"/>
        </w:rPr>
        <w:t>1、信用信息查询的截止时点：投标截止时间；</w:t>
      </w:r>
    </w:p>
    <w:p>
      <w:pPr>
        <w:spacing w:line="440" w:lineRule="exact"/>
        <w:ind w:firstLine="480" w:firstLineChars="200"/>
        <w:rPr>
          <w:rFonts w:ascii="宋体" w:hAnsi="宋体" w:cs="宋体"/>
          <w:bCs/>
          <w:sz w:val="24"/>
          <w:szCs w:val="24"/>
        </w:rPr>
      </w:pPr>
      <w:r>
        <w:rPr>
          <w:rFonts w:hint="eastAsia" w:ascii="宋体" w:hAnsi="宋体" w:cs="宋体"/>
          <w:bCs/>
          <w:sz w:val="24"/>
          <w:szCs w:val="24"/>
        </w:rPr>
        <w:t>2、查询渠道：</w:t>
      </w:r>
    </w:p>
    <w:p>
      <w:pPr>
        <w:spacing w:line="440" w:lineRule="exact"/>
        <w:ind w:firstLine="520" w:firstLineChars="217"/>
        <w:rPr>
          <w:rFonts w:ascii="宋体" w:hAnsi="宋体" w:cs="宋体"/>
          <w:bCs/>
          <w:sz w:val="24"/>
          <w:szCs w:val="24"/>
        </w:rPr>
      </w:pPr>
      <w:r>
        <w:rPr>
          <w:rFonts w:hint="eastAsia" w:ascii="宋体" w:hAnsi="宋体" w:cs="宋体"/>
          <w:bCs/>
          <w:sz w:val="24"/>
          <w:szCs w:val="24"/>
        </w:rPr>
        <w:t>中国政府采购网（www.ccgp.gov.cn）；</w:t>
      </w:r>
    </w:p>
    <w:p>
      <w:pPr>
        <w:spacing w:line="440" w:lineRule="exact"/>
        <w:ind w:firstLine="520" w:firstLineChars="217"/>
        <w:rPr>
          <w:rFonts w:ascii="宋体" w:hAnsi="宋体" w:cs="宋体"/>
          <w:bCs/>
          <w:sz w:val="24"/>
          <w:szCs w:val="24"/>
        </w:rPr>
      </w:pPr>
      <w:r>
        <w:rPr>
          <w:rFonts w:hint="eastAsia" w:ascii="宋体" w:hAnsi="宋体" w:cs="宋体"/>
          <w:bCs/>
          <w:sz w:val="24"/>
          <w:szCs w:val="24"/>
        </w:rPr>
        <w:t>浙江政府采购网（www.zjzfcg.gov.cn）；</w:t>
      </w:r>
    </w:p>
    <w:p>
      <w:pPr>
        <w:spacing w:line="440" w:lineRule="exact"/>
        <w:ind w:firstLine="520" w:firstLineChars="217"/>
        <w:rPr>
          <w:rFonts w:ascii="宋体" w:hAnsi="宋体" w:cs="宋体"/>
          <w:bCs/>
          <w:sz w:val="24"/>
          <w:szCs w:val="24"/>
        </w:rPr>
      </w:pPr>
      <w:r>
        <w:rPr>
          <w:rFonts w:hint="eastAsia" w:ascii="宋体" w:hAnsi="宋体" w:cs="宋体"/>
          <w:bCs/>
          <w:sz w:val="24"/>
          <w:szCs w:val="24"/>
        </w:rPr>
        <w:t>信用中国（</w:t>
      </w:r>
      <w:r>
        <w:fldChar w:fldCharType="begin"/>
      </w:r>
      <w:r>
        <w:instrText xml:space="preserve"> HYPERLINK "http://www.creditchina.gov.cn/）和企业所在的省、市、区（县）四级信用平台查询投标截止日期前7天之内（不含投标当天）的信用信息，打印查询结果页面内容并加盖投标单位公章。信用信息查询因网站原因无法提供记录的，到所在区（县）信用办开具相关证明。" </w:instrText>
      </w:r>
      <w:r>
        <w:fldChar w:fldCharType="separate"/>
      </w:r>
      <w:r>
        <w:rPr>
          <w:rFonts w:hint="eastAsia" w:ascii="宋体" w:hAnsi="宋体" w:cs="宋体"/>
          <w:bCs/>
          <w:sz w:val="24"/>
          <w:szCs w:val="24"/>
        </w:rPr>
        <w:t>http://www.creditchina.gov.cn/）和企业所在的省级信用查询平台</w:t>
      </w:r>
      <w:r>
        <w:rPr>
          <w:rFonts w:hint="eastAsia" w:ascii="宋体" w:hAnsi="宋体" w:cs="宋体"/>
          <w:bCs/>
          <w:sz w:val="24"/>
          <w:szCs w:val="24"/>
        </w:rPr>
        <w:fldChar w:fldCharType="end"/>
      </w:r>
      <w:r>
        <w:rPr>
          <w:rFonts w:hint="eastAsia" w:ascii="宋体" w:hAnsi="宋体" w:cs="宋体"/>
          <w:bCs/>
          <w:sz w:val="24"/>
          <w:szCs w:val="24"/>
        </w:rPr>
        <w:t>。</w:t>
      </w:r>
    </w:p>
    <w:p>
      <w:pPr>
        <w:spacing w:line="440" w:lineRule="exact"/>
        <w:ind w:firstLine="480" w:firstLineChars="200"/>
        <w:rPr>
          <w:rFonts w:ascii="宋体" w:hAnsi="宋体" w:cs="宋体"/>
        </w:rPr>
      </w:pPr>
      <w:r>
        <w:rPr>
          <w:rFonts w:hint="eastAsia" w:ascii="宋体" w:hAnsi="宋体" w:cs="宋体"/>
          <w:bCs/>
          <w:sz w:val="24"/>
          <w:szCs w:val="24"/>
        </w:rPr>
        <w:t>3、信用信息查询记录和证据留存具体方式：采购代理机构经办人和现场管理员将查询网页打印、签字与其他采购文件一并保存。</w:t>
      </w:r>
    </w:p>
    <w:p>
      <w:pPr>
        <w:pStyle w:val="37"/>
        <w:spacing w:line="440" w:lineRule="exact"/>
        <w:ind w:left="0" w:leftChars="0" w:firstLine="0" w:firstLineChars="0"/>
        <w:rPr>
          <w:rFonts w:ascii="宋体" w:hAnsi="宋体" w:cs="宋体"/>
          <w:b/>
        </w:rPr>
      </w:pPr>
      <w:r>
        <w:rPr>
          <w:rFonts w:hint="eastAsia" w:ascii="宋体" w:hAnsi="宋体" w:cs="宋体"/>
          <w:bCs/>
          <w:sz w:val="24"/>
        </w:rPr>
        <w:t xml:space="preserve">   </w:t>
      </w:r>
      <w:r>
        <w:rPr>
          <w:rFonts w:hint="eastAsia" w:ascii="宋体" w:hAnsi="宋体" w:cs="宋体"/>
          <w:b/>
          <w:sz w:val="24"/>
        </w:rPr>
        <w:t xml:space="preserve"> 九、本项目为非政府采购项目。</w:t>
      </w:r>
    </w:p>
    <w:p>
      <w:pPr>
        <w:pStyle w:val="22"/>
        <w:snapToGrid w:val="0"/>
        <w:spacing w:line="440" w:lineRule="exact"/>
        <w:ind w:firstLine="482" w:firstLineChars="200"/>
        <w:rPr>
          <w:rFonts w:hAnsi="宋体" w:cs="宋体"/>
          <w:b/>
          <w:bCs/>
          <w:sz w:val="24"/>
          <w:szCs w:val="24"/>
        </w:rPr>
      </w:pPr>
      <w:r>
        <w:rPr>
          <w:rFonts w:hint="eastAsia" w:hAnsi="宋体" w:cs="宋体"/>
          <w:b/>
          <w:bCs/>
          <w:sz w:val="24"/>
          <w:szCs w:val="24"/>
        </w:rPr>
        <w:t>十、业务咨询：</w:t>
      </w:r>
    </w:p>
    <w:p>
      <w:pPr>
        <w:spacing w:line="440" w:lineRule="exact"/>
        <w:ind w:firstLine="480" w:firstLineChars="200"/>
        <w:rPr>
          <w:rFonts w:hint="default" w:ascii="宋体" w:hAnsi="宋体" w:cs="宋体"/>
          <w:sz w:val="24"/>
          <w:szCs w:val="24"/>
          <w:lang w:val="en-US"/>
        </w:rPr>
      </w:pPr>
      <w:r>
        <w:rPr>
          <w:rFonts w:hint="eastAsia" w:ascii="宋体" w:hAnsi="宋体" w:cs="宋体"/>
          <w:sz w:val="24"/>
          <w:szCs w:val="24"/>
        </w:rPr>
        <w:t>采购单位：建德市新安江第二小学</w:t>
      </w:r>
      <w:r>
        <w:rPr>
          <w:rFonts w:hint="eastAsia" w:ascii="宋体" w:hAnsi="宋体" w:cs="宋体"/>
          <w:sz w:val="24"/>
          <w:szCs w:val="24"/>
          <w:lang w:eastAsia="zh-CN"/>
        </w:rPr>
        <w:t>、</w:t>
      </w:r>
      <w:r>
        <w:rPr>
          <w:rFonts w:hint="eastAsia" w:ascii="宋体" w:hAnsi="宋体" w:cs="宋体"/>
          <w:sz w:val="24"/>
          <w:szCs w:val="24"/>
          <w:lang w:val="en-US" w:eastAsia="zh-CN"/>
        </w:rPr>
        <w:t>建德市资产经营投资有限公司</w:t>
      </w:r>
    </w:p>
    <w:p>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联系人：雷勤建</w:t>
      </w:r>
      <w:r>
        <w:rPr>
          <w:rFonts w:hint="eastAsia" w:ascii="宋体" w:hAnsi="宋体" w:cs="宋体"/>
          <w:sz w:val="24"/>
          <w:szCs w:val="24"/>
          <w:lang w:eastAsia="zh-CN"/>
        </w:rPr>
        <w:t>、钱泓伶</w:t>
      </w:r>
      <w:r>
        <w:rPr>
          <w:rFonts w:hint="eastAsia" w:ascii="宋体" w:hAnsi="宋体" w:cs="宋体"/>
          <w:sz w:val="24"/>
          <w:szCs w:val="24"/>
        </w:rPr>
        <w:t xml:space="preserve">  联系电话：13968123552</w:t>
      </w:r>
      <w:r>
        <w:rPr>
          <w:rFonts w:hint="eastAsia" w:ascii="宋体" w:hAnsi="宋体" w:cs="宋体"/>
          <w:sz w:val="24"/>
          <w:szCs w:val="24"/>
          <w:lang w:eastAsia="zh-CN"/>
        </w:rPr>
        <w:t>、</w:t>
      </w:r>
      <w:r>
        <w:rPr>
          <w:rFonts w:hint="eastAsia" w:ascii="宋体" w:hAnsi="宋体" w:cs="宋体"/>
          <w:sz w:val="24"/>
          <w:szCs w:val="24"/>
          <w:lang w:val="en-US" w:eastAsia="zh-CN"/>
        </w:rPr>
        <w:t>13868122053</w:t>
      </w:r>
    </w:p>
    <w:p>
      <w:pPr>
        <w:spacing w:line="440" w:lineRule="exact"/>
        <w:ind w:firstLine="480" w:firstLineChars="200"/>
        <w:rPr>
          <w:rFonts w:ascii="宋体" w:hAnsi="宋体" w:cs="宋体"/>
          <w:sz w:val="24"/>
          <w:szCs w:val="24"/>
        </w:rPr>
      </w:pPr>
      <w:r>
        <w:rPr>
          <w:rFonts w:hint="eastAsia" w:ascii="宋体" w:hAnsi="宋体" w:cs="宋体"/>
          <w:sz w:val="24"/>
          <w:szCs w:val="24"/>
        </w:rPr>
        <w:t>招标代理机构：耀华建设管理有限公司</w:t>
      </w:r>
    </w:p>
    <w:p>
      <w:pPr>
        <w:spacing w:line="440" w:lineRule="exact"/>
        <w:ind w:firstLine="480" w:firstLineChars="200"/>
        <w:rPr>
          <w:rFonts w:ascii="宋体" w:hAnsi="宋体" w:cs="宋体"/>
          <w:sz w:val="24"/>
          <w:szCs w:val="24"/>
        </w:rPr>
      </w:pPr>
      <w:r>
        <w:rPr>
          <w:rFonts w:hint="eastAsia" w:ascii="宋体" w:hAnsi="宋体" w:cs="宋体"/>
          <w:sz w:val="24"/>
          <w:szCs w:val="24"/>
        </w:rPr>
        <w:t>联系人：柴文琪    联系电话:19957823508</w:t>
      </w:r>
    </w:p>
    <w:p>
      <w:pPr>
        <w:spacing w:line="440" w:lineRule="exact"/>
        <w:ind w:firstLine="463" w:firstLineChars="192"/>
        <w:rPr>
          <w:rFonts w:ascii="宋体" w:hAnsi="宋体" w:cs="宋体"/>
          <w:b/>
          <w:sz w:val="24"/>
          <w:szCs w:val="24"/>
        </w:rPr>
      </w:pPr>
    </w:p>
    <w:p>
      <w:pPr>
        <w:spacing w:line="440" w:lineRule="exact"/>
        <w:ind w:firstLine="463" w:firstLineChars="192"/>
        <w:rPr>
          <w:rFonts w:ascii="宋体" w:hAnsi="宋体" w:cs="宋体"/>
          <w:b/>
          <w:sz w:val="24"/>
          <w:szCs w:val="24"/>
        </w:rPr>
      </w:pPr>
      <w:r>
        <w:rPr>
          <w:rFonts w:hint="eastAsia" w:ascii="宋体" w:hAnsi="宋体" w:cs="宋体"/>
          <w:b/>
          <w:sz w:val="24"/>
          <w:szCs w:val="24"/>
        </w:rPr>
        <w:t>采购争议处理机构：建德市财政局国有资产管理服务中心</w:t>
      </w:r>
    </w:p>
    <w:p>
      <w:pPr>
        <w:spacing w:line="440" w:lineRule="exact"/>
        <w:ind w:firstLine="463" w:firstLineChars="192"/>
        <w:rPr>
          <w:rFonts w:ascii="宋体" w:hAnsi="宋体" w:cs="宋体"/>
          <w:b/>
          <w:sz w:val="24"/>
          <w:szCs w:val="24"/>
        </w:rPr>
      </w:pPr>
      <w:r>
        <w:rPr>
          <w:rFonts w:hint="eastAsia" w:ascii="宋体" w:hAnsi="宋体" w:cs="宋体"/>
          <w:b/>
          <w:sz w:val="24"/>
          <w:szCs w:val="24"/>
        </w:rPr>
        <w:t>地址：建德市新安江街道严州大道 1089 号</w:t>
      </w:r>
    </w:p>
    <w:p>
      <w:pPr>
        <w:spacing w:line="440" w:lineRule="exact"/>
        <w:ind w:firstLine="463" w:firstLineChars="192"/>
        <w:rPr>
          <w:rFonts w:ascii="宋体" w:hAnsi="宋体" w:cs="宋体"/>
          <w:b/>
          <w:sz w:val="24"/>
          <w:szCs w:val="24"/>
        </w:rPr>
      </w:pPr>
      <w:r>
        <w:rPr>
          <w:rFonts w:hint="eastAsia" w:ascii="宋体" w:hAnsi="宋体" w:cs="宋体"/>
          <w:b/>
          <w:sz w:val="24"/>
          <w:szCs w:val="24"/>
        </w:rPr>
        <w:t>监督投诉电话：0571-64727181</w:t>
      </w:r>
    </w:p>
    <w:p>
      <w:pPr>
        <w:pStyle w:val="22"/>
        <w:snapToGrid w:val="0"/>
        <w:spacing w:line="440" w:lineRule="exact"/>
        <w:ind w:firstLine="6360" w:firstLineChars="2650"/>
        <w:rPr>
          <w:rFonts w:hAnsi="宋体" w:cs="宋体"/>
          <w:sz w:val="24"/>
          <w:szCs w:val="24"/>
        </w:rPr>
        <w:sectPr>
          <w:footerReference r:id="rId10" w:type="first"/>
          <w:footerReference r:id="rId9" w:type="default"/>
          <w:pgSz w:w="11906" w:h="16838"/>
          <w:pgMar w:top="1559" w:right="1287" w:bottom="1134" w:left="1287" w:header="851" w:footer="992" w:gutter="0"/>
          <w:pgNumType w:start="1"/>
          <w:cols w:space="720" w:num="1"/>
          <w:titlePg/>
          <w:docGrid w:linePitch="312" w:charSpace="0"/>
        </w:sectPr>
      </w:pPr>
      <w:r>
        <w:rPr>
          <w:rFonts w:hint="eastAsia" w:hAnsi="宋体" w:cs="宋体"/>
          <w:sz w:val="24"/>
          <w:szCs w:val="24"/>
        </w:rPr>
        <w:t xml:space="preserve">         2021年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25</w:t>
      </w:r>
      <w:r>
        <w:rPr>
          <w:rFonts w:hint="eastAsia" w:hAnsi="宋体" w:cs="宋体"/>
          <w:sz w:val="24"/>
          <w:szCs w:val="24"/>
        </w:rPr>
        <w:t>日</w:t>
      </w:r>
    </w:p>
    <w:p>
      <w:pPr>
        <w:pStyle w:val="23"/>
        <w:spacing w:line="400" w:lineRule="exact"/>
        <w:ind w:left="0" w:right="280"/>
        <w:jc w:val="center"/>
        <w:outlineLvl w:val="0"/>
        <w:rPr>
          <w:rStyle w:val="105"/>
          <w:rFonts w:ascii="宋体" w:hAnsi="宋体" w:cs="宋体"/>
          <w:sz w:val="36"/>
          <w:szCs w:val="36"/>
        </w:rPr>
      </w:pPr>
      <w:bookmarkStart w:id="2" w:name="_Toc21682"/>
      <w:bookmarkStart w:id="3" w:name="_Toc28642"/>
      <w:r>
        <w:rPr>
          <w:rStyle w:val="105"/>
          <w:rFonts w:hint="eastAsia" w:ascii="宋体" w:hAnsi="宋体" w:cs="宋体"/>
          <w:sz w:val="36"/>
          <w:szCs w:val="36"/>
        </w:rPr>
        <w:t>第二章  投标须知前附表</w:t>
      </w:r>
      <w:bookmarkEnd w:id="2"/>
      <w:bookmarkEnd w:id="3"/>
    </w:p>
    <w:tbl>
      <w:tblPr>
        <w:tblStyle w:val="38"/>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序号</w:t>
            </w:r>
          </w:p>
        </w:tc>
        <w:tc>
          <w:tcPr>
            <w:tcW w:w="9074" w:type="dxa"/>
            <w:vAlign w:val="center"/>
          </w:tcPr>
          <w:p>
            <w:pPr>
              <w:jc w:val="center"/>
              <w:rPr>
                <w:rStyle w:val="105"/>
                <w:rFonts w:ascii="宋体" w:hAnsi="宋体" w:cs="宋体"/>
                <w:szCs w:val="24"/>
              </w:rPr>
            </w:pPr>
            <w:r>
              <w:rPr>
                <w:rStyle w:val="105"/>
                <w:rFonts w:hint="eastAsia" w:ascii="宋体" w:hAnsi="宋体" w:cs="宋体"/>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w:t>
            </w:r>
          </w:p>
        </w:tc>
        <w:tc>
          <w:tcPr>
            <w:tcW w:w="9074" w:type="dxa"/>
            <w:vAlign w:val="center"/>
          </w:tcPr>
          <w:p>
            <w:pPr>
              <w:rPr>
                <w:rStyle w:val="105"/>
                <w:rFonts w:ascii="宋体" w:hAnsi="宋体" w:cs="宋体"/>
                <w:szCs w:val="24"/>
              </w:rPr>
            </w:pPr>
            <w:r>
              <w:rPr>
                <w:rStyle w:val="105"/>
                <w:rFonts w:hint="eastAsia" w:ascii="宋体" w:hAnsi="宋体" w:cs="宋体"/>
                <w:szCs w:val="24"/>
              </w:rPr>
              <w:t>项目名称：新安江第二小学多媒体影像设备采购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2</w:t>
            </w:r>
          </w:p>
        </w:tc>
        <w:tc>
          <w:tcPr>
            <w:tcW w:w="9074" w:type="dxa"/>
            <w:vAlign w:val="center"/>
          </w:tcPr>
          <w:p>
            <w:pPr>
              <w:rPr>
                <w:rStyle w:val="105"/>
                <w:rFonts w:hint="default" w:ascii="宋体" w:hAnsi="宋体" w:cs="宋体"/>
                <w:szCs w:val="24"/>
                <w:lang w:val="en-US"/>
              </w:rPr>
            </w:pPr>
            <w:r>
              <w:rPr>
                <w:rStyle w:val="105"/>
                <w:rFonts w:hint="eastAsia" w:ascii="宋体" w:hAnsi="宋体" w:cs="宋体"/>
                <w:szCs w:val="24"/>
              </w:rPr>
              <w:t>项目编号：JDYH2021-</w:t>
            </w:r>
            <w:r>
              <w:rPr>
                <w:rStyle w:val="105"/>
                <w:rFonts w:hint="eastAsia" w:ascii="宋体" w:hAnsi="宋体" w:cs="宋体"/>
                <w:szCs w:val="24"/>
                <w:lang w:val="en-US"/>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3</w:t>
            </w:r>
          </w:p>
        </w:tc>
        <w:tc>
          <w:tcPr>
            <w:tcW w:w="9074" w:type="dxa"/>
            <w:vAlign w:val="center"/>
          </w:tcPr>
          <w:p>
            <w:pPr>
              <w:rPr>
                <w:rStyle w:val="105"/>
                <w:rFonts w:ascii="宋体" w:hAnsi="宋体" w:cs="宋体"/>
                <w:szCs w:val="24"/>
              </w:rPr>
            </w:pPr>
            <w:r>
              <w:rPr>
                <w:rStyle w:val="105"/>
                <w:rFonts w:hint="eastAsia" w:ascii="宋体" w:hAnsi="宋体" w:cs="宋体"/>
                <w:szCs w:val="24"/>
              </w:rPr>
              <w:t>投标报价及费用：本项目投标应以人民币报价；不论投标结果如何，投标人均应自行承担所有与投标有关的全部费用。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4</w:t>
            </w:r>
          </w:p>
        </w:tc>
        <w:tc>
          <w:tcPr>
            <w:tcW w:w="9074" w:type="dxa"/>
            <w:vAlign w:val="center"/>
          </w:tcPr>
          <w:p>
            <w:pPr>
              <w:rPr>
                <w:rStyle w:val="105"/>
                <w:rFonts w:ascii="宋体" w:hAnsi="宋体" w:cs="宋体"/>
                <w:szCs w:val="24"/>
              </w:rPr>
            </w:pPr>
            <w:r>
              <w:rPr>
                <w:rStyle w:val="105"/>
                <w:rFonts w:hint="eastAsia" w:ascii="宋体" w:hAnsi="宋体" w:cs="宋体"/>
                <w:szCs w:val="24"/>
              </w:rPr>
              <w:t>答疑与澄清：投标人如认为招标文件表述不清晰、存在歧视性或者其他违法内容的，应当于2021年</w:t>
            </w:r>
            <w:r>
              <w:rPr>
                <w:rStyle w:val="105"/>
                <w:rFonts w:hint="eastAsia" w:ascii="宋体" w:hAnsi="宋体" w:cs="宋体"/>
                <w:szCs w:val="24"/>
                <w:lang w:val="en-US"/>
              </w:rPr>
              <w:t>4</w:t>
            </w:r>
            <w:r>
              <w:rPr>
                <w:rStyle w:val="105"/>
                <w:rFonts w:hint="eastAsia" w:ascii="宋体" w:hAnsi="宋体" w:cs="宋体"/>
                <w:szCs w:val="24"/>
              </w:rPr>
              <w:t>月</w:t>
            </w:r>
            <w:r>
              <w:rPr>
                <w:rStyle w:val="105"/>
                <w:rFonts w:hint="eastAsia" w:ascii="宋体" w:hAnsi="宋体" w:cs="宋体"/>
                <w:szCs w:val="24"/>
                <w:lang w:val="en-US"/>
              </w:rPr>
              <w:t>1</w:t>
            </w:r>
            <w:r>
              <w:rPr>
                <w:rStyle w:val="105"/>
                <w:rFonts w:hint="eastAsia" w:ascii="宋体" w:hAnsi="宋体" w:cs="宋体"/>
                <w:szCs w:val="24"/>
              </w:rPr>
              <w:t>日16：00前，以书面形式要求招标采购单位作出书面解释、澄清或者向招标采购单位提出书面质疑；如有投标人提出质疑的，招标采购单位将2021年</w:t>
            </w:r>
            <w:r>
              <w:rPr>
                <w:rStyle w:val="105"/>
                <w:rFonts w:hint="eastAsia" w:ascii="宋体" w:hAnsi="宋体" w:cs="宋体"/>
                <w:szCs w:val="24"/>
                <w:lang w:val="en-US"/>
              </w:rPr>
              <w:t>4</w:t>
            </w:r>
            <w:r>
              <w:rPr>
                <w:rStyle w:val="105"/>
                <w:rFonts w:hint="eastAsia" w:ascii="宋体" w:hAnsi="宋体" w:cs="宋体"/>
                <w:szCs w:val="24"/>
              </w:rPr>
              <w:t>月</w:t>
            </w:r>
            <w:r>
              <w:rPr>
                <w:rStyle w:val="105"/>
                <w:rFonts w:hint="eastAsia" w:ascii="宋体" w:hAnsi="宋体" w:cs="宋体"/>
                <w:szCs w:val="24"/>
                <w:lang w:val="en-US"/>
              </w:rPr>
              <w:t>7</w:t>
            </w:r>
            <w:r>
              <w:rPr>
                <w:rStyle w:val="105"/>
                <w:rFonts w:hint="eastAsia" w:ascii="宋体" w:hAnsi="宋体" w:cs="宋体"/>
                <w:szCs w:val="24"/>
              </w:rPr>
              <w:t>日16:00前统一组织答疑；答疑内容是招标文件的组成部分，同时在招标文件发售的网站发布。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5</w:t>
            </w:r>
          </w:p>
        </w:tc>
        <w:tc>
          <w:tcPr>
            <w:tcW w:w="9074" w:type="dxa"/>
            <w:vAlign w:val="center"/>
          </w:tcPr>
          <w:p>
            <w:pPr>
              <w:snapToGrid w:val="0"/>
              <w:rPr>
                <w:rStyle w:val="105"/>
                <w:rFonts w:ascii="宋体" w:hAnsi="宋体" w:cs="宋体"/>
                <w:szCs w:val="24"/>
              </w:rPr>
            </w:pPr>
            <w:r>
              <w:rPr>
                <w:rStyle w:val="105"/>
                <w:rFonts w:hint="eastAsia" w:ascii="宋体" w:hAnsi="宋体" w:cs="宋体"/>
                <w:szCs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6</w:t>
            </w:r>
          </w:p>
        </w:tc>
        <w:tc>
          <w:tcPr>
            <w:tcW w:w="9074" w:type="dxa"/>
            <w:vAlign w:val="center"/>
          </w:tcPr>
          <w:p>
            <w:pPr>
              <w:snapToGrid w:val="0"/>
              <w:rPr>
                <w:rStyle w:val="105"/>
                <w:rFonts w:ascii="宋体" w:hAnsi="宋体" w:cs="宋体"/>
                <w:szCs w:val="24"/>
              </w:rPr>
            </w:pPr>
            <w:r>
              <w:rPr>
                <w:rStyle w:val="105"/>
                <w:rFonts w:hint="eastAsia" w:ascii="宋体" w:hAnsi="宋体" w:cs="宋体"/>
                <w:szCs w:val="24"/>
              </w:rPr>
              <w:t>现场踏勘：不统一组织，自行前往。踏勘地址：建德市新安江街道健康南路1号。格式详见附件十三。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7</w:t>
            </w:r>
          </w:p>
        </w:tc>
        <w:tc>
          <w:tcPr>
            <w:tcW w:w="9074" w:type="dxa"/>
            <w:vAlign w:val="center"/>
          </w:tcPr>
          <w:p>
            <w:pPr>
              <w:snapToGrid w:val="0"/>
              <w:rPr>
                <w:rStyle w:val="105"/>
                <w:rFonts w:ascii="宋体" w:hAnsi="宋体" w:cs="宋体"/>
                <w:szCs w:val="24"/>
              </w:rPr>
            </w:pPr>
            <w:r>
              <w:rPr>
                <w:rStyle w:val="105"/>
                <w:rFonts w:hint="eastAsia" w:ascii="宋体" w:hAnsi="宋体" w:cs="宋体"/>
                <w:szCs w:val="24"/>
              </w:rPr>
              <w:t>演示时间及地点：不组织现场演示，要求提供演示视频，制作成光盘或U盘，在投标截止前提交至建德市洋安社区荷映路113号三楼，柴文琪19957823508，逾期将拒收。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8</w:t>
            </w:r>
          </w:p>
        </w:tc>
        <w:tc>
          <w:tcPr>
            <w:tcW w:w="9074" w:type="dxa"/>
            <w:vAlign w:val="center"/>
          </w:tcPr>
          <w:p>
            <w:pPr>
              <w:rPr>
                <w:rStyle w:val="105"/>
                <w:rFonts w:ascii="宋体" w:hAnsi="宋体" w:cs="宋体"/>
                <w:szCs w:val="24"/>
              </w:rPr>
            </w:pPr>
            <w:r>
              <w:rPr>
                <w:rStyle w:val="105"/>
                <w:rFonts w:hint="eastAsia" w:ascii="宋体" w:hAnsi="宋体" w:cs="宋体"/>
                <w:szCs w:val="24"/>
              </w:rPr>
              <w:t>投标文件的组成：报价文件、资信文件、商务技术文件各正本1份，副本5份（</w:t>
            </w:r>
            <w:r>
              <w:rPr>
                <w:rFonts w:hint="eastAsia" w:ascii="宋体" w:hAnsi="宋体" w:cs="宋体"/>
                <w:b/>
                <w:sz w:val="24"/>
                <w:szCs w:val="24"/>
              </w:rPr>
              <w:t>副本为正本的复印件并加盖公章、</w:t>
            </w:r>
            <w:r>
              <w:rPr>
                <w:rFonts w:hint="eastAsia" w:ascii="宋体" w:hAnsi="宋体" w:cs="宋体"/>
                <w:b/>
                <w:bCs/>
                <w:sz w:val="24"/>
                <w:szCs w:val="24"/>
              </w:rPr>
              <w:t>标书封面加盖公章</w:t>
            </w:r>
            <w:r>
              <w:rPr>
                <w:rStyle w:val="105"/>
                <w:rFonts w:hint="eastAsia" w:ascii="宋体" w:hAnsi="宋体" w:cs="宋体"/>
                <w:szCs w:val="24"/>
              </w:rPr>
              <w:t>）、资格审查文件正本1份（详见第二章第十一条）。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9</w:t>
            </w:r>
          </w:p>
        </w:tc>
        <w:tc>
          <w:tcPr>
            <w:tcW w:w="9074" w:type="dxa"/>
            <w:vAlign w:val="center"/>
          </w:tcPr>
          <w:p>
            <w:pPr>
              <w:rPr>
                <w:rStyle w:val="105"/>
                <w:rFonts w:ascii="宋体" w:hAnsi="宋体" w:cs="宋体"/>
                <w:szCs w:val="24"/>
              </w:rPr>
            </w:pPr>
            <w:r>
              <w:rPr>
                <w:rStyle w:val="105"/>
                <w:rFonts w:hint="eastAsia" w:ascii="宋体" w:hAnsi="宋体" w:cs="宋体"/>
                <w:szCs w:val="24"/>
              </w:rPr>
              <w:t>提供的样品：无</w:t>
            </w:r>
            <w:r>
              <w:rPr>
                <w:rFonts w:hint="eastAsia" w:ascii="宋体" w:hAnsi="宋体" w:cs="宋体"/>
                <w:b/>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10</w:t>
            </w:r>
          </w:p>
        </w:tc>
        <w:tc>
          <w:tcPr>
            <w:tcW w:w="9074" w:type="dxa"/>
            <w:vAlign w:val="center"/>
          </w:tcPr>
          <w:p>
            <w:pPr>
              <w:rPr>
                <w:rStyle w:val="105"/>
                <w:rFonts w:ascii="宋体" w:hAnsi="宋体" w:cs="宋体"/>
                <w:szCs w:val="24"/>
              </w:rPr>
            </w:pPr>
            <w:r>
              <w:rPr>
                <w:rStyle w:val="105"/>
                <w:rFonts w:hint="eastAsia" w:ascii="宋体" w:hAnsi="宋体" w:cs="宋体"/>
                <w:szCs w:val="24"/>
              </w:rPr>
              <w:t>投标截止时间：2021年</w:t>
            </w:r>
            <w:r>
              <w:rPr>
                <w:rStyle w:val="105"/>
                <w:rFonts w:hint="eastAsia" w:ascii="宋体" w:hAnsi="宋体" w:cs="宋体"/>
                <w:szCs w:val="24"/>
                <w:lang w:val="en-US"/>
              </w:rPr>
              <w:t>4</w:t>
            </w:r>
            <w:r>
              <w:rPr>
                <w:rStyle w:val="105"/>
                <w:rFonts w:hint="eastAsia" w:ascii="宋体" w:hAnsi="宋体" w:cs="宋体"/>
                <w:szCs w:val="24"/>
              </w:rPr>
              <w:t>月</w:t>
            </w:r>
            <w:r>
              <w:rPr>
                <w:rStyle w:val="105"/>
                <w:rFonts w:hint="eastAsia" w:ascii="宋体" w:hAnsi="宋体" w:cs="宋体"/>
                <w:szCs w:val="24"/>
                <w:lang w:val="en-US"/>
              </w:rPr>
              <w:t>14</w:t>
            </w:r>
            <w:r>
              <w:rPr>
                <w:rStyle w:val="105"/>
                <w:rFonts w:hint="eastAsia" w:ascii="宋体" w:hAnsi="宋体" w:cs="宋体"/>
                <w:szCs w:val="24"/>
              </w:rPr>
              <w:t>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11</w:t>
            </w:r>
          </w:p>
        </w:tc>
        <w:tc>
          <w:tcPr>
            <w:tcW w:w="9074" w:type="dxa"/>
            <w:vAlign w:val="center"/>
          </w:tcPr>
          <w:p>
            <w:pPr>
              <w:rPr>
                <w:rStyle w:val="105"/>
                <w:rFonts w:ascii="宋体" w:hAnsi="宋体" w:cs="宋体"/>
                <w:szCs w:val="24"/>
              </w:rPr>
            </w:pPr>
            <w:r>
              <w:rPr>
                <w:rStyle w:val="105"/>
                <w:rFonts w:hint="eastAsia" w:ascii="宋体" w:hAnsi="宋体" w:cs="宋体"/>
                <w:szCs w:val="24"/>
              </w:rPr>
              <w:t>投标地点：杭州市公共资源交易中心建德分中心</w:t>
            </w:r>
            <w:r>
              <w:rPr>
                <w:rStyle w:val="105"/>
                <w:rFonts w:hint="eastAsia" w:ascii="宋体" w:hAnsi="宋体" w:cs="宋体"/>
                <w:szCs w:val="24"/>
                <w:lang w:val="en-US"/>
              </w:rPr>
              <w:t>3</w:t>
            </w:r>
            <w:r>
              <w:rPr>
                <w:rStyle w:val="105"/>
                <w:rFonts w:hint="eastAsia" w:ascii="宋体" w:hAnsi="宋体" w:cs="宋体"/>
                <w:szCs w:val="24"/>
              </w:rPr>
              <w:t>号开标室（建德市洋安社区荷映路113号三楼）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12</w:t>
            </w:r>
          </w:p>
        </w:tc>
        <w:tc>
          <w:tcPr>
            <w:tcW w:w="9074" w:type="dxa"/>
            <w:vAlign w:val="center"/>
          </w:tcPr>
          <w:p>
            <w:pPr>
              <w:rPr>
                <w:rStyle w:val="105"/>
                <w:rFonts w:ascii="宋体" w:hAnsi="宋体" w:cs="宋体"/>
                <w:szCs w:val="24"/>
              </w:rPr>
            </w:pPr>
            <w:r>
              <w:rPr>
                <w:rStyle w:val="105"/>
                <w:rFonts w:hint="eastAsia" w:ascii="宋体" w:hAnsi="宋体" w:cs="宋体"/>
                <w:szCs w:val="24"/>
              </w:rPr>
              <w:t>开标时间及地点：2021年</w:t>
            </w:r>
            <w:r>
              <w:rPr>
                <w:rStyle w:val="105"/>
                <w:rFonts w:hint="eastAsia" w:ascii="宋体" w:hAnsi="宋体" w:cs="宋体"/>
                <w:szCs w:val="24"/>
                <w:lang w:val="en-US"/>
              </w:rPr>
              <w:t>4</w:t>
            </w:r>
            <w:r>
              <w:rPr>
                <w:rStyle w:val="105"/>
                <w:rFonts w:hint="eastAsia" w:ascii="宋体" w:hAnsi="宋体" w:cs="宋体"/>
                <w:szCs w:val="24"/>
              </w:rPr>
              <w:t>月</w:t>
            </w:r>
            <w:r>
              <w:rPr>
                <w:rStyle w:val="105"/>
                <w:rFonts w:hint="eastAsia" w:ascii="宋体" w:hAnsi="宋体" w:cs="宋体"/>
                <w:szCs w:val="24"/>
                <w:lang w:val="en-US"/>
              </w:rPr>
              <w:t>14</w:t>
            </w:r>
            <w:r>
              <w:rPr>
                <w:rStyle w:val="105"/>
                <w:rFonts w:hint="eastAsia" w:ascii="宋体" w:hAnsi="宋体" w:cs="宋体"/>
                <w:szCs w:val="24"/>
              </w:rPr>
              <w:t>日09时00分杭州市公共资源交易中心建德分中心</w:t>
            </w:r>
            <w:r>
              <w:rPr>
                <w:rStyle w:val="105"/>
                <w:rFonts w:hint="eastAsia" w:ascii="宋体" w:hAnsi="宋体" w:cs="宋体"/>
                <w:szCs w:val="24"/>
                <w:lang w:val="en-US"/>
              </w:rPr>
              <w:t>3</w:t>
            </w:r>
            <w:r>
              <w:rPr>
                <w:rStyle w:val="105"/>
                <w:rFonts w:hint="eastAsia" w:ascii="宋体" w:hAnsi="宋体" w:cs="宋体"/>
                <w:szCs w:val="24"/>
              </w:rPr>
              <w:t>号开标室（建德市洋安社区荷映路113号三楼）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13</w:t>
            </w:r>
          </w:p>
        </w:tc>
        <w:tc>
          <w:tcPr>
            <w:tcW w:w="9074" w:type="dxa"/>
            <w:vAlign w:val="center"/>
          </w:tcPr>
          <w:p>
            <w:pPr>
              <w:rPr>
                <w:rStyle w:val="105"/>
                <w:rFonts w:ascii="宋体" w:hAnsi="宋体" w:cs="宋体"/>
                <w:szCs w:val="24"/>
              </w:rPr>
            </w:pPr>
            <w:r>
              <w:rPr>
                <w:rStyle w:val="105"/>
                <w:rFonts w:hint="eastAsia" w:ascii="宋体" w:hAnsi="宋体" w:cs="宋体"/>
                <w:szCs w:val="24"/>
              </w:rPr>
              <w:t>评标结果公示：评标结束后2个工作日内，评标结果公示于浙江政府采购网（</w:t>
            </w:r>
            <w:r>
              <w:fldChar w:fldCharType="begin"/>
            </w:r>
            <w:r>
              <w:instrText xml:space="preserve"> HYPERLINK "http://www.zjzfcg.gov.cn/" </w:instrText>
            </w:r>
            <w:r>
              <w:fldChar w:fldCharType="separate"/>
            </w:r>
            <w:r>
              <w:rPr>
                <w:rStyle w:val="105"/>
                <w:rFonts w:hint="eastAsia" w:ascii="宋体" w:hAnsi="宋体" w:cs="宋体"/>
                <w:szCs w:val="24"/>
              </w:rPr>
              <w:t>http://www.zjzfcg.gov.cn/</w:t>
            </w:r>
            <w:r>
              <w:rPr>
                <w:rStyle w:val="105"/>
                <w:rFonts w:hint="eastAsia" w:ascii="宋体" w:hAnsi="宋体" w:cs="宋体"/>
                <w:szCs w:val="24"/>
              </w:rPr>
              <w:fldChar w:fldCharType="end"/>
            </w:r>
            <w:r>
              <w:rPr>
                <w:rStyle w:val="105"/>
                <w:rFonts w:hint="eastAsia" w:ascii="宋体" w:hAnsi="宋体" w:cs="宋体"/>
                <w:szCs w:val="24"/>
              </w:rPr>
              <w:t>）和建德市门户网（http://www.jiande.gov.cn/col/col1229346</w:t>
            </w:r>
            <w:bookmarkStart w:id="20" w:name="_GoBack"/>
            <w:bookmarkEnd w:id="20"/>
            <w:r>
              <w:rPr>
                <w:rStyle w:val="105"/>
                <w:rFonts w:hint="eastAsia" w:ascii="宋体" w:hAnsi="宋体" w:cs="宋体"/>
                <w:szCs w:val="24"/>
              </w:rPr>
              <w:t>101/index.html）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14</w:t>
            </w:r>
          </w:p>
        </w:tc>
        <w:tc>
          <w:tcPr>
            <w:tcW w:w="9074" w:type="dxa"/>
            <w:vAlign w:val="center"/>
          </w:tcPr>
          <w:p>
            <w:pPr>
              <w:rPr>
                <w:rStyle w:val="105"/>
                <w:rFonts w:ascii="宋体" w:hAnsi="宋体" w:cs="宋体"/>
                <w:szCs w:val="24"/>
              </w:rPr>
            </w:pPr>
            <w:r>
              <w:rPr>
                <w:rStyle w:val="105"/>
                <w:rFonts w:hint="eastAsia" w:ascii="宋体" w:hAnsi="宋体" w:cs="宋体"/>
                <w:szCs w:val="24"/>
              </w:rPr>
              <w:t>评标办法及标准：按照招标文件第四章评标办法及评分标准。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15</w:t>
            </w:r>
          </w:p>
        </w:tc>
        <w:tc>
          <w:tcPr>
            <w:tcW w:w="9074" w:type="dxa"/>
            <w:vAlign w:val="center"/>
          </w:tcPr>
          <w:p>
            <w:pPr>
              <w:rPr>
                <w:rStyle w:val="105"/>
                <w:rFonts w:ascii="宋体" w:hAnsi="宋体" w:cs="宋体"/>
                <w:szCs w:val="24"/>
              </w:rPr>
            </w:pPr>
            <w:r>
              <w:rPr>
                <w:rStyle w:val="105"/>
                <w:rFonts w:hint="eastAsia" w:ascii="宋体" w:hAnsi="宋体" w:cs="宋体"/>
                <w:szCs w:val="24"/>
              </w:rPr>
              <w:t>中标通知书：自中标公示结束后2个工作日内签发中标通知书。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16</w:t>
            </w:r>
          </w:p>
        </w:tc>
        <w:tc>
          <w:tcPr>
            <w:tcW w:w="9074" w:type="dxa"/>
            <w:vAlign w:val="center"/>
          </w:tcPr>
          <w:p>
            <w:pPr>
              <w:rPr>
                <w:rStyle w:val="105"/>
                <w:rFonts w:ascii="宋体" w:hAnsi="宋体" w:cs="宋体"/>
                <w:szCs w:val="24"/>
              </w:rPr>
            </w:pPr>
            <w:r>
              <w:rPr>
                <w:rStyle w:val="105"/>
                <w:rFonts w:hint="eastAsia" w:ascii="宋体" w:hAnsi="宋体" w:cs="宋体"/>
                <w:szCs w:val="24"/>
              </w:rPr>
              <w:t>签订合同：</w:t>
            </w:r>
            <w:r>
              <w:rPr>
                <w:rFonts w:hint="eastAsia" w:ascii="宋体" w:hAnsi="宋体" w:cs="宋体"/>
                <w:b/>
                <w:spacing w:val="-2"/>
                <w:sz w:val="24"/>
                <w:szCs w:val="24"/>
              </w:rPr>
              <w:t>中标人应自接到中标通知书后30日内与采购人签定合同。</w:t>
            </w:r>
            <w:r>
              <w:rPr>
                <w:rStyle w:val="105"/>
                <w:rFonts w:hint="eastAsia" w:ascii="宋体" w:hAnsi="宋体" w:cs="宋体"/>
                <w:szCs w:val="24"/>
              </w:rPr>
              <w:t>（具体时间按中标通知书）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17</w:t>
            </w:r>
          </w:p>
        </w:tc>
        <w:tc>
          <w:tcPr>
            <w:tcW w:w="9074" w:type="dxa"/>
            <w:vAlign w:val="center"/>
          </w:tcPr>
          <w:p>
            <w:pPr>
              <w:rPr>
                <w:rStyle w:val="105"/>
                <w:rFonts w:ascii="宋体" w:hAnsi="宋体" w:cs="宋体"/>
                <w:szCs w:val="24"/>
              </w:rPr>
            </w:pPr>
            <w:r>
              <w:rPr>
                <w:rStyle w:val="105"/>
                <w:rFonts w:hint="eastAsia" w:ascii="宋体" w:hAnsi="宋体" w:cs="宋体"/>
                <w:color w:val="auto"/>
                <w:szCs w:val="24"/>
              </w:rPr>
              <w:t>履约保证金：在正式合同签订生效之日起7个工作日内，由中标供应商缴纳合同总价的5%作为履约保证金至采购单位指定账户（可以以银行、保险公司出具保函形式提交）。履约结束后</w:t>
            </w:r>
            <w:r>
              <w:rPr>
                <w:rStyle w:val="105"/>
                <w:rFonts w:hint="eastAsia" w:ascii="宋体" w:hAnsi="宋体" w:cs="宋体"/>
                <w:color w:val="auto"/>
                <w:szCs w:val="24"/>
                <w:lang w:eastAsia="zh-CN"/>
              </w:rPr>
              <w:t>（</w:t>
            </w:r>
            <w:r>
              <w:rPr>
                <w:rStyle w:val="105"/>
                <w:rFonts w:hint="eastAsia" w:ascii="宋体" w:hAnsi="宋体" w:cs="宋体"/>
                <w:color w:val="auto"/>
                <w:szCs w:val="24"/>
                <w:lang w:val="en-US" w:eastAsia="zh-CN"/>
              </w:rPr>
              <w:t>投标人承诺的免费质保服务期</w:t>
            </w:r>
            <w:r>
              <w:rPr>
                <w:rStyle w:val="105"/>
                <w:rFonts w:hint="eastAsia" w:ascii="宋体" w:hAnsi="宋体" w:cs="宋体"/>
                <w:color w:val="auto"/>
                <w:szCs w:val="24"/>
                <w:lang w:eastAsia="zh-CN"/>
              </w:rPr>
              <w:t>）</w:t>
            </w:r>
            <w:r>
              <w:rPr>
                <w:rStyle w:val="105"/>
                <w:rFonts w:hint="eastAsia" w:ascii="宋体" w:hAnsi="宋体" w:cs="宋体"/>
                <w:color w:val="auto"/>
                <w:szCs w:val="24"/>
              </w:rPr>
              <w:t>，无质量、服务问题，由采购单位向供应商无息退还。因供应商的质量、服务问题原因造成采购单位损失的，采购单位有权要求供应商以其履约保证金作出补偿。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18</w:t>
            </w:r>
          </w:p>
        </w:tc>
        <w:tc>
          <w:tcPr>
            <w:tcW w:w="9074" w:type="dxa"/>
            <w:vAlign w:val="center"/>
          </w:tcPr>
          <w:p>
            <w:pPr>
              <w:rPr>
                <w:rStyle w:val="105"/>
                <w:rFonts w:ascii="宋体" w:hAnsi="宋体" w:cs="宋体"/>
                <w:szCs w:val="24"/>
              </w:rPr>
            </w:pPr>
            <w:r>
              <w:rPr>
                <w:rStyle w:val="105"/>
                <w:rFonts w:hint="eastAsia" w:ascii="宋体" w:hAnsi="宋体" w:cs="宋体"/>
                <w:szCs w:val="24"/>
              </w:rPr>
              <w:t>接受投标文件时间：投标截止时间前接收投标文件，逾期送达或未密封将予以拒收。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19</w:t>
            </w:r>
          </w:p>
        </w:tc>
        <w:tc>
          <w:tcPr>
            <w:tcW w:w="9074" w:type="dxa"/>
            <w:vAlign w:val="center"/>
          </w:tcPr>
          <w:p>
            <w:pPr>
              <w:rPr>
                <w:rStyle w:val="105"/>
                <w:rFonts w:ascii="宋体" w:hAnsi="宋体" w:cs="宋体"/>
                <w:szCs w:val="24"/>
              </w:rPr>
            </w:pPr>
            <w:r>
              <w:rPr>
                <w:rStyle w:val="105"/>
                <w:rFonts w:hint="eastAsia" w:ascii="宋体" w:hAnsi="宋体" w:cs="宋体"/>
                <w:szCs w:val="24"/>
              </w:rPr>
              <w:t>最高限价：本项目的最高限价（预算价）为人民币</w:t>
            </w:r>
            <w:r>
              <w:rPr>
                <w:rFonts w:hint="eastAsia" w:ascii="宋体" w:hAnsi="宋体" w:cs="宋体"/>
                <w:b/>
                <w:bCs/>
                <w:sz w:val="24"/>
                <w:szCs w:val="24"/>
              </w:rPr>
              <w:t>贰佰捌拾柒万柒仟壹佰肆拾伍元整</w:t>
            </w:r>
            <w:r>
              <w:rPr>
                <w:rStyle w:val="105"/>
                <w:rFonts w:hint="eastAsia" w:ascii="宋体" w:hAnsi="宋体" w:cs="宋体"/>
                <w:szCs w:val="24"/>
              </w:rPr>
              <w:t>（￥:</w:t>
            </w:r>
            <w:r>
              <w:rPr>
                <w:rFonts w:hint="eastAsia" w:ascii="宋体" w:hAnsi="宋体" w:cs="宋体"/>
                <w:b/>
                <w:sz w:val="24"/>
                <w:szCs w:val="24"/>
              </w:rPr>
              <w:t>2877145</w:t>
            </w:r>
            <w:r>
              <w:rPr>
                <w:rStyle w:val="105"/>
                <w:rFonts w:hint="eastAsia" w:ascii="宋体" w:hAnsi="宋体" w:cs="宋体"/>
                <w:szCs w:val="24"/>
              </w:rPr>
              <w:t>元）。报价超过最高限价</w:t>
            </w:r>
            <w:r>
              <w:rPr>
                <w:rFonts w:hint="eastAsia" w:ascii="宋体" w:hAnsi="宋体" w:cs="宋体"/>
                <w:b/>
                <w:sz w:val="24"/>
                <w:szCs w:val="24"/>
              </w:rPr>
              <w:t>（预算价）</w:t>
            </w:r>
            <w:r>
              <w:rPr>
                <w:rStyle w:val="105"/>
                <w:rFonts w:hint="eastAsia" w:ascii="宋体" w:hAnsi="宋体" w:cs="宋体"/>
                <w:szCs w:val="24"/>
              </w:rPr>
              <w:t>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20</w:t>
            </w:r>
          </w:p>
        </w:tc>
        <w:tc>
          <w:tcPr>
            <w:tcW w:w="9074" w:type="dxa"/>
            <w:vAlign w:val="center"/>
          </w:tcPr>
          <w:p>
            <w:pPr>
              <w:rPr>
                <w:rStyle w:val="105"/>
                <w:rFonts w:ascii="宋体" w:hAnsi="宋体" w:cs="宋体"/>
                <w:szCs w:val="24"/>
              </w:rPr>
            </w:pPr>
            <w:r>
              <w:rPr>
                <w:rStyle w:val="105"/>
                <w:rFonts w:hint="eastAsia" w:ascii="宋体" w:hAnsi="宋体" w:cs="宋体"/>
                <w:szCs w:val="24"/>
              </w:rPr>
              <w:t>付款方式：按第七章财务结算方式支付。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21</w:t>
            </w:r>
          </w:p>
        </w:tc>
        <w:tc>
          <w:tcPr>
            <w:tcW w:w="9074" w:type="dxa"/>
            <w:vAlign w:val="center"/>
          </w:tcPr>
          <w:p>
            <w:pPr>
              <w:rPr>
                <w:rStyle w:val="105"/>
                <w:rFonts w:ascii="宋体" w:hAnsi="宋体" w:cs="宋体"/>
                <w:szCs w:val="24"/>
              </w:rPr>
            </w:pPr>
            <w:r>
              <w:rPr>
                <w:rStyle w:val="105"/>
                <w:rFonts w:hint="eastAsia" w:ascii="宋体" w:hAnsi="宋体" w:cs="宋体"/>
                <w:szCs w:val="24"/>
              </w:rPr>
              <w:t>投标文件的有效期：90天。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Align w:val="center"/>
          </w:tcPr>
          <w:p>
            <w:pPr>
              <w:jc w:val="center"/>
              <w:rPr>
                <w:rStyle w:val="105"/>
                <w:rFonts w:ascii="宋体" w:hAnsi="宋体" w:cs="宋体"/>
                <w:szCs w:val="24"/>
              </w:rPr>
            </w:pPr>
            <w:r>
              <w:rPr>
                <w:rStyle w:val="105"/>
                <w:rFonts w:hint="eastAsia" w:ascii="宋体" w:hAnsi="宋体" w:cs="宋体"/>
                <w:szCs w:val="24"/>
              </w:rPr>
              <w:t>22</w:t>
            </w:r>
          </w:p>
        </w:tc>
        <w:tc>
          <w:tcPr>
            <w:tcW w:w="9074" w:type="dxa"/>
            <w:vAlign w:val="center"/>
          </w:tcPr>
          <w:p>
            <w:pPr>
              <w:rPr>
                <w:rStyle w:val="105"/>
                <w:rFonts w:ascii="宋体" w:hAnsi="宋体" w:cs="宋体"/>
                <w:szCs w:val="24"/>
              </w:rPr>
            </w:pPr>
            <w:r>
              <w:rPr>
                <w:rStyle w:val="105"/>
                <w:rFonts w:hint="eastAsia" w:ascii="宋体" w:hAnsi="宋体" w:cs="宋体"/>
                <w:szCs w:val="24"/>
              </w:rPr>
              <w:t>解释：本招标文件的解释权属于招标采购单位。</w:t>
            </w:r>
          </w:p>
        </w:tc>
      </w:tr>
    </w:tbl>
    <w:p>
      <w:pPr>
        <w:spacing w:line="44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b/>
          <w:bCs/>
          <w:sz w:val="24"/>
          <w:szCs w:val="24"/>
        </w:rPr>
        <w:t>适用范围</w:t>
      </w:r>
    </w:p>
    <w:p>
      <w:pPr>
        <w:spacing w:line="400" w:lineRule="exact"/>
        <w:ind w:firstLine="537" w:firstLineChars="224"/>
        <w:rPr>
          <w:rFonts w:ascii="宋体" w:hAnsi="宋体" w:cs="宋体"/>
          <w:sz w:val="24"/>
          <w:szCs w:val="24"/>
        </w:rPr>
      </w:pPr>
      <w:r>
        <w:rPr>
          <w:rFonts w:hint="eastAsia" w:ascii="宋体" w:hAnsi="宋体" w:cs="宋体"/>
          <w:sz w:val="24"/>
          <w:szCs w:val="24"/>
        </w:rPr>
        <w:t>本招标文件仅适用于本项目的招标、评标、定标、验收、合同履约、付款等（法律、法规另有规定的，从其规定）。</w:t>
      </w:r>
    </w:p>
    <w:p>
      <w:pPr>
        <w:spacing w:line="400" w:lineRule="exact"/>
        <w:ind w:firstLine="537" w:firstLineChars="224"/>
        <w:rPr>
          <w:rFonts w:ascii="宋体" w:hAnsi="宋体" w:cs="宋体"/>
          <w:sz w:val="24"/>
          <w:szCs w:val="24"/>
        </w:rPr>
      </w:pPr>
      <w:r>
        <w:rPr>
          <w:rFonts w:hint="eastAsia" w:ascii="宋体" w:hAnsi="宋体" w:cs="宋体"/>
          <w:sz w:val="24"/>
          <w:szCs w:val="24"/>
        </w:rPr>
        <w:t>二、</w:t>
      </w:r>
      <w:r>
        <w:rPr>
          <w:rFonts w:hint="eastAsia" w:ascii="宋体" w:hAnsi="宋体" w:cs="宋体"/>
          <w:b/>
          <w:bCs/>
          <w:sz w:val="24"/>
          <w:szCs w:val="24"/>
        </w:rPr>
        <w:t>定义</w:t>
      </w:r>
    </w:p>
    <w:p>
      <w:pPr>
        <w:spacing w:line="400" w:lineRule="exact"/>
        <w:ind w:firstLine="537" w:firstLineChars="224"/>
        <w:rPr>
          <w:rFonts w:ascii="宋体" w:hAnsi="宋体" w:cs="宋体"/>
          <w:sz w:val="24"/>
          <w:szCs w:val="24"/>
        </w:rPr>
      </w:pPr>
      <w:r>
        <w:rPr>
          <w:rFonts w:hint="eastAsia" w:ascii="宋体" w:hAnsi="宋体" w:cs="宋体"/>
          <w:sz w:val="24"/>
          <w:szCs w:val="24"/>
        </w:rPr>
        <w:t>1.“招标方”系指组织本次招标的 。</w:t>
      </w:r>
    </w:p>
    <w:p>
      <w:pPr>
        <w:spacing w:line="400" w:lineRule="exact"/>
        <w:ind w:firstLine="537" w:firstLineChars="224"/>
        <w:rPr>
          <w:rFonts w:ascii="宋体" w:hAnsi="宋体" w:cs="宋体"/>
          <w:sz w:val="24"/>
          <w:szCs w:val="24"/>
        </w:rPr>
      </w:pPr>
      <w:r>
        <w:rPr>
          <w:rFonts w:hint="eastAsia" w:ascii="宋体" w:hAnsi="宋体" w:cs="宋体"/>
          <w:sz w:val="24"/>
          <w:szCs w:val="24"/>
        </w:rPr>
        <w:t>2.“投标人”系指向招标方提交投标文件的单位。</w:t>
      </w:r>
    </w:p>
    <w:p>
      <w:pPr>
        <w:spacing w:line="400" w:lineRule="exact"/>
        <w:ind w:firstLine="537" w:firstLineChars="224"/>
        <w:rPr>
          <w:rFonts w:ascii="宋体" w:hAnsi="宋体" w:cs="宋体"/>
          <w:sz w:val="24"/>
          <w:szCs w:val="24"/>
        </w:rPr>
      </w:pPr>
      <w:r>
        <w:rPr>
          <w:rFonts w:hint="eastAsia" w:ascii="宋体" w:hAnsi="宋体" w:cs="宋体"/>
          <w:sz w:val="24"/>
          <w:szCs w:val="24"/>
        </w:rPr>
        <w:t>3.“采购单位”系指委托招标方采购本次项目的建德市新安江第二小学</w:t>
      </w:r>
      <w:r>
        <w:rPr>
          <w:rFonts w:hint="eastAsia" w:ascii="宋体" w:hAnsi="宋体" w:cs="宋体"/>
          <w:sz w:val="24"/>
          <w:szCs w:val="24"/>
          <w:lang w:eastAsia="zh-CN"/>
        </w:rPr>
        <w:t>、建德市资产经营投资有限公司</w:t>
      </w:r>
      <w:r>
        <w:rPr>
          <w:rFonts w:hint="eastAsia" w:ascii="宋体" w:hAnsi="宋体" w:cs="宋体"/>
          <w:sz w:val="24"/>
          <w:szCs w:val="24"/>
        </w:rPr>
        <w:t>。</w:t>
      </w:r>
    </w:p>
    <w:p>
      <w:pPr>
        <w:spacing w:line="400" w:lineRule="exact"/>
        <w:ind w:firstLine="537" w:firstLineChars="224"/>
        <w:rPr>
          <w:rFonts w:ascii="宋体" w:hAnsi="宋体" w:cs="宋体"/>
          <w:sz w:val="24"/>
          <w:szCs w:val="24"/>
        </w:rPr>
      </w:pPr>
      <w:r>
        <w:rPr>
          <w:rFonts w:hint="eastAsia" w:ascii="宋体" w:hAnsi="宋体" w:cs="宋体"/>
          <w:sz w:val="24"/>
          <w:szCs w:val="24"/>
        </w:rPr>
        <w:t>4.“产品”系指供方按招标文件规定，须向采购人提供的一切设备、保险、税金、备品备件、工具、手册及其它有关技术资料和材料。</w:t>
      </w:r>
    </w:p>
    <w:p>
      <w:pPr>
        <w:spacing w:line="400" w:lineRule="exact"/>
        <w:ind w:firstLine="537" w:firstLineChars="224"/>
        <w:rPr>
          <w:rFonts w:ascii="宋体" w:hAnsi="宋体" w:cs="宋体"/>
          <w:sz w:val="24"/>
          <w:szCs w:val="24"/>
        </w:rPr>
      </w:pPr>
      <w:r>
        <w:rPr>
          <w:rFonts w:hint="eastAsia" w:ascii="宋体" w:hAnsi="宋体" w:cs="宋体"/>
          <w:sz w:val="24"/>
          <w:szCs w:val="24"/>
        </w:rPr>
        <w:t>5.“服务”系指招标文件规定供应商须承担的培训、售后等服务。</w:t>
      </w:r>
    </w:p>
    <w:p>
      <w:pPr>
        <w:spacing w:line="400" w:lineRule="exact"/>
        <w:ind w:firstLine="537" w:firstLineChars="224"/>
        <w:rPr>
          <w:rFonts w:ascii="宋体" w:hAnsi="宋体" w:cs="宋体"/>
          <w:sz w:val="24"/>
          <w:szCs w:val="24"/>
        </w:rPr>
      </w:pPr>
      <w:r>
        <w:rPr>
          <w:rFonts w:hint="eastAsia" w:ascii="宋体" w:hAnsi="宋体" w:cs="宋体"/>
          <w:sz w:val="24"/>
          <w:szCs w:val="24"/>
        </w:rPr>
        <w:t>6.“项目”系指投标人按招标文件规定向采购人提供的产品和服务。</w:t>
      </w:r>
    </w:p>
    <w:p>
      <w:pPr>
        <w:spacing w:line="400" w:lineRule="exact"/>
        <w:ind w:firstLine="540" w:firstLineChars="224"/>
        <w:rPr>
          <w:rFonts w:ascii="宋体" w:hAnsi="宋体" w:cs="宋体"/>
          <w:b/>
          <w:bCs/>
          <w:sz w:val="24"/>
          <w:szCs w:val="24"/>
        </w:rPr>
      </w:pPr>
      <w:r>
        <w:rPr>
          <w:rFonts w:hint="eastAsia" w:ascii="宋体" w:hAnsi="宋体" w:cs="宋体"/>
          <w:b/>
          <w:bCs/>
          <w:sz w:val="24"/>
          <w:szCs w:val="24"/>
        </w:rPr>
        <w:t>三、投标委托</w:t>
      </w:r>
    </w:p>
    <w:p>
      <w:pPr>
        <w:spacing w:line="440" w:lineRule="exact"/>
        <w:ind w:firstLine="537" w:firstLineChars="224"/>
        <w:rPr>
          <w:rFonts w:ascii="宋体" w:hAnsi="宋体" w:cs="宋体"/>
          <w:sz w:val="24"/>
          <w:szCs w:val="24"/>
        </w:rPr>
      </w:pPr>
      <w:r>
        <w:rPr>
          <w:rFonts w:hint="eastAsia" w:ascii="宋体" w:hAnsi="宋体" w:cs="宋体"/>
          <w:sz w:val="24"/>
          <w:szCs w:val="24"/>
        </w:rPr>
        <w:t>全权代表须携带有效身份证件。如全权代表不是法定代表人，须有法定代表人出具的授权委托书（格式见第九章附件八）。</w:t>
      </w:r>
    </w:p>
    <w:p>
      <w:pPr>
        <w:spacing w:line="400" w:lineRule="exact"/>
        <w:ind w:firstLine="523" w:firstLineChars="217"/>
        <w:rPr>
          <w:rFonts w:ascii="宋体" w:hAnsi="宋体" w:cs="宋体"/>
          <w:b/>
          <w:sz w:val="24"/>
          <w:szCs w:val="24"/>
        </w:rPr>
      </w:pPr>
      <w:r>
        <w:rPr>
          <w:rFonts w:hint="eastAsia" w:ascii="宋体" w:hAnsi="宋体" w:cs="宋体"/>
          <w:b/>
          <w:sz w:val="24"/>
          <w:szCs w:val="24"/>
        </w:rPr>
        <w:t>四、投标费用</w:t>
      </w:r>
    </w:p>
    <w:p>
      <w:pPr>
        <w:spacing w:line="440" w:lineRule="exact"/>
        <w:ind w:firstLine="570"/>
        <w:jc w:val="left"/>
        <w:rPr>
          <w:rFonts w:ascii="宋体" w:hAnsi="宋体" w:cs="宋体"/>
          <w:sz w:val="24"/>
          <w:szCs w:val="24"/>
        </w:rPr>
      </w:pPr>
      <w:r>
        <w:rPr>
          <w:rFonts w:hint="eastAsia" w:ascii="宋体" w:hAnsi="宋体" w:cs="宋体"/>
          <w:sz w:val="24"/>
          <w:szCs w:val="24"/>
        </w:rPr>
        <w:t>无论投标过程和结果如何，投标供应商自行承担与投标有关的全部费用（招标文件有其他相反规定除外）。</w:t>
      </w:r>
    </w:p>
    <w:p>
      <w:pPr>
        <w:spacing w:line="400" w:lineRule="exact"/>
        <w:ind w:firstLine="570"/>
        <w:jc w:val="left"/>
        <w:rPr>
          <w:rFonts w:ascii="宋体" w:hAnsi="宋体" w:cs="宋体"/>
          <w:b/>
          <w:sz w:val="24"/>
          <w:szCs w:val="24"/>
        </w:rPr>
      </w:pPr>
      <w:r>
        <w:rPr>
          <w:rFonts w:hint="eastAsia" w:ascii="宋体" w:hAnsi="宋体" w:cs="宋体"/>
          <w:b/>
          <w:sz w:val="24"/>
          <w:szCs w:val="24"/>
        </w:rPr>
        <w:t>五、投标报价及修正</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〈一〉投标报价以人民币为结算货币。</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〈二〉投标人应按招标文件要求认真填写《开标一览表》，开标时，投标文件中开标一览表内容与投标文件中明细表内容不一致的，以开标一览表为准。</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投标文件的大写金额和小写金额不一致的，以大写金额为准；总价金额与按单价汇总金额不一致的，以单价金额计算结果为准；单价金额小数点有明显错位的，以总价为准，并修改单价；对不同文字文本投档文件的解释发生异议的，以中文文本为准。</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三〉投标人的报价是投标人响应招标项目要求的全部工作内容的价格体现，本项目所需产品的供货、运输装卸、安装调试、备品备件、保险、税金、验收、培训、辅助工作及售后服务等完成本项目的所有费用及招标文件未列明、而投标人认为必需的费用也需列入报价。</w:t>
      </w:r>
    </w:p>
    <w:p>
      <w:pPr>
        <w:widowControl/>
        <w:spacing w:line="440" w:lineRule="exact"/>
        <w:ind w:firstLine="360" w:firstLineChars="150"/>
        <w:jc w:val="left"/>
        <w:rPr>
          <w:rFonts w:ascii="宋体" w:hAnsi="宋体" w:cs="宋体"/>
          <w:sz w:val="24"/>
          <w:szCs w:val="24"/>
        </w:rPr>
      </w:pPr>
      <w:r>
        <w:rPr>
          <w:rFonts w:hint="eastAsia" w:ascii="宋体" w:hAnsi="宋体" w:cs="宋体"/>
          <w:sz w:val="24"/>
          <w:szCs w:val="24"/>
        </w:rPr>
        <w:t>〈四〉投标人每种货物只允许有一个报价，并且在合同履行过程中是固定不变的，任何有选择或可调整的报价将不予接受，并按无效投标处理。</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六、投标有效期</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〈一〉投标文件从开标之日起，投标有效期为</w:t>
      </w:r>
      <w:r>
        <w:rPr>
          <w:rFonts w:hint="eastAsia" w:ascii="宋体" w:hAnsi="宋体" w:cs="宋体"/>
          <w:b/>
          <w:sz w:val="24"/>
          <w:szCs w:val="24"/>
        </w:rPr>
        <w:t>90日</w:t>
      </w:r>
      <w:r>
        <w:rPr>
          <w:rFonts w:hint="eastAsia" w:ascii="宋体" w:hAnsi="宋体" w:cs="宋体"/>
          <w:sz w:val="24"/>
          <w:szCs w:val="24"/>
        </w:rPr>
        <w:t>。</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〈二〉特殊情况下，招标方可与投标人协商延缓投标书的有效期，这种要求和答复均以书面形式进行。</w:t>
      </w:r>
    </w:p>
    <w:p>
      <w:pPr>
        <w:spacing w:line="400" w:lineRule="exact"/>
        <w:ind w:firstLine="570"/>
        <w:jc w:val="left"/>
        <w:rPr>
          <w:rFonts w:ascii="宋体" w:hAnsi="宋体" w:cs="宋体"/>
          <w:sz w:val="24"/>
          <w:szCs w:val="24"/>
        </w:rPr>
      </w:pPr>
      <w:r>
        <w:rPr>
          <w:rFonts w:hint="eastAsia" w:ascii="宋体" w:hAnsi="宋体" w:cs="宋体"/>
          <w:sz w:val="24"/>
          <w:szCs w:val="24"/>
        </w:rPr>
        <w:t>〈三〉投标人可拒绝接受延期要求。同意延长有效期的投标人不能修改投标文件。</w:t>
      </w:r>
    </w:p>
    <w:p>
      <w:pPr>
        <w:spacing w:line="400" w:lineRule="exact"/>
        <w:ind w:firstLine="482" w:firstLineChars="200"/>
        <w:jc w:val="left"/>
        <w:rPr>
          <w:rFonts w:ascii="宋体" w:hAnsi="宋体" w:cs="宋体"/>
          <w:b/>
          <w:sz w:val="24"/>
          <w:szCs w:val="24"/>
        </w:rPr>
      </w:pPr>
      <w:bookmarkStart w:id="4" w:name="_Toc177870542"/>
      <w:r>
        <w:rPr>
          <w:rFonts w:hint="eastAsia" w:ascii="宋体" w:hAnsi="宋体" w:cs="宋体"/>
          <w:b/>
          <w:sz w:val="24"/>
          <w:szCs w:val="24"/>
        </w:rPr>
        <w:t>七、特别说明</w:t>
      </w:r>
      <w:bookmarkEnd w:id="4"/>
    </w:p>
    <w:p>
      <w:pPr>
        <w:pStyle w:val="22"/>
        <w:snapToGrid w:val="0"/>
        <w:spacing w:line="400" w:lineRule="exact"/>
        <w:ind w:firstLine="480" w:firstLineChars="200"/>
        <w:rPr>
          <w:rFonts w:hAnsi="宋体" w:cs="宋体"/>
          <w:sz w:val="24"/>
          <w:szCs w:val="24"/>
        </w:rPr>
      </w:pPr>
      <w:r>
        <w:rPr>
          <w:rFonts w:hint="eastAsia" w:hAnsi="宋体" w:cs="宋体"/>
          <w:sz w:val="24"/>
          <w:szCs w:val="24"/>
        </w:rPr>
        <w:t>▲1、投标人不得为本次采购进行设计或编制规范和其他文件的当事人；也不得直接或间接地与为本次采购进行设计或编制规范、其他文件的个人、企业、采购代理机构或其附属机构有任何关联。</w:t>
      </w:r>
    </w:p>
    <w:p>
      <w:pPr>
        <w:pStyle w:val="22"/>
        <w:snapToGrid w:val="0"/>
        <w:spacing w:line="400" w:lineRule="exact"/>
        <w:ind w:firstLine="480" w:firstLineChars="200"/>
        <w:rPr>
          <w:rFonts w:hAnsi="宋体" w:cs="宋体"/>
          <w:sz w:val="24"/>
          <w:szCs w:val="24"/>
        </w:rPr>
      </w:pPr>
      <w:r>
        <w:rPr>
          <w:rFonts w:hint="eastAsia" w:hAnsi="宋体" w:cs="宋体"/>
          <w:sz w:val="24"/>
          <w:szCs w:val="24"/>
        </w:rPr>
        <w:t>▲2、投标人投标所使用的资格、信誉、荣誉、业绩与企业认证必须为本法人所拥有。投标人投标所使用的采购项目实施人员可以为其控股公司的工作人员。</w:t>
      </w:r>
    </w:p>
    <w:p>
      <w:pPr>
        <w:pStyle w:val="22"/>
        <w:snapToGrid w:val="0"/>
        <w:spacing w:line="400" w:lineRule="exact"/>
        <w:ind w:firstLine="480" w:firstLineChars="200"/>
        <w:rPr>
          <w:rFonts w:hAnsi="宋体" w:cs="宋体"/>
          <w:sz w:val="24"/>
          <w:szCs w:val="24"/>
        </w:rPr>
      </w:pPr>
      <w:r>
        <w:rPr>
          <w:rFonts w:hint="eastAsia" w:hAnsi="宋体" w:cs="宋体"/>
          <w:sz w:val="24"/>
          <w:szCs w:val="24"/>
        </w:rPr>
        <w:t>▲3、投标人在投标活动中提供任何虚假材料或从事其他违法活动的,其投标无效，并报监管部门查处；中标后发现的,中标人须依照《中华人民共和国消费者权益保护法》第49条之规定双倍赔偿采购单位。且民事赔偿并不免除违法投标人的行政与刑事责任。</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4、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widowControl/>
        <w:spacing w:line="400" w:lineRule="exact"/>
        <w:ind w:firstLine="240" w:firstLineChars="100"/>
        <w:jc w:val="left"/>
        <w:rPr>
          <w:rFonts w:ascii="宋体" w:hAnsi="宋体" w:cs="宋体"/>
          <w:sz w:val="24"/>
          <w:szCs w:val="24"/>
        </w:rPr>
      </w:pPr>
      <w:r>
        <w:rPr>
          <w:rFonts w:hint="eastAsia" w:ascii="宋体" w:hAnsi="宋体" w:cs="宋体"/>
          <w:sz w:val="24"/>
          <w:szCs w:val="24"/>
        </w:rPr>
        <w:t xml:space="preserve">  多家代理商或经销商参加投标，如其中两家或两家以上供应商存在分级代理或代销关系，且提供的是其所代理品牌产品的，评审时，按上述规定确定其中一家为有效供应商。</w:t>
      </w:r>
    </w:p>
    <w:p>
      <w:pPr>
        <w:pStyle w:val="22"/>
        <w:snapToGrid w:val="0"/>
        <w:spacing w:line="400" w:lineRule="exact"/>
        <w:ind w:firstLine="480" w:firstLineChars="200"/>
        <w:rPr>
          <w:rFonts w:hAnsi="宋体" w:cs="宋体"/>
          <w:sz w:val="24"/>
          <w:szCs w:val="24"/>
        </w:rPr>
      </w:pPr>
      <w:r>
        <w:rPr>
          <w:rFonts w:hint="eastAsia" w:hAnsi="宋体" w:cs="宋体"/>
          <w:sz w:val="24"/>
          <w:szCs w:val="24"/>
        </w:rPr>
        <w:t>▲5、投标人应仔细阅读招标文件的所有内容，按照招标文件的要求提交投标文件。投标文件应对招标文件的要求作出实质性响应，并对所提供的全部资料的真实性承担法律责任。</w:t>
      </w:r>
    </w:p>
    <w:p>
      <w:pPr>
        <w:spacing w:line="400" w:lineRule="exact"/>
        <w:ind w:firstLine="482" w:firstLineChars="200"/>
        <w:jc w:val="left"/>
        <w:rPr>
          <w:rFonts w:ascii="宋体" w:hAnsi="宋体" w:cs="宋体"/>
          <w:b/>
          <w:sz w:val="24"/>
          <w:szCs w:val="24"/>
        </w:rPr>
      </w:pPr>
      <w:bookmarkStart w:id="5" w:name="_Toc177870543"/>
      <w:r>
        <w:rPr>
          <w:rFonts w:hint="eastAsia" w:ascii="宋体" w:hAnsi="宋体" w:cs="宋体"/>
          <w:b/>
          <w:sz w:val="24"/>
          <w:szCs w:val="24"/>
        </w:rPr>
        <w:t>八、质疑</w:t>
      </w:r>
      <w:bookmarkEnd w:id="5"/>
      <w:r>
        <w:rPr>
          <w:rFonts w:hint="eastAsia" w:ascii="宋体" w:hAnsi="宋体" w:cs="宋体"/>
          <w:b/>
          <w:sz w:val="24"/>
          <w:szCs w:val="24"/>
        </w:rPr>
        <w:t>和投诉</w:t>
      </w:r>
    </w:p>
    <w:p>
      <w:pPr>
        <w:pStyle w:val="22"/>
        <w:snapToGrid w:val="0"/>
        <w:spacing w:line="440" w:lineRule="exact"/>
        <w:ind w:left="2" w:firstLine="460" w:firstLineChars="192"/>
        <w:rPr>
          <w:rFonts w:hAnsi="宋体" w:cs="宋体"/>
          <w:kern w:val="2"/>
          <w:sz w:val="24"/>
          <w:szCs w:val="24"/>
        </w:rPr>
      </w:pPr>
      <w:r>
        <w:rPr>
          <w:rFonts w:hint="eastAsia" w:hAnsi="宋体" w:cs="宋体"/>
          <w:kern w:val="2"/>
          <w:sz w:val="24"/>
          <w:szCs w:val="24"/>
        </w:rPr>
        <w:t>1、投标人认为招标文件、招标过程和中标结果使自己的合法权益受到损害的，应当在知道或者应知其权益受到损害之日起七个工作日内，以书面形式向采购代理机构提出质疑。投标人对采购代理机构的质疑答复不满意或者采购代理机构未在规定时间内作出答复的，可以在答复期满后十五个工作日内向同级采购监管部门投诉。</w:t>
      </w:r>
    </w:p>
    <w:p>
      <w:pPr>
        <w:pStyle w:val="22"/>
        <w:snapToGrid w:val="0"/>
        <w:spacing w:line="440" w:lineRule="exact"/>
        <w:ind w:left="2" w:firstLine="460" w:firstLineChars="192"/>
        <w:rPr>
          <w:rFonts w:hAnsi="宋体" w:cs="宋体"/>
          <w:kern w:val="2"/>
          <w:sz w:val="24"/>
          <w:szCs w:val="24"/>
        </w:rPr>
      </w:pPr>
      <w:r>
        <w:rPr>
          <w:rFonts w:hint="eastAsia" w:hAnsi="宋体" w:cs="宋体"/>
          <w:kern w:val="2"/>
          <w:sz w:val="24"/>
          <w:szCs w:val="24"/>
        </w:rPr>
        <w:t>2、投标人认可招标方在质疑答复程序中启用的调查和复评等程序，在该程序操作过程未明显违反法律禁止性规定时，不得提出疑义；</w:t>
      </w:r>
    </w:p>
    <w:p>
      <w:pPr>
        <w:pStyle w:val="22"/>
        <w:snapToGrid w:val="0"/>
        <w:spacing w:line="440" w:lineRule="exact"/>
        <w:ind w:left="2" w:firstLine="460" w:firstLineChars="192"/>
        <w:rPr>
          <w:rFonts w:hAnsi="宋体" w:cs="宋体"/>
          <w:kern w:val="2"/>
          <w:sz w:val="24"/>
          <w:szCs w:val="24"/>
        </w:rPr>
      </w:pPr>
      <w:r>
        <w:rPr>
          <w:rFonts w:hint="eastAsia" w:hAnsi="宋体" w:cs="宋体"/>
          <w:kern w:val="2"/>
          <w:sz w:val="24"/>
          <w:szCs w:val="24"/>
        </w:rPr>
        <w:t>3、质疑、投诉应当采用书面形式，质疑书、投诉书均应明确阐述招标文件、招标过程和中标结果中使自己合法权益受到损害的实质性内容，提供相关事实、依据和证据及其来源或线索，便于有关单位调查、答复和处理。</w:t>
      </w:r>
    </w:p>
    <w:p>
      <w:pPr>
        <w:spacing w:line="400" w:lineRule="exact"/>
        <w:ind w:firstLine="570"/>
        <w:jc w:val="left"/>
        <w:rPr>
          <w:rFonts w:ascii="宋体" w:hAnsi="宋体" w:cs="宋体"/>
          <w:b/>
          <w:sz w:val="24"/>
          <w:szCs w:val="24"/>
        </w:rPr>
      </w:pPr>
      <w:r>
        <w:rPr>
          <w:rFonts w:hint="eastAsia" w:ascii="宋体" w:hAnsi="宋体" w:cs="宋体"/>
          <w:b/>
          <w:sz w:val="24"/>
          <w:szCs w:val="24"/>
        </w:rPr>
        <w:t>九、招标文件的澄清和修改</w:t>
      </w:r>
    </w:p>
    <w:p>
      <w:pPr>
        <w:pStyle w:val="22"/>
        <w:snapToGrid w:val="0"/>
        <w:spacing w:line="400" w:lineRule="exact"/>
        <w:ind w:firstLine="480" w:firstLineChars="200"/>
        <w:rPr>
          <w:rFonts w:hAnsi="宋体" w:cs="宋体"/>
          <w:sz w:val="24"/>
          <w:szCs w:val="24"/>
        </w:rPr>
      </w:pPr>
      <w:r>
        <w:rPr>
          <w:rFonts w:hint="eastAsia" w:hAnsi="宋体" w:cs="宋体"/>
          <w:sz w:val="24"/>
          <w:szCs w:val="24"/>
        </w:rPr>
        <w:t>1. 投标人应认真阅读本招标文件，发现其中有误或有要求不合理的，投标人必须在前附表规定的时间内以书面形式向 提出。</w:t>
      </w:r>
    </w:p>
    <w:p>
      <w:pPr>
        <w:pStyle w:val="22"/>
        <w:snapToGrid w:val="0"/>
        <w:spacing w:line="400" w:lineRule="exact"/>
        <w:ind w:firstLine="480" w:firstLineChars="200"/>
        <w:rPr>
          <w:rFonts w:hAnsi="宋体" w:cs="宋体"/>
          <w:bCs/>
          <w:sz w:val="24"/>
          <w:szCs w:val="24"/>
        </w:rPr>
      </w:pPr>
      <w:r>
        <w:rPr>
          <w:rFonts w:hint="eastAsia" w:hAnsi="宋体" w:cs="宋体"/>
          <w:bCs/>
          <w:sz w:val="24"/>
          <w:szCs w:val="24"/>
        </w:rPr>
        <w:t>2.</w:t>
      </w:r>
      <w:r>
        <w:rPr>
          <w:rFonts w:hint="eastAsia" w:hAnsi="宋体" w:cs="宋体"/>
          <w:sz w:val="24"/>
          <w:szCs w:val="24"/>
        </w:rPr>
        <w:t xml:space="preserve"> </w:t>
      </w:r>
      <w:r>
        <w:rPr>
          <w:rFonts w:hint="eastAsia" w:hAnsi="宋体" w:cs="宋体"/>
          <w:bCs/>
          <w:sz w:val="24"/>
          <w:szCs w:val="24"/>
        </w:rPr>
        <w:t>对已发出的招标文件进行必要澄清、答复、修改或补充的，应当在前附表统一组织答疑时间前，在杭州市公共资源交易中心建德分中心和浙江政府采购网站上发布更正公告，</w:t>
      </w:r>
      <w:r>
        <w:rPr>
          <w:rFonts w:hint="eastAsia" w:hAnsi="宋体" w:cs="宋体"/>
          <w:kern w:val="2"/>
          <w:sz w:val="24"/>
          <w:szCs w:val="24"/>
        </w:rPr>
        <w:t>请在投标前关注相关网站信息</w:t>
      </w:r>
      <w:r>
        <w:rPr>
          <w:rFonts w:hint="eastAsia" w:hAnsi="宋体" w:cs="宋体"/>
          <w:bCs/>
          <w:sz w:val="24"/>
          <w:szCs w:val="24"/>
        </w:rPr>
        <w:t>。</w:t>
      </w:r>
    </w:p>
    <w:p>
      <w:pPr>
        <w:pStyle w:val="22"/>
        <w:snapToGrid w:val="0"/>
        <w:spacing w:line="440" w:lineRule="exact"/>
        <w:ind w:firstLine="480" w:firstLineChars="200"/>
        <w:rPr>
          <w:rFonts w:hAnsi="宋体" w:cs="宋体"/>
          <w:sz w:val="24"/>
          <w:szCs w:val="24"/>
        </w:rPr>
      </w:pPr>
      <w:r>
        <w:rPr>
          <w:rFonts w:hint="eastAsia" w:hAnsi="宋体" w:cs="宋体"/>
          <w:sz w:val="24"/>
          <w:szCs w:val="24"/>
        </w:rPr>
        <w:t>3. 招标文件澄清、答复、修改、补充的内容为招标文件的组成部分。当招标文件与招标文件的答复、澄清、修改、补充通知就同一内容的表述不一致时，以最后发出的书面文件为准。</w:t>
      </w:r>
    </w:p>
    <w:p>
      <w:pPr>
        <w:spacing w:line="440" w:lineRule="exact"/>
        <w:ind w:firstLine="570"/>
        <w:jc w:val="left"/>
        <w:rPr>
          <w:rFonts w:ascii="宋体" w:hAnsi="宋体" w:cs="宋体"/>
          <w:b/>
          <w:sz w:val="24"/>
          <w:szCs w:val="24"/>
        </w:rPr>
      </w:pPr>
      <w:r>
        <w:rPr>
          <w:rFonts w:hint="eastAsia" w:ascii="宋体" w:hAnsi="宋体" w:cs="宋体"/>
          <w:b/>
          <w:sz w:val="24"/>
          <w:szCs w:val="24"/>
        </w:rPr>
        <w:t>十、投标文件的组成</w:t>
      </w:r>
    </w:p>
    <w:p>
      <w:pPr>
        <w:spacing w:line="440" w:lineRule="exact"/>
        <w:ind w:firstLine="570"/>
        <w:jc w:val="left"/>
        <w:rPr>
          <w:rFonts w:ascii="宋体" w:hAnsi="宋体" w:cs="宋体"/>
          <w:b/>
          <w:sz w:val="24"/>
          <w:szCs w:val="24"/>
        </w:rPr>
      </w:pPr>
      <w:r>
        <w:rPr>
          <w:rFonts w:hint="eastAsia" w:ascii="宋体" w:hAnsi="宋体" w:cs="宋体"/>
          <w:b/>
          <w:sz w:val="24"/>
          <w:szCs w:val="24"/>
        </w:rPr>
        <w:t>A、资格审查文件内容（单独包封递交）</w:t>
      </w:r>
    </w:p>
    <w:p>
      <w:pPr>
        <w:snapToGrid w:val="0"/>
        <w:spacing w:line="440" w:lineRule="exact"/>
        <w:ind w:firstLine="480" w:firstLineChars="200"/>
        <w:rPr>
          <w:rFonts w:ascii="宋体" w:hAnsi="宋体" w:cs="宋体"/>
          <w:bCs/>
          <w:sz w:val="24"/>
          <w:szCs w:val="24"/>
        </w:rPr>
      </w:pPr>
      <w:r>
        <w:rPr>
          <w:rFonts w:hint="eastAsia" w:ascii="宋体" w:hAnsi="宋体" w:cs="宋体"/>
          <w:bCs/>
          <w:sz w:val="24"/>
          <w:szCs w:val="24"/>
        </w:rPr>
        <w:t>〈一〉</w:t>
      </w:r>
      <w:r>
        <w:rPr>
          <w:rFonts w:hint="eastAsia" w:ascii="宋体" w:hAnsi="宋体" w:cs="宋体"/>
          <w:sz w:val="24"/>
          <w:szCs w:val="24"/>
        </w:rPr>
        <w:t>法定代表人授权委托书原件</w:t>
      </w:r>
      <w:r>
        <w:rPr>
          <w:rFonts w:hint="eastAsia" w:ascii="宋体" w:hAnsi="宋体" w:cs="宋体"/>
          <w:b/>
          <w:bCs/>
          <w:sz w:val="24"/>
          <w:szCs w:val="24"/>
        </w:rPr>
        <w:t>（如法人参加开标，无需提供此项）</w:t>
      </w:r>
      <w:r>
        <w:rPr>
          <w:rFonts w:hint="eastAsia" w:ascii="宋体" w:hAnsi="宋体" w:cs="宋体"/>
          <w:bCs/>
          <w:sz w:val="24"/>
          <w:szCs w:val="24"/>
        </w:rPr>
        <w:t xml:space="preserve">； </w:t>
      </w:r>
    </w:p>
    <w:p>
      <w:pPr>
        <w:snapToGrid w:val="0"/>
        <w:spacing w:line="440" w:lineRule="exact"/>
        <w:ind w:firstLine="480" w:firstLineChars="200"/>
        <w:rPr>
          <w:rFonts w:ascii="宋体" w:hAnsi="宋体" w:cs="宋体"/>
          <w:bCs/>
          <w:sz w:val="24"/>
          <w:szCs w:val="24"/>
        </w:rPr>
      </w:pPr>
      <w:r>
        <w:rPr>
          <w:rFonts w:hint="eastAsia" w:ascii="宋体" w:hAnsi="宋体" w:cs="宋体"/>
          <w:bCs/>
          <w:sz w:val="24"/>
          <w:szCs w:val="24"/>
        </w:rPr>
        <w:t>〈二〉</w:t>
      </w:r>
      <w:r>
        <w:rPr>
          <w:rFonts w:hint="eastAsia" w:ascii="宋体" w:hAnsi="宋体" w:cs="宋体"/>
          <w:sz w:val="24"/>
          <w:szCs w:val="24"/>
        </w:rPr>
        <w:t>营业执照副本复印件并加盖公章</w:t>
      </w:r>
      <w:r>
        <w:rPr>
          <w:rFonts w:hint="eastAsia" w:ascii="宋体" w:hAnsi="宋体" w:cs="宋体"/>
          <w:b/>
          <w:bCs/>
          <w:sz w:val="24"/>
          <w:szCs w:val="24"/>
        </w:rPr>
        <w:t>（原件备查）</w:t>
      </w:r>
      <w:r>
        <w:rPr>
          <w:rFonts w:hint="eastAsia" w:ascii="宋体" w:hAnsi="宋体" w:cs="宋体"/>
          <w:bCs/>
          <w:sz w:val="24"/>
          <w:szCs w:val="24"/>
        </w:rPr>
        <w:t>；</w:t>
      </w:r>
    </w:p>
    <w:p>
      <w:pPr>
        <w:snapToGrid w:val="0"/>
        <w:spacing w:line="440" w:lineRule="exact"/>
        <w:ind w:firstLine="480" w:firstLineChars="200"/>
        <w:rPr>
          <w:rFonts w:ascii="宋体" w:hAnsi="宋体" w:cs="宋体"/>
          <w:bCs/>
          <w:sz w:val="24"/>
          <w:szCs w:val="24"/>
        </w:rPr>
      </w:pPr>
      <w:r>
        <w:rPr>
          <w:rFonts w:hint="eastAsia" w:ascii="宋体" w:hAnsi="宋体" w:cs="宋体"/>
          <w:bCs/>
          <w:sz w:val="24"/>
          <w:szCs w:val="24"/>
        </w:rPr>
        <w:t>〈三〉</w:t>
      </w:r>
      <w:r>
        <w:rPr>
          <w:rFonts w:hint="eastAsia" w:ascii="宋体" w:hAnsi="宋体" w:cs="宋体"/>
          <w:sz w:val="24"/>
          <w:szCs w:val="24"/>
        </w:rPr>
        <w:t>被授权人（或法人）身份证复印件并加盖公章</w:t>
      </w:r>
      <w:r>
        <w:rPr>
          <w:rFonts w:hint="eastAsia" w:ascii="宋体" w:hAnsi="宋体" w:cs="宋体"/>
          <w:b/>
          <w:bCs/>
          <w:sz w:val="24"/>
          <w:szCs w:val="24"/>
        </w:rPr>
        <w:t>（原件备查）</w:t>
      </w:r>
    </w:p>
    <w:p>
      <w:pPr>
        <w:snapToGrid w:val="0"/>
        <w:spacing w:line="420" w:lineRule="exact"/>
        <w:ind w:firstLine="480" w:firstLineChars="200"/>
        <w:rPr>
          <w:rFonts w:ascii="宋体" w:hAnsi="宋体" w:cs="宋体"/>
          <w:bCs/>
          <w:sz w:val="24"/>
          <w:szCs w:val="24"/>
        </w:rPr>
      </w:pPr>
      <w:r>
        <w:rPr>
          <w:rFonts w:hint="eastAsia" w:ascii="宋体" w:hAnsi="宋体" w:cs="宋体"/>
          <w:bCs/>
          <w:sz w:val="24"/>
          <w:szCs w:val="24"/>
        </w:rPr>
        <w:t>〈四〉</w:t>
      </w:r>
      <w:r>
        <w:rPr>
          <w:rFonts w:hint="eastAsia" w:ascii="宋体" w:hAnsi="宋体" w:cs="宋体"/>
          <w:sz w:val="24"/>
          <w:szCs w:val="24"/>
        </w:rPr>
        <w:t>被授权人在投标单位连续缴纳近三个月社保的证明材料复印件并加盖公章（</w:t>
      </w:r>
      <w:r>
        <w:rPr>
          <w:rFonts w:hint="eastAsia" w:ascii="宋体" w:hAnsi="宋体" w:cs="宋体"/>
          <w:b/>
          <w:bCs/>
          <w:sz w:val="24"/>
          <w:szCs w:val="24"/>
        </w:rPr>
        <w:t>原件备查，如法人参加开标，无需提供此项）</w:t>
      </w:r>
      <w:r>
        <w:rPr>
          <w:rFonts w:hint="eastAsia" w:ascii="宋体" w:hAnsi="宋体" w:cs="宋体"/>
          <w:sz w:val="24"/>
          <w:szCs w:val="24"/>
        </w:rPr>
        <w:t>；</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资格审查文件注意点：</w:t>
      </w:r>
    </w:p>
    <w:p>
      <w:pPr>
        <w:snapToGrid w:val="0"/>
        <w:spacing w:line="440" w:lineRule="exact"/>
        <w:ind w:firstLine="482" w:firstLineChars="200"/>
        <w:rPr>
          <w:rFonts w:ascii="宋体" w:hAnsi="宋体" w:cs="宋体"/>
          <w:b/>
          <w:dstrike/>
          <w:sz w:val="24"/>
          <w:szCs w:val="24"/>
        </w:rPr>
      </w:pPr>
      <w:r>
        <w:rPr>
          <w:rFonts w:hint="eastAsia" w:ascii="宋体" w:hAnsi="宋体" w:cs="宋体"/>
          <w:b/>
          <w:sz w:val="24"/>
          <w:szCs w:val="24"/>
        </w:rPr>
        <w:t>1. 已经在浙江省供应商库注册的且上传了相关营业执照、资质证书资料的供应商可以不提供备查文件原件，但需在浙江政府采购外网上能够正常查询；</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2. 非浙江省供应商库注册单位或未上传相关资质证书的单位需随身携带相关原件备查（无需密封入资格证明文件内）；</w:t>
      </w:r>
    </w:p>
    <w:p>
      <w:pPr>
        <w:spacing w:line="440" w:lineRule="exact"/>
        <w:ind w:firstLine="482" w:firstLineChars="200"/>
        <w:jc w:val="left"/>
        <w:rPr>
          <w:rFonts w:ascii="宋体" w:hAnsi="宋体" w:cs="宋体"/>
          <w:b/>
          <w:sz w:val="24"/>
          <w:szCs w:val="24"/>
        </w:rPr>
      </w:pPr>
      <w:r>
        <w:rPr>
          <w:rFonts w:hint="eastAsia" w:ascii="宋体" w:hAnsi="宋体" w:cs="宋体"/>
          <w:b/>
          <w:sz w:val="24"/>
          <w:szCs w:val="24"/>
        </w:rPr>
        <w:t>3. 未按以上要求提供资格证明文件及备查原件的，按未提供合格的资格文件处理。</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以上资格审查文件1份单独密封成1包，密封处须加盖投标供应商的单位公章（外包封封面格式参考“附件十二(2) ”）</w:t>
      </w:r>
    </w:p>
    <w:p>
      <w:pPr>
        <w:spacing w:line="440" w:lineRule="exact"/>
        <w:ind w:firstLine="482" w:firstLineChars="200"/>
        <w:jc w:val="left"/>
        <w:rPr>
          <w:rFonts w:ascii="宋体" w:hAnsi="宋体" w:cs="宋体"/>
          <w:b/>
          <w:sz w:val="24"/>
          <w:szCs w:val="24"/>
        </w:rPr>
      </w:pPr>
      <w:r>
        <w:rPr>
          <w:rFonts w:hint="eastAsia" w:ascii="宋体" w:hAnsi="宋体" w:cs="宋体"/>
          <w:b/>
          <w:bCs/>
          <w:sz w:val="24"/>
          <w:szCs w:val="24"/>
        </w:rPr>
        <w:t>B、</w:t>
      </w:r>
      <w:r>
        <w:rPr>
          <w:rFonts w:hint="eastAsia" w:ascii="宋体" w:hAnsi="宋体" w:cs="宋体"/>
          <w:b/>
          <w:sz w:val="24"/>
          <w:szCs w:val="24"/>
        </w:rPr>
        <w:t>报价文件包括：</w:t>
      </w:r>
    </w:p>
    <w:p>
      <w:pPr>
        <w:autoSpaceDN w:val="0"/>
        <w:spacing w:line="440" w:lineRule="exact"/>
        <w:ind w:firstLine="480" w:firstLineChars="200"/>
        <w:jc w:val="left"/>
        <w:rPr>
          <w:rFonts w:ascii="宋体" w:hAnsi="宋体" w:cs="宋体"/>
          <w:sz w:val="24"/>
          <w:szCs w:val="24"/>
        </w:rPr>
      </w:pPr>
      <w:r>
        <w:rPr>
          <w:rFonts w:hint="eastAsia" w:ascii="宋体" w:hAnsi="宋体" w:cs="宋体"/>
          <w:sz w:val="24"/>
          <w:szCs w:val="24"/>
        </w:rPr>
        <w:t>〈一〉投标报价函（附件一）</w:t>
      </w:r>
    </w:p>
    <w:p>
      <w:pPr>
        <w:autoSpaceDN w:val="0"/>
        <w:spacing w:line="440" w:lineRule="exact"/>
        <w:ind w:firstLine="480" w:firstLineChars="200"/>
        <w:jc w:val="left"/>
        <w:rPr>
          <w:rFonts w:ascii="宋体" w:hAnsi="宋体" w:cs="宋体"/>
          <w:sz w:val="24"/>
          <w:szCs w:val="24"/>
        </w:rPr>
      </w:pPr>
      <w:r>
        <w:rPr>
          <w:rFonts w:hint="eastAsia" w:ascii="宋体" w:hAnsi="宋体" w:cs="宋体"/>
          <w:sz w:val="24"/>
          <w:szCs w:val="24"/>
        </w:rPr>
        <w:t>〈二〉开标一览表（附件二（1））</w:t>
      </w:r>
    </w:p>
    <w:p>
      <w:pPr>
        <w:autoSpaceDN w:val="0"/>
        <w:spacing w:line="440" w:lineRule="exact"/>
        <w:ind w:firstLine="480" w:firstLineChars="200"/>
        <w:jc w:val="left"/>
        <w:rPr>
          <w:rFonts w:ascii="宋体" w:hAnsi="宋体" w:cs="宋体"/>
          <w:sz w:val="24"/>
          <w:szCs w:val="24"/>
        </w:rPr>
      </w:pPr>
      <w:r>
        <w:rPr>
          <w:rFonts w:hint="eastAsia" w:ascii="宋体" w:hAnsi="宋体" w:cs="宋体"/>
          <w:sz w:val="24"/>
          <w:szCs w:val="24"/>
        </w:rPr>
        <w:t>〈三〉投标详细报价清单（附件二（2））</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〈四〉投标人针对报价需要说明的其他文件和说明（格式自拟）</w:t>
      </w:r>
    </w:p>
    <w:p>
      <w:pPr>
        <w:spacing w:line="440" w:lineRule="exact"/>
        <w:ind w:firstLine="482" w:firstLineChars="200"/>
        <w:jc w:val="left"/>
        <w:rPr>
          <w:rFonts w:ascii="宋体" w:hAnsi="宋体" w:cs="宋体"/>
          <w:b/>
          <w:bCs/>
          <w:sz w:val="24"/>
          <w:szCs w:val="24"/>
          <w:u w:val="single"/>
        </w:rPr>
      </w:pPr>
      <w:r>
        <w:rPr>
          <w:rFonts w:hint="eastAsia" w:ascii="宋体" w:hAnsi="宋体" w:cs="宋体"/>
          <w:b/>
          <w:sz w:val="24"/>
          <w:szCs w:val="24"/>
        </w:rPr>
        <w:t>注：1、将报价文件正本1份、副本5份同时</w:t>
      </w:r>
      <w:r>
        <w:rPr>
          <w:rFonts w:hint="eastAsia" w:ascii="宋体" w:hAnsi="宋体" w:cs="宋体"/>
          <w:b/>
          <w:kern w:val="0"/>
          <w:sz w:val="24"/>
          <w:szCs w:val="24"/>
        </w:rPr>
        <w:t>密封于一个密封袋内，并在密封袋上标明《报价文件》字样。资格审查文件、</w:t>
      </w:r>
      <w:r>
        <w:rPr>
          <w:rFonts w:hint="eastAsia" w:ascii="宋体" w:hAnsi="宋体" w:cs="宋体"/>
          <w:b/>
          <w:bCs/>
          <w:sz w:val="24"/>
          <w:szCs w:val="24"/>
        </w:rPr>
        <w:t>商务资信及技术文件中不得出现价格信息。</w:t>
      </w:r>
    </w:p>
    <w:p>
      <w:pPr>
        <w:spacing w:line="440" w:lineRule="exact"/>
        <w:ind w:firstLine="463" w:firstLineChars="192"/>
        <w:jc w:val="left"/>
        <w:rPr>
          <w:rFonts w:ascii="宋体" w:hAnsi="宋体" w:cs="宋体"/>
          <w:b/>
          <w:bCs/>
          <w:sz w:val="24"/>
          <w:szCs w:val="24"/>
        </w:rPr>
      </w:pPr>
      <w:r>
        <w:rPr>
          <w:rFonts w:hint="eastAsia" w:ascii="宋体" w:hAnsi="宋体" w:cs="宋体"/>
          <w:b/>
          <w:bCs/>
          <w:sz w:val="24"/>
          <w:szCs w:val="24"/>
        </w:rPr>
        <w:t>C、商务技术文件包括：</w:t>
      </w:r>
    </w:p>
    <w:p>
      <w:pPr>
        <w:spacing w:line="440" w:lineRule="exact"/>
        <w:ind w:firstLine="460" w:firstLineChars="192"/>
        <w:jc w:val="left"/>
        <w:rPr>
          <w:rFonts w:ascii="宋体" w:hAnsi="宋体" w:cs="宋体"/>
          <w:sz w:val="24"/>
          <w:szCs w:val="24"/>
        </w:rPr>
      </w:pPr>
      <w:r>
        <w:rPr>
          <w:rFonts w:hint="eastAsia" w:ascii="宋体" w:hAnsi="宋体" w:cs="宋体"/>
          <w:sz w:val="24"/>
          <w:szCs w:val="24"/>
        </w:rPr>
        <w:t>〈一〉投标函（附件三）；</w:t>
      </w:r>
    </w:p>
    <w:p>
      <w:pPr>
        <w:spacing w:line="440" w:lineRule="exact"/>
        <w:ind w:firstLine="460" w:firstLineChars="192"/>
        <w:jc w:val="left"/>
        <w:rPr>
          <w:rFonts w:ascii="宋体" w:hAnsi="宋体" w:cs="宋体"/>
          <w:sz w:val="24"/>
          <w:szCs w:val="24"/>
        </w:rPr>
      </w:pPr>
      <w:r>
        <w:rPr>
          <w:rFonts w:hint="eastAsia" w:ascii="宋体" w:hAnsi="宋体" w:cs="宋体"/>
          <w:sz w:val="24"/>
          <w:szCs w:val="24"/>
        </w:rPr>
        <w:t>〈二〉投标方的技术文件：</w:t>
      </w:r>
    </w:p>
    <w:p>
      <w:pPr>
        <w:widowControl/>
        <w:snapToGrid w:val="0"/>
        <w:spacing w:line="440" w:lineRule="exact"/>
        <w:ind w:firstLine="525" w:firstLineChars="219"/>
        <w:rPr>
          <w:rFonts w:ascii="宋体" w:hAnsi="宋体" w:cs="宋体"/>
          <w:kern w:val="0"/>
          <w:sz w:val="24"/>
          <w:szCs w:val="24"/>
        </w:rPr>
      </w:pPr>
      <w:r>
        <w:rPr>
          <w:rFonts w:hint="eastAsia" w:ascii="宋体" w:hAnsi="宋体" w:cs="宋体"/>
          <w:kern w:val="0"/>
          <w:sz w:val="24"/>
          <w:szCs w:val="24"/>
        </w:rPr>
        <w:t>投标方技术文件由投标方视需要自行编制。技术文件应能够证明投标方提供的设备且符合招标文件规定。技术（参数）文件应包含以下内容：</w:t>
      </w:r>
    </w:p>
    <w:p>
      <w:pPr>
        <w:widowControl/>
        <w:snapToGrid w:val="0"/>
        <w:spacing w:line="440" w:lineRule="exact"/>
        <w:ind w:firstLine="525" w:firstLineChars="219"/>
        <w:rPr>
          <w:rFonts w:ascii="宋体" w:hAnsi="宋体" w:cs="宋体"/>
          <w:sz w:val="24"/>
          <w:szCs w:val="24"/>
        </w:rPr>
      </w:pPr>
      <w:r>
        <w:rPr>
          <w:rFonts w:hint="eastAsia" w:ascii="宋体" w:hAnsi="宋体" w:cs="宋体"/>
          <w:sz w:val="24"/>
          <w:szCs w:val="24"/>
        </w:rPr>
        <w:t>1、投标产品技术参数对照表（附件四）；</w:t>
      </w:r>
    </w:p>
    <w:p>
      <w:pPr>
        <w:widowControl/>
        <w:snapToGrid w:val="0"/>
        <w:spacing w:line="440" w:lineRule="exact"/>
        <w:ind w:firstLine="525" w:firstLineChars="219"/>
        <w:rPr>
          <w:rFonts w:ascii="宋体" w:hAnsi="宋体" w:cs="宋体"/>
          <w:kern w:val="0"/>
          <w:sz w:val="24"/>
          <w:szCs w:val="24"/>
        </w:rPr>
      </w:pPr>
      <w:r>
        <w:rPr>
          <w:rFonts w:hint="eastAsia" w:ascii="宋体" w:hAnsi="宋体" w:cs="宋体"/>
          <w:kern w:val="0"/>
          <w:sz w:val="24"/>
          <w:szCs w:val="24"/>
        </w:rPr>
        <w:t>2、现有经营场地、服务机构等情况资料</w:t>
      </w:r>
      <w:r>
        <w:rPr>
          <w:rFonts w:hint="eastAsia" w:ascii="宋体" w:hAnsi="宋体" w:cs="宋体"/>
          <w:sz w:val="24"/>
          <w:szCs w:val="24"/>
        </w:rPr>
        <w:t>；</w:t>
      </w:r>
    </w:p>
    <w:p>
      <w:pPr>
        <w:widowControl/>
        <w:snapToGrid w:val="0"/>
        <w:spacing w:line="440" w:lineRule="exact"/>
        <w:ind w:firstLine="525" w:firstLineChars="219"/>
        <w:rPr>
          <w:rFonts w:ascii="宋体" w:hAnsi="宋体" w:cs="宋体"/>
          <w:sz w:val="24"/>
          <w:szCs w:val="24"/>
        </w:rPr>
      </w:pPr>
      <w:r>
        <w:rPr>
          <w:rFonts w:hint="eastAsia" w:ascii="宋体" w:hAnsi="宋体" w:cs="宋体"/>
          <w:kern w:val="0"/>
          <w:sz w:val="24"/>
          <w:szCs w:val="24"/>
        </w:rPr>
        <w:t>3、</w:t>
      </w:r>
      <w:r>
        <w:rPr>
          <w:rFonts w:hint="eastAsia" w:ascii="宋体" w:hAnsi="宋体" w:cs="宋体"/>
          <w:sz w:val="24"/>
          <w:szCs w:val="24"/>
        </w:rPr>
        <w:t>保证工期的施工组织方案及人力资源安排；</w:t>
      </w:r>
    </w:p>
    <w:p>
      <w:pPr>
        <w:widowControl/>
        <w:snapToGrid w:val="0"/>
        <w:spacing w:line="440" w:lineRule="exact"/>
        <w:ind w:firstLine="525" w:firstLineChars="219"/>
        <w:rPr>
          <w:rFonts w:ascii="宋体" w:hAnsi="宋体" w:cs="宋体"/>
          <w:sz w:val="24"/>
          <w:szCs w:val="24"/>
        </w:rPr>
      </w:pPr>
      <w:r>
        <w:rPr>
          <w:rFonts w:hint="eastAsia" w:ascii="宋体" w:hAnsi="宋体" w:cs="宋体"/>
          <w:sz w:val="24"/>
          <w:szCs w:val="24"/>
        </w:rPr>
        <w:t>4、项目实施人员一览表（附件五）；</w:t>
      </w:r>
    </w:p>
    <w:p>
      <w:pPr>
        <w:widowControl/>
        <w:snapToGrid w:val="0"/>
        <w:spacing w:line="440" w:lineRule="exact"/>
        <w:ind w:firstLine="525" w:firstLineChars="219"/>
        <w:rPr>
          <w:rFonts w:ascii="宋体" w:hAnsi="宋体" w:cs="宋体"/>
          <w:sz w:val="24"/>
          <w:szCs w:val="24"/>
        </w:rPr>
      </w:pPr>
      <w:r>
        <w:rPr>
          <w:rFonts w:hint="eastAsia" w:ascii="宋体" w:hAnsi="宋体" w:cs="宋体"/>
          <w:sz w:val="24"/>
          <w:szCs w:val="24"/>
        </w:rPr>
        <w:t>5、对本次招标项目需提供技术方案以及设备情况，技术方案包括硬件、软件、投标产品的详细技术参数、印刷产品等（产品及原材料的品牌、产地、规格、产品使用说明书等）。投标产品的主要技术、结构、性能、特点、材料和质量水平的详细描述；</w:t>
      </w:r>
    </w:p>
    <w:p>
      <w:pPr>
        <w:spacing w:line="440" w:lineRule="exact"/>
        <w:ind w:firstLine="480" w:firstLineChars="200"/>
        <w:rPr>
          <w:rFonts w:ascii="宋体" w:hAnsi="宋体" w:cs="宋体"/>
          <w:sz w:val="24"/>
          <w:szCs w:val="24"/>
        </w:rPr>
      </w:pPr>
      <w:r>
        <w:rPr>
          <w:rFonts w:hint="eastAsia" w:ascii="宋体" w:hAnsi="宋体" w:cs="宋体"/>
          <w:sz w:val="24"/>
          <w:szCs w:val="24"/>
        </w:rPr>
        <w:t>6、产品制造、安装、验收标准；</w:t>
      </w:r>
    </w:p>
    <w:p>
      <w:pPr>
        <w:spacing w:line="440" w:lineRule="exact"/>
        <w:ind w:firstLine="480" w:firstLineChars="200"/>
        <w:rPr>
          <w:rFonts w:ascii="宋体" w:hAnsi="宋体" w:cs="宋体"/>
          <w:kern w:val="0"/>
          <w:sz w:val="24"/>
          <w:szCs w:val="24"/>
        </w:rPr>
      </w:pPr>
      <w:r>
        <w:rPr>
          <w:rFonts w:hint="eastAsia" w:ascii="宋体" w:hAnsi="宋体" w:cs="宋体"/>
          <w:sz w:val="24"/>
          <w:szCs w:val="24"/>
        </w:rPr>
        <w:t>7、项目实施计划等</w:t>
      </w:r>
      <w:r>
        <w:rPr>
          <w:rFonts w:hint="eastAsia" w:ascii="宋体" w:hAnsi="宋体" w:cs="宋体"/>
          <w:kern w:val="0"/>
          <w:sz w:val="24"/>
          <w:szCs w:val="24"/>
        </w:rPr>
        <w:t>。</w:t>
      </w:r>
    </w:p>
    <w:p>
      <w:pPr>
        <w:widowControl/>
        <w:snapToGrid w:val="0"/>
        <w:spacing w:line="440" w:lineRule="exact"/>
        <w:ind w:firstLine="525" w:firstLineChars="219"/>
        <w:rPr>
          <w:rFonts w:ascii="宋体" w:hAnsi="宋体" w:cs="宋体"/>
          <w:kern w:val="0"/>
          <w:sz w:val="24"/>
          <w:szCs w:val="24"/>
        </w:rPr>
      </w:pPr>
      <w:r>
        <w:rPr>
          <w:rFonts w:hint="eastAsia" w:ascii="宋体" w:hAnsi="宋体" w:cs="宋体"/>
          <w:kern w:val="0"/>
          <w:sz w:val="24"/>
          <w:szCs w:val="24"/>
        </w:rPr>
        <w:t>〈三〉商务条款应对表（附件六）；</w:t>
      </w:r>
    </w:p>
    <w:p>
      <w:pPr>
        <w:widowControl/>
        <w:snapToGrid w:val="0"/>
        <w:spacing w:line="440" w:lineRule="exact"/>
        <w:ind w:firstLine="525" w:firstLineChars="219"/>
        <w:rPr>
          <w:rFonts w:ascii="宋体" w:hAnsi="宋体" w:cs="宋体"/>
          <w:kern w:val="0"/>
          <w:sz w:val="24"/>
          <w:szCs w:val="24"/>
        </w:rPr>
      </w:pPr>
      <w:r>
        <w:rPr>
          <w:rFonts w:hint="eastAsia" w:ascii="宋体" w:hAnsi="宋体" w:cs="宋体"/>
          <w:kern w:val="0"/>
          <w:sz w:val="24"/>
          <w:szCs w:val="24"/>
        </w:rPr>
        <w:t>〈四〉售后服务及培训承诺；</w:t>
      </w:r>
    </w:p>
    <w:p>
      <w:pPr>
        <w:snapToGrid w:val="0"/>
        <w:spacing w:line="440" w:lineRule="exact"/>
        <w:ind w:firstLine="720" w:firstLineChars="300"/>
        <w:jc w:val="left"/>
        <w:rPr>
          <w:rFonts w:ascii="宋体" w:hAnsi="宋体" w:cs="宋体"/>
          <w:sz w:val="24"/>
          <w:szCs w:val="24"/>
        </w:rPr>
      </w:pPr>
      <w:r>
        <w:rPr>
          <w:rFonts w:hint="eastAsia" w:ascii="宋体" w:hAnsi="宋体" w:cs="宋体"/>
          <w:sz w:val="24"/>
          <w:szCs w:val="24"/>
        </w:rPr>
        <w:t>格式由投标单位自定，以不低于技术规格及服务要求中提出的标准填写，原则上由两部分组成：</w:t>
      </w:r>
    </w:p>
    <w:p>
      <w:pPr>
        <w:snapToGrid w:val="0"/>
        <w:spacing w:line="440" w:lineRule="exact"/>
        <w:ind w:firstLine="576" w:firstLineChars="240"/>
        <w:jc w:val="left"/>
        <w:rPr>
          <w:rFonts w:ascii="宋体" w:hAnsi="宋体" w:cs="宋体"/>
          <w:kern w:val="0"/>
          <w:sz w:val="24"/>
          <w:szCs w:val="24"/>
        </w:rPr>
      </w:pPr>
      <w:r>
        <w:rPr>
          <w:rFonts w:hint="eastAsia" w:ascii="宋体" w:hAnsi="宋体" w:cs="宋体"/>
          <w:sz w:val="24"/>
          <w:szCs w:val="24"/>
        </w:rPr>
        <w:t xml:space="preserve">1. </w:t>
      </w:r>
      <w:r>
        <w:rPr>
          <w:rFonts w:hint="eastAsia" w:ascii="宋体" w:hAnsi="宋体" w:cs="宋体"/>
          <w:kern w:val="0"/>
          <w:sz w:val="24"/>
          <w:szCs w:val="24"/>
        </w:rPr>
        <w:t>标准服务，按行业常规服务填列；</w:t>
      </w:r>
    </w:p>
    <w:p>
      <w:pPr>
        <w:snapToGrid w:val="0"/>
        <w:spacing w:line="440" w:lineRule="exact"/>
        <w:ind w:firstLine="576" w:firstLineChars="240"/>
        <w:jc w:val="left"/>
        <w:rPr>
          <w:rFonts w:ascii="宋体" w:hAnsi="宋体" w:cs="宋体"/>
          <w:kern w:val="0"/>
          <w:sz w:val="24"/>
          <w:szCs w:val="24"/>
        </w:rPr>
      </w:pPr>
      <w:r>
        <w:rPr>
          <w:rFonts w:hint="eastAsia" w:ascii="宋体" w:hAnsi="宋体" w:cs="宋体"/>
          <w:kern w:val="0"/>
          <w:sz w:val="24"/>
          <w:szCs w:val="24"/>
        </w:rPr>
        <w:t>2. 特色（或特殊）服务，按每个投标厂商的实际情况，针对本次招标项目进行售后服务特别承诺。）</w:t>
      </w:r>
    </w:p>
    <w:p>
      <w:pPr>
        <w:spacing w:line="440" w:lineRule="exact"/>
        <w:ind w:firstLine="460" w:firstLineChars="192"/>
        <w:jc w:val="left"/>
        <w:rPr>
          <w:rFonts w:ascii="宋体" w:hAnsi="宋体" w:cs="宋体"/>
          <w:sz w:val="24"/>
          <w:szCs w:val="24"/>
        </w:rPr>
      </w:pPr>
      <w:r>
        <w:rPr>
          <w:rFonts w:hint="eastAsia" w:ascii="宋体" w:hAnsi="宋体" w:cs="宋体"/>
          <w:sz w:val="24"/>
          <w:szCs w:val="24"/>
        </w:rPr>
        <w:t>〈五〉服务计划表（附件七）</w:t>
      </w:r>
    </w:p>
    <w:p>
      <w:pPr>
        <w:spacing w:line="440" w:lineRule="exact"/>
        <w:ind w:firstLine="460" w:firstLineChars="192"/>
        <w:jc w:val="left"/>
        <w:rPr>
          <w:rFonts w:ascii="宋体" w:hAnsi="宋体" w:cs="宋体"/>
        </w:rPr>
      </w:pPr>
      <w:r>
        <w:rPr>
          <w:rFonts w:hint="eastAsia" w:ascii="宋体" w:hAnsi="宋体" w:cs="宋体"/>
          <w:sz w:val="24"/>
          <w:szCs w:val="24"/>
        </w:rPr>
        <w:t>〈六〉所提供的样品、样品材料清单（若有）；</w:t>
      </w:r>
    </w:p>
    <w:p>
      <w:pPr>
        <w:spacing w:line="440" w:lineRule="exact"/>
        <w:ind w:firstLine="460" w:firstLineChars="192"/>
        <w:jc w:val="left"/>
        <w:rPr>
          <w:rFonts w:ascii="宋体" w:hAnsi="宋体" w:cs="宋体"/>
          <w:sz w:val="24"/>
          <w:szCs w:val="24"/>
        </w:rPr>
      </w:pPr>
      <w:r>
        <w:rPr>
          <w:rFonts w:hint="eastAsia" w:ascii="宋体" w:hAnsi="宋体" w:cs="宋体"/>
          <w:sz w:val="24"/>
          <w:szCs w:val="24"/>
        </w:rPr>
        <w:t>〈七〉评分规则中涉及的所需提交的材料；</w:t>
      </w:r>
    </w:p>
    <w:p>
      <w:pPr>
        <w:spacing w:line="440" w:lineRule="exact"/>
        <w:ind w:firstLine="460" w:firstLineChars="192"/>
        <w:jc w:val="left"/>
        <w:rPr>
          <w:rFonts w:ascii="宋体" w:hAnsi="宋体" w:cs="宋体"/>
          <w:sz w:val="24"/>
          <w:szCs w:val="24"/>
        </w:rPr>
      </w:pPr>
      <w:r>
        <w:rPr>
          <w:rFonts w:hint="eastAsia" w:ascii="宋体" w:hAnsi="宋体" w:cs="宋体"/>
          <w:sz w:val="24"/>
          <w:szCs w:val="24"/>
        </w:rPr>
        <w:t>〈八〉投标方认为需要的其他文件资料。</w:t>
      </w:r>
    </w:p>
    <w:p>
      <w:pPr>
        <w:spacing w:line="440" w:lineRule="exact"/>
        <w:ind w:firstLine="463" w:firstLineChars="192"/>
        <w:jc w:val="left"/>
        <w:rPr>
          <w:rFonts w:ascii="宋体" w:hAnsi="宋体" w:cs="宋体"/>
          <w:b/>
          <w:sz w:val="24"/>
          <w:szCs w:val="24"/>
        </w:rPr>
      </w:pPr>
      <w:r>
        <w:rPr>
          <w:rFonts w:hint="eastAsia" w:ascii="宋体" w:hAnsi="宋体" w:cs="宋体"/>
          <w:b/>
          <w:sz w:val="24"/>
          <w:szCs w:val="24"/>
        </w:rPr>
        <w:t>D、资信文件包括：</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〈一〉法定代表人授权书（附件八）和授权代表身份证复印件；（如法人参加开标，无需提供此项）</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〈二〉社保登记证及授权代表近三个月单位社保缴费证明或由当地社险办出具的近三个月单位社会保险缴费人员（含授权代表）清册；</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〈三〉关于资格的声明函（附件九）；</w:t>
      </w:r>
    </w:p>
    <w:p>
      <w:pPr>
        <w:spacing w:line="440" w:lineRule="exact"/>
        <w:ind w:firstLine="360" w:firstLineChars="150"/>
        <w:rPr>
          <w:rFonts w:ascii="宋体" w:hAnsi="宋体" w:cs="宋体"/>
          <w:sz w:val="24"/>
          <w:szCs w:val="24"/>
        </w:rPr>
      </w:pPr>
      <w:r>
        <w:rPr>
          <w:rFonts w:hint="eastAsia" w:ascii="宋体" w:hAnsi="宋体" w:cs="宋体"/>
          <w:sz w:val="24"/>
          <w:szCs w:val="24"/>
        </w:rPr>
        <w:t>〈四〉投标方一般情况（附件十）；</w:t>
      </w:r>
    </w:p>
    <w:p>
      <w:pPr>
        <w:spacing w:line="440" w:lineRule="exact"/>
        <w:ind w:firstLine="360" w:firstLineChars="150"/>
        <w:rPr>
          <w:rFonts w:ascii="宋体" w:hAnsi="宋体" w:cs="宋体"/>
          <w:sz w:val="24"/>
          <w:szCs w:val="24"/>
        </w:rPr>
      </w:pPr>
      <w:r>
        <w:rPr>
          <w:rFonts w:hint="eastAsia" w:ascii="宋体" w:hAnsi="宋体" w:cs="宋体"/>
          <w:sz w:val="24"/>
          <w:szCs w:val="24"/>
        </w:rPr>
        <w:t>〈五〉营业执照复印件[若在建德有分支机构，提供在建德的分支机构营业执照复印件加盖公章]（加盖公章）；</w:t>
      </w:r>
    </w:p>
    <w:p>
      <w:pPr>
        <w:spacing w:line="440" w:lineRule="exact"/>
        <w:ind w:firstLine="360" w:firstLineChars="150"/>
        <w:rPr>
          <w:rFonts w:ascii="宋体" w:hAnsi="宋体" w:cs="宋体"/>
          <w:sz w:val="24"/>
          <w:szCs w:val="24"/>
        </w:rPr>
      </w:pPr>
      <w:r>
        <w:rPr>
          <w:rFonts w:hint="eastAsia" w:ascii="宋体" w:hAnsi="宋体" w:cs="宋体"/>
          <w:sz w:val="24"/>
          <w:szCs w:val="24"/>
        </w:rPr>
        <w:t>〈六〉税务登记证、企业代码证复印件（加盖公章）；</w:t>
      </w:r>
    </w:p>
    <w:p>
      <w:pPr>
        <w:spacing w:line="440" w:lineRule="exact"/>
        <w:ind w:firstLine="360" w:firstLineChars="150"/>
        <w:rPr>
          <w:rFonts w:ascii="宋体" w:hAnsi="宋体" w:cs="宋体"/>
          <w:sz w:val="24"/>
          <w:szCs w:val="24"/>
        </w:rPr>
      </w:pPr>
      <w:r>
        <w:rPr>
          <w:rFonts w:hint="eastAsia" w:ascii="宋体" w:hAnsi="宋体" w:cs="宋体"/>
          <w:sz w:val="24"/>
          <w:szCs w:val="24"/>
        </w:rPr>
        <w:t>〈七〉成功案例和业绩证明（投标人同类项目实施情况一览表、合同复印件、用户验收报告或用户评价）（若有）（附件十一）；</w:t>
      </w:r>
    </w:p>
    <w:p>
      <w:pPr>
        <w:spacing w:line="440" w:lineRule="exact"/>
        <w:ind w:firstLine="360" w:firstLineChars="150"/>
        <w:rPr>
          <w:rFonts w:ascii="宋体" w:hAnsi="宋体" w:cs="宋体"/>
          <w:sz w:val="24"/>
          <w:szCs w:val="24"/>
        </w:rPr>
      </w:pPr>
      <w:r>
        <w:rPr>
          <w:rFonts w:hint="eastAsia" w:ascii="宋体" w:hAnsi="宋体" w:cs="宋体"/>
          <w:sz w:val="24"/>
          <w:szCs w:val="24"/>
        </w:rPr>
        <w:t>〈八〉2019年度的资产负债表、损益表复印件；</w:t>
      </w:r>
    </w:p>
    <w:p>
      <w:pPr>
        <w:spacing w:line="440" w:lineRule="exact"/>
        <w:ind w:firstLine="360" w:firstLineChars="150"/>
        <w:rPr>
          <w:rFonts w:ascii="宋体" w:hAnsi="宋体" w:cs="宋体"/>
          <w:sz w:val="24"/>
          <w:szCs w:val="24"/>
        </w:rPr>
      </w:pPr>
      <w:r>
        <w:rPr>
          <w:rFonts w:hint="eastAsia" w:ascii="宋体" w:hAnsi="宋体" w:cs="宋体"/>
          <w:sz w:val="24"/>
          <w:szCs w:val="24"/>
        </w:rPr>
        <w:t>〈九〉投标单位近三个月依法缴纳所得税证明材料（加盖公章）；</w:t>
      </w:r>
    </w:p>
    <w:p>
      <w:pPr>
        <w:spacing w:line="440" w:lineRule="exact"/>
        <w:ind w:firstLine="360" w:firstLineChars="150"/>
        <w:rPr>
          <w:rFonts w:ascii="宋体" w:hAnsi="宋体" w:cs="宋体"/>
          <w:sz w:val="24"/>
          <w:szCs w:val="24"/>
        </w:rPr>
      </w:pPr>
      <w:r>
        <w:rPr>
          <w:rFonts w:hint="eastAsia" w:ascii="宋体" w:hAnsi="宋体" w:cs="宋体"/>
          <w:sz w:val="24"/>
          <w:szCs w:val="24"/>
        </w:rPr>
        <w:t>〈十〉投标人的信誉（重合同、守信用、银行资信等）证书、荣誉证书（若有）；</w:t>
      </w:r>
    </w:p>
    <w:p>
      <w:pPr>
        <w:spacing w:line="440" w:lineRule="exact"/>
        <w:ind w:firstLine="360" w:firstLineChars="150"/>
        <w:rPr>
          <w:rFonts w:ascii="宋体" w:hAnsi="宋体" w:cs="宋体"/>
          <w:sz w:val="24"/>
          <w:szCs w:val="24"/>
        </w:rPr>
      </w:pPr>
      <w:r>
        <w:rPr>
          <w:rFonts w:hint="eastAsia" w:ascii="宋体" w:hAnsi="宋体" w:cs="宋体"/>
          <w:sz w:val="24"/>
          <w:szCs w:val="24"/>
        </w:rPr>
        <w:t>〈十一〉投标人质量管理和质量保证体系等方面的认证证书（若有）；</w:t>
      </w:r>
    </w:p>
    <w:p>
      <w:pPr>
        <w:spacing w:line="440" w:lineRule="exact"/>
        <w:ind w:firstLine="360" w:firstLineChars="150"/>
        <w:rPr>
          <w:rFonts w:ascii="宋体" w:hAnsi="宋体" w:cs="宋体"/>
          <w:sz w:val="24"/>
          <w:szCs w:val="24"/>
        </w:rPr>
      </w:pPr>
      <w:r>
        <w:rPr>
          <w:rFonts w:hint="eastAsia" w:ascii="宋体" w:hAnsi="宋体" w:cs="宋体"/>
          <w:sz w:val="24"/>
          <w:szCs w:val="24"/>
        </w:rPr>
        <w:t>〈十二〉距采购人最近的服务网点情况表（若有）；</w:t>
      </w:r>
    </w:p>
    <w:p>
      <w:pPr>
        <w:spacing w:line="440" w:lineRule="exact"/>
        <w:ind w:firstLine="360" w:firstLineChars="150"/>
        <w:rPr>
          <w:rFonts w:ascii="宋体" w:hAnsi="宋体" w:cs="宋体"/>
          <w:sz w:val="24"/>
          <w:szCs w:val="24"/>
        </w:rPr>
      </w:pPr>
      <w:r>
        <w:rPr>
          <w:rFonts w:hint="eastAsia" w:ascii="宋体" w:hAnsi="宋体" w:cs="宋体"/>
          <w:sz w:val="24"/>
          <w:szCs w:val="24"/>
        </w:rPr>
        <w:t>〈十三〉投标人认为可以证明其能力或业绩的其他材料；</w:t>
      </w:r>
    </w:p>
    <w:p>
      <w:pPr>
        <w:widowControl/>
        <w:snapToGrid w:val="0"/>
        <w:spacing w:line="440" w:lineRule="exact"/>
        <w:ind w:firstLine="360" w:firstLineChars="150"/>
        <w:rPr>
          <w:rFonts w:ascii="宋体" w:hAnsi="宋体" w:cs="宋体"/>
          <w:sz w:val="24"/>
          <w:szCs w:val="24"/>
        </w:rPr>
      </w:pPr>
      <w:r>
        <w:rPr>
          <w:rFonts w:hint="eastAsia" w:ascii="宋体" w:hAnsi="宋体" w:cs="宋体"/>
          <w:sz w:val="24"/>
          <w:szCs w:val="24"/>
        </w:rPr>
        <w:t>〈十四〉评分规则中涉及的所需提交的材料</w:t>
      </w:r>
    </w:p>
    <w:p>
      <w:pPr>
        <w:spacing w:line="440" w:lineRule="exact"/>
        <w:ind w:left="403" w:leftChars="192"/>
        <w:jc w:val="left"/>
        <w:rPr>
          <w:rFonts w:ascii="宋体" w:hAnsi="宋体" w:cs="宋体"/>
          <w:b/>
          <w:sz w:val="24"/>
          <w:szCs w:val="24"/>
        </w:rPr>
      </w:pPr>
      <w:r>
        <w:rPr>
          <w:rFonts w:hint="eastAsia" w:ascii="宋体" w:hAnsi="宋体" w:cs="宋体"/>
          <w:sz w:val="24"/>
          <w:szCs w:val="24"/>
        </w:rPr>
        <w:t>〈十五〉其他相关资质证明材料。</w:t>
      </w:r>
    </w:p>
    <w:p>
      <w:pPr>
        <w:widowControl/>
        <w:snapToGrid w:val="0"/>
        <w:spacing w:line="440" w:lineRule="exact"/>
        <w:ind w:firstLine="598" w:firstLineChars="248"/>
        <w:rPr>
          <w:rFonts w:ascii="宋体" w:hAnsi="宋体" w:cs="宋体"/>
          <w:sz w:val="24"/>
          <w:szCs w:val="24"/>
        </w:rPr>
      </w:pPr>
      <w:r>
        <w:rPr>
          <w:rFonts w:hint="eastAsia" w:ascii="宋体" w:hAnsi="宋体" w:cs="宋体"/>
          <w:b/>
          <w:sz w:val="24"/>
          <w:szCs w:val="24"/>
          <w:u w:val="single"/>
        </w:rPr>
        <w:t>以上投标文件由资格证明文件、报价文件、资信文件、商务技术文件组成，资格证明文件、报价文件、资信文件、商务技术文件分别装订、单独密封、加盖公章，并在密封袋封面上注明文件名称(注：资格证明备查原件由供应商自行保管不需密封，根据需要提供)。资格证明文件、资信文件、商务技术文件中不得再出现报价文件的相关报价内容。</w:t>
      </w:r>
    </w:p>
    <w:p>
      <w:pPr>
        <w:spacing w:line="440" w:lineRule="exact"/>
        <w:ind w:firstLine="619" w:firstLineChars="257"/>
        <w:jc w:val="left"/>
        <w:rPr>
          <w:rFonts w:ascii="宋体" w:hAnsi="宋体" w:cs="宋体"/>
          <w:b/>
          <w:sz w:val="24"/>
          <w:szCs w:val="24"/>
        </w:rPr>
      </w:pPr>
      <w:r>
        <w:rPr>
          <w:rFonts w:hint="eastAsia" w:ascii="宋体" w:hAnsi="宋体" w:cs="宋体"/>
          <w:b/>
          <w:sz w:val="24"/>
          <w:szCs w:val="24"/>
        </w:rPr>
        <w:t>十一、投标文件的签署和份数</w:t>
      </w:r>
    </w:p>
    <w:p>
      <w:pPr>
        <w:tabs>
          <w:tab w:val="left" w:pos="900"/>
        </w:tabs>
        <w:spacing w:line="440" w:lineRule="exact"/>
        <w:ind w:firstLine="480" w:firstLineChars="200"/>
        <w:rPr>
          <w:rFonts w:ascii="宋体" w:hAnsi="宋体" w:cs="宋体"/>
          <w:sz w:val="24"/>
          <w:szCs w:val="24"/>
        </w:rPr>
      </w:pPr>
      <w:r>
        <w:rPr>
          <w:rFonts w:hint="eastAsia" w:ascii="宋体" w:hAnsi="宋体" w:cs="宋体"/>
          <w:sz w:val="24"/>
          <w:szCs w:val="24"/>
        </w:rPr>
        <w:t>〈一〉投标文件需打印或用不褪色的墨水填写。投标文件的装订顺序应按本章第十条所叙顺序装订成册。</w:t>
      </w:r>
      <w:r>
        <w:rPr>
          <w:rFonts w:hint="eastAsia" w:ascii="宋体" w:hAnsi="宋体" w:cs="宋体"/>
          <w:b/>
          <w:sz w:val="24"/>
          <w:szCs w:val="24"/>
        </w:rPr>
        <w:t>报价文件、资信文件、商务技术文件采用活页装订（是指用卡条、抽杆夹、订书机等形式装订，使标书可以拆卸或者在翻动过程中易脱落的一种装订方式）按未装订处理。</w:t>
      </w:r>
    </w:p>
    <w:p>
      <w:pPr>
        <w:spacing w:line="440" w:lineRule="exact"/>
        <w:ind w:firstLine="480" w:firstLineChars="200"/>
        <w:rPr>
          <w:rFonts w:ascii="宋体" w:hAnsi="宋体" w:cs="宋体"/>
          <w:sz w:val="24"/>
          <w:szCs w:val="24"/>
        </w:rPr>
      </w:pPr>
      <w:r>
        <w:rPr>
          <w:rFonts w:hint="eastAsia" w:ascii="宋体" w:hAnsi="宋体" w:cs="宋体"/>
          <w:sz w:val="24"/>
          <w:szCs w:val="24"/>
        </w:rPr>
        <w:t>〈二〉所有投标文件均须由投标单位盖章，并由法定代表人或法定代表人授权代表签署。投标单位应写全称。</w:t>
      </w:r>
    </w:p>
    <w:p>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〈三〉投标文件不得涂改，若有修改错漏处，须加盖单位公章或者法定代表人或授权委托人签字或盖章。投标文件文件因字迹潦草或表达不清所引起的后果由投标单位负责。</w:t>
      </w:r>
    </w:p>
    <w:p>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（四）投标文件填写字迹必须清楚、工整，对在投标文件中的不同文字文本的解释发生异议的，以中文文本为准。</w:t>
      </w:r>
    </w:p>
    <w:p>
      <w:pPr>
        <w:spacing w:line="440" w:lineRule="exact"/>
        <w:ind w:firstLine="491" w:firstLineChars="205"/>
        <w:jc w:val="left"/>
        <w:rPr>
          <w:rFonts w:ascii="宋体" w:hAnsi="宋体" w:cs="宋体"/>
          <w:b/>
          <w:sz w:val="24"/>
          <w:szCs w:val="24"/>
        </w:rPr>
      </w:pPr>
      <w:r>
        <w:rPr>
          <w:rFonts w:hint="eastAsia" w:ascii="宋体" w:hAnsi="宋体" w:cs="宋体"/>
          <w:sz w:val="24"/>
          <w:szCs w:val="24"/>
        </w:rPr>
        <w:t>（五）投标文件的组成：投标文件由</w:t>
      </w:r>
      <w:r>
        <w:rPr>
          <w:rFonts w:hint="eastAsia" w:ascii="宋体" w:hAnsi="宋体" w:cs="宋体"/>
          <w:b/>
          <w:sz w:val="24"/>
          <w:szCs w:val="24"/>
        </w:rPr>
        <w:t>报价文件、资信文件、商务技术文件各正本1份，副本5份（副本为正本的复印件，封面加盖公章）、资格审查文件1份组成。标书封面统一格式详见 “附件十二(1) ”。</w:t>
      </w:r>
    </w:p>
    <w:p>
      <w:pPr>
        <w:spacing w:line="440" w:lineRule="exact"/>
        <w:ind w:firstLine="547" w:firstLineChars="227"/>
        <w:jc w:val="left"/>
        <w:rPr>
          <w:rFonts w:ascii="宋体" w:hAnsi="宋体" w:cs="宋体"/>
          <w:b/>
          <w:sz w:val="24"/>
          <w:szCs w:val="24"/>
        </w:rPr>
      </w:pPr>
      <w:r>
        <w:rPr>
          <w:rFonts w:hint="eastAsia" w:ascii="宋体" w:hAnsi="宋体" w:cs="宋体"/>
          <w:b/>
          <w:sz w:val="24"/>
          <w:szCs w:val="24"/>
        </w:rPr>
        <w:t>十二、投标文件的递交、修改和撤回</w:t>
      </w:r>
    </w:p>
    <w:p>
      <w:pPr>
        <w:spacing w:line="440" w:lineRule="exact"/>
        <w:ind w:firstLine="460" w:firstLineChars="192"/>
        <w:rPr>
          <w:rFonts w:ascii="宋体" w:hAnsi="宋体" w:cs="宋体"/>
          <w:sz w:val="24"/>
          <w:szCs w:val="24"/>
        </w:rPr>
      </w:pPr>
      <w:r>
        <w:rPr>
          <w:rFonts w:hint="eastAsia" w:ascii="宋体" w:hAnsi="宋体" w:cs="宋体"/>
          <w:sz w:val="24"/>
          <w:szCs w:val="24"/>
        </w:rPr>
        <w:t>〈一〉投标人应将投标文件的资格审查文件、报价文件、资信文件、商务技术文件分别单独密封，并在封皮上写明：</w:t>
      </w:r>
    </w:p>
    <w:p>
      <w:pPr>
        <w:spacing w:line="440" w:lineRule="exact"/>
        <w:ind w:firstLine="463" w:firstLineChars="192"/>
        <w:rPr>
          <w:rFonts w:ascii="宋体" w:hAnsi="宋体" w:cs="宋体"/>
          <w:b/>
          <w:sz w:val="24"/>
          <w:szCs w:val="24"/>
        </w:rPr>
      </w:pPr>
      <w:r>
        <w:rPr>
          <w:rFonts w:hint="eastAsia" w:ascii="宋体" w:hAnsi="宋体" w:cs="宋体"/>
          <w:b/>
          <w:sz w:val="24"/>
          <w:szCs w:val="24"/>
        </w:rPr>
        <w:t>采购人名称、项目名称、项目编号</w:t>
      </w:r>
    </w:p>
    <w:p>
      <w:pPr>
        <w:spacing w:line="440" w:lineRule="exact"/>
        <w:ind w:firstLine="463" w:firstLineChars="192"/>
        <w:rPr>
          <w:rFonts w:ascii="宋体" w:hAnsi="宋体" w:cs="宋体"/>
          <w:b/>
          <w:sz w:val="24"/>
          <w:szCs w:val="24"/>
        </w:rPr>
      </w:pPr>
      <w:r>
        <w:rPr>
          <w:rFonts w:hint="eastAsia" w:ascii="宋体" w:hAnsi="宋体" w:cs="宋体"/>
          <w:b/>
          <w:sz w:val="24"/>
          <w:szCs w:val="24"/>
        </w:rPr>
        <w:t>投标单位名称、通讯地址、邮政编码、联系人。标书封面统一格式详见 “附件十二(2) ”</w:t>
      </w:r>
    </w:p>
    <w:p>
      <w:pPr>
        <w:spacing w:line="440" w:lineRule="exact"/>
        <w:ind w:firstLine="445" w:firstLineChars="192"/>
        <w:rPr>
          <w:rFonts w:ascii="宋体" w:hAnsi="宋体" w:cs="宋体"/>
          <w:spacing w:val="-4"/>
          <w:sz w:val="24"/>
          <w:szCs w:val="24"/>
        </w:rPr>
      </w:pPr>
      <w:r>
        <w:rPr>
          <w:rFonts w:hint="eastAsia" w:ascii="宋体" w:hAnsi="宋体" w:cs="宋体"/>
          <w:spacing w:val="-4"/>
          <w:sz w:val="24"/>
          <w:szCs w:val="24"/>
        </w:rPr>
        <w:t>〈二〉如果投标人未加写标记，招标方对投标文件的误投和提前启封不负责任。</w:t>
      </w:r>
    </w:p>
    <w:p>
      <w:pPr>
        <w:spacing w:line="440" w:lineRule="exact"/>
        <w:ind w:firstLine="460" w:firstLineChars="192"/>
        <w:rPr>
          <w:rFonts w:ascii="宋体" w:hAnsi="宋体" w:cs="宋体"/>
          <w:sz w:val="24"/>
          <w:szCs w:val="24"/>
        </w:rPr>
      </w:pPr>
      <w:r>
        <w:rPr>
          <w:rFonts w:hint="eastAsia" w:ascii="宋体" w:hAnsi="宋体" w:cs="宋体"/>
          <w:sz w:val="24"/>
          <w:szCs w:val="24"/>
        </w:rPr>
        <w:t>〈三〉投标文件的补充和修改</w:t>
      </w:r>
    </w:p>
    <w:p>
      <w:pPr>
        <w:pStyle w:val="19"/>
        <w:spacing w:line="440" w:lineRule="exact"/>
        <w:ind w:firstLine="460" w:firstLineChars="192"/>
        <w:rPr>
          <w:rFonts w:ascii="宋体" w:hAnsi="宋体" w:cs="宋体"/>
          <w:sz w:val="24"/>
          <w:szCs w:val="24"/>
        </w:rPr>
      </w:pPr>
      <w:r>
        <w:rPr>
          <w:rFonts w:hint="eastAsia" w:ascii="宋体" w:hAnsi="宋体" w:cs="宋体"/>
          <w:sz w:val="24"/>
          <w:szCs w:val="24"/>
        </w:rPr>
        <w:t>投标截止时间前，投标人可以书面向招标方已递交的投标文件提出补充和修改，相应部分以最后的补充和修改为准。该书面材料应密封，由投标人代表签字并加盖公章。</w:t>
      </w:r>
    </w:p>
    <w:p>
      <w:pPr>
        <w:spacing w:line="440" w:lineRule="exact"/>
        <w:ind w:firstLine="460" w:firstLineChars="192"/>
        <w:rPr>
          <w:rFonts w:ascii="宋体" w:hAnsi="宋体" w:cs="宋体"/>
          <w:sz w:val="24"/>
          <w:szCs w:val="24"/>
        </w:rPr>
      </w:pPr>
      <w:r>
        <w:rPr>
          <w:rFonts w:hint="eastAsia" w:ascii="宋体" w:hAnsi="宋体" w:cs="宋体"/>
          <w:sz w:val="24"/>
          <w:szCs w:val="24"/>
        </w:rPr>
        <w:t>〈四〉招标方接受投标人标书时间。</w:t>
      </w:r>
    </w:p>
    <w:p>
      <w:pPr>
        <w:spacing w:line="440" w:lineRule="exact"/>
        <w:ind w:firstLine="460" w:firstLineChars="192"/>
        <w:rPr>
          <w:rFonts w:ascii="宋体" w:hAnsi="宋体" w:cs="宋体"/>
          <w:sz w:val="24"/>
          <w:szCs w:val="24"/>
        </w:rPr>
      </w:pPr>
      <w:r>
        <w:rPr>
          <w:rFonts w:hint="eastAsia" w:ascii="宋体" w:hAnsi="宋体" w:cs="宋体"/>
          <w:sz w:val="24"/>
          <w:szCs w:val="24"/>
        </w:rPr>
        <w:t>投标文件于开标现场在投标截止时间前递交。</w:t>
      </w:r>
    </w:p>
    <w:p>
      <w:pPr>
        <w:spacing w:line="440" w:lineRule="exact"/>
        <w:ind w:firstLine="460" w:firstLineChars="192"/>
        <w:rPr>
          <w:rFonts w:ascii="宋体" w:hAnsi="宋体" w:cs="宋体"/>
          <w:sz w:val="24"/>
          <w:szCs w:val="24"/>
        </w:rPr>
      </w:pPr>
      <w:r>
        <w:rPr>
          <w:rFonts w:hint="eastAsia" w:ascii="宋体" w:hAnsi="宋体" w:cs="宋体"/>
          <w:sz w:val="24"/>
          <w:szCs w:val="24"/>
        </w:rPr>
        <w:t>〈五〉投标文件填写字迹必须清楚、工整，对不同文字文本投标文件的解释发生异议的，以中文文本为准。</w:t>
      </w:r>
    </w:p>
    <w:p>
      <w:pPr>
        <w:spacing w:line="440" w:lineRule="exact"/>
        <w:ind w:firstLine="619" w:firstLineChars="257"/>
        <w:rPr>
          <w:rFonts w:ascii="宋体" w:hAnsi="宋体" w:cs="宋体"/>
          <w:b/>
          <w:sz w:val="24"/>
          <w:szCs w:val="24"/>
        </w:rPr>
      </w:pPr>
      <w:r>
        <w:rPr>
          <w:rFonts w:hint="eastAsia" w:ascii="宋体" w:hAnsi="宋体" w:cs="宋体"/>
          <w:b/>
          <w:sz w:val="24"/>
          <w:szCs w:val="24"/>
        </w:rPr>
        <w:t>十三、无效投标</w:t>
      </w:r>
    </w:p>
    <w:p>
      <w:pPr>
        <w:spacing w:line="440" w:lineRule="exact"/>
        <w:ind w:firstLine="619" w:firstLineChars="257"/>
        <w:rPr>
          <w:rFonts w:ascii="宋体" w:hAnsi="宋体" w:cs="宋体"/>
          <w:b/>
          <w:sz w:val="24"/>
          <w:szCs w:val="24"/>
        </w:rPr>
      </w:pPr>
      <w:r>
        <w:rPr>
          <w:rFonts w:hint="eastAsia" w:ascii="宋体" w:hAnsi="宋体" w:cs="宋体"/>
          <w:b/>
          <w:sz w:val="24"/>
          <w:szCs w:val="24"/>
        </w:rPr>
        <w:t>发生下列情况之一的投标文件被视为无效：</w:t>
      </w:r>
    </w:p>
    <w:p>
      <w:pPr>
        <w:spacing w:line="440" w:lineRule="exact"/>
        <w:ind w:firstLine="480" w:firstLineChars="200"/>
        <w:rPr>
          <w:rFonts w:ascii="宋体" w:hAnsi="宋体" w:cs="宋体"/>
          <w:sz w:val="24"/>
          <w:szCs w:val="24"/>
        </w:rPr>
      </w:pPr>
      <w:r>
        <w:rPr>
          <w:rFonts w:hint="eastAsia" w:ascii="宋体" w:hAnsi="宋体" w:cs="宋体"/>
          <w:sz w:val="24"/>
          <w:szCs w:val="24"/>
        </w:rPr>
        <w:t>〈一〉在招标文件递交截止时间以后送达的投标文件；</w:t>
      </w:r>
    </w:p>
    <w:p>
      <w:pPr>
        <w:spacing w:line="440" w:lineRule="exact"/>
        <w:ind w:firstLine="480" w:firstLineChars="200"/>
        <w:rPr>
          <w:rFonts w:ascii="宋体" w:hAnsi="宋体" w:cs="宋体"/>
          <w:sz w:val="24"/>
          <w:szCs w:val="24"/>
        </w:rPr>
      </w:pPr>
      <w:r>
        <w:rPr>
          <w:rFonts w:hint="eastAsia" w:ascii="宋体" w:hAnsi="宋体" w:cs="宋体"/>
          <w:sz w:val="24"/>
          <w:szCs w:val="24"/>
        </w:rPr>
        <w:t>〈二〉由于未按规定进行装订、包装或在送交途中严重破损或失散的投标文件；</w:t>
      </w:r>
    </w:p>
    <w:p>
      <w:pPr>
        <w:spacing w:line="440" w:lineRule="exact"/>
        <w:ind w:firstLine="480" w:firstLineChars="200"/>
        <w:rPr>
          <w:rFonts w:ascii="宋体" w:hAnsi="宋体" w:cs="宋体"/>
          <w:sz w:val="24"/>
          <w:szCs w:val="24"/>
        </w:rPr>
      </w:pPr>
      <w:r>
        <w:rPr>
          <w:rFonts w:hint="eastAsia" w:ascii="宋体" w:hAnsi="宋体" w:cs="宋体"/>
          <w:sz w:val="24"/>
          <w:szCs w:val="24"/>
        </w:rPr>
        <w:t>〈三〉仅以非纸制文本形式的投标文件；</w:t>
      </w:r>
    </w:p>
    <w:p>
      <w:pPr>
        <w:spacing w:line="440" w:lineRule="exact"/>
        <w:ind w:firstLine="491" w:firstLineChars="205"/>
        <w:rPr>
          <w:rFonts w:ascii="宋体" w:hAnsi="宋体" w:cs="宋体"/>
          <w:sz w:val="24"/>
          <w:szCs w:val="24"/>
        </w:rPr>
      </w:pPr>
      <w:r>
        <w:rPr>
          <w:rFonts w:hint="eastAsia" w:ascii="宋体" w:hAnsi="宋体" w:cs="宋体"/>
          <w:sz w:val="24"/>
          <w:szCs w:val="24"/>
        </w:rPr>
        <w:t>〈四〉投标人未能提供合格的资格证明文件；</w:t>
      </w:r>
    </w:p>
    <w:p>
      <w:pPr>
        <w:spacing w:line="440" w:lineRule="exact"/>
        <w:ind w:firstLine="491" w:firstLineChars="205"/>
        <w:rPr>
          <w:rFonts w:ascii="宋体" w:hAnsi="宋体" w:cs="宋体"/>
          <w:sz w:val="24"/>
          <w:szCs w:val="24"/>
        </w:rPr>
      </w:pPr>
      <w:r>
        <w:rPr>
          <w:rFonts w:hint="eastAsia" w:ascii="宋体" w:hAnsi="宋体" w:cs="宋体"/>
          <w:sz w:val="24"/>
          <w:szCs w:val="24"/>
        </w:rPr>
        <w:t>〈五〉标项以赠送方式投标的，提供两个投标方案的；</w:t>
      </w:r>
    </w:p>
    <w:p>
      <w:pPr>
        <w:spacing w:line="440" w:lineRule="exact"/>
        <w:ind w:firstLine="491" w:firstLineChars="205"/>
        <w:rPr>
          <w:rFonts w:ascii="宋体" w:hAnsi="宋体" w:cs="宋体"/>
          <w:sz w:val="24"/>
          <w:szCs w:val="24"/>
        </w:rPr>
      </w:pPr>
      <w:r>
        <w:rPr>
          <w:rFonts w:hint="eastAsia" w:ascii="宋体" w:hAnsi="宋体" w:cs="宋体"/>
          <w:sz w:val="24"/>
          <w:szCs w:val="24"/>
        </w:rPr>
        <w:t>〈六〉未注明投标品牌及详细型号的或投标产品的品牌档次、质量标准和技术指标的、主要功能等与招标文件有重大偏离的投标文件（技术参数中打★号的条件不满足按技术指标与招标文件有重大偏离处理）；</w:t>
      </w:r>
    </w:p>
    <w:p>
      <w:pPr>
        <w:spacing w:line="440" w:lineRule="exact"/>
        <w:ind w:firstLine="491" w:firstLineChars="205"/>
        <w:rPr>
          <w:rFonts w:ascii="宋体" w:hAnsi="宋体" w:cs="宋体"/>
          <w:sz w:val="24"/>
          <w:szCs w:val="24"/>
        </w:rPr>
      </w:pPr>
      <w:r>
        <w:rPr>
          <w:rFonts w:hint="eastAsia" w:ascii="宋体" w:hAnsi="宋体" w:cs="宋体"/>
          <w:sz w:val="24"/>
          <w:szCs w:val="24"/>
        </w:rPr>
        <w:t>〈七〉标书有应盖而未盖公章或盖非公司公章的、未装订</w:t>
      </w:r>
      <w:r>
        <w:rPr>
          <w:rFonts w:hint="eastAsia" w:ascii="宋体" w:hAnsi="宋体" w:cs="宋体"/>
          <w:b/>
          <w:sz w:val="24"/>
          <w:szCs w:val="24"/>
        </w:rPr>
        <w:t>（报价文件、资信文件、商务技术文件采用活页装订的投标文件（是指用卡条、抽杆夹、订书机等形式装订的投标文件）、</w:t>
      </w:r>
      <w:r>
        <w:rPr>
          <w:rFonts w:hint="eastAsia" w:ascii="宋体" w:hAnsi="宋体" w:cs="宋体"/>
          <w:sz w:val="24"/>
          <w:szCs w:val="24"/>
        </w:rPr>
        <w:t>未密封、未有效授权、注册资金不符，投标书、法定代表人授权书、资格声明函等填写不完整的；</w:t>
      </w:r>
    </w:p>
    <w:p>
      <w:pPr>
        <w:spacing w:line="440" w:lineRule="exact"/>
        <w:ind w:firstLine="480" w:firstLineChars="200"/>
        <w:rPr>
          <w:rFonts w:ascii="宋体" w:hAnsi="宋体" w:cs="宋体"/>
          <w:sz w:val="24"/>
          <w:szCs w:val="24"/>
        </w:rPr>
      </w:pPr>
      <w:r>
        <w:rPr>
          <w:rFonts w:hint="eastAsia" w:ascii="宋体" w:hAnsi="宋体" w:cs="宋体"/>
          <w:sz w:val="24"/>
          <w:szCs w:val="24"/>
        </w:rPr>
        <w:t>〈八〉投标文件正本与副本实质性内容不一致的；</w:t>
      </w:r>
    </w:p>
    <w:p>
      <w:pPr>
        <w:spacing w:line="440" w:lineRule="exact"/>
        <w:ind w:firstLine="491" w:firstLineChars="205"/>
        <w:rPr>
          <w:rFonts w:ascii="宋体" w:hAnsi="宋体" w:cs="宋体"/>
          <w:sz w:val="24"/>
          <w:szCs w:val="24"/>
        </w:rPr>
      </w:pPr>
      <w:r>
        <w:rPr>
          <w:rFonts w:hint="eastAsia" w:ascii="宋体" w:hAnsi="宋体" w:cs="宋体"/>
          <w:sz w:val="24"/>
          <w:szCs w:val="24"/>
        </w:rPr>
        <w:t>〈九〉投标有效期、交货时间、质保期等商务条款不能满足招标文件要求的；</w:t>
      </w:r>
    </w:p>
    <w:p>
      <w:pPr>
        <w:spacing w:line="440" w:lineRule="exact"/>
        <w:ind w:firstLine="491" w:firstLineChars="205"/>
        <w:rPr>
          <w:rFonts w:ascii="宋体" w:hAnsi="宋体" w:cs="宋体"/>
          <w:sz w:val="24"/>
          <w:szCs w:val="24"/>
        </w:rPr>
      </w:pPr>
      <w:r>
        <w:rPr>
          <w:rFonts w:hint="eastAsia" w:ascii="宋体" w:hAnsi="宋体" w:cs="宋体"/>
          <w:sz w:val="24"/>
          <w:szCs w:val="24"/>
        </w:rPr>
        <w:t>〈十〉不响应或者擅自改变招标文件要求或者投标文件有招标文件不能接受的附加条件的；</w:t>
      </w:r>
    </w:p>
    <w:p>
      <w:pPr>
        <w:spacing w:line="440" w:lineRule="exact"/>
        <w:ind w:firstLine="491" w:firstLineChars="205"/>
        <w:rPr>
          <w:rFonts w:ascii="宋体" w:hAnsi="宋体" w:cs="宋体"/>
          <w:sz w:val="24"/>
          <w:szCs w:val="24"/>
        </w:rPr>
      </w:pPr>
      <w:r>
        <w:rPr>
          <w:rFonts w:hint="eastAsia" w:ascii="宋体" w:hAnsi="宋体" w:cs="宋体"/>
          <w:sz w:val="24"/>
          <w:szCs w:val="24"/>
        </w:rPr>
        <w:t>〈十一〉投标文件的实质性内容未使用中文表述、意思表述不明确、前后矛盾或者使用计量单位不符合招标文件要求的（经评标委员会认定允许其当场更正的笔误除外）；</w:t>
      </w:r>
    </w:p>
    <w:p>
      <w:pPr>
        <w:spacing w:line="440" w:lineRule="exact"/>
        <w:ind w:firstLine="491" w:firstLineChars="205"/>
        <w:rPr>
          <w:rFonts w:ascii="宋体" w:hAnsi="宋体" w:cs="宋体"/>
          <w:sz w:val="24"/>
          <w:szCs w:val="24"/>
        </w:rPr>
      </w:pPr>
      <w:r>
        <w:rPr>
          <w:rFonts w:hint="eastAsia" w:ascii="宋体" w:hAnsi="宋体" w:cs="宋体"/>
          <w:sz w:val="24"/>
          <w:szCs w:val="24"/>
        </w:rPr>
        <w:t>〈十二〉投标文件的关键内容字迹模糊、无法辨认的,或者投标文件中经修正的内容字迹模糊难以辩认或者修改处未按规定签名盖章的；</w:t>
      </w:r>
    </w:p>
    <w:p>
      <w:pPr>
        <w:spacing w:line="440" w:lineRule="exact"/>
        <w:ind w:firstLine="491" w:firstLineChars="205"/>
        <w:rPr>
          <w:rFonts w:ascii="宋体" w:hAnsi="宋体" w:cs="宋体"/>
          <w:sz w:val="24"/>
          <w:szCs w:val="24"/>
        </w:rPr>
      </w:pPr>
      <w:r>
        <w:rPr>
          <w:rFonts w:hint="eastAsia" w:ascii="宋体" w:hAnsi="宋体" w:cs="宋体"/>
          <w:sz w:val="24"/>
          <w:szCs w:val="24"/>
        </w:rPr>
        <w:t>〈十三〉投标文件内容不完整，缺少投标文件组成部分中必须提供的内容的；</w:t>
      </w:r>
    </w:p>
    <w:p>
      <w:pPr>
        <w:spacing w:line="440" w:lineRule="exact"/>
        <w:ind w:firstLine="491" w:firstLineChars="205"/>
        <w:rPr>
          <w:rFonts w:ascii="宋体" w:hAnsi="宋体" w:cs="宋体"/>
          <w:sz w:val="24"/>
          <w:szCs w:val="24"/>
        </w:rPr>
      </w:pPr>
      <w:r>
        <w:rPr>
          <w:rFonts w:hint="eastAsia" w:ascii="宋体" w:hAnsi="宋体" w:cs="宋体"/>
          <w:sz w:val="24"/>
          <w:szCs w:val="24"/>
        </w:rPr>
        <w:t>〈十四〉未提供或未如实详细提供投标货物的技术参数，或者投标文件标明的响应或偏离与事实不符的；</w:t>
      </w:r>
    </w:p>
    <w:p>
      <w:pPr>
        <w:spacing w:line="440" w:lineRule="exact"/>
        <w:ind w:firstLine="491" w:firstLineChars="205"/>
        <w:rPr>
          <w:rFonts w:ascii="宋体" w:hAnsi="宋体" w:cs="宋体"/>
          <w:sz w:val="24"/>
          <w:szCs w:val="24"/>
        </w:rPr>
      </w:pPr>
      <w:r>
        <w:rPr>
          <w:rFonts w:hint="eastAsia" w:ascii="宋体" w:hAnsi="宋体" w:cs="宋体"/>
          <w:sz w:val="24"/>
          <w:szCs w:val="24"/>
        </w:rPr>
        <w:t>〈十五〉未提供《报价文件》以及在资格证明文件、</w:t>
      </w:r>
      <w:r>
        <w:rPr>
          <w:rFonts w:hint="eastAsia" w:ascii="宋体" w:hAnsi="宋体" w:cs="宋体"/>
          <w:bCs/>
          <w:sz w:val="24"/>
          <w:szCs w:val="24"/>
        </w:rPr>
        <w:t>资信技术文件</w:t>
      </w:r>
      <w:r>
        <w:rPr>
          <w:rFonts w:hint="eastAsia" w:ascii="宋体" w:hAnsi="宋体" w:cs="宋体"/>
          <w:sz w:val="24"/>
          <w:szCs w:val="24"/>
        </w:rPr>
        <w:t>正副本中出现与《报价文件》的投标报价有关内容或标记的投标文件；</w:t>
      </w:r>
    </w:p>
    <w:p>
      <w:pPr>
        <w:spacing w:line="400" w:lineRule="exact"/>
        <w:ind w:firstLine="491" w:firstLineChars="205"/>
        <w:rPr>
          <w:rFonts w:ascii="宋体" w:hAnsi="宋体" w:cs="宋体"/>
          <w:sz w:val="24"/>
          <w:szCs w:val="24"/>
        </w:rPr>
      </w:pPr>
      <w:r>
        <w:rPr>
          <w:rFonts w:hint="eastAsia" w:ascii="宋体" w:hAnsi="宋体" w:cs="宋体"/>
          <w:sz w:val="24"/>
          <w:szCs w:val="24"/>
        </w:rPr>
        <w:t>〈十六〉未按招标文件要求的数量提供样品或提供的样品及样品不齐的；（若有）</w:t>
      </w:r>
    </w:p>
    <w:p>
      <w:pPr>
        <w:spacing w:line="440" w:lineRule="exact"/>
        <w:ind w:firstLine="494" w:firstLineChars="205"/>
        <w:rPr>
          <w:rFonts w:ascii="宋体" w:hAnsi="宋体" w:cs="宋体"/>
          <w:b/>
          <w:sz w:val="24"/>
          <w:szCs w:val="24"/>
        </w:rPr>
      </w:pPr>
      <w:r>
        <w:rPr>
          <w:rFonts w:hint="eastAsia" w:ascii="宋体" w:hAnsi="宋体" w:cs="宋体"/>
          <w:b/>
          <w:sz w:val="24"/>
          <w:szCs w:val="24"/>
        </w:rPr>
        <w:t>〈十七〉投标报价超过最高限价的；</w:t>
      </w:r>
    </w:p>
    <w:p>
      <w:pPr>
        <w:spacing w:line="440" w:lineRule="exact"/>
        <w:ind w:firstLine="491" w:firstLineChars="205"/>
        <w:rPr>
          <w:rFonts w:ascii="宋体" w:hAnsi="宋体" w:cs="宋体"/>
          <w:sz w:val="28"/>
          <w:szCs w:val="28"/>
        </w:rPr>
      </w:pPr>
      <w:r>
        <w:rPr>
          <w:rFonts w:hint="eastAsia" w:ascii="宋体" w:hAnsi="宋体" w:cs="宋体"/>
          <w:sz w:val="24"/>
          <w:szCs w:val="24"/>
        </w:rPr>
        <w:t>〈十八〉不符合法律、法规和本招标文件规定的其他实质性要求的。</w:t>
      </w:r>
    </w:p>
    <w:p>
      <w:pPr>
        <w:spacing w:line="440" w:lineRule="exact"/>
        <w:ind w:firstLine="482" w:firstLineChars="200"/>
        <w:rPr>
          <w:rFonts w:ascii="宋体" w:hAnsi="宋体" w:cs="宋体"/>
          <w:b/>
          <w:sz w:val="24"/>
          <w:szCs w:val="24"/>
        </w:rPr>
      </w:pPr>
      <w:r>
        <w:rPr>
          <w:rFonts w:hint="eastAsia" w:ascii="宋体" w:hAnsi="宋体" w:cs="宋体"/>
          <w:b/>
          <w:sz w:val="24"/>
          <w:szCs w:val="24"/>
        </w:rPr>
        <w:t>十四、标书答疑：</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如对本次招标文件存在疑问，请将书面文件在前附表规定的时间之前，送至</w:t>
      </w:r>
      <w:r>
        <w:rPr>
          <w:rFonts w:hint="eastAsia" w:ascii="宋体" w:hAnsi="宋体" w:cs="宋体"/>
          <w:sz w:val="24"/>
          <w:szCs w:val="24"/>
        </w:rPr>
        <w:t xml:space="preserve"> </w:t>
      </w:r>
      <w:r>
        <w:rPr>
          <w:rFonts w:hint="eastAsia" w:ascii="宋体" w:hAnsi="宋体" w:cs="宋体"/>
          <w:kern w:val="0"/>
          <w:sz w:val="24"/>
          <w:szCs w:val="24"/>
        </w:rPr>
        <w:t>，招标方将于前附表规定的时间之前做统一答复，如规定的时间未收到任何质疑，则视为投标人对此均无疑义。</w:t>
      </w:r>
    </w:p>
    <w:p>
      <w:pPr>
        <w:widowControl/>
        <w:spacing w:line="440" w:lineRule="exact"/>
        <w:ind w:firstLine="482" w:firstLineChars="200"/>
        <w:jc w:val="left"/>
        <w:rPr>
          <w:rFonts w:ascii="宋体" w:hAnsi="宋体" w:cs="宋体"/>
          <w:b/>
          <w:sz w:val="24"/>
          <w:szCs w:val="24"/>
        </w:rPr>
      </w:pPr>
      <w:r>
        <w:rPr>
          <w:rFonts w:hint="eastAsia" w:ascii="宋体" w:hAnsi="宋体" w:cs="宋体"/>
          <w:b/>
          <w:sz w:val="24"/>
          <w:szCs w:val="24"/>
        </w:rPr>
        <w:t>十五、特别声明：</w:t>
      </w:r>
    </w:p>
    <w:p>
      <w:pPr>
        <w:autoSpaceDE w:val="0"/>
        <w:autoSpaceDN w:val="0"/>
        <w:adjustRightInd w:val="0"/>
        <w:spacing w:line="440" w:lineRule="exact"/>
        <w:ind w:firstLine="494" w:firstLineChars="205"/>
        <w:jc w:val="left"/>
        <w:rPr>
          <w:rFonts w:ascii="宋体" w:hAnsi="宋体" w:cs="宋体"/>
          <w:b/>
          <w:sz w:val="24"/>
          <w:szCs w:val="24"/>
        </w:rPr>
      </w:pPr>
      <w:r>
        <w:rPr>
          <w:rFonts w:hint="eastAsia" w:ascii="宋体" w:hAnsi="宋体" w:cs="宋体"/>
          <w:b/>
          <w:sz w:val="24"/>
          <w:szCs w:val="24"/>
        </w:rPr>
        <w:t>1、价格是评标的重要因素之一，但最低报价不是中标的唯一依据。</w:t>
      </w:r>
    </w:p>
    <w:p>
      <w:pPr>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2、本项目的最高限价（预算价）为人民币</w:t>
      </w:r>
      <w:r>
        <w:rPr>
          <w:rFonts w:hint="eastAsia" w:ascii="宋体" w:hAnsi="宋体" w:cs="宋体"/>
          <w:b/>
          <w:bCs/>
          <w:sz w:val="24"/>
          <w:szCs w:val="24"/>
        </w:rPr>
        <w:t>贰佰捌拾柒万柒仟壹佰肆拾伍元整</w:t>
      </w:r>
      <w:r>
        <w:rPr>
          <w:rStyle w:val="105"/>
          <w:rFonts w:hint="eastAsia" w:ascii="宋体" w:hAnsi="宋体" w:cs="宋体"/>
          <w:szCs w:val="24"/>
        </w:rPr>
        <w:t>（￥:</w:t>
      </w:r>
      <w:r>
        <w:rPr>
          <w:rFonts w:hint="eastAsia" w:ascii="宋体" w:hAnsi="宋体" w:cs="宋体"/>
          <w:b/>
          <w:sz w:val="24"/>
          <w:szCs w:val="24"/>
        </w:rPr>
        <w:t>2877145</w:t>
      </w:r>
      <w:r>
        <w:rPr>
          <w:rStyle w:val="105"/>
          <w:rFonts w:hint="eastAsia" w:ascii="宋体" w:hAnsi="宋体" w:cs="宋体"/>
          <w:szCs w:val="24"/>
        </w:rPr>
        <w:t>元）</w:t>
      </w:r>
      <w:r>
        <w:rPr>
          <w:rFonts w:hint="eastAsia" w:ascii="宋体" w:hAnsi="宋体" w:cs="宋体"/>
          <w:b/>
          <w:bCs/>
          <w:kern w:val="0"/>
          <w:sz w:val="24"/>
          <w:szCs w:val="24"/>
        </w:rPr>
        <w:t>。报价超过最高限价（预算价）的，按无效标处理。</w:t>
      </w:r>
    </w:p>
    <w:p>
      <w:pPr>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本项目的投标总报价应包含采购服务费，</w:t>
      </w:r>
      <w:r>
        <w:rPr>
          <w:rFonts w:hint="eastAsia" w:ascii="宋体" w:hAnsi="宋体" w:cs="宋体"/>
          <w:b/>
          <w:bCs/>
          <w:sz w:val="24"/>
          <w:szCs w:val="24"/>
        </w:rPr>
        <w:t>采购服务费为人民币贰万壹仟元整（￥：21000.00元），专家评审费按实支付，由中标单位在领取中标通知书时支付给采购代理单位。</w:t>
      </w:r>
    </w:p>
    <w:p>
      <w:pPr>
        <w:spacing w:line="440" w:lineRule="exact"/>
        <w:ind w:firstLine="494" w:firstLineChars="205"/>
        <w:jc w:val="left"/>
        <w:rPr>
          <w:rFonts w:ascii="宋体" w:hAnsi="宋体" w:cs="宋体"/>
          <w:b/>
          <w:sz w:val="24"/>
          <w:szCs w:val="24"/>
        </w:rPr>
      </w:pPr>
      <w:r>
        <w:rPr>
          <w:rFonts w:hint="eastAsia" w:ascii="宋体" w:hAnsi="宋体" w:cs="宋体"/>
          <w:b/>
          <w:sz w:val="24"/>
          <w:szCs w:val="24"/>
        </w:rPr>
        <w:t>十六、其他</w:t>
      </w:r>
    </w:p>
    <w:p>
      <w:pPr>
        <w:autoSpaceDE w:val="0"/>
        <w:autoSpaceDN w:val="0"/>
        <w:adjustRightInd w:val="0"/>
        <w:spacing w:line="440" w:lineRule="exact"/>
        <w:ind w:firstLine="491" w:firstLineChars="205"/>
        <w:jc w:val="left"/>
        <w:rPr>
          <w:rFonts w:ascii="宋体" w:hAnsi="宋体" w:cs="宋体"/>
          <w:kern w:val="0"/>
          <w:sz w:val="24"/>
          <w:szCs w:val="24"/>
        </w:rPr>
      </w:pPr>
      <w:r>
        <w:rPr>
          <w:rFonts w:hint="eastAsia" w:ascii="宋体" w:hAnsi="宋体" w:cs="宋体"/>
          <w:kern w:val="0"/>
          <w:sz w:val="24"/>
          <w:szCs w:val="24"/>
        </w:rPr>
        <w:t>〈一〉如果有确凿证据证明各投标人之间存在串标等舞弊、违法行为，认为将损害自身利益，有权拒绝存在此行为的投标人投标或投标作废。</w:t>
      </w:r>
    </w:p>
    <w:p>
      <w:pPr>
        <w:autoSpaceDE w:val="0"/>
        <w:autoSpaceDN w:val="0"/>
        <w:adjustRightInd w:val="0"/>
        <w:spacing w:line="440" w:lineRule="exact"/>
        <w:ind w:firstLine="491" w:firstLineChars="205"/>
        <w:jc w:val="left"/>
        <w:rPr>
          <w:rFonts w:ascii="宋体" w:hAnsi="宋体" w:cs="宋体"/>
          <w:kern w:val="0"/>
          <w:sz w:val="24"/>
          <w:szCs w:val="24"/>
        </w:rPr>
      </w:pPr>
      <w:r>
        <w:rPr>
          <w:rFonts w:hint="eastAsia" w:ascii="宋体" w:hAnsi="宋体" w:cs="宋体"/>
          <w:kern w:val="0"/>
          <w:sz w:val="24"/>
          <w:szCs w:val="24"/>
        </w:rPr>
        <w:t>〈二〉本文件未及事项，在签订合同时供需及使用方友好商定。</w:t>
      </w:r>
    </w:p>
    <w:p>
      <w:pPr>
        <w:pStyle w:val="36"/>
        <w:ind w:firstLine="474"/>
        <w:rPr>
          <w:rStyle w:val="105"/>
          <w:rFonts w:ascii="宋体" w:hAnsi="宋体" w:cs="宋体"/>
          <w:szCs w:val="24"/>
        </w:rPr>
      </w:pPr>
    </w:p>
    <w:p>
      <w:pPr>
        <w:pStyle w:val="36"/>
        <w:ind w:firstLine="474"/>
        <w:rPr>
          <w:rStyle w:val="105"/>
          <w:rFonts w:ascii="宋体" w:hAnsi="宋体" w:cs="宋体"/>
          <w:szCs w:val="24"/>
        </w:rPr>
      </w:pPr>
    </w:p>
    <w:p>
      <w:pPr>
        <w:pStyle w:val="36"/>
        <w:ind w:firstLine="0" w:firstLineChars="0"/>
        <w:jc w:val="center"/>
        <w:rPr>
          <w:rStyle w:val="105"/>
          <w:rFonts w:ascii="宋体" w:hAnsi="宋体" w:cs="宋体"/>
          <w:sz w:val="36"/>
          <w:szCs w:val="36"/>
        </w:rPr>
        <w:sectPr>
          <w:pgSz w:w="11906" w:h="16838"/>
          <w:pgMar w:top="1559" w:right="1287" w:bottom="1134" w:left="1287" w:header="851" w:footer="992" w:gutter="0"/>
          <w:cols w:space="720" w:num="1"/>
          <w:titlePg/>
          <w:docGrid w:linePitch="312" w:charSpace="0"/>
        </w:sectPr>
      </w:pPr>
    </w:p>
    <w:p>
      <w:pPr>
        <w:pStyle w:val="36"/>
        <w:ind w:firstLine="0" w:firstLineChars="0"/>
        <w:jc w:val="center"/>
        <w:outlineLvl w:val="0"/>
        <w:rPr>
          <w:rStyle w:val="105"/>
          <w:rFonts w:ascii="宋体" w:hAnsi="宋体" w:cs="宋体"/>
          <w:sz w:val="36"/>
          <w:szCs w:val="36"/>
        </w:rPr>
      </w:pPr>
      <w:bookmarkStart w:id="6" w:name="_Toc30811"/>
      <w:bookmarkStart w:id="7" w:name="_Toc26011"/>
      <w:r>
        <w:rPr>
          <w:rStyle w:val="105"/>
          <w:rFonts w:hint="eastAsia" w:ascii="宋体" w:hAnsi="宋体" w:cs="宋体"/>
          <w:sz w:val="36"/>
          <w:szCs w:val="36"/>
        </w:rPr>
        <w:t>第三章   开标和评标须知</w:t>
      </w:r>
      <w:bookmarkEnd w:id="6"/>
      <w:bookmarkEnd w:id="7"/>
    </w:p>
    <w:p>
      <w:pPr>
        <w:spacing w:line="400" w:lineRule="exact"/>
        <w:ind w:right="-176" w:rightChars="-84"/>
        <w:rPr>
          <w:rFonts w:ascii="宋体" w:hAnsi="宋体" w:cs="宋体"/>
          <w:b/>
          <w:sz w:val="24"/>
          <w:szCs w:val="24"/>
        </w:rPr>
      </w:pPr>
      <w:r>
        <w:rPr>
          <w:rFonts w:hint="eastAsia" w:ascii="宋体" w:hAnsi="宋体" w:cs="宋体"/>
          <w:b/>
          <w:sz w:val="24"/>
          <w:szCs w:val="24"/>
        </w:rPr>
        <w:t>　　一、开标</w:t>
      </w:r>
    </w:p>
    <w:p>
      <w:pPr>
        <w:spacing w:line="400" w:lineRule="exact"/>
        <w:ind w:left="-176" w:leftChars="-84" w:right="-176" w:rightChars="-84" w:firstLine="570"/>
        <w:rPr>
          <w:rFonts w:ascii="宋体" w:hAnsi="宋体" w:cs="宋体"/>
          <w:sz w:val="24"/>
          <w:szCs w:val="24"/>
        </w:rPr>
      </w:pPr>
      <w:r>
        <w:rPr>
          <w:rFonts w:hint="eastAsia" w:ascii="宋体" w:hAnsi="宋体" w:cs="宋体"/>
          <w:sz w:val="24"/>
          <w:szCs w:val="24"/>
        </w:rPr>
        <w:t>〈一〉采购单位在招标文件规定的时间和地点公开开标，投标人全权代表必须参加并签到。投标人的法定代表人或其委托代理人未按时签到的，视同放弃开标监督权利、默认开标结果。</w:t>
      </w:r>
    </w:p>
    <w:p>
      <w:pPr>
        <w:spacing w:line="400" w:lineRule="exact"/>
        <w:ind w:firstLine="537" w:firstLineChars="224"/>
        <w:rPr>
          <w:rFonts w:ascii="宋体" w:hAnsi="宋体" w:cs="宋体"/>
          <w:sz w:val="24"/>
          <w:szCs w:val="24"/>
        </w:rPr>
      </w:pPr>
      <w:r>
        <w:rPr>
          <w:rFonts w:hint="eastAsia" w:ascii="宋体" w:hAnsi="宋体" w:cs="宋体"/>
          <w:sz w:val="24"/>
          <w:szCs w:val="24"/>
        </w:rPr>
        <w:t>全权代表须携带有效身份证件。如全权代表不是法定代表人，须有法定代表人出具的授权委托书原件（法人无需提供委托书）（格式见第九章附件八）。</w:t>
      </w:r>
    </w:p>
    <w:p>
      <w:pPr>
        <w:pStyle w:val="22"/>
        <w:spacing w:line="400" w:lineRule="exact"/>
        <w:ind w:firstLine="240" w:firstLineChars="100"/>
        <w:rPr>
          <w:rFonts w:hAnsi="宋体" w:cs="宋体"/>
          <w:sz w:val="24"/>
          <w:szCs w:val="24"/>
        </w:rPr>
      </w:pPr>
      <w:r>
        <w:rPr>
          <w:rFonts w:hint="eastAsia" w:hAnsi="宋体" w:cs="宋体"/>
          <w:sz w:val="24"/>
          <w:szCs w:val="24"/>
        </w:rPr>
        <w:t>〈二〉开标程序：</w:t>
      </w:r>
    </w:p>
    <w:p>
      <w:pPr>
        <w:pStyle w:val="22"/>
        <w:spacing w:line="400" w:lineRule="exact"/>
        <w:ind w:firstLine="480" w:firstLineChars="200"/>
        <w:rPr>
          <w:rFonts w:hAnsi="宋体" w:cs="宋体"/>
          <w:sz w:val="24"/>
          <w:szCs w:val="24"/>
        </w:rPr>
      </w:pPr>
      <w:r>
        <w:rPr>
          <w:rFonts w:hint="eastAsia" w:hAnsi="宋体" w:cs="宋体"/>
          <w:sz w:val="24"/>
          <w:szCs w:val="24"/>
        </w:rPr>
        <w:t xml:space="preserve">1. </w:t>
      </w:r>
      <w:r>
        <w:rPr>
          <w:rFonts w:hint="eastAsia" w:hAnsi="宋体" w:cs="宋体"/>
          <w:kern w:val="2"/>
          <w:sz w:val="24"/>
          <w:szCs w:val="24"/>
        </w:rPr>
        <w:t>由采购组织机构工作人员或采购人代表或公证人员核对验证投标人授权代表的本人身份证等能证明其有效身份的证件原件</w:t>
      </w:r>
      <w:r>
        <w:rPr>
          <w:rFonts w:hint="eastAsia" w:hAnsi="宋体" w:cs="宋体"/>
          <w:sz w:val="24"/>
          <w:szCs w:val="24"/>
        </w:rPr>
        <w:t>。</w:t>
      </w:r>
    </w:p>
    <w:p>
      <w:pPr>
        <w:pStyle w:val="22"/>
        <w:spacing w:line="400" w:lineRule="exact"/>
        <w:ind w:firstLine="480" w:firstLineChars="200"/>
        <w:rPr>
          <w:rFonts w:hAnsi="宋体" w:cs="宋体"/>
          <w:sz w:val="24"/>
          <w:szCs w:val="24"/>
        </w:rPr>
      </w:pPr>
      <w:r>
        <w:rPr>
          <w:rFonts w:hint="eastAsia" w:hAnsi="宋体" w:cs="宋体"/>
          <w:sz w:val="24"/>
          <w:szCs w:val="24"/>
        </w:rPr>
        <w:t xml:space="preserve">2. </w:t>
      </w:r>
      <w:r>
        <w:rPr>
          <w:rFonts w:hint="eastAsia" w:hAnsi="宋体" w:cs="宋体"/>
          <w:kern w:val="2"/>
          <w:sz w:val="24"/>
          <w:szCs w:val="24"/>
        </w:rPr>
        <w:t>开标会由耀华建设管理有限公司工作人员主持，主持人宣布开标会议开始</w:t>
      </w:r>
      <w:r>
        <w:rPr>
          <w:rFonts w:hint="eastAsia" w:hAnsi="宋体" w:cs="宋体"/>
          <w:sz w:val="24"/>
          <w:szCs w:val="24"/>
        </w:rPr>
        <w:t>。</w:t>
      </w:r>
    </w:p>
    <w:p>
      <w:pPr>
        <w:pStyle w:val="22"/>
        <w:spacing w:line="400" w:lineRule="exact"/>
        <w:ind w:firstLine="480" w:firstLineChars="200"/>
        <w:rPr>
          <w:rFonts w:hAnsi="宋体" w:cs="宋体"/>
          <w:sz w:val="24"/>
          <w:szCs w:val="24"/>
        </w:rPr>
      </w:pPr>
      <w:r>
        <w:rPr>
          <w:rFonts w:hint="eastAsia" w:hAnsi="宋体" w:cs="宋体"/>
          <w:sz w:val="24"/>
          <w:szCs w:val="24"/>
        </w:rPr>
        <w:t>3. 介绍参加开标会投标单位人员名单。</w:t>
      </w:r>
    </w:p>
    <w:p>
      <w:pPr>
        <w:pStyle w:val="22"/>
        <w:spacing w:line="400" w:lineRule="exact"/>
        <w:ind w:firstLine="480" w:firstLineChars="200"/>
        <w:rPr>
          <w:rFonts w:hAnsi="宋体" w:cs="宋体"/>
          <w:sz w:val="24"/>
          <w:szCs w:val="24"/>
        </w:rPr>
      </w:pPr>
      <w:r>
        <w:rPr>
          <w:rFonts w:hint="eastAsia" w:hAnsi="宋体" w:cs="宋体"/>
          <w:sz w:val="24"/>
          <w:szCs w:val="24"/>
        </w:rPr>
        <w:t>4. 宣布评标期间的有关事项，告知应当回避的情形,提请有关人员回避。</w:t>
      </w:r>
    </w:p>
    <w:p>
      <w:pPr>
        <w:pStyle w:val="22"/>
        <w:spacing w:line="400" w:lineRule="exact"/>
        <w:ind w:firstLine="480" w:firstLineChars="200"/>
        <w:rPr>
          <w:rFonts w:hAnsi="宋体" w:cs="宋体"/>
          <w:sz w:val="24"/>
          <w:szCs w:val="24"/>
        </w:rPr>
      </w:pPr>
      <w:r>
        <w:rPr>
          <w:rFonts w:hint="eastAsia" w:hAnsi="宋体" w:cs="宋体"/>
          <w:sz w:val="24"/>
          <w:szCs w:val="24"/>
        </w:rPr>
        <w:t>5. 信用查询通过后</w:t>
      </w:r>
      <w:r>
        <w:rPr>
          <w:rFonts w:hint="eastAsia" w:hAnsi="宋体" w:cs="宋体"/>
          <w:kern w:val="2"/>
          <w:sz w:val="24"/>
          <w:szCs w:val="24"/>
        </w:rPr>
        <w:t>，由投标人代表或公证人员检验投标文件密封的完整性并当场宣布检验结果</w:t>
      </w:r>
      <w:r>
        <w:rPr>
          <w:rFonts w:hint="eastAsia" w:hAnsi="宋体" w:cs="宋体"/>
          <w:sz w:val="24"/>
          <w:szCs w:val="24"/>
        </w:rPr>
        <w:t>。</w:t>
      </w:r>
    </w:p>
    <w:p>
      <w:pPr>
        <w:pStyle w:val="22"/>
        <w:spacing w:line="400" w:lineRule="exact"/>
        <w:ind w:firstLine="480" w:firstLineChars="200"/>
        <w:rPr>
          <w:rFonts w:hAnsi="宋体" w:cs="宋体"/>
          <w:sz w:val="24"/>
          <w:szCs w:val="24"/>
        </w:rPr>
      </w:pPr>
      <w:r>
        <w:rPr>
          <w:rFonts w:hint="eastAsia" w:hAnsi="宋体" w:cs="宋体"/>
          <w:kern w:val="2"/>
          <w:sz w:val="24"/>
          <w:szCs w:val="24"/>
        </w:rPr>
        <w:t>6. 打开资格证明文件并将资格证明文件送评标室评审，未在浙江省政府采购供应商库中注册或未上传相关资质证书的同时提备查文件原件，并做好登记工作</w:t>
      </w:r>
      <w:r>
        <w:rPr>
          <w:rFonts w:hint="eastAsia" w:hAnsi="宋体" w:cs="宋体"/>
          <w:sz w:val="24"/>
          <w:szCs w:val="24"/>
        </w:rPr>
        <w:t>。</w:t>
      </w:r>
    </w:p>
    <w:p>
      <w:pPr>
        <w:pStyle w:val="22"/>
        <w:spacing w:line="400" w:lineRule="exact"/>
        <w:ind w:firstLine="480" w:firstLineChars="200"/>
        <w:rPr>
          <w:rFonts w:hAnsi="宋体" w:cs="宋体"/>
          <w:sz w:val="24"/>
          <w:szCs w:val="24"/>
        </w:rPr>
      </w:pPr>
      <w:r>
        <w:rPr>
          <w:rFonts w:hint="eastAsia" w:hAnsi="宋体" w:cs="宋体"/>
          <w:sz w:val="24"/>
          <w:szCs w:val="24"/>
        </w:rPr>
        <w:t>7. 由评标委员会对资格审查文件进行评审，评审不合格的投标单位，退还其他投标文件，评审合格的供应商进入下一轮开标程序。</w:t>
      </w:r>
    </w:p>
    <w:p>
      <w:pPr>
        <w:pStyle w:val="22"/>
        <w:spacing w:line="400" w:lineRule="exact"/>
        <w:ind w:firstLine="480" w:firstLineChars="200"/>
        <w:rPr>
          <w:rFonts w:hAnsi="宋体" w:cs="宋体"/>
          <w:sz w:val="24"/>
          <w:szCs w:val="24"/>
        </w:rPr>
      </w:pPr>
      <w:r>
        <w:rPr>
          <w:rFonts w:hint="eastAsia" w:hAnsi="宋体" w:cs="宋体"/>
          <w:sz w:val="24"/>
          <w:szCs w:val="24"/>
        </w:rPr>
        <w:t xml:space="preserve">8. </w:t>
      </w:r>
      <w:r>
        <w:rPr>
          <w:rFonts w:hint="eastAsia" w:hAnsi="宋体" w:cs="宋体"/>
          <w:kern w:val="2"/>
          <w:sz w:val="24"/>
          <w:szCs w:val="24"/>
        </w:rPr>
        <w:t>打开资信、商务技术文件外包装，清点投标文件正本、副本数量，符合招标文件要求的送评标室评审；不符合要求的，当场退还投标人，并由投标人代表签字确认。开标顺序按各投标人提交投标文件时间的先后顺序进行</w:t>
      </w:r>
      <w:r>
        <w:rPr>
          <w:rFonts w:hint="eastAsia" w:hAnsi="宋体" w:cs="宋体"/>
          <w:sz w:val="24"/>
          <w:szCs w:val="24"/>
        </w:rPr>
        <w:t>。</w:t>
      </w:r>
    </w:p>
    <w:p>
      <w:pPr>
        <w:pStyle w:val="22"/>
        <w:spacing w:line="400" w:lineRule="exact"/>
        <w:ind w:firstLine="480" w:firstLineChars="200"/>
        <w:rPr>
          <w:rFonts w:hAnsi="宋体" w:cs="宋体"/>
          <w:sz w:val="24"/>
          <w:szCs w:val="24"/>
        </w:rPr>
      </w:pPr>
      <w:r>
        <w:rPr>
          <w:rFonts w:hint="eastAsia" w:hAnsi="宋体" w:cs="宋体"/>
          <w:sz w:val="24"/>
          <w:szCs w:val="24"/>
        </w:rPr>
        <w:t>9. 资信技术评分结束后，由主持人公布无效投标的投标人名单、投标无效的原因及其他有效投标的评分结果。</w:t>
      </w:r>
    </w:p>
    <w:p>
      <w:pPr>
        <w:pStyle w:val="22"/>
        <w:spacing w:line="400" w:lineRule="exact"/>
        <w:ind w:firstLine="480" w:firstLineChars="200"/>
        <w:rPr>
          <w:rFonts w:hAnsi="宋体" w:cs="宋体"/>
          <w:sz w:val="24"/>
          <w:szCs w:val="24"/>
        </w:rPr>
      </w:pPr>
      <w:r>
        <w:rPr>
          <w:rFonts w:hint="eastAsia" w:hAnsi="宋体" w:cs="宋体"/>
          <w:sz w:val="24"/>
          <w:szCs w:val="24"/>
        </w:rPr>
        <w:t>10. 由主持人宣读《投标报价》中的投标人名称及在其投标文件中承诺的投标报价、投标内容，以及认为有必要宣读的其他内容。</w:t>
      </w:r>
    </w:p>
    <w:p>
      <w:pPr>
        <w:pStyle w:val="22"/>
        <w:spacing w:line="400" w:lineRule="exact"/>
        <w:ind w:firstLine="480" w:firstLineChars="200"/>
        <w:rPr>
          <w:rFonts w:hAnsi="宋体" w:cs="宋体"/>
          <w:sz w:val="24"/>
          <w:szCs w:val="24"/>
        </w:rPr>
      </w:pPr>
      <w:r>
        <w:rPr>
          <w:rFonts w:hint="eastAsia" w:hAnsi="宋体" w:cs="宋体"/>
          <w:sz w:val="24"/>
          <w:szCs w:val="24"/>
        </w:rPr>
        <w:t>11.</w:t>
      </w:r>
      <w:r>
        <w:rPr>
          <w:rFonts w:hint="eastAsia" w:hAnsi="宋体" w:cs="宋体"/>
          <w:kern w:val="2"/>
          <w:sz w:val="24"/>
          <w:szCs w:val="24"/>
        </w:rPr>
        <w:t xml:space="preserve"> 采购代理单位工作人员做好开标记录, 投标人代表对开标记录进行当场校核及勘误，并签字确认；并同时由记录人、监督人当场签字确认。投标人代表未到场签字确认的，不影响评标过程</w:t>
      </w:r>
      <w:r>
        <w:rPr>
          <w:rFonts w:hint="eastAsia" w:hAnsi="宋体" w:cs="宋体"/>
          <w:sz w:val="24"/>
          <w:szCs w:val="24"/>
        </w:rPr>
        <w:t>。</w:t>
      </w:r>
    </w:p>
    <w:p>
      <w:pPr>
        <w:pStyle w:val="22"/>
        <w:spacing w:line="400" w:lineRule="exact"/>
        <w:ind w:firstLine="480" w:firstLineChars="200"/>
        <w:rPr>
          <w:rFonts w:hAnsi="宋体" w:cs="宋体"/>
          <w:sz w:val="24"/>
          <w:szCs w:val="24"/>
        </w:rPr>
      </w:pPr>
      <w:r>
        <w:rPr>
          <w:rFonts w:hint="eastAsia" w:hAnsi="宋体" w:cs="宋体"/>
          <w:sz w:val="24"/>
          <w:szCs w:val="24"/>
        </w:rPr>
        <w:t>12. 开标会议结束。</w:t>
      </w:r>
    </w:p>
    <w:p>
      <w:pPr>
        <w:spacing w:line="400" w:lineRule="exact"/>
        <w:ind w:right="-176" w:rightChars="-84"/>
        <w:rPr>
          <w:rFonts w:ascii="宋体" w:hAnsi="宋体" w:cs="宋体"/>
          <w:b/>
          <w:sz w:val="24"/>
          <w:szCs w:val="24"/>
        </w:rPr>
      </w:pPr>
      <w:r>
        <w:rPr>
          <w:rFonts w:hint="eastAsia" w:ascii="宋体" w:hAnsi="宋体" w:cs="宋体"/>
          <w:b/>
          <w:sz w:val="24"/>
          <w:szCs w:val="24"/>
        </w:rPr>
        <w:t>　　二、评标委员会</w:t>
      </w:r>
    </w:p>
    <w:p>
      <w:pPr>
        <w:spacing w:line="400" w:lineRule="exact"/>
        <w:ind w:right="-176" w:rightChars="-84" w:firstLine="12" w:firstLineChars="5"/>
        <w:rPr>
          <w:rFonts w:ascii="宋体" w:hAnsi="宋体" w:cs="宋体"/>
          <w:sz w:val="24"/>
          <w:szCs w:val="24"/>
        </w:rPr>
      </w:pPr>
      <w:r>
        <w:rPr>
          <w:rFonts w:hint="eastAsia" w:ascii="宋体" w:hAnsi="宋体" w:cs="宋体"/>
          <w:sz w:val="24"/>
          <w:szCs w:val="24"/>
        </w:rPr>
        <w:t>　　评标委员会依法由5人以上奇数的人员组成，评标委员会对投标文件进行审查、质疑、评估和比较。质询期间，投标人法人代表或法人委托人必须在场，负责解答有关事宜。</w:t>
      </w:r>
    </w:p>
    <w:p>
      <w:pPr>
        <w:spacing w:line="400" w:lineRule="exact"/>
        <w:ind w:right="-176" w:rightChars="-84" w:firstLine="482" w:firstLineChars="200"/>
        <w:rPr>
          <w:rFonts w:ascii="宋体" w:hAnsi="宋体" w:cs="宋体"/>
          <w:b/>
          <w:sz w:val="24"/>
          <w:szCs w:val="24"/>
        </w:rPr>
      </w:pPr>
      <w:r>
        <w:rPr>
          <w:rFonts w:hint="eastAsia" w:ascii="宋体" w:hAnsi="宋体" w:cs="宋体"/>
          <w:b/>
          <w:sz w:val="24"/>
          <w:szCs w:val="24"/>
        </w:rPr>
        <w:t>三、对投标文件的审查和响应性的确定</w:t>
      </w:r>
    </w:p>
    <w:p>
      <w:pPr>
        <w:spacing w:line="400" w:lineRule="exact"/>
        <w:ind w:firstLine="480" w:firstLineChars="200"/>
        <w:rPr>
          <w:rFonts w:ascii="宋体" w:hAnsi="宋体" w:cs="宋体"/>
          <w:sz w:val="24"/>
          <w:szCs w:val="24"/>
        </w:rPr>
      </w:pPr>
      <w:r>
        <w:rPr>
          <w:rFonts w:hint="eastAsia" w:ascii="宋体" w:hAnsi="宋体" w:cs="宋体"/>
          <w:sz w:val="24"/>
          <w:szCs w:val="24"/>
        </w:rPr>
        <w:t>（一）对资格证明文件进行审核，并与原件或浙江省政府采购供应商库中的资料进行比对，确认是否相符，不符合且未提供补充资料原件的按未能提供合格的资格文件处理，并出具无效标情况鉴定表。</w:t>
      </w:r>
    </w:p>
    <w:p>
      <w:pPr>
        <w:spacing w:line="400" w:lineRule="exact"/>
        <w:ind w:firstLine="480" w:firstLineChars="200"/>
        <w:rPr>
          <w:rFonts w:ascii="宋体" w:hAnsi="宋体" w:cs="宋体"/>
          <w:sz w:val="24"/>
          <w:szCs w:val="24"/>
        </w:rPr>
      </w:pPr>
      <w:r>
        <w:rPr>
          <w:rFonts w:hint="eastAsia" w:ascii="宋体" w:hAnsi="宋体" w:cs="宋体"/>
          <w:sz w:val="24"/>
          <w:szCs w:val="24"/>
        </w:rPr>
        <w:t>（二）投标文件中开标一览表内容与投标文件中明细表内容不一致的，以开标一览表为准。</w:t>
      </w:r>
    </w:p>
    <w:p>
      <w:pPr>
        <w:spacing w:line="400" w:lineRule="exact"/>
        <w:ind w:firstLine="480" w:firstLineChars="200"/>
        <w:rPr>
          <w:rFonts w:ascii="宋体" w:hAnsi="宋体" w:cs="宋体"/>
          <w:sz w:val="24"/>
          <w:szCs w:val="24"/>
        </w:rPr>
      </w:pPr>
      <w:r>
        <w:rPr>
          <w:rFonts w:hint="eastAsia" w:ascii="宋体" w:hAnsi="宋体" w:cs="宋体"/>
          <w:sz w:val="24"/>
          <w:szCs w:val="24"/>
        </w:rPr>
        <w:t>（三）评标委员会审查投标文件是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pPr>
        <w:spacing w:line="400" w:lineRule="exact"/>
        <w:ind w:right="-176" w:rightChars="-84" w:firstLine="482" w:firstLineChars="200"/>
        <w:rPr>
          <w:rFonts w:ascii="宋体" w:hAnsi="宋体" w:cs="宋体"/>
          <w:b/>
          <w:sz w:val="24"/>
          <w:szCs w:val="24"/>
        </w:rPr>
      </w:pPr>
      <w:r>
        <w:rPr>
          <w:rFonts w:hint="eastAsia" w:ascii="宋体" w:hAnsi="宋体" w:cs="宋体"/>
          <w:b/>
          <w:sz w:val="24"/>
          <w:szCs w:val="24"/>
        </w:rPr>
        <w:t>四、评标原则与方法</w:t>
      </w:r>
    </w:p>
    <w:p>
      <w:pPr>
        <w:spacing w:line="400" w:lineRule="exact"/>
        <w:ind w:right="-176" w:rightChars="-84" w:firstLine="307" w:firstLineChars="128"/>
        <w:rPr>
          <w:rFonts w:ascii="宋体" w:hAnsi="宋体" w:cs="宋体"/>
          <w:sz w:val="24"/>
          <w:szCs w:val="24"/>
        </w:rPr>
      </w:pPr>
      <w:r>
        <w:rPr>
          <w:rFonts w:hint="eastAsia" w:ascii="宋体" w:hAnsi="宋体" w:cs="宋体"/>
          <w:sz w:val="24"/>
          <w:szCs w:val="24"/>
        </w:rPr>
        <w:t>〈一〉评标的依据是招标文件和投标文件。</w:t>
      </w:r>
    </w:p>
    <w:p>
      <w:pPr>
        <w:spacing w:line="400" w:lineRule="exact"/>
        <w:ind w:right="-176" w:rightChars="-84" w:firstLine="307" w:firstLineChars="128"/>
        <w:rPr>
          <w:rFonts w:ascii="宋体" w:hAnsi="宋体" w:cs="宋体"/>
          <w:sz w:val="24"/>
          <w:szCs w:val="24"/>
        </w:rPr>
      </w:pPr>
      <w:r>
        <w:rPr>
          <w:rFonts w:hint="eastAsia" w:ascii="宋体" w:hAnsi="宋体" w:cs="宋体"/>
          <w:sz w:val="24"/>
          <w:szCs w:val="24"/>
        </w:rPr>
        <w:t>〈二〉评标方法和定标原则。评标委员会将遵循公开、公平、公正的原则，对投标者提供货物的技术性能、产品质量、交货期限、资信情况、履约能力、售后服务、企业规模、资信情况等进行综合分析考评，由评委按照招标文件规定的评标规则（附后）记名并独立打分。</w:t>
      </w:r>
    </w:p>
    <w:p>
      <w:pPr>
        <w:pStyle w:val="22"/>
        <w:spacing w:line="400" w:lineRule="exact"/>
        <w:ind w:firstLine="240" w:firstLineChars="100"/>
        <w:rPr>
          <w:rFonts w:hAnsi="宋体" w:cs="宋体"/>
          <w:sz w:val="24"/>
          <w:szCs w:val="24"/>
        </w:rPr>
      </w:pPr>
      <w:r>
        <w:rPr>
          <w:rFonts w:hint="eastAsia" w:hAnsi="宋体" w:cs="宋体"/>
          <w:sz w:val="24"/>
          <w:szCs w:val="24"/>
        </w:rPr>
        <w:t>〈三〉分值的计算</w:t>
      </w:r>
    </w:p>
    <w:p>
      <w:pPr>
        <w:pStyle w:val="22"/>
        <w:spacing w:line="400" w:lineRule="exact"/>
        <w:ind w:firstLine="480" w:firstLineChars="200"/>
        <w:rPr>
          <w:rFonts w:hAnsi="宋体" w:cs="宋体"/>
          <w:sz w:val="24"/>
          <w:szCs w:val="24"/>
        </w:rPr>
      </w:pPr>
      <w:r>
        <w:rPr>
          <w:rFonts w:hint="eastAsia" w:hAnsi="宋体" w:cs="宋体"/>
          <w:sz w:val="24"/>
          <w:szCs w:val="24"/>
        </w:rPr>
        <w:t>资信技术的评审由评标委员会成员独立打分，资信技术得分为各评标委员会成员分值之和的算术平均值。评分值保留小数点后两位。</w:t>
      </w:r>
    </w:p>
    <w:p>
      <w:pPr>
        <w:pStyle w:val="22"/>
        <w:spacing w:line="400" w:lineRule="exact"/>
        <w:ind w:firstLine="480" w:firstLineChars="200"/>
        <w:rPr>
          <w:rFonts w:hAnsi="宋体" w:cs="宋体"/>
          <w:sz w:val="24"/>
          <w:szCs w:val="24"/>
        </w:rPr>
      </w:pPr>
      <w:r>
        <w:rPr>
          <w:rFonts w:hint="eastAsia" w:hAnsi="宋体" w:cs="宋体"/>
          <w:sz w:val="24"/>
          <w:szCs w:val="24"/>
        </w:rPr>
        <w:t>资信技术分=评标委员会所有成员评分合计数/评标委员会组成人员数；</w:t>
      </w:r>
    </w:p>
    <w:p>
      <w:pPr>
        <w:pStyle w:val="22"/>
        <w:spacing w:line="400" w:lineRule="exact"/>
        <w:ind w:firstLine="480" w:firstLineChars="200"/>
        <w:rPr>
          <w:rFonts w:hAnsi="宋体" w:cs="宋体"/>
          <w:sz w:val="24"/>
          <w:szCs w:val="24"/>
        </w:rPr>
      </w:pPr>
      <w:r>
        <w:rPr>
          <w:rFonts w:hint="eastAsia" w:hAnsi="宋体" w:cs="宋体"/>
          <w:sz w:val="24"/>
          <w:szCs w:val="24"/>
        </w:rPr>
        <w:t>综合得分=价格分+资信技术分</w:t>
      </w:r>
    </w:p>
    <w:p>
      <w:pPr>
        <w:pStyle w:val="22"/>
        <w:spacing w:line="400" w:lineRule="exact"/>
        <w:ind w:firstLine="240" w:firstLineChars="100"/>
        <w:rPr>
          <w:rFonts w:hAnsi="宋体" w:cs="宋体"/>
          <w:sz w:val="24"/>
          <w:szCs w:val="24"/>
        </w:rPr>
      </w:pPr>
      <w:r>
        <w:rPr>
          <w:rFonts w:hint="eastAsia" w:hAnsi="宋体" w:cs="宋体"/>
          <w:sz w:val="24"/>
          <w:szCs w:val="24"/>
        </w:rPr>
        <w:t>〈四〉客观、公正的对待所有投标人，对所有投标评价，均采用相同的程序和标准，按综合得分高低推荐中标单位。在开标、评标期间，投标人不得向评标委员会成员询问评标情况，不得进行旨在影响评标结果的活动，否则将废除其投标资格。</w:t>
      </w:r>
    </w:p>
    <w:p>
      <w:pPr>
        <w:pStyle w:val="22"/>
        <w:spacing w:line="400" w:lineRule="exact"/>
        <w:ind w:firstLine="480" w:firstLineChars="200"/>
        <w:rPr>
          <w:rFonts w:hAnsi="宋体" w:cs="宋体"/>
          <w:sz w:val="24"/>
          <w:szCs w:val="24"/>
        </w:rPr>
      </w:pPr>
      <w:r>
        <w:rPr>
          <w:rFonts w:hint="eastAsia" w:hAnsi="宋体" w:cs="宋体"/>
          <w:sz w:val="24"/>
          <w:szCs w:val="24"/>
        </w:rPr>
        <w:t>在评标过程中，评标成员不得与投标人私下交换意见，在招标工作结束后，凡与评标情况有接触的人不得将评标情况扩散出评标成员之外。</w:t>
      </w:r>
    </w:p>
    <w:p>
      <w:pPr>
        <w:pStyle w:val="22"/>
        <w:spacing w:line="400" w:lineRule="exact"/>
        <w:ind w:firstLine="240" w:firstLineChars="100"/>
        <w:rPr>
          <w:rFonts w:hAnsi="宋体" w:cs="宋体"/>
          <w:sz w:val="24"/>
          <w:szCs w:val="24"/>
        </w:rPr>
      </w:pPr>
      <w:r>
        <w:rPr>
          <w:rFonts w:hint="eastAsia" w:hAnsi="宋体" w:cs="宋体"/>
          <w:sz w:val="24"/>
          <w:szCs w:val="24"/>
        </w:rPr>
        <w:t>〈五〉招标方不向落标方解释落标原因，不退还投标文件。</w:t>
      </w:r>
    </w:p>
    <w:p>
      <w:pPr>
        <w:pStyle w:val="22"/>
        <w:spacing w:line="400" w:lineRule="exact"/>
        <w:ind w:firstLine="482" w:firstLineChars="200"/>
        <w:rPr>
          <w:rFonts w:hAnsi="宋体" w:cs="宋体"/>
          <w:b/>
          <w:bCs/>
          <w:sz w:val="24"/>
          <w:szCs w:val="24"/>
        </w:rPr>
      </w:pPr>
      <w:r>
        <w:rPr>
          <w:rFonts w:hint="eastAsia" w:hAnsi="宋体" w:cs="宋体"/>
          <w:b/>
          <w:bCs/>
          <w:sz w:val="24"/>
          <w:szCs w:val="24"/>
        </w:rPr>
        <w:t>五、定标和签发中标通知书：</w:t>
      </w:r>
    </w:p>
    <w:p>
      <w:pPr>
        <w:spacing w:line="400" w:lineRule="exact"/>
        <w:ind w:firstLine="480" w:firstLineChars="200"/>
        <w:rPr>
          <w:rFonts w:ascii="宋体" w:hAnsi="宋体" w:cs="宋体"/>
          <w:sz w:val="24"/>
          <w:szCs w:val="24"/>
        </w:rPr>
      </w:pPr>
      <w:r>
        <w:rPr>
          <w:rFonts w:hint="eastAsia" w:ascii="宋体" w:hAnsi="宋体" w:cs="宋体"/>
          <w:sz w:val="24"/>
          <w:szCs w:val="24"/>
        </w:rPr>
        <w:t>确定中标人：本项目由采购人事先授权评标委员会确定预中标人，并在建德市门户网站和浙江政府采购网站上进行公示，公示时间为7个工作日，公告期满，如无投标商质疑，由采购代理机构和采购单位签发《中标通知书》。</w:t>
      </w:r>
    </w:p>
    <w:p>
      <w:pPr>
        <w:pStyle w:val="22"/>
        <w:numPr>
          <w:ilvl w:val="0"/>
          <w:numId w:val="3"/>
        </w:numPr>
        <w:spacing w:line="400" w:lineRule="exact"/>
        <w:ind w:firstLine="482" w:firstLineChars="200"/>
        <w:rPr>
          <w:rFonts w:hAnsi="宋体" w:cs="宋体"/>
          <w:b/>
          <w:sz w:val="24"/>
          <w:szCs w:val="24"/>
        </w:rPr>
      </w:pPr>
      <w:r>
        <w:rPr>
          <w:rFonts w:hint="eastAsia" w:hAnsi="宋体" w:cs="宋体"/>
          <w:b/>
          <w:sz w:val="24"/>
          <w:szCs w:val="24"/>
        </w:rPr>
        <w:t>合同授予：</w:t>
      </w:r>
    </w:p>
    <w:p>
      <w:pPr>
        <w:spacing w:line="400" w:lineRule="exact"/>
        <w:ind w:firstLine="480" w:firstLineChars="200"/>
        <w:rPr>
          <w:rFonts w:ascii="宋体" w:hAnsi="宋体" w:cs="宋体"/>
          <w:sz w:val="24"/>
          <w:szCs w:val="24"/>
        </w:rPr>
      </w:pPr>
      <w:r>
        <w:rPr>
          <w:rFonts w:hint="eastAsia" w:ascii="宋体" w:hAnsi="宋体" w:cs="宋体"/>
          <w:sz w:val="24"/>
          <w:szCs w:val="24"/>
        </w:rPr>
        <w:t>（一）中标人应自接到中标通知书后按中标通知书规定的时间内与采购人签定合同。同时，采购代理机构对合同内容进行审查，如发现与采购结果和投标承诺内容不一致的，应予以纠正。</w:t>
      </w:r>
    </w:p>
    <w:p>
      <w:pPr>
        <w:spacing w:line="400" w:lineRule="exact"/>
        <w:ind w:firstLine="480" w:firstLineChars="200"/>
        <w:rPr>
          <w:rFonts w:ascii="宋体" w:hAnsi="宋体" w:cs="宋体"/>
          <w:sz w:val="24"/>
          <w:szCs w:val="24"/>
        </w:rPr>
      </w:pPr>
      <w:r>
        <w:rPr>
          <w:rFonts w:hint="eastAsia" w:ascii="宋体" w:hAnsi="宋体" w:cs="宋体"/>
          <w:sz w:val="24"/>
          <w:szCs w:val="24"/>
        </w:rPr>
        <w:t>（二）中标人拖延、拒签合同的,将被取消中标资格。</w:t>
      </w:r>
    </w:p>
    <w:p>
      <w:pPr>
        <w:spacing w:line="520" w:lineRule="exact"/>
        <w:ind w:firstLine="2859" w:firstLineChars="800"/>
        <w:outlineLvl w:val="0"/>
        <w:rPr>
          <w:rFonts w:ascii="宋体" w:hAnsi="宋体" w:cs="宋体"/>
        </w:rPr>
      </w:pPr>
      <w:bookmarkStart w:id="8" w:name="_Toc6008"/>
      <w:bookmarkStart w:id="9" w:name="_Toc19318"/>
      <w:r>
        <w:rPr>
          <w:rStyle w:val="105"/>
          <w:rFonts w:hint="eastAsia" w:ascii="宋体" w:hAnsi="宋体" w:cs="宋体"/>
          <w:sz w:val="36"/>
          <w:szCs w:val="36"/>
        </w:rPr>
        <w:t>第四章   评分标准</w:t>
      </w:r>
      <w:bookmarkEnd w:id="8"/>
      <w:bookmarkEnd w:id="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216"/>
        <w:gridCol w:w="703"/>
        <w:gridCol w:w="46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8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ascii="宋体" w:hAnsi="宋体"/>
                <w:b/>
                <w:szCs w:val="21"/>
              </w:rPr>
              <w:t>评分项目</w:t>
            </w:r>
          </w:p>
        </w:tc>
        <w:tc>
          <w:tcPr>
            <w:tcW w:w="4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ascii="宋体" w:hAnsi="宋体"/>
                <w:b/>
                <w:szCs w:val="21"/>
              </w:rPr>
              <w:t>分值</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ascii="宋体" w:hAnsi="宋体"/>
                <w:b/>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8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ascii="宋体" w:hAnsi="宋体"/>
                <w:szCs w:val="21"/>
              </w:rPr>
              <w:t>价格（</w:t>
            </w:r>
            <w:r>
              <w:rPr>
                <w:rFonts w:hint="eastAsia" w:ascii="宋体" w:hAnsi="宋体"/>
                <w:szCs w:val="21"/>
                <w:lang w:val="en-US" w:eastAsia="zh-CN"/>
              </w:rPr>
              <w:t>4</w:t>
            </w:r>
            <w:r>
              <w:rPr>
                <w:rFonts w:ascii="宋体" w:hAnsi="宋体"/>
                <w:szCs w:val="21"/>
              </w:rPr>
              <w:t>0）</w:t>
            </w: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40</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rPr>
            </w:pPr>
            <w:r>
              <w:rPr>
                <w:rFonts w:ascii="宋体" w:hAnsi="宋体"/>
                <w:szCs w:val="21"/>
              </w:rPr>
              <w:t>满足招标文件要求且投标报价最低的投标报价为评标基准价，其价格分为满分。其他投标人的价格分统一按照下列公式计算：投标报价得分=（评标基准价/投标报价）*</w:t>
            </w:r>
            <w:r>
              <w:rPr>
                <w:rFonts w:hint="eastAsia" w:ascii="宋体" w:hAnsi="宋体"/>
                <w:szCs w:val="21"/>
                <w:lang w:val="en-US" w:eastAsia="zh-CN"/>
              </w:rPr>
              <w:t>4</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44" w:type="dxa"/>
            <w:gridSpan w:val="3"/>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szCs w:val="21"/>
              </w:rPr>
            </w:pPr>
            <w:r>
              <w:rPr>
                <w:rFonts w:ascii="宋体" w:hAnsi="宋体"/>
                <w:szCs w:val="21"/>
              </w:rPr>
              <w:t>产品性能、技术指标及系统集成能力</w:t>
            </w:r>
          </w:p>
          <w:p>
            <w:pPr>
              <w:spacing w:line="276" w:lineRule="auto"/>
              <w:jc w:val="center"/>
              <w:rPr>
                <w:rFonts w:ascii="宋体" w:hAnsi="宋体"/>
                <w:szCs w:val="21"/>
              </w:rPr>
            </w:pPr>
            <w:r>
              <w:rPr>
                <w:rFonts w:ascii="宋体" w:hAnsi="宋体"/>
                <w:szCs w:val="21"/>
              </w:rPr>
              <w:t>（3</w:t>
            </w:r>
            <w:r>
              <w:rPr>
                <w:rFonts w:hint="eastAsia" w:ascii="宋体" w:hAnsi="宋体"/>
                <w:szCs w:val="21"/>
                <w:lang w:val="en-US" w:eastAsia="zh-CN"/>
              </w:rPr>
              <w:t>0</w:t>
            </w:r>
            <w:r>
              <w:rPr>
                <w:rFonts w:ascii="宋体" w:hAnsi="宋体"/>
                <w:szCs w:val="21"/>
              </w:rPr>
              <w:t>）</w:t>
            </w:r>
          </w:p>
        </w:tc>
        <w:tc>
          <w:tcPr>
            <w:tcW w:w="467" w:type="dxa"/>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hint="eastAsia" w:ascii="宋体" w:hAnsi="宋体" w:eastAsia="宋体"/>
                <w:szCs w:val="21"/>
                <w:lang w:eastAsia="zh-CN"/>
              </w:rPr>
            </w:pPr>
            <w:r>
              <w:rPr>
                <w:rFonts w:ascii="宋体" w:hAnsi="宋体"/>
                <w:szCs w:val="21"/>
              </w:rPr>
              <w:t>1</w:t>
            </w:r>
            <w:r>
              <w:rPr>
                <w:rFonts w:hint="eastAsia" w:ascii="宋体" w:hAnsi="宋体"/>
                <w:szCs w:val="21"/>
                <w:lang w:val="en-US" w:eastAsia="zh-CN"/>
              </w:rPr>
              <w:t>6</w:t>
            </w:r>
          </w:p>
        </w:tc>
        <w:tc>
          <w:tcPr>
            <w:tcW w:w="6237" w:type="dxa"/>
            <w:tcBorders>
              <w:top w:val="single" w:color="auto" w:sz="4" w:space="0"/>
              <w:left w:val="single" w:color="auto" w:sz="4" w:space="0"/>
              <w:right w:val="single" w:color="auto" w:sz="4" w:space="0"/>
            </w:tcBorders>
            <w:vAlign w:val="center"/>
          </w:tcPr>
          <w:p>
            <w:pPr>
              <w:adjustRightInd w:val="0"/>
              <w:snapToGrid w:val="0"/>
              <w:spacing w:line="276" w:lineRule="auto"/>
              <w:rPr>
                <w:rFonts w:ascii="宋体" w:hAnsi="宋体"/>
                <w:szCs w:val="21"/>
              </w:rPr>
            </w:pPr>
            <w:r>
              <w:rPr>
                <w:rFonts w:ascii="宋体" w:hAnsi="宋体"/>
                <w:szCs w:val="21"/>
              </w:rPr>
              <w:t>符合明确指标参数得1</w:t>
            </w:r>
            <w:r>
              <w:rPr>
                <w:rFonts w:hint="eastAsia" w:ascii="宋体" w:hAnsi="宋体"/>
                <w:szCs w:val="21"/>
                <w:lang w:val="en-US" w:eastAsia="zh-CN"/>
              </w:rPr>
              <w:t>6</w:t>
            </w:r>
            <w:r>
              <w:rPr>
                <w:rFonts w:ascii="宋体" w:hAnsi="宋体"/>
                <w:szCs w:val="21"/>
              </w:rPr>
              <w:t>分。投标产品关键技术指标（标有“★”的指标）必须满足，负偏离废标；对非关键的性能指标及技术参数属负偏离或缺漏项的每项扣1分，扣完为止（属某一品牌型号特有的技术参数且不影响产品使用功能的负偏离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44" w:type="dxa"/>
            <w:gridSpan w:val="3"/>
            <w:vMerge w:val="continue"/>
            <w:tcBorders>
              <w:left w:val="single" w:color="auto" w:sz="4" w:space="0"/>
              <w:right w:val="single" w:color="auto" w:sz="4" w:space="0"/>
            </w:tcBorders>
            <w:vAlign w:val="center"/>
          </w:tcPr>
          <w:p>
            <w:pPr>
              <w:spacing w:line="276" w:lineRule="auto"/>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3</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rPr>
            </w:pPr>
            <w:r>
              <w:rPr>
                <w:rFonts w:ascii="宋体" w:hAnsi="宋体"/>
                <w:szCs w:val="21"/>
              </w:rPr>
              <w:t>对性能指标、技术参数属正偏或高配的、有先进程度的正偏离每项加</w:t>
            </w:r>
            <w:r>
              <w:rPr>
                <w:rFonts w:hint="eastAsia" w:ascii="宋体" w:hAnsi="宋体"/>
                <w:szCs w:val="21"/>
              </w:rPr>
              <w:t>0</w:t>
            </w:r>
            <w:r>
              <w:rPr>
                <w:rFonts w:ascii="宋体" w:hAnsi="宋体"/>
                <w:szCs w:val="21"/>
              </w:rPr>
              <w:t>.</w:t>
            </w:r>
            <w:r>
              <w:rPr>
                <w:rFonts w:hint="eastAsia" w:ascii="宋体" w:hAnsi="宋体"/>
                <w:szCs w:val="21"/>
                <w:lang w:val="en-US" w:eastAsia="zh-CN"/>
              </w:rPr>
              <w:t>5</w:t>
            </w:r>
            <w:r>
              <w:rPr>
                <w:rFonts w:ascii="宋体" w:hAnsi="宋体"/>
                <w:szCs w:val="21"/>
              </w:rPr>
              <w:t>分（最高分为3分），无实质性意义的正偏离不加分。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4" w:type="dxa"/>
            <w:gridSpan w:val="3"/>
            <w:vMerge w:val="continue"/>
            <w:tcBorders>
              <w:left w:val="single" w:color="auto" w:sz="4" w:space="0"/>
              <w:right w:val="single" w:color="auto" w:sz="4" w:space="0"/>
            </w:tcBorders>
            <w:vAlign w:val="center"/>
          </w:tcPr>
          <w:p>
            <w:pPr>
              <w:spacing w:line="276" w:lineRule="auto"/>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olor w:val="auto"/>
                <w:szCs w:val="21"/>
              </w:rPr>
            </w:pPr>
            <w:r>
              <w:rPr>
                <w:rFonts w:hint="eastAsia" w:ascii="宋体" w:hAnsi="宋体"/>
                <w:color w:val="auto"/>
                <w:szCs w:val="21"/>
              </w:rPr>
              <w:t>投标单位所投设备100%响应采购清单推荐品牌的，得6分；不符合1项扣1.5分，扣完为止。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844" w:type="dxa"/>
            <w:gridSpan w:val="3"/>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2</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rPr>
            </w:pPr>
            <w:r>
              <w:rPr>
                <w:rFonts w:ascii="宋体" w:hAnsi="宋体"/>
                <w:szCs w:val="21"/>
              </w:rPr>
              <w:t>项目安装、调试和系统集成具体实施计划科学性、合理性和有效性等情况综合打分。最高分2分。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844" w:type="dxa"/>
            <w:gridSpan w:val="3"/>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hint="eastAsia" w:ascii="宋体" w:hAnsi="宋体" w:cs="Times New Roman"/>
                <w:szCs w:val="21"/>
                <w:lang w:eastAsia="zh-CN"/>
              </w:rPr>
            </w:pPr>
            <w:r>
              <w:rPr>
                <w:rFonts w:hint="eastAsia" w:ascii="宋体" w:hAnsi="宋体" w:cs="Times New Roman"/>
                <w:szCs w:val="21"/>
                <w:lang w:val="en-US" w:eastAsia="zh-CN"/>
              </w:rPr>
              <w:t>1</w:t>
            </w:r>
          </w:p>
        </w:tc>
        <w:tc>
          <w:tcPr>
            <w:tcW w:w="6237"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uto"/>
              <w:jc w:val="center"/>
              <w:rPr>
                <w:rFonts w:ascii="宋体" w:hAnsi="宋体" w:cs="Times New Roman"/>
                <w:szCs w:val="21"/>
              </w:rPr>
            </w:pPr>
            <w:r>
              <w:rPr>
                <w:rFonts w:hint="eastAsia" w:ascii="宋体" w:hAnsi="宋体" w:cs="Times New Roman"/>
                <w:szCs w:val="21"/>
              </w:rPr>
              <w:t>根据投标单位是否踏勘情况，提供采购单位踏勘确认书的得</w:t>
            </w:r>
            <w:r>
              <w:rPr>
                <w:rFonts w:hint="eastAsia" w:ascii="宋体" w:hAnsi="宋体" w:cs="Times New Roman"/>
                <w:szCs w:val="21"/>
                <w:lang w:val="en-US" w:eastAsia="zh-CN"/>
              </w:rPr>
              <w:t>1</w:t>
            </w:r>
            <w:r>
              <w:rPr>
                <w:rFonts w:hint="eastAsia" w:ascii="宋体" w:hAnsi="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844" w:type="dxa"/>
            <w:gridSpan w:val="3"/>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467" w:type="dxa"/>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hint="eastAsia" w:ascii="宋体" w:hAnsi="宋体" w:eastAsia="宋体"/>
                <w:szCs w:val="21"/>
                <w:lang w:eastAsia="zh-CN"/>
              </w:rPr>
            </w:pPr>
            <w:r>
              <w:rPr>
                <w:rFonts w:hint="eastAsia" w:ascii="宋体" w:hAnsi="宋体"/>
                <w:szCs w:val="21"/>
                <w:lang w:val="en-US" w:eastAsia="zh-CN"/>
              </w:rPr>
              <w:t>2</w:t>
            </w:r>
          </w:p>
        </w:tc>
        <w:tc>
          <w:tcPr>
            <w:tcW w:w="6237" w:type="dxa"/>
            <w:tcBorders>
              <w:top w:val="single" w:color="auto" w:sz="4" w:space="0"/>
              <w:left w:val="single" w:color="auto" w:sz="4" w:space="0"/>
              <w:right w:val="single" w:color="auto" w:sz="4" w:space="0"/>
            </w:tcBorders>
            <w:vAlign w:val="center"/>
          </w:tcPr>
          <w:p>
            <w:pPr>
              <w:adjustRightInd w:val="0"/>
              <w:snapToGrid w:val="0"/>
              <w:spacing w:line="276" w:lineRule="auto"/>
              <w:rPr>
                <w:rFonts w:ascii="宋体" w:hAnsi="宋体"/>
                <w:szCs w:val="21"/>
              </w:rPr>
            </w:pPr>
            <w:r>
              <w:rPr>
                <w:rFonts w:ascii="宋体" w:hAnsi="宋体"/>
                <w:szCs w:val="21"/>
              </w:rPr>
              <w:t>项目安装、调试和系统集成实施人员及能力等情况。相关人员须提供近三个月单位缴纳社保证明材料。最高得</w:t>
            </w:r>
            <w:r>
              <w:rPr>
                <w:rFonts w:hint="eastAsia" w:ascii="宋体" w:hAnsi="宋体"/>
                <w:szCs w:val="21"/>
                <w:lang w:val="en-US" w:eastAsia="zh-CN"/>
              </w:rPr>
              <w:t>1</w:t>
            </w:r>
            <w:r>
              <w:rPr>
                <w:rFonts w:ascii="宋体" w:hAnsi="宋体"/>
                <w:szCs w:val="21"/>
              </w:rPr>
              <w:t>分。</w:t>
            </w:r>
          </w:p>
          <w:p>
            <w:pPr>
              <w:adjustRightInd w:val="0"/>
              <w:snapToGrid w:val="0"/>
              <w:spacing w:line="276" w:lineRule="auto"/>
              <w:rPr>
                <w:rFonts w:ascii="宋体" w:hAnsi="宋体"/>
                <w:szCs w:val="21"/>
              </w:rPr>
            </w:pPr>
            <w:r>
              <w:rPr>
                <w:rFonts w:ascii="宋体" w:hAnsi="宋体"/>
                <w:szCs w:val="21"/>
              </w:rPr>
              <w:t>投标人项目组</w:t>
            </w:r>
            <w:r>
              <w:rPr>
                <w:rFonts w:hint="eastAsia" w:ascii="宋体" w:hAnsi="宋体"/>
                <w:szCs w:val="21"/>
              </w:rPr>
              <w:t>组长</w:t>
            </w:r>
            <w:r>
              <w:rPr>
                <w:rFonts w:ascii="宋体" w:hAnsi="宋体"/>
                <w:szCs w:val="21"/>
              </w:rPr>
              <w:t>具有工信部和人社部颁发的系统集成项目管理工程师中级或以上得</w:t>
            </w:r>
            <w:r>
              <w:rPr>
                <w:rFonts w:hint="eastAsia" w:ascii="宋体" w:hAnsi="宋体"/>
                <w:szCs w:val="21"/>
                <w:lang w:val="en-US" w:eastAsia="zh-CN"/>
              </w:rPr>
              <w:t>1</w:t>
            </w:r>
            <w:r>
              <w:rPr>
                <w:rFonts w:ascii="宋体" w:hAnsi="宋体"/>
                <w:szCs w:val="21"/>
              </w:rPr>
              <w:t>分。须提供近三个月</w:t>
            </w:r>
            <w:r>
              <w:rPr>
                <w:rFonts w:hint="eastAsia" w:ascii="宋体" w:hAnsi="宋体"/>
                <w:szCs w:val="21"/>
              </w:rPr>
              <w:t>投标</w:t>
            </w:r>
            <w:r>
              <w:rPr>
                <w:rFonts w:ascii="宋体" w:hAnsi="宋体"/>
                <w:szCs w:val="21"/>
              </w:rPr>
              <w:t>单位缴纳社保证明材料。（证书原件备查）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样品功能演示（</w:t>
            </w:r>
            <w:r>
              <w:rPr>
                <w:rFonts w:hint="eastAsia" w:ascii="宋体" w:hAnsi="宋体"/>
                <w:szCs w:val="21"/>
                <w:lang w:val="en-US" w:eastAsia="zh-CN"/>
              </w:rPr>
              <w:t>8</w:t>
            </w:r>
            <w:r>
              <w:rPr>
                <w:rFonts w:hint="eastAsia" w:ascii="宋体" w:hAnsi="宋体"/>
                <w:szCs w:val="21"/>
              </w:rPr>
              <w:t>）</w:t>
            </w:r>
          </w:p>
        </w:tc>
        <w:tc>
          <w:tcPr>
            <w:tcW w:w="467" w:type="dxa"/>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hint="eastAsia" w:ascii="宋体" w:hAnsi="宋体" w:eastAsia="宋体"/>
                <w:szCs w:val="21"/>
                <w:lang w:eastAsia="zh-CN"/>
              </w:rPr>
            </w:pPr>
            <w:r>
              <w:rPr>
                <w:rFonts w:hint="eastAsia" w:ascii="宋体" w:hAnsi="宋体"/>
                <w:szCs w:val="21"/>
                <w:lang w:val="en-US" w:eastAsia="zh-CN"/>
              </w:rPr>
              <w:t>8</w:t>
            </w:r>
          </w:p>
        </w:tc>
        <w:tc>
          <w:tcPr>
            <w:tcW w:w="6237" w:type="dxa"/>
            <w:tcBorders>
              <w:top w:val="single" w:color="auto" w:sz="4" w:space="0"/>
              <w:left w:val="single" w:color="auto" w:sz="4" w:space="0"/>
              <w:right w:val="single" w:color="auto" w:sz="4" w:space="0"/>
            </w:tcBorders>
            <w:vAlign w:val="center"/>
          </w:tcPr>
          <w:p>
            <w:pPr>
              <w:adjustRightInd w:val="0"/>
              <w:snapToGrid w:val="0"/>
              <w:spacing w:line="276" w:lineRule="auto"/>
              <w:rPr>
                <w:rFonts w:ascii="宋体" w:hAnsi="宋体" w:cs="宋体"/>
                <w:szCs w:val="21"/>
              </w:rPr>
            </w:pPr>
            <w:r>
              <w:rPr>
                <w:rFonts w:hint="eastAsia" w:ascii="宋体" w:hAnsi="宋体" w:cs="宋体"/>
                <w:szCs w:val="21"/>
              </w:rPr>
              <w:t>投标人按以下要求录制样品功能演示录像，演示总时长不超过15分钟，演示视频中必须先清晰展示所投产品品牌型号，如未清晰展示或与投标文件所投产品不一致，此项作零分处理。演示内容如下：</w:t>
            </w:r>
          </w:p>
          <w:p>
            <w:pPr>
              <w:adjustRightInd w:val="0"/>
              <w:snapToGrid w:val="0"/>
              <w:spacing w:line="276" w:lineRule="auto"/>
              <w:rPr>
                <w:rFonts w:ascii="宋体" w:hAnsi="宋体" w:cs="宋体"/>
                <w:szCs w:val="21"/>
              </w:rPr>
            </w:pPr>
            <w:r>
              <w:rPr>
                <w:rFonts w:hint="eastAsia" w:ascii="宋体" w:hAnsi="宋体" w:cs="宋体"/>
                <w:szCs w:val="21"/>
              </w:rPr>
              <w:t>一、多媒体系统（投影+白板一体机）</w:t>
            </w:r>
            <w:r>
              <w:rPr>
                <w:rFonts w:hint="eastAsia" w:ascii="宋体" w:hAnsi="宋体" w:cs="宋体"/>
                <w:szCs w:val="21"/>
                <w:lang w:val="en-US" w:eastAsia="zh-CN"/>
              </w:rPr>
              <w:t>3</w:t>
            </w:r>
            <w:r>
              <w:rPr>
                <w:rFonts w:hint="eastAsia" w:ascii="宋体" w:hAnsi="宋体" w:cs="宋体"/>
                <w:szCs w:val="21"/>
              </w:rPr>
              <w:t>分</w:t>
            </w:r>
          </w:p>
          <w:p>
            <w:pPr>
              <w:adjustRightInd w:val="0"/>
              <w:snapToGrid w:val="0"/>
              <w:spacing w:line="276" w:lineRule="auto"/>
              <w:rPr>
                <w:rFonts w:ascii="宋体" w:hAnsi="宋体" w:cs="宋体"/>
                <w:szCs w:val="21"/>
              </w:rPr>
            </w:pPr>
            <w:r>
              <w:rPr>
                <w:rFonts w:hint="eastAsia" w:ascii="宋体" w:hAnsi="宋体" w:cs="宋体"/>
                <w:szCs w:val="21"/>
              </w:rPr>
              <w:t>（1）演示投影机电动聚焦功能；（0-</w:t>
            </w:r>
            <w:r>
              <w:rPr>
                <w:rFonts w:hint="eastAsia" w:ascii="宋体" w:hAnsi="宋体" w:cs="宋体"/>
                <w:szCs w:val="21"/>
                <w:lang w:val="en-US" w:eastAsia="zh-CN"/>
              </w:rPr>
              <w:t>0.5</w:t>
            </w:r>
            <w:r>
              <w:rPr>
                <w:rFonts w:hint="eastAsia" w:ascii="宋体" w:hAnsi="宋体" w:cs="宋体"/>
                <w:szCs w:val="21"/>
              </w:rPr>
              <w:t>分）</w:t>
            </w:r>
          </w:p>
          <w:p>
            <w:pPr>
              <w:adjustRightInd w:val="0"/>
              <w:snapToGrid w:val="0"/>
              <w:spacing w:line="276"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）演示白板一体机一键锁屏功能：前置面板有锁定键，按下后同时锁住屏幕触摸、面板按键、展台，通过刷卡或组合按键解锁，完全实现得</w:t>
            </w:r>
            <w:r>
              <w:rPr>
                <w:rFonts w:hint="eastAsia" w:ascii="宋体" w:hAnsi="宋体" w:cs="宋体"/>
                <w:szCs w:val="21"/>
                <w:lang w:val="en-US" w:eastAsia="zh-CN"/>
              </w:rPr>
              <w:t>0.5</w:t>
            </w:r>
            <w:r>
              <w:rPr>
                <w:rFonts w:hint="eastAsia" w:ascii="宋体" w:hAnsi="宋体" w:cs="宋体"/>
                <w:szCs w:val="21"/>
              </w:rPr>
              <w:t>分，部分实现或无法演示不得分；（0-</w:t>
            </w:r>
            <w:r>
              <w:rPr>
                <w:rFonts w:hint="eastAsia" w:ascii="宋体" w:hAnsi="宋体" w:cs="宋体"/>
                <w:szCs w:val="21"/>
                <w:lang w:val="en-US" w:eastAsia="zh-CN"/>
              </w:rPr>
              <w:t>0.5</w:t>
            </w:r>
            <w:r>
              <w:rPr>
                <w:rFonts w:hint="eastAsia" w:ascii="宋体" w:hAnsi="宋体" w:cs="宋体"/>
                <w:szCs w:val="21"/>
              </w:rPr>
              <w:t xml:space="preserve">分） </w:t>
            </w:r>
          </w:p>
          <w:p>
            <w:pPr>
              <w:adjustRightInd w:val="0"/>
              <w:snapToGrid w:val="0"/>
              <w:spacing w:line="276"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）演示白板一体机前置USB保护接口功能：前置带锁扣小门，关闭时锁住小门，再按一下小门弹出，实现对前USB接口的隐藏保护，打开前置接口小门，蓝色氛围灯亮起；关闭小门，氛围灯熄灭，以上完全实现得</w:t>
            </w:r>
            <w:r>
              <w:rPr>
                <w:rFonts w:hint="eastAsia" w:ascii="宋体" w:hAnsi="宋体" w:cs="宋体"/>
                <w:szCs w:val="21"/>
                <w:lang w:val="en-US" w:eastAsia="zh-CN"/>
              </w:rPr>
              <w:t>0.5</w:t>
            </w:r>
            <w:r>
              <w:rPr>
                <w:rFonts w:hint="eastAsia" w:ascii="宋体" w:hAnsi="宋体" w:cs="宋体"/>
                <w:szCs w:val="21"/>
              </w:rPr>
              <w:t>分，部分实现或无法演示不得分；（0-</w:t>
            </w:r>
            <w:r>
              <w:rPr>
                <w:rFonts w:hint="eastAsia" w:ascii="宋体" w:hAnsi="宋体" w:cs="宋体"/>
                <w:szCs w:val="21"/>
                <w:lang w:val="en-US" w:eastAsia="zh-CN"/>
              </w:rPr>
              <w:t>0.5</w:t>
            </w:r>
            <w:r>
              <w:rPr>
                <w:rFonts w:hint="eastAsia" w:ascii="宋体" w:hAnsi="宋体" w:cs="宋体"/>
                <w:szCs w:val="21"/>
              </w:rPr>
              <w:t xml:space="preserve">分）  </w:t>
            </w:r>
          </w:p>
          <w:p>
            <w:pPr>
              <w:adjustRightInd w:val="0"/>
              <w:snapToGrid w:val="0"/>
              <w:spacing w:line="276"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）演示白板一体机前置中控面板功能：前面板具有 音量-、音量+、静音、锁定、展台、信号源切换、开关机等物理按键，支持一键开机、关机、锁屏、打开展台，以上完全实现得</w:t>
            </w:r>
            <w:r>
              <w:rPr>
                <w:rFonts w:hint="eastAsia" w:ascii="宋体" w:hAnsi="宋体" w:cs="宋体"/>
                <w:szCs w:val="21"/>
                <w:lang w:val="en-US" w:eastAsia="zh-CN"/>
              </w:rPr>
              <w:t>1</w:t>
            </w:r>
            <w:r>
              <w:rPr>
                <w:rFonts w:hint="eastAsia" w:ascii="宋体" w:hAnsi="宋体" w:cs="宋体"/>
                <w:szCs w:val="21"/>
              </w:rPr>
              <w:t>分，部分实现或无法演示不得分；（0-</w:t>
            </w:r>
            <w:r>
              <w:rPr>
                <w:rFonts w:hint="eastAsia" w:ascii="宋体" w:hAnsi="宋体" w:cs="宋体"/>
                <w:szCs w:val="21"/>
                <w:lang w:val="en-US" w:eastAsia="zh-CN"/>
              </w:rPr>
              <w:t>1</w:t>
            </w:r>
            <w:r>
              <w:rPr>
                <w:rFonts w:hint="eastAsia" w:ascii="宋体" w:hAnsi="宋体" w:cs="宋体"/>
                <w:szCs w:val="21"/>
              </w:rPr>
              <w:t xml:space="preserve">分） </w:t>
            </w:r>
          </w:p>
          <w:p>
            <w:pPr>
              <w:adjustRightInd w:val="0"/>
              <w:snapToGrid w:val="0"/>
              <w:spacing w:line="276"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）演示白板一体机信号源切换功能：要求至少实现内置OPS电脑、HDMI1、HDMI2、安卓四种信号源的切换，要求切换到不同的信号源有对应的状态灯显示；以上完全实现得</w:t>
            </w:r>
            <w:r>
              <w:rPr>
                <w:rFonts w:hint="eastAsia" w:ascii="宋体" w:hAnsi="宋体" w:cs="宋体"/>
                <w:szCs w:val="21"/>
                <w:lang w:val="en-US" w:eastAsia="zh-CN"/>
              </w:rPr>
              <w:t>0.5</w:t>
            </w:r>
            <w:r>
              <w:rPr>
                <w:rFonts w:hint="eastAsia" w:ascii="宋体" w:hAnsi="宋体" w:cs="宋体"/>
                <w:szCs w:val="21"/>
              </w:rPr>
              <w:t>分，部分实现或无法演示不得分；（0-</w:t>
            </w:r>
            <w:r>
              <w:rPr>
                <w:rFonts w:hint="eastAsia" w:ascii="宋体" w:hAnsi="宋体" w:cs="宋体"/>
                <w:szCs w:val="21"/>
                <w:lang w:val="en-US" w:eastAsia="zh-CN"/>
              </w:rPr>
              <w:t>0.5</w:t>
            </w:r>
            <w:r>
              <w:rPr>
                <w:rFonts w:hint="eastAsia" w:ascii="宋体" w:hAnsi="宋体" w:cs="宋体"/>
                <w:szCs w:val="21"/>
              </w:rPr>
              <w:t>分）</w:t>
            </w:r>
          </w:p>
          <w:p>
            <w:pPr>
              <w:adjustRightInd w:val="0"/>
              <w:snapToGrid w:val="0"/>
              <w:spacing w:line="276" w:lineRule="auto"/>
              <w:rPr>
                <w:rFonts w:ascii="宋体" w:hAnsi="宋体" w:cs="宋体"/>
                <w:szCs w:val="21"/>
              </w:rPr>
            </w:pPr>
            <w:r>
              <w:rPr>
                <w:rFonts w:hint="eastAsia" w:ascii="宋体" w:hAnsi="宋体" w:cs="宋体"/>
                <w:szCs w:val="21"/>
              </w:rPr>
              <w:t>二、多媒体系统（触控一体机）</w:t>
            </w:r>
            <w:r>
              <w:rPr>
                <w:rFonts w:hint="eastAsia" w:ascii="宋体" w:hAnsi="宋体" w:cs="宋体"/>
                <w:szCs w:val="21"/>
                <w:lang w:val="en-US" w:eastAsia="zh-CN"/>
              </w:rPr>
              <w:t>2.5</w:t>
            </w:r>
            <w:r>
              <w:rPr>
                <w:rFonts w:hint="eastAsia" w:ascii="宋体" w:hAnsi="宋体" w:cs="宋体"/>
                <w:szCs w:val="21"/>
              </w:rPr>
              <w:t>分</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（1）教学视频快速录制：无外接设备情况下演示通过教学一体机前置物理按键，一键启动声音采集和屏幕录制，并在录制1分钟后，快速对录制内容播放（不接受通过软件实现），得</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分；</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（2）演示快速蓝光过滤：无外接设备情况下演示通过教学一体机前置物理按键一键启用滤减蓝光模式，得</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分；</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 xml:space="preserve">（3）外部设备拓展能力：演示前置Type-C接口的音视频、触摸信号输入功能，外接电脑设备通过标准TypeC线连接至整机TypeC口，即可把外接电脑设备画面投到整机上，同时在整机上操作画面，可实现触摸电脑的操作，无需再连接触控USB线，得0.5分； </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 xml:space="preserve">（4）移动授课：教师可通过移动端一键点击授课播放课件，在公网的情况下，同步课件及远程操控，并可实现拍照上传及移动展台功能，同时提供同步批注功能，满足移动授课需求，得0.5分； </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5）多媒体教学软件：支持创建配对教学游戏，教师可随意将知识点进行配对。当开始配对游戏时，拖动知识点进行配对，系统将自动判断是否正确。系统至少提供10种游戏模版，且模版样式支持自定义修改，同时支持设置干扰项，得0.5分；</w:t>
            </w:r>
          </w:p>
          <w:p>
            <w:pPr>
              <w:rPr>
                <w:rFonts w:ascii="宋体" w:hAnsi="宋体" w:cs="宋体"/>
                <w:szCs w:val="21"/>
              </w:rPr>
            </w:pPr>
            <w:r>
              <w:rPr>
                <w:rFonts w:hint="eastAsia" w:ascii="宋体" w:hAnsi="宋体" w:cs="宋体"/>
                <w:szCs w:val="21"/>
              </w:rPr>
              <w:t xml:space="preserve">三、录播系统 </w:t>
            </w:r>
            <w:r>
              <w:rPr>
                <w:rFonts w:hint="eastAsia" w:ascii="宋体" w:hAnsi="宋体" w:cs="宋体"/>
                <w:szCs w:val="21"/>
                <w:lang w:val="en-US" w:eastAsia="zh-CN"/>
              </w:rPr>
              <w:t>2.5</w:t>
            </w:r>
            <w:r>
              <w:rPr>
                <w:rFonts w:hint="eastAsia" w:ascii="宋体" w:hAnsi="宋体" w:cs="宋体"/>
                <w:szCs w:val="21"/>
              </w:rPr>
              <w:t>分</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1、无需额外配电脑，录播主机连接显示器、键盘鼠标，即可实现导播操作。支持鼠标对摄像机画面定位、推拉摇移的控制。得0.5分；</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 xml:space="preserve">2、精品化录播主机：内置音频处理功能，支持输入输出通道音量调节、EQ均衡调节、回声抑制、增益调节、幻象供电及音频采样率和比特率设置。得0.5分； </w:t>
            </w:r>
          </w:p>
          <w:p>
            <w:pPr>
              <w:pStyle w:val="2"/>
              <w:rPr>
                <w:rFonts w:ascii="宋体" w:hAnsi="宋体" w:eastAsia="宋体" w:cs="宋体"/>
                <w:b w:val="0"/>
                <w:bCs w:val="0"/>
                <w:sz w:val="21"/>
                <w:szCs w:val="21"/>
              </w:rPr>
            </w:pPr>
            <w:r>
              <w:rPr>
                <w:rFonts w:hint="eastAsia" w:ascii="宋体" w:hAnsi="宋体" w:eastAsia="宋体" w:cs="宋体"/>
                <w:b w:val="0"/>
                <w:bCs w:val="0"/>
                <w:sz w:val="21"/>
                <w:szCs w:val="21"/>
              </w:rPr>
              <w:t>3、实现3路RTMP推流功能，实现向钉钉及主流通讯软件推流，实现与录播资源平台或第三方管理平台推流对接。得0.5分；</w:t>
            </w:r>
          </w:p>
          <w:p>
            <w:pPr>
              <w:pStyle w:val="2"/>
              <w:rPr>
                <w:rFonts w:ascii="宋体" w:hAnsi="宋体" w:eastAsia="宋体" w:cs="宋体"/>
                <w:b w:val="0"/>
                <w:bCs w:val="0"/>
                <w:sz w:val="21"/>
                <w:szCs w:val="21"/>
              </w:rPr>
            </w:pPr>
            <w:r>
              <w:rPr>
                <w:rFonts w:ascii="宋体" w:hAnsi="宋体" w:eastAsia="宋体" w:cs="宋体"/>
                <w:b w:val="0"/>
                <w:bCs w:val="0"/>
                <w:sz w:val="21"/>
                <w:szCs w:val="21"/>
              </w:rPr>
              <w:t>4</w:t>
            </w:r>
            <w:r>
              <w:rPr>
                <w:rFonts w:hint="eastAsia" w:ascii="宋体" w:hAnsi="宋体" w:eastAsia="宋体" w:cs="宋体"/>
                <w:b w:val="0"/>
                <w:bCs w:val="0"/>
                <w:sz w:val="21"/>
                <w:szCs w:val="21"/>
              </w:rPr>
              <w:t>、演示仅需一条视频信号线，即可实现高清摄像机视频画面、控制指令、设备供电。得0.5分；</w:t>
            </w:r>
          </w:p>
          <w:p>
            <w:pPr>
              <w:pStyle w:val="2"/>
              <w:rPr>
                <w:rFonts w:ascii="宋体" w:hAnsi="宋体" w:eastAsia="宋体" w:cs="宋体"/>
                <w:b w:val="0"/>
                <w:bCs w:val="0"/>
                <w:sz w:val="21"/>
                <w:szCs w:val="21"/>
              </w:rPr>
            </w:pPr>
            <w:r>
              <w:rPr>
                <w:rFonts w:ascii="宋体" w:hAnsi="宋体" w:eastAsia="宋体" w:cs="宋体"/>
                <w:b w:val="0"/>
                <w:bCs w:val="0"/>
                <w:sz w:val="21"/>
                <w:szCs w:val="21"/>
              </w:rPr>
              <w:t>5</w:t>
            </w:r>
            <w:r>
              <w:rPr>
                <w:rFonts w:hint="eastAsia" w:ascii="宋体" w:hAnsi="宋体" w:eastAsia="宋体" w:cs="宋体"/>
                <w:b w:val="0"/>
                <w:bCs w:val="0"/>
                <w:sz w:val="21"/>
                <w:szCs w:val="21"/>
              </w:rPr>
              <w:t>、模拟同步课堂教学场景，实现1个主讲教室、1个听课教室双方同上一堂课，在教室电视机上相互看到对方视频画面，且音画同步。主讲教室的PPT课件能同步传递到听课教室的教学多媒体设备上播出。得0.5分；</w:t>
            </w:r>
          </w:p>
          <w:p>
            <w:pPr>
              <w:pStyle w:val="2"/>
              <w:rPr>
                <w:rFonts w:ascii="宋体" w:hAnsi="宋体" w:eastAsia="宋体" w:cs="宋体"/>
                <w:b w:val="0"/>
                <w:bCs w:val="0"/>
                <w:sz w:val="21"/>
                <w:szCs w:val="21"/>
              </w:rPr>
            </w:pPr>
            <w:r>
              <w:rPr>
                <w:rFonts w:hint="eastAsia" w:ascii="宋体" w:hAnsi="宋体" w:eastAsia="宋体" w:cs="宋体"/>
                <w:bCs w:val="0"/>
                <w:color w:val="auto"/>
                <w:sz w:val="21"/>
                <w:szCs w:val="21"/>
              </w:rPr>
              <w:t>演示视频制作成光盘或U盘，在投标截止前提交至建德市洋安社区荷映路113号三楼，柴文琪19957823508，逾期将拒收，该项得分为零。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szCs w:val="21"/>
              </w:rPr>
            </w:pPr>
            <w:r>
              <w:rPr>
                <w:rFonts w:ascii="宋体" w:hAnsi="宋体"/>
                <w:szCs w:val="21"/>
              </w:rPr>
              <w:t>资信及商务</w:t>
            </w:r>
          </w:p>
          <w:p>
            <w:pPr>
              <w:spacing w:line="276" w:lineRule="auto"/>
              <w:jc w:val="center"/>
              <w:rPr>
                <w:rFonts w:ascii="宋体" w:hAnsi="宋体"/>
                <w:szCs w:val="21"/>
              </w:rPr>
            </w:pPr>
            <w:r>
              <w:rPr>
                <w:rFonts w:ascii="宋体" w:hAnsi="宋体"/>
                <w:szCs w:val="21"/>
              </w:rPr>
              <w:t>（22）</w:t>
            </w:r>
          </w:p>
        </w:tc>
        <w:tc>
          <w:tcPr>
            <w:tcW w:w="1919" w:type="dxa"/>
            <w:gridSpan w:val="2"/>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产品相关技术证书（</w:t>
            </w:r>
            <w:r>
              <w:rPr>
                <w:rFonts w:ascii="宋体" w:hAnsi="宋体"/>
                <w:szCs w:val="21"/>
              </w:rPr>
              <w:t>8</w:t>
            </w:r>
            <w:r>
              <w:rPr>
                <w:rFonts w:hint="eastAsia" w:ascii="宋体" w:hAnsi="宋体"/>
                <w:szCs w:val="21"/>
              </w:rPr>
              <w:t>分）</w:t>
            </w:r>
          </w:p>
        </w:tc>
        <w:tc>
          <w:tcPr>
            <w:tcW w:w="467" w:type="dxa"/>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8</w:t>
            </w:r>
          </w:p>
        </w:tc>
        <w:tc>
          <w:tcPr>
            <w:tcW w:w="6237" w:type="dxa"/>
            <w:tcBorders>
              <w:top w:val="single" w:color="auto" w:sz="4" w:space="0"/>
              <w:left w:val="single" w:color="auto" w:sz="4" w:space="0"/>
              <w:right w:val="single" w:color="auto" w:sz="4" w:space="0"/>
            </w:tcBorders>
            <w:vAlign w:val="center"/>
          </w:tcPr>
          <w:p>
            <w:pPr>
              <w:adjustRightInd w:val="0"/>
              <w:snapToGrid w:val="0"/>
              <w:spacing w:line="276" w:lineRule="auto"/>
              <w:rPr>
                <w:rFonts w:ascii="宋体" w:hAnsi="宋体" w:cs="宋体"/>
                <w:szCs w:val="21"/>
              </w:rPr>
            </w:pPr>
            <w:r>
              <w:rPr>
                <w:rFonts w:hint="eastAsia" w:ascii="宋体" w:hAnsi="宋体" w:cs="宋体"/>
                <w:szCs w:val="21"/>
              </w:rPr>
              <w:t>一、LED屏原厂资质（2分）</w:t>
            </w:r>
          </w:p>
          <w:p>
            <w:pPr>
              <w:adjustRightInd w:val="0"/>
              <w:snapToGrid w:val="0"/>
              <w:spacing w:line="276" w:lineRule="auto"/>
              <w:rPr>
                <w:rFonts w:ascii="宋体" w:hAnsi="宋体" w:cs="宋体"/>
                <w:szCs w:val="21"/>
              </w:rPr>
            </w:pPr>
            <w:r>
              <w:rPr>
                <w:rFonts w:hint="eastAsia" w:ascii="宋体" w:hAnsi="宋体" w:cs="宋体"/>
                <w:szCs w:val="21"/>
              </w:rPr>
              <w:t>1、LED屏生产厂家具有工信部出具的制造业LED屏产品证书得0.5分</w:t>
            </w:r>
          </w:p>
          <w:p>
            <w:pPr>
              <w:adjustRightInd w:val="0"/>
              <w:snapToGrid w:val="0"/>
              <w:spacing w:line="276" w:lineRule="auto"/>
              <w:rPr>
                <w:rFonts w:ascii="宋体" w:hAnsi="宋体" w:cs="宋体"/>
                <w:szCs w:val="21"/>
              </w:rPr>
            </w:pPr>
            <w:r>
              <w:rPr>
                <w:rFonts w:hint="eastAsia" w:ascii="宋体" w:hAnsi="宋体" w:cs="宋体"/>
                <w:szCs w:val="21"/>
              </w:rPr>
              <w:t>2、LED屏生产厂家具有中国质量检验协会 连续三年“全国质量检验稳定合格产品” 得0.5分</w:t>
            </w:r>
          </w:p>
          <w:p>
            <w:pPr>
              <w:adjustRightInd w:val="0"/>
              <w:snapToGrid w:val="0"/>
              <w:spacing w:line="276" w:lineRule="auto"/>
              <w:rPr>
                <w:rFonts w:ascii="宋体" w:hAnsi="宋体" w:cs="宋体"/>
                <w:szCs w:val="21"/>
              </w:rPr>
            </w:pPr>
            <w:r>
              <w:rPr>
                <w:rFonts w:hint="eastAsia" w:ascii="宋体" w:hAnsi="宋体" w:cs="宋体"/>
                <w:szCs w:val="21"/>
              </w:rPr>
              <w:t>3、LED屏生产厂家具有信息安全管理体系认证证书（含LED相关设备的设计、开发、服务及系统集成相关）得0.5分</w:t>
            </w:r>
          </w:p>
          <w:p>
            <w:pPr>
              <w:adjustRightInd w:val="0"/>
              <w:snapToGrid w:val="0"/>
              <w:spacing w:line="276" w:lineRule="auto"/>
              <w:rPr>
                <w:rFonts w:ascii="宋体" w:hAnsi="宋体" w:cs="宋体"/>
                <w:szCs w:val="21"/>
              </w:rPr>
            </w:pPr>
            <w:r>
              <w:rPr>
                <w:rFonts w:hint="eastAsia" w:ascii="宋体" w:hAnsi="宋体" w:cs="宋体"/>
                <w:szCs w:val="21"/>
              </w:rPr>
              <w:t>4、LED屏生产厂家具有信息技术服务管理体系认证证书（交付LED、控制平台、显示系统相关的运行维护等方面）得0.5分</w:t>
            </w:r>
          </w:p>
          <w:p>
            <w:pPr>
              <w:adjustRightInd w:val="0"/>
              <w:snapToGrid w:val="0"/>
              <w:spacing w:line="276" w:lineRule="auto"/>
              <w:rPr>
                <w:rFonts w:ascii="宋体" w:hAnsi="宋体" w:cs="宋体"/>
                <w:szCs w:val="21"/>
              </w:rPr>
            </w:pPr>
          </w:p>
          <w:p>
            <w:pPr>
              <w:adjustRightInd w:val="0"/>
              <w:snapToGrid w:val="0"/>
              <w:spacing w:line="276" w:lineRule="auto"/>
              <w:rPr>
                <w:rFonts w:ascii="宋体" w:hAnsi="宋体" w:cs="宋体"/>
                <w:szCs w:val="21"/>
              </w:rPr>
            </w:pPr>
            <w:r>
              <w:rPr>
                <w:rFonts w:hint="eastAsia" w:ascii="宋体" w:hAnsi="宋体" w:cs="宋体"/>
                <w:szCs w:val="21"/>
              </w:rPr>
              <w:t>二、投影机原厂资质（3分）</w:t>
            </w:r>
          </w:p>
          <w:p>
            <w:pPr>
              <w:adjustRightInd w:val="0"/>
              <w:snapToGrid w:val="0"/>
              <w:spacing w:line="276" w:lineRule="auto"/>
              <w:rPr>
                <w:rFonts w:ascii="宋体" w:hAnsi="宋体" w:cs="宋体"/>
                <w:szCs w:val="21"/>
              </w:rPr>
            </w:pPr>
            <w:r>
              <w:rPr>
                <w:rFonts w:hint="eastAsia" w:ascii="宋体" w:hAnsi="宋体" w:cs="宋体"/>
                <w:szCs w:val="21"/>
              </w:rPr>
              <w:t>投影机生产厂家具有5星级商品售后服务认证证书得1分（提供证书复印件并加盖制造商公章）</w:t>
            </w:r>
          </w:p>
          <w:p>
            <w:pPr>
              <w:adjustRightInd w:val="0"/>
              <w:snapToGrid w:val="0"/>
              <w:spacing w:line="276" w:lineRule="auto"/>
              <w:rPr>
                <w:rFonts w:ascii="宋体" w:hAnsi="宋体" w:cs="宋体"/>
                <w:szCs w:val="21"/>
              </w:rPr>
            </w:pPr>
            <w:r>
              <w:rPr>
                <w:rFonts w:hint="eastAsia" w:ascii="宋体" w:hAnsi="宋体" w:cs="宋体"/>
                <w:szCs w:val="21"/>
              </w:rPr>
              <w:t>投影机生产厂家具有QC080000有害物质管理体系认证得1分</w:t>
            </w:r>
          </w:p>
          <w:p>
            <w:pPr>
              <w:adjustRightInd w:val="0"/>
              <w:snapToGrid w:val="0"/>
              <w:spacing w:line="276" w:lineRule="auto"/>
              <w:rPr>
                <w:rFonts w:ascii="宋体" w:hAnsi="宋体" w:cs="宋体"/>
                <w:szCs w:val="21"/>
              </w:rPr>
            </w:pPr>
            <w:r>
              <w:rPr>
                <w:rFonts w:hint="eastAsia" w:ascii="宋体" w:hAnsi="宋体" w:cs="宋体"/>
                <w:szCs w:val="21"/>
              </w:rPr>
              <w:t>投影机生产厂商获得全国产品和服务质量诚信示范企业得1分</w:t>
            </w:r>
          </w:p>
          <w:p>
            <w:pPr>
              <w:adjustRightInd w:val="0"/>
              <w:snapToGrid w:val="0"/>
              <w:spacing w:line="276" w:lineRule="auto"/>
              <w:rPr>
                <w:rFonts w:ascii="宋体" w:hAnsi="宋体" w:cs="宋体"/>
                <w:szCs w:val="21"/>
              </w:rPr>
            </w:pPr>
          </w:p>
          <w:p>
            <w:pPr>
              <w:adjustRightInd w:val="0"/>
              <w:snapToGrid w:val="0"/>
              <w:spacing w:line="276" w:lineRule="auto"/>
              <w:rPr>
                <w:rFonts w:ascii="宋体" w:hAnsi="宋体" w:cs="宋体"/>
                <w:szCs w:val="21"/>
              </w:rPr>
            </w:pPr>
            <w:r>
              <w:rPr>
                <w:rFonts w:hint="eastAsia" w:ascii="宋体" w:hAnsi="宋体" w:cs="宋体"/>
                <w:szCs w:val="21"/>
              </w:rPr>
              <w:t>三、86寸多媒体触控一体机（3分）</w:t>
            </w:r>
          </w:p>
          <w:p>
            <w:pPr>
              <w:adjustRightInd w:val="0"/>
              <w:snapToGrid w:val="0"/>
              <w:spacing w:line="276" w:lineRule="auto"/>
              <w:rPr>
                <w:rFonts w:ascii="宋体" w:hAnsi="宋体" w:cs="宋体"/>
                <w:szCs w:val="21"/>
              </w:rPr>
            </w:pPr>
            <w:r>
              <w:rPr>
                <w:rFonts w:hint="eastAsia" w:ascii="宋体" w:hAnsi="宋体" w:cs="宋体"/>
                <w:szCs w:val="21"/>
              </w:rPr>
              <w:t>1、为响应国家节能减排政策号召，86寸多媒体交互一体机生产厂家通过ISO14064核准认证证书及并提供官网查询截图，得1分</w:t>
            </w:r>
          </w:p>
          <w:p>
            <w:pPr>
              <w:adjustRightInd w:val="0"/>
              <w:snapToGrid w:val="0"/>
              <w:spacing w:line="276" w:lineRule="auto"/>
              <w:rPr>
                <w:rFonts w:ascii="宋体" w:hAnsi="宋体" w:cs="宋体"/>
                <w:szCs w:val="21"/>
              </w:rPr>
            </w:pPr>
            <w:r>
              <w:rPr>
                <w:rFonts w:hint="eastAsia" w:ascii="宋体" w:hAnsi="宋体" w:cs="宋体"/>
                <w:szCs w:val="21"/>
              </w:rPr>
              <w:t>2、86寸多媒体交互一体机生产厂家通过CMMI5软件能力成熟度模型集成认证，得1分</w:t>
            </w:r>
          </w:p>
          <w:p>
            <w:pPr>
              <w:adjustRightInd w:val="0"/>
              <w:snapToGrid w:val="0"/>
              <w:spacing w:line="276"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、为确保后期建设的规范对接，保证建设的兼容性、前瞻性，86寸多媒体交互一体机生产厂家参与制定或产品设计生产符合《多媒体教学工程环境建设规范》（须提供证明文件复印件）的，得1分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left w:val="single" w:color="auto" w:sz="4" w:space="0"/>
              <w:right w:val="single" w:color="auto" w:sz="4" w:space="0"/>
            </w:tcBorders>
            <w:vAlign w:val="center"/>
          </w:tcPr>
          <w:p>
            <w:pPr>
              <w:spacing w:line="276" w:lineRule="auto"/>
              <w:jc w:val="center"/>
              <w:rPr>
                <w:rFonts w:ascii="宋体" w:hAnsi="宋体"/>
                <w:szCs w:val="21"/>
              </w:rPr>
            </w:pPr>
          </w:p>
        </w:tc>
        <w:tc>
          <w:tcPr>
            <w:tcW w:w="0" w:type="auto"/>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售后服务、培训及质保时间（</w:t>
            </w:r>
            <w:r>
              <w:rPr>
                <w:rFonts w:hint="eastAsia" w:ascii="宋体" w:hAnsi="宋体"/>
                <w:szCs w:val="21"/>
                <w:lang w:val="en-US" w:eastAsia="zh-CN"/>
              </w:rPr>
              <w:t>7</w:t>
            </w:r>
            <w:r>
              <w:rPr>
                <w:rFonts w:ascii="宋体" w:hAnsi="宋体"/>
                <w:szCs w:val="21"/>
              </w:rPr>
              <w:t>）</w:t>
            </w:r>
          </w:p>
        </w:tc>
        <w:tc>
          <w:tcPr>
            <w:tcW w:w="703" w:type="dxa"/>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售后服务</w:t>
            </w:r>
          </w:p>
        </w:tc>
        <w:tc>
          <w:tcPr>
            <w:tcW w:w="467" w:type="dxa"/>
            <w:tcBorders>
              <w:top w:val="single" w:color="auto" w:sz="4" w:space="0"/>
              <w:left w:val="single" w:color="auto" w:sz="4" w:space="0"/>
              <w:right w:val="single" w:color="auto" w:sz="4" w:space="0"/>
            </w:tcBorders>
          </w:tcPr>
          <w:p>
            <w:pPr>
              <w:jc w:val="center"/>
              <w:rPr>
                <w:rFonts w:hint="eastAsia" w:ascii="宋体" w:hAnsi="宋体" w:eastAsia="宋体" w:cs="宋体"/>
              </w:rPr>
            </w:pPr>
            <w:r>
              <w:rPr>
                <w:rFonts w:hint="eastAsia" w:ascii="宋体" w:hAnsi="宋体" w:eastAsia="宋体" w:cs="宋体"/>
              </w:rPr>
              <w:t>2</w:t>
            </w:r>
          </w:p>
        </w:tc>
        <w:tc>
          <w:tcPr>
            <w:tcW w:w="6237" w:type="dxa"/>
            <w:tcBorders>
              <w:top w:val="single" w:color="auto" w:sz="4" w:space="0"/>
              <w:left w:val="single" w:color="auto" w:sz="4" w:space="0"/>
              <w:right w:val="single" w:color="auto" w:sz="4" w:space="0"/>
            </w:tcBorders>
          </w:tcPr>
          <w:p>
            <w:pPr>
              <w:rPr>
                <w:rFonts w:hint="eastAsia" w:ascii="宋体" w:hAnsi="宋体" w:eastAsia="宋体" w:cs="宋体"/>
              </w:rPr>
            </w:pPr>
            <w:r>
              <w:rPr>
                <w:rFonts w:hint="eastAsia" w:ascii="宋体" w:hAnsi="宋体" w:eastAsia="宋体" w:cs="宋体"/>
              </w:rPr>
              <w:t>项目维护计划（对用户故障的响应、处理、定期巡检等情况）的有效性；最高得2分。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0" w:type="auto"/>
            <w:vMerge w:val="continue"/>
            <w:tcBorders>
              <w:left w:val="single" w:color="auto" w:sz="4" w:space="0"/>
              <w:right w:val="single" w:color="auto" w:sz="4" w:space="0"/>
            </w:tcBorders>
            <w:vAlign w:val="center"/>
          </w:tcPr>
          <w:p>
            <w:pPr>
              <w:widowControl/>
              <w:adjustRightInd w:val="0"/>
              <w:snapToGrid w:val="0"/>
              <w:spacing w:line="276" w:lineRule="auto"/>
              <w:jc w:val="left"/>
              <w:rPr>
                <w:rFonts w:ascii="宋体" w:hAnsi="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售后服务网点</w:t>
            </w:r>
          </w:p>
        </w:tc>
        <w:tc>
          <w:tcPr>
            <w:tcW w:w="4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623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主要设备（投影机、白板一体机、录播、）原厂商或原厂商售后服务网点设在建德地区范围内的得2分, 在杭州地区范围内的得1分,售后服务网点在杭州地区以外的不得分。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0" w:type="auto"/>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质保</w:t>
            </w:r>
          </w:p>
          <w:p>
            <w:pPr>
              <w:adjustRightInd w:val="0"/>
              <w:snapToGrid w:val="0"/>
              <w:spacing w:line="276" w:lineRule="auto"/>
              <w:jc w:val="center"/>
              <w:rPr>
                <w:rFonts w:ascii="宋体" w:hAnsi="宋体"/>
                <w:szCs w:val="21"/>
              </w:rPr>
            </w:pPr>
            <w:r>
              <w:rPr>
                <w:rFonts w:ascii="宋体" w:hAnsi="宋体"/>
                <w:szCs w:val="21"/>
              </w:rPr>
              <w:t>期限</w:t>
            </w:r>
          </w:p>
        </w:tc>
        <w:tc>
          <w:tcPr>
            <w:tcW w:w="467"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szCs w:val="21"/>
                <w:lang w:eastAsia="zh-CN"/>
              </w:rPr>
            </w:pPr>
            <w:r>
              <w:rPr>
                <w:rFonts w:hint="eastAsia" w:ascii="宋体" w:hAnsi="宋体"/>
                <w:szCs w:val="21"/>
                <w:lang w:val="en-US" w:eastAsia="zh-CN"/>
              </w:rPr>
              <w:t>3</w:t>
            </w:r>
          </w:p>
        </w:tc>
        <w:tc>
          <w:tcPr>
            <w:tcW w:w="62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szCs w:val="21"/>
                <w:lang w:eastAsia="zh-CN"/>
              </w:rPr>
            </w:pPr>
            <w:r>
              <w:rPr>
                <w:rFonts w:hint="eastAsia" w:ascii="宋体" w:hAnsi="宋体"/>
                <w:szCs w:val="21"/>
              </w:rPr>
              <w:t>所有设备响应招标文件原厂</w:t>
            </w:r>
            <w:r>
              <w:rPr>
                <w:rFonts w:hint="eastAsia" w:ascii="宋体" w:hAnsi="宋体"/>
                <w:szCs w:val="21"/>
                <w:lang w:val="en-US" w:eastAsia="zh-CN"/>
              </w:rPr>
              <w:t>免费</w:t>
            </w:r>
            <w:r>
              <w:rPr>
                <w:rFonts w:hint="eastAsia" w:ascii="宋体" w:hAnsi="宋体"/>
                <w:szCs w:val="21"/>
              </w:rPr>
              <w:t>质保要求的不得分，原厂</w:t>
            </w:r>
            <w:r>
              <w:rPr>
                <w:rFonts w:hint="eastAsia" w:ascii="宋体" w:hAnsi="宋体"/>
                <w:szCs w:val="21"/>
                <w:lang w:val="en-US" w:eastAsia="zh-CN"/>
              </w:rPr>
              <w:t>免费</w:t>
            </w:r>
            <w:r>
              <w:rPr>
                <w:rFonts w:hint="eastAsia" w:ascii="宋体" w:hAnsi="宋体"/>
                <w:szCs w:val="21"/>
              </w:rPr>
              <w:t>质保年限每延长一年得</w:t>
            </w:r>
            <w:r>
              <w:rPr>
                <w:rFonts w:hint="eastAsia" w:ascii="宋体" w:hAnsi="宋体"/>
                <w:szCs w:val="21"/>
                <w:lang w:val="en-US" w:eastAsia="zh-CN"/>
              </w:rPr>
              <w:t>1</w:t>
            </w:r>
            <w:r>
              <w:rPr>
                <w:rFonts w:hint="eastAsia" w:ascii="宋体" w:hAnsi="宋体"/>
                <w:szCs w:val="21"/>
              </w:rPr>
              <w:t>分，最高</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投标企业情况</w:t>
            </w:r>
          </w:p>
          <w:p>
            <w:pPr>
              <w:adjustRightInd w:val="0"/>
              <w:snapToGrid w:val="0"/>
              <w:spacing w:line="276" w:lineRule="auto"/>
              <w:jc w:val="center"/>
              <w:rPr>
                <w:rFonts w:ascii="宋体" w:hAnsi="宋体"/>
                <w:szCs w:val="21"/>
              </w:rPr>
            </w:pPr>
            <w:r>
              <w:rPr>
                <w:rFonts w:ascii="宋体" w:hAnsi="宋体"/>
                <w:szCs w:val="21"/>
              </w:rPr>
              <w:t>（</w:t>
            </w:r>
            <w:r>
              <w:rPr>
                <w:rFonts w:hint="eastAsia" w:ascii="宋体" w:hAnsi="宋体"/>
                <w:szCs w:val="21"/>
                <w:lang w:val="en-US" w:eastAsia="zh-CN"/>
              </w:rPr>
              <w:t>7</w:t>
            </w:r>
            <w:r>
              <w:rPr>
                <w:rFonts w:ascii="宋体" w:hAnsi="宋体"/>
                <w:szCs w:val="21"/>
              </w:rPr>
              <w:t>）</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投标企业情况</w:t>
            </w: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szCs w:val="21"/>
                <w:lang w:eastAsia="zh-CN"/>
              </w:rPr>
            </w:pPr>
            <w:r>
              <w:rPr>
                <w:rFonts w:hint="eastAsia" w:ascii="宋体" w:hAnsi="宋体"/>
                <w:szCs w:val="21"/>
                <w:lang w:val="en-US" w:eastAsia="zh-CN"/>
              </w:rPr>
              <w:t>3</w:t>
            </w:r>
          </w:p>
        </w:tc>
        <w:tc>
          <w:tcPr>
            <w:tcW w:w="6237" w:type="dxa"/>
            <w:tcBorders>
              <w:top w:val="single" w:color="auto" w:sz="4" w:space="0"/>
              <w:left w:val="single" w:color="auto" w:sz="4" w:space="0"/>
              <w:bottom w:val="single" w:color="auto" w:sz="4" w:space="0"/>
              <w:right w:val="single" w:color="auto" w:sz="4" w:space="0"/>
            </w:tcBorders>
            <w:vAlign w:val="center"/>
          </w:tcPr>
          <w:p>
            <w:pPr>
              <w:pStyle w:val="284"/>
              <w:spacing w:line="276" w:lineRule="auto"/>
              <w:rPr>
                <w:rFonts w:ascii="宋体" w:hAnsi="宋体"/>
                <w:szCs w:val="21"/>
              </w:rPr>
            </w:pPr>
            <w:r>
              <w:rPr>
                <w:rFonts w:ascii="宋体" w:hAnsi="宋体"/>
                <w:szCs w:val="21"/>
              </w:rPr>
              <w:t>1.投标人</w:t>
            </w:r>
            <w:r>
              <w:rPr>
                <w:rFonts w:hint="eastAsia" w:ascii="宋体" w:hAnsi="宋体"/>
                <w:szCs w:val="21"/>
              </w:rPr>
              <w:t>同时通过ISO</w:t>
            </w:r>
            <w:r>
              <w:rPr>
                <w:rFonts w:ascii="宋体" w:hAnsi="宋体"/>
                <w:szCs w:val="21"/>
              </w:rPr>
              <w:t>9001</w:t>
            </w:r>
            <w:r>
              <w:rPr>
                <w:rFonts w:hint="eastAsia" w:ascii="宋体" w:hAnsi="宋体"/>
                <w:szCs w:val="21"/>
              </w:rPr>
              <w:t>:2</w:t>
            </w:r>
            <w:r>
              <w:rPr>
                <w:rFonts w:ascii="宋体" w:hAnsi="宋体"/>
                <w:szCs w:val="21"/>
              </w:rPr>
              <w:t>015</w:t>
            </w:r>
            <w:r>
              <w:rPr>
                <w:rFonts w:hint="eastAsia" w:ascii="宋体" w:hAnsi="宋体"/>
                <w:szCs w:val="21"/>
              </w:rPr>
              <w:t>、ISO</w:t>
            </w:r>
            <w:r>
              <w:rPr>
                <w:rFonts w:ascii="宋体" w:hAnsi="宋体"/>
                <w:szCs w:val="21"/>
              </w:rPr>
              <w:t>14001</w:t>
            </w:r>
            <w:r>
              <w:rPr>
                <w:rFonts w:hint="eastAsia" w:ascii="宋体" w:hAnsi="宋体"/>
                <w:szCs w:val="21"/>
              </w:rPr>
              <w:t>:</w:t>
            </w:r>
            <w:r>
              <w:rPr>
                <w:rFonts w:ascii="宋体" w:hAnsi="宋体"/>
                <w:szCs w:val="21"/>
              </w:rPr>
              <w:t>2015</w:t>
            </w:r>
            <w:r>
              <w:rPr>
                <w:rFonts w:hint="eastAsia" w:ascii="宋体" w:hAnsi="宋体"/>
                <w:szCs w:val="21"/>
              </w:rPr>
              <w:t>、ISO</w:t>
            </w:r>
            <w:r>
              <w:rPr>
                <w:rFonts w:ascii="宋体" w:hAnsi="宋体"/>
                <w:szCs w:val="21"/>
              </w:rPr>
              <w:t xml:space="preserve"> 45001</w:t>
            </w:r>
            <w:r>
              <w:rPr>
                <w:rFonts w:hint="eastAsia" w:ascii="宋体" w:hAnsi="宋体"/>
                <w:szCs w:val="21"/>
              </w:rPr>
              <w:t>:</w:t>
            </w:r>
            <w:r>
              <w:rPr>
                <w:rFonts w:ascii="宋体" w:hAnsi="宋体"/>
                <w:szCs w:val="21"/>
              </w:rPr>
              <w:t>2018</w:t>
            </w:r>
            <w:r>
              <w:rPr>
                <w:rFonts w:hint="eastAsia" w:ascii="宋体" w:hAnsi="宋体"/>
                <w:szCs w:val="21"/>
              </w:rPr>
              <w:t>三个认证，且认证范围至少包括计算机软硬件、多媒体设备，得</w:t>
            </w:r>
            <w:r>
              <w:rPr>
                <w:rFonts w:hint="eastAsia" w:ascii="宋体" w:hAnsi="宋体"/>
                <w:szCs w:val="21"/>
                <w:lang w:val="en-US" w:eastAsia="zh-CN"/>
              </w:rPr>
              <w:t>1</w:t>
            </w:r>
            <w:r>
              <w:rPr>
                <w:rFonts w:hint="eastAsia" w:ascii="宋体" w:hAnsi="宋体"/>
                <w:szCs w:val="21"/>
              </w:rPr>
              <w:t>分，认证通过不全或者内容不符该项不得分。</w:t>
            </w:r>
          </w:p>
          <w:p>
            <w:pPr>
              <w:pStyle w:val="284"/>
              <w:spacing w:line="276" w:lineRule="auto"/>
              <w:rPr>
                <w:rFonts w:ascii="宋体" w:hAnsi="宋体"/>
                <w:szCs w:val="21"/>
              </w:rPr>
            </w:pPr>
            <w:r>
              <w:rPr>
                <w:rFonts w:ascii="宋体" w:hAnsi="宋体"/>
                <w:szCs w:val="21"/>
              </w:rPr>
              <w:t>2.投标人</w:t>
            </w:r>
            <w:r>
              <w:rPr>
                <w:rFonts w:hint="eastAsia" w:ascii="宋体" w:hAnsi="宋体"/>
                <w:szCs w:val="21"/>
              </w:rPr>
              <w:t>获得自主</w:t>
            </w:r>
            <w:r>
              <w:rPr>
                <w:rFonts w:ascii="宋体" w:hAnsi="宋体"/>
                <w:szCs w:val="21"/>
              </w:rPr>
              <w:t>软件著作权登记证书，每提供一个得0.2分，最高1分</w:t>
            </w:r>
            <w:r>
              <w:rPr>
                <w:rFonts w:hint="eastAsia" w:ascii="宋体" w:hAnsi="宋体"/>
                <w:szCs w:val="21"/>
              </w:rPr>
              <w:t>；</w:t>
            </w:r>
          </w:p>
          <w:p>
            <w:pPr>
              <w:pStyle w:val="284"/>
              <w:spacing w:line="276" w:lineRule="auto"/>
            </w:pPr>
            <w:r>
              <w:rPr>
                <w:rFonts w:ascii="宋体" w:hAnsi="宋体"/>
                <w:szCs w:val="21"/>
              </w:rPr>
              <w:t>3.</w:t>
            </w:r>
            <w:r>
              <w:rPr>
                <w:rFonts w:hint="eastAsia" w:ascii="宋体" w:hAnsi="宋体"/>
                <w:szCs w:val="21"/>
              </w:rPr>
              <w:t>投标人具有浙江省科学技术厅颁发“浙江省科技型中小企业证书”，</w:t>
            </w:r>
            <w:r>
              <w:rPr>
                <w:rFonts w:ascii="宋体" w:hAnsi="宋体"/>
                <w:szCs w:val="21"/>
              </w:rPr>
              <w:t>得1分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0" w:type="auto"/>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经验及业绩</w:t>
            </w: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3</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rPr>
            </w:pPr>
            <w:r>
              <w:rPr>
                <w:rFonts w:ascii="宋体" w:hAnsi="宋体"/>
                <w:szCs w:val="21"/>
              </w:rPr>
              <w:t>近三年内投标同类项目成功案例，每提供1个得1分，最多得3分，提供合同复印件、用户联系方式（合同原件备查，若复印件与原件不一致或未携带原件则不得分）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投标文件编制质量</w:t>
            </w: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1</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rPr>
            </w:pPr>
            <w:r>
              <w:rPr>
                <w:rFonts w:ascii="宋体" w:hAnsi="宋体"/>
                <w:szCs w:val="21"/>
              </w:rPr>
              <w:t>编制有序、装订整齐、书面整洁、内容详实情况，有无错误、是否按招标文件要求制作等，有错误或前后矛盾的每项扣0.5分，扣完为止。</w:t>
            </w:r>
          </w:p>
        </w:tc>
      </w:tr>
    </w:tbl>
    <w:p>
      <w:pPr>
        <w:pStyle w:val="18"/>
        <w:rPr>
          <w:rFonts w:ascii="宋体" w:hAnsi="宋体" w:cs="宋体"/>
          <w:b/>
          <w:bCs/>
          <w:sz w:val="44"/>
          <w:szCs w:val="44"/>
        </w:rPr>
        <w:sectPr>
          <w:headerReference r:id="rId11" w:type="default"/>
          <w:footerReference r:id="rId12" w:type="default"/>
          <w:pgSz w:w="11906" w:h="16838"/>
          <w:pgMar w:top="1559" w:right="1287" w:bottom="1134" w:left="1287" w:header="851" w:footer="992" w:gutter="0"/>
          <w:cols w:space="720" w:num="1"/>
          <w:titlePg/>
          <w:docGrid w:linePitch="312" w:charSpace="0"/>
        </w:sectPr>
      </w:pPr>
    </w:p>
    <w:p>
      <w:pPr>
        <w:spacing w:line="480" w:lineRule="exact"/>
        <w:jc w:val="center"/>
        <w:outlineLvl w:val="0"/>
        <w:rPr>
          <w:rFonts w:ascii="宋体" w:hAnsi="宋体" w:cs="宋体"/>
          <w:b/>
          <w:kern w:val="44"/>
          <w:sz w:val="36"/>
        </w:rPr>
      </w:pPr>
      <w:bookmarkStart w:id="10" w:name="_Toc12998"/>
      <w:bookmarkStart w:id="11" w:name="_Toc15102"/>
      <w:r>
        <w:rPr>
          <w:rFonts w:hint="eastAsia" w:ascii="宋体" w:hAnsi="宋体" w:cs="宋体"/>
          <w:b/>
          <w:kern w:val="44"/>
          <w:sz w:val="36"/>
        </w:rPr>
        <w:t>第五章   招标内容与技术要求</w:t>
      </w:r>
      <w:bookmarkEnd w:id="10"/>
      <w:bookmarkEnd w:id="11"/>
    </w:p>
    <w:p>
      <w:pPr>
        <w:ind w:firstLine="281" w:firstLineChars="100"/>
        <w:rPr>
          <w:rFonts w:ascii="宋体" w:hAnsi="宋体" w:cs="宋体"/>
          <w:b/>
          <w:sz w:val="28"/>
          <w:szCs w:val="28"/>
        </w:rPr>
      </w:pPr>
      <w:r>
        <w:rPr>
          <w:rFonts w:hint="eastAsia" w:ascii="宋体" w:hAnsi="宋体" w:cs="宋体"/>
          <w:b/>
          <w:sz w:val="28"/>
          <w:szCs w:val="28"/>
        </w:rPr>
        <w:t>一、 采购内容和数量:</w:t>
      </w:r>
    </w:p>
    <w:tbl>
      <w:tblPr>
        <w:tblStyle w:val="38"/>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725"/>
        <w:gridCol w:w="3349"/>
        <w:gridCol w:w="750"/>
        <w:gridCol w:w="75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22" w:type="dxa"/>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2725" w:type="dxa"/>
            <w:vAlign w:val="center"/>
          </w:tcPr>
          <w:p>
            <w:pPr>
              <w:jc w:val="center"/>
              <w:rPr>
                <w:rFonts w:ascii="宋体" w:hAnsi="宋体" w:cs="宋体"/>
                <w:b/>
                <w:bCs/>
                <w:sz w:val="24"/>
                <w:szCs w:val="24"/>
              </w:rPr>
            </w:pPr>
            <w:r>
              <w:rPr>
                <w:rFonts w:hint="eastAsia" w:ascii="宋体" w:hAnsi="宋体" w:cs="宋体"/>
                <w:b/>
                <w:bCs/>
                <w:sz w:val="24"/>
                <w:szCs w:val="24"/>
              </w:rPr>
              <w:t>项目名称</w:t>
            </w:r>
          </w:p>
        </w:tc>
        <w:tc>
          <w:tcPr>
            <w:tcW w:w="3349" w:type="dxa"/>
            <w:vAlign w:val="center"/>
          </w:tcPr>
          <w:p>
            <w:pPr>
              <w:jc w:val="center"/>
              <w:rPr>
                <w:rFonts w:ascii="宋体" w:hAnsi="宋体" w:cs="宋体"/>
                <w:b/>
                <w:bCs/>
                <w:sz w:val="24"/>
                <w:szCs w:val="24"/>
              </w:rPr>
            </w:pPr>
            <w:r>
              <w:rPr>
                <w:rFonts w:hint="eastAsia" w:ascii="宋体" w:hAnsi="宋体" w:cs="宋体"/>
                <w:b/>
                <w:bCs/>
                <w:sz w:val="24"/>
                <w:szCs w:val="24"/>
              </w:rPr>
              <w:t>主要技术参数要求</w:t>
            </w:r>
          </w:p>
        </w:tc>
        <w:tc>
          <w:tcPr>
            <w:tcW w:w="750" w:type="dxa"/>
            <w:vAlign w:val="center"/>
          </w:tcPr>
          <w:p>
            <w:pPr>
              <w:jc w:val="center"/>
              <w:rPr>
                <w:rFonts w:ascii="宋体" w:hAnsi="宋体" w:cs="宋体"/>
                <w:b/>
                <w:bCs/>
                <w:sz w:val="24"/>
                <w:szCs w:val="24"/>
              </w:rPr>
            </w:pPr>
            <w:r>
              <w:rPr>
                <w:rFonts w:hint="eastAsia" w:ascii="宋体" w:hAnsi="宋体" w:cs="宋体"/>
                <w:b/>
                <w:bCs/>
                <w:sz w:val="24"/>
                <w:szCs w:val="24"/>
              </w:rPr>
              <w:t>单位</w:t>
            </w:r>
          </w:p>
        </w:tc>
        <w:tc>
          <w:tcPr>
            <w:tcW w:w="750" w:type="dxa"/>
            <w:vAlign w:val="center"/>
          </w:tcPr>
          <w:p>
            <w:pPr>
              <w:jc w:val="center"/>
              <w:rPr>
                <w:rFonts w:ascii="宋体" w:hAnsi="宋体" w:cs="宋体"/>
                <w:b/>
                <w:bCs/>
                <w:sz w:val="24"/>
                <w:szCs w:val="24"/>
              </w:rPr>
            </w:pPr>
            <w:r>
              <w:rPr>
                <w:rFonts w:hint="eastAsia" w:ascii="宋体" w:hAnsi="宋体" w:cs="宋体"/>
                <w:b/>
                <w:bCs/>
                <w:sz w:val="24"/>
                <w:szCs w:val="24"/>
              </w:rPr>
              <w:t>数</w:t>
            </w:r>
          </w:p>
          <w:p>
            <w:pPr>
              <w:jc w:val="center"/>
              <w:rPr>
                <w:rFonts w:ascii="宋体" w:hAnsi="宋体" w:cs="宋体"/>
                <w:b/>
                <w:bCs/>
                <w:sz w:val="24"/>
                <w:szCs w:val="24"/>
              </w:rPr>
            </w:pPr>
            <w:r>
              <w:rPr>
                <w:rFonts w:hint="eastAsia" w:ascii="宋体" w:hAnsi="宋体" w:cs="宋体"/>
                <w:b/>
                <w:bCs/>
                <w:sz w:val="24"/>
                <w:szCs w:val="24"/>
              </w:rPr>
              <w:t>量</w:t>
            </w:r>
          </w:p>
        </w:tc>
        <w:tc>
          <w:tcPr>
            <w:tcW w:w="1733" w:type="dxa"/>
            <w:vAlign w:val="center"/>
          </w:tcPr>
          <w:p>
            <w:pPr>
              <w:jc w:val="center"/>
              <w:rPr>
                <w:rFonts w:ascii="宋体" w:hAnsi="宋体" w:cs="宋体"/>
                <w:b/>
                <w:bCs/>
                <w:sz w:val="24"/>
                <w:szCs w:val="24"/>
              </w:rPr>
            </w:pPr>
            <w:r>
              <w:rPr>
                <w:rFonts w:hint="eastAsia" w:ascii="宋体" w:hAnsi="宋体" w:cs="宋体"/>
                <w:b/>
                <w:bCs/>
                <w:sz w:val="24"/>
                <w:szCs w:val="24"/>
              </w:rPr>
              <w:t>预算总价</w:t>
            </w:r>
            <w:r>
              <w:rPr>
                <w:rFonts w:hint="eastAsia" w:ascii="宋体" w:hAnsi="宋体" w:cs="宋体"/>
                <w:b/>
                <w:bCs/>
                <w:sz w:val="24"/>
                <w:szCs w:val="24"/>
              </w:rPr>
              <w:br w:type="textWrapping"/>
            </w:r>
            <w:r>
              <w:rPr>
                <w:rFonts w:hint="eastAsia" w:ascii="宋体" w:hAnsi="宋体" w:cs="宋体"/>
                <w:b/>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exact"/>
          <w:jc w:val="center"/>
        </w:trPr>
        <w:tc>
          <w:tcPr>
            <w:tcW w:w="822" w:type="dxa"/>
            <w:vAlign w:val="center"/>
          </w:tcPr>
          <w:p>
            <w:pPr>
              <w:jc w:val="center"/>
              <w:rPr>
                <w:rFonts w:ascii="宋体" w:hAnsi="宋体" w:cs="宋体"/>
                <w:sz w:val="24"/>
                <w:szCs w:val="24"/>
              </w:rPr>
            </w:pPr>
            <w:r>
              <w:rPr>
                <w:rFonts w:hint="eastAsia" w:ascii="宋体" w:hAnsi="宋体" w:cs="宋体"/>
                <w:sz w:val="24"/>
                <w:szCs w:val="24"/>
              </w:rPr>
              <w:t>1</w:t>
            </w:r>
          </w:p>
        </w:tc>
        <w:tc>
          <w:tcPr>
            <w:tcW w:w="2725"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新安江第二小学多媒体影像设备采购</w:t>
            </w:r>
          </w:p>
        </w:tc>
        <w:tc>
          <w:tcPr>
            <w:tcW w:w="3349" w:type="dxa"/>
            <w:vAlign w:val="center"/>
          </w:tcPr>
          <w:p>
            <w:pPr>
              <w:jc w:val="center"/>
              <w:rPr>
                <w:rFonts w:ascii="宋体" w:hAnsi="宋体" w:cs="宋体"/>
                <w:sz w:val="24"/>
                <w:szCs w:val="24"/>
              </w:rPr>
            </w:pPr>
            <w:r>
              <w:rPr>
                <w:rFonts w:hint="eastAsia" w:ascii="宋体" w:hAnsi="宋体" w:cs="宋体"/>
                <w:sz w:val="24"/>
                <w:szCs w:val="24"/>
              </w:rPr>
              <w:t>详见本章“二、采购需求清单”</w:t>
            </w:r>
          </w:p>
        </w:tc>
        <w:tc>
          <w:tcPr>
            <w:tcW w:w="750" w:type="dxa"/>
            <w:vAlign w:val="center"/>
          </w:tcPr>
          <w:p>
            <w:pPr>
              <w:jc w:val="center"/>
              <w:rPr>
                <w:rFonts w:ascii="宋体" w:hAnsi="宋体" w:cs="宋体"/>
                <w:sz w:val="24"/>
                <w:szCs w:val="24"/>
              </w:rPr>
            </w:pPr>
            <w:r>
              <w:rPr>
                <w:rFonts w:hint="eastAsia" w:ascii="宋体" w:hAnsi="宋体" w:cs="宋体"/>
                <w:sz w:val="24"/>
                <w:szCs w:val="24"/>
              </w:rPr>
              <w:t>项</w:t>
            </w:r>
          </w:p>
        </w:tc>
        <w:tc>
          <w:tcPr>
            <w:tcW w:w="750" w:type="dxa"/>
            <w:vAlign w:val="center"/>
          </w:tcPr>
          <w:p>
            <w:pPr>
              <w:jc w:val="center"/>
              <w:rPr>
                <w:rFonts w:ascii="宋体" w:hAnsi="宋体" w:cs="宋体"/>
                <w:sz w:val="24"/>
                <w:szCs w:val="24"/>
              </w:rPr>
            </w:pPr>
            <w:r>
              <w:rPr>
                <w:rFonts w:hint="eastAsia" w:ascii="宋体" w:hAnsi="宋体" w:cs="宋体"/>
                <w:sz w:val="24"/>
                <w:szCs w:val="24"/>
              </w:rPr>
              <w:t>1</w:t>
            </w:r>
          </w:p>
        </w:tc>
        <w:tc>
          <w:tcPr>
            <w:tcW w:w="1733" w:type="dxa"/>
            <w:vAlign w:val="center"/>
          </w:tcPr>
          <w:p>
            <w:pPr>
              <w:jc w:val="center"/>
              <w:rPr>
                <w:rFonts w:ascii="宋体" w:hAnsi="宋体" w:cs="宋体"/>
                <w:sz w:val="24"/>
                <w:szCs w:val="24"/>
              </w:rPr>
            </w:pPr>
            <w:r>
              <w:rPr>
                <w:rFonts w:hint="eastAsia" w:ascii="宋体" w:hAnsi="宋体" w:cs="宋体"/>
                <w:bCs/>
                <w:sz w:val="24"/>
                <w:szCs w:val="24"/>
              </w:rPr>
              <w:t>2877145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129" w:type="dxa"/>
            <w:gridSpan w:val="6"/>
            <w:vAlign w:val="center"/>
          </w:tcPr>
          <w:p>
            <w:pPr>
              <w:rPr>
                <w:rFonts w:ascii="宋体" w:hAnsi="宋体" w:cs="宋体"/>
                <w:sz w:val="24"/>
                <w:szCs w:val="24"/>
              </w:rPr>
            </w:pPr>
            <w:r>
              <w:rPr>
                <w:rFonts w:hint="eastAsia" w:ascii="宋体" w:hAnsi="宋体" w:cs="宋体"/>
                <w:b/>
                <w:bCs/>
                <w:sz w:val="24"/>
                <w:szCs w:val="24"/>
              </w:rPr>
              <w:t>预算总价：人民币（大写）贰佰捌拾柒万柒仟壹佰肆拾伍元整。 (￥2877145)</w:t>
            </w:r>
          </w:p>
        </w:tc>
      </w:tr>
    </w:tbl>
    <w:p>
      <w:pPr>
        <w:spacing w:line="480" w:lineRule="exact"/>
        <w:ind w:firstLine="482" w:firstLineChars="200"/>
        <w:rPr>
          <w:rFonts w:ascii="宋体" w:hAnsi="宋体" w:cs="宋体"/>
          <w:b/>
          <w:sz w:val="24"/>
          <w:szCs w:val="24"/>
        </w:rPr>
      </w:pPr>
      <w:r>
        <w:rPr>
          <w:rFonts w:hint="eastAsia" w:ascii="宋体" w:hAnsi="宋体" w:cs="宋体"/>
          <w:b/>
          <w:sz w:val="24"/>
          <w:szCs w:val="24"/>
        </w:rPr>
        <w:t>注：1、以上总金额包括生产、供货、运输、装卸、安装调试、税金、保险、备品备件、配件、附件、培训、验收、辅助工作及售后服务等完成本项目的所有费用。</w:t>
      </w:r>
    </w:p>
    <w:p>
      <w:pPr>
        <w:spacing w:line="460" w:lineRule="exact"/>
        <w:rPr>
          <w:rFonts w:ascii="宋体" w:hAnsi="宋体" w:cs="宋体"/>
          <w:b/>
          <w:sz w:val="24"/>
          <w:szCs w:val="24"/>
        </w:rPr>
      </w:pPr>
    </w:p>
    <w:p>
      <w:pPr>
        <w:spacing w:line="460" w:lineRule="exact"/>
        <w:rPr>
          <w:rFonts w:ascii="宋体" w:hAnsi="宋体" w:cs="宋体"/>
          <w:b/>
          <w:sz w:val="24"/>
          <w:szCs w:val="24"/>
        </w:rPr>
      </w:pPr>
    </w:p>
    <w:p>
      <w:pPr>
        <w:spacing w:line="460" w:lineRule="exact"/>
        <w:rPr>
          <w:rFonts w:ascii="宋体" w:hAnsi="宋体" w:cs="宋体"/>
          <w:b/>
          <w:sz w:val="24"/>
          <w:szCs w:val="24"/>
        </w:rPr>
      </w:pPr>
    </w:p>
    <w:p>
      <w:pPr>
        <w:spacing w:line="460" w:lineRule="exact"/>
        <w:rPr>
          <w:rFonts w:ascii="宋体" w:hAnsi="宋体" w:cs="宋体"/>
          <w:b/>
          <w:sz w:val="24"/>
          <w:szCs w:val="24"/>
        </w:rPr>
      </w:pPr>
    </w:p>
    <w:p>
      <w:pPr>
        <w:spacing w:line="460" w:lineRule="exact"/>
        <w:rPr>
          <w:rFonts w:ascii="宋体" w:hAnsi="宋体" w:cs="宋体"/>
          <w:b/>
          <w:sz w:val="24"/>
          <w:szCs w:val="24"/>
        </w:rPr>
      </w:pPr>
    </w:p>
    <w:p>
      <w:pPr>
        <w:spacing w:line="460" w:lineRule="exact"/>
        <w:rPr>
          <w:rFonts w:ascii="宋体" w:hAnsi="宋体" w:cs="宋体"/>
          <w:b/>
          <w:sz w:val="24"/>
          <w:szCs w:val="24"/>
        </w:rPr>
        <w:sectPr>
          <w:pgSz w:w="11906" w:h="16838"/>
          <w:pgMar w:top="720" w:right="720" w:bottom="720" w:left="720" w:header="851" w:footer="992" w:gutter="0"/>
          <w:cols w:space="720" w:num="1"/>
          <w:titlePg/>
          <w:docGrid w:linePitch="312" w:charSpace="0"/>
        </w:sectPr>
      </w:pPr>
    </w:p>
    <w:p>
      <w:pPr>
        <w:spacing w:line="460" w:lineRule="exact"/>
        <w:rPr>
          <w:rFonts w:ascii="宋体" w:hAnsi="宋体" w:cs="宋体"/>
          <w:b/>
          <w:sz w:val="24"/>
          <w:szCs w:val="24"/>
        </w:rPr>
      </w:pPr>
      <w:r>
        <w:rPr>
          <w:rFonts w:hint="eastAsia" w:ascii="宋体" w:hAnsi="宋体" w:cs="宋体"/>
          <w:b/>
          <w:sz w:val="24"/>
          <w:szCs w:val="24"/>
        </w:rPr>
        <w:t>二、采购需求清单</w:t>
      </w:r>
    </w:p>
    <w:tbl>
      <w:tblPr>
        <w:tblStyle w:val="38"/>
        <w:tblW w:w="15655" w:type="dxa"/>
        <w:tblInd w:w="0" w:type="dxa"/>
        <w:tblLayout w:type="fixed"/>
        <w:tblCellMar>
          <w:top w:w="0" w:type="dxa"/>
          <w:left w:w="0" w:type="dxa"/>
          <w:bottom w:w="0" w:type="dxa"/>
          <w:right w:w="0" w:type="dxa"/>
        </w:tblCellMar>
      </w:tblPr>
      <w:tblGrid>
        <w:gridCol w:w="505"/>
        <w:gridCol w:w="2215"/>
        <w:gridCol w:w="8097"/>
        <w:gridCol w:w="681"/>
        <w:gridCol w:w="505"/>
        <w:gridCol w:w="770"/>
        <w:gridCol w:w="142"/>
        <w:gridCol w:w="836"/>
        <w:gridCol w:w="142"/>
        <w:gridCol w:w="1762"/>
      </w:tblGrid>
      <w:tr>
        <w:tblPrEx>
          <w:tblCellMar>
            <w:top w:w="0" w:type="dxa"/>
            <w:left w:w="0" w:type="dxa"/>
            <w:bottom w:w="0" w:type="dxa"/>
            <w:right w:w="0" w:type="dxa"/>
          </w:tblCellMar>
        </w:tblPrEx>
        <w:trPr>
          <w:trHeight w:val="7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序号</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设备名称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技</w:t>
            </w:r>
            <w:r>
              <w:rPr>
                <w:rStyle w:val="70"/>
                <w:rFonts w:hint="eastAsia" w:ascii="宋体" w:hAnsi="宋体" w:eastAsia="宋体" w:cs="宋体"/>
                <w:lang w:bidi="ar"/>
              </w:rPr>
              <w:t xml:space="preserve"> </w:t>
            </w:r>
            <w:r>
              <w:rPr>
                <w:rFonts w:hint="eastAsia" w:ascii="宋体" w:hAnsi="宋体" w:cs="宋体"/>
                <w:b/>
                <w:color w:val="000000"/>
                <w:kern w:val="0"/>
                <w:sz w:val="24"/>
                <w:szCs w:val="24"/>
                <w:lang w:bidi="ar"/>
              </w:rPr>
              <w:t>术</w:t>
            </w:r>
            <w:r>
              <w:rPr>
                <w:rStyle w:val="70"/>
                <w:rFonts w:hint="eastAsia" w:ascii="宋体" w:hAnsi="宋体" w:eastAsia="宋体" w:cs="宋体"/>
                <w:lang w:bidi="ar"/>
              </w:rPr>
              <w:t xml:space="preserve"> </w:t>
            </w:r>
            <w:r>
              <w:rPr>
                <w:rFonts w:hint="eastAsia" w:ascii="宋体" w:hAnsi="宋体" w:cs="宋体"/>
                <w:b/>
                <w:color w:val="000000"/>
                <w:kern w:val="0"/>
                <w:sz w:val="24"/>
                <w:szCs w:val="24"/>
                <w:lang w:bidi="ar"/>
              </w:rPr>
              <w:t>要</w:t>
            </w:r>
            <w:r>
              <w:rPr>
                <w:rStyle w:val="70"/>
                <w:rFonts w:hint="eastAsia" w:ascii="宋体" w:hAnsi="宋体" w:eastAsia="宋体" w:cs="宋体"/>
                <w:lang w:bidi="ar"/>
              </w:rPr>
              <w:t xml:space="preserve"> </w:t>
            </w:r>
            <w:r>
              <w:rPr>
                <w:rFonts w:hint="eastAsia" w:ascii="宋体" w:hAnsi="宋体" w:cs="宋体"/>
                <w:b/>
                <w:color w:val="000000"/>
                <w:kern w:val="0"/>
                <w:sz w:val="24"/>
                <w:szCs w:val="24"/>
                <w:lang w:bidi="ar"/>
              </w:rPr>
              <w:t>求</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单位</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数量</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预算单价</w:t>
            </w:r>
            <w:r>
              <w:rPr>
                <w:rStyle w:val="70"/>
                <w:rFonts w:hint="eastAsia" w:ascii="宋体" w:hAnsi="宋体" w:eastAsia="宋体" w:cs="宋体"/>
                <w:lang w:bidi="ar"/>
              </w:rPr>
              <w:t>(</w:t>
            </w:r>
            <w:r>
              <w:rPr>
                <w:rFonts w:hint="eastAsia" w:ascii="宋体" w:hAnsi="宋体" w:cs="宋体"/>
                <w:b/>
                <w:color w:val="000000"/>
                <w:kern w:val="0"/>
                <w:sz w:val="24"/>
                <w:szCs w:val="24"/>
                <w:lang w:bidi="ar"/>
              </w:rPr>
              <w:t>元</w:t>
            </w:r>
            <w:r>
              <w:rPr>
                <w:rStyle w:val="70"/>
                <w:rFonts w:hint="eastAsia" w:ascii="宋体" w:hAnsi="宋体" w:eastAsia="宋体" w:cs="宋体"/>
                <w:lang w:bidi="ar"/>
              </w:rPr>
              <w:t>)</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预算总价(元)</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推荐品牌</w:t>
            </w:r>
          </w:p>
        </w:tc>
      </w:tr>
      <w:tr>
        <w:tblPrEx>
          <w:tblCellMar>
            <w:top w:w="0" w:type="dxa"/>
            <w:left w:w="0" w:type="dxa"/>
            <w:bottom w:w="0" w:type="dxa"/>
            <w:right w:w="0" w:type="dxa"/>
          </w:tblCellMar>
        </w:tblPrEx>
        <w:trPr>
          <w:trHeight w:val="4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一</w:t>
            </w:r>
          </w:p>
        </w:tc>
        <w:tc>
          <w:tcPr>
            <w:tcW w:w="1515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办公电脑</w:t>
            </w:r>
          </w:p>
        </w:tc>
      </w:tr>
      <w:tr>
        <w:tblPrEx>
          <w:tblCellMar>
            <w:top w:w="0" w:type="dxa"/>
            <w:left w:w="0" w:type="dxa"/>
            <w:bottom w:w="0" w:type="dxa"/>
            <w:right w:w="0" w:type="dxa"/>
          </w:tblCellMar>
        </w:tblPrEx>
        <w:trPr>
          <w:trHeight w:val="5669" w:hRule="atLeast"/>
        </w:trPr>
        <w:tc>
          <w:tcPr>
            <w:tcW w:w="5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办公笔记本</w:t>
            </w:r>
          </w:p>
        </w:tc>
        <w:tc>
          <w:tcPr>
            <w:tcW w:w="809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商用便携式计算机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1.★处理器：Inteli5-10210U处理器或以上；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2.★内存：≥8GDDR4-2400Mhz，双内存插槽，最高可支持32G或以上；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3.★硬盘：≥512GM.2PCIeNVMESSD固态硬盘，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4.显卡：2GDDR5</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MX</w:t>
            </w:r>
            <w:r>
              <w:rPr>
                <w:rFonts w:ascii="宋体" w:hAnsi="宋体" w:cs="宋体"/>
                <w:color w:val="000000"/>
                <w:kern w:val="0"/>
                <w:sz w:val="22"/>
                <w:szCs w:val="22"/>
                <w:lang w:bidi="ar"/>
              </w:rPr>
              <w:t>230</w:t>
            </w:r>
            <w:r>
              <w:rPr>
                <w:rFonts w:hint="eastAsia" w:ascii="宋体" w:hAnsi="宋体" w:cs="宋体"/>
                <w:color w:val="000000"/>
                <w:kern w:val="0"/>
                <w:sz w:val="22"/>
                <w:szCs w:val="22"/>
                <w:lang w:bidi="ar"/>
              </w:rPr>
              <w:t>独立显卡；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5.显示屏：14英寸1</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:9高清防眩光超薄LED屏；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6.网卡：支持wifi6协议，内置无线网卡和蓝牙5</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7.摄像头和麦克风：标配高清摄像头和双阵列麦克风；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8.接口：2个USB3.1Gen1端口，1个USB3.1Type-C端口，1个HDMI，1个RJ45；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9.电池：长寿命锂电池≥40Whr，支持快速充电技术；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ascii="宋体" w:hAnsi="宋体" w:cs="宋体"/>
                <w:color w:val="000000"/>
                <w:kern w:val="0"/>
                <w:sz w:val="22"/>
                <w:szCs w:val="22"/>
                <w:lang w:bidi="ar"/>
              </w:rPr>
              <w:t>0</w:t>
            </w:r>
            <w:r>
              <w:rPr>
                <w:rFonts w:hint="eastAsia" w:ascii="宋体" w:hAnsi="宋体" w:cs="宋体"/>
                <w:color w:val="000000"/>
                <w:kern w:val="0"/>
                <w:sz w:val="22"/>
                <w:szCs w:val="22"/>
                <w:lang w:bidi="ar"/>
              </w:rPr>
              <w:t>.安全性：具有指纹识别功能，物理防窥功能；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.体积：重量≤1.6KG，厚度≤20mm（此数据以原厂产品彩页为准）；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.操作系统：预装正版windows10操作系统；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.资质认证：</w:t>
            </w:r>
            <w:r>
              <w:rPr>
                <w:rFonts w:ascii="宋体" w:hAnsi="宋体" w:cs="宋体"/>
                <w:color w:val="000000"/>
                <w:kern w:val="0"/>
                <w:sz w:val="22"/>
                <w:szCs w:val="22"/>
                <w:lang w:bidi="ar"/>
              </w:rPr>
              <w:t>8</w:t>
            </w:r>
            <w:r>
              <w:rPr>
                <w:rFonts w:hint="eastAsia" w:ascii="宋体" w:hAnsi="宋体" w:cs="宋体"/>
                <w:color w:val="000000"/>
                <w:kern w:val="0"/>
                <w:sz w:val="22"/>
                <w:szCs w:val="22"/>
                <w:lang w:bidi="ar"/>
              </w:rPr>
              <w:t>0万小时或以上无故障运行认证、通过防辐射抗扰度4Kv浪涌冲击认证、低于22分贝噪音检测认证、超宽电压（90-264v）适应性检测认证。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.配件：同品牌笔记本电脑包、USB光电鼠标；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.服务：</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年原厂免费质保（电池一年保修），供货时提供原厂</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405000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联想、惠普、戴尔</w:t>
            </w:r>
          </w:p>
        </w:tc>
      </w:tr>
      <w:tr>
        <w:tblPrEx>
          <w:tblCellMar>
            <w:top w:w="0" w:type="dxa"/>
            <w:left w:w="0" w:type="dxa"/>
            <w:bottom w:w="0" w:type="dxa"/>
            <w:right w:w="0" w:type="dxa"/>
          </w:tblCellMar>
        </w:tblPrEx>
        <w:trPr>
          <w:trHeight w:val="480" w:hRule="atLeast"/>
        </w:trPr>
        <w:tc>
          <w:tcPr>
            <w:tcW w:w="108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405000元</w:t>
            </w:r>
          </w:p>
        </w:tc>
      </w:tr>
      <w:tr>
        <w:tblPrEx>
          <w:tblCellMar>
            <w:top w:w="0" w:type="dxa"/>
            <w:left w:w="0" w:type="dxa"/>
            <w:bottom w:w="0" w:type="dxa"/>
            <w:right w:w="0" w:type="dxa"/>
          </w:tblCellMar>
        </w:tblPrEx>
        <w:trPr>
          <w:trHeight w:val="780" w:hRule="atLeast"/>
        </w:trPr>
        <w:tc>
          <w:tcPr>
            <w:tcW w:w="5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二</w:t>
            </w:r>
          </w:p>
        </w:tc>
        <w:tc>
          <w:tcPr>
            <w:tcW w:w="15150" w:type="dxa"/>
            <w:gridSpan w:val="9"/>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多媒体系统（普通教室）</w:t>
            </w:r>
          </w:p>
        </w:tc>
      </w:tr>
      <w:tr>
        <w:tblPrEx>
          <w:tblCellMar>
            <w:top w:w="0" w:type="dxa"/>
            <w:left w:w="0" w:type="dxa"/>
            <w:bottom w:w="0" w:type="dxa"/>
            <w:right w:w="0" w:type="dxa"/>
          </w:tblCellMar>
        </w:tblPrEx>
        <w:trPr>
          <w:trHeight w:val="25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激光超短焦投影机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1.★纯激光光源,光源不含Hg（不接受混合光源）；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2.单机物理分辨率大于等于1920×1080，长宽比16:9，播放1080P视频画面无变形或者缩小；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3.投影90吋16:9标准画面距离：镜头到画面距离≤47CM；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4.电动聚焦镜头，避免调整聚焦时碰触机身，使机身位移；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5.对比度≥500000:1，提供国家级别检验中心测试证书复印件验证；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6.色域覆盖面积大于REC.709标准，提供国家级别检验中心测试证书复印件验证；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 ★亮度≥4300流明；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8.整机IP5X级增压防尘设计，光源系统IP6X级密闭设计，为降低后续使用成本，要求无滤网设计；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9.支持多种3D模式，配合软件支持3D课堂；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10.带IR3Dout接口，支持虚拟现实教学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11.噪音≤35dB(A),提供国家级别检验中心测试证书复印件验证；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12.光源寿命≥25000小时，提供官网链接或加盖原厂公章彩页；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13.支持网络RJ45控制，通过Windows版客户端软件控制投影机的开机、关机、切换输入源等功能，同时提供接口给第三方软件或物联网控制端；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14.输入：HDMI≥2;VGA≥2;Video(RCA)≥1;Audioin≥2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输出：VGA≥1（与VGAin2共用）；Audioout≥1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控制：USB接口≥1；RS232≥1；RJ45≥1；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15.自动信号搜索，画面自动翻转，画面拼接功能（至少支持2*2拼接）；垂直方向自动梯形校正功能，具备水平梯形校正及四角校正功能；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16.平均无故障时间大于等于100000小时；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17.含原厂投影机吊架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w:t>
            </w:r>
            <w:r>
              <w:rPr>
                <w:rFonts w:hint="eastAsia"/>
              </w:rPr>
              <w:t xml:space="preserve"> </w:t>
            </w:r>
            <w:r>
              <w:rPr>
                <w:rFonts w:hint="eastAsia" w:ascii="宋体" w:hAnsi="宋体" w:cs="宋体"/>
                <w:color w:val="000000"/>
                <w:kern w:val="0"/>
                <w:sz w:val="22"/>
                <w:szCs w:val="22"/>
                <w:lang w:bidi="ar"/>
              </w:rPr>
              <w:t>5年原厂免费质保（3个月包换），供货时提供原厂5年免费质保（3个月包换）证明材料。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384</w:t>
            </w:r>
            <w:r>
              <w:rPr>
                <w:rFonts w:hint="eastAsia" w:ascii="宋体" w:hAnsi="宋体" w:cs="宋体"/>
                <w:color w:val="000000"/>
                <w:kern w:val="0"/>
                <w:sz w:val="22"/>
                <w:szCs w:val="22"/>
                <w:lang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光峰、爱普生、东方中原</w:t>
            </w:r>
          </w:p>
        </w:tc>
      </w:tr>
      <w:tr>
        <w:tblPrEx>
          <w:tblCellMar>
            <w:top w:w="0" w:type="dxa"/>
            <w:left w:w="0" w:type="dxa"/>
            <w:bottom w:w="0" w:type="dxa"/>
            <w:right w:w="0" w:type="dxa"/>
          </w:tblCellMar>
        </w:tblPrEx>
        <w:trPr>
          <w:trHeight w:val="38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100寸白板一体机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整体设计要求：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要求左侧(或右侧)是白板一体机模块，可以结合投影机可以实现电子白板触摸和书写功能，右侧(或左侧)是绿板模块可以实现粉笔书写。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两个功能模块可以拼接式设计，也可以一体化式设计。拼接式设计要求两个功能模块外观风格一致，高度一致，边框拼缝≤2mm。</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白板一体机模块：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白板一体机模块设计要求：整机采用一体化壁挂式安装，包含红外电子白板、智能中控、电脑主机、功放、音箱、高拍仪/展台等功能模块，集成在整个框架内；无外露连接线，非单侧或双侧箱体连接式结构，整机安装无需白板触摸线、展台数据线、中控等布线施工；一体化的设计使得各模块间有更好的兼容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★2.产品尺寸：外观尺寸≥101英寸,显示比例：16：9。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3.板体材质：面板采用纳米烤漆涂层钢板，背板采用铝蜂窝板，边框采用铝合金材料，坚固耐用，不易变形。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★4.内置音箱：功率≥30W，喇叭口朝向正面。（需提供权威检测机构出具的检测报告）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5.一键锁屏：前置面板有锁定键，按下后锁住屏幕触摸和按键面板按键和展台锁，通过刷卡或组合按键解锁，防止课间学生操作白板一体机。（需提供权威检测机构出具的检测报告）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6.IC卡及投影机控制码自主添加功能：在中控管理中可自主添加IC卡，自主添加任意型号投影机串口控制码实现一键开关投影机功能。（需提供权威检测机构出具的检测报告）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7.前置小门：前置带锁扣小门，关闭时锁住小门，再按一下小门弹出，实现对前接口的隐藏保护。（需提供权威检测机构出具的检测报告）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8.前置中控面板设计：前面板具有音量-、音量+、静音、锁定、展台/高拍仪、信号源、开关机等物理按键，支持一键开机、关机、锁屏、打开展台/高拍仪。（需提供权威检测机构出具的检测报告）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9.前置接口氛围灯：打开前置接口小门，蓝色氛围灯亮起；关闭小门，氛围灯熄灭，达到美化白板一体机同时为前置接口加亮的功能。（需提供权威检测机构出具的检测报告）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红外白板：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1.触摸技术：红外线感应技术；触摸有效识别高度低于3mm，书写延迟＜80ms，光标速度180点/秒，触摸屏单点触摸响应时间≦7ms，定位精度±0.1mm。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2.定位及分辨率:定位精度＜2mm，具有4点、5点、9点等多种定位方式；分辨率：32768*32768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3.抗光干扰性要求：在各个角度用白炽灯发射200KLX光强度的光进行干扰，然后进行正常书写功能测试灯与屏的垂直距离为1M。（需提供权威检测机构出具的检测报告）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4.防扭曲功能：即使损坏部分元器件或触摸屏扭曲变形达到10度，仍然可以多点触控，触摸屏抗扭曲，在部分元器件与机身分离的情况下仍可正常多点触控。（需提供权威检测机构出具的检测报告）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5.触摸及书写特性：红外感应技术，10点触控，支持安卓、windows系统10笔以上同时书写。（需提供权威检测机构出具的检测报告）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手势识别：支持握拳和手掌当作板擦来擦除书写内容，支持边写边擦功能；无需打开白板软件情况下，支持操作系统的手势识别，Windows其他程序也能识别，例如PPT能识别笔快速滑动翻页、通过windows“图片查看器”可用双手缩放图片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绿板：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1.粉笔可书写区域尺寸≥90英寸，绿板区域采用整块式设计，不能分块拼接或推拉。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2.绿板面板材料采用搪瓷涂层绿色钢板，板芯采用铝蜂窝芯设计，坚固耐用，粉笔书写。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3.托盘：可将粉笔或水笔等书写工具放置于前置的托盘中，方便用户放置书写工具。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教学软件：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1.一键切换，保留操作背景：可以一键切换书写和鼠标的两种状态，切换为书写状态时，保留用户原来操作的背景，不是新建一个页面。教师可快速对当前页面进行批注。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页面扩展和漫游功能：白板软件支持至少以下各种手势识别功能，包括手指左右滑动可以翻页、手指拖拽页面可实现页面扩展和漫游，手指变手掌可以擦除、两指手势可以对绘制的几何图形进行放大、缩小和旋转，手指甩动可以甩出图片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3.边写边擦：在白板软件页面上，可同时用一只手书写，另一只手握拳擦除。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书写标注功能：提供至少包括普通笔、工具笔、荧光笔、强调笔、毛笔、排笔、钢笔、纹理笔、竹笔在内10种笔，毛笔字的书写要求具有笔锋，工具笔除了可书写外，还可以实现探照灯、放大镜功能；强调笔闪烁后消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图形绘制和填充：可以绘制包含矩形、椭圆形、圆形、平行四边形、梯形、三角形、角和弧线等9种常用图形；绘制的图形都可以实现大小调整、旋转、删除、锁定、复制、切片、图层调整、镜像、克隆、导出等功能；能对绘图的几何图形的内封闭区域进行颜色填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手写识别及汉字教学功能：为方便教师展开汉字教学，教师可以在白板任意空白位置上（不需要老师事先拉出田字格等特殊背景）手写一个汉字，系统可以自动识别为正规文本。老师可以马上点击进入对该汉字进行学习，要求汉字学习具备偏旁部首说明、多音字拼读、笔顺描述和组词功能，并具备汉字的描红功能，要求软件可以模拟汉字的真实描红，能根据用户书写笔顺是否正确显示或不显示描红笔划。汉字教学提供按拼音首字母归类，例如屏幕上显示该字母下100或以上汉字，任意选取一个汉字可实现上述汉字学习功能，并支持关键字搜索。(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7.隐藏对象功能：选中一个白板软件页面上的对象，可以设置为隐藏模式，通过刮开的方式呈现隐藏的对象，也可以设置为图标形式，点击可呈现隐藏的对象,增加课堂趣味性。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课件背景设置：提供常用白、绿、黑颜色背景、提供至少15种常用作业本背景模板，包括：田字拼音、汉语拼音、拼音写字、单行簿、双行簿、课文簿、作文簿、数学簿、数字簿、小、中大方格、田字格、英文、五线谱等教学背景；并支持自定义背景颜色、背景图片，可设置背景图片放置方式，包括平铺、拉伸、居中等方式，可设置默认页面背景，之后新增的页面都为默认页面背景，自定义的背景图片设为默认背景可保存在白板软件里，方便调用，适用于各种教学场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调用教学应用：软件提供的教学应用应至少包括：学科工具、资源、实验、题库、思维导图、课堂游戏、VR全景及其他可自定义嵌入的应用。每种教学应用都提供文字和图标标识，通过标签页面和主页图标均可切换不同种类教学应用。提供右键把应用插入到白板软件的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10.17.教学辅助工具：至少有70种以上的教学展示辅助工具，并提供工具名称清单列表。常用工具：包括屏幕幕布、浏览器、软键盘、计时器、探照灯、屏幕截图、屏幕录制、放大镜、手写输入、摄像头/展台、计算器、图片工具、魔术贴纸、VR全景图、转盘、屏幕锁定、三角板（双游标）、直尺（双游标）、量角器（双游标）、圆规。通用类辅助工具：包括国旗与首都、动物、名著、柱状图、条形图、饼图、万年历、历史大事件、交通规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绘图工具种类:绘图工具种类有：通用：形状、箭头、线条、国家地图、国旗；金融：银行、保险、证券；电力：安全标志、其他；交通：交通标志；生活：天气图标；公共安全：消防、军队符号；教育：语文、数学、物理、化学、生物、地理、历史、美术、体育在内9门学科，共计900个以上学科绘图工具。(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思维导图：可制作思维导图，提供编辑面板，可收起或展开，提供中英文，可切换编辑和禁用编辑状态，提供多种主题，按键有文字标识，容易理解。要求功能有：新增节点、删除节点、节点链接图片、缩放导图、自定义字体颜色和节点背景颜色、自定义思维导图背景图和节点背景图、可以收起和展开节点、可保存为图片或可再编辑文件，两种都可以插入到白板页面里，提供思维导图列表，点击可打开已有思维导图文件重新编辑，在白板页面上点击插入的思维导图，可再次编辑和查看，并可保存为课件。可打开文件所在的文件夹，方便取走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图片素材种类：软件提供包括学科符号等各类型图片5000幅以上，学科和种类包括英语、数学、化学、物理、地理、生物、美术、音乐、科学、地图、标志、国旗、自然、植物、职业、宗教、科学、季节、运动、符号、科技、工具、运输、旅行等40种以上教学过程会用到的常用素材图片；图片的格式包括jpg、png、bmp、gif。(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图片素材功能：拖动素材库中的图片可以直接插入到白板软件页面中，也支持多选图片批量插入白板软件页面中，可以逐一或批量删除图片，可以通过拖动图片白板软件页面或文件夹、桌面的图片进去素材库，可把图片添加到素材库中。素材库中的图片可以进行放大缩小。可以直接选择电脑里面的图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配套试题工具：配套试题工具，可按年份、地区和题型的结构树形式归类展开试题，可以打开查看、编辑试题内容和试题答案，可以新增和批量导入试题；提供过往2年全国各地高考、主要城市中考试题和答案；并配有小学课后练习题库；配套试题工具有统计和查询功能：系统提供12种组合条件用于统计和查询，统计和查询结果可以导出和打印；可以查看各题型题目的分布情况，各类型题目数量和所占比例，支持用饼图方式呈现题型分布情况；配套试题工具提供组卷功能：教师可以使用配套的组卷功能生成试卷供学生练习和考核，生成的试卷，可以进行试题替换、重新组卷、生成AB卷或平行卷相关功能，还可以设置试题排序、卷头编辑功能。组卷后可以导出试卷（含答案或不含答案）或只导出答案，组卷后也可存入试卷库中。(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配套实验软件：提供仿真实验软件，能通过白板软件直接调用，实验包括高中物理、高中化学、高中生物、初中物理、初中化学、初中生物、小学科学、幼儿科学、卡诺图、数字逻辑、几何软件，高中、初中、小学和幼儿的实验。仿真实验软件里共计有600个以上的仿真实验。(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配套教学资源：提供共20门科目的资源，能通过白板软件直接调用，20门科目分别是：初中语文、数学、英语、生物、化学、物理、地理、历史；高中语文、数学、生物、化学、物理、地理、历史；小学科学、数学、语文、英语；幼儿资源；幼儿资源包括：健康、语言、社会、科学、艺术共5类资源。(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软件网络资源：在白板软件里提供网上资源中心的链接，打开并登录网络教学资源网站，资源网站提供JAVA动态交互课件、Flash动画课件，另外提供图片、视频、课件等类别的多媒体资源，在平台首页智能统计和显示各类别的资源总数。资源网站提供7000个以上的Java动态交互课件、12000个以上的Flash动画课件，共计资源总数达到144000个以上。提供包括元数据规范、人教版、北师大版、粤教版、苏教版、岳麓版、华师大版教材的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19.央馆网络资源：在白板软件里提供央馆资源网站的链接，可登录央馆资源网站，可下载央馆资源网站的资源。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20.PPT/Word标注和保存：可以通过白板软件直接打开PPT、Word、excel等OFFICE文档，并能使用白板软件直接进行书写、批注、绘图等操作，可以将批注内容准确保存在word、ppt、excel等office相应的文件中，批注内容不错位，能独立对每个批注进行编辑。(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手写识别：支持手写识别功能：可以识别中文简体、繁体、英文、数字、简单运算公式，标点符号、常用特殊符号，支持英文单词、整句的识别；支持中文单字、词组以及整句的识别；并可对输入文字的大小、颜色、字体、对齐格式进行编辑，并可以任意移动、旋转、再编辑。并可实现其发音、汉语拼音、英文单词音标标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页面功能：支持删除单页面和所选页面；支持浏览页面、调整页面顺序；将操作过的页面自动保存，可随时调看之前操作的任何页面，并能再次修改；能导出单页面、所选页面、全部页面，并保存为多种图片格式，如gif,jpg,bmp,png等。支持页面缩放和设置页面显示比例。可以一键删除无内容页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23.云存储云下载课件：提供白板课件上传和下载的功能，无需打开云平台，直接在白板软件里把白板课件上传到云平台保存，从白板软件页面下载已保存在云平台的白板课件，支持下载后打开下载文件夹或直接读取白板课件，支持快速登录和注册云平台用户和操作忘记密码，方便教师利用网络存储和下载课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24.无线传屏和镜像功能：安大屏接收端可同时连接20个移动设备，并可对各个移动设备进行连接管理，要求：(需提供权威检测机构出具的检测报告)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①.在大屏幕可以打开已连接的移动设备列表窗口，查看每个设备名称。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②.提供对每个电脑客户端画面预览的开关，打开则可以观看某个电脑客户端设备的动态画面，例如电脑客户端正在播放一个视频。可以一键开启所有电脑客户端的画面预览，观看所有电脑客户端的动态画面。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③.随时可以断开其说中某个设备的连接。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④.可以同时选择多个移动设备，批量向这些设备进行文件传送。也可以接收由移动设备传送过来的文件，并可以选择保存、打开或直接插入白板页面三种操作。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1.⑤.可以显示同一网段内的其他大屏幕接收端列表，并可以将某个移动设备转投到其他大屏幕接收端。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其他要求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产品通过中国强制性产品认证（3C），提供证书复印件；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产品通过节能产品认证，提供证书复印件；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国家电子信息产品质量监督检验中心出具的MTBF可靠性试验报告≥100000h，提供原厂证书复印件；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光峰、东方中原、IQ</w:t>
            </w:r>
          </w:p>
        </w:tc>
      </w:tr>
      <w:tr>
        <w:tblPrEx>
          <w:tblCellMar>
            <w:top w:w="0" w:type="dxa"/>
            <w:left w:w="0" w:type="dxa"/>
            <w:bottom w:w="0" w:type="dxa"/>
            <w:right w:w="0" w:type="dxa"/>
          </w:tblCellMar>
        </w:tblPrEx>
        <w:trPr>
          <w:trHeight w:val="909"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多媒体电脑</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商用计算机；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CPU≥英特尔酷睿i5-10500T (6-核, 12MB 缓存, 2.3GHz )处理器或以上；</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内存≥8G（单条）DDR4 2666MHz，支持双内存条插槽；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要求同时支持M.2PCIeNVme固态硬盘接口及SATA硬盘接口；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本次标配固态硬盘容量≥256G；</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集成显卡、要求支持双屏显示；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接口USB3.2端口≥4个，HDMI或DP高清接口≥2个；</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机箱尺寸≤1.2L；</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内置千兆网卡，内置英特尔 Wi-Fi 6 AX200 2x2 (Gig+) + 蓝牙 5.1；</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外置电源，USB无线键盘鼠标；</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资质权威检验中心出具的MTBF平均无故障时间≥800000小时，提供证明材料；</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产品整机通过国家强制3C认证，提供证书复印件；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内置Windows 10中文版操作系统；</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★主机正面和背面各带一个音频输出接口，以方便录播、多媒体及其他设备采集音频数据；</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联想、惠普、戴尔</w:t>
            </w:r>
          </w:p>
        </w:tc>
      </w:tr>
      <w:tr>
        <w:tblPrEx>
          <w:tblCellMar>
            <w:top w:w="0" w:type="dxa"/>
            <w:left w:w="0" w:type="dxa"/>
            <w:bottom w:w="0" w:type="dxa"/>
            <w:right w:w="0" w:type="dxa"/>
          </w:tblCellMar>
        </w:tblPrEx>
        <w:trPr>
          <w:trHeight w:val="22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壁挂展台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1.镜头：定焦镜头。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2.传感器:CMOS</w:t>
            </w:r>
            <w:r>
              <w:rPr>
                <w:rFonts w:ascii="宋体" w:hAnsi="宋体" w:cs="宋体"/>
                <w:color w:val="000000"/>
                <w:kern w:val="0"/>
                <w:sz w:val="22"/>
                <w:szCs w:val="22"/>
                <w:lang w:bidi="ar"/>
              </w:rPr>
              <w:t xml:space="preserve"> </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3.像素：≥800万像素。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4.设计：内嵌入式，可折叠可收藏至安全门内，关机状态安全锁门由电磁锁锁定不可打开（需提供权威检测机构出具的检测报告）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电动展台锁：按下时，展台锁自动吸合，展台门自动弹出；安全门锁具备防锁死设计，在电磁锁故障不可打开的情况下，可以通过撕开特别设计窗口贴纸，拨动锁头，打开安全门。（需提供权威检测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软件功能：支持用白板软件对高拍仪画面进行截图、动态批注、缩放、旋转、冻结、全屏、感应拍照、间隔拍照、录制、插入白板页面等功能，实现任意纸质文件展示、视频输入批注和讲解，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7</w:t>
            </w:r>
            <w:r>
              <w:rPr>
                <w:rFonts w:hint="eastAsia" w:ascii="宋体" w:hAnsi="宋体" w:cs="宋体"/>
                <w:color w:val="000000"/>
                <w:kern w:val="0"/>
                <w:sz w:val="22"/>
                <w:szCs w:val="22"/>
                <w:lang w:bidi="ar"/>
              </w:rPr>
              <w:t>.</w:t>
            </w:r>
            <w:r>
              <w:rPr>
                <w:rFonts w:hint="eastAsia"/>
              </w:rPr>
              <w:t xml:space="preserve"> </w:t>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1080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34560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2"/>
                <w:szCs w:val="22"/>
                <w:lang w:bidi="ar"/>
              </w:rPr>
              <w:t>光峰、东方中原、IQ</w:t>
            </w:r>
          </w:p>
        </w:tc>
      </w:tr>
      <w:tr>
        <w:tblPrEx>
          <w:tblCellMar>
            <w:top w:w="0" w:type="dxa"/>
            <w:left w:w="0" w:type="dxa"/>
            <w:bottom w:w="0" w:type="dxa"/>
            <w:right w:w="0" w:type="dxa"/>
          </w:tblCellMar>
        </w:tblPrEx>
        <w:trPr>
          <w:trHeight w:val="4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壁挂设备箱</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壁挂设备箱，主要用于内置安装多媒体电脑。提供电源等。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10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安装材料及集成</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提供设备安装，设备安装所需的附件、辅材，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要求培训到位，提供培训签到表及现场照片；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提供二维码报修标签，可通过微信和钉钉扫码报修，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可查看报修进度，维修系统要求提供学校签字确认及满意度评价功能。</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580" w:hRule="atLeast"/>
        </w:trPr>
        <w:tc>
          <w:tcPr>
            <w:tcW w:w="1081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778560元</w:t>
            </w:r>
          </w:p>
        </w:tc>
      </w:tr>
      <w:tr>
        <w:tblPrEx>
          <w:tblCellMar>
            <w:top w:w="0" w:type="dxa"/>
            <w:left w:w="0" w:type="dxa"/>
            <w:bottom w:w="0" w:type="dxa"/>
            <w:right w:w="0"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三</w:t>
            </w:r>
          </w:p>
        </w:tc>
        <w:tc>
          <w:tcPr>
            <w:tcW w:w="1515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多媒体系统（专用教室）</w:t>
            </w:r>
          </w:p>
        </w:tc>
      </w:tr>
      <w:tr>
        <w:tblPrEx>
          <w:tblCellMar>
            <w:top w:w="0" w:type="dxa"/>
            <w:left w:w="0" w:type="dxa"/>
            <w:bottom w:w="0" w:type="dxa"/>
            <w:right w:w="0" w:type="dxa"/>
          </w:tblCellMar>
        </w:tblPrEx>
        <w:trPr>
          <w:trHeight w:val="596"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86寸触控一体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（不含OPS电脑）</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一、整体设计</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1.整机采用全金属外壳一体设计，外部无任何可见内部功能模块连接线。</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2.整机屏幕采用86英寸 UHD超高清LED 液晶屏，显示比例16:9，具备防眩光效果。</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3.屏幕图像分辨率达3840*2160。（提供国家广播电视产品质量监督检验中心所出具的权威检测报告）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4.中间区域屏幕采用钢化玻璃，使用1.04kg钢球，在2m处自由落体撞击整机液晶显示屏幕的钢化玻璃，产品无损伤破裂，功能无异常。</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5.整机经过产品可靠性检验，MTBF大于80000小时。</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6.整机符合浪涌（冲击）抗扰度、静电放电抗扰度、射频电磁场辐射抗扰度、电快速瞬变脉冲群抗扰度、射频场感应的传导抗扰度等要求，确保整机使用安全。</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7.机身具备防盐雾锈蚀特性，且满足GB4943.1-2011标准中的防火要求。</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8.整机在0℃—40℃环境下可正常工作，在-20℃—60℃的环境下可正常贮存且贮存后功能无损。</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9.自动节能功能：当设备在五分钟内处于无信号接收状态且无人操作时，将会自动关机。（提供国家广播电视产品质量监督检验中心所出具的权威检测报告）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10.黑板关闭自动节能：当整机安装到推拉黑板中时，关闭推拉黑板，整机将可以自动进入黑屏模式。（提供国家广播电视产品质量监督检验中心所出具的权威检测报告）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11.整机支持实时显示设备温度，可根据温度高低显示不同颜色进行提示。（提供国家广播电视产品质量监督检验中心所出具的权威检测报告）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二、主要功能</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1.内置摄像头、麦克风无需外接线材连接，无任何可见外接线材，以确保音视频传输稳定且不占用整机设备端口。</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2.★整机具有减滤蓝光功能，可通过前置物理功能按键一键启用减滤蓝光模式。（提供国家广播电视产品质量监督检验中心所出具的权威检测报告）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3.★设备支持通过前置物理按键一键启动录屏功能，可将屏幕中显示的课件、音频内容与老师人声同时录制。（提供国家广播电视产品质量监督检验中心所出具的权威检测报告）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4.整机内置非独立外扩展的摄像头，支持二维码扫码识别，可拍摄不低于500万像素的照片。（提供国家广播电视产品质量监督检验中心所出具的权威检测报告）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5.整机内置非独立外扩展的麦克风，可用于一键录屏对音频进行采集。（提供国家广播电视产品质量监督检验中心所出具的权威检测报告）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6.外接电脑连接整机且触摸信号联通时，外接电脑可直接读取整机前置USB接口的移动存储设备数据，连接整机前置USB接口的翻页笔和无线键鼠可直接使用于外接电脑。（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7.音效：支持用户在菜单中开启/关闭总恒音、总绚音、总环音的功能。（提供国家广播电视产品质量监督检验中心所出具的权威检测报告）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8.智能电子产品一键式设计：同一物理按键完成Android系统和Windows系统的节能熄屏操作，通过轻按按键实现节能熄屏/唤醒，长按按键实现关机。（提供国家广播电视产品质量监督检验中心所出具的权威检测报告）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9.整机内置无线网络模块，无任何外接、转接天线及网卡可实现正常网络连接。（提供国家广播电视产品质量监督检验中心所出具的权威检测报告）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10.支持锁定屏幕触摸和整机前置按键，可通过遥控器、软件菜单（调试菜单）实现该功能，也可通过前置的实体按键以组合按键的形式进行锁定/解锁。（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11.整机具备不少于3路前置双系统USB3.0接口,双系统USB3.0接口，双系统USB3.0接口支持Android系统、Windows系统读取外接移动存储设备，即插即用无需区分接口对应系统。（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12. 具备智能手势识别功能，系统在任意信号源通道下可智能识别上、下、左、右方向的手势滑动并调用响应功能，支持将手势滑动方向自定义设置为快速返回、截图、冻结屏幕。（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13.具备电视遥控功能和电脑键盘常用的F1至F12功能键及Alt+F4、Alt+Tab、Space、Enter、windows等快捷按键，可实现一键开启交互白板软件、PPT上下翻页、一键锁定/解锁触摸及整机实体按键、一键冻结屏幕、一键查看整机温度、一键黑屏的功能。（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三、电视系统</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1.采用红外触控技术，支持在Windows系统中进行20点或以上触控。支持在Android系统中进行10点或以上触控。（提供国家广播电视产品质量监督检验中心所出具的权威检测报告）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2.具备≧1路VGA；≧1路Audio；≧1路AV；≧1路YPbPr；≧2路HDMI2.0；≧1路Android USB；≧1路RS232；≧1路RJ45；≧1路RF信号输入接口。（提供国家广播电视产品质量监督检验中心所出具的权威检测报告）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3.具备≧1路耳机、≧1路同轴输出、≧1路Touch USB out输出接口。（提供国家广播电视产品质量监督检验中心所出具的权威检测报告）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4.整机内置前朝向2*15w功放，确保声音播放效果。</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5.智能亮度调节：整机能感应并自动调节屏幕亮度来达到在不同光照环境下的不同亮度显示效果，此功能可自行开启或关闭。（提供国家广播电视产品质量监督检验中心所出具的权威检测报告）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6.整机具备不少于1路侧置双通道USB接口，双系统USB接口支持Windows和Android双系统读取外接存储设备数据和识别展台信号。（提供国家广播电视产品质量监督检验中心所出具的权威检测报告）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7.屏幕显示灰度分辨等级达到128灰阶以上。（提供国家广播电视产品质量监督检验中心所出具的权威检测报告）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四、触摸系统</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1.书写方式：手指或笔触摸</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2.定位分辨率：32767*32767</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3.触摸屏系统通讯端口：全速USB</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4.触摸精准性：整机屏幕触摸有效识别高度不超过3mm,，即触摸物体距离玻璃外表面高度不超过3mm时，触摸屏识别为点击操作。 （提供国家广播电视产品质量监督检验中心所出具的权威检测报告）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5.触摸屏具有防遮挡功能，触摸接收器在单点或多点遮挡后仍能正常书写。（提供国家广播电视产品质量监督检验中心所出具的权威检测报告）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6.触摸屏具有防光干扰功能，在照度100K lux环境下可以正常工作。（提供国家广播电视产品质量监督检验中心所出具的权威检测报告）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7.书写延迟时间在90ms以内。（提供国家广播电视产品质量监督检验中心所出具的权威检测报告）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8.触摸框切换到内部通道后再1s内达到可触摸状态，触摸框切换到外部通道后在4s内达到可触摸状态。（提供国家广播电视产品质量监督检验中心所出具的权威检测报告）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9.触摸框免驱：Windows XP、Windows 7、Windows 8、Windows 8.1、 Windows 10、Linux、Mac OS系统外置电脑操作系统接入时，无需安装触摸框驱动。（提供国家广播电视产品质量监督检验中心所出具的权威检测报告）。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五、嵌入式系统</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1.嵌入式系统版本不低于Android7.0，内存不低于2GB，存储空间不低于8GB。（提供国家广播电视产品质量监督检验中心所出具的权威检测报告）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整机在任意通道下，可调用互动课堂功能。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3.整机支持任意通道画面放大功能，可在整机任意通道下将画面冻结并双击画面任一部分进行放大，放大后的屏幕画面可进行任意拖拽。（提供国家广播电视产品质量监督检验中心所出具的权威检测报告）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4.嵌入式白板支持对已经书写的笔迹和形状的颜色进行更换。（提供国家广播电视产品质量监督检验中心所出具的权威检测报告）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5.用户自定义通道信号源名称后，若该名称为系统记录过的常见信号源，将会自动更换为该信号源名称匹配的图标。（提供国家广播电视产品质量监督检验中心所出具的权威检测报告）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6.支持智能U盘锁功能，整机可设置触摸及按键锁定，锁定后无法随意自由操作，需要使用时插入USB key可解锁。 （提供国家广播电视产品质量监督检验中心所出具的权威检测报告）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7.开机画面支持自定义（调试菜单），可设置为文字、图片。（提供国家广播电视产品质量监督检验中心所出具的权威检测报告）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8.Android系统中，同一局域网环境下，支持通过移动端扫描二维码的方式实现整机文件共享及板书内容共享。（提供国家广播电视产品质量监督检验中心所出具的权威检测报告）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9.可通过软件快捷键实现屏幕显示窗口下移，并可进行触控批注。（提供国家广播电视产品质量监督检验中心所出具的权威检测报告）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10. ★在PC系统出现异常或需要清除PC数据时，可插入带激活文件的U盘,在嵌入式系统的设置界面中启动PC一键还原功能，将PC系统恢复至出厂状态。（提供国家广播电视产品质量监督检验中心所出具的权威检测报告）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11.无PC状态下，嵌入式安卓操作系统支持超级计算器功能，可进行初级计算、方程（组）智能求解、自动求导求积分的操作，可根据用户输入的函数智能绘制函数图像。（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12.嵌入式系统内具备视频展台应用工具，可对摄像头内整个画面进行截图以及对所截取画面进行批注、旋转，支持二分屏或四分屏同时展示画面内容，可任意更换分屏幕画面内容。（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 xml:space="preserve">13.无信号节能功能：当设备在五分钟内处于无信号接收状态时，将会自动关机，节省能耗。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14.内置触摸中控菜单，将信号源通道切换、亮度和对比度调节、声音和图像调节等整合到同一菜单下，无须实体按键，在任意显示通道下均可通过手势在屏幕上调取该触摸菜单。（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15.整机在任意通道下通过手势识别调出板擦工具擦除批注内容，可根据手与屏幕的接触面积自动调整板擦工具的大小。（提供国家广播电视产品质量监督检验中心所出具的权威检测报告）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16.无PC状态下，嵌入式系统内置互动白板支持十笔书写及手掌擦除（手掌擦除面积根据手掌与屏幕的接触面大小自动调整），白板书写内容可导出PDF、IWB、SVG等格式。支持单点书写和多点书写的切换。支持10种以上平面图形工具，支持8种以上立体图形工具。（提供国家广播电视产品质量监督检验中心所出具的权威检测报告）</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七、白板教学软件</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1.备授课一体化，具有备课模式及授课模式，且操作界面 根据备课和授课使用场景不同而区别设计，符合用户使用需求。</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2.支持老师个人账号注册登录使用，也可通过USB key进行身份快速识别登录。</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3.支持一对一分享云课件，用户可在软件中直接输入目标用户的账号，将课件发送给他，接收方可在软件中直接接收并打开课件。</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4.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5.支持意见反馈机制，老师可通过软件给原厂发送问题及反馈建议，支持文字及图片形式。</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6.互动分类游戏：支持创建互动分类游戏，可自定义不同类别及相对应的对象，实现将不同对象拖拽到对应的类别容器中可自动辨识分类，分类正确或错误均有相应提示，同时在竞争模式下可记录不同操作者的动作和用时，并自动识别排名。类别和对象的样式、数量均可以自定义设置。系统需提供不少于10种游戏模板，直接选择并输入相应内容即可轻松生成互动分类游戏，提升课堂趣味性。</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7.智能选词填空：支持创建智能选词填空游戏，填空选项支持并列选项，并列选项支持答案互换，教师可随意编辑填空题题干以及相应的答案选项，将选项拖到对应题干空白处，系统将自动判别答案是否正确，系统需提供不少于9种游戏模板供老师选择，且模板样式支持自定义修改。</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8.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9.分组竞争游戏：支持创建分组竞争游戏，教师可设置正确项／干扰项，让两组学生开展竞争游戏。系统提供不少于3种难度、10种游戏模版选择，且模版样式支持自定义修改。</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10.数学公式编辑器：支持中文、复杂数学公式输入，并且支持直接用键盘enter键换行，可实现在编辑器内输入方程组、在编辑器中输入脱式运算，提供不少于36个数学符号及模板，输出的公式内容支持不同颜色标记及二次编辑。</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11.方程式编辑器：支持方程式快速编辑，当输入一个公式时，软件界面将自动显示出和该公式相关的多个常用方程式，老师可直接选择使用。插入后的方程式可重新编辑。</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12.思维导图：提供思维导图、鱼骨图及组织结构图编辑功能，可轻松增删或拖拽编辑内容节点，并支持在节点上插入备注、图片、音频、视频、网页链接、课件页面链接，插入多张图片是可通过翻页浏览。支持思维导图逐级、逐个节点展开，并可任意缩放，满足不同演示需求。</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13.思维导图自定义样式：支持对思维导图连接线的形状进行选择，至少提供4种形状模板，同时支持对任一节点的颜色进行选择，至少提供8中颜色模板。</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14.思维导图总结联系：支持对思维导图任意相邻节点进行总结，方便老师知识点的总结呈现，同时在节点引出联系内容，方便知识点的关联和发散。</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15.页面备注：为了便捷的记录教学研究思路，以便于在分享课件、回顾课件时查阅，软件需提供页面备注功能，同时支持拖拽更改输入区域的高度，且支持一键点击展开/隐藏备注。</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16.若开通数据分析管理平台，则支持云课件关联教案，一份课件可关联多份教案，可直接进行教案关联的增删改</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17.美术画板：支持美术画板工具，提供铅笔、毛笔、油画笔，可实现模拟调色盘功能，老师可自由选择不同颜色进行混合调色，搭配出任意色彩。</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18.3D星球模型：提供3D立体星球模型，包括地球、太阳、火星、水星、木星、金星、土星、海王星、天王星，支持360°自由旋转、缩放展示。</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19.地球教学工具：提供立体地球教学工具，清晰展现地球表面的六大板块、降水分布、气温分布、气候分布、人口分布、表层洋流、陆地自然带、海平面等压线等内容，且支持三维、二维切换展示，方便地理学科教学。</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20.移动授课：教师可通过移动端一键点击授课播放课件，在公网的情况下，同步课件及远程操控，并可实现拍照上传及移动展台功能，同时提供同步批注功能，满足移动授课需求。</w:t>
            </w:r>
            <w:r>
              <w:rPr>
                <w:rFonts w:ascii="宋体" w:hAnsi="宋体" w:cs="宋体"/>
                <w:color w:val="000000"/>
                <w:kern w:val="0"/>
                <w:sz w:val="22"/>
                <w:szCs w:val="22"/>
                <w:lang w:bidi="ar"/>
              </w:rPr>
              <w:br w:type="textWrapping"/>
            </w:r>
            <w:r>
              <w:rPr>
                <w:rFonts w:hint="eastAsia" w:ascii="宋体" w:hAnsi="宋体" w:cs="宋体"/>
                <w:color w:val="000000"/>
                <w:kern w:val="0"/>
                <w:sz w:val="22"/>
                <w:szCs w:val="22"/>
                <w:lang w:bidi="ar"/>
              </w:rPr>
              <w:t>5</w:t>
            </w:r>
            <w:r>
              <w:rPr>
                <w:rFonts w:ascii="宋体" w:hAnsi="宋体" w:cs="宋体"/>
                <w:color w:val="000000"/>
                <w:kern w:val="0"/>
                <w:sz w:val="22"/>
                <w:szCs w:val="22"/>
                <w:lang w:bidi="ar"/>
              </w:rPr>
              <w:t>年原厂免费质保，供货时提供原厂</w:t>
            </w:r>
            <w:r>
              <w:rPr>
                <w:rFonts w:hint="eastAsia" w:ascii="宋体" w:hAnsi="宋体" w:cs="宋体"/>
                <w:color w:val="000000"/>
                <w:kern w:val="0"/>
                <w:sz w:val="22"/>
                <w:szCs w:val="22"/>
                <w:lang w:bidi="ar"/>
              </w:rPr>
              <w:t>5</w:t>
            </w:r>
            <w:r>
              <w:rPr>
                <w:rFonts w:ascii="宋体" w:hAnsi="宋体" w:cs="宋体"/>
                <w:color w:val="000000"/>
                <w:kern w:val="0"/>
                <w:sz w:val="22"/>
                <w:szCs w:val="22"/>
                <w:lang w:bidi="ar"/>
              </w:rPr>
              <w:t>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209000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希沃、鸿合、东方中原</w:t>
            </w:r>
          </w:p>
        </w:tc>
      </w:tr>
      <w:tr>
        <w:tblPrEx>
          <w:tblCellMar>
            <w:top w:w="0" w:type="dxa"/>
            <w:left w:w="0" w:type="dxa"/>
            <w:bottom w:w="0" w:type="dxa"/>
            <w:right w:w="0" w:type="dxa"/>
          </w:tblCellMar>
        </w:tblPrEx>
        <w:trPr>
          <w:trHeight w:val="21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多媒体电脑</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商用计算机；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CPU≥英特尔酷睿i5-10500T (6-核, 12MB 缓存, 2.3GHz )处理器或以上；</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内存≥8G（单条）DDR4 2666MHz，支持双内存条插槽；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要求同时支持M.2PCIeNVme固态硬盘接口及SATA硬盘接口；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本次标配固态硬盘容量≥256G；</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集成显卡、要求支持双屏显示；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接口USB3.2端口≥4个，HDMI或DP高清接口≥2个；</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机箱尺寸≤1.2L；</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内置千兆网卡，内置英特尔 Wi-Fi 6 AX200 2x2 (Gig+) + 蓝牙 5.1；</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外置电源，USB键盘鼠标；</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资质权威检验中心出具的MTBF平均无故障时间≥800000小时，提供证明材料；</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产品整机通过国家强制3C认证，提供证书复印件；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内置Windows 10中文版操作系统；</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主机正面和背面各带一个音频输出接口，以方便录播、多媒体及其他设备采集音频数据；</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联想、惠普、戴尔</w:t>
            </w:r>
          </w:p>
        </w:tc>
      </w:tr>
      <w:tr>
        <w:tblPrEx>
          <w:tblCellMar>
            <w:top w:w="0" w:type="dxa"/>
            <w:left w:w="0" w:type="dxa"/>
            <w:bottom w:w="0" w:type="dxa"/>
            <w:right w:w="0" w:type="dxa"/>
          </w:tblCellMar>
        </w:tblPrEx>
        <w:trPr>
          <w:trHeight w:val="201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推拉绿板</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结构：左右推拉结构。黑板由两块书写绿板组成，一块固定一块滑动,或两块固定两块滑动，板下方安装两个橡胶刷除粉尘。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基本尺寸：≥4000mm×1350mm×100mm（尺寸视用户具体情况而定），保证与电子白板或一休机外形尺寸配套。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书写板面：采用高温烤漆板面，厚度≥0.3mm，亚光、墨绿色、粗糙度为Ra1.6-3.2um，光泽度≥6光泽单位，没有因黑板本身原因产生的眩光，书写流畅字迹清晰、板面表面附有一层透明保护膜，符合GB/T28231-2011《书写板安全卫生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内芯材料：选用高强度、吸音、防潮、阻燃20克(每立方二十公斤)以上聚苯乙烯板，书写无吱咔声，改善书写手感。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背板：背板产用双漆面加强拉筋镀锌板，厚度≥0.2mm，流水线一次成型。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边框：整体采用工业用铝合金、喷砂仿钢氧化，厚度1.2㎜，承重部位1.3mm以上。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包角材料：采用抗老化高强度ABS工程塑料注塑成型。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黑板滑轮：活动板上框采用一休化平行对称双U型槽轨道支持活动板T型垂直吊装四轮一组消声吊轮，下框采用一休化平行对称单U型槽轨道支持活动板两轮一组固定滑轮，防止书写时绿板抖动。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限位档：黑板边框内部两侧安装同色限位档，保证活动黑板开启时不会碰撞立框，避免夹手。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运输及安装要求：受限于校园场地及安全考虑，要求绿板运输到学校即开始安装。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要求提供省级或以上质监部门检测报告。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原厂商通过ISO9001、ISO14001、OHSAS18001职业健康认证。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1179"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壁挂展台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★1.1200万像素，10倍变焦，自动对焦；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2.1080P清晰度下，30帧/每秒，动态无拖影；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3.支持最大幅面A4；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4.壁挂式全铝合金箱体，无气压杆设计；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5.USB3.0通讯与供电，无需额外供电，机身正面USB接口≥2个；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6.4级触摸LED补光灯控制开关；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7.带磁控启动功能，抬臂启动软件，折臂关闭软件；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8.视频画面可用手势360度旋转，同时可进行缩放与拖拽；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9.带展台恢复功能，可自我检测展台软件与系统底层文件运行情况，如有问题可进行自我修复，从而保证课堂教学的顺利进行；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10.带书籍扫描功能，可自动完成书籍的定位，左右分页与裁切，曲面的展平与图片底色优化；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11.带二维码扫描功能，帮助老师快速直接调用,访问课本上二维码拓展知识内容；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12.制造厂商通过知识产权管理体系认证证书（GB/T29490-2013），质量管理体系认证证书（ISO9001）、环境管理体系认证证书（ISO14001）。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w:t>
            </w:r>
            <w:r>
              <w:rPr>
                <w:rFonts w:hint="eastAsia"/>
              </w:rPr>
              <w:t xml:space="preserve"> </w:t>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碧海扬帆、海天地、吉星</w:t>
            </w:r>
          </w:p>
        </w:tc>
      </w:tr>
      <w:tr>
        <w:tblPrEx>
          <w:tblCellMar>
            <w:top w:w="0" w:type="dxa"/>
            <w:left w:w="0" w:type="dxa"/>
            <w:bottom w:w="0" w:type="dxa"/>
            <w:right w:w="0" w:type="dxa"/>
          </w:tblCellMar>
        </w:tblPrEx>
        <w:trPr>
          <w:trHeight w:val="27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壁挂设备箱</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壁挂设备箱，主要用于内置安装多媒体电脑。提供电源等。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2750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10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工程施工</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提供设备安装，设备安装所需的附件、辅材，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要求培训到位，提供培训签到表及现场照片；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提供二维码报修标签，可通过微信和钉钉扫码报修，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可查看报修进度，维修系统要求提供学校签字确认及满意度评价功能。</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270" w:hRule="atLeast"/>
        </w:trPr>
        <w:tc>
          <w:tcPr>
            <w:tcW w:w="1081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286550元</w:t>
            </w:r>
          </w:p>
        </w:tc>
      </w:tr>
      <w:tr>
        <w:tblPrEx>
          <w:tblCellMar>
            <w:top w:w="0" w:type="dxa"/>
            <w:left w:w="0" w:type="dxa"/>
            <w:bottom w:w="0" w:type="dxa"/>
            <w:right w:w="0" w:type="dxa"/>
          </w:tblCellMar>
        </w:tblPrEx>
        <w:trPr>
          <w:trHeight w:val="7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四</w:t>
            </w:r>
          </w:p>
        </w:tc>
        <w:tc>
          <w:tcPr>
            <w:tcW w:w="1515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打印机、相机</w:t>
            </w:r>
          </w:p>
        </w:tc>
      </w:tr>
      <w:tr>
        <w:tblPrEx>
          <w:tblCellMar>
            <w:top w:w="0" w:type="dxa"/>
            <w:left w:w="0" w:type="dxa"/>
            <w:bottom w:w="0" w:type="dxa"/>
            <w:right w:w="0" w:type="dxa"/>
          </w:tblCellMar>
        </w:tblPrEx>
        <w:trPr>
          <w:trHeight w:val="189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A4黑白激光打印机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产品类型黑白激光多功能一体机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涵盖功能打印/复印/扫描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最大处理幅面A4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耗材类型硒鼓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双面功能手动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网络功能支持无线/有线网络打印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黑白打印速度正常，A4：20ppm；</w:t>
            </w:r>
          </w:p>
          <w:p>
            <w:pPr>
              <w:pStyle w:val="2"/>
              <w:rPr>
                <w:lang w:bidi="ar"/>
              </w:rPr>
            </w:pPr>
            <w:r>
              <w:rPr>
                <w:rFonts w:hint="eastAsia"/>
                <w:lang w:bidi="ar"/>
              </w:rPr>
              <w:t>保修3年。</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佳能、HP、爱普生</w:t>
            </w:r>
          </w:p>
        </w:tc>
      </w:tr>
      <w:tr>
        <w:tblPrEx>
          <w:tblCellMar>
            <w:top w:w="0" w:type="dxa"/>
            <w:left w:w="0" w:type="dxa"/>
            <w:bottom w:w="0" w:type="dxa"/>
            <w:right w:w="0" w:type="dxa"/>
          </w:tblCellMar>
        </w:tblPrEx>
        <w:trPr>
          <w:trHeight w:val="21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A4彩色激光打印机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产品类型彩色激光多功能一体机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涵盖功能打印/复印/扫描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最大处理幅面A4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耗材类型鼓粉分离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双面功能手动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网络功能支持无线/有线网络打印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黑白打印速度18ppm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彩色打印速度4ppm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打印分辨率600×600dpi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首页打印时间12.4秒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打印语言SPL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月打印负荷2-5万页：大致2万页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复印速度黑白：18cpm，彩色：4cpm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复印分辨率600×600dpi</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佳能、HP、爱普生</w:t>
            </w:r>
          </w:p>
        </w:tc>
      </w:tr>
      <w:tr>
        <w:tblPrEx>
          <w:tblCellMar>
            <w:top w:w="0" w:type="dxa"/>
            <w:left w:w="0" w:type="dxa"/>
            <w:bottom w:w="0" w:type="dxa"/>
            <w:right w:w="0" w:type="dxa"/>
          </w:tblCellMar>
        </w:tblPrEx>
        <w:trPr>
          <w:trHeight w:val="84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教学图像数据采集主机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铝镁合金机身,防尘防飞溅；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全画幅，36×24mmCMOS传感器,支持全像素双核CMOSAF；</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色彩滤镜系统:sRGB,AdobeRGB，63区双层；有效像素≥3000万像素；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自动对焦、手动对焦、单点对焦、触屏选择对焦、人工智能自动对焦；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对焦区域模式选择:定点点AF、单点点AF、AF区域扩展；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区域自动对焦(环境可选),≥55点自动对焦选择(区域可选);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增强型智能伺服AF；曝光模式：(P),(A),(S),(M)等；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最大分辨率：5760×3840，照片格式JPG和RAW；ISO感光度：100-32000（可扩展ISO50）；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高清视频：可实现720p、1080p、4K；液晶屏尺寸：3.2英寸；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支持连拍功能,每秒≥6张连拍速度(采用OVF时),实时取景模式中自动对焦,连拍速度每秒≥4张；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防水,防震,防尘；内置WiFi；支持SD卡,SDHC卡,SDXC卡,CF卡,SD,CF卡双插槽;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菜单语言：简体中文；HDMI输出接口；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充电锂电池2块，含64G存储卡，便携防水背包1个。</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佳能、尼康、索尼</w:t>
            </w:r>
          </w:p>
        </w:tc>
      </w:tr>
      <w:tr>
        <w:tblPrEx>
          <w:tblCellMar>
            <w:top w:w="0" w:type="dxa"/>
            <w:left w:w="0" w:type="dxa"/>
            <w:bottom w:w="0" w:type="dxa"/>
            <w:right w:w="0" w:type="dxa"/>
          </w:tblCellMar>
        </w:tblPrEx>
        <w:trPr>
          <w:trHeight w:val="5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教学图像数据采集镜头</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EF卡口，EF24-70mmf/2.8LIIUSM标准变焦镜头，结构13组18片，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最大光圈F2.8，最小光圈F22，含原装UV镜一块；</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佳能、尼康、索尼</w:t>
            </w:r>
          </w:p>
        </w:tc>
      </w:tr>
      <w:tr>
        <w:tblPrEx>
          <w:tblCellMar>
            <w:top w:w="0" w:type="dxa"/>
            <w:left w:w="0" w:type="dxa"/>
            <w:bottom w:w="0" w:type="dxa"/>
            <w:right w:w="0" w:type="dxa"/>
          </w:tblCellMar>
        </w:tblPrEx>
        <w:trPr>
          <w:trHeight w:val="28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高清数码摄像机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专业摄像机；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传感器尺寸：1.0英寸；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最大像素：1420万，约1420万像素（16:9），约1060万像素（4:3）；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镜头参数：光学变焦12倍，数字变焦48倍；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聚焦：f=9.5-111mm；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光圈：F2.8-F4.5镜头：自动聚焦/手动聚焦可选，10mm至无限远（选配广角镜头），1000mm至无限远（选配长焦镜头）；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录制视频：AVCS（1920×1080）@50p，25p，50Mbps，AVCHD（1280×720）@50p，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音频输入：XLR(×1)、线路、麦克风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音频输出：RCA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视频输出：BNC(×1)，HDMI（x1）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耳机输出：立体声迷你插孔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扬声器输出：单声道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液晶屏尺寸：3.5英寸、0.24英寸155万像素取景器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快门描述：1/6-1/10000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白平衡：（室内：3200K，室外：5600K±7级，色温设置范围：2300-15000K）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配件：摄像机包、128G存储卡、USB读卡器、镜头罩、可充电电池组、交流适配器、电源线等。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佳能、尼康、索尼</w:t>
            </w:r>
          </w:p>
        </w:tc>
      </w:tr>
      <w:tr>
        <w:tblPrEx>
          <w:tblCellMar>
            <w:top w:w="0" w:type="dxa"/>
            <w:left w:w="0" w:type="dxa"/>
            <w:bottom w:w="0" w:type="dxa"/>
            <w:right w:w="0" w:type="dxa"/>
          </w:tblCellMar>
        </w:tblPrEx>
        <w:trPr>
          <w:trHeight w:val="14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A3高速复印一体机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1、32CPMA3幅面黑白数码复合机（随机墨粉*1），复印/网络打印/彩色网络扫描；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2、双面打印/复印，7英寸彩色触摸LCD面板；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3、CPUARMcortex-A9双核1.2GHz或同级别以上;内存：1GB；硬盘32G；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4、缩放倍率：25百分比～400百分比；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5、纸张容量：标准≥600张，纸盒≥500张，手送纸盘≥100张；纸张尺寸：纸盒最小A5R至最大A3，手动纸盘最小A6R至最大A3；含落地双纸盒；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6、打印/复印速度：≥32页/20页/分钟，预热时间≤20秒；复印分辨率≥600×600dpi；首页复印时间：黑白≤5.2秒，连续复印张数：1～999页，打印分辨率≥1200×1200dpi，首页打印≤5.2秒；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7、接口：USB2.0高速x1;以太网10BASE-T/100BASE-TX/1000BASE-T;USB主机接口(USB主机)x2;NFCTAGx1；打印语言：PRESCRIBE,PCL6，KPDL3(兼容Postscript3),XPS,PDF直接打印版本1.7.</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8、支持协议：TCP/IP,NetBEUI,FTP,Port9100,LPR,IPP,IPPoverSSL/TLS,WSDPrint,AppleBonjour，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9、USB打印格式：TIFF,JPEG,PDF,XPS,OpenXPS。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10、配置双面器、50张双面自动输稿器，配置作业分离器和IC卡读卡支架，硒鼓使用寿命高达30万页；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11、支持的操作系统：Windows10、AppleOSX、Linux</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佳能、HP、京瓷</w:t>
            </w:r>
          </w:p>
        </w:tc>
      </w:tr>
      <w:tr>
        <w:tblPrEx>
          <w:tblCellMar>
            <w:top w:w="0" w:type="dxa"/>
            <w:left w:w="0" w:type="dxa"/>
            <w:bottom w:w="0" w:type="dxa"/>
            <w:right w:w="0" w:type="dxa"/>
          </w:tblCellMar>
        </w:tblPrEx>
        <w:trPr>
          <w:trHeight w:val="720" w:hRule="atLeast"/>
        </w:trPr>
        <w:tc>
          <w:tcPr>
            <w:tcW w:w="1081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94800元</w:t>
            </w:r>
          </w:p>
        </w:tc>
      </w:tr>
      <w:tr>
        <w:tblPrEx>
          <w:tblCellMar>
            <w:top w:w="0" w:type="dxa"/>
            <w:left w:w="0" w:type="dxa"/>
            <w:bottom w:w="0" w:type="dxa"/>
            <w:right w:w="0" w:type="dxa"/>
          </w:tblCellMar>
        </w:tblPrEx>
        <w:trPr>
          <w:trHeight w:val="6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五</w:t>
            </w:r>
          </w:p>
        </w:tc>
        <w:tc>
          <w:tcPr>
            <w:tcW w:w="1515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录播系统（同步课堂）</w:t>
            </w:r>
          </w:p>
        </w:tc>
      </w:tr>
      <w:tr>
        <w:tblPrEx>
          <w:tblCellMar>
            <w:top w:w="0" w:type="dxa"/>
            <w:left w:w="0" w:type="dxa"/>
            <w:bottom w:w="0" w:type="dxa"/>
            <w:right w:w="0" w:type="dxa"/>
          </w:tblCellMar>
        </w:tblPrEx>
        <w:trPr>
          <w:trHeight w:val="17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智慧纳米黑板</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（含电脑）</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一、整体设计要求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1.全金属外观，一体化设计，外部无任何可见内部功能模块的连接线。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2.安全性：整机屏幕采用钢化玻璃，使用1.04kg钢球，在2m处自由落体撞击整机液晶显示屏幕的钢化玻璃，产品无损伤破裂，功能无异常。（需提供CMA、CAL、CNAS级别权威机构出具的检测报告）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3.为防止学生误触，整机需提供不少于3种锁定设备的方式；同时，应提供不少于3种方式进行解锁。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4.屏体正面前置中文标识按键，包含音量加减、触控开关、安卓主页、电脑系统还原等。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5.为了方便老师在授课中的使用，屏体正面带有3路前置USB3.0接口（可同时在Windows及Android系统下读取）及1路HDMI高清接口（非转接方式），并且附带中文丝印标识，方便老师快速识别和使用接口。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6.为保证信号不遮挡，整机前置2.4G、5G双频wifi和蓝牙模块。（需提供CMA、CAL、CNAS级别权威机构出具的检测报告）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7.一键节能，在节能待机状态下可实现节能90%以上。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8.黑板关闭自动节能：当整机安装到推拉黑板中时，关闭推拉黑板，整机将在短时间内自动进入黑屏节能模式。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9.整机只需连接一根网线，即可实现Windows及Android系统同时联网；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10.为方便教师应用，后置输入接口具备≥2路HDMI、≥2路USB-A（其中包含一路双通道接口）、≥1路USB-B、≥1路VGA，≥1路Audio3.5mm，≥1路RS232，≥1路RJ45、≥1路Type-C；后置输出接口具备≥1路Audio3.5mm。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二、显示屏参数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1.LED液晶屏体：A规屏，显示尺寸86英寸。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2.显示比例16:9，高清4K屏体，分辨率≥3840×2160。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3.屏体亮度≥350cd/m2，对比度4000:1，最大可视角度≥178度。（需提供CMA、CAL、CNAS级别权威机构出具的检测报告）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三、触摸功能参数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1.采用红外触控技术，支持十点或以上同时触控及书写。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2.为减少在教学过程中的误操作，应确保屏幕红外触摸响应高度≤3mm，最小识别直径≤3mm。（需提供CMA、CAL、CNAS级别权威机构出具的检测报告）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3.具备书写保障措施：书写区域被手、书本等较大物体遮挡或某一条触摸边框完全失灵，仍可以正常书写、操作。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四、内嵌操作系统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为方便教学，在Windows和Android双系统下，可通过智能交互黑板的悬浮菜单一键切换信号源通道，并可通过两指长按调用悬浮菜单到指定位置。悬浮菜单中的应用可根据使用需求进行不少于10种应用更换（非信号源切换），在任何信号源下均可通过悬浮菜单实现批注、打开展台等功能。（需提供产品演示，可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2.在Andriod操作系统下，能对文件进行自动分类，可快速分类查找office文档、音视频、图片、白板课件等文件，可直接在界面中进行多种编辑操作及分享。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3.在日常教学中，为了保护师生的视力健康，应提供多种护眼功能供用户选择。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4.为方便教学，教师可通过三指按压显示区域，一步操作达到息屏或唤醒屏幕功能，不接受触摸菜单或物理按键的方式。（需提供产品演示，大屏可控）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5.无需借助PC，整机可一键进行硬件自检，包括对系统硬盘、系统内存、触摸系统、内置电脑、光感系统等模块进行检测，并提供故障提示。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6.在无操作或无信号输入时,整机自动进入待机节能的功能，待机的时间间隔可自定义，这样既节能环保又能延长机器使用寿命。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7.可自动识别粗细笔记，既能够方便教师板书及批注重点，又可以保留真实书写感。（需提供CMA、CAL、CNAS级别权威机构出具的检测报告）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8.安卓主页面提供≥4个应用入口，任意应用入口可以根据教学需要自行更换。（需提供产品演示，可控）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9.安卓系统下提供硬件系统检测：对系统内存、存储、触控系统、电脑、屏温监控等提供直观的状态、故障提示；安卓下具备文件浏览功能和二维码分享等功能。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为保证产品质量、供货进度及后续便利维护，最大限度保护用户根本利益，本次投标商所投交互平板产品必须为原厂产品，要求交互平板CCC证书的申请人、制造商、生产厂必须为同一企业，不接受OEM等代工方式产品，投标时须提供3C证书复印件加盖制造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五、内置电脑模块参数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1.整机架构:为降低电脑模块维护成本，接口严格遵循Intel®相关规范,针脚数为行业通用≤80Pin,与大屏无单独接线。（需提供CMA、CAL、CNAS级别权威机构出具的检测报告）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2.CPU:IntelI5处理器。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3.内存：</w:t>
            </w:r>
            <w:r>
              <w:rPr>
                <w:rFonts w:ascii="宋体" w:hAnsi="宋体" w:cs="宋体"/>
                <w:color w:val="000000"/>
                <w:kern w:val="0"/>
                <w:sz w:val="22"/>
                <w:szCs w:val="22"/>
                <w:lang w:bidi="ar"/>
              </w:rPr>
              <w:t>8</w:t>
            </w:r>
            <w:r>
              <w:rPr>
                <w:rFonts w:hint="eastAsia" w:ascii="宋体" w:hAnsi="宋体" w:cs="宋体"/>
                <w:color w:val="000000"/>
                <w:kern w:val="0"/>
                <w:sz w:val="22"/>
                <w:szCs w:val="22"/>
                <w:lang w:bidi="ar"/>
              </w:rPr>
              <w:t>GDDR4；硬盘：256GSSD；具备USB3.0*3、USB2.0*3，HDMI*1，DP接口*1，RJ45*1满足教学拓展需求。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4.插拔电脑具有安全使用提醒功能，如电脑未进行安全锁紧机制则电脑无法正常使用。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5.提供Windows10专业版操作系统。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六、其他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1.投标产品整机制造商应具备国际电工委员会电子元器件质量评定体系（IECQ）出具的，满足QC080000危害物质过程管理系统要求的合格证书。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2.所投产品应具备CMA、CAL、CNAS级别的国家电子计算机质量监督检验中心出具的产品平均无故障时间（MTBF）证书（不低于10万小时）。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3.整机测试结果符合GB21520-2008的能源效率等级1级要求。（需提供CMA、CAL、CNAS级别权威机构出具的检测报告）</w:t>
            </w:r>
          </w:p>
          <w:p>
            <w:pPr>
              <w:pStyle w:val="2"/>
              <w:rPr>
                <w:lang w:bidi="ar"/>
              </w:rPr>
            </w:pPr>
            <w:r>
              <w:rPr>
                <w:rFonts w:hint="eastAsia"/>
                <w:lang w:bidi="ar"/>
              </w:rPr>
              <w:t>4</w:t>
            </w:r>
            <w:r>
              <w:rPr>
                <w:lang w:bidi="ar"/>
              </w:rPr>
              <w:t>.</w:t>
            </w:r>
            <w:r>
              <w:rPr>
                <w:rFonts w:hint="eastAsia"/>
              </w:rPr>
              <w:t xml:space="preserve"> </w:t>
            </w:r>
            <w:r>
              <w:rPr>
                <w:rFonts w:hint="eastAsia"/>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希沃、达冠、东方中原</w:t>
            </w:r>
          </w:p>
        </w:tc>
      </w:tr>
      <w:tr>
        <w:tblPrEx>
          <w:tblCellMar>
            <w:top w:w="0" w:type="dxa"/>
            <w:left w:w="0" w:type="dxa"/>
            <w:bottom w:w="0" w:type="dxa"/>
            <w:right w:w="0" w:type="dxa"/>
          </w:tblCellMar>
        </w:tblPrEx>
        <w:trPr>
          <w:trHeight w:val="3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壁挂展台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★1.1200万像素，10倍变焦，自动对焦；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2.1080P清晰度下，30帧/每秒，动态无拖影；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3.支持最大幅面A4；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4.壁挂式全铝合金箱体，无气压杆设计；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5.USB3.0通讯与供电，无需额外供电，机身正面USB接口≥2个；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6.4级触摸LED补光灯控制开关；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7.带磁控启动功能，抬臂启动软件，折臂关闭软件；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8.视频画面可用手势360度旋转，同时可进行缩放与拖拽；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9.带展台恢复功能，可自我检测展台软件与系统底层文件运行情况，如有问题可进行自我修复，从而保证课堂教学的顺利进行；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10.带书籍扫描功能，可自动完成书籍的定位，左右分页与裁切，曲面的展平与图片底色优化；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11.带二维码扫描功能，帮助老师快速直接调用,访问课本上二维码拓展知识内容；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12.制造厂商通过知识产权管理体系认证证书（GB/T29490-2013），质量管理体系认证证书（ISO9001）、环境管理体系认证证书（ISO14001）。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w:t>
            </w:r>
            <w:r>
              <w:rPr>
                <w:rFonts w:hint="eastAsia"/>
              </w:rPr>
              <w:t xml:space="preserve"> </w:t>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碧海扬帆、海天地、吉星</w:t>
            </w:r>
          </w:p>
        </w:tc>
      </w:tr>
      <w:tr>
        <w:tblPrEx>
          <w:tblCellMar>
            <w:top w:w="0" w:type="dxa"/>
            <w:left w:w="0" w:type="dxa"/>
            <w:bottom w:w="0" w:type="dxa"/>
            <w:right w:w="0" w:type="dxa"/>
          </w:tblCellMar>
        </w:tblPrEx>
        <w:trPr>
          <w:trHeight w:val="64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精品化录播主机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1)1U标准机架式外观设计，便于机柜安装。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2)考虑设备稳定性，要求采用嵌入式ARM架构设计，Linux操作系统，高度集成多种功能应用，包括管理、导播、录制、直播等功能。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内置音频处理功能，支持EQ均衡调节、回声抑制、增益调节、幻象供电及音频采样率和比特率设置。支持对音频输入输出通道进行音量调节，支持对音频输出通道进行静音设置。提供上述功能的软件设置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4)★内置跟踪功能，无需额外配置跟踪主机即可实现智能图像识别跟踪分析与处理功能。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5)支持6路1080P高清视频输入，包括4路3G-SDI高清摄像机信号、1路HDMI信号和1路VGA信号。支持CVBS、S-video、YPbPr信号源的兼容接入。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6)支持2路HDMI画面的输出，每个HDMI输出口的输出信号支持自定义选择本地导播画面或录制效果画面输出。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7)采用AAC音频编码技术，支持2路XLR平衡音频输入、2路Linein、1路Lineout、1路耳机监听输出。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8)采用标准H.264或H.265视频编码技术，录播主机应支持电影模式和资源模式多流同步录制。支持网络多流和本地SDI多流两种录制模式。提供两种多流录制方式功能界面截图。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9)内置至少2T存储硬盘，支持多种视频封装格式，包括MP4、AVI、WMV。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10)支持4个USB2.0，支持U盘/移动硬盘同步录制、视频拷贝；支持鼠标键盘的本地导播操作；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11)支持本地导播功能，可直接在录播主机接入鼠标、键盘、显示器进行导播操作，保证导播具有较好的实时性和流畅性。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12)★高清录播主机支持通过一条标准SDI线连接高清云台摄像机，即可实现视频传输、供电和云台控制功能。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13)支持与资源平台无缝对接，实现视频自动上传功能。当录播主机处于休眠状态时，平台自动远程唤醒录播主机，使录播主机通过FTP方式进行录制视频文件的自动上传至平台。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14)具有嵌入式低功耗环保优势，整机正常工作状态下功耗不超过40W。采用无风扇散热设计，低噪音不影响正常授课。提供录播主机噪声测试报告复印件。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15)应具备自主知识产权，提供视频信号处理相关知识产权证明文件复印件。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16)所投录播主机通过CCC、CE、FCC、RoHS认证，提供证书复印件。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17)所投录播主机提供由中国合格评定国家认可委员会检测通过的产品无故障运行时间MTBF大于60000小时(CNAS)检测报告复印件。</w:t>
            </w:r>
          </w:p>
          <w:p>
            <w:pPr>
              <w:pStyle w:val="2"/>
              <w:rPr>
                <w:lang w:bidi="ar"/>
              </w:rPr>
            </w:pPr>
            <w:r>
              <w:rPr>
                <w:rFonts w:hint="eastAsia" w:ascii="宋体" w:hAnsi="宋体" w:eastAsia="宋体" w:cs="宋体"/>
                <w:b w:val="0"/>
                <w:bCs w:val="0"/>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120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录播管理系统</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流媒体管理软件：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1）支持B/S架构设计，能够方便教师使用IE、360、chrome等主流浏览器通过网络直接访问录播主机进行管理。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2）支持录制、暂停、停止等基本功能操作。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3）支持全自动、半自动、手动三种录制模式，支持录制过程中实时切换录制模式。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4）支持导播管理、系统参数管理、用户管理、录制管理、网络参数管理。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5）支持三种上电模式，包括关机模式、休眠模式和工作模式。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6）支持硬盘格式化功能，支持对设备异常断电、宕机造成的损坏视频文件进行修复。提供上述功能软件界面截图。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7）支持中英文双语版本切换，适合不同用户的应用需求。提供中英文切换功能界面截图。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8）支持系统软件版本管理，包括软件版本查询，在线升级与系统授权。支持查询录播主机的设备型号、版本信息、机身号和设备运行的实时CPU温度。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录播跟踪一体化设计，录播内置跟踪功能，无需额外配置跟踪主机。采用图像识别主动跟踪技术，有较强的防干扰性，跟踪系统应不影响教师正常的教学，教师和学生无需佩戴任何辅助设备，也无需在座椅安装辅助设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支持多种逻辑跟踪技术，支持自定义教师、学生的画面布局，支持学生起立回答问题时切换为“学生特写画面”或者“教师与学生双分屏互动画面”。支持VGA信号自动检测跟踪，支持自定义VGA保留时间。提供上述功能软件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10个以上任意区域主动屏蔽功能，比如主动屏蔽掉教师观摩区、窗户窗帘、教室门口、大屏液晶电视等易干扰跟踪效果的地方，所屏蔽的地方系统将不对其进行图像分析跟踪运算，以避免这些地方干扰整体的跟踪效果。投标应分别提供教师跟踪场景、学生跟踪场景的屏蔽区域功能设置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12）提供流媒体管理软件著作权证书复印件。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流媒体直播软件：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1）支持录播一键开启“直播”功能。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2）支持网络直播参数设置、直播码流设置与TS直播参数设置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3）支持主码流、子码流双码流直播功能，主、子码流可设不同的分辨率与码流。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4）支持自定义直播分辨率、码流大小，以适应不同网络环境下保持直播的流畅性。提供超清（1080P/4Mbps）、高清（720P/2Mbps）、标清（960*540/1Mbps）等多种直播分辨率与码流可选。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5）支持HTTP、RTMP、RTSP多种直播视频流协议，支持TCP和UDP传输协议。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6）★支持RTMP推流功能，除录播向资源平台实现FTP推流上传外，至少额外支持3路以上RTMP推流功能，实现与第三方平台和系统的推流对接。提供上述功能软件界面截图。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7）支持VLC缓冲设置功能，可精确到毫秒，缓冲时间阈值280~500ms可设。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8）提供流媒体直播软件著作权证书复印件。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流媒体导播软件：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1）提供所有接入摄像机画面和1路教师电脑画面预览窗口，支持视频画面任意切换。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2）支持9种以上可选布局模式，包括双分屏、三分屏、画中画等。支持自定义布局方式，支持多个视频图层自由叠加组合，支持叠加纯色图层，自定义布局时可随意拖拉画面窗口。提供布局模式软件界面截图。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3）应具有鼠标快速定位功能，通过鼠标点击快速居中画面区域，通过鼠标滚轮可以调节云台摄像机的焦距。每个云台摄像机应至少支持8个预置位设置与调用功能。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4）提供8种以上转场特效，包括渐变、缩放、切换等。支持在添加LOGO、字幕功能，支持通过鼠标直接拖拽设置LOGO和字幕在画面的显示位置。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快速调用预设的字幕内容，支持实时添加字幕，支持通过辅助软件远程实时添加字幕，字幕颜色、字幕描边、字幕背景可设。支持字幕和背景的透明度设置功能。支持字幕滚动和固定位置两种显示方式。提供上述功能软件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6）具备移动导播APP，支持IOS系统，可通过AppStore进行下载。支持与导播系统一致的窗口预览、画面切换、录制、停止、自动与手动录制切换、转场特效、布局切换、云台控制等功能。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7）提供流媒体导播软件著作权证书复印件。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流媒体点播软件：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1）为方便资源管理，系统需支持对录制视频按标题、主持人、时间、时长进行排序；可按照主题、主讲人进行分组展示；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高、低双码流录制功能，支持自定义录制分辨率、帧率和码流，码流512kbps到40Mbps可设。提供自定义录制分辨率、码流、帧率的软件功能界面截图。支持对视频文件进行点播回放，支持拖拽播放进度条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3）录制文件支持分割技术，当录制的课程时间较长时，可按照用户设定的文件时长自动分割录制成多个视频文件，提供不分段、30分钟分段、60分钟分段三种方式可选。提供软件功能界面截图。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4）支持对资源模式和电影模式同步多流录制的视频进行管理和点播，点播分辨率达1080P；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5）支持查询视频文件的分辨率、帧率和码流；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6）支持录像文件和对应PPT课件下载；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7）支持对视频进行手动FTP上传。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8）提供流媒体点播软件著作权证书复印件。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22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教师/学生特写摄像机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1)视频输出接口：HDMI*1、SDI*2，同步输出图像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2)传感器类型：CMOS、1/2.7英寸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3)传感器像素：总像素：220万，有效像素：212万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4)镜头焦距：20倍光学变焦、16倍数字变焦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5)采用了2D和基于运动估计的3D降噪算法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6)水平视场角：60.7°~3.36°，垂直视场角：34.1°~1.89°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7)水平转动范围：±170°，垂直转动范围：-30°~+120°，水平转动速度范围：1.0°~94.2°/s，垂直转动速度范围：1.0°~74.8°/s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8)支持水平、垂直翻转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9)预置位数量：255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10)网络接口：RJ45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11)音频接口：LineIn,3.5mm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12)通讯接口：RS232、RS422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13)支持的协议类型：VISCA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14)编码技术：视频H.264，音频AAC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15)电源支持：DC12V、PoE、PoC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16)要求摄像机与录播主机为同一品牌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17)提供产品无故障运行时间MTBF＞60000小时检测报告复印件。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18)提供国家广播电视产品质量监督检验中心出具的摄像机质量检验报告复印件。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22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教师/学生全景摄像机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1)视频输出接口：HDMI*1、SDI*2，同步输出图像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2)传感器类型：CMOS、1/3.0英寸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3)传感器像素：不小于200万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4)镜头焦距：10倍光学变焦、8倍数字变焦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5)采用了2D和基于运动估计的3D降噪算法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6)水平视场角80.7°~8.77°，垂直视场角45.3°~4.92°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7)水平转动范围：±170°，垂直转动范围：-30°~+120°；水平转速1.0°~94.2°/s，垂直转速1.0°~74.8°/s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8)支持水平、垂直翻转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9)预置位数量：255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10)网络接口：RJ45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11)音频接口：LineIn,3.5mm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12)通讯接口：RS232、RS422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13)支持的协议类型：VISCA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14)编码技术：视频H.264，音频AAC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15)电源支持：DC12V、PoE、PoC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16)要求摄像机与录播主机为同一品牌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17)提供产品无故障运行时间MTBF＞60000小时检测报告复印件。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18)提供国家广播电视产品质量监督检验中心出具的摄像机质量检验报告复印件。</w:t>
            </w:r>
          </w:p>
          <w:p>
            <w:pPr>
              <w:pStyle w:val="2"/>
              <w:rPr>
                <w:lang w:bidi="ar"/>
              </w:rPr>
            </w:pPr>
            <w:r>
              <w:rPr>
                <w:rFonts w:hint="eastAsia"/>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199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教师/学生定位分析仪</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1)扫描方式：逐行扫描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2)输出帧率：30fps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3)摄像元件：1/3"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4)有效像素：1920（H）×1080（V）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5)最低照度：0.3Lux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6)通讯方式：RJ-45，支持POE供电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7)提供产品无故障运行时间MTBF＞60000小时检测报告复印件。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22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教师定位分析软件</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1)采用B/S架构设计，支持通用浏览器进行远程访问进行管理；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2)采用图像识别定位分析技术，智能识别教学行为，根据预设的跟踪分析逻辑触发跟踪信号，与录播主机进行跟踪数据对接；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3)支持两种跟踪模式：紧跟模式、“特写”与“全景”切换跟踪模式。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4)支持多个区域屏蔽功能，避免屏蔽区域内的干扰，提高系统识别效果；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5)支持检测区域设置，对指定区域进行跟踪分析，支持同时划分多个检测区域。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6)具有“模糊防抖”功能，避免人员小幅度活动时引起的摄像机画面抖动现象；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7)提供教师定位分析相关软件著作权证书复印件。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14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学生定位分析软件</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1)采用B/S架构设计，支持通用浏览器进行远程访问进行管理；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2)采用图像识别定位分析技术，智能识别教学行为，根据预设的跟踪分析逻辑触发跟踪信号，与录播主机进行跟踪数据对接；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3)支持学生起立跟踪功能，支持当学生起立特写跟踪拍摄，同时支持学生起立后自定义为学生与老师双分屏交互画面；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4)支持多个学生起立跟踪功能，多学生起立切换为学生全景拍摄；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5)支持自定义规定时间间隔自动切换为学生全景画面；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6)支持多个区域屏蔽功能，避免屏蔽区域内的干扰，提高系统识别效果；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7)支持检测区域设置，对指定区域进行跟踪分析，支持同时划分多个检测区域；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8)具有“模糊防抖”功能，避免人员小幅度活动时引起的摄像机画面抖动现象；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9)提供学生定位分析相关软件著作权证书复印件。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28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录播导播面板</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86盒LED触控屏，串口协议，支持录播系统控制；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13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录播导切键盘</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手自一体控制键盘，具备手动/自动控制按钮；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具有开始/停止录播控制按钮；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具备10个数字键盘，能够设定128个预置位功能，具备菜单按钮，能够远程设置录播控制功能；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具备四维摇杆控制功能，能够对摄像机拉近、拉远进行控制，能够进行上、下、左、右摇移控制功能；</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奥威亚、小鱼、凡龙</w:t>
            </w:r>
          </w:p>
        </w:tc>
      </w:tr>
      <w:tr>
        <w:tblPrEx>
          <w:tblCellMar>
            <w:top w:w="0" w:type="dxa"/>
            <w:left w:w="0" w:type="dxa"/>
            <w:bottom w:w="0" w:type="dxa"/>
            <w:right w:w="0" w:type="dxa"/>
          </w:tblCellMar>
        </w:tblPrEx>
        <w:trPr>
          <w:trHeight w:val="30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互动教学终端</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1)支持同步课堂和视频会议双场景，支持主讲方和听课方一键切换会议画面，支持主讲方锁定听课方的会议画面。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2)支持通过硬件会议终端、电脑客户端、IOS和Android移动终端，发起和参与同步课堂互动。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3)支持≥100方并发参加视频会议，每路画质≥1080P，支持全屏模式。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4)支持终端管理、用户管理、单位通讯录管理、群组管理、组织架构管理等。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5)支持屏幕共享功能，可以快速的分享文档，PPT，电脑桌面，手机屏幕等到会议中。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6)支持同步课堂的录制、下载与分享。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7)提供平台软件免费升级与原厂技术支持。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★1)与云视频平台对接，实现高清视频会议和同步课堂互动。</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要求会议视频支持不低于高清1080P@60FPS画质，视频交互延时≤1秒，保持音画同步。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2）可以单台设备实现功能，也允许多台设备组合实现功能。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3）配置不少于1个高清视频输入接口和不少于1个高清视频输出接口，要求能对接高清摄像机、录播主机和显示设备。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3）网络接口：RJ45≥1个。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4)无线网络：支持802.11a/b/g/n/ac，支持2.4GHz，5GHz。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5)音频接口：3.5立体声音频输入和输出接口各1个。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6)支持用遥控器切换会议画面，遥控距离≥10米。</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奥威亚、小鱼、钉钉</w:t>
            </w:r>
          </w:p>
        </w:tc>
      </w:tr>
      <w:tr>
        <w:tblPrEx>
          <w:tblCellMar>
            <w:top w:w="0" w:type="dxa"/>
            <w:left w:w="0" w:type="dxa"/>
            <w:bottom w:w="0" w:type="dxa"/>
            <w:right w:w="0" w:type="dxa"/>
          </w:tblCellMar>
        </w:tblPrEx>
        <w:trPr>
          <w:trHeight w:val="20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云视频平台服务</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1)支持同步课堂和视频会议双场景，支持主讲方和听课方一键切换会议画面，支持主讲方锁定听课方的会议画面。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2)支持通过硬件会议终端、电脑客户端、IOS和Android移动终端，发起和参与同步课堂互动。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3)支持≥100方并发参加视频会议，每路画质≥1080P，支持全屏模式。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4)支持终端管理、用户管理、单位通讯录管理、群组管理、组织架构管理等。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5)支持屏幕共享功能，可以快速的分享文档，PPT，电脑桌面，手机屏幕等到会议中。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6)支持同步课堂的录制、下载与分享。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7)提供平台软件免费升级与原厂技术支持。</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奥威亚、小鱼、钉钉</w:t>
            </w:r>
          </w:p>
        </w:tc>
      </w:tr>
      <w:tr>
        <w:tblPrEx>
          <w:tblCellMar>
            <w:top w:w="0" w:type="dxa"/>
            <w:left w:w="0" w:type="dxa"/>
            <w:bottom w:w="0" w:type="dxa"/>
            <w:right w:w="0" w:type="dxa"/>
          </w:tblCellMar>
        </w:tblPrEx>
        <w:trPr>
          <w:trHeight w:val="92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教学视频管理平台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numPr>
                <w:ilvl w:val="0"/>
                <w:numId w:val="4"/>
              </w:numPr>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硬件架构：嵌入式架构设计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2）系统：嵌入式Linux系统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3）存储容量：2TB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4）内存：不小于2G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5）支持流媒体转发，单台支持不少于200点转发直播。</w:t>
            </w:r>
          </w:p>
          <w:p>
            <w:pPr>
              <w:widowControl/>
              <w:numPr>
                <w:ilvl w:val="0"/>
                <w:numId w:val="4"/>
              </w:numPr>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资源管理: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1)资源管理应用平台可任意对接所有录播教室，实现录播资源自动发布及录播教室直播收看。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2)平台支持用户远程在线预约录播教室，可实现单个或批量预约；可直接导入课表实现预约；支持预约信息的申请和审核管理。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3)平台支持视频资源多维度分类查看，如按出版社、年级、学科等分类管理，并根据关注度、用户推荐度和点击热度的不同在页面显眼处自动生成相应的列表。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4)用户可灵活创建各种视频专辑收藏及管理视频资源。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5)支持视频下载、上传、编辑、管理。可实现所有主流视频文件格式自动转码，包括asf、mpg、rmvb、mov、rm、avi、3gp、wmv、flv、mp4等，可设置下载及观看权限。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虚拟切片技术，教学视频自动划分知识点和教学环节并以列表形式展示，且不破坏视频原来的完整性。可根据学习进度对重点内容任意切换或循环播放。该功能应能同时支持PC、手机和平板用户端。提供功能界面截图，并加盖厂家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7)支持对手动上传的视频手动添加“知识点”和“教学环节”，并提供“知识点”和“教学环节”修改工具。提供功能界面截图，并加盖厂家公章。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8)提供精确搜索功能，用户可直接在资源管理平台的页面搜索框输入关键字，对某个视频标题、知识点和教学环节进行搜索。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9)平台支持一键置灰功能，恰当的肤色更能切合特殊日的氛围。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（2）直播点播模块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1)用户在点播视频或者观看课堂直播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2)支持直播权限及密码设置，让直播信息更加安全。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3)应支持教师对录制的视频上传相应的附件，支持word、excel、ppt、PDF、jpeg等格式。用户在点播视频时可查询并下载相关附件，同时无需下载附件即可边在线浏览附件内容边观看视频。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4)提供视频直播、点播转发分享功能，支持目前主流的二维码分享功能，其中点播支持支持一键转发分享至新浪微博、QQ、微信等社交平台中。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（3）微课模块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1)支持自定义微课时长限制，在规定时长内的视频上传平台后自动归类到微课广场当中。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2)微课视频支持按学段、学科进行归类查询。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3)微课广场中的微课视频支持归类管理，支持按点击热度、最新更新置顶归类。支持视频点播与评论。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（5）移动应用服务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1)资源应用与新媒体发布平台应支持移动设备访问，提供自主研发的平台移动端APP，APP应通过相关标准审核，在AppStore可直接搜索下载，方便教师和学生使用。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2)手机端平台APP支持IOS和Android系统。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3)支持通过APP具有老师、家长、学生角色，老师可创建班级并绑定班级学生；家长可绑定与学生关系，打造学校和家庭协同交流平台。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APP至少具备五种功能模块：通知、作业、学生成绩、家校圈、视频点播直播：长通过APP查看子女的历次考试成绩，并查看子女所在班级平均分，子女历次成绩的变化以曲线图形式展示；支持建立班级群，班级内家长和老师、学生可实现在线文字、图片沟通。提供APP软件界面截图，并加盖厂家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5)支持通过APP进行在线请假、活动组织功能。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6)支持通过APP点播学校资源平台的教学视频、观看录播直播节目。移动端APP支持直接播放视频，无需调用其它播放器直播。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（6）其他要求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1)为了保证系统兼容性，要求平台与录播主机为同一品牌，并提供教学视频资源管理系统相关自主知识产权证明文件复印件。</w:t>
            </w:r>
          </w:p>
          <w:p>
            <w:pPr>
              <w:pStyle w:val="2"/>
              <w:rPr>
                <w:lang w:bidi="ar"/>
              </w:rPr>
            </w:pPr>
            <w:r>
              <w:rPr>
                <w:rFonts w:hint="eastAsia"/>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奥威亚、小鱼、钉钉</w:t>
            </w:r>
          </w:p>
        </w:tc>
      </w:tr>
      <w:tr>
        <w:tblPrEx>
          <w:tblCellMar>
            <w:top w:w="0" w:type="dxa"/>
            <w:left w:w="0" w:type="dxa"/>
            <w:bottom w:w="0" w:type="dxa"/>
            <w:right w:w="0" w:type="dxa"/>
          </w:tblCellMar>
        </w:tblPrEx>
        <w:trPr>
          <w:trHeight w:val="57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65寸互动电视</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65寸LED电视机，超薄金属机身、4K分辨率、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内置操作系统、不少于2个HDMI输入接口，含壁挂或移动支架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创维、小米、TCL</w:t>
            </w:r>
          </w:p>
        </w:tc>
      </w:tr>
      <w:tr>
        <w:tblPrEx>
          <w:tblCellMar>
            <w:top w:w="0" w:type="dxa"/>
            <w:left w:w="0" w:type="dxa"/>
            <w:bottom w:w="0" w:type="dxa"/>
            <w:right w:w="0" w:type="dxa"/>
          </w:tblCellMar>
        </w:tblPrEx>
        <w:trPr>
          <w:trHeight w:val="15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指向拾音器（吊顶）</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主要功能特点：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1、大振动膜电容式全向拾音话筒；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2、坚固的金属外壳设计；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3、符合数位时代的宽频、高线性、平直的响应效果，具有高分辨能力使音质清晰；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4、抗低噪音干扰的低频衰减电路，-10dB衰减开关；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5、使用幻像48V供电、高感度、高讯噪比；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主要技术参数：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1、换能方式:电容式；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2、频率响应(Hz):40Hz-18KHz；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3、指向性:单指向，“口字型”，单面拾音；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4、输出阻抗（欧姆）:75Ω；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5、灵敏度:-38dB±2dB；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6、讯噪比：77dB1KHzat1Pa；</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4080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艾力特、快鱼、技湛</w:t>
            </w:r>
          </w:p>
        </w:tc>
      </w:tr>
      <w:tr>
        <w:tblPrEx>
          <w:tblCellMar>
            <w:top w:w="0" w:type="dxa"/>
            <w:left w:w="0" w:type="dxa"/>
            <w:bottom w:w="0" w:type="dxa"/>
            <w:right w:w="0" w:type="dxa"/>
          </w:tblCellMar>
        </w:tblPrEx>
        <w:trPr>
          <w:trHeight w:val="15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互动音频处理器</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1.采用工业级嵌入式架构，采用专用芯片和嵌入式操作系统，稳定可靠；</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2.集成自动噪音抑制技术，（去除包含空调、排气扇等噪音干扰）保证声音质量；</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★3.可通过网络进行远程监听，软件升级和参数配置</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4.集成自动噪音抑制技术（去除包含空调、排气扇等噪音干扰）,保证声音质量</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5.8路差分输入，支持软硬件48V幻象供电开启关闭</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6.4路单声道Line-IN输入,分别为：1—远程音频输入；2&amp;4—课件；3—无线麦；</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7.4路平衡输出，具体定义为：1，输出至远程（包含无线麦、吊麦、课件）；2，录音（包含无线麦、吊麦、课件、远程音频输入）；.3&amp;4，输出至音箱（包含无线麦、课件、远程音频输入）。</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8.8路平衡输入可做16段EQ处理（其他输入、输出不作EQ处理）；</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★9.智能混音功能（8路平衡输入可任意组合）；</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10.支持手拉手麦克风输入，每路可带8个从设备（可选）；</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11.NOMA 功能：根据开启的MIC 数量自动调整系统的输出电平，不会因为输入电平的叠加而使系统的输出增益提高，有效地抑制声反馈的形成（可选）；</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★12.语音抗混响功能，避免多路语音互相干扰，突出重要语音信号；</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13.回声消除功能：无线麦克风、吊麦的混音需要进行AEC处理，参考信号为远程音频信号；</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14.具有AGC功能，防止多人大声说话时破音；</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★15.除网口外，还可通过RS485接口进行软件升级和参数配置输入/输出增益、EQ、AGC、降噪等级等参数</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★16、内置声场检测功能，可测试混响时间、环境噪声、频率响应和语音传输指数STI，提供截图；</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17.远程回声消除： 处理回声延迟能力：128ms，256ms，512ms</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18.回声抑制比： ＞60dB</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19.采样率： 32K</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20.采样位数： 16位</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21.动态范围： 90db</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22.环境噪声消除：  稳态噪声消除比：30dB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23.频率响应 ： 20Hz-16KHz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24.最大增益 ： 59dB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25.电源电压 ： DC 12V/2A</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具备降噪控制软件证书；</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具备回声消除专用软件证书；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具备音频主机软件证书；</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具备公安部检测报告或其他可靠性测试报告；</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具备3C证书</w:t>
            </w:r>
          </w:p>
          <w:p>
            <w:pPr>
              <w:pStyle w:val="2"/>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★具备环境声场检测软件证书；</w:t>
            </w:r>
          </w:p>
          <w:p>
            <w:pPr>
              <w:pStyle w:val="2"/>
              <w:rPr>
                <w:lang w:bidi="ar"/>
              </w:rPr>
            </w:pPr>
            <w:r>
              <w:rPr>
                <w:rFonts w:hint="eastAsia"/>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艾力特、好视通、奥威亚</w:t>
            </w:r>
          </w:p>
        </w:tc>
      </w:tr>
      <w:tr>
        <w:tblPrEx>
          <w:tblCellMar>
            <w:top w:w="0" w:type="dxa"/>
            <w:left w:w="0" w:type="dxa"/>
            <w:bottom w:w="0" w:type="dxa"/>
            <w:right w:w="0" w:type="dxa"/>
          </w:tblCellMar>
        </w:tblPrEx>
        <w:trPr>
          <w:trHeight w:val="133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办公电脑</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商用计算机；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CPU≥英特尔酷睿i5-10500T (6-核, 12MB 缓存, 2.3GHz )处理器或以上；</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内存≥8G（单条）DDR4 2666MHz，支持双内存条插槽；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要求同时支持M.2PCIeNVme固态硬盘接口及SATA硬盘接口；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本次标配固态硬盘容量≥256G，SATA硬盘容量≥1T；</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集成显卡、要求支持双屏显示；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接口USB3.2端口≥4个，HDMI或DP高清接口≥2个；</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机箱尺寸≤1.2L；</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内置千兆网卡，内置英特尔 Wi-Fi 6 AX200 2x2 (Gig+) + 蓝牙 5.1；</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外置电源，USB键盘鼠标；</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资质权威检验中心出具的MTBF平均无故障时间≥800000小时，提供证明材料；</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产品整机通过国家强制3C认证，提供证书复印件；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内置Windows 10中文版操作系统；</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主机正面和背面各带一个音频输出接口，以方便录播、多媒体及其他设备采集音频数据；</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配套同品牌21.5寸液晶显示器，内置DP高清接口；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配套支架可将电脑主机及显示器一体化安装，通过支架显示器可以实现上下升降，左右旋转，可升高高度≥11cm，左右旋转角度0~180°；</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显示器可旋转为竖屏状态；</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w:t>
            </w:r>
            <w:r>
              <w:rPr>
                <w:rFonts w:hint="eastAsia" w:ascii="宋体" w:hAnsi="宋体" w:cs="宋体"/>
                <w:color w:val="000000"/>
                <w:kern w:val="0"/>
                <w:sz w:val="22"/>
                <w:szCs w:val="22"/>
                <w:lang w:bidi="ar"/>
              </w:rPr>
              <w:t>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w:t>
            </w:r>
            <w:r>
              <w:rPr>
                <w:rFonts w:hint="eastAsia" w:ascii="宋体" w:hAnsi="宋体" w:cs="宋体"/>
                <w:color w:val="000000"/>
                <w:kern w:val="0"/>
                <w:sz w:val="22"/>
                <w:szCs w:val="22"/>
                <w:lang w:bidi="ar"/>
              </w:rPr>
              <w:t>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联想、惠普、戴尔</w:t>
            </w:r>
          </w:p>
        </w:tc>
      </w:tr>
      <w:tr>
        <w:tblPrEx>
          <w:tblCellMar>
            <w:top w:w="0" w:type="dxa"/>
            <w:left w:w="0" w:type="dxa"/>
            <w:bottom w:w="0" w:type="dxa"/>
            <w:right w:w="0" w:type="dxa"/>
          </w:tblCellMar>
        </w:tblPrEx>
        <w:trPr>
          <w:trHeight w:val="12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全高视频清矩阵</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1U机架式设计；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HDMI输入接口≥4个，HDMI输出接口≥4个；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支持UHD(3840x2160)与DCI(4096x2160)的4K分辨率，以及30Hz(4:4:4)与60Hz(4:2:0)的画面刷新率；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可选择EDID设定的模式，能确保在不同屏幕间依然拥有最佳的分辨率并提供顺畅的画面显示；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RS232控制口≥1个，IR控制口≥1个；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可通过前面板按键、IR遥控器、RS-232控制器进行视频切换；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具有FCC、RoHS、CE、CCC等相关认证，提供证书复印件,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厂商具有CCRC信息安全服务资质认证证书；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6</w:t>
            </w:r>
            <w:r>
              <w:rPr>
                <w:rFonts w:hint="eastAsia" w:ascii="宋体" w:hAnsi="宋体" w:cs="宋体"/>
                <w:color w:val="000000"/>
                <w:kern w:val="0"/>
                <w:sz w:val="22"/>
                <w:szCs w:val="22"/>
                <w:lang w:bidi="ar"/>
              </w:rPr>
              <w:t>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6</w:t>
            </w:r>
            <w:r>
              <w:rPr>
                <w:rFonts w:hint="eastAsia" w:ascii="宋体" w:hAnsi="宋体" w:cs="宋体"/>
                <w:color w:val="000000"/>
                <w:kern w:val="0"/>
                <w:sz w:val="22"/>
                <w:szCs w:val="22"/>
                <w:lang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快思聪、小鸟、ATEN</w:t>
            </w:r>
          </w:p>
        </w:tc>
      </w:tr>
      <w:tr>
        <w:tblPrEx>
          <w:tblCellMar>
            <w:top w:w="0" w:type="dxa"/>
            <w:left w:w="0" w:type="dxa"/>
            <w:bottom w:w="0" w:type="dxa"/>
            <w:right w:w="0" w:type="dxa"/>
          </w:tblCellMar>
        </w:tblPrEx>
        <w:trPr>
          <w:trHeight w:val="163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24口接入交换机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固定端口：≥24个千兆电口，≥4个千兆光口，1个控制口；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交换容量：≥240Gbps；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包转发率：≥94Mpps；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最大支持VLAN数：≥4K；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MAC地址：≥16K；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路由功能：IPv4/IPv6静态路由，RIPv1/2、OSPF动态路由，IPv4策略路由；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ARP表：≧512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支持端口聚合；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支持堆叠；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支持DHCPServer；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防雷：9KV（提供官网防雷截图证明）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支持VLAN功能，≥1000个VLAN，支持802.1Q标准VLAN；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支持CLI、SNMP、Console、Telnet、SSH等；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支持智能交换机、普通交换机两种工作模式切换；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支持通过APP进行远程管理，并且可以修改交换机网络配置，提供APP软件功能配置截图证明；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支持通过网管平台跨广域网、NAT远程管理智能交换机，提供截图证明；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支持通过在控制器平台的Web页面对交换机进行可视化管理查看，包括交换机的端口状态及配置、vlan信息，提供功能截图证明；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支持通过控制器平台图形化操作对交换机端口状态的开启与关闭，提供功能截图证明；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支持通过控制器平台查看交换机面板端口工作状态，通过端口颜色显示状态即可判断端口是否在线工作；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支持通过控制器平台查看交换机处于工作端口最近5分钟、1小时、最近1天、最近1周发送与接收的流量趋势；提供功能截图证明；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支持终端类型库，基于指纹自动识别PC、路由器、监控终端设备等，提供平台终端类型识别库截图证明；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支持基于终端类型自动识别结果，禁止非法终端(例如私接路由器)接入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支持与第三方系统上报接入终端信息，包含IP、MAC、用户名、APID/SWID、AP名/SW名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支持第三方系统下发的冻结风险终端的请求，对风险终端进行冻结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支持安全状态页面中统计显示联动事件次数及详情，提供功能截图证明；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支持安全日志显示对应安全事件，包括钓鱼AP攻击、DDOS攻击、爆破攻击、IP冲突、ARP扫描攻击等，提供功能截图证明；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支持终端IP-MAC绑定，当IP+MAC不对应时，可以将终端加入黑名单实现断开终端流量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支持终端IP-MAC首次部署自动学习绑定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支持将交换机的端口进行端口组划分，方便配置管理，提供功能截图证明；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支持预留的特权IP必须由管理员审批才可以使用，同时支持IP白名单免审批，提供功能截图证明；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支持终端的MAC与交换机端口变更检测，提供功能截图；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支持终端发生安全策略事件后，交换机将终端加入黑名单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支持交换机端口终端类型变更后，通过APP、短信告警，提供功能截图证明；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可以自定义交换机端口接入终端类型，及MAC黑白名单，提供功能截图证明；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支持查看终端在交换机端口离线次数、闲置时间、离线趋势，提供功能截图证明；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支持查看安全事件记录、终端类型异常记录、终端在端口迁移次数、终端地址异常记录等安全事件的记录统计，提供功能截图证明；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支持查看终端的的历史接入交换机端口，终端的活跃状态，提供功能截图证明；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为保证兼容性与统一管理，要求本次招标的无线管控平台与AP、交换机、POE交换机为同一品牌；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为满足无线网络对接、研发管理、实施能力，要求厂家获得CMMI-5资质证书；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要求提供产品3C证书、节能证书、入网许可证书；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华为、华三、信锐</w:t>
            </w:r>
          </w:p>
        </w:tc>
      </w:tr>
      <w:tr>
        <w:tblPrEx>
          <w:tblCellMar>
            <w:top w:w="0" w:type="dxa"/>
            <w:left w:w="0" w:type="dxa"/>
            <w:bottom w:w="0" w:type="dxa"/>
            <w:right w:w="0" w:type="dxa"/>
          </w:tblCellMar>
        </w:tblPrEx>
        <w:trPr>
          <w:trHeight w:val="15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无源音箱</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系统类型：两分频，低频反射式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扬声器单元：1x5.25英寸低音单元，2x3寸高音单元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频率响应(±3dB)：70Hz–16kHz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灵敏度:87dB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额定阻抗:8欧姆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最大声压级:110dB（峰值）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额定功率:70W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峰值功率：280W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覆盖角度:70°x50°(HxV)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标配原厂U型支架,便于垂直或水平安装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净重≥5KG</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2580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5160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JBL、YAMAHA、BOSE</w:t>
            </w:r>
          </w:p>
        </w:tc>
      </w:tr>
      <w:tr>
        <w:tblPrEx>
          <w:tblCellMar>
            <w:top w:w="0" w:type="dxa"/>
            <w:left w:w="0" w:type="dxa"/>
            <w:bottom w:w="0" w:type="dxa"/>
            <w:right w:w="0" w:type="dxa"/>
          </w:tblCellMar>
        </w:tblPrEx>
        <w:trPr>
          <w:trHeight w:val="22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两通道数字功放</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输出功率不小于：8Ohm150W高效功放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内置不少于2路UHF无线麦克风和1路有线麦克风输入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支持蓝牙和USB播放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内置语言混响效果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32位DSP音频数字信号处理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★自动反馈抑制，多级可调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自动闪避和自动增益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预制三个场景模式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★话筒通道和音乐通道均内置有7段参量均衡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RCA输入输出电平调整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1个RCAL/R线路输入和1个RCAL/R线路输出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中英文菜单切换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彩色2.8寸显示屏，亮度可调节</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JBL、YAMAHA、BOSE</w:t>
            </w:r>
          </w:p>
        </w:tc>
      </w:tr>
      <w:tr>
        <w:tblPrEx>
          <w:tblCellMar>
            <w:top w:w="0" w:type="dxa"/>
            <w:left w:w="0" w:type="dxa"/>
            <w:bottom w:w="0" w:type="dxa"/>
            <w:right w:w="0" w:type="dxa"/>
          </w:tblCellMar>
        </w:tblPrEx>
        <w:trPr>
          <w:trHeight w:val="11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导播桌椅</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1.电视台通用型1.6米非编操作台，兼具美观与耐用性；</w:t>
            </w:r>
            <w:r>
              <w:rPr>
                <w:rFonts w:hint="eastAsia" w:ascii="宋体" w:hAnsi="宋体" w:cs="宋体"/>
                <w:kern w:val="0"/>
                <w:sz w:val="22"/>
                <w:szCs w:val="22"/>
                <w:lang w:bidi="ar"/>
              </w:rPr>
              <w:br w:type="textWrapping"/>
            </w:r>
            <w:r>
              <w:rPr>
                <w:rFonts w:hint="eastAsia" w:ascii="宋体" w:hAnsi="宋体" w:cs="宋体"/>
                <w:kern w:val="0"/>
                <w:sz w:val="22"/>
                <w:szCs w:val="22"/>
                <w:lang w:bidi="ar"/>
              </w:rPr>
              <w:t>2.钢木结合材料一体成型；桌体采用1.5mm冷轧钢板；</w:t>
            </w:r>
            <w:r>
              <w:rPr>
                <w:rFonts w:hint="eastAsia" w:ascii="宋体" w:hAnsi="宋体" w:cs="宋体"/>
                <w:kern w:val="0"/>
                <w:sz w:val="22"/>
                <w:szCs w:val="22"/>
                <w:lang w:bidi="ar"/>
              </w:rPr>
              <w:br w:type="textWrapping"/>
            </w:r>
            <w:r>
              <w:rPr>
                <w:rFonts w:hint="eastAsia" w:ascii="宋体" w:hAnsi="宋体" w:cs="宋体"/>
                <w:kern w:val="0"/>
                <w:sz w:val="22"/>
                <w:szCs w:val="22"/>
                <w:lang w:bidi="ar"/>
              </w:rPr>
              <w:t>3.桌面采用深色耐划木质材料；</w:t>
            </w:r>
            <w:r>
              <w:rPr>
                <w:rFonts w:hint="eastAsia" w:ascii="宋体" w:hAnsi="宋体" w:cs="宋体"/>
                <w:kern w:val="0"/>
                <w:sz w:val="22"/>
                <w:szCs w:val="22"/>
                <w:lang w:bidi="ar"/>
              </w:rPr>
              <w:br w:type="textWrapping"/>
            </w:r>
            <w:r>
              <w:rPr>
                <w:rFonts w:hint="eastAsia" w:ascii="宋体" w:hAnsi="宋体" w:cs="宋体"/>
                <w:kern w:val="0"/>
                <w:sz w:val="22"/>
                <w:szCs w:val="22"/>
                <w:lang w:bidi="ar"/>
              </w:rPr>
              <w:t>4.尺寸：1600*900*800（MM）；</w:t>
            </w:r>
            <w:r>
              <w:rPr>
                <w:rFonts w:hint="eastAsia" w:ascii="宋体" w:hAnsi="宋体" w:cs="宋体"/>
                <w:kern w:val="0"/>
                <w:sz w:val="22"/>
                <w:szCs w:val="22"/>
                <w:lang w:bidi="ar"/>
              </w:rPr>
              <w:br w:type="textWrapping"/>
            </w:r>
            <w:r>
              <w:rPr>
                <w:rFonts w:hint="eastAsia" w:ascii="宋体" w:hAnsi="宋体" w:cs="宋体"/>
                <w:kern w:val="0"/>
                <w:sz w:val="22"/>
                <w:szCs w:val="22"/>
                <w:lang w:bidi="ar"/>
              </w:rPr>
              <w:t>5.隐藏式滑轨抽屉，可容纳键盘、鼠标；</w:t>
            </w:r>
            <w:r>
              <w:rPr>
                <w:rFonts w:hint="eastAsia" w:ascii="宋体" w:hAnsi="宋体" w:cs="宋体"/>
                <w:kern w:val="0"/>
                <w:sz w:val="22"/>
                <w:szCs w:val="22"/>
                <w:lang w:bidi="ar"/>
              </w:rPr>
              <w:br w:type="textWrapping"/>
            </w:r>
            <w:r>
              <w:rPr>
                <w:rFonts w:hint="eastAsia" w:ascii="宋体" w:hAnsi="宋体" w:cs="宋体"/>
                <w:kern w:val="0"/>
                <w:sz w:val="22"/>
                <w:szCs w:val="22"/>
                <w:lang w:bidi="ar"/>
              </w:rPr>
              <w:t>6.非编桌带标准机架柜，钢板厚度≥1.5MM，足够容纳全部设备；</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定制</w:t>
            </w:r>
          </w:p>
        </w:tc>
      </w:tr>
      <w:tr>
        <w:tblPrEx>
          <w:tblCellMar>
            <w:top w:w="0" w:type="dxa"/>
            <w:left w:w="0" w:type="dxa"/>
            <w:bottom w:w="0" w:type="dxa"/>
            <w:right w:w="0" w:type="dxa"/>
          </w:tblCellMar>
        </w:tblPrEx>
        <w:trPr>
          <w:trHeight w:val="12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附件、系统集成</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要求现场勘察，绘制教室的LED、扩声、灯光、同步课堂、智控系统布线图，系统图，立面布置图；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要求投标文件中技术方案提供图纸呈现；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要求制作报告厅360度3D漫游效果图，标书中提供二维码，以便评委扫码观看；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根据招标要求，提供设备安装、调试、培训等。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270" w:hRule="atLeast"/>
        </w:trPr>
        <w:tc>
          <w:tcPr>
            <w:tcW w:w="1081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263040元</w:t>
            </w:r>
          </w:p>
        </w:tc>
      </w:tr>
      <w:tr>
        <w:tblPrEx>
          <w:tblCellMar>
            <w:top w:w="0" w:type="dxa"/>
            <w:left w:w="0" w:type="dxa"/>
            <w:bottom w:w="0" w:type="dxa"/>
            <w:right w:w="0"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六</w:t>
            </w:r>
          </w:p>
        </w:tc>
        <w:tc>
          <w:tcPr>
            <w:tcW w:w="1515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计算机教室</w:t>
            </w:r>
          </w:p>
        </w:tc>
      </w:tr>
      <w:tr>
        <w:tblPrEx>
          <w:tblCellMar>
            <w:top w:w="0" w:type="dxa"/>
            <w:left w:w="0" w:type="dxa"/>
            <w:bottom w:w="0" w:type="dxa"/>
            <w:right w:w="0" w:type="dxa"/>
          </w:tblCellMar>
        </w:tblPrEx>
        <w:trPr>
          <w:trHeight w:val="15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教师计算机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商用计算机；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★CPU≥英特尔酷睿i5-10500T (6-核, 12MB 缓存, 2.3GHz )处理器或以上；</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内存≥8G（单条）DDR4 2666MHz，支持双内存条插槽；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要求同时支持M.2PCIeNVme固态硬盘接口及SATA硬盘接口；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★本次标配固态硬盘容量≥256G，SATA硬盘容量≥1T；</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集成显卡、要求支持双屏显示；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接口USB3.2端口≥4个，HDMI或DP高清接口≥2个；</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机箱尺寸≤1.2L；</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内置千兆网卡，内置英特尔 Wi-Fi 6 AX200 2x2 (Gig+) + 蓝牙 5.1；</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外置电源，USB键盘鼠标；</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资质权威检验中心出具的MTBF平均无故障时间≥800000小时，提供证明材料；</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产品整机通过国家强制3C认证，提供证书复印件；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内置Windows 10中文版操作系统；</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主机正面和背面各带一个音频输出接口，以方便录播、多媒体及其他设备采集音频数据；</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配套同品牌21.5寸液晶显示器，内置DP高清接口；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★配套支架可将电脑主机及显示器一体化安装，通过支架显示器可以实现上下升降，左右旋转，可升高高度≥11cm，左右旋转角度0~180°；</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显示器可旋转为竖屏状态；</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w:t>
            </w:r>
            <w:r>
              <w:rPr>
                <w:rFonts w:hint="eastAsia" w:ascii="宋体" w:hAnsi="宋体" w:cs="宋体"/>
                <w:color w:val="000000"/>
                <w:kern w:val="0"/>
                <w:sz w:val="22"/>
                <w:szCs w:val="22"/>
                <w:lang w:bidi="ar"/>
              </w:rPr>
              <w:t>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10</w:t>
            </w:r>
            <w:r>
              <w:rPr>
                <w:rFonts w:hint="eastAsia" w:ascii="宋体" w:hAnsi="宋体" w:cs="宋体"/>
                <w:color w:val="000000"/>
                <w:kern w:val="0"/>
                <w:sz w:val="22"/>
                <w:szCs w:val="22"/>
                <w:lang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联想、惠普、戴尔</w:t>
            </w:r>
          </w:p>
        </w:tc>
      </w:tr>
      <w:tr>
        <w:tblPrEx>
          <w:tblCellMar>
            <w:top w:w="0" w:type="dxa"/>
            <w:left w:w="0" w:type="dxa"/>
            <w:bottom w:w="0" w:type="dxa"/>
            <w:right w:w="0" w:type="dxa"/>
          </w:tblCellMar>
        </w:tblPrEx>
        <w:trPr>
          <w:trHeight w:val="18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学生计算机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商用计算机；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★CPU≥英特尔酷睿i3-10100T (4-核, 6MB 缓存, 3GHz )处理器或以上；</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内存≥4G（单条）DDR4 2666MHz，支持双内存条插槽；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要求同时支持M.2PCIeNVme固态硬盘接口及SATA硬盘接口；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★本次标配固态硬盘容量≥256G；</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集成显卡、要求支持双屏显示；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接口USB3.2端口≥4个，HDMI或DP高清接口≥2个；</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机箱尺寸≤1.2L；</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内置千兆网卡；</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外置电源，USB键盘鼠标；</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资质权威检验中心出具的MTBF平均无故障时间≥800000小时，提供证明材料；</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产品整机通过国家强制3C认证，提供证书复印件；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内置Windows 10中文版操作系统；</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主机正面和背面各带一个音频输出接口，以方便录播、多媒体及其他设备采集音频数据；</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配套同品牌21.5寸液晶显示器，内置DP高清接口；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配套支架可将电脑主机及显示器一体化安装；</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主板集成硬盘保护网络同传功能，支持对传输数据进行加密，原厂带一键恢复功能</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联想、惠普、戴尔</w:t>
            </w:r>
          </w:p>
        </w:tc>
      </w:tr>
      <w:tr>
        <w:tblPrEx>
          <w:tblCellMar>
            <w:top w:w="0" w:type="dxa"/>
            <w:left w:w="0" w:type="dxa"/>
            <w:bottom w:w="0" w:type="dxa"/>
            <w:right w:w="0" w:type="dxa"/>
          </w:tblCellMar>
        </w:tblPrEx>
        <w:trPr>
          <w:trHeight w:val="19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机房管理软件</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课堂教学管理：教师可以监控并限制单个，也可以限制多个学生在学生机上访问网站(可限制指定IP地制访问、隐私访问功能的开启、安全索引等)、对U盘访问权限的设定（完全开放、只读、只写、完全限制）、打印机、运行程序等行为，提供良好教学环境。教师可以实时监控学生桌面；监管学生屏幕界面操作并可截屏操作，对学生进行实时指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远程屏幕广播：能流畅广播所有软件，程序，文档的实时运行操作。同时可进行1080P高清、DVD、VCD等主流多媒体视频的广播，且教师可共享白板、桌面或图片与选定的学生共同完成相同的学习任务或绘画作品，提供学生也可以单独完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（3）远程屏幕锁定：教师可以对单个学生或多个学生进行实时远程操控学生电脑，可进行远程程序关闭、任务管理启动、关机，同时可对网络/USB/光驱/打印/扬声器进行提前设置操控权限，使学生认真听讲；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（4）远程文件传送：用于传送作业，接收作业数据和文件；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（5）教学测评功能：答题卡考试，教师导入word、ppt、excel、pdf等文档类型的考试内容共享给学生，阅卷评分，抢答竞赛等功能；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（6）其他：支持中英文双语教学，提供正版牛津词典；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（7）支持有线、无线两种方式连接方式；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（8）为提高软件的兼容性，机房电子教室软件，要求与考试计算机电脑同一品牌；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（9）提供软件著作权软件证书；</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联想、极域、戴尔</w:t>
            </w:r>
          </w:p>
        </w:tc>
      </w:tr>
      <w:tr>
        <w:tblPrEx>
          <w:tblCellMar>
            <w:top w:w="0" w:type="dxa"/>
            <w:left w:w="0" w:type="dxa"/>
            <w:bottom w:w="0" w:type="dxa"/>
            <w:right w:w="0" w:type="dxa"/>
          </w:tblCellMar>
        </w:tblPrEx>
        <w:trPr>
          <w:trHeight w:val="17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24口千兆交换机</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固定端口：≥24个千兆电口，≥4个千兆光口，1个控制口；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交换容量：≥240Gbps；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包转发率：≥94Mpps；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最大支持VLAN数：≥4K；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MAC地址：≥16K；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路由功能：IPv4/IPv6静态路由，RIPv1/2、OSPF动态路由，IPv4策略路由；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ARP表：≧512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支持端口聚合；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支持堆叠；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支持DHCPServer；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防雷：9KV（提供官网防雷截图证明）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支持VLAN功能，≥1000个VLAN，支持802.1Q标准VLAN；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支持CLI、SNMP、Console、Telnet、SSH等；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支持智能交换机、普通交换机两种工作模式切换；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支持通过APP进行远程管理，并且可以修改交换机网络配置，提供APP软件功能配置截图证明；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支持通过网管平台跨广域网、NAT远程管理智能交换机，提供截图证明；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支持通过在控制器平台的Web页面对交换机进行可视化管理查看，包括交换机的端口状态及配置、vlan信息，提供功能截图证明；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支持通过控制器平台图形化操作对交换机端口状态的开启与关闭，提供功能截图证明；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支持通过控制器平台查看交换机面板端口工作状态，通过端口颜色显示状态即可判断端口是否在线工作；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支持通过控制器平台查看交换机处于工作端口最近5分钟、1小时、最近1天、最近1周发送与接收的流量趋势；提供功能截图证明；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支持终端类型库，基于指纹自动识别PC、路由器、监控终端设备等，提供平台终端类型识别库截图证明；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支持基于终端类型自动识别结果，禁止非法终端(例如私接路由器)接入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支持与第三方系统上报接入终端信息，包含IP、MAC、用户名、APID/SWID、AP名/SW名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支持第三方系统下发的冻结风险终端的请求，对风险终端进行冻结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支持安全状态页面中统计显示联动事件次数及详情，提供功能截图证明；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支持安全日志显示对应安全事件，包括钓鱼AP攻击、DDOS攻击、爆破攻击、IP冲突、ARP扫描攻击等，提供功能截图证明；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支持终端IP-MAC绑定，当IP+MAC不对应时，可以将终端加入黑名单实现断开终端流量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支持终端IP-MAC首次部署自动学习绑定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支持将交换机的端口进行端口组划分，方便配置管理，提供功能截图证明；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支持预留的特权IP必须由管理员审批才可以使用，同时支持IP白名单免审批，提供功能截图证明；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支持终端的MAC与交换机端口变更检测，提供功能截图；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支持终端发生安全策略事件后，交换机将终端加入黑名单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支持交换机端口终端类型变更后，通过APP、短信告警，提供功能截图证明；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可以自定义交换机端口接入终端类型，及MAC黑白名单，提供功能截图证明；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支持查看终端在交换机端口离线次数、闲置时间、离线趋势，提供功能截图证明；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支持查看安全事件记录、终端类型异常记录、终端在端口迁移次数、终端地址异常记录等安全事件的记录统计，提供功能截图证明；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支持查看终端的的历史接入交换机端口，终端的活跃状态，提供功能截图证明；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为保证兼容性与统一管理，要求本次招标的无线管控平台与AP、交换机、POE交换机为同一品牌；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为满足无线网络对接、研发管理、实施能力，要求厂家获得CMMI-5资质证书；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要求提供产品3C证书、节能证书、入网许可证书；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华为、H3C、信锐</w:t>
            </w:r>
          </w:p>
        </w:tc>
      </w:tr>
      <w:tr>
        <w:tblPrEx>
          <w:tblCellMar>
            <w:top w:w="0" w:type="dxa"/>
            <w:left w:w="0" w:type="dxa"/>
            <w:bottom w:w="0" w:type="dxa"/>
            <w:right w:w="0" w:type="dxa"/>
          </w:tblCellMar>
        </w:tblPrEx>
        <w:trPr>
          <w:trHeight w:val="17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钢木讲台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1.讲台上体采用1.1mm优质冷轧钢板其余1.0mm，上下层采用分体式设计，上下凹凸型，附安全锁。闭合尺寸:(长)1100mm(宽)650mm(高)900mm，台面采用9mm厚度防划痕木纹面板，防静电。提供橡木扶手方便使用者握扶。</w:t>
            </w:r>
            <w:r>
              <w:rPr>
                <w:rFonts w:hint="eastAsia" w:ascii="宋体" w:hAnsi="宋体" w:cs="宋体"/>
                <w:kern w:val="0"/>
                <w:sz w:val="22"/>
                <w:szCs w:val="22"/>
                <w:lang w:bidi="ar"/>
              </w:rPr>
              <w:br w:type="textWrapping"/>
            </w:r>
            <w:r>
              <w:rPr>
                <w:rFonts w:hint="eastAsia" w:ascii="宋体" w:hAnsi="宋体" w:cs="宋体"/>
                <w:kern w:val="0"/>
                <w:sz w:val="22"/>
                <w:szCs w:val="22"/>
                <w:lang w:bidi="ar"/>
              </w:rPr>
              <w:t>2.讲台正面带两个滑轨抽拉抽屉，可放置黑板檫、无线键盘、无线鼠标、环保书写笔、领夹话筒等常用校具，便于操作使用。反面带L形实木板，美观大方。</w:t>
            </w:r>
            <w:r>
              <w:rPr>
                <w:rFonts w:hint="eastAsia" w:ascii="宋体" w:hAnsi="宋体" w:cs="宋体"/>
                <w:kern w:val="0"/>
                <w:sz w:val="22"/>
                <w:szCs w:val="22"/>
                <w:lang w:bidi="ar"/>
              </w:rPr>
              <w:br w:type="textWrapping"/>
            </w:r>
            <w:r>
              <w:rPr>
                <w:rFonts w:hint="eastAsia" w:ascii="宋体" w:hAnsi="宋体" w:cs="宋体"/>
                <w:kern w:val="0"/>
                <w:sz w:val="22"/>
                <w:szCs w:val="22"/>
                <w:lang w:bidi="ar"/>
              </w:rPr>
              <w:t>3.讲台下体正前方为内凹型，方便老师在自习室课时坐着批改作业，内置隔板，用以放置粉笔盒。</w:t>
            </w:r>
            <w:r>
              <w:rPr>
                <w:rFonts w:hint="eastAsia" w:ascii="宋体" w:hAnsi="宋体" w:cs="宋体"/>
                <w:kern w:val="0"/>
                <w:sz w:val="22"/>
                <w:szCs w:val="22"/>
                <w:lang w:bidi="ar"/>
              </w:rPr>
              <w:br w:type="textWrapping"/>
            </w:r>
            <w:r>
              <w:rPr>
                <w:rFonts w:hint="eastAsia" w:ascii="宋体" w:hAnsi="宋体" w:cs="宋体"/>
                <w:kern w:val="0"/>
                <w:sz w:val="22"/>
                <w:szCs w:val="22"/>
                <w:lang w:bidi="ar"/>
              </w:rPr>
              <w:t>4.锁具：共用同一钥匙，每个讲台配二把钥匙；道轨：优质消音滚珠道轨。</w:t>
            </w:r>
            <w:r>
              <w:rPr>
                <w:rFonts w:hint="eastAsia" w:ascii="宋体" w:hAnsi="宋体" w:cs="宋体"/>
                <w:kern w:val="0"/>
                <w:sz w:val="22"/>
                <w:szCs w:val="22"/>
                <w:lang w:bidi="ar"/>
              </w:rPr>
              <w:br w:type="textWrapping"/>
            </w:r>
            <w:r>
              <w:rPr>
                <w:rFonts w:hint="eastAsia" w:ascii="宋体" w:hAnsi="宋体" w:cs="宋体"/>
                <w:kern w:val="0"/>
                <w:sz w:val="22"/>
                <w:szCs w:val="22"/>
                <w:lang w:bidi="ar"/>
              </w:rPr>
              <w:t>5.讲桌桌子内部采用机柜式标准设计，带隔板，可上下自由调节，中控及功放等设备可以固定安装起来，所有设备摆放整齐、美观。带漏电保护器和空气开关。讲台底部可打膨胀螺丝与地面固定。</w:t>
            </w:r>
            <w:r>
              <w:rPr>
                <w:rFonts w:hint="eastAsia" w:ascii="宋体" w:hAnsi="宋体" w:cs="宋体"/>
                <w:kern w:val="0"/>
                <w:sz w:val="22"/>
                <w:szCs w:val="22"/>
                <w:lang w:bidi="ar"/>
              </w:rPr>
              <w:br w:type="textWrapping"/>
            </w:r>
            <w:r>
              <w:rPr>
                <w:rFonts w:hint="eastAsia" w:ascii="宋体" w:hAnsi="宋体" w:cs="宋体"/>
                <w:kern w:val="0"/>
                <w:sz w:val="22"/>
                <w:szCs w:val="22"/>
                <w:lang w:bidi="ar"/>
              </w:rPr>
              <w:t>6.按学校需要提供讲台底座。</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张</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定制</w:t>
            </w:r>
          </w:p>
        </w:tc>
      </w:tr>
      <w:tr>
        <w:tblPrEx>
          <w:tblCellMar>
            <w:top w:w="0" w:type="dxa"/>
            <w:left w:w="0" w:type="dxa"/>
            <w:bottom w:w="0" w:type="dxa"/>
            <w:right w:w="0" w:type="dxa"/>
          </w:tblCellMar>
        </w:tblPrEx>
        <w:trPr>
          <w:trHeight w:val="21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lang w:bidi="ar"/>
              </w:rPr>
              <w:t>2人电脑桌</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电脑桌尺寸：(长)1300×(宽)600×(高)700MM，</w:t>
            </w:r>
            <w:r>
              <w:rPr>
                <w:rFonts w:hint="eastAsia" w:ascii="宋体" w:hAnsi="宋体" w:cs="宋体"/>
                <w:kern w:val="0"/>
                <w:sz w:val="22"/>
                <w:szCs w:val="22"/>
                <w:lang w:bidi="ar"/>
              </w:rPr>
              <w:br w:type="textWrapping"/>
            </w:r>
            <w:r>
              <w:rPr>
                <w:rFonts w:hint="eastAsia" w:ascii="宋体" w:hAnsi="宋体" w:cs="宋体"/>
                <w:kern w:val="0"/>
                <w:sz w:val="22"/>
                <w:szCs w:val="22"/>
                <w:lang w:bidi="ar"/>
              </w:rPr>
              <w:t>整体钢木结构，可组合并排放。可坐2个学生。</w:t>
            </w:r>
            <w:r>
              <w:rPr>
                <w:rFonts w:hint="eastAsia" w:ascii="宋体" w:hAnsi="宋体" w:cs="宋体"/>
                <w:kern w:val="0"/>
                <w:sz w:val="22"/>
                <w:szCs w:val="22"/>
                <w:lang w:bidi="ar"/>
              </w:rPr>
              <w:br w:type="textWrapping"/>
            </w:r>
            <w:r>
              <w:rPr>
                <w:rFonts w:hint="eastAsia" w:ascii="宋体" w:hAnsi="宋体" w:cs="宋体"/>
                <w:kern w:val="0"/>
                <w:sz w:val="22"/>
                <w:szCs w:val="22"/>
                <w:lang w:bidi="ar"/>
              </w:rPr>
              <w:t>桌面采用20mm厚度实木板，防静电。下支架采用40*40mm，厚1.2mm镀锌方管，</w:t>
            </w:r>
            <w:r>
              <w:rPr>
                <w:rFonts w:hint="eastAsia" w:ascii="宋体" w:hAnsi="宋体" w:cs="宋体"/>
                <w:kern w:val="0"/>
                <w:sz w:val="22"/>
                <w:szCs w:val="22"/>
                <w:lang w:bidi="ar"/>
              </w:rPr>
              <w:br w:type="textWrapping"/>
            </w:r>
            <w:r>
              <w:rPr>
                <w:rFonts w:hint="eastAsia" w:ascii="宋体" w:hAnsi="宋体" w:cs="宋体"/>
                <w:kern w:val="0"/>
                <w:sz w:val="22"/>
                <w:szCs w:val="22"/>
                <w:lang w:bidi="ar"/>
              </w:rPr>
              <w:t>颜色为电脑灰，焊接拼接而成。</w:t>
            </w:r>
            <w:r>
              <w:rPr>
                <w:rFonts w:hint="eastAsia" w:ascii="宋体" w:hAnsi="宋体" w:cs="宋体"/>
                <w:kern w:val="0"/>
                <w:sz w:val="22"/>
                <w:szCs w:val="22"/>
                <w:lang w:bidi="ar"/>
              </w:rPr>
              <w:br w:type="textWrapping"/>
            </w:r>
            <w:r>
              <w:rPr>
                <w:rFonts w:hint="eastAsia" w:ascii="宋体" w:hAnsi="宋体" w:cs="宋体"/>
                <w:kern w:val="0"/>
                <w:sz w:val="22"/>
                <w:szCs w:val="22"/>
                <w:lang w:bidi="ar"/>
              </w:rPr>
              <w:t>桌面下方电源线隐藏式，线槽可活动，方便维修。</w:t>
            </w:r>
            <w:r>
              <w:rPr>
                <w:rFonts w:hint="eastAsia" w:ascii="宋体" w:hAnsi="宋体" w:cs="宋体"/>
                <w:kern w:val="0"/>
                <w:sz w:val="22"/>
                <w:szCs w:val="22"/>
                <w:lang w:bidi="ar"/>
              </w:rPr>
              <w:br w:type="textWrapping"/>
            </w:r>
            <w:r>
              <w:rPr>
                <w:rFonts w:hint="eastAsia" w:ascii="宋体" w:hAnsi="宋体" w:cs="宋体"/>
                <w:kern w:val="0"/>
                <w:sz w:val="22"/>
                <w:szCs w:val="22"/>
                <w:lang w:bidi="ar"/>
              </w:rPr>
              <w:t>生产厂家通过ISO14001环境管理体系认证、ISO19001质量管理体系认证、中国教育装备行业知名品牌、中国校园健康优秀绿色环保产品。</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张</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48</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680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32640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定制</w:t>
            </w:r>
          </w:p>
        </w:tc>
      </w:tr>
      <w:tr>
        <w:tblPrEx>
          <w:tblCellMar>
            <w:top w:w="0" w:type="dxa"/>
            <w:left w:w="0" w:type="dxa"/>
            <w:bottom w:w="0" w:type="dxa"/>
            <w:right w:w="0" w:type="dxa"/>
          </w:tblCellMar>
        </w:tblPrEx>
        <w:trPr>
          <w:trHeight w:val="135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lang w:bidi="ar"/>
              </w:rPr>
              <w:t>椅子</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规格：长440mm*宽280mm*高400mm</w:t>
            </w:r>
            <w:r>
              <w:rPr>
                <w:rFonts w:hint="eastAsia" w:ascii="宋体" w:hAnsi="宋体" w:cs="宋体"/>
                <w:kern w:val="0"/>
                <w:sz w:val="22"/>
                <w:szCs w:val="22"/>
                <w:lang w:bidi="ar"/>
              </w:rPr>
              <w:br w:type="textWrapping"/>
            </w:r>
            <w:r>
              <w:rPr>
                <w:rFonts w:hint="eastAsia" w:ascii="宋体" w:hAnsi="宋体" w:cs="宋体"/>
                <w:kern w:val="0"/>
                <w:sz w:val="22"/>
                <w:szCs w:val="22"/>
                <w:lang w:bidi="ar"/>
              </w:rPr>
              <w:t>凳面板采用优质橡木齿接板或采用优质E1级双饰面板，颜色要求与电脑桌一致</w:t>
            </w:r>
            <w:r>
              <w:rPr>
                <w:rFonts w:hint="eastAsia" w:ascii="宋体" w:hAnsi="宋体" w:cs="宋体"/>
                <w:kern w:val="0"/>
                <w:sz w:val="22"/>
                <w:szCs w:val="22"/>
                <w:lang w:bidi="ar"/>
              </w:rPr>
              <w:br w:type="textWrapping"/>
            </w:r>
            <w:r>
              <w:rPr>
                <w:rFonts w:hint="eastAsia" w:ascii="宋体" w:hAnsi="宋体" w:cs="宋体"/>
                <w:kern w:val="0"/>
                <w:sz w:val="22"/>
                <w:szCs w:val="22"/>
                <w:lang w:bidi="ar"/>
              </w:rPr>
              <w:t>凳脚材质优质冷轧钢板，厚度≥1.2mm，底脚均应采用耐磨护套。</w:t>
            </w:r>
            <w:r>
              <w:rPr>
                <w:rFonts w:hint="eastAsia" w:ascii="宋体" w:hAnsi="宋体" w:cs="宋体"/>
                <w:kern w:val="0"/>
                <w:sz w:val="22"/>
                <w:szCs w:val="22"/>
                <w:lang w:bidi="ar"/>
              </w:rPr>
              <w:br w:type="textWrapping"/>
            </w:r>
            <w:r>
              <w:rPr>
                <w:rFonts w:hint="eastAsia" w:ascii="宋体" w:hAnsi="宋体" w:cs="宋体"/>
                <w:kern w:val="0"/>
                <w:sz w:val="22"/>
                <w:szCs w:val="22"/>
                <w:lang w:bidi="ar"/>
              </w:rPr>
              <w:t>凳子负载承受不小于1000N的力，要求无摇晃、变形。</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张</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96</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5760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定制</w:t>
            </w:r>
          </w:p>
        </w:tc>
      </w:tr>
      <w:tr>
        <w:tblPrEx>
          <w:tblCellMar>
            <w:top w:w="0" w:type="dxa"/>
            <w:left w:w="0" w:type="dxa"/>
            <w:bottom w:w="0" w:type="dxa"/>
            <w:right w:w="0" w:type="dxa"/>
          </w:tblCellMar>
        </w:tblPrEx>
        <w:trPr>
          <w:trHeight w:val="5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22U机柜</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22U机柜SPCC优质冷轧钢板制作。含8位PDU排插2只。</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24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智能供电管理系统</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r>
              <w:rPr>
                <w:rFonts w:hint="eastAsia" w:ascii="宋体" w:hAnsi="宋体" w:cs="宋体"/>
                <w:b/>
                <w:kern w:val="0"/>
                <w:sz w:val="22"/>
                <w:szCs w:val="22"/>
                <w:lang w:bidi="ar"/>
              </w:rPr>
              <w:t>一、智能控制部分</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★串口数量≥2个，其中至少2个串口支持可编程双向RS232/422/485，接口为DB9公头接口，可配置针脚属性。</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红外线/串口复用端口≥2个，要求均支持红外可编程。</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要求可连接串口或红外设备数量≥10台。</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继电器通道≥4个，触点容量最大24VDC、2A，常开型独立继电器，可进行控制照明、电视机、投影机升降、幕布等设备控制。</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DC输出通道≥1个，输出提供12V电源连接，可给摄像头、互动终端等设备供电。</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1个RJ45网口，支持ICMP、TCP/IP、DHCP、HTTPS、SSH协议。</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具有ID拨码开关，透过ID over IP的形式，简化网络设定。</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红外线学习功能可添加红外线设备控制。</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带有USB接口，可通过USB存储装置上传项目设定档。</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提供实物接口图。</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支持可视化编程，可控制电脑、多媒体、安防监控、空调、窗帘、门禁、供电等系统设备。</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支持按键、可视化面板、红外遥控、RS232串口和TCP/IP等多种控制方式。</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支持Telnet、TCP/IP、ONVIF、PJLink协议，可通过网络控制网域中的系统设备。</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可与矩阵配合，实现信号源切换功能。</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支持分布式架构，主机与各扩展器之间仅需网线接即可通讯，支持POE供电模式。</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支持集中管控功能，单台控制单元可控制多台矩阵。</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支持红外线学习功能，可添加红外线设备驱动程序。</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支持LED指示灯显示硬件状态和活动信息。</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★支持iOS、Android或Windows移动端App控制软件。</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支持可视化编程面板，按用户需求设计面板操作界面，按需设计控制按钮。</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可避免频繁开关强电箱内的空气开关，避免出现漏电、避免电火花等危险情况，避免共地干扰。</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可实现计算机教室内安全用电，实现机房用电智慧化管理。</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可实现机房三级防雷，实现漏电保护，实现远程通断电控制，实现分组通断电控制，实现远程电能计量。</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提供6路断路控制器，每一路断路控制器，支持手动开合、实现远程通断电控制、手机App端编程通断电控制。</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采用HTML5技术，PC端、App端跨平台访问管理；</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在统一管理界面，支持显示设备状态、事件、任务执行状态、设备节点等信息，协助用户掌握设备状况。</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在发送编程指令到触摸控制屏之前，可通过内部测试工具验证指令动作。</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支持设置密码，限制非认证用户登陆访问及控制。</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支持可视化设计系统设备的控制按钮界面。</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可任意添加、删除、修改、组合设备的控制按钮。</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可修改设备图片款式、颜色、位置、指令代码等。</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支持高级编程，可创建宏指令，支持场景化、设备关联性控制编程。</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★可连接扩声系统、多媒体系统、录播系统、供电系统，并实现各系统的统一管理与控制。</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实现场景化控制，用户可一键实现预设的应用场景，方便了用户的操作。</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 xml:space="preserve">产品具有CCC、FCC、RoHS、CE等相关认证证书。 </w:t>
            </w:r>
          </w:p>
          <w:p>
            <w:pPr>
              <w:pStyle w:val="2"/>
              <w:rPr>
                <w:rFonts w:ascii="宋体" w:hAnsi="宋体" w:eastAsia="宋体" w:cs="宋体"/>
                <w:b w:val="0"/>
                <w:bCs w:val="0"/>
                <w:kern w:val="0"/>
                <w:sz w:val="22"/>
                <w:szCs w:val="22"/>
                <w:lang w:bidi="ar"/>
              </w:rPr>
            </w:pPr>
            <w:r>
              <w:rPr>
                <w:rFonts w:hint="eastAsia" w:ascii="宋体" w:hAnsi="宋体" w:eastAsia="宋体" w:cs="宋体"/>
                <w:b w:val="0"/>
                <w:bCs w:val="0"/>
                <w:kern w:val="0"/>
                <w:sz w:val="22"/>
                <w:szCs w:val="22"/>
                <w:lang w:bidi="ar"/>
              </w:rPr>
              <w:t>★原厂商具有CCRC信息安全服务资质认证证书。</w:t>
            </w:r>
          </w:p>
          <w:p>
            <w:pPr>
              <w:pStyle w:val="2"/>
              <w:rPr>
                <w:rFonts w:ascii="宋体" w:hAnsi="宋体" w:eastAsia="宋体" w:cs="宋体"/>
                <w:bCs w:val="0"/>
                <w:kern w:val="0"/>
                <w:sz w:val="22"/>
                <w:szCs w:val="22"/>
                <w:lang w:bidi="ar"/>
              </w:rPr>
            </w:pPr>
            <w:r>
              <w:rPr>
                <w:rFonts w:hint="eastAsia" w:ascii="宋体" w:hAnsi="宋体" w:eastAsia="宋体" w:cs="宋体"/>
                <w:bCs w:val="0"/>
                <w:kern w:val="0"/>
                <w:sz w:val="22"/>
                <w:szCs w:val="22"/>
                <w:lang w:bidi="ar"/>
              </w:rPr>
              <w:t>二、触控屏部分</w:t>
            </w:r>
          </w:p>
          <w:p>
            <w:pPr>
              <w:rPr>
                <w:lang w:bidi="ar"/>
              </w:rPr>
            </w:pPr>
            <w:r>
              <w:rPr>
                <w:rFonts w:hint="eastAsia"/>
                <w:lang w:bidi="ar"/>
              </w:rPr>
              <w:t>1.7寸全触屏控制，TFT真彩色工业级屏幕；</w:t>
            </w:r>
          </w:p>
          <w:p>
            <w:pPr>
              <w:rPr>
                <w:lang w:bidi="ar"/>
              </w:rPr>
            </w:pPr>
            <w:r>
              <w:rPr>
                <w:rFonts w:hint="eastAsia"/>
                <w:lang w:bidi="ar"/>
              </w:rPr>
              <w:t>2.输入电源DC 24V；</w:t>
            </w:r>
          </w:p>
          <w:p>
            <w:pPr>
              <w:rPr>
                <w:lang w:bidi="ar"/>
              </w:rPr>
            </w:pPr>
            <w:r>
              <w:rPr>
                <w:rFonts w:hint="eastAsia"/>
                <w:lang w:bidi="ar"/>
              </w:rPr>
              <w:t>3.采用ARM处理芯片，支持多任务进程，功能强大，内置时钟功能；</w:t>
            </w:r>
          </w:p>
          <w:p>
            <w:pPr>
              <w:rPr>
                <w:lang w:bidi="ar"/>
              </w:rPr>
            </w:pPr>
            <w:r>
              <w:rPr>
                <w:rFonts w:hint="eastAsia"/>
                <w:lang w:bidi="ar"/>
              </w:rPr>
              <w:t>4.2路IO输入，可接传感器输入；</w:t>
            </w:r>
          </w:p>
          <w:p>
            <w:pPr>
              <w:rPr>
                <w:lang w:bidi="ar"/>
              </w:rPr>
            </w:pPr>
            <w:r>
              <w:rPr>
                <w:rFonts w:hint="eastAsia"/>
                <w:lang w:bidi="ar"/>
              </w:rPr>
              <w:t>5.进行控制程序功能升级时，可直接在原文件上进行增加、删减和修改，简单易用；</w:t>
            </w:r>
          </w:p>
          <w:p>
            <w:pPr>
              <w:rPr>
                <w:lang w:bidi="ar"/>
              </w:rPr>
            </w:pPr>
            <w:r>
              <w:rPr>
                <w:rFonts w:hint="eastAsia"/>
                <w:lang w:bidi="ar"/>
              </w:rPr>
              <w:t>6.标准86式，可墙面及桌面安装。</w:t>
            </w:r>
          </w:p>
          <w:p>
            <w:pPr>
              <w:rPr>
                <w:lang w:bidi="ar"/>
              </w:rPr>
            </w:pPr>
            <w:r>
              <w:rPr>
                <w:rFonts w:hint="eastAsia"/>
                <w:lang w:bidi="ar"/>
              </w:rPr>
              <w:t>7. 支持显示二维码，实现机房设备出现故障，扫码二维码进行报修；实现教室场景化用电管理，实现一键控制多媒体开关机，实现对每一组供电进行独立开关控制；</w:t>
            </w:r>
          </w:p>
          <w:p>
            <w:pPr>
              <w:rPr>
                <w:rFonts w:ascii="宋体" w:hAnsi="宋体" w:cs="宋体"/>
                <w:b/>
                <w:kern w:val="0"/>
                <w:sz w:val="22"/>
                <w:szCs w:val="22"/>
                <w:lang w:bidi="ar"/>
              </w:rPr>
            </w:pPr>
            <w:r>
              <w:rPr>
                <w:rFonts w:hint="eastAsia" w:ascii="宋体" w:hAnsi="宋体" w:cs="宋体"/>
                <w:b/>
                <w:kern w:val="0"/>
                <w:sz w:val="22"/>
                <w:szCs w:val="22"/>
                <w:lang w:bidi="ar"/>
              </w:rPr>
              <w:t>三、导轨式开关模块</w:t>
            </w:r>
          </w:p>
          <w:p>
            <w:pPr>
              <w:rPr>
                <w:lang w:bidi="ar"/>
              </w:rPr>
            </w:pPr>
            <w:r>
              <w:rPr>
                <w:rFonts w:hint="eastAsia"/>
                <w:lang w:bidi="ar"/>
              </w:rPr>
              <w:t>8路继电器开关输出单元；</w:t>
            </w:r>
          </w:p>
          <w:p>
            <w:pPr>
              <w:rPr>
                <w:lang w:bidi="ar"/>
              </w:rPr>
            </w:pPr>
            <w:r>
              <w:rPr>
                <w:rFonts w:hint="eastAsia"/>
                <w:lang w:bidi="ar"/>
              </w:rPr>
              <w:t>每个回路最大输出10A；</w:t>
            </w:r>
          </w:p>
          <w:p>
            <w:pPr>
              <w:rPr>
                <w:lang w:bidi="ar"/>
              </w:rPr>
            </w:pPr>
            <w:r>
              <w:rPr>
                <w:rFonts w:hint="eastAsia"/>
                <w:lang w:bidi="ar"/>
              </w:rPr>
              <w:t>控制接口为EC-NET总线A；</w:t>
            </w:r>
          </w:p>
          <w:p>
            <w:pPr>
              <w:rPr>
                <w:lang w:bidi="ar"/>
              </w:rPr>
            </w:pPr>
            <w:r>
              <w:rPr>
                <w:rFonts w:hint="eastAsia"/>
                <w:lang w:bidi="ar"/>
              </w:rPr>
              <w:t>8个模数宽度（一个模数宽度=18mm）</w:t>
            </w:r>
          </w:p>
          <w:p>
            <w:pPr>
              <w:pStyle w:val="2"/>
              <w:rPr>
                <w:lang w:bidi="ar"/>
              </w:rPr>
            </w:pP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568</w:t>
            </w:r>
            <w:r>
              <w:rPr>
                <w:rFonts w:hint="eastAsia" w:ascii="宋体" w:hAnsi="宋体" w:cs="宋体"/>
                <w:color w:val="000000"/>
                <w:kern w:val="0"/>
                <w:sz w:val="22"/>
                <w:szCs w:val="22"/>
                <w:lang w:bidi="ar"/>
              </w:rPr>
              <w:t>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1136</w:t>
            </w:r>
            <w:r>
              <w:rPr>
                <w:rFonts w:hint="eastAsia" w:ascii="宋体" w:hAnsi="宋体" w:cs="宋体"/>
                <w:color w:val="000000"/>
                <w:kern w:val="0"/>
                <w:sz w:val="22"/>
                <w:szCs w:val="22"/>
                <w:lang w:bidi="ar"/>
              </w:rPr>
              <w:t>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ATEN、QNEX、示酷</w:t>
            </w:r>
          </w:p>
        </w:tc>
      </w:tr>
      <w:tr>
        <w:tblPrEx>
          <w:tblCellMar>
            <w:top w:w="0" w:type="dxa"/>
            <w:left w:w="0" w:type="dxa"/>
            <w:bottom w:w="0" w:type="dxa"/>
            <w:right w:w="0" w:type="dxa"/>
          </w:tblCellMar>
        </w:tblPrEx>
        <w:trPr>
          <w:trHeight w:val="5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机房防雷措施</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机房强电箱内配防雷保护器，符合国家相关防雷规范标准。</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2100" w:hRule="atLeast"/>
        </w:trPr>
        <w:tc>
          <w:tcPr>
            <w:tcW w:w="5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系统集成、附件</w:t>
            </w:r>
          </w:p>
        </w:tc>
        <w:tc>
          <w:tcPr>
            <w:tcW w:w="809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一个标准机房以50个信息点计，附件及系统集成所需主要材料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1.信息点插座及面板：86系列鸿雁三芯插座220V/10A，三芯插座应符合GB1002中5的有关规定。鸿雁插座面板。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2.网线、水晶头：6类系列4对24WAG双绞线（铜芯），符合YD-T1019标准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3.阻燃电源线：BV、BVV型系列（铜芯），聚氯乙烯绝缘黄绿双色电源（中策永通）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4.PVC波达线槽（线槽≥20*60mm,线缆在线槽内的占用空间不得超过线槽总空间的70%）等，敷设时强电和弱电要求分开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5.空气开关（含总开关1个、讲台1路、学生机4路，含正泰漏电保护器），具体要求参考智慧供电管理系统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6.配备1个静电地板吸盘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7.如机房无网线至该楼汇聚点，则需按规范布设一条6类网线至该楼汇聚点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要求提供详细附件清单，明确材料的品牌。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提供走线说明（走线参照附图），布线要求见《浙江省中小学教育技术装备标准》引用标准和文件汇编：1）供电电源额定总容量应不小于计算机教室中设备总功率的1.5倍；2）分路布线控制，每路线路负载不超过10台计算机，并设有过载保护装置。每路电源线采用单相4平方以上单芯铜线（1火线、1零线、1地线，品质不低于中策单芯铜线）。教师机及网络机柜电源线要求采用单相1.5平方以上中策单芯铜线（需接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网络设备及网络机柜安装在教室后方（学校另行要求的按实际要求执行）。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注：上图中插座面板可布置在地板上方，实施按学校要求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教师机及网络机柜电源线要求采用单相1.5平方以上。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网络设备及网络机柜安装在教室后方（学校另行要求的按实际要求执行）。</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120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104</w:t>
            </w:r>
            <w:r>
              <w:rPr>
                <w:rFonts w:hint="eastAsia" w:ascii="宋体" w:hAnsi="宋体" w:cs="宋体"/>
                <w:color w:val="000000"/>
                <w:kern w:val="0"/>
                <w:sz w:val="22"/>
                <w:szCs w:val="22"/>
                <w:lang w:bidi="ar"/>
              </w:rPr>
              <w:t>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740" w:hRule="atLeast"/>
        </w:trPr>
        <w:tc>
          <w:tcPr>
            <w:tcW w:w="108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419800元</w:t>
            </w:r>
          </w:p>
        </w:tc>
      </w:tr>
      <w:tr>
        <w:tblPrEx>
          <w:tblCellMar>
            <w:top w:w="0" w:type="dxa"/>
            <w:left w:w="0" w:type="dxa"/>
            <w:bottom w:w="0" w:type="dxa"/>
            <w:right w:w="0" w:type="dxa"/>
          </w:tblCellMar>
        </w:tblPrEx>
        <w:trPr>
          <w:trHeight w:val="740" w:hRule="atLeast"/>
        </w:trPr>
        <w:tc>
          <w:tcPr>
            <w:tcW w:w="5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七</w:t>
            </w:r>
          </w:p>
        </w:tc>
        <w:tc>
          <w:tcPr>
            <w:tcW w:w="15150" w:type="dxa"/>
            <w:gridSpan w:val="9"/>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体育馆--音频、灯光</w:t>
            </w:r>
          </w:p>
        </w:tc>
      </w:tr>
      <w:tr>
        <w:tblPrEx>
          <w:tblCellMar>
            <w:top w:w="0" w:type="dxa"/>
            <w:left w:w="0" w:type="dxa"/>
            <w:bottom w:w="0" w:type="dxa"/>
            <w:right w:w="0" w:type="dxa"/>
          </w:tblCellMar>
        </w:tblPrEx>
        <w:trPr>
          <w:trHeight w:val="4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1515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扩声系统</w:t>
            </w:r>
          </w:p>
        </w:tc>
      </w:tr>
      <w:tr>
        <w:tblPrEx>
          <w:tblCellMar>
            <w:top w:w="0" w:type="dxa"/>
            <w:left w:w="0" w:type="dxa"/>
            <w:bottom w:w="0" w:type="dxa"/>
            <w:right w:w="0" w:type="dxa"/>
          </w:tblCellMar>
        </w:tblPrEx>
        <w:trPr>
          <w:trHeight w:val="207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21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主扩线阵列音柱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（场馆主扩声）</w:t>
            </w:r>
          </w:p>
        </w:tc>
        <w:tc>
          <w:tcPr>
            <w:tcW w:w="809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★线阵列音柱扬声器，6个6.5寸低音单元，24个1寸高音单元，玻璃纤维强化ABS箱体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带恒定波宽技术，全天候防水设计，具有可调垂直覆盖和锥形水平波导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频率范围(-10dB)：45Hz-20kHz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灵敏度：102dB（语言模式），95dB(音乐模式）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覆盖角度：水平可调(100°，130°，160°)，垂直-35°~24°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额定功率：≥1500W（峰值6000W、2小时）≥1000W（峰值4000W、100小时）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阻抗：4Ω（1kHz以上），8Ω（800Hz以下）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声压级（窄角15°）：语言模式121dB/127dB(峰值),音乐模式118dB/124dB(峰值)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声压级（宽角40°）：语言模式118dB/124dB(峰值),音乐模式115dB/121dB(峰值)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安全：双有源限幅器，多段RMS，峰值，过热保护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配件：含旋转(水平)/垂直安装支架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尺寸(高X宽X深)：1020x250x345mm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净重：24kg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颜色：黑色或白色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★提供此扬声系统EASE扬声器数据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提供产品检测报告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提供官方截图或产品彩页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提供官方或厂商授权书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提供3年原厂质保</w:t>
            </w:r>
          </w:p>
        </w:tc>
        <w:tc>
          <w:tcPr>
            <w:tcW w:w="68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28000</w:t>
            </w:r>
          </w:p>
        </w:tc>
        <w:tc>
          <w:tcPr>
            <w:tcW w:w="97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56000</w:t>
            </w:r>
          </w:p>
        </w:tc>
        <w:tc>
          <w:tcPr>
            <w:tcW w:w="190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JBL、雅马哈、惠威</w:t>
            </w:r>
          </w:p>
        </w:tc>
      </w:tr>
      <w:tr>
        <w:tblPrEx>
          <w:tblCellMar>
            <w:top w:w="0" w:type="dxa"/>
            <w:left w:w="0" w:type="dxa"/>
            <w:bottom w:w="0" w:type="dxa"/>
            <w:right w:w="0" w:type="dxa"/>
          </w:tblCellMar>
        </w:tblPrEx>
        <w:trPr>
          <w:trHeight w:val="60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主扩线阵列音柱功放</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★功放功率（额定功率）：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4Ω立体声（每通道）：≥1400W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8Ω立体声（每通道）：≥1000W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8Ω桥接：≥2800W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功放性能：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频率响应（1W）：20Hz-20KHz，+0/-1dB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总谐波失真（THD）：20Hz-20KHz，≤0.5%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互调失真(IMD)：≤0.35%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转换速率：≥10V/us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电压增益：≥36dB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阻尼系数：8Ω，10Hz-400KHz，≥200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信噪比：20Hz-20kHz,A计权，&gt;100dB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串扰：1kHz/20kHz，–75dB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输入灵敏度：8Ω，0.775Vor1.4V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输入阻抗：平衡，20Kohms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输入接口：每通道1路平衡XLR接口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输出接口：每通道Speakon接口、一对接线柱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开关按钮：电源开关、通道增益旋钮、模式开关（立体声、并联、桥接）、灵敏度开关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LED指示灯：电源指示灯、每通道信号指示灯、削波/热压指示灯、故障指示灯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功放其他：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保护设计：防止短路、空载、开关机噪声、无线电干扰保护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散热设计：前后通风设计、内部风扇冷却、高温保护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功放尺寸：480mm*90mm*395mm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功放重量：9.5KG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资质证书：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此产品要求提供3C证书，原厂商针对本项目质保授权书。</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JBL、雅马哈、皇冠</w:t>
            </w:r>
          </w:p>
        </w:tc>
      </w:tr>
      <w:tr>
        <w:tblPrEx>
          <w:tblCellMar>
            <w:top w:w="0" w:type="dxa"/>
            <w:left w:w="0" w:type="dxa"/>
            <w:bottom w:w="0" w:type="dxa"/>
            <w:right w:w="0" w:type="dxa"/>
          </w:tblCellMar>
        </w:tblPrEx>
        <w:trPr>
          <w:trHeight w:val="28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主席台辅助音箱</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★扬声器类型：12寸，2分频，低频反射式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频率范围：48Hz-20KHz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频率响应：80Hz-18KHz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灵敏度（1W）：96dB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额定阻抗：8Ω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最大声压级：122dB（持续）/128dB（峰值）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★额定功率：350W连续/700W音乐/1400W峰值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覆盖角度：100°x70°（HxV）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低音单元：1个12寸低音单元（305mm）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高音单元：1个1寸聚乙烯振膜压缩单元（25mm）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箱体：15mm厚木夹板，表面黑色耐磨涂层，黑色钢制网罩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输入接口：2个SPEAKON接口，支持并联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安全：双有源限幅器，多段RMS，峰值，过热保护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配件：含旋转(水平)/垂直安装支架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尺寸(高X宽X深)：600x370x390mm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净重：18kg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提供产品检测报告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提供官方截图或产品彩页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提供官方或厂商授权书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提供3年原厂质保</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JBL、雅马哈、惠威</w:t>
            </w:r>
          </w:p>
        </w:tc>
      </w:tr>
      <w:tr>
        <w:tblPrEx>
          <w:tblCellMar>
            <w:top w:w="0" w:type="dxa"/>
            <w:left w:w="0" w:type="dxa"/>
            <w:bottom w:w="0" w:type="dxa"/>
            <w:right w:w="0" w:type="dxa"/>
          </w:tblCellMar>
        </w:tblPrEx>
        <w:trPr>
          <w:trHeight w:val="17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主席台辅助音箱功放</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★功放功率（额定功率）：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4Ω立体声（每通道）：≥900W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8Ω立体声（每通道）：≥600W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8Ω桥接：≥1800W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功放性能：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频率响应（1W）：20Hz-20KHz，+0/-1dB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总谐波失真（THD）：20Hz-20KHz，≤0.5%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互调失真(IMD)：≤0.35%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转换速率：≥10V/us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电压增益：≥33dB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阻尼系数：8Ω，10Hz-400KHz，≥200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信噪比：20Hz-20kHz,A计权，&gt;100dB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串扰：1kHz/20kHz，–75dB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输入灵敏度：8Ω，0.775Vor1.4V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输入阻抗：平衡，20Kohms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输入接口：每通道1路平衡XLR接口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输出接口：每通道Speakon接口、一对接线柱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开关按钮：电源开关、通道增益旋钮、模式开关（立体声、并联、桥接）、灵敏度开关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LED指示灯：电源指示灯、每通道信号指示灯、削波/热压指示灯、故障指示灯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功放其他：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保护设计：防止短路、空载、开关机噪声、无线电干扰保护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散热设计：前后通风设计、内部风扇冷却、高温保护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功放尺寸：480mm*90mm*395mm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功放重量：9.3KG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资质证书：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此产品要求提供3C证书，原厂商针对本项目质保授权书。</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JBL、雅马哈、皇冠</w:t>
            </w:r>
          </w:p>
        </w:tc>
      </w:tr>
      <w:tr>
        <w:tblPrEx>
          <w:tblCellMar>
            <w:top w:w="0" w:type="dxa"/>
            <w:left w:w="0" w:type="dxa"/>
            <w:bottom w:w="0" w:type="dxa"/>
            <w:right w:w="0" w:type="dxa"/>
          </w:tblCellMar>
        </w:tblPrEx>
        <w:trPr>
          <w:trHeight w:val="21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16路调音台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10路话筒输入，带有48V幻象供电，每通道带有HPF</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16个线路输入(8个单声道和4个立体声)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附加的2TR输输入，用于从模拟设备或iPod/iPhone接收输出信号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2个AUX发送+2个FX发送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4GROUP母线+ST母线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录音棚级分布式A类“D-PRE”话放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具音乐韵味的X-pressiveEQ功能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iPod/iPhone数字式连接，用于音频播放与DSP控制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MGPEditor可以通过iPod/iPhone详细控制和操作DSP设置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拥有宽电压模式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提供官方或厂商授权书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提供官方截图或产品彩页</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JBL、雅马哈、声艺</w:t>
            </w:r>
          </w:p>
        </w:tc>
      </w:tr>
      <w:tr>
        <w:tblPrEx>
          <w:tblCellMar>
            <w:top w:w="0" w:type="dxa"/>
            <w:left w:w="0" w:type="dxa"/>
            <w:bottom w:w="0" w:type="dxa"/>
            <w:right w:w="0" w:type="dxa"/>
          </w:tblCellMar>
        </w:tblPrEx>
        <w:trPr>
          <w:trHeight w:val="27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音频处理器</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1.立体声反馈抑制器2×12组快速跟踪陷波滤波器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2.双通道28段图示均衡器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3.立体声7段参量均衡器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4.每个输入/输出通道均有压缩器，可调节各压缩器的门限值，压缩比，上冲时间和释放时间，关闭/硬拐点/5级软拐点可调。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5.灵活组合的2输入6输出分频模式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6.★自带粉红噪声发生器，Auto-EQ自动房间均衡补偿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7.20个用户设置程式记忆库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8.★面板具有专业实时频谱分析议话筒输入并带幻像供电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9.24－BitA/D转换器提供≥110dB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模拟输入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1.输入数量：（3组）线路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2.电子平衡/RF滤波,XLR母头接口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3.阻抗：&gt;40kΩ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4.输入电平：＋20dBu</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5.共模抑制比：&gt;45dB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6.频谱分析议话筒幻像供电：＋15VDC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7.频谱分析议话筒等效输入噪声：&lt;-110dBu,22Hz,-22kHz,150Ω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模拟输出：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1.输出数量：（6组）线路输出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3.电子平衡/RF滤波，XLR公头接口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3.阻抗：120Ω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4.输出电平：＋20dBu</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5.转换动态范围：110dBA计权，107dB无计权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6.取样频率：48kHz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7.THD+噪声：0.002％，＋4dBu,1kHz,0dB输入增益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8.频率响应：20Hz-20kHz,±0.5dB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9.通道串音：&lt;-110dB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10.输入至输出串音：&lt;-110dB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11.延时：每输出通道10ms(共60ms)</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JBL、雅马哈、DBX</w:t>
            </w:r>
          </w:p>
        </w:tc>
      </w:tr>
      <w:tr>
        <w:tblPrEx>
          <w:tblCellMar>
            <w:top w:w="0" w:type="dxa"/>
            <w:left w:w="0" w:type="dxa"/>
            <w:bottom w:w="0" w:type="dxa"/>
            <w:right w:w="0" w:type="dxa"/>
          </w:tblCellMar>
        </w:tblPrEx>
        <w:trPr>
          <w:trHeight w:val="26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反馈抑制器</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1.采用56-bit四核DSP及高性能AD/DA，48kHz采样率的专业的双通道高性能反馈抑制器。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2.每通道具有不少于24个可编程的滤波器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3.具有立体声或独立的双通道处理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4.可选择的滤波器脱开时间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5.滤波器应用的类型，包括：语言滤波器，低、中、高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6.具有三段音乐滤波器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7.每通道24段滤波器测量表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1.采样率:48KHz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2.动态范围:&gt;109dB，A计权；&gt;106dB不计权；带宽22KHz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3.总谐波失真+噪声:典型值≤0.003%，输出电平+4dBu,1KHz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4.频率响应特性:20Hz-20KHz,±0.5dB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5.通道间交叉话音:典型值&gt;80dB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6.输出端交叉话音:典型值&gt;80dB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7.电源电压:交流50/60Hz，100V；120V，60Hz和230V，50/60Hz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8.电力消耗:9W</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4200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JBL、雅马哈、DBX</w:t>
            </w:r>
          </w:p>
        </w:tc>
      </w:tr>
      <w:tr>
        <w:tblPrEx>
          <w:tblCellMar>
            <w:top w:w="0" w:type="dxa"/>
            <w:left w:w="0" w:type="dxa"/>
            <w:bottom w:w="0" w:type="dxa"/>
            <w:right w:w="0" w:type="dxa"/>
          </w:tblCellMar>
        </w:tblPrEx>
        <w:trPr>
          <w:trHeight w:val="24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无线手持话筒</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主要技术参数：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一：接收机规格：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1、频率范围626-675MHz（带宽50MHz）；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2、可调信道数：2000（25KHz步进）；</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3、振荡方式：锁相环（PLL）频率合成；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4、频率稳定性：±5ppm；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5、接收灵敏度：-95~-75dBm；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6、音频频响：40~18000Hz；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7、失真度：≤1%；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8、信噪比：≥-100dB；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9、音频输出：(XLR)卡侬座独立平衡输出和Φ6.35插座混合不平衡输出；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10、电源规格：DC12~15V/1000mA；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11、消耗规格：≤8W；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12、机身尺寸：（单位：mm)≥53*38*8，净重：≥3.78KG.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二：麦克风规格（手持）：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1、频率范围626-675MHz（带宽50MHz）；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2、可调信道数：150对KTV模组；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3、频率稳定性：±5ppm；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4、调制方式：FM；射频功率：≤30mW；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5、音频频响：40~18000Hz；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6、失真度：≤1%；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7、音头规格：动圈式；心型指向；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8、电池规格2×1.5VAASize；续用时间8~15小时。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★9、话筒在无操作5min后自动关机功能（提供检测报告证书复印件佐证）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★10、具有话筒在跌落时自动静音、自动哑音，保护后级音响设备功能（提供检测报告证书复印件佐证）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11、提供生产厂家无线话筒控制系统软件著作权证书复印件；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12、提供生产厂家荣获含有”专业音响扩声系统、话筒“字样的，知识产权管理体系认证证书复印件；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13、提供生产厂家荣获含有“话筒、灯光照明系统”字样的，中国自主创新产品证书复印件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14、提供生产厂家荣获高新技术企业证书复印件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3650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14600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森海赛尔、舒尔、佳比</w:t>
            </w:r>
          </w:p>
        </w:tc>
      </w:tr>
      <w:tr>
        <w:tblPrEx>
          <w:tblCellMar>
            <w:top w:w="0" w:type="dxa"/>
            <w:left w:w="0" w:type="dxa"/>
            <w:bottom w:w="0" w:type="dxa"/>
            <w:right w:w="0" w:type="dxa"/>
          </w:tblCellMar>
        </w:tblPrEx>
        <w:trPr>
          <w:trHeight w:val="25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无线头戴话筒</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主要技术参数：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一：接收机规格：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1、频率范围626-675MHz（带宽50MHz）；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2、可调信道数：2000（25KHz步进）；</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3、振荡方式：锁相环（PLL）频率合成；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4、频率稳定性：±5ppm；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5、接收灵敏度：-95~-75dBm；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6、音频频响：40~18000Hz；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7、失真度：≤1%；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8、信噪比：≥-100dB；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9、音频输出：(XLR)卡侬座独立平衡输出和Φ6.35插座混合不平衡输出；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10、电源规格：DC12~15V/1000mA；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11、消耗规格：≤8W；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12、机身尺寸：（单位：mm)≥53*38*8，净重：≥3.78KG.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二：麦克风规格（头戴）：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1、频率范围626-675MHz（带宽50MHz）；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2、可调信道数：150对KTV模组；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3、频率稳定性：±5ppm；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4、调制方式：FM；射频功率：≤30mW；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5、音频频响：40~18000Hz；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6、失真度：≤1%；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7、音头规格：动圈式；心型指向；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8、电池规格2×1.5VAASize；续用时间8~15小时。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★9、话筒在无操作5min后自动关机功能（提供检测报告证书复印件佐证）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★10、具有话筒在跌落时自动静音、自动哑音，保护后级音响设备功能（提供检测报告证书复印件佐证）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11、提供生产厂家无线话筒控制系统软件著作权证书复印件；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12、提供生产厂家荣获含有”专业音响扩声系统、话筒“字样的，知识产权管理体系认证证书复印件；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13、提供生产厂家荣获含有“话筒、灯光照明系统”字样的，中国自主创新产品证书复印件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14、提供生产厂家荣获高新技术企业证书复印件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3650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森海赛尔、舒尔、佳比</w:t>
            </w:r>
          </w:p>
        </w:tc>
      </w:tr>
      <w:tr>
        <w:tblPrEx>
          <w:tblCellMar>
            <w:top w:w="0" w:type="dxa"/>
            <w:left w:w="0" w:type="dxa"/>
            <w:bottom w:w="0" w:type="dxa"/>
            <w:right w:w="0" w:type="dxa"/>
          </w:tblCellMar>
        </w:tblPrEx>
        <w:trPr>
          <w:trHeight w:val="173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1.10 </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无线鹅颈话筒（1拖4）</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技术特点：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1、应用PLL频率合成锁相环技术，频率可调，发射功率可调，避免干扰频率；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2、集成中央处理器CPU的总线控制，配合数字液晶界面显示，操作自如，性能出众；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3、采用多级窄带高频及中频选频滤波，充分消除干扰信号；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4、接收机采用多级高频放大，具有极高的灵敏度；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5、多重噪音监测电路，特设ID身份码验证系统，使之具有无与伦比的抗干扰特性。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1、调制方式:宽带调频(FM)；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2、频率范围：550MHz～980MHz；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3、信道间隔：250KHZ；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4、频率稳定度：±25KHz；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5、信噪比：&gt;95dB；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6、失真度：&lt;0.5%@1KHz；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7、话筒类型：电容式；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8、指向特性：单一指向性；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9、话筒耗电量：100mA；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10、动态范围：≥100dB；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11、领道干扰比：&gt;80dB；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12、最大频率偏移度：±50KHz；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13、音频输出-独立：0～400mV；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14、混合：0～300mV；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15、接收机供电：DC12V～17V；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16、话筒供电：DC3V。</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森海赛尔、舒尔、佳比</w:t>
            </w:r>
          </w:p>
        </w:tc>
      </w:tr>
      <w:tr>
        <w:tblPrEx>
          <w:tblCellMar>
            <w:top w:w="0" w:type="dxa"/>
            <w:left w:w="0" w:type="dxa"/>
            <w:bottom w:w="0" w:type="dxa"/>
            <w:right w:w="0" w:type="dxa"/>
          </w:tblCellMar>
        </w:tblPrEx>
        <w:trPr>
          <w:trHeight w:val="34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8路电源时序器</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最大输入电流|30A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单路最大输出电流|16A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工作电压|220V/50-60Hz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每一路功率|可达3000W输入与输出电压c输入电压=AC输出电压（下订单前请说明，可选配电压：110V输入=1107输出，220V输入=220V输出）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输出电源插座|万用插座，符合欧美标准。前面板2个直通式万用插座，后面板8个受控万用插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插座材质|每个插座材质磷铜，均通过检验才安装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每一路开关间隔时间1秒，每一路带指示灯，前端配置一个保险开关隐藏按钮（空心圆）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继电器宁波松乐牌（原厂正品）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电路板线路采用60%高纯度锡，高端分流技术，经强化加粗处理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变压器A&amp;C原厂正品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电源线3*6平方的电缆线，线材配置长度为1.5米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机箱高度10（符合机柜按照标准）开关船形开关（可选配钥匙开关）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电压显示表无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遥控功能可选配，遥控器距离范围10米，（没遮挡物范围15米）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联机支持无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滤波器电容滤波</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JBL、雅马哈、佳比</w:t>
            </w:r>
          </w:p>
        </w:tc>
      </w:tr>
      <w:tr>
        <w:tblPrEx>
          <w:tblCellMar>
            <w:top w:w="0" w:type="dxa"/>
            <w:left w:w="0" w:type="dxa"/>
            <w:bottom w:w="0" w:type="dxa"/>
            <w:right w:w="0" w:type="dxa"/>
          </w:tblCellMar>
        </w:tblPrEx>
        <w:trPr>
          <w:trHeight w:val="27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42U机柜</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标准32U网络机柜，采用SPCC优质冷轧钢板，配8位PDU排插1只。</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540" w:hRule="atLeast"/>
        </w:trPr>
        <w:tc>
          <w:tcPr>
            <w:tcW w:w="5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2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系统集成、附件</w:t>
            </w:r>
          </w:p>
        </w:tc>
        <w:tc>
          <w:tcPr>
            <w:tcW w:w="809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根据招标要求，提供报告厅扩声系统安装所需的所有的线材、辅料等。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根据招标要求，提供设备安装、含登高作业、调试、培训等。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定制</w:t>
            </w:r>
          </w:p>
        </w:tc>
      </w:tr>
      <w:tr>
        <w:tblPrEx>
          <w:tblCellMar>
            <w:top w:w="0" w:type="dxa"/>
            <w:left w:w="0" w:type="dxa"/>
            <w:bottom w:w="0" w:type="dxa"/>
            <w:right w:w="0" w:type="dxa"/>
          </w:tblCellMar>
        </w:tblPrEx>
        <w:trPr>
          <w:trHeight w:val="360" w:hRule="atLeast"/>
        </w:trPr>
        <w:tc>
          <w:tcPr>
            <w:tcW w:w="108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合计</w:t>
            </w:r>
          </w:p>
        </w:tc>
        <w:tc>
          <w:tcPr>
            <w:tcW w:w="4838"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156700元</w:t>
            </w:r>
          </w:p>
        </w:tc>
      </w:tr>
      <w:tr>
        <w:tblPrEx>
          <w:tblCellMar>
            <w:top w:w="0" w:type="dxa"/>
            <w:left w:w="0" w:type="dxa"/>
            <w:bottom w:w="0" w:type="dxa"/>
            <w:right w:w="0" w:type="dxa"/>
          </w:tblCellMar>
        </w:tblPrEx>
        <w:trPr>
          <w:trHeight w:val="700" w:hRule="atLeast"/>
        </w:trPr>
        <w:tc>
          <w:tcPr>
            <w:tcW w:w="5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15150" w:type="dxa"/>
            <w:gridSpan w:val="9"/>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舞台灯光</w:t>
            </w:r>
          </w:p>
        </w:tc>
      </w:tr>
      <w:tr>
        <w:tblPrEx>
          <w:tblCellMar>
            <w:top w:w="0" w:type="dxa"/>
            <w:left w:w="0" w:type="dxa"/>
            <w:bottom w:w="0" w:type="dxa"/>
            <w:right w:w="0" w:type="dxa"/>
          </w:tblCellMar>
        </w:tblPrEx>
        <w:trPr>
          <w:trHeight w:val="12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LED面光灯</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工作电压：AC100V-240V，50/60HZ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电源总功率：200W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LED光源：西铁城COB150WCRI≥90Ra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COB正白：5600K（UP-COB150W）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COB暖白：3200K（UP-COB150Y）</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COB冷白+暖白：5600K+3200K（UP-COB150WY)</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投光角度：高效反光杯光学系统，投光角度为30°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控制通道:单色2通道，双单4通道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IP保护等级：IP20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控制信号：DMX512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使用寿命：约5~8万小时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净重：2.52kg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灯具尺寸：152×183×258mm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生产厂家通过ISO9001质量管理体系认证、ISO14001环境管理体系认证、ISO18001职业健康管理体系认证，高新企业认证，产品通过CE认证</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16800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27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LED平板灯</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工作电压：AC100V-240V，50/60HZ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电源总功率：200W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灯珠：进口高亮度5730LED，CRI高达90Ra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暖光3200KLED：432PCS（UP-RGB500Y）</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冷光6000KLED：432PCS（UP-RGB500W）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暖光+冷光LED：3200K--216PCS6000K--216PCS（UP-RGB500YW）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投光角度：35~90°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IP保护等级：IP20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控制信号：DMX512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使用寿命：约8~10万小时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净重：7.5kg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产品尺寸：569×339×270mm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生产厂家通过ISO9001质量管理体系认证、ISO14001环境管理体系认证、ISO18001职业健康管理体系认证，高新企业认证，产品通过CE认证</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21600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1155"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54颗3W帕灯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（顶光、逆光）</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工作电压：AC100V-240V，50/60HZ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电源总功率：150W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红色LED：3W×12PCS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绿色LED：3W×14PCS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蓝色LED：3W×14PCS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白光LED：3W×14PCS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投光角度：8°、15°、25°、45°、60°可选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IP保护等级：IP20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控制信号：DMX512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使用寿命：约8~10万小时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净重：2.18kg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包装尺寸：225×310×230mm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生产厂家通过ISO9001质量管理体系认证、ISO14001环境管理体系认证、ISO18001职业健康管理体系认证，高新企业认证，产品通过CE认证</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680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8160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14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摇头光束灯</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功能效果：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1、颜色盘：一个由14个色片带流水效果的颜色盘，（14色+白光）颜色片可换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2、图案盘：一个由17个图案组成的固定图案盘，带抖动效果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3、光源：OsramSiruisHRI230W;；色温:8500K，平均寿命为2000小时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功能特点：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1、DMX通道：18个DMX标准控制通道，主从模式，自走模式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2、调焦/放大：线性调节，变焦光束角度0~3.8°；频闪：支持机械频闪和可调速频闪效果，支持频闪宏功能；调光：0%~100%线性调节；雾化：0%~100%线性雾化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3、马达：水平和垂直均使用高精密电机驱动，运行更平滑、噪音更小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4、扫描角度：水平扫描540度，垂直扫描270度，扫描速度可调节，自动纠错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5、光学系统：一组高品量、多层透镜相结合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6、点泡：手动点泡及远程控台开关泡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7、电子镇流器和AC/DC开关电源。功率因素高达99%,THD&lt;20%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外观显示：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显示：采用TFT真彩显示屏，中英文菜单,正反向显示，触摸及按钮双模式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自走程序：内置程序无需控台控制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使用时间：显示器上能清晰的看到每只灯具的使用时间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防护等级：IP20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电源电压：100—240V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额定功率：350W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尺寸:523*337*511mm;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净重:19KG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生产厂家通过ISO9001质量管理体系认证、ISO14001环境管理体系认证、ISO18001职业健康管理体系认证，高新企业认证，产品通过CE认证</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57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面光灯机械吊架</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面光灯机械吊架，承重不小于300KG、含灯钩、保险绳</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567"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舞台灯机械吊架</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舞台灯机械吊架，承重不小于300KG、含灯钩、保险绳</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24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DMX512灯控台</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DMX512协议通道数：1024个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支持电脑灯重新配接地址码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支持灯具水平垂直交换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支持灯具通道反倒输出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支持灯具通道滑步模式切换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每台电脑灯最多可用控制通道：40主通道+40微调通道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支持珍珠R20灯库；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可保存的场景数量60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可同时运行的场景数量：10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多步场景的总步数：600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场景的时间控制淡入、淡出、LTP滑步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每个场景可存储图形数量：5个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支持推杆启动场景并进行调光，支持互锁场景，支持点控场景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图形生成器可生成Dimmer,P/T,RGB,CMY,Color,Gobo,Iris,Focus图形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可同时运行图形数量5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主控推杆全局、重演、灯具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支持立即黑场，支持转盘调整通道数值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支持推杆调整通道数值，支持推杆调光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21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8路信号放大器</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·数字信号类型：DMX512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·1路输入，1路直通输出（非隔离）。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·8路光隔离信号分配输出。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·各输入输出接口之间的电气隔离电压：&gt;1000V。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每路带数字信号指示灯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·DMX信号输入连接器：XLR-D3M/XLR-D5M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可选内置无线功能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防伪：机身携防伪标志，可通过网站查询产品身份</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189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12路直通箱</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供电：三相五线制AC380V±10％，频率50Hz±5％.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·512信号控制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·输入额定电流：200A,最大可做12路×4KW可用于任何负载.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·设有总开关,过载与短路双重保护高分断空气开关.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·三相独立电压，电流，监测，三相A.B.C指示灯指示.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·输出功率可选：额定功率：，12路X4KW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·外形尺寸:国际标准7U输出方式：16A</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黄河、亿通、广州灯王</w:t>
            </w:r>
          </w:p>
        </w:tc>
      </w:tr>
      <w:tr>
        <w:tblPrEx>
          <w:tblCellMar>
            <w:top w:w="0" w:type="dxa"/>
            <w:left w:w="0" w:type="dxa"/>
            <w:bottom w:w="0" w:type="dxa"/>
            <w:right w:w="0" w:type="dxa"/>
          </w:tblCellMar>
        </w:tblPrEx>
        <w:trPr>
          <w:trHeight w:val="5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2.10 </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灯光控制操作桌椅</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灯光控制操作桌椅</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张</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2500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定制</w:t>
            </w:r>
          </w:p>
        </w:tc>
      </w:tr>
      <w:tr>
        <w:tblPrEx>
          <w:tblCellMar>
            <w:top w:w="0" w:type="dxa"/>
            <w:left w:w="0" w:type="dxa"/>
            <w:bottom w:w="0" w:type="dxa"/>
            <w:right w:w="0" w:type="dxa"/>
          </w:tblCellMar>
        </w:tblPrEx>
        <w:trPr>
          <w:trHeight w:val="540" w:hRule="atLeast"/>
        </w:trPr>
        <w:tc>
          <w:tcPr>
            <w:tcW w:w="5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2.11</w:t>
            </w:r>
          </w:p>
        </w:tc>
        <w:tc>
          <w:tcPr>
            <w:tcW w:w="2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系统集成、附件</w:t>
            </w:r>
          </w:p>
        </w:tc>
        <w:tc>
          <w:tcPr>
            <w:tcW w:w="809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根据招标要求，提供舞台灯光安装所需的所有的线材、辅料等。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根据招标要求，提供设备安装、含登高作业、调试、培训等。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定制</w:t>
            </w:r>
          </w:p>
        </w:tc>
      </w:tr>
      <w:tr>
        <w:tblPrEx>
          <w:tblCellMar>
            <w:top w:w="0" w:type="dxa"/>
            <w:left w:w="0" w:type="dxa"/>
            <w:bottom w:w="0" w:type="dxa"/>
            <w:right w:w="0" w:type="dxa"/>
          </w:tblCellMar>
        </w:tblPrEx>
        <w:trPr>
          <w:trHeight w:val="535" w:hRule="atLeast"/>
        </w:trPr>
        <w:tc>
          <w:tcPr>
            <w:tcW w:w="108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87560元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05" w:type="dxa"/>
            <w:tcMar>
              <w:top w:w="15" w:type="dxa"/>
              <w:left w:w="15" w:type="dxa"/>
              <w:right w:w="15" w:type="dxa"/>
            </w:tcMar>
            <w:vAlign w:val="center"/>
          </w:tcPr>
          <w:p>
            <w:pPr>
              <w:rPr>
                <w:rFonts w:ascii="宋体" w:hAnsi="宋体" w:cs="宋体"/>
                <w:b/>
                <w:color w:val="000000"/>
                <w:sz w:val="22"/>
                <w:szCs w:val="22"/>
              </w:rPr>
            </w:pPr>
            <w:r>
              <w:br w:type="page"/>
            </w:r>
            <w:r>
              <w:rPr>
                <w:rFonts w:hint="eastAsia" w:ascii="宋体" w:hAnsi="宋体" w:cs="宋体"/>
                <w:b/>
                <w:color w:val="000000"/>
                <w:kern w:val="0"/>
                <w:sz w:val="22"/>
                <w:szCs w:val="22"/>
                <w:lang w:bidi="ar"/>
              </w:rPr>
              <w:t>3</w:t>
            </w:r>
          </w:p>
        </w:tc>
        <w:tc>
          <w:tcPr>
            <w:tcW w:w="15150" w:type="dxa"/>
            <w:gridSpan w:val="9"/>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舞台幕布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215" w:type="dxa"/>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对开大幕机及轨道系统</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电机功率：0.75KW，运行速度；0.35m/s最大牵引；300KG.轨道长17米，含钢丝，滑轮，挂钩，限位行程控制器等大幕轨道固定安装在台口内侧</w:t>
            </w:r>
          </w:p>
        </w:tc>
        <w:tc>
          <w:tcPr>
            <w:tcW w:w="681" w:type="dxa"/>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505" w:type="dxa"/>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912" w:type="dxa"/>
            <w:gridSpan w:val="2"/>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ascii="宋体" w:hAnsi="宋体" w:cs="宋体"/>
                <w:color w:val="000000"/>
                <w:kern w:val="0"/>
                <w:sz w:val="24"/>
                <w:szCs w:val="24"/>
                <w:lang w:bidi="ar"/>
              </w:rPr>
              <w:t>10000</w:t>
            </w:r>
          </w:p>
        </w:tc>
        <w:tc>
          <w:tcPr>
            <w:tcW w:w="978" w:type="dxa"/>
            <w:gridSpan w:val="2"/>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0</w:t>
            </w:r>
            <w:r>
              <w:rPr>
                <w:rFonts w:hint="eastAsia" w:ascii="宋体" w:hAnsi="宋体" w:cs="宋体"/>
                <w:color w:val="000000"/>
                <w:kern w:val="0"/>
                <w:sz w:val="22"/>
                <w:szCs w:val="22"/>
                <w:lang w:bidi="ar"/>
              </w:rPr>
              <w:t>000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r>
              <w:rPr>
                <w:rFonts w:hint="eastAsia" w:ascii="宋体" w:hAnsi="宋体" w:cs="宋体"/>
                <w:color w:val="000000"/>
                <w:kern w:val="0"/>
                <w:sz w:val="22"/>
                <w:szCs w:val="24"/>
                <w:lang w:bidi="ar"/>
              </w:rPr>
              <w:t>黄河、晨光、苏北舞台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.2</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电动会标吊杆机</w:t>
            </w:r>
          </w:p>
        </w:tc>
        <w:tc>
          <w:tcPr>
            <w:tcW w:w="8097"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吊杆卷扬机采用钢丝绳多层缠绕</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吊点数：4个</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标定行程：12.0m（满足实际需求）</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 xml:space="preserve">额定载荷：4.0kN </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 xml:space="preserve">速度：0.3m/s </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电机功率: 2.2KW四极电机</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 xml:space="preserve">减速机：Ф100蜗轮螺杆减速机 </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定位精度：±5mm</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运行噪音：≤45dB</w:t>
            </w:r>
          </w:p>
        </w:tc>
        <w:tc>
          <w:tcPr>
            <w:tcW w:w="681" w:type="dxa"/>
            <w:shd w:val="clear" w:color="auto" w:fill="auto"/>
            <w:tcMar>
              <w:top w:w="15" w:type="dxa"/>
              <w:left w:w="15" w:type="dxa"/>
              <w:right w:w="15" w:type="dxa"/>
            </w:tcMar>
            <w:vAlign w:val="center"/>
          </w:tcPr>
          <w:p>
            <w:pPr>
              <w:widowControl/>
              <w:jc w:val="center"/>
              <w:rPr>
                <w:color w:val="000000"/>
              </w:rPr>
            </w:pPr>
            <w:r>
              <w:rPr>
                <w:rFonts w:hint="eastAsia"/>
                <w:color w:val="000000"/>
              </w:rPr>
              <w:t>台</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1</w:t>
            </w:r>
          </w:p>
        </w:tc>
        <w:tc>
          <w:tcPr>
            <w:tcW w:w="912" w:type="dxa"/>
            <w:gridSpan w:val="2"/>
            <w:shd w:val="clear" w:color="auto" w:fill="auto"/>
            <w:tcMar>
              <w:top w:w="15" w:type="dxa"/>
              <w:left w:w="15" w:type="dxa"/>
              <w:right w:w="15" w:type="dxa"/>
            </w:tcMar>
            <w:vAlign w:val="center"/>
          </w:tcPr>
          <w:p>
            <w:pPr>
              <w:jc w:val="center"/>
              <w:rPr>
                <w:color w:val="000000"/>
              </w:rPr>
            </w:pPr>
            <w:r>
              <w:rPr>
                <w:color w:val="000000"/>
              </w:rPr>
              <w:t>6</w:t>
            </w:r>
            <w:r>
              <w:rPr>
                <w:rFonts w:hint="eastAsia"/>
                <w:color w:val="000000"/>
              </w:rPr>
              <w:t>000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color w:val="000000"/>
                <w:sz w:val="22"/>
                <w:szCs w:val="22"/>
              </w:rPr>
              <w:t>6</w:t>
            </w:r>
            <w:r>
              <w:rPr>
                <w:rFonts w:hint="eastAsia"/>
                <w:color w:val="000000"/>
                <w:sz w:val="22"/>
                <w:szCs w:val="22"/>
              </w:rPr>
              <w:t>000</w:t>
            </w:r>
          </w:p>
        </w:tc>
        <w:tc>
          <w:tcPr>
            <w:tcW w:w="176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.3</w:t>
            </w:r>
          </w:p>
        </w:tc>
        <w:tc>
          <w:tcPr>
            <w:tcW w:w="2215" w:type="dxa"/>
            <w:shd w:val="clear" w:color="000000" w:fill="auto"/>
            <w:tcMar>
              <w:top w:w="15" w:type="dxa"/>
              <w:left w:w="15" w:type="dxa"/>
              <w:right w:w="15" w:type="dxa"/>
            </w:tcMar>
            <w:vAlign w:val="center"/>
          </w:tcPr>
          <w:p>
            <w:pPr>
              <w:jc w:val="center"/>
              <w:rPr>
                <w:sz w:val="20"/>
              </w:rPr>
            </w:pPr>
            <w:r>
              <w:rPr>
                <w:rFonts w:hint="eastAsia"/>
                <w:sz w:val="20"/>
              </w:rPr>
              <w:t>电动会标吊杆杆体</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Ф40钢管×15m；双层杆体；表面喷涂黑漆。</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根</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1</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2000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2000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.4</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固定幕布吊杆杆体</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 xml:space="preserve">Ф40钢管×15.5m；单层杆体；表面喷涂黑漆。 </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根</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1</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1</w:t>
            </w:r>
            <w:r>
              <w:rPr>
                <w:color w:val="000000"/>
              </w:rPr>
              <w:t>345</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w:t>
            </w:r>
            <w:r>
              <w:rPr>
                <w:color w:val="000000"/>
                <w:sz w:val="22"/>
                <w:szCs w:val="22"/>
              </w:rPr>
              <w:t>345</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.5</w:t>
            </w:r>
          </w:p>
        </w:tc>
        <w:tc>
          <w:tcPr>
            <w:tcW w:w="2215"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航空钢丝绳</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Φ</w:t>
            </w:r>
            <w:r>
              <w:rPr>
                <w:rFonts w:ascii="宋体" w:hAnsi="宋体" w:cs="宋体"/>
                <w:color w:val="000000"/>
                <w:sz w:val="22"/>
                <w:szCs w:val="22"/>
              </w:rPr>
              <w:t xml:space="preserve">4.2 </w:t>
            </w:r>
            <w:r>
              <w:rPr>
                <w:rFonts w:hint="eastAsia" w:ascii="宋体" w:hAnsi="宋体" w:cs="宋体"/>
                <w:color w:val="000000"/>
                <w:sz w:val="22"/>
                <w:szCs w:val="22"/>
              </w:rPr>
              <w:t>航空钢丝绳</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米</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200</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5</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1000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.6</w:t>
            </w:r>
          </w:p>
        </w:tc>
        <w:tc>
          <w:tcPr>
            <w:tcW w:w="2215" w:type="dxa"/>
            <w:shd w:val="clear" w:color="auto" w:fill="auto"/>
            <w:tcMar>
              <w:top w:w="15" w:type="dxa"/>
              <w:left w:w="15" w:type="dxa"/>
              <w:right w:w="15" w:type="dxa"/>
            </w:tcMar>
            <w:vAlign w:val="center"/>
          </w:tcPr>
          <w:p>
            <w:pPr>
              <w:jc w:val="center"/>
              <w:rPr>
                <w:color w:val="000000"/>
              </w:rPr>
            </w:pPr>
            <w:r>
              <w:rPr>
                <w:rFonts w:hint="eastAsia"/>
                <w:color w:val="000000"/>
              </w:rPr>
              <w:t>吊点滑轮</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Ф120</w:t>
            </w:r>
            <w:r>
              <w:rPr>
                <w:rFonts w:ascii="宋体" w:hAnsi="宋体" w:cs="宋体"/>
                <w:color w:val="000000"/>
                <w:sz w:val="22"/>
                <w:szCs w:val="22"/>
              </w:rPr>
              <w:t xml:space="preserve"> </w:t>
            </w:r>
            <w:r>
              <w:rPr>
                <w:rFonts w:hint="eastAsia" w:ascii="宋体" w:hAnsi="宋体" w:cs="宋体"/>
                <w:color w:val="000000"/>
                <w:sz w:val="22"/>
                <w:szCs w:val="22"/>
              </w:rPr>
              <w:t>吊杆滑轮</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个</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8</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80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640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.7</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舞台吊杆模拟控制台</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点控：可在控制台上分别点动控制吊杆上行和下行；</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具有上下限位保护功能；具有极限保护功能；</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具有缺相和相序保护功能，强弱电分体式控制等</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台</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3</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3</w:t>
            </w:r>
            <w:r>
              <w:rPr>
                <w:color w:val="000000"/>
              </w:rPr>
              <w:t>0</w:t>
            </w:r>
            <w:r>
              <w:rPr>
                <w:rFonts w:hint="eastAsia"/>
                <w:color w:val="000000"/>
              </w:rPr>
              <w:t>00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color w:val="000000"/>
                <w:sz w:val="22"/>
                <w:szCs w:val="22"/>
              </w:rPr>
              <w:t>9000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.8</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专业线缆</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电机线</w:t>
            </w:r>
            <w:r>
              <w:rPr>
                <w:rFonts w:ascii="宋体" w:hAnsi="宋体" w:cs="宋体"/>
                <w:color w:val="000000"/>
                <w:sz w:val="22"/>
                <w:szCs w:val="22"/>
              </w:rPr>
              <w:t xml:space="preserve"> </w:t>
            </w:r>
            <w:r>
              <w:rPr>
                <w:rFonts w:hint="eastAsia" w:ascii="宋体" w:hAnsi="宋体" w:cs="宋体"/>
                <w:color w:val="000000"/>
                <w:sz w:val="22"/>
                <w:szCs w:val="22"/>
              </w:rPr>
              <w:t xml:space="preserve">RVV3*1.5 </w:t>
            </w:r>
            <w:r>
              <w:rPr>
                <w:rFonts w:ascii="宋体" w:hAnsi="宋体" w:cs="宋体"/>
                <w:color w:val="000000"/>
                <w:sz w:val="22"/>
                <w:szCs w:val="22"/>
              </w:rPr>
              <w:t>50</w:t>
            </w:r>
            <w:r>
              <w:rPr>
                <w:rFonts w:hint="eastAsia" w:ascii="宋体" w:hAnsi="宋体" w:cs="宋体"/>
                <w:color w:val="000000"/>
                <w:sz w:val="22"/>
                <w:szCs w:val="22"/>
              </w:rPr>
              <w:t>米，控制线</w:t>
            </w:r>
            <w:r>
              <w:rPr>
                <w:rFonts w:ascii="宋体" w:hAnsi="宋体" w:cs="宋体"/>
                <w:color w:val="000000"/>
                <w:sz w:val="22"/>
                <w:szCs w:val="22"/>
              </w:rPr>
              <w:t xml:space="preserve"> </w:t>
            </w:r>
            <w:r>
              <w:rPr>
                <w:rFonts w:hint="eastAsia" w:ascii="宋体" w:hAnsi="宋体" w:cs="宋体"/>
                <w:color w:val="000000"/>
                <w:sz w:val="22"/>
                <w:szCs w:val="22"/>
              </w:rPr>
              <w:t>RVV3*0.5</w:t>
            </w:r>
            <w:r>
              <w:rPr>
                <w:rFonts w:ascii="宋体" w:hAnsi="宋体" w:cs="宋体"/>
                <w:color w:val="000000"/>
                <w:sz w:val="22"/>
                <w:szCs w:val="22"/>
              </w:rPr>
              <w:t xml:space="preserve"> 50</w:t>
            </w:r>
            <w:r>
              <w:rPr>
                <w:rFonts w:hint="eastAsia" w:ascii="宋体" w:hAnsi="宋体" w:cs="宋体"/>
                <w:color w:val="000000"/>
                <w:sz w:val="22"/>
                <w:szCs w:val="22"/>
              </w:rPr>
              <w:t>米，电机线</w:t>
            </w:r>
            <w:r>
              <w:rPr>
                <w:rFonts w:ascii="宋体" w:hAnsi="宋体" w:cs="宋体"/>
                <w:color w:val="000000"/>
                <w:sz w:val="22"/>
                <w:szCs w:val="22"/>
              </w:rPr>
              <w:t xml:space="preserve"> </w:t>
            </w:r>
            <w:r>
              <w:rPr>
                <w:rFonts w:hint="eastAsia" w:ascii="宋体" w:hAnsi="宋体" w:cs="宋体"/>
                <w:color w:val="000000"/>
                <w:sz w:val="22"/>
                <w:szCs w:val="22"/>
              </w:rPr>
              <w:t>RVV4*1</w:t>
            </w:r>
            <w:r>
              <w:rPr>
                <w:rFonts w:ascii="宋体" w:hAnsi="宋体" w:cs="宋体"/>
                <w:color w:val="000000"/>
                <w:sz w:val="22"/>
                <w:szCs w:val="22"/>
              </w:rPr>
              <w:t xml:space="preserve"> 100</w:t>
            </w:r>
            <w:r>
              <w:rPr>
                <w:rFonts w:hint="eastAsia" w:ascii="宋体" w:hAnsi="宋体" w:cs="宋体"/>
                <w:color w:val="000000"/>
                <w:sz w:val="22"/>
                <w:szCs w:val="22"/>
              </w:rPr>
              <w:t>米</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批</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1</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1000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1000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.9</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前檐幕</w:t>
            </w:r>
          </w:p>
        </w:tc>
        <w:tc>
          <w:tcPr>
            <w:tcW w:w="80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color w:val="000000"/>
                <w:sz w:val="20"/>
              </w:rPr>
            </w:pPr>
            <w:r>
              <w:rPr>
                <w:rFonts w:hint="eastAsia"/>
                <w:color w:val="000000"/>
                <w:sz w:val="20"/>
              </w:rPr>
              <w:t>面料：金丝绒，重量：250g/㎡,</w:t>
            </w:r>
            <w:r>
              <w:rPr>
                <w:rFonts w:hint="eastAsia"/>
                <w:color w:val="000000"/>
                <w:sz w:val="20"/>
              </w:rPr>
              <w:br w:type="textWrapping"/>
            </w:r>
            <w:r>
              <w:rPr>
                <w:rFonts w:hint="eastAsia"/>
                <w:color w:val="000000"/>
                <w:sz w:val="20"/>
              </w:rPr>
              <w:t>规格：15.5m×1.5m×2×1（宽×高×折比×数量），</w:t>
            </w:r>
            <w:r>
              <w:rPr>
                <w:rFonts w:hint="eastAsia"/>
                <w:color w:val="000000"/>
                <w:sz w:val="20"/>
              </w:rPr>
              <w:br w:type="textWrapping"/>
            </w:r>
            <w:r>
              <w:rPr>
                <w:rFonts w:hint="eastAsia"/>
                <w:color w:val="000000"/>
                <w:sz w:val="20"/>
              </w:rPr>
              <w:t xml:space="preserve">颜色：枣红色，防火等级：B1级 </w:t>
            </w:r>
            <w:r>
              <w:rPr>
                <w:rFonts w:hint="eastAsia" w:ascii="宋体" w:hAnsi="宋体" w:cs="宋体"/>
                <w:color w:val="000000"/>
                <w:kern w:val="0"/>
                <w:sz w:val="20"/>
                <w:lang w:bidi="ar"/>
              </w:rPr>
              <w:t>（具有省级以上权威检测机构检验报告）</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平方米</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50</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60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3000</w:t>
            </w:r>
          </w:p>
        </w:tc>
        <w:tc>
          <w:tcPr>
            <w:tcW w:w="176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.10</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前檐幕衬里</w:t>
            </w:r>
          </w:p>
        </w:tc>
        <w:tc>
          <w:tcPr>
            <w:tcW w:w="80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0"/>
              </w:rPr>
            </w:pPr>
            <w:r>
              <w:rPr>
                <w:rFonts w:hint="eastAsia"/>
                <w:color w:val="000000"/>
                <w:sz w:val="20"/>
              </w:rPr>
              <w:t>面料：富春纺，</w:t>
            </w:r>
            <w:r>
              <w:rPr>
                <w:rFonts w:hint="eastAsia"/>
                <w:color w:val="000000"/>
                <w:sz w:val="20"/>
              </w:rPr>
              <w:br w:type="textWrapping"/>
            </w:r>
            <w:r>
              <w:rPr>
                <w:rFonts w:hint="eastAsia"/>
                <w:color w:val="000000"/>
                <w:sz w:val="20"/>
              </w:rPr>
              <w:t>规格：15.5m×1.5m×1×1（宽×高×折比×数量），</w:t>
            </w:r>
            <w:r>
              <w:rPr>
                <w:rFonts w:hint="eastAsia"/>
                <w:color w:val="000000"/>
                <w:sz w:val="20"/>
              </w:rPr>
              <w:br w:type="textWrapping"/>
            </w:r>
            <w:r>
              <w:rPr>
                <w:rFonts w:hint="eastAsia"/>
                <w:color w:val="000000"/>
                <w:sz w:val="20"/>
              </w:rPr>
              <w:t xml:space="preserve">颜色：枣红色，防火等级：B1级 </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平方米</w:t>
            </w:r>
          </w:p>
        </w:tc>
        <w:tc>
          <w:tcPr>
            <w:tcW w:w="505" w:type="dxa"/>
            <w:shd w:val="clear" w:color="auto" w:fill="auto"/>
            <w:tcMar>
              <w:top w:w="15" w:type="dxa"/>
              <w:left w:w="15" w:type="dxa"/>
              <w:right w:w="15" w:type="dxa"/>
            </w:tcMar>
            <w:vAlign w:val="center"/>
          </w:tcPr>
          <w:p>
            <w:pPr>
              <w:jc w:val="center"/>
              <w:rPr>
                <w:color w:val="000000"/>
              </w:rPr>
            </w:pPr>
            <w:r>
              <w:rPr>
                <w:rFonts w:hint="eastAsia"/>
                <w:color w:val="000000"/>
              </w:rPr>
              <w:t>25</w:t>
            </w:r>
          </w:p>
        </w:tc>
        <w:tc>
          <w:tcPr>
            <w:tcW w:w="912" w:type="dxa"/>
            <w:gridSpan w:val="2"/>
            <w:shd w:val="clear" w:color="auto" w:fill="auto"/>
            <w:tcMar>
              <w:top w:w="15" w:type="dxa"/>
              <w:left w:w="15" w:type="dxa"/>
              <w:right w:w="15" w:type="dxa"/>
            </w:tcMar>
            <w:vAlign w:val="center"/>
          </w:tcPr>
          <w:p>
            <w:pPr>
              <w:jc w:val="center"/>
              <w:rPr>
                <w:color w:val="000000"/>
              </w:rPr>
            </w:pPr>
            <w:r>
              <w:rPr>
                <w:rFonts w:hint="eastAsia"/>
                <w:color w:val="000000"/>
              </w:rPr>
              <w:t>30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750</w:t>
            </w:r>
          </w:p>
        </w:tc>
        <w:tc>
          <w:tcPr>
            <w:tcW w:w="176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.11</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大幕</w:t>
            </w:r>
          </w:p>
        </w:tc>
        <w:tc>
          <w:tcPr>
            <w:tcW w:w="80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0"/>
              </w:rPr>
            </w:pPr>
            <w:r>
              <w:rPr>
                <w:rFonts w:hint="eastAsia"/>
                <w:color w:val="000000"/>
                <w:sz w:val="20"/>
              </w:rPr>
              <w:t>面料：金丝绒，重量：250g/㎡,</w:t>
            </w:r>
            <w:r>
              <w:rPr>
                <w:rFonts w:hint="eastAsia"/>
                <w:color w:val="000000"/>
                <w:sz w:val="20"/>
              </w:rPr>
              <w:br w:type="textWrapping"/>
            </w:r>
            <w:r>
              <w:rPr>
                <w:rFonts w:hint="eastAsia"/>
                <w:color w:val="000000"/>
                <w:sz w:val="20"/>
              </w:rPr>
              <w:t>规格：8.5m×8m×2×2（宽×高×折比×数量），</w:t>
            </w:r>
            <w:r>
              <w:rPr>
                <w:rFonts w:hint="eastAsia"/>
                <w:color w:val="000000"/>
                <w:sz w:val="20"/>
              </w:rPr>
              <w:br w:type="textWrapping"/>
            </w:r>
            <w:r>
              <w:rPr>
                <w:rFonts w:hint="eastAsia"/>
                <w:color w:val="000000"/>
                <w:sz w:val="20"/>
              </w:rPr>
              <w:t xml:space="preserve">颜色：枣红色，防火等级：B1级 </w:t>
            </w:r>
            <w:r>
              <w:rPr>
                <w:rFonts w:hint="eastAsia" w:ascii="宋体" w:hAnsi="宋体" w:cs="宋体"/>
                <w:color w:val="000000"/>
                <w:kern w:val="0"/>
                <w:sz w:val="20"/>
                <w:lang w:bidi="ar"/>
              </w:rPr>
              <w:t>（具有省级以上权威检测机构检验报告）</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平方米</w:t>
            </w:r>
          </w:p>
        </w:tc>
        <w:tc>
          <w:tcPr>
            <w:tcW w:w="505"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275</w:t>
            </w:r>
          </w:p>
        </w:tc>
        <w:tc>
          <w:tcPr>
            <w:tcW w:w="912" w:type="dxa"/>
            <w:gridSpan w:val="2"/>
            <w:shd w:val="clear" w:color="auto" w:fill="auto"/>
            <w:tcMar>
              <w:top w:w="15" w:type="dxa"/>
              <w:left w:w="15" w:type="dxa"/>
              <w:right w:w="15" w:type="dxa"/>
            </w:tcMar>
            <w:vAlign w:val="center"/>
          </w:tcPr>
          <w:p>
            <w:pPr>
              <w:jc w:val="center"/>
              <w:rPr>
                <w:color w:val="000000"/>
                <w:sz w:val="24"/>
                <w:szCs w:val="24"/>
              </w:rPr>
            </w:pPr>
            <w:r>
              <w:rPr>
                <w:rFonts w:hint="eastAsia"/>
                <w:color w:val="000000"/>
              </w:rPr>
              <w:t>60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16500</w:t>
            </w:r>
          </w:p>
        </w:tc>
        <w:tc>
          <w:tcPr>
            <w:tcW w:w="176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.12</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大幕衬里</w:t>
            </w:r>
          </w:p>
        </w:tc>
        <w:tc>
          <w:tcPr>
            <w:tcW w:w="80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0"/>
              </w:rPr>
            </w:pPr>
            <w:r>
              <w:rPr>
                <w:rFonts w:hint="eastAsia"/>
                <w:color w:val="000000"/>
                <w:sz w:val="20"/>
              </w:rPr>
              <w:t>面料：富春纺，</w:t>
            </w:r>
            <w:r>
              <w:rPr>
                <w:rFonts w:hint="eastAsia"/>
                <w:color w:val="000000"/>
                <w:sz w:val="20"/>
              </w:rPr>
              <w:br w:type="textWrapping"/>
            </w:r>
            <w:r>
              <w:rPr>
                <w:rFonts w:hint="eastAsia"/>
                <w:color w:val="000000"/>
                <w:sz w:val="20"/>
              </w:rPr>
              <w:t>规格：8.5m×8m×1×2（宽×高×折比×数量），</w:t>
            </w:r>
            <w:r>
              <w:rPr>
                <w:rFonts w:hint="eastAsia"/>
                <w:color w:val="000000"/>
                <w:sz w:val="20"/>
              </w:rPr>
              <w:br w:type="textWrapping"/>
            </w:r>
            <w:r>
              <w:rPr>
                <w:rFonts w:hint="eastAsia"/>
                <w:color w:val="000000"/>
                <w:sz w:val="20"/>
              </w:rPr>
              <w:t>颜色：枣红色，防火等级：B1级</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平方米</w:t>
            </w:r>
          </w:p>
        </w:tc>
        <w:tc>
          <w:tcPr>
            <w:tcW w:w="505"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150</w:t>
            </w:r>
          </w:p>
        </w:tc>
        <w:tc>
          <w:tcPr>
            <w:tcW w:w="912" w:type="dxa"/>
            <w:gridSpan w:val="2"/>
            <w:shd w:val="clear" w:color="auto" w:fill="auto"/>
            <w:tcMar>
              <w:top w:w="15" w:type="dxa"/>
              <w:left w:w="15" w:type="dxa"/>
              <w:right w:w="15" w:type="dxa"/>
            </w:tcMar>
            <w:vAlign w:val="center"/>
          </w:tcPr>
          <w:p>
            <w:pPr>
              <w:jc w:val="center"/>
              <w:rPr>
                <w:color w:val="000000"/>
                <w:sz w:val="24"/>
                <w:szCs w:val="24"/>
              </w:rPr>
            </w:pPr>
            <w:r>
              <w:rPr>
                <w:rFonts w:hint="eastAsia"/>
                <w:color w:val="000000"/>
              </w:rPr>
              <w:t>30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4500</w:t>
            </w:r>
          </w:p>
        </w:tc>
        <w:tc>
          <w:tcPr>
            <w:tcW w:w="176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.13</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背景幕沿条幕</w:t>
            </w:r>
          </w:p>
        </w:tc>
        <w:tc>
          <w:tcPr>
            <w:tcW w:w="80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0"/>
              </w:rPr>
            </w:pPr>
            <w:r>
              <w:rPr>
                <w:rFonts w:hint="eastAsia"/>
                <w:color w:val="000000"/>
                <w:sz w:val="20"/>
              </w:rPr>
              <w:t>面料：金丝绒，重量：250g/㎡,</w:t>
            </w:r>
            <w:r>
              <w:rPr>
                <w:rFonts w:hint="eastAsia"/>
                <w:color w:val="000000"/>
                <w:sz w:val="20"/>
              </w:rPr>
              <w:br w:type="textWrapping"/>
            </w:r>
            <w:r>
              <w:rPr>
                <w:rFonts w:hint="eastAsia"/>
                <w:color w:val="000000"/>
                <w:sz w:val="20"/>
              </w:rPr>
              <w:t>规格：15.5m×0.8m×2×1（宽×高×折比×数量），</w:t>
            </w:r>
            <w:r>
              <w:rPr>
                <w:rFonts w:hint="eastAsia"/>
                <w:color w:val="000000"/>
                <w:sz w:val="20"/>
              </w:rPr>
              <w:br w:type="textWrapping"/>
            </w:r>
            <w:r>
              <w:rPr>
                <w:rFonts w:hint="eastAsia"/>
                <w:color w:val="000000"/>
                <w:sz w:val="20"/>
              </w:rPr>
              <w:t xml:space="preserve">颜色：驼色，防火等级：B1级 </w:t>
            </w:r>
            <w:r>
              <w:rPr>
                <w:rFonts w:hint="eastAsia" w:ascii="宋体" w:hAnsi="宋体" w:cs="宋体"/>
                <w:color w:val="000000"/>
                <w:kern w:val="0"/>
                <w:sz w:val="20"/>
                <w:lang w:bidi="ar"/>
              </w:rPr>
              <w:t>（具有省级以上权威检测机构检验报告）</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平方米</w:t>
            </w:r>
          </w:p>
        </w:tc>
        <w:tc>
          <w:tcPr>
            <w:tcW w:w="505"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50</w:t>
            </w:r>
          </w:p>
        </w:tc>
        <w:tc>
          <w:tcPr>
            <w:tcW w:w="912" w:type="dxa"/>
            <w:gridSpan w:val="2"/>
            <w:shd w:val="clear" w:color="auto" w:fill="auto"/>
            <w:tcMar>
              <w:top w:w="15" w:type="dxa"/>
              <w:left w:w="15" w:type="dxa"/>
              <w:right w:w="15" w:type="dxa"/>
            </w:tcMar>
            <w:vAlign w:val="center"/>
          </w:tcPr>
          <w:p>
            <w:pPr>
              <w:jc w:val="center"/>
              <w:rPr>
                <w:color w:val="000000"/>
                <w:sz w:val="24"/>
                <w:szCs w:val="24"/>
              </w:rPr>
            </w:pPr>
            <w:r>
              <w:rPr>
                <w:rFonts w:hint="eastAsia"/>
                <w:color w:val="000000"/>
              </w:rPr>
              <w:t>60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3000</w:t>
            </w:r>
          </w:p>
        </w:tc>
        <w:tc>
          <w:tcPr>
            <w:tcW w:w="176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.14</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背景幕</w:t>
            </w:r>
          </w:p>
        </w:tc>
        <w:tc>
          <w:tcPr>
            <w:tcW w:w="80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0"/>
              </w:rPr>
            </w:pPr>
            <w:r>
              <w:rPr>
                <w:rFonts w:hint="eastAsia"/>
                <w:color w:val="000000"/>
                <w:sz w:val="20"/>
              </w:rPr>
              <w:t>面料：金丝绒，重量：250g/㎡,</w:t>
            </w:r>
            <w:r>
              <w:rPr>
                <w:rFonts w:hint="eastAsia"/>
                <w:color w:val="000000"/>
                <w:sz w:val="20"/>
              </w:rPr>
              <w:br w:type="textWrapping"/>
            </w:r>
            <w:r>
              <w:rPr>
                <w:rFonts w:hint="eastAsia"/>
                <w:color w:val="000000"/>
                <w:sz w:val="20"/>
              </w:rPr>
              <w:t>规格：8.5m×8m×</w:t>
            </w:r>
            <w:r>
              <w:rPr>
                <w:rFonts w:hint="eastAsia"/>
                <w:b/>
                <w:bCs/>
                <w:color w:val="000000"/>
                <w:sz w:val="20"/>
              </w:rPr>
              <w:t>2</w:t>
            </w:r>
            <w:r>
              <w:rPr>
                <w:rFonts w:hint="eastAsia"/>
                <w:color w:val="000000"/>
                <w:sz w:val="20"/>
              </w:rPr>
              <w:t>×2（宽×高×折比×数量），</w:t>
            </w:r>
            <w:r>
              <w:rPr>
                <w:rFonts w:hint="eastAsia"/>
                <w:color w:val="000000"/>
                <w:sz w:val="20"/>
              </w:rPr>
              <w:br w:type="textWrapping"/>
            </w:r>
            <w:r>
              <w:rPr>
                <w:rFonts w:hint="eastAsia"/>
                <w:color w:val="000000"/>
                <w:sz w:val="20"/>
              </w:rPr>
              <w:t xml:space="preserve">颜色：驼色，防火等级：B1级 </w:t>
            </w:r>
            <w:r>
              <w:rPr>
                <w:rFonts w:hint="eastAsia" w:ascii="宋体" w:hAnsi="宋体" w:cs="宋体"/>
                <w:color w:val="000000"/>
                <w:kern w:val="0"/>
                <w:sz w:val="20"/>
                <w:lang w:bidi="ar"/>
              </w:rPr>
              <w:t>（具有省级以上权威检测机构检验报告）</w:t>
            </w:r>
          </w:p>
        </w:tc>
        <w:tc>
          <w:tcPr>
            <w:tcW w:w="681" w:type="dxa"/>
            <w:shd w:val="clear" w:color="auto" w:fill="auto"/>
            <w:tcMar>
              <w:top w:w="15" w:type="dxa"/>
              <w:left w:w="15" w:type="dxa"/>
              <w:right w:w="15" w:type="dxa"/>
            </w:tcMar>
            <w:vAlign w:val="center"/>
          </w:tcPr>
          <w:p>
            <w:pPr>
              <w:jc w:val="center"/>
              <w:rPr>
                <w:color w:val="000000"/>
                <w:sz w:val="24"/>
                <w:szCs w:val="24"/>
              </w:rPr>
            </w:pPr>
            <w:r>
              <w:rPr>
                <w:rFonts w:hint="eastAsia"/>
                <w:color w:val="000000"/>
              </w:rPr>
              <w:t>平方米</w:t>
            </w:r>
          </w:p>
        </w:tc>
        <w:tc>
          <w:tcPr>
            <w:tcW w:w="505"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275</w:t>
            </w:r>
          </w:p>
        </w:tc>
        <w:tc>
          <w:tcPr>
            <w:tcW w:w="912" w:type="dxa"/>
            <w:gridSpan w:val="2"/>
            <w:shd w:val="clear" w:color="auto" w:fill="auto"/>
            <w:tcMar>
              <w:top w:w="15" w:type="dxa"/>
              <w:left w:w="15" w:type="dxa"/>
              <w:right w:w="15" w:type="dxa"/>
            </w:tcMar>
            <w:vAlign w:val="center"/>
          </w:tcPr>
          <w:p>
            <w:pPr>
              <w:jc w:val="center"/>
              <w:rPr>
                <w:color w:val="000000"/>
                <w:sz w:val="24"/>
                <w:szCs w:val="24"/>
              </w:rPr>
            </w:pPr>
            <w:r>
              <w:rPr>
                <w:rFonts w:hint="eastAsia"/>
                <w:color w:val="000000"/>
              </w:rPr>
              <w:t>60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16500</w:t>
            </w:r>
          </w:p>
        </w:tc>
        <w:tc>
          <w:tcPr>
            <w:tcW w:w="176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.15</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电气和控制系统</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规格:单相、三相通用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每路功率:4KW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主要功能:380V开关输出，40A空气开关 </w:t>
            </w:r>
          </w:p>
        </w:tc>
        <w:tc>
          <w:tcPr>
            <w:tcW w:w="681"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套</w:t>
            </w:r>
          </w:p>
        </w:tc>
        <w:tc>
          <w:tcPr>
            <w:tcW w:w="505"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w:t>
            </w:r>
          </w:p>
        </w:tc>
        <w:tc>
          <w:tcPr>
            <w:tcW w:w="912" w:type="dxa"/>
            <w:gridSpan w:val="2"/>
            <w:shd w:val="clear" w:color="auto" w:fill="auto"/>
            <w:tcMar>
              <w:top w:w="15" w:type="dxa"/>
              <w:left w:w="15" w:type="dxa"/>
              <w:right w:w="15" w:type="dxa"/>
            </w:tcMar>
            <w:vAlign w:val="center"/>
          </w:tcPr>
          <w:p>
            <w:pPr>
              <w:jc w:val="center"/>
              <w:rPr>
                <w:color w:val="000000"/>
                <w:sz w:val="22"/>
                <w:szCs w:val="22"/>
              </w:rPr>
            </w:pPr>
            <w:r>
              <w:rPr>
                <w:color w:val="000000"/>
                <w:sz w:val="22"/>
                <w:szCs w:val="22"/>
              </w:rPr>
              <w:t>1</w:t>
            </w:r>
            <w:r>
              <w:rPr>
                <w:rFonts w:hint="eastAsia"/>
                <w:color w:val="000000"/>
                <w:sz w:val="22"/>
                <w:szCs w:val="22"/>
              </w:rPr>
              <w:t>000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color w:val="000000"/>
                <w:sz w:val="22"/>
                <w:szCs w:val="22"/>
              </w:rPr>
              <w:t>1</w:t>
            </w:r>
            <w:r>
              <w:rPr>
                <w:rFonts w:hint="eastAsia"/>
                <w:color w:val="000000"/>
                <w:sz w:val="22"/>
                <w:szCs w:val="22"/>
              </w:rPr>
              <w:t>000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r>
              <w:rPr>
                <w:rFonts w:ascii="宋体" w:hAnsi="宋体" w:cs="宋体"/>
                <w:color w:val="000000"/>
                <w:sz w:val="22"/>
                <w:szCs w:val="22"/>
              </w:rPr>
              <w:t>.16</w:t>
            </w:r>
          </w:p>
        </w:tc>
        <w:tc>
          <w:tcPr>
            <w:tcW w:w="2215" w:type="dxa"/>
            <w:shd w:val="clear" w:color="auto" w:fill="auto"/>
            <w:tcMar>
              <w:top w:w="15" w:type="dxa"/>
              <w:left w:w="15" w:type="dxa"/>
              <w:right w:w="15" w:type="dxa"/>
            </w:tcMar>
            <w:vAlign w:val="center"/>
          </w:tcPr>
          <w:p>
            <w:pPr>
              <w:jc w:val="center"/>
              <w:rPr>
                <w:color w:val="000000"/>
                <w:sz w:val="20"/>
              </w:rPr>
            </w:pPr>
            <w:r>
              <w:rPr>
                <w:rFonts w:hint="eastAsia"/>
                <w:color w:val="000000"/>
                <w:sz w:val="20"/>
              </w:rPr>
              <w:t>舞台电动机械附件、钢架</w:t>
            </w:r>
          </w:p>
        </w:tc>
        <w:tc>
          <w:tcPr>
            <w:tcW w:w="8097" w:type="dxa"/>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在建筑总包已有的检修通道或栅顶的基础上，安装支架或钢结构，满足载荷及安装要求。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原厂商通过ISO9001、ISO14001、OHSAS18001认证，提供原厂授权及质保函</w:t>
            </w:r>
          </w:p>
        </w:tc>
        <w:tc>
          <w:tcPr>
            <w:tcW w:w="681"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套</w:t>
            </w:r>
          </w:p>
        </w:tc>
        <w:tc>
          <w:tcPr>
            <w:tcW w:w="505" w:type="dxa"/>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1</w:t>
            </w:r>
          </w:p>
        </w:tc>
        <w:tc>
          <w:tcPr>
            <w:tcW w:w="912"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8000</w:t>
            </w:r>
          </w:p>
        </w:tc>
        <w:tc>
          <w:tcPr>
            <w:tcW w:w="978" w:type="dxa"/>
            <w:gridSpan w:val="2"/>
            <w:shd w:val="clear" w:color="auto" w:fill="auto"/>
            <w:tcMar>
              <w:top w:w="15" w:type="dxa"/>
              <w:left w:w="15" w:type="dxa"/>
              <w:right w:w="15" w:type="dxa"/>
            </w:tcMar>
            <w:vAlign w:val="center"/>
          </w:tcPr>
          <w:p>
            <w:pPr>
              <w:jc w:val="center"/>
              <w:rPr>
                <w:color w:val="000000"/>
                <w:sz w:val="22"/>
                <w:szCs w:val="22"/>
              </w:rPr>
            </w:pPr>
            <w:r>
              <w:rPr>
                <w:rFonts w:hint="eastAsia"/>
                <w:color w:val="000000"/>
                <w:sz w:val="22"/>
                <w:szCs w:val="22"/>
              </w:rPr>
              <w:t>8000</w:t>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5" w:type="dxa"/>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215" w:type="dxa"/>
            <w:shd w:val="clear" w:color="auto" w:fill="auto"/>
            <w:tcMar>
              <w:top w:w="15" w:type="dxa"/>
              <w:left w:w="15" w:type="dxa"/>
              <w:right w:w="15" w:type="dxa"/>
            </w:tcMar>
            <w:vAlign w:val="center"/>
          </w:tcPr>
          <w:p>
            <w:pPr>
              <w:jc w:val="center"/>
              <w:rPr>
                <w:color w:val="000000"/>
                <w:sz w:val="20"/>
              </w:rPr>
            </w:pPr>
          </w:p>
        </w:tc>
        <w:tc>
          <w:tcPr>
            <w:tcW w:w="8097" w:type="dxa"/>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681" w:type="dxa"/>
            <w:shd w:val="clear" w:color="auto" w:fill="auto"/>
            <w:tcMar>
              <w:top w:w="15" w:type="dxa"/>
              <w:left w:w="15" w:type="dxa"/>
              <w:right w:w="15" w:type="dxa"/>
            </w:tcMar>
            <w:vAlign w:val="center"/>
          </w:tcPr>
          <w:p>
            <w:pPr>
              <w:jc w:val="center"/>
              <w:rPr>
                <w:color w:val="000000"/>
                <w:sz w:val="22"/>
                <w:szCs w:val="22"/>
              </w:rPr>
            </w:pPr>
          </w:p>
        </w:tc>
        <w:tc>
          <w:tcPr>
            <w:tcW w:w="505" w:type="dxa"/>
            <w:shd w:val="clear" w:color="auto" w:fill="auto"/>
            <w:tcMar>
              <w:top w:w="15" w:type="dxa"/>
              <w:left w:w="15" w:type="dxa"/>
              <w:right w:w="15" w:type="dxa"/>
            </w:tcMar>
            <w:vAlign w:val="center"/>
          </w:tcPr>
          <w:p>
            <w:pPr>
              <w:jc w:val="center"/>
              <w:rPr>
                <w:color w:val="000000"/>
                <w:sz w:val="22"/>
                <w:szCs w:val="22"/>
              </w:rPr>
            </w:pPr>
          </w:p>
        </w:tc>
        <w:tc>
          <w:tcPr>
            <w:tcW w:w="912" w:type="dxa"/>
            <w:gridSpan w:val="2"/>
            <w:shd w:val="clear" w:color="auto" w:fill="auto"/>
            <w:tcMar>
              <w:top w:w="15" w:type="dxa"/>
              <w:left w:w="15" w:type="dxa"/>
              <w:right w:w="15" w:type="dxa"/>
            </w:tcMar>
            <w:vAlign w:val="center"/>
          </w:tcPr>
          <w:p>
            <w:pPr>
              <w:jc w:val="center"/>
              <w:rPr>
                <w:color w:val="000000"/>
                <w:sz w:val="22"/>
                <w:szCs w:val="22"/>
              </w:rPr>
            </w:pPr>
          </w:p>
        </w:tc>
        <w:tc>
          <w:tcPr>
            <w:tcW w:w="978" w:type="dxa"/>
            <w:gridSpan w:val="2"/>
            <w:shd w:val="clear" w:color="auto" w:fill="auto"/>
            <w:tcMar>
              <w:top w:w="15" w:type="dxa"/>
              <w:left w:w="15" w:type="dxa"/>
              <w:right w:w="15" w:type="dxa"/>
            </w:tcMar>
            <w:vAlign w:val="center"/>
          </w:tcPr>
          <w:p>
            <w:pPr>
              <w:jc w:val="center"/>
              <w:rPr>
                <w:color w:val="000000"/>
                <w:sz w:val="22"/>
                <w:szCs w:val="22"/>
              </w:rPr>
            </w:pPr>
            <w:r>
              <w:rPr>
                <w:color w:val="000000"/>
                <w:sz w:val="22"/>
                <w:szCs w:val="22"/>
              </w:rPr>
              <w:fldChar w:fldCharType="begin"/>
            </w:r>
            <w:r>
              <w:rPr>
                <w:color w:val="000000"/>
                <w:sz w:val="22"/>
                <w:szCs w:val="22"/>
              </w:rPr>
              <w:instrText xml:space="preserve"> =SUM(ABOVE) </w:instrText>
            </w:r>
            <w:r>
              <w:rPr>
                <w:color w:val="000000"/>
                <w:sz w:val="22"/>
                <w:szCs w:val="22"/>
              </w:rPr>
              <w:fldChar w:fldCharType="separate"/>
            </w:r>
            <w:r>
              <w:rPr>
                <w:color w:val="000000"/>
                <w:sz w:val="22"/>
                <w:szCs w:val="22"/>
              </w:rPr>
              <w:t>94235</w:t>
            </w:r>
            <w:r>
              <w:rPr>
                <w:color w:val="000000"/>
                <w:sz w:val="22"/>
                <w:szCs w:val="22"/>
              </w:rPr>
              <w:fldChar w:fldCharType="end"/>
            </w:r>
          </w:p>
        </w:tc>
        <w:tc>
          <w:tcPr>
            <w:tcW w:w="1762" w:type="dxa"/>
            <w:tcMar>
              <w:top w:w="15" w:type="dxa"/>
              <w:left w:w="15" w:type="dxa"/>
              <w:right w:w="15" w:type="dxa"/>
            </w:tcMar>
            <w:vAlign w:val="center"/>
          </w:tcPr>
          <w:p>
            <w:pPr>
              <w:widowControl/>
              <w:jc w:val="center"/>
              <w:textAlignment w:val="center"/>
              <w:rPr>
                <w:rFonts w:ascii="宋体" w:hAnsi="宋体" w:cs="宋体"/>
                <w:color w:val="000000"/>
                <w:sz w:val="22"/>
                <w:szCs w:val="24"/>
              </w:rPr>
            </w:pPr>
          </w:p>
        </w:tc>
      </w:tr>
      <w:tr>
        <w:tblPrEx>
          <w:tblCellMar>
            <w:top w:w="0" w:type="dxa"/>
            <w:left w:w="0" w:type="dxa"/>
            <w:bottom w:w="0" w:type="dxa"/>
            <w:right w:w="0" w:type="dxa"/>
          </w:tblCellMar>
        </w:tblPrEx>
        <w:trPr>
          <w:trHeight w:val="680" w:hRule="atLeast"/>
        </w:trPr>
        <w:tc>
          <w:tcPr>
            <w:tcW w:w="5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b/>
                <w:color w:val="000000"/>
                <w:sz w:val="22"/>
                <w:szCs w:val="22"/>
              </w:rPr>
            </w:pPr>
            <w:r>
              <w:br w:type="page"/>
            </w:r>
            <w:r>
              <w:rPr>
                <w:rFonts w:hint="eastAsia" w:ascii="宋体" w:hAnsi="宋体" w:cs="宋体"/>
                <w:b/>
                <w:color w:val="000000"/>
                <w:kern w:val="0"/>
                <w:sz w:val="22"/>
                <w:szCs w:val="22"/>
                <w:lang w:bidi="ar"/>
              </w:rPr>
              <w:t>八</w:t>
            </w:r>
          </w:p>
        </w:tc>
        <w:tc>
          <w:tcPr>
            <w:tcW w:w="15150" w:type="dxa"/>
            <w:gridSpan w:val="9"/>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其它LED屏</w:t>
            </w:r>
          </w:p>
        </w:tc>
      </w:tr>
      <w:tr>
        <w:tblPrEx>
          <w:tblCellMar>
            <w:top w:w="0" w:type="dxa"/>
            <w:left w:w="0" w:type="dxa"/>
            <w:bottom w:w="0" w:type="dxa"/>
            <w:right w:w="0" w:type="dxa"/>
          </w:tblCellMar>
        </w:tblPrEx>
        <w:trPr>
          <w:trHeight w:val="36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条状LED屏</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3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操场主席台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P4.75LED屏（9米*0.8米）</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像素间距（mm）：4.75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像素密度（Dots/㎡）：44321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像素结构：单红色、表贴三合一LED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LED规格：SMD2020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驱动IC：PWMSS高清、高阶驱动芯片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驱动方式：1/16扫恒流驱动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模组分辨率（W×H）：64×32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模组尺寸（mm）：304（W）×152（H）×14.5（D）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工作电压（V）：DC4.5±0.1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最大电流（A）：3.9±0.1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单元模组功耗（W/张）：≤18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电解电容：220uF/16V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水平视角（°）：140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垂直视角（°）：40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峰值功耗（W/㎡）：≤439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平均功耗（W/㎡）：≤190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扫描方式：1/16扫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刷新率（Hz）：≥480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控制方式：计算机控制或异步控制卡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安装方式：磁吸前维护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维护方式：前维护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平均无故障时间（小时）：≥10000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衰减率（三年）：≤15%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使用寿命（小时）：≥100000</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平方米</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23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食堂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P4.75LED屏（8米*0.8米）</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像素间距（mm）：4.75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像素密度（Dots/㎡）：44321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像素结构：单红色、表贴三合一LED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LED规格：SMD2020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驱动IC：PWMSS高清、高阶驱动芯片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驱动方式：1/16扫恒流驱动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模组分辨率（W×H）：64×32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模组尺寸（mm）：304（W）×152（H）×14.5（D）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工作电压（V）：DC4.5±0.1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最大电流（A）：3.9±0.1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单元模组功耗（W/张）：≤18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电解电容：220uF/16V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水平视角（°）：140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垂直视角（°）：40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峰值功耗（W/㎡）：≤439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平均功耗（W/㎡）：≤190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扫描方式：1/16扫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刷新率（Hz）：≥480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控制方式：计算机控制或异步控制卡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安装方式：磁吸前维护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维护方式：前维护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平均无故障时间（小时）：≥10000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衰减率（三年）：≤15%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使用寿命（小时）：≥100000</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平方米</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17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体艺馆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P4.75LED屏（14米*0.8米）</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像素间距（mm）：4.75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像素密度（Dots/㎡）：44321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像素结构：单红色、表贴三合一LED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LED规格：SMD2020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驱动IC：PWMSS高清、高阶驱动芯片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驱动方式：1/16扫恒流驱动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模组分辨率（W×H）：64×32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模组尺寸（mm）：304（W）×152（H）×14.5（D）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工作电压（V）：DC4.5±0.1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最大电流（A）：3.9±0.1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单元模组功耗（W/张）：≤18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电解电容：220uF/16V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水平视角（°）：140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垂直视角（°）：40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峰值功耗（W/㎡）：≤439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平均功耗（W/㎡）：≤190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扫描方式：1/16扫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刷新率（Hz）：≥480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控制方式：计算机控制或异步控制卡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安装方式：磁吸前维护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维护方式：前维护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平均无故障时间（小时）：≥10000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衰减率（三年）：≤15%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使用寿命（小时）：≥100000</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平方米</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270" w:hRule="atLeast"/>
        </w:trPr>
        <w:tc>
          <w:tcPr>
            <w:tcW w:w="5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系统集成附件</w:t>
            </w:r>
          </w:p>
        </w:tc>
        <w:tc>
          <w:tcPr>
            <w:tcW w:w="809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提供条状LED屏安装所需附件、配件，含高空吊装横杆支架等。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480" w:hRule="atLeast"/>
        </w:trPr>
        <w:tc>
          <w:tcPr>
            <w:tcW w:w="108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94000元</w:t>
            </w:r>
          </w:p>
        </w:tc>
      </w:tr>
      <w:tr>
        <w:tblPrEx>
          <w:tblCellMar>
            <w:top w:w="0" w:type="dxa"/>
            <w:left w:w="0" w:type="dxa"/>
            <w:bottom w:w="0" w:type="dxa"/>
            <w:right w:w="0" w:type="dxa"/>
          </w:tblCellMar>
        </w:tblPrEx>
        <w:trPr>
          <w:trHeight w:val="27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1515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进门主通道显示屏</w:t>
            </w:r>
          </w:p>
        </w:tc>
      </w:tr>
      <w:tr>
        <w:tblPrEx>
          <w:tblCellMar>
            <w:top w:w="0" w:type="dxa"/>
            <w:left w:w="0" w:type="dxa"/>
            <w:bottom w:w="0" w:type="dxa"/>
            <w:right w:w="0" w:type="dxa"/>
          </w:tblCellMar>
        </w:tblPrEx>
        <w:trPr>
          <w:trHeight w:val="264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室内P2.0LED显示屏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（LED显示屏）</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2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规格：室内全彩LED显示屏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尺寸：LED大屏具体尺寸需根据现场勘探确定。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材质：★所投产品底壳材质采用铝材质或采用压铸铝材质箱体</w:t>
            </w:r>
            <w:r>
              <w:rPr>
                <w:rFonts w:hint="eastAsia" w:ascii="宋体" w:hAnsi="宋体" w:cs="宋体"/>
                <w:color w:val="000000"/>
                <w:kern w:val="0"/>
                <w:sz w:val="22"/>
                <w:szCs w:val="22"/>
                <w:lang w:bidi="ar"/>
              </w:rPr>
              <w:br w:type="textWrapping"/>
            </w:r>
            <w:r>
              <w:rPr>
                <w:rFonts w:hint="eastAsia" w:ascii="宋体" w:hAnsi="宋体" w:cs="宋体"/>
                <w:color w:val="auto"/>
                <w:kern w:val="0"/>
                <w:sz w:val="22"/>
                <w:szCs w:val="22"/>
                <w:lang w:bidi="ar"/>
              </w:rPr>
              <w:t>LED发光管：★封装方式：SMD表贴三合一，采用国星金线封装（投标时提供证明文件加盖原厂公章）</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参数及要求：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★投标产品LED屏像素点间距≤2.0mm，刷新率≥3840Hz。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2.模组尺寸：320mm*160mm，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3.单元最大亮度≥500cd／m2，亮度均匀性≥98.7。</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4.LED显示单元可视角度达到水平：≥170°，垂直：≥150°。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5.对比度≥5500:1。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6.冷热冲击：高温60℃，低温-40℃，高温和低温各保持30Min，中间转换时间不大于5Min，循环10次，常温恢复2H，受试验品外观结构和功能均正常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7.LED显示屏图像质量主观评价为优（投标时提供具有CNAS认可的检测报告并加盖原厂公章）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8.图像具有降噪、增强、运动补偿、色坐标变换处理、钝化处理、无几何失真和非线性失真现象、消鬼影拖尾、无毛毛虫，鬼影跟随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9.所投产品具备故障自动报警、多点测温与电源温度实时监控功能，从而保证显示屏的正常运行。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10.为保证整屏的平整度，模组机械强度≥5MP。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11.IPX6滑石粉密度：2KG/m3网孔径75um使用次数：小于20次，实验时间8H。试验后检查样品无进尘现象。屏幕防尘等级符合IP6X。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光生物安全测试：皮肤和眼睛的光化学紫外危害曝辐射值、眼睛的近紫外危害曝辐射值、宽波段的光源对视网膜危害，蓝光对皮肤表面及角膜和视网膜的曝辐射值、眼睛的红外辐射危害曝辐射值、皮肤热危害曝辐射值检测均无危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13.盐雾等级达到10级，UV紫外线辐射达到5级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14.处理距离R=1.0米前方≤6.5dB后方≤7.7dB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15.模拟9级烈度地震测试，无异常，试后正常工作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16.通过高温高湿工作实验：将样品放在40℃，80%RH环境中，通电8h，在恢复到常温。试验中实验后受试样品外观结构和功能均正常。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17.模组采用4.5VDC安全电压供电，支持电源系统双备份，当其中一路电网跳闸后，另一路电网继续供电从而实现不间断供电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18.为了保证客户室内安全无火灾隐患，LED显示屏产品PCB阻燃等级达到V-0级（提供检测报告复印件）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19.无故障时间：≥100000小时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17.平整度：≤0.1MM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18.抗电强度：因LED显示屏是电子产品，在U=1500VAC；T=60S的条件下未击穿，（提供国家认可的检测机构出具的检测报告复印件）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19.为保证产品质量、供货渠道的合法性提供制造相应证明文件。中标后提供原厂针对本项目的授权文件及原厂质保函。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20.为了显示屏的良好体验，更好的兼容性，LED显示屏单元板和电源，控制系统，视频处理器，强电柜必须是同一品牌。（提供相关产品的3C证书复印件）</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平方米</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153600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258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室内LED显示屏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（接收系统及视频控制器）</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2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1.大屏拼接控制器噪音不大于45dB；（需提供具备CNAS第三方检测机构对控制器的检测报告复印件）。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2.大屏拼接控制器背板总线带宽大于360G/S；（需提供具备CNAS第三方检测机构对控制器的检测报告复印件）。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3.支持双电源、双风扇冗余备份；（需提供具备CNAS第三方检测机构对控制器的检测报告复印件）。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4.支持超低延时，信号源从采集办理入延时在70S以内;（需提供具备CNAS第三方检测机构对控制器的检测报告复印件）。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5.支持本地信号和网络信号中断时，保留上一画面最后一帧功能；（需提供具备CNAS第三方检测机构对控制器的检测报告复印件）。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6.所投控制系统和软件须与屏体同一品牌（提供控制软件著作权以及控制器3C证书复印件并加盖原厂公章）</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28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室内LED显示屏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（视频处理器及发送系统）</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1.拥有完备的视频输入接口，1路HDMI2.0，4路DVI，1路3G-SDI。支持16路网口和4路光纤输出，带载高达1040万像素。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2.支持HDMI、DVI输入分辨率自定义调节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3.支持5窗口任意布局。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4.无需电脑，支持通过设备旋钮按钮快捷配屏和高级配屏功能点亮屏体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3.支持场景预设，最多可创建10个用户场景作为模板保存，可直接调用。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4.支持HDR输出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4.持设备备份和网口备份，设备故障或网线故障时保证屏体运行过程正常无问题。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5.支持持选择HDMI输入源或DVI输入源作为同步信号，达到输出的场级同步。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6.支持逐点亮度校正，可以对每个灯点的亮度和色度进行校正，有效消除色差，使整屏的亮度和色度达到高度均匀一致，提高显示屏的画质。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7.表面阻燃达到V-0级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8.工作温度0℃-50℃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9.湿度0%RH-95%RH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10.支持用户自定义EDID和预设EDID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11.发送卡和视频处理器二合一，连接系更少，稳定及兼容性大大提升。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12.提供超高分多媒体呈现系统的软件著作权证书复印件加盖原厂公章。</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16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室内LED显示屏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（强电柜）</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2.配电柜可实现远程开关机功能，提供PLC软件著作权加盖原厂公章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3.提供配电柜3C证书与国家强制性产品认证实验报告加盖原厂公章</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162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室内LED显示屏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（钢结构、支架等）</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2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1.基础框架需做好防锈刷漆处理，框架：整体镀锌钢支撑架+拉丝亚光不锈钢包边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2.显示屏制造商具备钢结构施工三级或以上资质，电子与智能化工程专业承包一级资质（提供证书复印件加盖原厂公章）。</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平方米</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利亚德、上海三思、联建光电</w:t>
            </w:r>
          </w:p>
        </w:tc>
      </w:tr>
      <w:tr>
        <w:tblPrEx>
          <w:tblCellMar>
            <w:top w:w="0" w:type="dxa"/>
            <w:left w:w="0" w:type="dxa"/>
            <w:bottom w:w="0" w:type="dxa"/>
            <w:right w:w="0" w:type="dxa"/>
          </w:tblCellMar>
        </w:tblPrEx>
        <w:trPr>
          <w:trHeight w:val="5751"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管理电脑</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商用计算机；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CPU≥英特尔酷睿i5-10500T (6-核, 12MB 缓存, 2.3GHz )处理器或以上；</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内存≥8G（单条）DDR4 2666MHz，支持双内存条插槽；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要求同时支持M.2PCIeNVme固态硬盘接口及SATA硬盘接口；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本次标配固态硬盘容量≥256G，SATA硬盘容量≥1T；</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集成显卡、要求支持双屏显示；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接口USB3.2端口≥4个，HDMI或DP高清接口≥2个；</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机箱尺寸≤1.2L；</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内置千兆网卡，内置英特尔 Wi-Fi 6 AX200 2x2 (Gig+) + 蓝牙 5.1；</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外置电源，USB键盘鼠标；</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资质权威检验中心出具的MTBF平均无故障时间≥800000小时，提供证明材料；</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产品整机通过国家强制3C认证，提供证书复印件；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内置Windows 10中文版操作系统；</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主机正面和背面各带一个音频输出接口，以方便录播、多媒体及其他设备采集音频数据；</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配套同品牌21.5寸液晶显示器，内置DP高清接口；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配套支架可将电脑主机及显示器一体化安装，通过支架显示器可以实现上下升降，左右旋转，可升高高度≥11cm，左右旋转角度0~180°；</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显示器可旋转为竖屏状态；</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5年原厂免费质保，供货时提供原厂5年免费质保证明材料。</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w:t>
            </w:r>
            <w:r>
              <w:rPr>
                <w:rFonts w:hint="eastAsia" w:ascii="宋体" w:hAnsi="宋体" w:cs="宋体"/>
                <w:color w:val="000000"/>
                <w:kern w:val="0"/>
                <w:sz w:val="22"/>
                <w:szCs w:val="22"/>
                <w:lang w:bidi="ar"/>
              </w:rPr>
              <w:t>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w:t>
            </w:r>
            <w:r>
              <w:rPr>
                <w:rFonts w:hint="eastAsia" w:ascii="宋体" w:hAnsi="宋体" w:cs="宋体"/>
                <w:color w:val="000000"/>
                <w:kern w:val="0"/>
                <w:sz w:val="22"/>
                <w:szCs w:val="22"/>
                <w:lang w:bidi="ar"/>
              </w:rPr>
              <w:t>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联想、惠普、戴尔</w:t>
            </w:r>
          </w:p>
        </w:tc>
      </w:tr>
      <w:tr>
        <w:tblPrEx>
          <w:tblCellMar>
            <w:top w:w="0" w:type="dxa"/>
            <w:left w:w="0" w:type="dxa"/>
            <w:bottom w:w="0" w:type="dxa"/>
            <w:right w:w="0" w:type="dxa"/>
          </w:tblCellMar>
        </w:tblPrEx>
        <w:trPr>
          <w:trHeight w:val="800" w:hRule="atLeast"/>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22U机柜</w:t>
            </w:r>
          </w:p>
        </w:tc>
        <w:tc>
          <w:tcPr>
            <w:tcW w:w="8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标准22U网络机柜，采用SPCC优质冷轧钢板，配8位PDU排插1只。</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1080" w:hRule="atLeast"/>
        </w:trPr>
        <w:tc>
          <w:tcPr>
            <w:tcW w:w="5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附件、系统集成</w:t>
            </w:r>
          </w:p>
        </w:tc>
        <w:tc>
          <w:tcPr>
            <w:tcW w:w="809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要求现场勘察，绘制布线图，系统图，立面布置图，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要求在投标文件的技术方案中提供图纸呈现；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要求提供LED大屏幕安装所需的所有的线材、辅料等。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要求提供设备安装、调试、培训等。</w:t>
            </w:r>
          </w:p>
        </w:tc>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45</w:t>
            </w:r>
            <w:r>
              <w:rPr>
                <w:rFonts w:hint="eastAsia" w:ascii="宋体" w:hAnsi="宋体" w:cs="宋体"/>
                <w:color w:val="000000"/>
                <w:kern w:val="0"/>
                <w:sz w:val="22"/>
                <w:szCs w:val="22"/>
                <w:lang w:bidi="ar"/>
              </w:rPr>
              <w:t>00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45</w:t>
            </w:r>
            <w:r>
              <w:rPr>
                <w:rFonts w:hint="eastAsia" w:ascii="宋体" w:hAnsi="宋体" w:cs="宋体"/>
                <w:color w:val="000000"/>
                <w:kern w:val="0"/>
                <w:sz w:val="22"/>
                <w:szCs w:val="22"/>
                <w:lang w:bidi="ar"/>
              </w:rPr>
              <w:t>00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r>
      <w:tr>
        <w:tblPrEx>
          <w:tblCellMar>
            <w:top w:w="0" w:type="dxa"/>
            <w:left w:w="0" w:type="dxa"/>
            <w:bottom w:w="0" w:type="dxa"/>
            <w:right w:w="0" w:type="dxa"/>
          </w:tblCellMar>
        </w:tblPrEx>
        <w:trPr>
          <w:trHeight w:val="480" w:hRule="atLeast"/>
        </w:trPr>
        <w:tc>
          <w:tcPr>
            <w:tcW w:w="108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483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196900元</w:t>
            </w:r>
          </w:p>
        </w:tc>
      </w:tr>
      <w:tr>
        <w:tblPrEx>
          <w:tblCellMar>
            <w:top w:w="0" w:type="dxa"/>
            <w:left w:w="0" w:type="dxa"/>
            <w:bottom w:w="0" w:type="dxa"/>
            <w:right w:w="0" w:type="dxa"/>
          </w:tblCellMar>
        </w:tblPrEx>
        <w:trPr>
          <w:trHeight w:val="660" w:hRule="atLeast"/>
        </w:trPr>
        <w:tc>
          <w:tcPr>
            <w:tcW w:w="15655" w:type="dxa"/>
            <w:gridSpan w:val="10"/>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本项目总计：2877145元</w:t>
            </w:r>
          </w:p>
        </w:tc>
      </w:tr>
    </w:tbl>
    <w:p>
      <w:pPr>
        <w:adjustRightInd w:val="0"/>
        <w:snapToGrid w:val="0"/>
        <w:spacing w:line="480" w:lineRule="exact"/>
        <w:rPr>
          <w:rFonts w:ascii="宋体" w:hAnsi="宋体" w:cs="宋体"/>
          <w:bCs/>
          <w:szCs w:val="21"/>
        </w:rPr>
        <w:sectPr>
          <w:pgSz w:w="16838" w:h="11906" w:orient="landscape"/>
          <w:pgMar w:top="720" w:right="720" w:bottom="720" w:left="720" w:header="851" w:footer="992" w:gutter="0"/>
          <w:cols w:space="720" w:num="1"/>
          <w:titlePg/>
          <w:docGrid w:linePitch="312" w:charSpace="0"/>
        </w:sectPr>
      </w:pPr>
    </w:p>
    <w:p>
      <w:pPr>
        <w:pStyle w:val="2"/>
        <w:rPr>
          <w:rFonts w:ascii="宋体" w:hAnsi="宋体" w:eastAsia="宋体" w:cs="宋体"/>
        </w:rPr>
        <w:sectPr>
          <w:type w:val="continuous"/>
          <w:pgSz w:w="16838" w:h="11906" w:orient="landscape"/>
          <w:pgMar w:top="720" w:right="720" w:bottom="720" w:left="720" w:header="851" w:footer="992" w:gutter="0"/>
          <w:cols w:space="720" w:num="1"/>
          <w:titlePg/>
          <w:docGrid w:linePitch="312" w:charSpace="0"/>
        </w:sectPr>
      </w:pPr>
    </w:p>
    <w:p>
      <w:pPr>
        <w:widowControl/>
        <w:autoSpaceDE w:val="0"/>
        <w:autoSpaceDN w:val="0"/>
        <w:spacing w:line="500" w:lineRule="exact"/>
        <w:ind w:left="-181" w:leftChars="-86" w:right="-178" w:rightChars="-85" w:firstLine="904" w:firstLineChars="250"/>
        <w:jc w:val="center"/>
        <w:textAlignment w:val="bottom"/>
        <w:outlineLvl w:val="0"/>
        <w:rPr>
          <w:rFonts w:ascii="宋体" w:hAnsi="宋体" w:cs="宋体"/>
          <w:b/>
          <w:bCs/>
          <w:sz w:val="36"/>
          <w:szCs w:val="36"/>
        </w:rPr>
      </w:pPr>
      <w:bookmarkStart w:id="12" w:name="_Toc26252"/>
      <w:bookmarkStart w:id="13" w:name="_Toc29212"/>
      <w:r>
        <w:rPr>
          <w:rFonts w:hint="eastAsia" w:ascii="宋体" w:hAnsi="宋体" w:cs="宋体"/>
          <w:b/>
          <w:bCs/>
          <w:sz w:val="36"/>
          <w:szCs w:val="36"/>
        </w:rPr>
        <w:t>第六章   商务条款</w:t>
      </w:r>
      <w:bookmarkEnd w:id="12"/>
      <w:bookmarkEnd w:id="13"/>
    </w:p>
    <w:p>
      <w:pPr>
        <w:widowControl/>
        <w:autoSpaceDE w:val="0"/>
        <w:autoSpaceDN w:val="0"/>
        <w:spacing w:line="500" w:lineRule="exact"/>
        <w:ind w:left="-181" w:leftChars="-86" w:right="-178" w:rightChars="-85" w:firstLine="703" w:firstLineChars="250"/>
        <w:textAlignment w:val="bottom"/>
        <w:rPr>
          <w:rFonts w:ascii="宋体" w:hAnsi="宋体" w:cs="宋体"/>
          <w:b/>
          <w:bCs/>
          <w:sz w:val="28"/>
          <w:szCs w:val="28"/>
        </w:rPr>
      </w:pPr>
      <w:r>
        <w:rPr>
          <w:rFonts w:hint="eastAsia" w:ascii="宋体" w:hAnsi="宋体" w:cs="宋体"/>
          <w:b/>
          <w:bCs/>
          <w:sz w:val="28"/>
          <w:szCs w:val="28"/>
        </w:rPr>
        <w:t>一、采购的总体要求：</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1、必须符合招标文件(包括补充更正，如有)的技术要求和配置；符合国家有关规定。</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2、售后服务按国家质量监督检验检疫总局和国家其他有关规定执行，国家没有规定的按厂商规定执行。国家规定标准低于厂商标准的按厂商标准执行，但最低免费质保服务期不得少于</w:t>
      </w:r>
      <w:r>
        <w:rPr>
          <w:rFonts w:hint="eastAsia" w:ascii="宋体" w:hAnsi="宋体" w:cs="宋体"/>
          <w:sz w:val="28"/>
          <w:szCs w:val="28"/>
          <w:lang w:val="en-US" w:eastAsia="zh-CN"/>
        </w:rPr>
        <w:t>5</w:t>
      </w:r>
      <w:r>
        <w:rPr>
          <w:rFonts w:hint="eastAsia" w:ascii="宋体" w:hAnsi="宋体" w:cs="宋体"/>
          <w:sz w:val="28"/>
          <w:szCs w:val="28"/>
        </w:rPr>
        <w:t>年。</w:t>
      </w:r>
    </w:p>
    <w:p>
      <w:pPr>
        <w:widowControl/>
        <w:autoSpaceDE w:val="0"/>
        <w:autoSpaceDN w:val="0"/>
        <w:spacing w:line="500" w:lineRule="exact"/>
        <w:ind w:left="-181" w:leftChars="-86" w:right="-178" w:rightChars="-85" w:firstLine="703" w:firstLineChars="250"/>
        <w:textAlignment w:val="bottom"/>
        <w:rPr>
          <w:rFonts w:ascii="宋体" w:hAnsi="宋体" w:cs="宋体"/>
          <w:sz w:val="28"/>
          <w:szCs w:val="28"/>
        </w:rPr>
      </w:pPr>
      <w:r>
        <w:rPr>
          <w:rFonts w:hint="eastAsia" w:ascii="宋体" w:hAnsi="宋体" w:cs="宋体"/>
          <w:b/>
          <w:bCs/>
          <w:sz w:val="28"/>
          <w:szCs w:val="28"/>
        </w:rPr>
        <w:t>二、付款方式：</w:t>
      </w:r>
      <w:r>
        <w:rPr>
          <w:rFonts w:hint="eastAsia" w:ascii="宋体" w:hAnsi="宋体" w:cs="宋体"/>
          <w:sz w:val="28"/>
          <w:szCs w:val="28"/>
        </w:rPr>
        <w:t>按财务结算要求，通过银行划帐方式结算。</w:t>
      </w:r>
    </w:p>
    <w:p>
      <w:pPr>
        <w:widowControl/>
        <w:autoSpaceDE w:val="0"/>
        <w:autoSpaceDN w:val="0"/>
        <w:spacing w:line="500" w:lineRule="exact"/>
        <w:ind w:left="-181" w:leftChars="-86" w:right="-178" w:rightChars="-85" w:firstLine="703" w:firstLineChars="250"/>
        <w:textAlignment w:val="bottom"/>
        <w:rPr>
          <w:rFonts w:ascii="宋体" w:hAnsi="宋体" w:cs="宋体"/>
          <w:sz w:val="28"/>
          <w:szCs w:val="28"/>
        </w:rPr>
      </w:pPr>
      <w:r>
        <w:rPr>
          <w:rFonts w:hint="eastAsia" w:ascii="宋体" w:hAnsi="宋体" w:cs="宋体"/>
          <w:b/>
          <w:bCs/>
          <w:sz w:val="28"/>
          <w:szCs w:val="28"/>
        </w:rPr>
        <w:t>三、售后服务</w:t>
      </w:r>
      <w:r>
        <w:rPr>
          <w:rFonts w:hint="eastAsia" w:ascii="宋体" w:hAnsi="宋体" w:cs="宋体"/>
          <w:sz w:val="28"/>
          <w:szCs w:val="28"/>
        </w:rPr>
        <w:t xml:space="preserve"> </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1、本项目质量保修期≥</w:t>
      </w:r>
      <w:r>
        <w:rPr>
          <w:rFonts w:hint="eastAsia" w:ascii="宋体" w:hAnsi="宋体" w:cs="宋体"/>
          <w:sz w:val="28"/>
          <w:szCs w:val="28"/>
          <w:lang w:val="en-US" w:eastAsia="zh-CN"/>
        </w:rPr>
        <w:t>5</w:t>
      </w:r>
      <w:r>
        <w:rPr>
          <w:rFonts w:hint="eastAsia" w:ascii="宋体" w:hAnsi="宋体" w:cs="宋体"/>
          <w:sz w:val="28"/>
          <w:szCs w:val="28"/>
        </w:rPr>
        <w:t>年（招标规格参数内有注明的以招标规格参数要求为准）。</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2、在标的物整个使用期内，成交供应商应确保采购人正常使用，在接到采购人维护要求后应在半小时内响应，并在2个小时内提出解决方案，8小时内到达现场对故障进行处理，维修过程中所需材料成交供应商在接到通知后应及时提供，最长不超过24小时必须送达买方。若24小时内无法修复的，应及时提供相应备用设备并负责安装调试，为此投标响应供应商应提供相应承诺书。</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3、 质保期内因不能排除的故障而影响工作的情况每发生一次，其质保期相应延长60天</w:t>
      </w:r>
      <w:r>
        <w:rPr>
          <w:rFonts w:hint="eastAsia" w:ascii="宋体" w:hAnsi="宋体" w:cs="宋体"/>
          <w:sz w:val="28"/>
          <w:szCs w:val="28"/>
          <w:lang w:val="en-US" w:eastAsia="zh-CN"/>
        </w:rPr>
        <w:t>并扣除10%的履约保证金</w:t>
      </w:r>
      <w:r>
        <w:rPr>
          <w:rFonts w:hint="eastAsia" w:ascii="宋体" w:hAnsi="宋体" w:cs="宋体"/>
          <w:sz w:val="28"/>
          <w:szCs w:val="28"/>
        </w:rPr>
        <w:t>，质保期内因货物本身缺陷造成各种故障应由成交供应商免费技术服务和维修。</w:t>
      </w:r>
    </w:p>
    <w:p>
      <w:pPr>
        <w:widowControl/>
        <w:autoSpaceDE w:val="0"/>
        <w:autoSpaceDN w:val="0"/>
        <w:spacing w:line="500" w:lineRule="exact"/>
        <w:ind w:left="-181" w:leftChars="-86" w:right="-178" w:rightChars="-85" w:firstLine="703" w:firstLineChars="250"/>
        <w:textAlignment w:val="bottom"/>
        <w:rPr>
          <w:rFonts w:ascii="宋体" w:hAnsi="宋体" w:cs="宋体"/>
          <w:b/>
          <w:bCs/>
          <w:sz w:val="28"/>
          <w:szCs w:val="28"/>
        </w:rPr>
      </w:pPr>
      <w:r>
        <w:rPr>
          <w:rFonts w:hint="eastAsia" w:ascii="宋体" w:hAnsi="宋体" w:cs="宋体"/>
          <w:b/>
          <w:bCs/>
          <w:sz w:val="28"/>
          <w:szCs w:val="28"/>
        </w:rPr>
        <w:t>四、培训</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中标供应商应对采购人的操作人员及维修人员提供技术培训，使其能对设备进行日常操作和维护保养及能对一般故障进行维修。投标方应提供相应的培训计划，详细说明培训的方式、地点、人数、时间等实质性内容。</w:t>
      </w:r>
    </w:p>
    <w:p>
      <w:pPr>
        <w:widowControl/>
        <w:autoSpaceDE w:val="0"/>
        <w:autoSpaceDN w:val="0"/>
        <w:spacing w:line="500" w:lineRule="exact"/>
        <w:ind w:left="-181" w:leftChars="-86" w:right="-178" w:rightChars="-85" w:firstLine="703" w:firstLineChars="250"/>
        <w:textAlignment w:val="bottom"/>
        <w:rPr>
          <w:rFonts w:ascii="宋体" w:hAnsi="宋体" w:cs="宋体"/>
          <w:b/>
          <w:bCs/>
          <w:sz w:val="28"/>
          <w:szCs w:val="28"/>
        </w:rPr>
      </w:pPr>
      <w:r>
        <w:rPr>
          <w:rFonts w:hint="eastAsia" w:ascii="宋体" w:hAnsi="宋体" w:cs="宋体"/>
          <w:b/>
          <w:bCs/>
          <w:sz w:val="28"/>
          <w:szCs w:val="28"/>
        </w:rPr>
        <w:t>五、完成时间及安装调试</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1、完成时间：中标供应商必须在合同签订生效后，</w:t>
      </w:r>
      <w:r>
        <w:rPr>
          <w:rFonts w:hint="eastAsia" w:ascii="宋体" w:hAnsi="宋体" w:cs="宋体"/>
          <w:sz w:val="28"/>
          <w:szCs w:val="28"/>
          <w:lang w:val="en-US" w:eastAsia="zh-CN"/>
        </w:rPr>
        <w:t>必须</w:t>
      </w:r>
      <w:r>
        <w:rPr>
          <w:rFonts w:hint="eastAsia" w:ascii="宋体" w:hAnsi="宋体" w:cs="宋体"/>
          <w:sz w:val="28"/>
          <w:szCs w:val="28"/>
        </w:rPr>
        <w:t>在工期内（工期与土建工程同步（项目分两期实施））完成供货、安装</w:t>
      </w:r>
      <w:r>
        <w:rPr>
          <w:rFonts w:hint="eastAsia" w:ascii="宋体" w:hAnsi="宋体" w:cs="宋体"/>
          <w:sz w:val="28"/>
          <w:szCs w:val="28"/>
          <w:lang w:eastAsia="zh-CN"/>
        </w:rPr>
        <w:t>、</w:t>
      </w:r>
      <w:r>
        <w:rPr>
          <w:rFonts w:hint="eastAsia" w:ascii="宋体" w:hAnsi="宋体" w:cs="宋体"/>
          <w:sz w:val="28"/>
          <w:szCs w:val="28"/>
        </w:rPr>
        <w:t>调试并验收合格交付采购单位使用，如在规定的时间内由于中标供应商的原因不能完成安装、验收通过并交付使用的，中标供应商应承担由此给采购单位造成的损失。</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2、安装地点：由采购单位指定。</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3、安装标准：符合我国国家有关技术规范要求和技术标准，所有的设备必须保证同时安装到位。</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4、中标方免费提供中标设备的安装调试服务。</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5、投标方应在投标文件中应提供安装计划、对安装场地和环境的要求。</w:t>
      </w:r>
    </w:p>
    <w:p>
      <w:pPr>
        <w:widowControl/>
        <w:autoSpaceDE w:val="0"/>
        <w:autoSpaceDN w:val="0"/>
        <w:spacing w:line="500" w:lineRule="exact"/>
        <w:ind w:left="-181" w:leftChars="-86" w:right="-178" w:rightChars="-85" w:firstLine="703" w:firstLineChars="250"/>
        <w:textAlignment w:val="bottom"/>
        <w:rPr>
          <w:rFonts w:ascii="宋体" w:hAnsi="宋体" w:cs="宋体"/>
          <w:b/>
          <w:bCs/>
          <w:sz w:val="28"/>
          <w:szCs w:val="28"/>
        </w:rPr>
      </w:pPr>
      <w:r>
        <w:rPr>
          <w:rFonts w:hint="eastAsia" w:ascii="宋体" w:hAnsi="宋体" w:cs="宋体"/>
          <w:b/>
          <w:bCs/>
          <w:sz w:val="28"/>
          <w:szCs w:val="28"/>
        </w:rPr>
        <w:t>六、验收</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1、供货方应提供系统设备的有效检验材料，经采购人认可后，与合同的技术指标一起作为验收标准。采购人对系统设备验收合格后，在《建德市政府采购验收反馈表》上签署意见并加盖单位公章。验收中发现系统设备达不到验收标准或合同规定的技术指标，卖方必须更换，并负担由此给用户造成的损失，直到验收合格为止。</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2、投标方应于投标书中提供系统设备的验收标准和检测办法，并在验收中提供买方认可的相应检测手段，验收标准应符合中国有关的国家、地方、行业的标准，如若中标，经买方确认后作为验收的依据。</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3、验收费用由产品供应商承担。</w:t>
      </w: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p>
    <w:p>
      <w:pPr>
        <w:widowControl/>
        <w:autoSpaceDE w:val="0"/>
        <w:autoSpaceDN w:val="0"/>
        <w:spacing w:line="500" w:lineRule="exact"/>
        <w:ind w:left="-181" w:leftChars="-86" w:right="-178" w:rightChars="-85" w:firstLine="700" w:firstLineChars="250"/>
        <w:textAlignment w:val="bottom"/>
        <w:rPr>
          <w:rFonts w:ascii="宋体" w:hAnsi="宋体" w:cs="宋体"/>
          <w:sz w:val="28"/>
          <w:szCs w:val="28"/>
        </w:rPr>
      </w:pPr>
      <w:r>
        <w:rPr>
          <w:rFonts w:hint="eastAsia" w:ascii="宋体" w:hAnsi="宋体" w:cs="宋体"/>
          <w:sz w:val="28"/>
          <w:szCs w:val="28"/>
        </w:rPr>
        <w:t xml:space="preserve">   </w:t>
      </w:r>
    </w:p>
    <w:p>
      <w:pPr>
        <w:pStyle w:val="18"/>
        <w:rPr>
          <w:rFonts w:ascii="宋体" w:hAnsi="宋体" w:cs="宋体"/>
          <w:sz w:val="28"/>
          <w:szCs w:val="28"/>
        </w:rPr>
      </w:pPr>
    </w:p>
    <w:p>
      <w:pPr>
        <w:pStyle w:val="18"/>
        <w:rPr>
          <w:rFonts w:ascii="宋体" w:hAnsi="宋体" w:cs="宋体"/>
          <w:sz w:val="28"/>
          <w:szCs w:val="28"/>
        </w:rPr>
      </w:pPr>
    </w:p>
    <w:p>
      <w:pPr>
        <w:pStyle w:val="18"/>
        <w:rPr>
          <w:rFonts w:ascii="宋体" w:hAnsi="宋体" w:cs="宋体"/>
          <w:sz w:val="28"/>
          <w:szCs w:val="28"/>
        </w:rPr>
      </w:pPr>
    </w:p>
    <w:p>
      <w:pPr>
        <w:pStyle w:val="18"/>
        <w:rPr>
          <w:rFonts w:ascii="宋体" w:hAnsi="宋体" w:cs="宋体"/>
          <w:sz w:val="28"/>
          <w:szCs w:val="28"/>
        </w:rPr>
      </w:pPr>
    </w:p>
    <w:p>
      <w:pPr>
        <w:pStyle w:val="18"/>
        <w:rPr>
          <w:rFonts w:ascii="宋体" w:hAnsi="宋体" w:cs="宋体"/>
          <w:sz w:val="28"/>
          <w:szCs w:val="28"/>
        </w:rPr>
      </w:pPr>
    </w:p>
    <w:p>
      <w:pPr>
        <w:pStyle w:val="18"/>
        <w:rPr>
          <w:rFonts w:ascii="宋体" w:hAnsi="宋体" w:cs="宋体"/>
          <w:sz w:val="28"/>
          <w:szCs w:val="28"/>
        </w:rPr>
      </w:pPr>
    </w:p>
    <w:p>
      <w:pPr>
        <w:pStyle w:val="18"/>
        <w:rPr>
          <w:rFonts w:ascii="宋体" w:hAnsi="宋体" w:cs="宋体"/>
          <w:sz w:val="28"/>
          <w:szCs w:val="28"/>
        </w:rPr>
      </w:pPr>
    </w:p>
    <w:p>
      <w:pPr>
        <w:pStyle w:val="18"/>
        <w:rPr>
          <w:rFonts w:ascii="宋体" w:hAnsi="宋体" w:cs="宋体"/>
          <w:sz w:val="28"/>
          <w:szCs w:val="28"/>
        </w:rPr>
      </w:pPr>
    </w:p>
    <w:p>
      <w:pPr>
        <w:pStyle w:val="18"/>
        <w:rPr>
          <w:rFonts w:ascii="宋体" w:hAnsi="宋体" w:cs="宋体"/>
          <w:sz w:val="28"/>
          <w:szCs w:val="28"/>
        </w:rPr>
      </w:pPr>
    </w:p>
    <w:p>
      <w:pPr>
        <w:widowControl/>
        <w:autoSpaceDE w:val="0"/>
        <w:autoSpaceDN w:val="0"/>
        <w:spacing w:line="500" w:lineRule="exact"/>
        <w:ind w:right="-178" w:rightChars="-85"/>
        <w:textAlignment w:val="bottom"/>
        <w:rPr>
          <w:rFonts w:ascii="宋体" w:hAnsi="宋体" w:cs="宋体"/>
          <w:sz w:val="28"/>
          <w:szCs w:val="28"/>
        </w:rPr>
      </w:pPr>
    </w:p>
    <w:p>
      <w:pPr>
        <w:pStyle w:val="18"/>
        <w:rPr>
          <w:rFonts w:ascii="宋体" w:hAnsi="宋体" w:cs="宋体"/>
        </w:rPr>
      </w:pPr>
    </w:p>
    <w:p>
      <w:pPr>
        <w:widowControl/>
        <w:autoSpaceDE w:val="0"/>
        <w:autoSpaceDN w:val="0"/>
        <w:spacing w:before="120" w:beforeLines="50" w:after="120" w:afterLines="50" w:line="440" w:lineRule="exact"/>
        <w:jc w:val="center"/>
        <w:textAlignment w:val="bottom"/>
        <w:outlineLvl w:val="0"/>
        <w:rPr>
          <w:rStyle w:val="105"/>
          <w:rFonts w:ascii="宋体" w:hAnsi="宋体" w:cs="宋体"/>
          <w:sz w:val="36"/>
        </w:rPr>
      </w:pPr>
      <w:bookmarkStart w:id="14" w:name="_Toc20167"/>
      <w:bookmarkStart w:id="15" w:name="_Toc7456"/>
      <w:r>
        <w:rPr>
          <w:rStyle w:val="105"/>
          <w:rFonts w:hint="eastAsia" w:ascii="宋体" w:hAnsi="宋体" w:cs="宋体"/>
          <w:sz w:val="36"/>
        </w:rPr>
        <w:t>第七章   财务结算</w:t>
      </w:r>
      <w:bookmarkEnd w:id="14"/>
      <w:bookmarkEnd w:id="15"/>
    </w:p>
    <w:p>
      <w:pPr>
        <w:spacing w:line="360" w:lineRule="auto"/>
        <w:ind w:left="291" w:right="-178" w:rightChars="-85"/>
        <w:rPr>
          <w:rFonts w:ascii="宋体" w:hAnsi="宋体" w:cs="宋体"/>
          <w:b/>
          <w:sz w:val="28"/>
          <w:szCs w:val="28"/>
        </w:rPr>
      </w:pPr>
      <w:r>
        <w:rPr>
          <w:rFonts w:hint="eastAsia" w:ascii="宋体" w:hAnsi="宋体" w:cs="宋体"/>
          <w:b/>
          <w:sz w:val="28"/>
          <w:szCs w:val="28"/>
        </w:rPr>
        <w:t>一、项目款的结算</w:t>
      </w:r>
    </w:p>
    <w:p>
      <w:pPr>
        <w:widowControl/>
        <w:autoSpaceDE w:val="0"/>
        <w:autoSpaceDN w:val="0"/>
        <w:spacing w:line="360" w:lineRule="auto"/>
        <w:ind w:right="-178" w:rightChars="-85" w:firstLine="560" w:firstLineChars="200"/>
        <w:textAlignment w:val="bottom"/>
        <w:rPr>
          <w:rFonts w:hint="default" w:ascii="宋体" w:hAnsi="宋体" w:eastAsia="宋体" w:cs="宋体"/>
          <w:sz w:val="28"/>
          <w:szCs w:val="28"/>
          <w:lang w:val="en-US" w:eastAsia="zh-CN"/>
        </w:rPr>
      </w:pPr>
      <w:r>
        <w:rPr>
          <w:rFonts w:hint="eastAsia" w:ascii="宋体" w:hAnsi="宋体" w:cs="宋体"/>
          <w:sz w:val="28"/>
          <w:szCs w:val="28"/>
        </w:rPr>
        <w:t>本项目</w:t>
      </w:r>
      <w:r>
        <w:rPr>
          <w:rFonts w:hint="eastAsia" w:ascii="宋体" w:hAnsi="宋体" w:cs="宋体"/>
          <w:sz w:val="28"/>
          <w:szCs w:val="28"/>
          <w:lang w:val="en-US" w:eastAsia="zh-CN"/>
        </w:rPr>
        <w:t>分两期实施，</w:t>
      </w:r>
      <w:r>
        <w:rPr>
          <w:rFonts w:hint="eastAsia" w:ascii="宋体" w:hAnsi="宋体" w:cs="宋体"/>
          <w:sz w:val="28"/>
          <w:szCs w:val="28"/>
        </w:rPr>
        <w:t>分期支付项目款。</w:t>
      </w:r>
      <w:r>
        <w:rPr>
          <w:rFonts w:hint="eastAsia" w:ascii="宋体" w:hAnsi="宋体" w:cs="宋体"/>
          <w:sz w:val="28"/>
          <w:szCs w:val="28"/>
          <w:lang w:val="en-US" w:eastAsia="zh-CN"/>
        </w:rPr>
        <w:t>每期支付款如下：</w:t>
      </w:r>
    </w:p>
    <w:p>
      <w:pPr>
        <w:widowControl/>
        <w:autoSpaceDE w:val="0"/>
        <w:autoSpaceDN w:val="0"/>
        <w:spacing w:line="360" w:lineRule="auto"/>
        <w:ind w:right="-178" w:rightChars="-85" w:firstLine="560" w:firstLineChars="200"/>
        <w:textAlignment w:val="bottom"/>
        <w:rPr>
          <w:rFonts w:ascii="宋体" w:hAnsi="宋体" w:cs="宋体"/>
          <w:sz w:val="28"/>
          <w:szCs w:val="28"/>
        </w:rPr>
      </w:pPr>
      <w:r>
        <w:rPr>
          <w:rFonts w:hint="eastAsia" w:ascii="宋体" w:hAnsi="宋体" w:cs="宋体"/>
          <w:sz w:val="28"/>
          <w:szCs w:val="28"/>
        </w:rPr>
        <w:t>中标供应商将所投设备材料到场后支付30%货款，安装调试完毕并验收合格后，中标供应商向采购单位提交相关资料（结款申请、发票原件及复印件、合同复印件、设备清单、经采购单位验收确认的《建德市政府采购验收反馈表》、验收竣工报告等），由采购单位向中标供应商支付结算100%货款。</w:t>
      </w:r>
    </w:p>
    <w:p>
      <w:pPr>
        <w:spacing w:line="360" w:lineRule="auto"/>
        <w:ind w:left="-181" w:leftChars="-86" w:right="-178" w:rightChars="-85" w:firstLine="540" w:firstLineChars="192"/>
        <w:rPr>
          <w:rFonts w:ascii="宋体" w:hAnsi="宋体" w:cs="宋体"/>
          <w:b/>
          <w:bCs/>
          <w:sz w:val="28"/>
          <w:szCs w:val="28"/>
        </w:rPr>
      </w:pPr>
      <w:r>
        <w:rPr>
          <w:rFonts w:hint="eastAsia" w:ascii="宋体" w:hAnsi="宋体" w:cs="宋体"/>
          <w:b/>
          <w:bCs/>
          <w:sz w:val="28"/>
          <w:szCs w:val="28"/>
        </w:rPr>
        <w:t>二、履约保证金</w:t>
      </w:r>
    </w:p>
    <w:p>
      <w:pPr>
        <w:widowControl/>
        <w:spacing w:line="360" w:lineRule="auto"/>
        <w:ind w:left="-181" w:right="-179" w:firstLine="538"/>
        <w:rPr>
          <w:rFonts w:ascii="宋体" w:hAnsi="宋体" w:cs="宋体"/>
          <w:b/>
          <w:bCs/>
          <w:spacing w:val="-2"/>
          <w:sz w:val="28"/>
          <w:szCs w:val="28"/>
        </w:rPr>
        <w:sectPr>
          <w:pgSz w:w="11906" w:h="16838"/>
          <w:pgMar w:top="1247" w:right="1247" w:bottom="1247" w:left="1247" w:header="851" w:footer="992" w:gutter="0"/>
          <w:cols w:space="720" w:num="1"/>
          <w:docGrid w:linePitch="312" w:charSpace="0"/>
        </w:sectPr>
      </w:pPr>
      <w:r>
        <w:rPr>
          <w:rFonts w:hint="eastAsia" w:ascii="宋体" w:hAnsi="宋体" w:cs="宋体"/>
          <w:sz w:val="28"/>
          <w:szCs w:val="28"/>
        </w:rPr>
        <w:t>在正式合同签订生效之日起7个工作日内，由中标供应商缴纳合同总价的5%作为履约保证金至采购单位指定账户（可以以银行、保险公司出具保函形式提交）。履约结束后</w:t>
      </w:r>
      <w:r>
        <w:rPr>
          <w:rFonts w:hint="eastAsia" w:ascii="宋体" w:hAnsi="宋体" w:cs="宋体"/>
          <w:sz w:val="28"/>
          <w:szCs w:val="28"/>
          <w:lang w:eastAsia="zh-CN"/>
        </w:rPr>
        <w:t>（</w:t>
      </w:r>
      <w:r>
        <w:rPr>
          <w:rFonts w:hint="eastAsia" w:ascii="宋体" w:hAnsi="宋体" w:cs="宋体"/>
          <w:sz w:val="28"/>
          <w:szCs w:val="28"/>
          <w:lang w:val="en-US" w:eastAsia="zh-CN"/>
        </w:rPr>
        <w:t>投标人承诺的免费质保服务期</w:t>
      </w:r>
      <w:r>
        <w:rPr>
          <w:rFonts w:hint="eastAsia" w:ascii="宋体" w:hAnsi="宋体" w:cs="宋体"/>
          <w:sz w:val="28"/>
          <w:szCs w:val="28"/>
          <w:lang w:eastAsia="zh-CN"/>
        </w:rPr>
        <w:t>）</w:t>
      </w:r>
      <w:r>
        <w:rPr>
          <w:rFonts w:hint="eastAsia" w:ascii="宋体" w:hAnsi="宋体" w:cs="宋体"/>
          <w:sz w:val="28"/>
          <w:szCs w:val="28"/>
        </w:rPr>
        <w:t>，无质量、服务问题，由采购单位向供应商无息退还。因供应商的质量、服务问题原因造成采购单位损失的，采购单位有权要求供应商以其履约保证金作出补偿。</w:t>
      </w:r>
    </w:p>
    <w:p>
      <w:pPr>
        <w:spacing w:line="500" w:lineRule="exact"/>
        <w:jc w:val="center"/>
        <w:outlineLvl w:val="0"/>
        <w:rPr>
          <w:rStyle w:val="105"/>
          <w:rFonts w:ascii="宋体" w:hAnsi="宋体" w:cs="宋体"/>
          <w:sz w:val="44"/>
          <w:szCs w:val="44"/>
        </w:rPr>
      </w:pPr>
      <w:bookmarkStart w:id="16" w:name="_Toc15726"/>
      <w:bookmarkStart w:id="17" w:name="_Toc5788"/>
      <w:r>
        <w:rPr>
          <w:rStyle w:val="105"/>
          <w:rFonts w:hint="eastAsia" w:ascii="宋体" w:hAnsi="宋体" w:cs="宋体"/>
          <w:sz w:val="44"/>
          <w:szCs w:val="44"/>
        </w:rPr>
        <w:t>第八章   建德市政府采购合同（样稿）</w:t>
      </w:r>
      <w:bookmarkEnd w:id="16"/>
      <w:bookmarkEnd w:id="17"/>
    </w:p>
    <w:p>
      <w:pPr>
        <w:pStyle w:val="22"/>
        <w:snapToGrid w:val="0"/>
        <w:spacing w:line="336" w:lineRule="auto"/>
        <w:jc w:val="center"/>
        <w:rPr>
          <w:rFonts w:hAnsi="宋体" w:cs="宋体"/>
          <w:b/>
          <w:sz w:val="30"/>
        </w:rPr>
      </w:pPr>
      <w:r>
        <w:rPr>
          <w:rFonts w:hint="eastAsia" w:hAnsi="宋体" w:cs="宋体"/>
          <w:b/>
          <w:sz w:val="30"/>
        </w:rPr>
        <w:t>（本合同为合同样稿，最终稿由三方协商后确定）</w:t>
      </w:r>
    </w:p>
    <w:p>
      <w:pPr>
        <w:pStyle w:val="22"/>
        <w:snapToGrid w:val="0"/>
        <w:spacing w:line="336" w:lineRule="auto"/>
        <w:rPr>
          <w:rFonts w:hAnsi="宋体" w:cs="宋体"/>
          <w:b/>
          <w:sz w:val="28"/>
          <w:szCs w:val="28"/>
        </w:rPr>
      </w:pPr>
      <w:r>
        <w:rPr>
          <w:rFonts w:hint="eastAsia" w:hAnsi="宋体" w:cs="宋体"/>
          <w:b/>
          <w:sz w:val="28"/>
          <w:szCs w:val="28"/>
        </w:rPr>
        <w:t>甲  方（使用方）：建德市新安江第二小学</w:t>
      </w:r>
      <w:r>
        <w:rPr>
          <w:rFonts w:hint="eastAsia" w:hAnsi="宋体" w:cs="宋体"/>
          <w:b/>
          <w:sz w:val="28"/>
          <w:szCs w:val="28"/>
          <w:lang w:eastAsia="zh-CN"/>
        </w:rPr>
        <w:t>、</w:t>
      </w:r>
      <w:r>
        <w:rPr>
          <w:rFonts w:hint="eastAsia" w:hAnsi="宋体" w:cs="宋体"/>
          <w:b/>
          <w:sz w:val="28"/>
          <w:szCs w:val="28"/>
          <w:lang w:val="en-US" w:eastAsia="zh-CN"/>
        </w:rPr>
        <w:t>建德市资产经营投资有限公司</w:t>
      </w:r>
      <w:r>
        <w:rPr>
          <w:rFonts w:hint="eastAsia" w:hAnsi="宋体" w:cs="宋体"/>
          <w:b/>
          <w:sz w:val="28"/>
          <w:szCs w:val="28"/>
        </w:rPr>
        <w:t xml:space="preserve">     </w:t>
      </w:r>
    </w:p>
    <w:p>
      <w:pPr>
        <w:pStyle w:val="22"/>
        <w:snapToGrid w:val="0"/>
        <w:spacing w:line="336" w:lineRule="auto"/>
        <w:rPr>
          <w:rFonts w:hAnsi="宋体" w:cs="宋体"/>
          <w:b/>
          <w:sz w:val="28"/>
          <w:szCs w:val="28"/>
        </w:rPr>
      </w:pPr>
      <w:r>
        <w:rPr>
          <w:rFonts w:hint="eastAsia" w:hAnsi="宋体" w:cs="宋体"/>
          <w:b/>
          <w:sz w:val="28"/>
          <w:szCs w:val="28"/>
        </w:rPr>
        <w:t>合同编号：JDYH2021-</w:t>
      </w:r>
    </w:p>
    <w:p>
      <w:pPr>
        <w:pStyle w:val="22"/>
        <w:snapToGrid w:val="0"/>
        <w:spacing w:line="336" w:lineRule="auto"/>
        <w:rPr>
          <w:rFonts w:hAnsi="宋体" w:cs="宋体"/>
          <w:b/>
          <w:sz w:val="28"/>
          <w:szCs w:val="28"/>
        </w:rPr>
      </w:pPr>
      <w:r>
        <w:rPr>
          <w:rFonts w:hint="eastAsia" w:hAnsi="宋体" w:cs="宋体"/>
          <w:b/>
          <w:sz w:val="28"/>
          <w:szCs w:val="28"/>
        </w:rPr>
        <w:t>乙  方（供应商）:</w:t>
      </w:r>
    </w:p>
    <w:p>
      <w:pPr>
        <w:pStyle w:val="22"/>
        <w:snapToGrid w:val="0"/>
        <w:spacing w:line="336" w:lineRule="auto"/>
        <w:rPr>
          <w:rFonts w:hAnsi="宋体" w:cs="宋体"/>
          <w:b/>
          <w:sz w:val="28"/>
          <w:szCs w:val="28"/>
        </w:rPr>
      </w:pPr>
      <w:r>
        <w:rPr>
          <w:rFonts w:hint="eastAsia" w:hAnsi="宋体" w:cs="宋体"/>
          <w:b/>
          <w:sz w:val="28"/>
          <w:szCs w:val="28"/>
        </w:rPr>
        <w:t xml:space="preserve">见证方（招标方）： </w:t>
      </w:r>
    </w:p>
    <w:p>
      <w:pPr>
        <w:spacing w:line="500" w:lineRule="exact"/>
        <w:jc w:val="left"/>
        <w:rPr>
          <w:rFonts w:ascii="宋体" w:hAnsi="宋体" w:cs="宋体"/>
          <w:b/>
          <w:sz w:val="28"/>
          <w:szCs w:val="28"/>
        </w:rPr>
      </w:pPr>
      <w:r>
        <w:rPr>
          <w:rFonts w:hint="eastAsia" w:ascii="宋体" w:hAnsi="宋体" w:cs="宋体"/>
          <w:b/>
          <w:sz w:val="28"/>
          <w:szCs w:val="28"/>
        </w:rPr>
        <w:t xml:space="preserve">    </w:t>
      </w:r>
      <w:r>
        <w:rPr>
          <w:rFonts w:hint="eastAsia" w:ascii="宋体" w:hAnsi="宋体" w:cs="宋体"/>
          <w:sz w:val="28"/>
          <w:szCs w:val="28"/>
        </w:rPr>
        <w:t>根据《中华人民共和国政府采购法》、《中华人民共和国合同法》的规定，经公开招标，确定乙方为</w:t>
      </w:r>
      <w:r>
        <w:rPr>
          <w:rFonts w:hint="eastAsia" w:ascii="宋体" w:hAnsi="宋体" w:cs="宋体"/>
          <w:sz w:val="28"/>
          <w:szCs w:val="28"/>
          <w:lang w:eastAsia="zh-CN"/>
        </w:rPr>
        <w:t>新安江第二小学多媒体影像设备采购</w:t>
      </w:r>
      <w:r>
        <w:rPr>
          <w:rFonts w:hint="eastAsia" w:ascii="宋体" w:hAnsi="宋体" w:cs="宋体"/>
          <w:sz w:val="28"/>
          <w:szCs w:val="28"/>
        </w:rPr>
        <w:t>的中标单位。按照招标文件（</w:t>
      </w:r>
      <w:r>
        <w:rPr>
          <w:rFonts w:hint="eastAsia" w:ascii="宋体" w:hAnsi="宋体" w:cs="宋体"/>
          <w:b/>
          <w:sz w:val="28"/>
          <w:szCs w:val="28"/>
        </w:rPr>
        <w:t xml:space="preserve">JDYH2021-  </w:t>
      </w:r>
      <w:r>
        <w:rPr>
          <w:rFonts w:hint="eastAsia" w:ascii="宋体" w:hAnsi="宋体" w:cs="宋体"/>
          <w:sz w:val="28"/>
          <w:szCs w:val="28"/>
        </w:rPr>
        <w:t>）和投标结果，为明确双方的权利和义务，经甲乙双方协商达成合同如下：</w:t>
      </w:r>
    </w:p>
    <w:p>
      <w:pPr>
        <w:pStyle w:val="22"/>
        <w:snapToGrid w:val="0"/>
        <w:spacing w:before="120" w:after="120" w:line="360" w:lineRule="auto"/>
        <w:rPr>
          <w:rFonts w:hAnsi="宋体" w:cs="宋体"/>
          <w:b/>
          <w:sz w:val="28"/>
          <w:szCs w:val="28"/>
        </w:rPr>
      </w:pPr>
      <w:r>
        <w:rPr>
          <w:rFonts w:hint="eastAsia" w:hAnsi="宋体" w:cs="宋体"/>
          <w:b/>
          <w:sz w:val="28"/>
          <w:szCs w:val="28"/>
        </w:rPr>
        <w:t>一、货物内容、数量、价款</w:t>
      </w:r>
    </w:p>
    <w:tbl>
      <w:tblPr>
        <w:tblStyle w:val="38"/>
        <w:tblW w:w="9624" w:type="dxa"/>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5"/>
        <w:gridCol w:w="3770"/>
        <w:gridCol w:w="959"/>
        <w:gridCol w:w="1151"/>
        <w:gridCol w:w="959"/>
        <w:gridCol w:w="12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5"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sz w:val="28"/>
                <w:szCs w:val="28"/>
              </w:rPr>
            </w:pPr>
            <w:r>
              <w:rPr>
                <w:rFonts w:hint="eastAsia" w:ascii="宋体" w:hAnsi="宋体" w:cs="宋体"/>
                <w:b/>
                <w:sz w:val="28"/>
                <w:szCs w:val="28"/>
              </w:rPr>
              <w:t>货物名称</w:t>
            </w:r>
          </w:p>
        </w:tc>
        <w:tc>
          <w:tcPr>
            <w:tcW w:w="377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sz w:val="28"/>
                <w:szCs w:val="28"/>
              </w:rPr>
            </w:pPr>
            <w:r>
              <w:rPr>
                <w:rFonts w:hint="eastAsia" w:ascii="宋体" w:hAnsi="宋体" w:cs="宋体"/>
                <w:b/>
                <w:sz w:val="28"/>
                <w:szCs w:val="28"/>
              </w:rPr>
              <w:t>品名规格及配置、参术要求</w:t>
            </w:r>
          </w:p>
        </w:tc>
        <w:tc>
          <w:tcPr>
            <w:tcW w:w="959"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sz w:val="28"/>
                <w:szCs w:val="28"/>
              </w:rPr>
            </w:pPr>
            <w:r>
              <w:rPr>
                <w:rFonts w:hint="eastAsia" w:ascii="宋体" w:hAnsi="宋体" w:cs="宋体"/>
                <w:b/>
                <w:sz w:val="28"/>
                <w:szCs w:val="28"/>
              </w:rPr>
              <w:t>单位</w:t>
            </w:r>
          </w:p>
        </w:tc>
        <w:tc>
          <w:tcPr>
            <w:tcW w:w="1151"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sz w:val="28"/>
                <w:szCs w:val="28"/>
              </w:rPr>
            </w:pPr>
            <w:r>
              <w:rPr>
                <w:rFonts w:hint="eastAsia" w:ascii="宋体" w:hAnsi="宋体" w:cs="宋体"/>
                <w:b/>
                <w:sz w:val="28"/>
                <w:szCs w:val="28"/>
              </w:rPr>
              <w:t>数量</w:t>
            </w:r>
          </w:p>
        </w:tc>
        <w:tc>
          <w:tcPr>
            <w:tcW w:w="959"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sz w:val="28"/>
                <w:szCs w:val="28"/>
              </w:rPr>
            </w:pPr>
            <w:r>
              <w:rPr>
                <w:rFonts w:hint="eastAsia" w:ascii="宋体" w:hAnsi="宋体" w:cs="宋体"/>
                <w:b/>
                <w:sz w:val="28"/>
                <w:szCs w:val="28"/>
              </w:rPr>
              <w:t>单价</w:t>
            </w:r>
          </w:p>
        </w:tc>
        <w:tc>
          <w:tcPr>
            <w:tcW w:w="1240"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sz w:val="28"/>
                <w:szCs w:val="28"/>
              </w:rPr>
            </w:pPr>
            <w:r>
              <w:rPr>
                <w:rFonts w:hint="eastAsia" w:ascii="宋体" w:hAnsi="宋体" w:cs="宋体"/>
                <w:b/>
                <w:sz w:val="28"/>
                <w:szCs w:val="28"/>
              </w:rPr>
              <w:t>总价</w:t>
            </w:r>
          </w:p>
          <w:p>
            <w:pPr>
              <w:snapToGrid w:val="0"/>
              <w:spacing w:line="240" w:lineRule="atLeast"/>
              <w:jc w:val="center"/>
              <w:rPr>
                <w:rFonts w:ascii="宋体" w:hAnsi="宋体" w:cs="宋体"/>
                <w:b/>
                <w:sz w:val="28"/>
                <w:szCs w:val="28"/>
              </w:rPr>
            </w:pPr>
            <w:r>
              <w:rPr>
                <w:rFonts w:hint="eastAsia" w:ascii="宋体" w:hAnsi="宋体" w:cs="宋体"/>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vAlign w:val="center"/>
          </w:tcPr>
          <w:p>
            <w:pPr>
              <w:adjustRightInd w:val="0"/>
              <w:snapToGrid w:val="0"/>
              <w:spacing w:line="240" w:lineRule="atLeast"/>
              <w:rPr>
                <w:rFonts w:ascii="宋体" w:hAnsi="宋体" w:cs="宋体"/>
                <w:sz w:val="28"/>
                <w:szCs w:val="28"/>
              </w:rPr>
            </w:pPr>
          </w:p>
        </w:tc>
        <w:tc>
          <w:tcPr>
            <w:tcW w:w="3770" w:type="dxa"/>
            <w:vAlign w:val="center"/>
          </w:tcPr>
          <w:p>
            <w:pPr>
              <w:adjustRightInd w:val="0"/>
              <w:snapToGrid w:val="0"/>
              <w:spacing w:line="240" w:lineRule="atLeast"/>
              <w:rPr>
                <w:rFonts w:ascii="宋体" w:hAnsi="宋体" w:cs="宋体"/>
                <w:sz w:val="28"/>
                <w:szCs w:val="28"/>
              </w:rPr>
            </w:pPr>
          </w:p>
        </w:tc>
        <w:tc>
          <w:tcPr>
            <w:tcW w:w="959" w:type="dxa"/>
            <w:vAlign w:val="center"/>
          </w:tcPr>
          <w:p>
            <w:pPr>
              <w:adjustRightInd w:val="0"/>
              <w:snapToGrid w:val="0"/>
              <w:spacing w:line="240" w:lineRule="atLeast"/>
              <w:rPr>
                <w:rFonts w:ascii="宋体" w:hAnsi="宋体" w:cs="宋体"/>
                <w:sz w:val="28"/>
                <w:szCs w:val="28"/>
              </w:rPr>
            </w:pPr>
          </w:p>
        </w:tc>
        <w:tc>
          <w:tcPr>
            <w:tcW w:w="1151" w:type="dxa"/>
            <w:vAlign w:val="center"/>
          </w:tcPr>
          <w:p>
            <w:pPr>
              <w:adjustRightInd w:val="0"/>
              <w:snapToGrid w:val="0"/>
              <w:spacing w:line="240" w:lineRule="atLeast"/>
              <w:rPr>
                <w:rFonts w:ascii="宋体" w:hAnsi="宋体" w:cs="宋体"/>
                <w:sz w:val="28"/>
                <w:szCs w:val="28"/>
              </w:rPr>
            </w:pPr>
          </w:p>
        </w:tc>
        <w:tc>
          <w:tcPr>
            <w:tcW w:w="959" w:type="dxa"/>
            <w:vAlign w:val="center"/>
          </w:tcPr>
          <w:p>
            <w:pPr>
              <w:adjustRightInd w:val="0"/>
              <w:snapToGrid w:val="0"/>
              <w:spacing w:line="240" w:lineRule="atLeast"/>
              <w:rPr>
                <w:rFonts w:ascii="宋体" w:hAnsi="宋体" w:cs="宋体"/>
                <w:sz w:val="28"/>
                <w:szCs w:val="28"/>
              </w:rPr>
            </w:pPr>
          </w:p>
        </w:tc>
        <w:tc>
          <w:tcPr>
            <w:tcW w:w="1240" w:type="dxa"/>
            <w:vAlign w:val="center"/>
          </w:tcPr>
          <w:p>
            <w:pPr>
              <w:adjustRightInd w:val="0"/>
              <w:snapToGrid w:val="0"/>
              <w:spacing w:line="240" w:lineRule="atLeas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vAlign w:val="center"/>
          </w:tcPr>
          <w:p>
            <w:pPr>
              <w:adjustRightInd w:val="0"/>
              <w:snapToGrid w:val="0"/>
              <w:spacing w:line="240" w:lineRule="atLeast"/>
              <w:rPr>
                <w:rFonts w:ascii="宋体" w:hAnsi="宋体" w:cs="宋体"/>
                <w:sz w:val="28"/>
                <w:szCs w:val="28"/>
              </w:rPr>
            </w:pPr>
          </w:p>
        </w:tc>
        <w:tc>
          <w:tcPr>
            <w:tcW w:w="3770" w:type="dxa"/>
            <w:vAlign w:val="center"/>
          </w:tcPr>
          <w:p>
            <w:pPr>
              <w:adjustRightInd w:val="0"/>
              <w:snapToGrid w:val="0"/>
              <w:spacing w:line="240" w:lineRule="atLeast"/>
              <w:rPr>
                <w:rFonts w:ascii="宋体" w:hAnsi="宋体" w:cs="宋体"/>
                <w:sz w:val="28"/>
                <w:szCs w:val="28"/>
              </w:rPr>
            </w:pPr>
          </w:p>
        </w:tc>
        <w:tc>
          <w:tcPr>
            <w:tcW w:w="959" w:type="dxa"/>
            <w:vAlign w:val="center"/>
          </w:tcPr>
          <w:p>
            <w:pPr>
              <w:adjustRightInd w:val="0"/>
              <w:snapToGrid w:val="0"/>
              <w:spacing w:line="240" w:lineRule="atLeast"/>
              <w:rPr>
                <w:rFonts w:ascii="宋体" w:hAnsi="宋体" w:cs="宋体"/>
                <w:sz w:val="28"/>
                <w:szCs w:val="28"/>
              </w:rPr>
            </w:pPr>
          </w:p>
        </w:tc>
        <w:tc>
          <w:tcPr>
            <w:tcW w:w="1151" w:type="dxa"/>
            <w:vAlign w:val="center"/>
          </w:tcPr>
          <w:p>
            <w:pPr>
              <w:adjustRightInd w:val="0"/>
              <w:snapToGrid w:val="0"/>
              <w:spacing w:line="240" w:lineRule="atLeast"/>
              <w:rPr>
                <w:rFonts w:ascii="宋体" w:hAnsi="宋体" w:cs="宋体"/>
                <w:sz w:val="28"/>
                <w:szCs w:val="28"/>
              </w:rPr>
            </w:pPr>
          </w:p>
        </w:tc>
        <w:tc>
          <w:tcPr>
            <w:tcW w:w="959" w:type="dxa"/>
            <w:vAlign w:val="center"/>
          </w:tcPr>
          <w:p>
            <w:pPr>
              <w:adjustRightInd w:val="0"/>
              <w:snapToGrid w:val="0"/>
              <w:spacing w:line="240" w:lineRule="atLeast"/>
              <w:rPr>
                <w:rFonts w:ascii="宋体" w:hAnsi="宋体" w:cs="宋体"/>
                <w:sz w:val="28"/>
                <w:szCs w:val="28"/>
              </w:rPr>
            </w:pPr>
          </w:p>
        </w:tc>
        <w:tc>
          <w:tcPr>
            <w:tcW w:w="1240" w:type="dxa"/>
            <w:vAlign w:val="center"/>
          </w:tcPr>
          <w:p>
            <w:pPr>
              <w:adjustRightInd w:val="0"/>
              <w:snapToGrid w:val="0"/>
              <w:spacing w:line="240" w:lineRule="atLeas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宋体" w:hAnsi="宋体" w:cs="宋体"/>
                <w:sz w:val="28"/>
                <w:szCs w:val="28"/>
              </w:rPr>
            </w:pPr>
            <w:r>
              <w:rPr>
                <w:rFonts w:hint="eastAsia" w:ascii="宋体" w:hAnsi="宋体" w:cs="宋体"/>
                <w:b/>
                <w:kern w:val="0"/>
                <w:sz w:val="28"/>
                <w:szCs w:val="28"/>
              </w:rPr>
              <w:t>合同总价(人民币大写)：                          整</w:t>
            </w:r>
          </w:p>
        </w:tc>
        <w:tc>
          <w:tcPr>
            <w:tcW w:w="21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27"/>
              <w:rPr>
                <w:rFonts w:ascii="宋体" w:hAnsi="宋体" w:cs="宋体"/>
                <w:sz w:val="28"/>
                <w:szCs w:val="28"/>
                <w:u w:val="single"/>
              </w:rPr>
            </w:pPr>
            <w:r>
              <w:rPr>
                <w:rFonts w:hint="eastAsia" w:ascii="宋体" w:hAnsi="宋体" w:cs="宋体"/>
                <w:b/>
                <w:kern w:val="0"/>
                <w:sz w:val="28"/>
                <w:szCs w:val="28"/>
                <w:u w:val="single"/>
              </w:rPr>
              <w:t>￥       元</w:t>
            </w:r>
          </w:p>
        </w:tc>
      </w:tr>
    </w:tbl>
    <w:p>
      <w:pPr>
        <w:autoSpaceDE w:val="0"/>
        <w:adjustRightInd w:val="0"/>
        <w:spacing w:line="288" w:lineRule="auto"/>
        <w:ind w:firstLine="482" w:firstLineChars="200"/>
        <w:jc w:val="left"/>
        <w:rPr>
          <w:rFonts w:ascii="宋体" w:hAnsi="宋体" w:cs="宋体"/>
          <w:b/>
          <w:sz w:val="28"/>
          <w:szCs w:val="28"/>
        </w:rPr>
      </w:pPr>
      <w:r>
        <w:rPr>
          <w:rFonts w:hint="eastAsia" w:ascii="宋体" w:hAnsi="宋体" w:cs="宋体"/>
          <w:b/>
          <w:sz w:val="24"/>
          <w:szCs w:val="24"/>
        </w:rPr>
        <w:t>注：以上合同金额及安装材料价格</w:t>
      </w:r>
      <w:r>
        <w:rPr>
          <w:rFonts w:hint="eastAsia" w:ascii="宋体" w:hAnsi="宋体" w:cs="宋体"/>
          <w:b/>
          <w:bCs/>
          <w:kern w:val="0"/>
          <w:sz w:val="24"/>
          <w:szCs w:val="24"/>
          <w:lang w:bidi="ar"/>
        </w:rPr>
        <w:t>包括设备、主材、供货、运输、装卸、安装调试、辅材、税金、保险、产品保护、备品备件、配件、附件、验收、辅助工作及售后服务等</w:t>
      </w:r>
      <w:r>
        <w:rPr>
          <w:rFonts w:hint="eastAsia" w:ascii="宋体" w:hAnsi="宋体" w:cs="宋体"/>
          <w:b/>
          <w:sz w:val="24"/>
          <w:szCs w:val="24"/>
        </w:rPr>
        <w:t>各种费用。</w:t>
      </w:r>
    </w:p>
    <w:p>
      <w:pPr>
        <w:tabs>
          <w:tab w:val="left" w:pos="5500"/>
        </w:tabs>
        <w:autoSpaceDE w:val="0"/>
        <w:adjustRightInd w:val="0"/>
        <w:snapToGrid w:val="0"/>
        <w:spacing w:line="440" w:lineRule="exact"/>
        <w:ind w:firstLine="281" w:firstLineChars="100"/>
        <w:jc w:val="left"/>
        <w:rPr>
          <w:rFonts w:ascii="宋体" w:hAnsi="宋体" w:cs="宋体"/>
          <w:b/>
          <w:bCs/>
          <w:kern w:val="0"/>
          <w:sz w:val="28"/>
          <w:szCs w:val="28"/>
        </w:rPr>
      </w:pPr>
      <w:r>
        <w:rPr>
          <w:rFonts w:hint="eastAsia" w:ascii="宋体" w:hAnsi="宋体" w:cs="宋体"/>
          <w:b/>
          <w:bCs/>
          <w:kern w:val="0"/>
          <w:sz w:val="28"/>
          <w:szCs w:val="28"/>
        </w:rPr>
        <w:t>第二条：质量要求：</w:t>
      </w:r>
    </w:p>
    <w:p>
      <w:pPr>
        <w:tabs>
          <w:tab w:val="left" w:pos="5500"/>
        </w:tabs>
        <w:autoSpaceDE w:val="0"/>
        <w:adjustRightInd w:val="0"/>
        <w:spacing w:line="360" w:lineRule="auto"/>
        <w:ind w:firstLine="480"/>
        <w:jc w:val="left"/>
        <w:rPr>
          <w:rFonts w:ascii="宋体" w:hAnsi="宋体" w:cs="宋体"/>
          <w:kern w:val="0"/>
          <w:sz w:val="28"/>
          <w:szCs w:val="28"/>
        </w:rPr>
      </w:pPr>
      <w:r>
        <w:rPr>
          <w:rFonts w:hint="eastAsia" w:ascii="宋体" w:hAnsi="宋体" w:cs="宋体"/>
          <w:kern w:val="0"/>
          <w:sz w:val="28"/>
          <w:szCs w:val="28"/>
        </w:rPr>
        <w:t>乙方保证所供商品(包括商品部件、配件)是2021年1月1日以后新生</w:t>
      </w:r>
      <w:r>
        <w:rPr>
          <w:rFonts w:hint="eastAsia" w:ascii="宋体" w:hAnsi="宋体" w:cs="宋体"/>
          <w:sz w:val="28"/>
          <w:szCs w:val="28"/>
        </w:rPr>
        <w:t>产的、未使用过的，</w:t>
      </w:r>
      <w:r>
        <w:rPr>
          <w:rFonts w:hint="eastAsia" w:ascii="宋体" w:hAnsi="宋体" w:cs="宋体"/>
          <w:kern w:val="0"/>
          <w:sz w:val="28"/>
          <w:szCs w:val="28"/>
        </w:rPr>
        <w:t>符合国家规定的技术规格和质量标准的合格产品，并且是完全符合本次</w:t>
      </w:r>
      <w:r>
        <w:rPr>
          <w:rFonts w:hint="eastAsia" w:ascii="宋体" w:hAnsi="宋体" w:cs="宋体"/>
          <w:kern w:val="0"/>
          <w:sz w:val="28"/>
          <w:szCs w:val="28"/>
          <w:lang w:val="en-US" w:eastAsia="zh-CN"/>
        </w:rPr>
        <w:t>投</w:t>
      </w:r>
      <w:r>
        <w:rPr>
          <w:rFonts w:hint="eastAsia" w:ascii="宋体" w:hAnsi="宋体" w:cs="宋体"/>
          <w:kern w:val="0"/>
          <w:sz w:val="28"/>
          <w:szCs w:val="28"/>
        </w:rPr>
        <w:t>标文件(包括补充更正，如有)中采购货物要求所规定的技术参数和质量要求。</w:t>
      </w:r>
    </w:p>
    <w:p>
      <w:pPr>
        <w:pStyle w:val="262"/>
        <w:spacing w:before="120"/>
        <w:rPr>
          <w:rFonts w:ascii="宋体" w:hAnsi="宋体" w:cs="宋体"/>
        </w:rPr>
      </w:pPr>
      <w:r>
        <w:rPr>
          <w:rFonts w:hint="eastAsia" w:ascii="宋体" w:hAnsi="宋体" w:cs="宋体"/>
          <w:sz w:val="28"/>
          <w:szCs w:val="28"/>
        </w:rPr>
        <w:t>若供应商提供的商品未能达到采购单位认可的标准，采购单位有权依此要求供应商进行整改。若整改仍不到位，采购单位有权扣除部分合同价款。</w:t>
      </w:r>
    </w:p>
    <w:p>
      <w:pPr>
        <w:tabs>
          <w:tab w:val="left" w:pos="5500"/>
        </w:tabs>
        <w:autoSpaceDE w:val="0"/>
        <w:adjustRightInd w:val="0"/>
        <w:snapToGrid w:val="0"/>
        <w:spacing w:line="440" w:lineRule="exact"/>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bCs/>
          <w:kern w:val="0"/>
          <w:sz w:val="28"/>
          <w:szCs w:val="28"/>
        </w:rPr>
        <w:t xml:space="preserve">  第三条：合同履行时间、地点</w:t>
      </w:r>
    </w:p>
    <w:p>
      <w:pPr>
        <w:autoSpaceDE w:val="0"/>
        <w:adjustRightInd w:val="0"/>
        <w:spacing w:line="360" w:lineRule="auto"/>
        <w:ind w:firstLine="585" w:firstLineChars="209"/>
        <w:jc w:val="left"/>
        <w:rPr>
          <w:rFonts w:ascii="宋体" w:hAnsi="宋体" w:cs="宋体"/>
          <w:kern w:val="0"/>
          <w:sz w:val="28"/>
          <w:szCs w:val="28"/>
        </w:rPr>
      </w:pPr>
      <w:r>
        <w:rPr>
          <w:rFonts w:hint="eastAsia" w:ascii="宋体" w:hAnsi="宋体" w:cs="宋体"/>
          <w:kern w:val="0"/>
          <w:sz w:val="28"/>
          <w:szCs w:val="28"/>
        </w:rPr>
        <w:t>1. 合同履行时间：</w:t>
      </w:r>
      <w:r>
        <w:rPr>
          <w:rFonts w:hint="eastAsia" w:ascii="宋体" w:hAnsi="宋体" w:cs="宋体"/>
          <w:b/>
          <w:kern w:val="0"/>
          <w:sz w:val="28"/>
          <w:szCs w:val="28"/>
        </w:rPr>
        <w:t>乙方在签订政府采购合同生效后，必须在工期内</w:t>
      </w:r>
      <w:r>
        <w:rPr>
          <w:rFonts w:hint="eastAsia" w:ascii="宋体" w:hAnsi="宋体" w:cs="宋体"/>
          <w:b/>
          <w:kern w:val="0"/>
          <w:sz w:val="28"/>
          <w:szCs w:val="28"/>
          <w:lang w:eastAsia="zh-CN"/>
        </w:rPr>
        <w:t>（</w:t>
      </w:r>
      <w:r>
        <w:rPr>
          <w:rFonts w:hint="eastAsia" w:ascii="宋体" w:hAnsi="宋体" w:cs="宋体"/>
          <w:b/>
          <w:kern w:val="0"/>
          <w:sz w:val="28"/>
          <w:szCs w:val="28"/>
        </w:rPr>
        <w:t>工期与土建工程同步（项目分两期实施）</w:t>
      </w:r>
      <w:r>
        <w:rPr>
          <w:rFonts w:hint="eastAsia" w:ascii="宋体" w:hAnsi="宋体" w:cs="宋体"/>
          <w:b/>
          <w:kern w:val="0"/>
          <w:sz w:val="28"/>
          <w:szCs w:val="28"/>
          <w:lang w:eastAsia="zh-CN"/>
        </w:rPr>
        <w:t>）</w:t>
      </w:r>
      <w:r>
        <w:rPr>
          <w:rFonts w:hint="eastAsia" w:ascii="宋体" w:hAnsi="宋体" w:cs="宋体"/>
          <w:b/>
          <w:kern w:val="0"/>
          <w:sz w:val="28"/>
          <w:szCs w:val="28"/>
        </w:rPr>
        <w:t>完成设备供货、安装</w:t>
      </w:r>
      <w:r>
        <w:rPr>
          <w:rFonts w:hint="eastAsia" w:ascii="宋体" w:hAnsi="宋体" w:cs="宋体"/>
          <w:b/>
          <w:kern w:val="0"/>
          <w:sz w:val="28"/>
          <w:szCs w:val="28"/>
          <w:lang w:eastAsia="zh-CN"/>
        </w:rPr>
        <w:t>、</w:t>
      </w:r>
      <w:r>
        <w:rPr>
          <w:rFonts w:hint="eastAsia" w:ascii="宋体" w:hAnsi="宋体" w:cs="宋体"/>
          <w:b/>
          <w:kern w:val="0"/>
          <w:sz w:val="28"/>
          <w:szCs w:val="28"/>
        </w:rPr>
        <w:t>调试并验收合格后交付采购单位使用。</w:t>
      </w:r>
      <w:r>
        <w:rPr>
          <w:rFonts w:hint="eastAsia" w:ascii="宋体" w:hAnsi="宋体" w:cs="宋体"/>
          <w:kern w:val="0"/>
          <w:sz w:val="28"/>
          <w:szCs w:val="28"/>
        </w:rPr>
        <w:t>乙方须将合同标的运至甲方指定地点并向甲方提供产品合格证等相关的资料和配件。乙方如遇特殊情况</w:t>
      </w:r>
      <w:r>
        <w:rPr>
          <w:rFonts w:hint="eastAsia" w:ascii="宋体" w:hAnsi="宋体" w:cs="宋体"/>
          <w:sz w:val="28"/>
          <w:szCs w:val="28"/>
        </w:rPr>
        <w:t>甲</w:t>
      </w:r>
      <w:r>
        <w:rPr>
          <w:rFonts w:hint="eastAsia" w:ascii="宋体" w:hAnsi="宋体" w:cs="宋体"/>
          <w:kern w:val="0"/>
          <w:sz w:val="28"/>
          <w:szCs w:val="28"/>
        </w:rPr>
        <w:t>方要求推迟供货或验收的，必须事先征得乙方的同意，否则应承担由此给乙方造成的损失。</w:t>
      </w:r>
    </w:p>
    <w:p>
      <w:pPr>
        <w:widowControl/>
        <w:autoSpaceDE w:val="0"/>
        <w:autoSpaceDN w:val="0"/>
        <w:spacing w:line="360" w:lineRule="auto"/>
        <w:ind w:left="-181" w:leftChars="-86" w:right="-178" w:rightChars="-85" w:firstLine="700" w:firstLineChars="250"/>
        <w:textAlignment w:val="bottom"/>
        <w:rPr>
          <w:rFonts w:ascii="宋体" w:hAnsi="宋体" w:cs="宋体"/>
          <w:kern w:val="0"/>
          <w:sz w:val="28"/>
          <w:szCs w:val="28"/>
        </w:rPr>
      </w:pPr>
      <w:r>
        <w:rPr>
          <w:rFonts w:hint="eastAsia" w:ascii="宋体" w:hAnsi="宋体" w:cs="宋体"/>
          <w:kern w:val="0"/>
          <w:sz w:val="28"/>
          <w:szCs w:val="28"/>
        </w:rPr>
        <w:t>2. 合同履行地点：由甲方指定。</w:t>
      </w:r>
    </w:p>
    <w:p>
      <w:pPr>
        <w:autoSpaceDE w:val="0"/>
        <w:adjustRightInd w:val="0"/>
        <w:snapToGrid w:val="0"/>
        <w:spacing w:line="440" w:lineRule="exact"/>
        <w:jc w:val="left"/>
        <w:rPr>
          <w:rFonts w:ascii="宋体" w:hAnsi="宋体" w:cs="宋体"/>
          <w:kern w:val="0"/>
          <w:sz w:val="28"/>
          <w:szCs w:val="28"/>
        </w:rPr>
      </w:pPr>
      <w:r>
        <w:rPr>
          <w:rFonts w:hint="eastAsia" w:ascii="宋体" w:hAnsi="宋体" w:cs="宋体"/>
          <w:kern w:val="0"/>
          <w:sz w:val="24"/>
          <w:szCs w:val="24"/>
        </w:rPr>
        <w:t xml:space="preserve">   </w:t>
      </w:r>
      <w:r>
        <w:rPr>
          <w:rFonts w:hint="eastAsia" w:ascii="宋体" w:hAnsi="宋体" w:cs="宋体"/>
          <w:b/>
          <w:bCs/>
          <w:kern w:val="0"/>
          <w:sz w:val="28"/>
          <w:szCs w:val="28"/>
        </w:rPr>
        <w:t xml:space="preserve"> 第四条：验收时间、组织</w:t>
      </w:r>
    </w:p>
    <w:p>
      <w:pPr>
        <w:autoSpaceDE w:val="0"/>
        <w:adjustRightInd w:val="0"/>
        <w:spacing w:line="360" w:lineRule="auto"/>
        <w:ind w:firstLine="585" w:firstLineChars="209"/>
        <w:jc w:val="left"/>
        <w:rPr>
          <w:rFonts w:ascii="宋体" w:hAnsi="宋体" w:cs="宋体"/>
          <w:kern w:val="0"/>
          <w:sz w:val="28"/>
          <w:szCs w:val="28"/>
        </w:rPr>
      </w:pPr>
      <w:r>
        <w:rPr>
          <w:rFonts w:hint="eastAsia" w:ascii="宋体" w:hAnsi="宋体" w:cs="宋体"/>
          <w:kern w:val="0"/>
          <w:sz w:val="28"/>
          <w:szCs w:val="28"/>
        </w:rPr>
        <w:t>1、乙方将所供商品送达甲方指定地点拆箱安装调试完毕后，由甲方组织专业技术人员进行验收。甲方对产品验收合格后，在《建德市政府采购物品验收反馈表》上签署意见并加盖甲方公章。验收中发现产品达不到验收标准或合同规定的技术指标，乙方必须更换，并负担由此给甲方造成的损失，直到验收合格为止。</w:t>
      </w:r>
    </w:p>
    <w:p>
      <w:pPr>
        <w:autoSpaceDE w:val="0"/>
        <w:adjustRightInd w:val="0"/>
        <w:spacing w:line="360" w:lineRule="auto"/>
        <w:ind w:firstLine="585" w:firstLineChars="209"/>
        <w:jc w:val="left"/>
        <w:rPr>
          <w:rFonts w:ascii="宋体" w:hAnsi="宋体" w:cs="宋体"/>
          <w:kern w:val="0"/>
          <w:sz w:val="28"/>
          <w:szCs w:val="28"/>
        </w:rPr>
      </w:pPr>
      <w:r>
        <w:rPr>
          <w:rFonts w:hint="eastAsia" w:ascii="宋体" w:hAnsi="宋体" w:cs="宋体"/>
          <w:kern w:val="0"/>
          <w:sz w:val="28"/>
          <w:szCs w:val="28"/>
        </w:rPr>
        <w:t>2、验收费用包括在总投标报价中，由乙方承担。</w:t>
      </w:r>
    </w:p>
    <w:p>
      <w:pPr>
        <w:autoSpaceDE w:val="0"/>
        <w:adjustRightInd w:val="0"/>
        <w:snapToGrid w:val="0"/>
        <w:spacing w:line="440" w:lineRule="exact"/>
        <w:ind w:firstLine="587" w:firstLineChars="209"/>
        <w:jc w:val="left"/>
        <w:rPr>
          <w:rFonts w:ascii="宋体" w:hAnsi="宋体" w:cs="宋体"/>
          <w:b/>
          <w:kern w:val="0"/>
          <w:sz w:val="28"/>
          <w:szCs w:val="28"/>
        </w:rPr>
      </w:pPr>
      <w:r>
        <w:rPr>
          <w:rFonts w:hint="eastAsia" w:ascii="宋体" w:hAnsi="宋体" w:cs="宋体"/>
          <w:b/>
          <w:kern w:val="0"/>
          <w:sz w:val="28"/>
          <w:szCs w:val="28"/>
        </w:rPr>
        <w:t>第五条：货款支付</w:t>
      </w:r>
    </w:p>
    <w:p>
      <w:pPr>
        <w:autoSpaceDE w:val="0"/>
        <w:adjustRightInd w:val="0"/>
        <w:snapToGrid w:val="0"/>
        <w:spacing w:line="440" w:lineRule="exact"/>
        <w:ind w:firstLine="585" w:firstLineChars="209"/>
        <w:jc w:val="left"/>
        <w:rPr>
          <w:rFonts w:hint="eastAsia" w:ascii="宋体" w:hAnsi="宋体" w:cs="宋体"/>
          <w:sz w:val="28"/>
          <w:szCs w:val="28"/>
        </w:rPr>
      </w:pPr>
      <w:r>
        <w:rPr>
          <w:rFonts w:hint="eastAsia" w:ascii="宋体" w:hAnsi="宋体" w:cs="宋体"/>
          <w:kern w:val="0"/>
          <w:sz w:val="28"/>
          <w:szCs w:val="28"/>
        </w:rPr>
        <w:t>采购单位根据合同、投标文件等资料进行验收，供应商在验收合格后将发票复印</w:t>
      </w:r>
      <w:r>
        <w:rPr>
          <w:rFonts w:hint="eastAsia" w:ascii="宋体" w:hAnsi="宋体" w:cs="宋体"/>
          <w:sz w:val="28"/>
          <w:szCs w:val="28"/>
        </w:rPr>
        <w:t>件、经采购单位验收确认的《建德市政府采购验收反馈表》（需提供验收报告）报相关部门备案。</w:t>
      </w:r>
    </w:p>
    <w:p>
      <w:pPr>
        <w:autoSpaceDE w:val="0"/>
        <w:adjustRightInd w:val="0"/>
        <w:snapToGrid w:val="0"/>
        <w:spacing w:line="440" w:lineRule="exact"/>
        <w:ind w:firstLine="585" w:firstLineChars="209"/>
        <w:jc w:val="left"/>
        <w:rPr>
          <w:rFonts w:hint="eastAsia" w:ascii="宋体" w:hAnsi="宋体" w:cs="宋体"/>
          <w:sz w:val="28"/>
          <w:szCs w:val="28"/>
        </w:rPr>
      </w:pPr>
      <w:r>
        <w:rPr>
          <w:rFonts w:hint="eastAsia" w:ascii="宋体" w:hAnsi="宋体" w:cs="宋体"/>
          <w:sz w:val="28"/>
          <w:szCs w:val="28"/>
        </w:rPr>
        <w:t>本项目</w:t>
      </w:r>
      <w:r>
        <w:rPr>
          <w:rFonts w:hint="eastAsia" w:ascii="宋体" w:hAnsi="宋体" w:cs="宋体"/>
          <w:sz w:val="28"/>
          <w:szCs w:val="28"/>
          <w:lang w:val="en-US" w:eastAsia="zh-CN"/>
        </w:rPr>
        <w:t>分两期实施，</w:t>
      </w:r>
      <w:r>
        <w:rPr>
          <w:rFonts w:hint="eastAsia" w:ascii="宋体" w:hAnsi="宋体" w:cs="宋体"/>
          <w:sz w:val="28"/>
          <w:szCs w:val="28"/>
        </w:rPr>
        <w:t>分期支付项目款。</w:t>
      </w:r>
      <w:r>
        <w:rPr>
          <w:rFonts w:hint="eastAsia" w:ascii="宋体" w:hAnsi="宋体" w:cs="宋体"/>
          <w:sz w:val="28"/>
          <w:szCs w:val="28"/>
          <w:lang w:val="en-US" w:eastAsia="zh-CN"/>
        </w:rPr>
        <w:t>每期支付款如下：</w:t>
      </w:r>
    </w:p>
    <w:p>
      <w:pPr>
        <w:autoSpaceDE w:val="0"/>
        <w:adjustRightInd w:val="0"/>
        <w:snapToGrid w:val="0"/>
        <w:spacing w:line="440" w:lineRule="exact"/>
        <w:ind w:firstLine="585" w:firstLineChars="209"/>
        <w:jc w:val="left"/>
        <w:rPr>
          <w:rFonts w:ascii="宋体" w:hAnsi="宋体" w:cs="宋体"/>
          <w:sz w:val="28"/>
          <w:szCs w:val="28"/>
        </w:rPr>
      </w:pPr>
      <w:r>
        <w:rPr>
          <w:rFonts w:hint="eastAsia" w:ascii="宋体" w:hAnsi="宋体" w:cs="宋体"/>
          <w:sz w:val="28"/>
          <w:szCs w:val="28"/>
        </w:rPr>
        <w:t>中标供应商将所投设备材料到场后支付30%货款，安装调试完毕并验收合格后，中标供应商向采购单位提交相关资料（结款申请、发票原件及复印件、合同复印件、设备清单、经采购单位验收确认的《建德市政府采购验收反馈表》、验收竣工报告等），由采购单位向中标供应商支付结算100%货款。</w:t>
      </w:r>
    </w:p>
    <w:p>
      <w:pPr>
        <w:autoSpaceDE w:val="0"/>
        <w:adjustRightInd w:val="0"/>
        <w:snapToGrid w:val="0"/>
        <w:spacing w:line="440" w:lineRule="exact"/>
        <w:ind w:firstLine="587" w:firstLineChars="209"/>
        <w:jc w:val="left"/>
        <w:rPr>
          <w:rFonts w:ascii="宋体" w:hAnsi="宋体" w:cs="宋体"/>
          <w:b/>
          <w:kern w:val="0"/>
          <w:sz w:val="28"/>
          <w:szCs w:val="28"/>
        </w:rPr>
      </w:pPr>
      <w:r>
        <w:rPr>
          <w:rFonts w:hint="eastAsia" w:ascii="宋体" w:hAnsi="宋体" w:cs="宋体"/>
          <w:b/>
          <w:kern w:val="0"/>
          <w:sz w:val="28"/>
          <w:szCs w:val="28"/>
        </w:rPr>
        <w:t>第六条：履约保证金</w:t>
      </w:r>
    </w:p>
    <w:p>
      <w:pPr>
        <w:widowControl/>
        <w:spacing w:line="360" w:lineRule="auto"/>
        <w:ind w:left="-181" w:right="-179" w:firstLine="538"/>
        <w:rPr>
          <w:rFonts w:ascii="宋体" w:hAnsi="宋体" w:cs="宋体"/>
          <w:sz w:val="28"/>
          <w:szCs w:val="28"/>
        </w:rPr>
      </w:pPr>
      <w:r>
        <w:rPr>
          <w:rFonts w:hint="eastAsia" w:ascii="宋体" w:hAnsi="宋体" w:cs="宋体"/>
          <w:sz w:val="28"/>
          <w:szCs w:val="28"/>
        </w:rPr>
        <w:t>在正式合同签订生效之日起7个工作日内，由中标供应商缴纳合同总价的5%作为履约保证金至采购单位指定账户（可以以银行、保险公司出具保函形式提交）。履约结束后</w:t>
      </w:r>
      <w:r>
        <w:rPr>
          <w:rFonts w:hint="eastAsia" w:ascii="宋体" w:hAnsi="宋体" w:cs="宋体"/>
          <w:sz w:val="28"/>
          <w:szCs w:val="28"/>
          <w:lang w:eastAsia="zh-CN"/>
        </w:rPr>
        <w:t>（</w:t>
      </w:r>
      <w:r>
        <w:rPr>
          <w:rFonts w:hint="eastAsia" w:ascii="宋体" w:hAnsi="宋体" w:cs="宋体"/>
          <w:sz w:val="28"/>
          <w:szCs w:val="28"/>
          <w:lang w:val="en-US" w:eastAsia="zh-CN"/>
        </w:rPr>
        <w:t>投标人承诺的免费质保服务期</w:t>
      </w:r>
      <w:r>
        <w:rPr>
          <w:rFonts w:hint="eastAsia" w:ascii="宋体" w:hAnsi="宋体" w:cs="宋体"/>
          <w:sz w:val="28"/>
          <w:szCs w:val="28"/>
          <w:lang w:eastAsia="zh-CN"/>
        </w:rPr>
        <w:t>）</w:t>
      </w:r>
      <w:r>
        <w:rPr>
          <w:rFonts w:hint="eastAsia" w:ascii="宋体" w:hAnsi="宋体" w:cs="宋体"/>
          <w:sz w:val="28"/>
          <w:szCs w:val="28"/>
        </w:rPr>
        <w:t>，无质量、服务问题，由采购单位向供应商无息退还。因供应商的质量、服务问题原因造成采购单位损失的，采购单位有权要求供应商以其履约保证金作出补偿。</w:t>
      </w:r>
    </w:p>
    <w:p>
      <w:pPr>
        <w:autoSpaceDE w:val="0"/>
        <w:adjustRightInd w:val="0"/>
        <w:snapToGrid w:val="0"/>
        <w:spacing w:line="440" w:lineRule="exact"/>
        <w:jc w:val="left"/>
        <w:rPr>
          <w:rFonts w:ascii="宋体" w:hAnsi="宋体" w:cs="宋体"/>
          <w:b/>
          <w:bCs/>
          <w:sz w:val="28"/>
          <w:szCs w:val="28"/>
        </w:rPr>
      </w:pPr>
      <w:r>
        <w:rPr>
          <w:rFonts w:hint="eastAsia" w:ascii="宋体" w:hAnsi="宋体" w:cs="宋体"/>
          <w:b/>
          <w:bCs/>
          <w:sz w:val="28"/>
          <w:szCs w:val="28"/>
        </w:rPr>
        <w:t>第七条：售后服务</w:t>
      </w:r>
    </w:p>
    <w:p>
      <w:pPr>
        <w:autoSpaceDE w:val="0"/>
        <w:adjustRightInd w:val="0"/>
        <w:spacing w:line="336" w:lineRule="auto"/>
        <w:ind w:firstLine="585" w:firstLineChars="209"/>
        <w:jc w:val="left"/>
        <w:rPr>
          <w:rFonts w:ascii="宋体" w:hAnsi="宋体" w:cs="宋体"/>
          <w:color w:val="auto"/>
          <w:sz w:val="28"/>
          <w:szCs w:val="28"/>
        </w:rPr>
      </w:pPr>
      <w:r>
        <w:rPr>
          <w:rFonts w:hint="eastAsia" w:ascii="宋体" w:hAnsi="宋体" w:cs="宋体"/>
          <w:color w:val="auto"/>
          <w:sz w:val="28"/>
          <w:szCs w:val="28"/>
        </w:rPr>
        <w:t>售后服务按不低于国家质量监督检验检疫总局和国家其他有关规定执行，国家没有规定的按厂商规定执行。国家规定标准低于厂商标准的按厂商标准执行。</w:t>
      </w:r>
    </w:p>
    <w:p>
      <w:pPr>
        <w:spacing w:line="420" w:lineRule="exact"/>
        <w:ind w:firstLine="537" w:firstLineChars="192"/>
        <w:rPr>
          <w:rFonts w:ascii="宋体" w:hAnsi="宋体" w:cs="宋体"/>
          <w:b/>
          <w:bCs/>
          <w:color w:val="auto"/>
          <w:sz w:val="28"/>
          <w:szCs w:val="28"/>
        </w:rPr>
      </w:pPr>
      <w:r>
        <w:rPr>
          <w:rFonts w:hint="eastAsia" w:ascii="宋体" w:hAnsi="宋体" w:cs="宋体"/>
          <w:color w:val="auto"/>
          <w:sz w:val="28"/>
          <w:szCs w:val="28"/>
        </w:rPr>
        <w:t>合同标的保修期自标的验收合格并签字盖章后开始计算。</w:t>
      </w:r>
      <w:r>
        <w:rPr>
          <w:rFonts w:hint="eastAsia" w:ascii="宋体" w:hAnsi="宋体" w:cs="宋体"/>
          <w:b/>
          <w:color w:val="auto"/>
          <w:sz w:val="28"/>
          <w:szCs w:val="28"/>
        </w:rPr>
        <w:t>合同标的出现故障的，乙方必须在</w:t>
      </w:r>
      <w:r>
        <w:rPr>
          <w:rFonts w:hint="eastAsia" w:ascii="宋体" w:hAnsi="宋体" w:cs="宋体"/>
          <w:b/>
          <w:color w:val="auto"/>
          <w:sz w:val="28"/>
          <w:szCs w:val="28"/>
          <w:u w:val="single"/>
        </w:rPr>
        <w:t>半</w:t>
      </w:r>
      <w:r>
        <w:rPr>
          <w:rFonts w:hint="eastAsia" w:ascii="宋体" w:hAnsi="宋体" w:cs="宋体"/>
          <w:b/>
          <w:color w:val="auto"/>
          <w:sz w:val="28"/>
          <w:szCs w:val="28"/>
        </w:rPr>
        <w:t>小时内响应，并在</w:t>
      </w:r>
      <w:r>
        <w:rPr>
          <w:rFonts w:hint="eastAsia" w:ascii="宋体" w:hAnsi="宋体" w:cs="宋体"/>
          <w:b/>
          <w:color w:val="auto"/>
          <w:sz w:val="28"/>
          <w:szCs w:val="28"/>
          <w:u w:val="single"/>
        </w:rPr>
        <w:t>2</w:t>
      </w:r>
      <w:r>
        <w:rPr>
          <w:rFonts w:hint="eastAsia" w:ascii="宋体" w:hAnsi="宋体" w:cs="宋体"/>
          <w:b/>
          <w:color w:val="auto"/>
          <w:sz w:val="28"/>
          <w:szCs w:val="28"/>
        </w:rPr>
        <w:t>小时内提出解决方案，</w:t>
      </w:r>
      <w:r>
        <w:rPr>
          <w:rFonts w:hint="eastAsia" w:ascii="宋体" w:hAnsi="宋体" w:cs="宋体"/>
          <w:b/>
          <w:color w:val="auto"/>
          <w:sz w:val="28"/>
          <w:szCs w:val="28"/>
          <w:u w:val="single"/>
        </w:rPr>
        <w:t>8</w:t>
      </w:r>
      <w:r>
        <w:rPr>
          <w:rFonts w:hint="eastAsia" w:ascii="宋体" w:hAnsi="宋体" w:cs="宋体"/>
          <w:b/>
          <w:color w:val="auto"/>
          <w:sz w:val="28"/>
          <w:szCs w:val="28"/>
        </w:rPr>
        <w:t>小时内到达现场对故障进行处理，维修过程中所需材料成交供应商在接到通知后应及时提供，最长不超过</w:t>
      </w:r>
      <w:r>
        <w:rPr>
          <w:rFonts w:hint="eastAsia" w:ascii="宋体" w:hAnsi="宋体" w:cs="宋体"/>
          <w:b/>
          <w:color w:val="auto"/>
          <w:sz w:val="28"/>
          <w:szCs w:val="28"/>
          <w:u w:val="single"/>
        </w:rPr>
        <w:t>24</w:t>
      </w:r>
      <w:r>
        <w:rPr>
          <w:rFonts w:hint="eastAsia" w:ascii="宋体" w:hAnsi="宋体" w:cs="宋体"/>
          <w:b/>
          <w:color w:val="auto"/>
          <w:sz w:val="28"/>
          <w:szCs w:val="28"/>
        </w:rPr>
        <w:t>小时必须送达买方。若</w:t>
      </w:r>
      <w:r>
        <w:rPr>
          <w:rFonts w:hint="eastAsia" w:ascii="宋体" w:hAnsi="宋体" w:cs="宋体"/>
          <w:b/>
          <w:color w:val="auto"/>
          <w:sz w:val="28"/>
          <w:szCs w:val="28"/>
          <w:u w:val="single"/>
        </w:rPr>
        <w:t>24</w:t>
      </w:r>
      <w:r>
        <w:rPr>
          <w:rFonts w:hint="eastAsia" w:ascii="宋体" w:hAnsi="宋体" w:cs="宋体"/>
          <w:b/>
          <w:color w:val="auto"/>
          <w:sz w:val="28"/>
          <w:szCs w:val="28"/>
        </w:rPr>
        <w:t>小时内无法修复的，应及时提供相应备用设备并负责安装调试，确保甲方的使用，特殊情况与甲方协调解决。</w:t>
      </w:r>
      <w:r>
        <w:rPr>
          <w:rFonts w:hint="eastAsia" w:ascii="宋体" w:hAnsi="宋体" w:cs="宋体"/>
          <w:color w:val="auto"/>
          <w:sz w:val="28"/>
          <w:szCs w:val="28"/>
        </w:rPr>
        <w:t xml:space="preserve"> </w:t>
      </w:r>
      <w:r>
        <w:rPr>
          <w:rFonts w:hint="eastAsia" w:ascii="宋体" w:hAnsi="宋体" w:cs="宋体"/>
          <w:b/>
          <w:bCs/>
          <w:color w:val="auto"/>
          <w:sz w:val="28"/>
          <w:szCs w:val="28"/>
        </w:rPr>
        <w:t>质保期内因不能排除的故障而影响工作的情况每发生一次，其质保期相应延长60天</w:t>
      </w:r>
      <w:r>
        <w:rPr>
          <w:rFonts w:hint="eastAsia" w:ascii="宋体" w:hAnsi="宋体" w:cs="宋体"/>
          <w:b/>
          <w:bCs/>
          <w:color w:val="auto"/>
          <w:sz w:val="28"/>
          <w:szCs w:val="28"/>
          <w:lang w:val="en-US" w:eastAsia="zh-CN"/>
        </w:rPr>
        <w:t>并扣除10%的履约保证金</w:t>
      </w:r>
      <w:r>
        <w:rPr>
          <w:rFonts w:hint="eastAsia" w:ascii="宋体" w:hAnsi="宋体" w:cs="宋体"/>
          <w:b/>
          <w:bCs/>
          <w:color w:val="auto"/>
          <w:sz w:val="28"/>
          <w:szCs w:val="28"/>
        </w:rPr>
        <w:t>，质保期内因货物本身缺陷造成各种故障应由成交供应商免费技术服务和维修。</w:t>
      </w:r>
    </w:p>
    <w:p>
      <w:pPr>
        <w:autoSpaceDE w:val="0"/>
        <w:adjustRightInd w:val="0"/>
        <w:snapToGrid w:val="0"/>
        <w:spacing w:line="440" w:lineRule="exact"/>
        <w:jc w:val="left"/>
        <w:rPr>
          <w:rFonts w:ascii="宋体" w:hAnsi="宋体" w:cs="宋体"/>
          <w:b/>
          <w:bCs/>
          <w:sz w:val="28"/>
          <w:szCs w:val="28"/>
        </w:rPr>
      </w:pPr>
      <w:r>
        <w:rPr>
          <w:rFonts w:hint="eastAsia" w:ascii="宋体" w:hAnsi="宋体" w:cs="宋体"/>
          <w:bCs/>
          <w:color w:val="auto"/>
          <w:sz w:val="28"/>
          <w:szCs w:val="28"/>
        </w:rPr>
        <w:t xml:space="preserve">   </w:t>
      </w:r>
      <w:r>
        <w:rPr>
          <w:rFonts w:hint="eastAsia" w:ascii="宋体" w:hAnsi="宋体" w:cs="宋体"/>
          <w:b/>
          <w:bCs/>
          <w:color w:val="auto"/>
          <w:sz w:val="28"/>
          <w:szCs w:val="28"/>
        </w:rPr>
        <w:t xml:space="preserve"> 第八条：乙方承担合同标的供货、安装调试</w:t>
      </w:r>
      <w:r>
        <w:rPr>
          <w:rFonts w:hint="eastAsia" w:ascii="宋体" w:hAnsi="宋体" w:cs="宋体"/>
          <w:b/>
          <w:bCs/>
          <w:sz w:val="28"/>
          <w:szCs w:val="28"/>
        </w:rPr>
        <w:t>及交付前的一切费用(包括不可预见费用)和市场风险。</w:t>
      </w:r>
    </w:p>
    <w:p>
      <w:pPr>
        <w:autoSpaceDE w:val="0"/>
        <w:adjustRightInd w:val="0"/>
        <w:snapToGrid w:val="0"/>
        <w:spacing w:line="440" w:lineRule="exact"/>
        <w:ind w:firstLine="562" w:firstLineChars="200"/>
        <w:jc w:val="left"/>
        <w:rPr>
          <w:rFonts w:ascii="宋体" w:hAnsi="宋体" w:cs="宋体"/>
          <w:b/>
          <w:sz w:val="28"/>
          <w:szCs w:val="28"/>
        </w:rPr>
      </w:pPr>
      <w:r>
        <w:rPr>
          <w:rFonts w:hint="eastAsia" w:ascii="宋体" w:hAnsi="宋体" w:cs="宋体"/>
          <w:b/>
          <w:kern w:val="0"/>
          <w:sz w:val="28"/>
          <w:szCs w:val="28"/>
        </w:rPr>
        <w:t>第九条：其他约定：</w:t>
      </w:r>
      <w:r>
        <w:rPr>
          <w:rFonts w:hint="eastAsia" w:ascii="宋体" w:hAnsi="宋体" w:cs="宋体"/>
          <w:b/>
          <w:sz w:val="28"/>
          <w:szCs w:val="28"/>
        </w:rPr>
        <w:t>交货和加工</w:t>
      </w:r>
    </w:p>
    <w:p>
      <w:pPr>
        <w:adjustRightInd w:val="0"/>
        <w:snapToGrid w:val="0"/>
        <w:spacing w:line="440" w:lineRule="exact"/>
        <w:ind w:firstLine="140" w:firstLineChars="50"/>
        <w:rPr>
          <w:rFonts w:ascii="宋体" w:hAnsi="宋体" w:cs="宋体"/>
          <w:b/>
          <w:sz w:val="28"/>
          <w:szCs w:val="28"/>
        </w:rPr>
      </w:pPr>
      <w:r>
        <w:rPr>
          <w:rFonts w:hint="eastAsia" w:ascii="宋体" w:hAnsi="宋体" w:cs="宋体"/>
          <w:kern w:val="0"/>
          <w:sz w:val="28"/>
          <w:szCs w:val="28"/>
        </w:rPr>
        <w:t xml:space="preserve">   </w:t>
      </w:r>
      <w:r>
        <w:rPr>
          <w:rFonts w:hint="eastAsia" w:ascii="宋体" w:hAnsi="宋体" w:cs="宋体"/>
          <w:b/>
          <w:sz w:val="28"/>
          <w:szCs w:val="28"/>
        </w:rPr>
        <w:t>第十条  违约责任</w:t>
      </w:r>
    </w:p>
    <w:p>
      <w:pPr>
        <w:autoSpaceDE w:val="0"/>
        <w:adjustRightInd w:val="0"/>
        <w:snapToGrid w:val="0"/>
        <w:spacing w:line="440" w:lineRule="exact"/>
        <w:ind w:firstLine="585" w:firstLineChars="209"/>
        <w:jc w:val="left"/>
        <w:rPr>
          <w:rFonts w:ascii="宋体" w:hAnsi="宋体" w:cs="宋体"/>
          <w:kern w:val="0"/>
          <w:sz w:val="28"/>
          <w:szCs w:val="28"/>
        </w:rPr>
      </w:pPr>
      <w:r>
        <w:rPr>
          <w:rFonts w:hint="eastAsia" w:ascii="宋体" w:hAnsi="宋体" w:cs="宋体"/>
          <w:kern w:val="0"/>
          <w:sz w:val="28"/>
          <w:szCs w:val="28"/>
        </w:rPr>
        <w:t>由于乙方原因(除不可抗力外)不能按期交付合同标的，对超出交付期的每一天，乙方应按合同总价款的千分之三承担违约金，在合同货款支付时一次性扣除。若超出交付期十天(含十天)以上的，</w:t>
      </w:r>
      <w:r>
        <w:rPr>
          <w:rFonts w:hint="eastAsia" w:ascii="宋体" w:hAnsi="宋体" w:cs="宋体"/>
          <w:sz w:val="28"/>
          <w:szCs w:val="28"/>
        </w:rPr>
        <w:t>甲</w:t>
      </w:r>
      <w:r>
        <w:rPr>
          <w:rFonts w:hint="eastAsia" w:ascii="宋体" w:hAnsi="宋体" w:cs="宋体"/>
          <w:kern w:val="0"/>
          <w:sz w:val="28"/>
          <w:szCs w:val="28"/>
        </w:rPr>
        <w:t>方有权终止合同并提请建德市政府采购管理办公室按照政府采购的有关规定对乙方进行处理。</w:t>
      </w:r>
    </w:p>
    <w:p>
      <w:pPr>
        <w:autoSpaceDE w:val="0"/>
        <w:adjustRightInd w:val="0"/>
        <w:snapToGrid w:val="0"/>
        <w:spacing w:line="440" w:lineRule="exact"/>
        <w:jc w:val="left"/>
        <w:rPr>
          <w:rFonts w:ascii="宋体" w:hAnsi="宋体" w:cs="宋体"/>
          <w:kern w:val="0"/>
          <w:sz w:val="28"/>
          <w:szCs w:val="28"/>
        </w:rPr>
      </w:pPr>
      <w:r>
        <w:rPr>
          <w:rFonts w:hint="eastAsia" w:ascii="宋体" w:hAnsi="宋体" w:cs="宋体"/>
          <w:kern w:val="0"/>
          <w:sz w:val="28"/>
          <w:szCs w:val="28"/>
        </w:rPr>
        <w:t xml:space="preserve">    乙方按合同要求将货物送达</w:t>
      </w:r>
      <w:r>
        <w:rPr>
          <w:rFonts w:hint="eastAsia" w:ascii="宋体" w:hAnsi="宋体" w:cs="宋体"/>
          <w:sz w:val="28"/>
          <w:szCs w:val="28"/>
        </w:rPr>
        <w:t>甲</w:t>
      </w:r>
      <w:r>
        <w:rPr>
          <w:rFonts w:hint="eastAsia" w:ascii="宋体" w:hAnsi="宋体" w:cs="宋体"/>
          <w:kern w:val="0"/>
          <w:sz w:val="28"/>
          <w:szCs w:val="28"/>
        </w:rPr>
        <w:t>方后，经验收合格后，甲方超出付款期支付货款的，每逾一天，</w:t>
      </w:r>
      <w:r>
        <w:rPr>
          <w:rFonts w:hint="eastAsia" w:ascii="宋体" w:hAnsi="宋体" w:cs="宋体"/>
          <w:sz w:val="28"/>
          <w:szCs w:val="28"/>
        </w:rPr>
        <w:t>甲</w:t>
      </w:r>
      <w:r>
        <w:rPr>
          <w:rFonts w:hint="eastAsia" w:ascii="宋体" w:hAnsi="宋体" w:cs="宋体"/>
          <w:kern w:val="0"/>
          <w:sz w:val="28"/>
          <w:szCs w:val="28"/>
        </w:rPr>
        <w:t>方应向乙方支付合同货物金额的千分之三的滞纳金。如遇特殊情况甲方要求推迟供货或验收的，必须事先征得乙方的同意，否则应承担由此给乙方造成的损失。</w:t>
      </w:r>
    </w:p>
    <w:p>
      <w:pPr>
        <w:autoSpaceDE w:val="0"/>
        <w:adjustRightInd w:val="0"/>
        <w:snapToGrid w:val="0"/>
        <w:spacing w:line="440" w:lineRule="exact"/>
        <w:ind w:firstLine="587" w:firstLineChars="209"/>
        <w:jc w:val="left"/>
        <w:rPr>
          <w:rFonts w:ascii="宋体" w:hAnsi="宋体" w:cs="宋体"/>
          <w:b/>
          <w:kern w:val="0"/>
          <w:sz w:val="28"/>
          <w:szCs w:val="28"/>
        </w:rPr>
      </w:pPr>
      <w:r>
        <w:rPr>
          <w:rFonts w:hint="eastAsia" w:ascii="宋体" w:hAnsi="宋体" w:cs="宋体"/>
          <w:b/>
          <w:kern w:val="0"/>
          <w:sz w:val="28"/>
          <w:szCs w:val="28"/>
        </w:rPr>
        <w:t>第十一条：争议的解决</w:t>
      </w:r>
    </w:p>
    <w:p>
      <w:pPr>
        <w:autoSpaceDE w:val="0"/>
        <w:adjustRightInd w:val="0"/>
        <w:snapToGrid w:val="0"/>
        <w:spacing w:line="440" w:lineRule="exact"/>
        <w:ind w:firstLine="585" w:firstLineChars="209"/>
        <w:jc w:val="left"/>
        <w:rPr>
          <w:rFonts w:ascii="宋体" w:hAnsi="宋体" w:cs="宋体"/>
          <w:kern w:val="0"/>
          <w:sz w:val="28"/>
          <w:szCs w:val="28"/>
        </w:rPr>
      </w:pPr>
      <w:r>
        <w:rPr>
          <w:rFonts w:hint="eastAsia" w:ascii="宋体" w:hAnsi="宋体" w:cs="宋体"/>
          <w:kern w:val="0"/>
          <w:sz w:val="28"/>
          <w:szCs w:val="28"/>
        </w:rPr>
        <w:t>1．因质量问题发生争议的，由</w:t>
      </w:r>
      <w:r>
        <w:rPr>
          <w:rFonts w:hint="eastAsia" w:ascii="宋体" w:hAnsi="宋体" w:cs="宋体"/>
          <w:sz w:val="28"/>
          <w:szCs w:val="28"/>
        </w:rPr>
        <w:t>甲</w:t>
      </w:r>
      <w:r>
        <w:rPr>
          <w:rFonts w:hint="eastAsia" w:ascii="宋体" w:hAnsi="宋体" w:cs="宋体"/>
          <w:kern w:val="0"/>
          <w:sz w:val="28"/>
          <w:szCs w:val="28"/>
        </w:rPr>
        <w:t>方委托有关技术部门进行质量鉴定，该鉴定的结论</w:t>
      </w:r>
      <w:r>
        <w:rPr>
          <w:rFonts w:hint="eastAsia" w:ascii="宋体" w:hAnsi="宋体" w:cs="宋体"/>
          <w:sz w:val="28"/>
          <w:szCs w:val="28"/>
        </w:rPr>
        <w:t>甲</w:t>
      </w:r>
      <w:r>
        <w:rPr>
          <w:rFonts w:hint="eastAsia" w:ascii="宋体" w:hAnsi="宋体" w:cs="宋体"/>
          <w:bCs/>
          <w:kern w:val="0"/>
          <w:sz w:val="28"/>
          <w:szCs w:val="28"/>
        </w:rPr>
        <w:t>乙</w:t>
      </w:r>
      <w:r>
        <w:rPr>
          <w:rFonts w:hint="eastAsia" w:ascii="宋体" w:hAnsi="宋体" w:cs="宋体"/>
          <w:kern w:val="0"/>
          <w:sz w:val="28"/>
          <w:szCs w:val="28"/>
        </w:rPr>
        <w:t>双方应当接受，各方均有权直接向对方索赔，并签订书面处理协议书，报见证方备案。</w:t>
      </w:r>
    </w:p>
    <w:p>
      <w:pPr>
        <w:autoSpaceDE w:val="0"/>
        <w:adjustRightInd w:val="0"/>
        <w:snapToGrid w:val="0"/>
        <w:spacing w:line="440" w:lineRule="exact"/>
        <w:ind w:firstLine="585" w:firstLineChars="209"/>
        <w:jc w:val="left"/>
        <w:rPr>
          <w:rFonts w:ascii="宋体" w:hAnsi="宋体" w:cs="宋体"/>
          <w:kern w:val="0"/>
          <w:sz w:val="28"/>
          <w:szCs w:val="28"/>
        </w:rPr>
      </w:pPr>
      <w:r>
        <w:rPr>
          <w:rFonts w:hint="eastAsia" w:ascii="宋体" w:hAnsi="宋体" w:cs="宋体"/>
          <w:kern w:val="0"/>
          <w:sz w:val="28"/>
          <w:szCs w:val="28"/>
        </w:rPr>
        <w:t>2．双方无法通过协商解决合同争议的，任何一方有权向建德市人民法院提出诉讼。</w:t>
      </w:r>
    </w:p>
    <w:p>
      <w:pPr>
        <w:adjustRightInd w:val="0"/>
        <w:snapToGrid w:val="0"/>
        <w:spacing w:line="440" w:lineRule="exact"/>
        <w:ind w:firstLine="600"/>
        <w:rPr>
          <w:rFonts w:ascii="宋体" w:hAnsi="宋体" w:cs="宋体"/>
          <w:b/>
          <w:sz w:val="28"/>
          <w:szCs w:val="28"/>
        </w:rPr>
      </w:pPr>
      <w:r>
        <w:rPr>
          <w:rFonts w:hint="eastAsia" w:ascii="宋体" w:hAnsi="宋体" w:cs="宋体"/>
          <w:b/>
          <w:sz w:val="28"/>
          <w:szCs w:val="28"/>
        </w:rPr>
        <w:t>第十二条  合同的生效</w:t>
      </w:r>
    </w:p>
    <w:p>
      <w:pPr>
        <w:autoSpaceDE w:val="0"/>
        <w:adjustRightInd w:val="0"/>
        <w:spacing w:line="440" w:lineRule="exact"/>
        <w:ind w:firstLine="585" w:firstLineChars="209"/>
        <w:jc w:val="left"/>
        <w:rPr>
          <w:rFonts w:ascii="宋体" w:hAnsi="宋体" w:cs="宋体"/>
          <w:kern w:val="0"/>
          <w:sz w:val="28"/>
          <w:szCs w:val="28"/>
        </w:rPr>
      </w:pPr>
      <w:r>
        <w:rPr>
          <w:rFonts w:hint="eastAsia" w:ascii="宋体" w:hAnsi="宋体" w:cs="宋体"/>
          <w:kern w:val="0"/>
          <w:sz w:val="28"/>
          <w:szCs w:val="28"/>
        </w:rPr>
        <w:t>1．本合同一式六份，甲、乙双方各执二份，见证单位一份，</w:t>
      </w:r>
      <w:r>
        <w:rPr>
          <w:rFonts w:hint="eastAsia" w:ascii="宋体" w:hAnsi="宋体" w:cs="宋体"/>
          <w:sz w:val="28"/>
          <w:szCs w:val="28"/>
        </w:rPr>
        <w:t>建德市公共资源交易中心新安江分中心一份。</w:t>
      </w:r>
    </w:p>
    <w:p>
      <w:pPr>
        <w:autoSpaceDE w:val="0"/>
        <w:adjustRightInd w:val="0"/>
        <w:spacing w:line="440" w:lineRule="exact"/>
        <w:ind w:firstLine="585" w:firstLineChars="209"/>
        <w:jc w:val="left"/>
        <w:rPr>
          <w:rFonts w:ascii="宋体" w:hAnsi="宋体" w:cs="宋体"/>
          <w:kern w:val="0"/>
          <w:sz w:val="28"/>
          <w:szCs w:val="28"/>
        </w:rPr>
      </w:pPr>
      <w:r>
        <w:rPr>
          <w:rFonts w:hint="eastAsia" w:ascii="宋体" w:hAnsi="宋体" w:cs="宋体"/>
          <w:kern w:val="0"/>
          <w:sz w:val="28"/>
          <w:szCs w:val="28"/>
        </w:rPr>
        <w:t>2．本合同经甲乙双方法定代表人或委托代理人签字并加盖公章经见证方见证后生效。</w:t>
      </w:r>
    </w:p>
    <w:p>
      <w:pPr>
        <w:pStyle w:val="22"/>
        <w:snapToGrid w:val="0"/>
        <w:spacing w:line="440" w:lineRule="exact"/>
        <w:ind w:firstLine="560" w:firstLineChars="200"/>
        <w:rPr>
          <w:rFonts w:hAnsi="宋体" w:cs="宋体"/>
          <w:sz w:val="28"/>
          <w:szCs w:val="28"/>
        </w:rPr>
      </w:pPr>
      <w:r>
        <w:rPr>
          <w:rFonts w:hint="eastAsia" w:hAnsi="宋体" w:cs="宋体"/>
          <w:sz w:val="28"/>
          <w:szCs w:val="28"/>
        </w:rPr>
        <w:t>3．本合同未尽事宜，经双方商议可续签补充协议。该补充协议与本合同具有相同法律效力，但该补充协议的内容不能实质性修改招标文件的主要条款。</w:t>
      </w:r>
    </w:p>
    <w:p>
      <w:pPr>
        <w:pStyle w:val="22"/>
        <w:snapToGrid w:val="0"/>
        <w:spacing w:line="440" w:lineRule="exact"/>
        <w:ind w:firstLine="560" w:firstLineChars="200"/>
        <w:rPr>
          <w:rFonts w:hAnsi="宋体" w:cs="宋体"/>
          <w:sz w:val="28"/>
          <w:szCs w:val="28"/>
        </w:rPr>
      </w:pPr>
      <w:r>
        <w:rPr>
          <w:rFonts w:hint="eastAsia" w:hAnsi="宋体" w:cs="宋体"/>
          <w:sz w:val="28"/>
          <w:szCs w:val="28"/>
        </w:rPr>
        <w:t>4．本合同未涉及的部分以招标文件（项目编号：JDYH2021-   ）(包括补充更正，如有)为准，上述招标文件与乙方针对本项目投标文件及记录是本合同的附件，与本合同具有同等法律效力，但附件与主合同的规定不一致时，以主合同为准。</w:t>
      </w:r>
    </w:p>
    <w:p>
      <w:pPr>
        <w:pStyle w:val="22"/>
        <w:snapToGrid w:val="0"/>
        <w:spacing w:line="440" w:lineRule="exact"/>
        <w:rPr>
          <w:rFonts w:hAnsi="宋体" w:cs="宋体"/>
          <w:sz w:val="28"/>
          <w:szCs w:val="28"/>
        </w:rPr>
      </w:pPr>
      <w:r>
        <w:rPr>
          <w:rFonts w:hint="eastAsia" w:hAnsi="宋体" w:cs="宋体"/>
          <w:sz w:val="28"/>
          <w:szCs w:val="28"/>
        </w:rPr>
        <w:t>甲方（盖章）：                        乙方（盖章）：</w:t>
      </w:r>
    </w:p>
    <w:p>
      <w:pPr>
        <w:pStyle w:val="22"/>
        <w:snapToGrid w:val="0"/>
        <w:spacing w:line="440" w:lineRule="exact"/>
        <w:ind w:left="210" w:hanging="210" w:hangingChars="75"/>
        <w:rPr>
          <w:rFonts w:hAnsi="宋体" w:cs="宋体"/>
          <w:sz w:val="28"/>
          <w:szCs w:val="28"/>
        </w:rPr>
      </w:pPr>
      <w:r>
        <w:rPr>
          <w:rFonts w:hint="eastAsia" w:hAnsi="宋体" w:cs="宋体"/>
          <w:sz w:val="28"/>
          <w:szCs w:val="28"/>
        </w:rPr>
        <w:t>法定代表人或受委托人                 法定代表人或受委托人</w:t>
      </w:r>
    </w:p>
    <w:p>
      <w:pPr>
        <w:pStyle w:val="22"/>
        <w:snapToGrid w:val="0"/>
        <w:spacing w:line="440" w:lineRule="exact"/>
        <w:ind w:left="210" w:hanging="210" w:hangingChars="75"/>
        <w:rPr>
          <w:rFonts w:hAnsi="宋体" w:cs="宋体"/>
          <w:sz w:val="28"/>
          <w:szCs w:val="28"/>
        </w:rPr>
      </w:pPr>
      <w:r>
        <w:rPr>
          <w:rFonts w:hint="eastAsia" w:hAnsi="宋体" w:cs="宋体"/>
          <w:sz w:val="28"/>
          <w:szCs w:val="28"/>
        </w:rPr>
        <w:t>（签字）                             （签字）</w:t>
      </w:r>
    </w:p>
    <w:p>
      <w:pPr>
        <w:pStyle w:val="22"/>
        <w:snapToGrid w:val="0"/>
        <w:spacing w:line="440" w:lineRule="exact"/>
        <w:ind w:left="210" w:hanging="210" w:hangingChars="75"/>
        <w:rPr>
          <w:rFonts w:hAnsi="宋体" w:cs="宋体"/>
          <w:sz w:val="28"/>
          <w:szCs w:val="28"/>
        </w:rPr>
      </w:pPr>
      <w:r>
        <w:rPr>
          <w:rFonts w:hint="eastAsia" w:hAnsi="宋体" w:cs="宋体"/>
          <w:sz w:val="28"/>
          <w:szCs w:val="28"/>
        </w:rPr>
        <w:t>地址：                               地址：</w:t>
      </w:r>
    </w:p>
    <w:p>
      <w:pPr>
        <w:pStyle w:val="22"/>
        <w:snapToGrid w:val="0"/>
        <w:spacing w:line="440" w:lineRule="exact"/>
        <w:ind w:left="210" w:hanging="210" w:hangingChars="75"/>
        <w:rPr>
          <w:rFonts w:hAnsi="宋体" w:cs="宋体"/>
          <w:sz w:val="28"/>
          <w:szCs w:val="28"/>
        </w:rPr>
      </w:pPr>
      <w:r>
        <w:rPr>
          <w:rFonts w:hint="eastAsia" w:hAnsi="宋体" w:cs="宋体"/>
          <w:sz w:val="28"/>
          <w:szCs w:val="28"/>
        </w:rPr>
        <w:t>邮编：                               邮编：</w:t>
      </w:r>
    </w:p>
    <w:p>
      <w:pPr>
        <w:pStyle w:val="22"/>
        <w:snapToGrid w:val="0"/>
        <w:spacing w:line="440" w:lineRule="exact"/>
        <w:ind w:left="210" w:hanging="210" w:hangingChars="75"/>
        <w:rPr>
          <w:rFonts w:hAnsi="宋体" w:cs="宋体"/>
          <w:sz w:val="28"/>
          <w:szCs w:val="28"/>
        </w:rPr>
      </w:pPr>
      <w:r>
        <w:rPr>
          <w:rFonts w:hint="eastAsia" w:hAnsi="宋体" w:cs="宋体"/>
          <w:sz w:val="28"/>
          <w:szCs w:val="28"/>
        </w:rPr>
        <w:t>电话：                               电话：</w:t>
      </w:r>
    </w:p>
    <w:p>
      <w:pPr>
        <w:pStyle w:val="22"/>
        <w:snapToGrid w:val="0"/>
        <w:spacing w:line="440" w:lineRule="exact"/>
        <w:ind w:left="210" w:hanging="210" w:hangingChars="75"/>
        <w:rPr>
          <w:rFonts w:hAnsi="宋体" w:cs="宋体"/>
          <w:sz w:val="28"/>
          <w:szCs w:val="28"/>
        </w:rPr>
      </w:pPr>
      <w:r>
        <w:rPr>
          <w:rFonts w:hint="eastAsia" w:hAnsi="宋体" w:cs="宋体"/>
          <w:sz w:val="28"/>
          <w:szCs w:val="28"/>
        </w:rPr>
        <w:t>传真：                               传真：开户银行： 银行账号：</w:t>
      </w:r>
    </w:p>
    <w:p>
      <w:pPr>
        <w:pStyle w:val="22"/>
        <w:snapToGrid w:val="0"/>
        <w:spacing w:line="440" w:lineRule="exact"/>
        <w:ind w:left="210" w:hanging="210" w:hangingChars="75"/>
        <w:rPr>
          <w:rFonts w:hAnsi="宋体" w:cs="宋体"/>
          <w:sz w:val="28"/>
          <w:szCs w:val="28"/>
        </w:rPr>
      </w:pPr>
      <w:r>
        <w:rPr>
          <w:rFonts w:hint="eastAsia" w:hAnsi="宋体" w:cs="宋体"/>
          <w:sz w:val="28"/>
          <w:szCs w:val="28"/>
        </w:rPr>
        <w:t xml:space="preserve">                                     签约时间：</w:t>
      </w:r>
      <w:r>
        <w:rPr>
          <w:rFonts w:hint="eastAsia" w:hAnsi="宋体" w:cs="宋体"/>
          <w:sz w:val="28"/>
          <w:szCs w:val="28"/>
          <w:lang w:val="en-US" w:eastAsia="zh-CN"/>
        </w:rPr>
        <w:t xml:space="preserve">    </w:t>
      </w:r>
      <w:r>
        <w:rPr>
          <w:rFonts w:hint="eastAsia" w:hAnsi="宋体" w:cs="宋体"/>
          <w:sz w:val="28"/>
          <w:szCs w:val="28"/>
        </w:rPr>
        <w:t xml:space="preserve">年  月  日                                签约地点： </w:t>
      </w:r>
    </w:p>
    <w:p>
      <w:pPr>
        <w:pStyle w:val="22"/>
        <w:snapToGrid w:val="0"/>
        <w:spacing w:line="440" w:lineRule="exact"/>
        <w:rPr>
          <w:rFonts w:hAnsi="宋体" w:cs="宋体"/>
          <w:sz w:val="28"/>
          <w:szCs w:val="28"/>
        </w:rPr>
      </w:pPr>
      <w:r>
        <w:rPr>
          <w:rFonts w:hint="eastAsia" w:hAnsi="宋体" w:cs="宋体"/>
          <w:sz w:val="28"/>
          <w:szCs w:val="28"/>
        </w:rPr>
        <w:t xml:space="preserve">见证方（盖章）： </w:t>
      </w:r>
    </w:p>
    <w:p>
      <w:pPr>
        <w:pStyle w:val="22"/>
        <w:snapToGrid w:val="0"/>
        <w:spacing w:line="440" w:lineRule="exact"/>
        <w:rPr>
          <w:rFonts w:hAnsi="宋体" w:cs="宋体"/>
          <w:sz w:val="28"/>
          <w:szCs w:val="28"/>
        </w:rPr>
      </w:pPr>
      <w:r>
        <w:rPr>
          <w:rFonts w:hint="eastAsia" w:hAnsi="宋体" w:cs="宋体"/>
          <w:sz w:val="28"/>
          <w:szCs w:val="28"/>
        </w:rPr>
        <w:t>法定代表人或受委托人（签字）</w:t>
      </w:r>
    </w:p>
    <w:p>
      <w:pPr>
        <w:pStyle w:val="22"/>
        <w:snapToGrid w:val="0"/>
        <w:spacing w:line="440" w:lineRule="exact"/>
        <w:rPr>
          <w:rFonts w:hint="eastAsia" w:hAnsi="宋体" w:eastAsia="宋体" w:cs="宋体"/>
          <w:sz w:val="28"/>
          <w:szCs w:val="28"/>
          <w:lang w:eastAsia="zh-CN"/>
        </w:rPr>
        <w:sectPr>
          <w:pgSz w:w="11906" w:h="16838"/>
          <w:pgMar w:top="1247" w:right="1247" w:bottom="1247" w:left="1247" w:header="851" w:footer="992" w:gutter="0"/>
          <w:cols w:space="720" w:num="1"/>
          <w:docGrid w:linePitch="312" w:charSpace="0"/>
        </w:sectPr>
      </w:pPr>
      <w:r>
        <w:rPr>
          <w:rFonts w:hint="eastAsia" w:hAnsi="宋体" w:cs="宋体"/>
          <w:sz w:val="28"/>
          <w:szCs w:val="28"/>
        </w:rPr>
        <w:t>时间：</w:t>
      </w:r>
      <w:r>
        <w:rPr>
          <w:rFonts w:hint="eastAsia" w:hAnsi="宋体" w:cs="宋体"/>
          <w:sz w:val="28"/>
          <w:szCs w:val="28"/>
          <w:lang w:val="en-US" w:eastAsia="zh-CN"/>
        </w:rPr>
        <w:t xml:space="preserve">    </w:t>
      </w:r>
      <w:r>
        <w:rPr>
          <w:rFonts w:hint="eastAsia" w:hAnsi="宋体" w:cs="宋体"/>
          <w:sz w:val="28"/>
          <w:szCs w:val="28"/>
        </w:rPr>
        <w:t>年  月  日   （注：合同签订各方必须将资料填写完整，否则不予见证</w:t>
      </w:r>
      <w:r>
        <w:rPr>
          <w:rFonts w:hint="eastAsia" w:hAnsi="宋体" w:cs="宋体"/>
          <w:sz w:val="28"/>
          <w:szCs w:val="28"/>
          <w:lang w:eastAsia="zh-CN"/>
        </w:rPr>
        <w:t>）</w:t>
      </w:r>
    </w:p>
    <w:p>
      <w:pPr>
        <w:spacing w:line="480" w:lineRule="auto"/>
        <w:jc w:val="center"/>
        <w:outlineLvl w:val="0"/>
        <w:rPr>
          <w:rStyle w:val="105"/>
          <w:rFonts w:ascii="宋体" w:hAnsi="宋体" w:cs="宋体"/>
          <w:sz w:val="36"/>
          <w:szCs w:val="36"/>
        </w:rPr>
      </w:pPr>
      <w:bookmarkStart w:id="18" w:name="_Toc14258"/>
      <w:bookmarkStart w:id="19" w:name="_Toc9588"/>
      <w:r>
        <w:rPr>
          <w:rStyle w:val="105"/>
          <w:rFonts w:hint="eastAsia" w:ascii="宋体" w:hAnsi="宋体" w:cs="宋体"/>
          <w:sz w:val="36"/>
          <w:szCs w:val="36"/>
        </w:rPr>
        <w:t>第九章   附 件</w:t>
      </w:r>
      <w:bookmarkEnd w:id="18"/>
      <w:bookmarkEnd w:id="19"/>
    </w:p>
    <w:p>
      <w:pPr>
        <w:widowControl/>
        <w:snapToGrid w:val="0"/>
        <w:ind w:left="420" w:hanging="420"/>
        <w:rPr>
          <w:rFonts w:ascii="宋体" w:hAnsi="宋体" w:cs="宋体"/>
          <w:b/>
          <w:bCs/>
          <w:kern w:val="0"/>
          <w:sz w:val="32"/>
          <w:szCs w:val="32"/>
        </w:rPr>
      </w:pPr>
      <w:r>
        <w:rPr>
          <w:rStyle w:val="105"/>
          <w:rFonts w:hint="eastAsia" w:ascii="宋体" w:hAnsi="宋体" w:cs="宋体"/>
          <w:sz w:val="30"/>
          <w:szCs w:val="30"/>
        </w:rPr>
        <w:t>附件一</w:t>
      </w:r>
    </w:p>
    <w:p>
      <w:pPr>
        <w:widowControl/>
        <w:snapToGrid w:val="0"/>
        <w:ind w:left="420" w:hanging="420"/>
        <w:jc w:val="center"/>
        <w:rPr>
          <w:rFonts w:ascii="宋体" w:hAnsi="宋体" w:cs="宋体"/>
          <w:b/>
          <w:kern w:val="0"/>
          <w:sz w:val="32"/>
          <w:szCs w:val="32"/>
        </w:rPr>
      </w:pPr>
      <w:r>
        <w:rPr>
          <w:rFonts w:hint="eastAsia" w:ascii="宋体" w:hAnsi="宋体" w:cs="宋体"/>
          <w:b/>
          <w:kern w:val="0"/>
          <w:sz w:val="32"/>
          <w:szCs w:val="32"/>
        </w:rPr>
        <w:t>投标报价函</w:t>
      </w:r>
    </w:p>
    <w:p>
      <w:pPr>
        <w:autoSpaceDE w:val="0"/>
        <w:adjustRightInd w:val="0"/>
        <w:snapToGrid w:val="0"/>
        <w:spacing w:line="312" w:lineRule="auto"/>
        <w:jc w:val="left"/>
        <w:rPr>
          <w:rFonts w:ascii="宋体" w:hAnsi="宋体" w:cs="宋体"/>
          <w:b/>
          <w:spacing w:val="-20"/>
          <w:kern w:val="0"/>
          <w:sz w:val="28"/>
          <w:szCs w:val="28"/>
        </w:rPr>
      </w:pPr>
      <w:r>
        <w:rPr>
          <w:rFonts w:hint="eastAsia" w:ascii="宋体" w:hAnsi="宋体" w:cs="宋体"/>
          <w:b/>
          <w:sz w:val="28"/>
          <w:szCs w:val="28"/>
        </w:rPr>
        <w:t>建德市新安江第二小学</w:t>
      </w:r>
      <w:r>
        <w:rPr>
          <w:rFonts w:hint="eastAsia" w:ascii="宋体" w:hAnsi="宋体" w:cs="宋体"/>
          <w:b/>
          <w:sz w:val="28"/>
          <w:szCs w:val="28"/>
          <w:lang w:eastAsia="zh-CN"/>
        </w:rPr>
        <w:t>、</w:t>
      </w:r>
      <w:r>
        <w:rPr>
          <w:rFonts w:hint="eastAsia" w:ascii="宋体" w:hAnsi="宋体" w:cs="宋体"/>
          <w:b/>
          <w:sz w:val="28"/>
          <w:szCs w:val="28"/>
        </w:rPr>
        <w:t>建德市资产经营投资有限公司</w:t>
      </w:r>
      <w:r>
        <w:rPr>
          <w:rFonts w:hint="eastAsia" w:ascii="宋体" w:hAnsi="宋体" w:cs="宋体"/>
          <w:b/>
          <w:bCs/>
          <w:spacing w:val="-20"/>
          <w:kern w:val="0"/>
          <w:sz w:val="28"/>
          <w:szCs w:val="28"/>
        </w:rPr>
        <w:t>：</w:t>
      </w:r>
    </w:p>
    <w:p>
      <w:pPr>
        <w:pStyle w:val="34"/>
        <w:autoSpaceDE w:val="0"/>
        <w:adjustRightInd w:val="0"/>
        <w:snapToGrid w:val="0"/>
        <w:spacing w:before="0" w:beforeAutospacing="0" w:after="0" w:afterAutospacing="0" w:line="312" w:lineRule="auto"/>
        <w:ind w:firstLine="480"/>
        <w:rPr>
          <w:rFonts w:cs="宋体"/>
          <w:color w:val="auto"/>
          <w:sz w:val="28"/>
          <w:szCs w:val="28"/>
        </w:rPr>
      </w:pPr>
      <w:r>
        <w:rPr>
          <w:rFonts w:hint="eastAsia" w:cs="宋体"/>
          <w:color w:val="auto"/>
          <w:sz w:val="28"/>
          <w:szCs w:val="28"/>
        </w:rPr>
        <w:t>贵单位JDYH2021-号</w:t>
      </w:r>
      <w:r>
        <w:rPr>
          <w:rFonts w:hint="eastAsia" w:cs="宋体"/>
          <w:color w:val="auto"/>
          <w:sz w:val="28"/>
          <w:szCs w:val="28"/>
          <w:lang w:eastAsia="zh-CN"/>
        </w:rPr>
        <w:t>新安江第二小学多媒体影像设备采购</w:t>
      </w:r>
      <w:r>
        <w:rPr>
          <w:rFonts w:hint="eastAsia" w:cs="宋体"/>
          <w:color w:val="auto"/>
          <w:sz w:val="28"/>
          <w:szCs w:val="28"/>
        </w:rPr>
        <w:t>招标文件(包括</w:t>
      </w:r>
      <w:r>
        <w:rPr>
          <w:rFonts w:hint="eastAsia" w:cs="宋体"/>
          <w:b/>
          <w:color w:val="auto"/>
          <w:sz w:val="28"/>
          <w:szCs w:val="28"/>
        </w:rPr>
        <w:t>补充更正</w:t>
      </w:r>
      <w:r>
        <w:rPr>
          <w:rFonts w:hint="eastAsia" w:cs="宋体"/>
          <w:color w:val="auto"/>
          <w:sz w:val="28"/>
          <w:szCs w:val="28"/>
        </w:rPr>
        <w:t>，如有)收悉，我们经详细审阅和研究，现决定参加该项目的投标，并提供报价文件正本1份、副本5份。我公司决定无保留地接受招标文件(包括补充更正，如有)所有条款和报价文件所有承诺，并按合同履行全部责任。</w:t>
      </w:r>
    </w:p>
    <w:p>
      <w:pPr>
        <w:autoSpaceDE w:val="0"/>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愿按人民币(大写)</w:t>
      </w:r>
      <w:r>
        <w:rPr>
          <w:rFonts w:hint="eastAsia" w:ascii="宋体" w:hAnsi="宋体" w:cs="宋体"/>
          <w:kern w:val="0"/>
          <w:sz w:val="28"/>
          <w:szCs w:val="28"/>
          <w:u w:val="single"/>
        </w:rPr>
        <w:t xml:space="preserve">                             </w:t>
      </w:r>
      <w:r>
        <w:rPr>
          <w:rFonts w:hint="eastAsia" w:ascii="宋体" w:hAnsi="宋体" w:cs="宋体"/>
          <w:kern w:val="0"/>
          <w:sz w:val="28"/>
          <w:szCs w:val="28"/>
        </w:rPr>
        <w:t>（￥      元）；</w:t>
      </w:r>
    </w:p>
    <w:p>
      <w:pPr>
        <w:autoSpaceDE w:val="0"/>
        <w:adjustRightInd w:val="0"/>
        <w:snapToGrid w:val="0"/>
        <w:spacing w:line="312" w:lineRule="auto"/>
        <w:ind w:firstLine="560" w:firstLineChars="200"/>
        <w:jc w:val="left"/>
        <w:rPr>
          <w:rFonts w:ascii="宋体" w:hAnsi="宋体" w:cs="宋体"/>
          <w:kern w:val="0"/>
          <w:sz w:val="28"/>
          <w:szCs w:val="28"/>
        </w:rPr>
      </w:pPr>
      <w:r>
        <w:rPr>
          <w:rFonts w:hint="eastAsia" w:ascii="宋体" w:hAnsi="宋体" w:cs="宋体"/>
          <w:kern w:val="0"/>
          <w:sz w:val="28"/>
          <w:szCs w:val="28"/>
        </w:rPr>
        <w:t>本报价90天内有效。</w:t>
      </w:r>
    </w:p>
    <w:p>
      <w:pPr>
        <w:pStyle w:val="18"/>
        <w:rPr>
          <w:rFonts w:ascii="宋体" w:hAnsi="宋体" w:cs="宋体"/>
          <w:sz w:val="28"/>
          <w:szCs w:val="28"/>
        </w:rPr>
      </w:pPr>
      <w:r>
        <w:rPr>
          <w:rFonts w:hint="eastAsia" w:ascii="宋体" w:hAnsi="宋体" w:cs="宋体"/>
          <w:kern w:val="0"/>
          <w:sz w:val="28"/>
          <w:szCs w:val="28"/>
        </w:rPr>
        <w:t xml:space="preserve">    一旦我公司成交，保证按中标通知书规定时间与采购单位签订合同，按招标文件(包括补充更正，如有)供货时间要求和我公司报价文件承诺的供货时间准时完成全部供货、安装和调试，并交付使用。如我单位成交后放弃成交资格造成采购单位的损失的，我单位愿意对损失部分作出完全赔偿。</w:t>
      </w:r>
    </w:p>
    <w:p>
      <w:pPr>
        <w:autoSpaceDE w:val="0"/>
        <w:adjustRightInd w:val="0"/>
        <w:snapToGrid w:val="0"/>
        <w:spacing w:line="312" w:lineRule="auto"/>
        <w:ind w:firstLine="565" w:firstLineChars="202"/>
        <w:jc w:val="left"/>
        <w:rPr>
          <w:rFonts w:ascii="宋体" w:hAnsi="宋体" w:cs="宋体"/>
          <w:kern w:val="0"/>
          <w:sz w:val="28"/>
          <w:szCs w:val="28"/>
        </w:rPr>
      </w:pPr>
      <w:r>
        <w:rPr>
          <w:rFonts w:hint="eastAsia" w:ascii="宋体" w:hAnsi="宋体" w:cs="宋体"/>
          <w:kern w:val="0"/>
          <w:sz w:val="28"/>
          <w:szCs w:val="28"/>
        </w:rPr>
        <w:t>我公司对报价文件所有内容的真实性负全部责任，由此产生的一切后果由本公司承担。</w:t>
      </w:r>
    </w:p>
    <w:p>
      <w:pPr>
        <w:autoSpaceDE w:val="0"/>
        <w:adjustRightInd w:val="0"/>
        <w:snapToGrid w:val="0"/>
        <w:spacing w:line="312" w:lineRule="auto"/>
        <w:jc w:val="left"/>
        <w:rPr>
          <w:rFonts w:ascii="宋体" w:hAnsi="宋体" w:cs="宋体"/>
          <w:kern w:val="0"/>
          <w:sz w:val="28"/>
          <w:szCs w:val="28"/>
        </w:rPr>
      </w:pPr>
      <w:r>
        <w:rPr>
          <w:rFonts w:hint="eastAsia" w:ascii="宋体" w:hAnsi="宋体" w:cs="宋体"/>
          <w:b/>
          <w:sz w:val="28"/>
          <w:szCs w:val="28"/>
          <w:u w:val="single"/>
        </w:rPr>
        <w:t>特别提醒：本函的商务报价内容不能出现在商务技术、资信投标文件正副本中</w:t>
      </w:r>
      <w:r>
        <w:rPr>
          <w:rFonts w:hint="eastAsia" w:ascii="宋体" w:hAnsi="宋体" w:cs="宋体"/>
          <w:b/>
          <w:sz w:val="28"/>
          <w:szCs w:val="28"/>
        </w:rPr>
        <w:t>。</w:t>
      </w:r>
    </w:p>
    <w:p>
      <w:pPr>
        <w:autoSpaceDE w:val="0"/>
        <w:adjustRightInd w:val="0"/>
        <w:snapToGrid w:val="0"/>
        <w:spacing w:line="312" w:lineRule="auto"/>
        <w:jc w:val="left"/>
        <w:rPr>
          <w:rFonts w:ascii="宋体" w:hAnsi="宋体" w:cs="宋体"/>
          <w:kern w:val="0"/>
          <w:sz w:val="28"/>
          <w:szCs w:val="28"/>
        </w:rPr>
      </w:pPr>
    </w:p>
    <w:p>
      <w:pPr>
        <w:autoSpaceDE w:val="0"/>
        <w:adjustRightInd w:val="0"/>
        <w:snapToGrid w:val="0"/>
        <w:spacing w:line="312" w:lineRule="auto"/>
        <w:jc w:val="left"/>
        <w:rPr>
          <w:rFonts w:ascii="宋体" w:hAnsi="宋体" w:cs="宋体"/>
          <w:kern w:val="0"/>
          <w:sz w:val="28"/>
          <w:szCs w:val="28"/>
        </w:rPr>
      </w:pPr>
      <w:r>
        <w:rPr>
          <w:rFonts w:hint="eastAsia" w:ascii="宋体" w:hAnsi="宋体" w:cs="宋体"/>
          <w:kern w:val="0"/>
          <w:sz w:val="28"/>
          <w:szCs w:val="28"/>
        </w:rPr>
        <w:t>单位名称：</w:t>
      </w:r>
      <w:r>
        <w:rPr>
          <w:rFonts w:hint="eastAsia" w:ascii="宋体" w:hAnsi="宋体" w:cs="宋体"/>
          <w:kern w:val="0"/>
          <w:sz w:val="28"/>
          <w:szCs w:val="28"/>
          <w:u w:val="single"/>
        </w:rPr>
        <w:t xml:space="preserve">                                                    </w:t>
      </w:r>
    </w:p>
    <w:p>
      <w:pPr>
        <w:autoSpaceDE w:val="0"/>
        <w:adjustRightInd w:val="0"/>
        <w:snapToGrid w:val="0"/>
        <w:spacing w:line="312" w:lineRule="auto"/>
        <w:jc w:val="left"/>
        <w:rPr>
          <w:rFonts w:ascii="宋体" w:hAnsi="宋体" w:cs="宋体"/>
          <w:kern w:val="0"/>
          <w:sz w:val="28"/>
          <w:szCs w:val="28"/>
          <w:u w:val="single"/>
        </w:rPr>
      </w:pPr>
      <w:r>
        <w:rPr>
          <w:rFonts w:hint="eastAsia" w:ascii="宋体" w:hAnsi="宋体" w:cs="宋体"/>
          <w:kern w:val="0"/>
          <w:sz w:val="28"/>
          <w:szCs w:val="28"/>
        </w:rPr>
        <w:t>联系人：</w:t>
      </w:r>
      <w:r>
        <w:rPr>
          <w:rFonts w:hint="eastAsia" w:ascii="宋体" w:hAnsi="宋体" w:cs="宋体"/>
          <w:kern w:val="0"/>
          <w:sz w:val="28"/>
          <w:szCs w:val="28"/>
          <w:u w:val="single"/>
        </w:rPr>
        <w:t xml:space="preserve">                          </w:t>
      </w:r>
      <w:r>
        <w:rPr>
          <w:rFonts w:hint="eastAsia" w:ascii="宋体" w:hAnsi="宋体" w:cs="宋体"/>
          <w:kern w:val="0"/>
          <w:sz w:val="28"/>
          <w:szCs w:val="28"/>
        </w:rPr>
        <w:t>电话：</w:t>
      </w:r>
      <w:r>
        <w:rPr>
          <w:rFonts w:hint="eastAsia" w:ascii="宋体" w:hAnsi="宋体" w:cs="宋体"/>
          <w:kern w:val="0"/>
          <w:sz w:val="28"/>
          <w:szCs w:val="28"/>
          <w:u w:val="single"/>
        </w:rPr>
        <w:t xml:space="preserve">                      </w:t>
      </w:r>
    </w:p>
    <w:p>
      <w:pPr>
        <w:autoSpaceDE w:val="0"/>
        <w:adjustRightInd w:val="0"/>
        <w:snapToGrid w:val="0"/>
        <w:spacing w:line="312" w:lineRule="auto"/>
        <w:jc w:val="left"/>
        <w:rPr>
          <w:rFonts w:ascii="宋体" w:hAnsi="宋体" w:cs="宋体"/>
          <w:kern w:val="0"/>
          <w:sz w:val="28"/>
          <w:szCs w:val="28"/>
          <w:u w:val="single"/>
        </w:rPr>
      </w:pPr>
      <w:r>
        <w:rPr>
          <w:rFonts w:hint="eastAsia" w:ascii="宋体" w:hAnsi="宋体" w:cs="宋体"/>
          <w:kern w:val="0"/>
          <w:sz w:val="28"/>
          <w:szCs w:val="28"/>
        </w:rPr>
        <w:t>手机：</w:t>
      </w:r>
      <w:r>
        <w:rPr>
          <w:rFonts w:hint="eastAsia" w:ascii="宋体" w:hAnsi="宋体" w:cs="宋体"/>
          <w:kern w:val="0"/>
          <w:sz w:val="28"/>
          <w:szCs w:val="28"/>
          <w:u w:val="single"/>
        </w:rPr>
        <w:t xml:space="preserve">                            </w:t>
      </w:r>
      <w:r>
        <w:rPr>
          <w:rFonts w:hint="eastAsia" w:ascii="宋体" w:hAnsi="宋体" w:cs="宋体"/>
          <w:kern w:val="0"/>
          <w:sz w:val="28"/>
          <w:szCs w:val="28"/>
        </w:rPr>
        <w:t>传真：</w:t>
      </w:r>
      <w:r>
        <w:rPr>
          <w:rFonts w:hint="eastAsia" w:ascii="宋体" w:hAnsi="宋体" w:cs="宋体"/>
          <w:kern w:val="0"/>
          <w:sz w:val="28"/>
          <w:szCs w:val="28"/>
          <w:u w:val="single"/>
        </w:rPr>
        <w:t xml:space="preserve">                       </w:t>
      </w:r>
    </w:p>
    <w:p>
      <w:pPr>
        <w:autoSpaceDE w:val="0"/>
        <w:adjustRightInd w:val="0"/>
        <w:snapToGrid w:val="0"/>
        <w:spacing w:line="312" w:lineRule="auto"/>
        <w:rPr>
          <w:rFonts w:ascii="宋体" w:hAnsi="宋体" w:cs="宋体"/>
          <w:kern w:val="0"/>
          <w:sz w:val="28"/>
          <w:szCs w:val="28"/>
        </w:rPr>
      </w:pPr>
    </w:p>
    <w:p>
      <w:pPr>
        <w:autoSpaceDE w:val="0"/>
        <w:adjustRightInd w:val="0"/>
        <w:snapToGrid w:val="0"/>
        <w:spacing w:line="312" w:lineRule="auto"/>
        <w:ind w:firstLine="5040" w:firstLineChars="1800"/>
        <w:rPr>
          <w:rFonts w:ascii="宋体" w:hAnsi="宋体" w:cs="宋体"/>
          <w:kern w:val="0"/>
          <w:sz w:val="28"/>
          <w:szCs w:val="28"/>
        </w:rPr>
      </w:pPr>
    </w:p>
    <w:p>
      <w:pPr>
        <w:widowControl/>
        <w:snapToGrid w:val="0"/>
        <w:spacing w:line="312" w:lineRule="auto"/>
        <w:jc w:val="center"/>
        <w:rPr>
          <w:rFonts w:ascii="宋体" w:hAnsi="宋体" w:cs="宋体"/>
          <w:kern w:val="0"/>
          <w:sz w:val="28"/>
          <w:szCs w:val="28"/>
        </w:rPr>
      </w:pPr>
      <w:r>
        <w:rPr>
          <w:rFonts w:hint="eastAsia" w:ascii="宋体" w:hAnsi="宋体" w:cs="宋体"/>
          <w:kern w:val="0"/>
          <w:sz w:val="28"/>
          <w:szCs w:val="28"/>
        </w:rPr>
        <w:t xml:space="preserve">            全权代表(签字)：</w:t>
      </w:r>
    </w:p>
    <w:p>
      <w:pPr>
        <w:widowControl/>
        <w:snapToGrid w:val="0"/>
        <w:spacing w:line="312" w:lineRule="auto"/>
        <w:ind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12" w:lineRule="auto"/>
        <w:ind w:firstLine="4480" w:firstLineChars="1600"/>
        <w:rPr>
          <w:rFonts w:ascii="宋体" w:hAnsi="宋体" w:cs="宋体"/>
          <w:sz w:val="28"/>
          <w:szCs w:val="28"/>
        </w:rPr>
      </w:pPr>
      <w:r>
        <w:rPr>
          <w:rFonts w:hint="eastAsia" w:ascii="宋体" w:hAnsi="宋体" w:cs="宋体"/>
          <w:kern w:val="0"/>
          <w:sz w:val="28"/>
          <w:szCs w:val="28"/>
        </w:rPr>
        <w:t>日期：  年 月  日</w:t>
      </w:r>
    </w:p>
    <w:p>
      <w:pPr>
        <w:pStyle w:val="36"/>
        <w:ind w:firstLine="480"/>
        <w:rPr>
          <w:rFonts w:ascii="宋体" w:hAnsi="宋体" w:cs="宋体"/>
        </w:rPr>
      </w:pPr>
    </w:p>
    <w:p>
      <w:pPr>
        <w:pStyle w:val="36"/>
        <w:ind w:firstLine="480"/>
        <w:rPr>
          <w:rFonts w:ascii="宋体" w:hAnsi="宋体" w:cs="宋体"/>
        </w:rPr>
      </w:pPr>
    </w:p>
    <w:p>
      <w:pPr>
        <w:rPr>
          <w:rFonts w:ascii="宋体" w:hAnsi="宋体" w:cs="宋体"/>
          <w:sz w:val="36"/>
          <w:szCs w:val="36"/>
        </w:rPr>
      </w:pPr>
      <w:r>
        <w:rPr>
          <w:rFonts w:hint="eastAsia" w:ascii="宋体" w:hAnsi="宋体" w:cs="宋体"/>
          <w:sz w:val="30"/>
          <w:szCs w:val="30"/>
        </w:rPr>
        <w:t>附件二</w:t>
      </w:r>
      <w:r>
        <w:rPr>
          <w:rFonts w:hint="eastAsia" w:ascii="宋体" w:hAnsi="宋体" w:cs="宋体"/>
          <w:sz w:val="36"/>
          <w:szCs w:val="36"/>
        </w:rPr>
        <w:t xml:space="preserve">         </w:t>
      </w:r>
    </w:p>
    <w:p>
      <w:pPr>
        <w:jc w:val="center"/>
        <w:rPr>
          <w:rFonts w:ascii="宋体" w:hAnsi="宋体" w:cs="宋体"/>
          <w:b/>
          <w:sz w:val="36"/>
          <w:szCs w:val="36"/>
        </w:rPr>
      </w:pPr>
      <w:r>
        <w:rPr>
          <w:rFonts w:hint="eastAsia" w:ascii="宋体" w:hAnsi="宋体" w:cs="宋体"/>
          <w:b/>
          <w:sz w:val="36"/>
          <w:szCs w:val="36"/>
        </w:rPr>
        <w:t>（1）开标一览表</w:t>
      </w:r>
    </w:p>
    <w:p>
      <w:pPr>
        <w:jc w:val="left"/>
        <w:rPr>
          <w:rFonts w:ascii="宋体" w:hAnsi="宋体" w:cs="宋体"/>
          <w:b/>
          <w:spacing w:val="-20"/>
          <w:kern w:val="30"/>
          <w:sz w:val="30"/>
          <w:szCs w:val="30"/>
        </w:rPr>
      </w:pPr>
      <w:r>
        <w:rPr>
          <w:rFonts w:hint="eastAsia" w:ascii="宋体" w:hAnsi="宋体" w:cs="宋体"/>
          <w:b/>
          <w:spacing w:val="-20"/>
          <w:kern w:val="30"/>
          <w:sz w:val="30"/>
          <w:szCs w:val="30"/>
        </w:rPr>
        <w:t>招标编号：JDYH2021-</w:t>
      </w:r>
      <w:r>
        <w:rPr>
          <w:rFonts w:hint="eastAsia" w:ascii="宋体" w:hAnsi="宋体" w:cs="宋体"/>
          <w:b/>
          <w:sz w:val="30"/>
          <w:szCs w:val="30"/>
        </w:rPr>
        <w:t xml:space="preserve">       </w:t>
      </w:r>
    </w:p>
    <w:tbl>
      <w:tblPr>
        <w:tblStyle w:val="38"/>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725"/>
        <w:gridCol w:w="3349"/>
        <w:gridCol w:w="750"/>
        <w:gridCol w:w="75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22" w:type="dxa"/>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2725" w:type="dxa"/>
            <w:vAlign w:val="center"/>
          </w:tcPr>
          <w:p>
            <w:pPr>
              <w:jc w:val="center"/>
              <w:rPr>
                <w:rFonts w:ascii="宋体" w:hAnsi="宋体" w:cs="宋体"/>
                <w:b/>
                <w:bCs/>
                <w:sz w:val="24"/>
                <w:szCs w:val="24"/>
              </w:rPr>
            </w:pPr>
            <w:r>
              <w:rPr>
                <w:rFonts w:hint="eastAsia" w:ascii="宋体" w:hAnsi="宋体" w:cs="宋体"/>
                <w:b/>
                <w:bCs/>
                <w:sz w:val="24"/>
                <w:szCs w:val="24"/>
              </w:rPr>
              <w:t>项目名称</w:t>
            </w:r>
          </w:p>
        </w:tc>
        <w:tc>
          <w:tcPr>
            <w:tcW w:w="3349" w:type="dxa"/>
            <w:vAlign w:val="center"/>
          </w:tcPr>
          <w:p>
            <w:pPr>
              <w:jc w:val="center"/>
              <w:rPr>
                <w:rFonts w:ascii="宋体" w:hAnsi="宋体" w:cs="宋体"/>
                <w:b/>
                <w:bCs/>
                <w:sz w:val="24"/>
                <w:szCs w:val="24"/>
              </w:rPr>
            </w:pPr>
            <w:r>
              <w:rPr>
                <w:rFonts w:hint="eastAsia" w:ascii="宋体" w:hAnsi="宋体" w:cs="宋体"/>
                <w:b/>
                <w:bCs/>
                <w:sz w:val="24"/>
                <w:szCs w:val="24"/>
              </w:rPr>
              <w:t>主要技术参数要求</w:t>
            </w:r>
          </w:p>
        </w:tc>
        <w:tc>
          <w:tcPr>
            <w:tcW w:w="750" w:type="dxa"/>
            <w:vAlign w:val="center"/>
          </w:tcPr>
          <w:p>
            <w:pPr>
              <w:jc w:val="center"/>
              <w:rPr>
                <w:rFonts w:ascii="宋体" w:hAnsi="宋体" w:cs="宋体"/>
                <w:b/>
                <w:bCs/>
                <w:sz w:val="24"/>
                <w:szCs w:val="24"/>
              </w:rPr>
            </w:pPr>
            <w:r>
              <w:rPr>
                <w:rFonts w:hint="eastAsia" w:ascii="宋体" w:hAnsi="宋体" w:cs="宋体"/>
                <w:b/>
                <w:bCs/>
                <w:sz w:val="24"/>
                <w:szCs w:val="24"/>
              </w:rPr>
              <w:t>单位</w:t>
            </w:r>
          </w:p>
        </w:tc>
        <w:tc>
          <w:tcPr>
            <w:tcW w:w="750" w:type="dxa"/>
            <w:vAlign w:val="center"/>
          </w:tcPr>
          <w:p>
            <w:pPr>
              <w:jc w:val="center"/>
              <w:rPr>
                <w:rFonts w:ascii="宋体" w:hAnsi="宋体" w:cs="宋体"/>
                <w:b/>
                <w:bCs/>
                <w:sz w:val="24"/>
                <w:szCs w:val="24"/>
              </w:rPr>
            </w:pPr>
            <w:r>
              <w:rPr>
                <w:rFonts w:hint="eastAsia" w:ascii="宋体" w:hAnsi="宋体" w:cs="宋体"/>
                <w:b/>
                <w:bCs/>
                <w:sz w:val="24"/>
                <w:szCs w:val="24"/>
              </w:rPr>
              <w:t>数</w:t>
            </w:r>
          </w:p>
          <w:p>
            <w:pPr>
              <w:jc w:val="center"/>
              <w:rPr>
                <w:rFonts w:ascii="宋体" w:hAnsi="宋体" w:cs="宋体"/>
                <w:b/>
                <w:bCs/>
                <w:sz w:val="24"/>
                <w:szCs w:val="24"/>
              </w:rPr>
            </w:pPr>
            <w:r>
              <w:rPr>
                <w:rFonts w:hint="eastAsia" w:ascii="宋体" w:hAnsi="宋体" w:cs="宋体"/>
                <w:b/>
                <w:bCs/>
                <w:sz w:val="24"/>
                <w:szCs w:val="24"/>
              </w:rPr>
              <w:t>量</w:t>
            </w:r>
          </w:p>
        </w:tc>
        <w:tc>
          <w:tcPr>
            <w:tcW w:w="1531" w:type="dxa"/>
            <w:vAlign w:val="center"/>
          </w:tcPr>
          <w:p>
            <w:pPr>
              <w:jc w:val="center"/>
              <w:rPr>
                <w:rFonts w:ascii="宋体" w:hAnsi="宋体" w:cs="宋体"/>
                <w:b/>
                <w:bCs/>
                <w:sz w:val="24"/>
                <w:szCs w:val="24"/>
              </w:rPr>
            </w:pPr>
            <w:r>
              <w:rPr>
                <w:rFonts w:hint="eastAsia" w:ascii="宋体" w:hAnsi="宋体" w:cs="宋体"/>
                <w:b/>
                <w:bCs/>
                <w:sz w:val="24"/>
                <w:szCs w:val="24"/>
              </w:rPr>
              <w:t>预算总价</w:t>
            </w:r>
            <w:r>
              <w:rPr>
                <w:rFonts w:hint="eastAsia" w:ascii="宋体" w:hAnsi="宋体" w:cs="宋体"/>
                <w:b/>
                <w:bCs/>
                <w:sz w:val="24"/>
                <w:szCs w:val="24"/>
              </w:rPr>
              <w:br w:type="textWrapping"/>
            </w:r>
            <w:r>
              <w:rPr>
                <w:rFonts w:hint="eastAsia" w:ascii="宋体" w:hAnsi="宋体" w:cs="宋体"/>
                <w:b/>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exact"/>
          <w:jc w:val="center"/>
        </w:trPr>
        <w:tc>
          <w:tcPr>
            <w:tcW w:w="822" w:type="dxa"/>
            <w:vAlign w:val="center"/>
          </w:tcPr>
          <w:p>
            <w:pPr>
              <w:jc w:val="center"/>
              <w:rPr>
                <w:rFonts w:ascii="宋体" w:hAnsi="宋体" w:cs="宋体"/>
                <w:sz w:val="24"/>
                <w:szCs w:val="24"/>
              </w:rPr>
            </w:pPr>
            <w:r>
              <w:rPr>
                <w:rFonts w:hint="eastAsia" w:ascii="宋体" w:hAnsi="宋体" w:cs="宋体"/>
                <w:sz w:val="24"/>
                <w:szCs w:val="24"/>
              </w:rPr>
              <w:t>1</w:t>
            </w:r>
          </w:p>
        </w:tc>
        <w:tc>
          <w:tcPr>
            <w:tcW w:w="2725"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新安江第二小学多媒体影像设备采购</w:t>
            </w:r>
          </w:p>
        </w:tc>
        <w:tc>
          <w:tcPr>
            <w:tcW w:w="3349" w:type="dxa"/>
            <w:vAlign w:val="center"/>
          </w:tcPr>
          <w:p>
            <w:pPr>
              <w:jc w:val="center"/>
              <w:rPr>
                <w:rFonts w:ascii="宋体" w:hAnsi="宋体" w:cs="宋体"/>
                <w:sz w:val="24"/>
                <w:szCs w:val="24"/>
              </w:rPr>
            </w:pPr>
            <w:r>
              <w:rPr>
                <w:rFonts w:hint="eastAsia" w:ascii="宋体" w:hAnsi="宋体" w:cs="宋体"/>
                <w:sz w:val="24"/>
                <w:szCs w:val="24"/>
              </w:rPr>
              <w:t>详见本章“二、采购需求清单”</w:t>
            </w:r>
          </w:p>
        </w:tc>
        <w:tc>
          <w:tcPr>
            <w:tcW w:w="750" w:type="dxa"/>
            <w:vAlign w:val="center"/>
          </w:tcPr>
          <w:p>
            <w:pPr>
              <w:jc w:val="center"/>
              <w:rPr>
                <w:rFonts w:ascii="宋体" w:hAnsi="宋体" w:cs="宋体"/>
                <w:sz w:val="24"/>
                <w:szCs w:val="24"/>
              </w:rPr>
            </w:pPr>
            <w:r>
              <w:rPr>
                <w:rFonts w:hint="eastAsia" w:ascii="宋体" w:hAnsi="宋体" w:cs="宋体"/>
                <w:sz w:val="24"/>
                <w:szCs w:val="24"/>
              </w:rPr>
              <w:t>项</w:t>
            </w:r>
          </w:p>
        </w:tc>
        <w:tc>
          <w:tcPr>
            <w:tcW w:w="750" w:type="dxa"/>
            <w:vAlign w:val="center"/>
          </w:tcPr>
          <w:p>
            <w:pPr>
              <w:jc w:val="center"/>
              <w:rPr>
                <w:rFonts w:ascii="宋体" w:hAnsi="宋体" w:cs="宋体"/>
                <w:sz w:val="24"/>
                <w:szCs w:val="24"/>
              </w:rPr>
            </w:pPr>
            <w:r>
              <w:rPr>
                <w:rFonts w:hint="eastAsia" w:ascii="宋体" w:hAnsi="宋体" w:cs="宋体"/>
                <w:sz w:val="24"/>
                <w:szCs w:val="24"/>
              </w:rPr>
              <w:t>1</w:t>
            </w:r>
          </w:p>
        </w:tc>
        <w:tc>
          <w:tcPr>
            <w:tcW w:w="1531" w:type="dxa"/>
            <w:vAlign w:val="center"/>
          </w:tcPr>
          <w:p>
            <w:pPr>
              <w:jc w:val="center"/>
              <w:rPr>
                <w:rFonts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927" w:type="dxa"/>
            <w:gridSpan w:val="6"/>
            <w:vAlign w:val="center"/>
          </w:tcPr>
          <w:p>
            <w:pPr>
              <w:ind w:firstLine="1205" w:firstLineChars="500"/>
              <w:rPr>
                <w:rFonts w:ascii="宋体" w:hAnsi="宋体" w:cs="宋体"/>
                <w:sz w:val="24"/>
                <w:szCs w:val="24"/>
              </w:rPr>
            </w:pPr>
            <w:r>
              <w:rPr>
                <w:rFonts w:hint="eastAsia" w:ascii="宋体" w:hAnsi="宋体" w:cs="宋体"/>
                <w:b/>
                <w:bCs/>
                <w:sz w:val="24"/>
                <w:szCs w:val="22"/>
                <w:u w:val="single"/>
              </w:rPr>
              <w:t>预算总价：人民币（大写）</w:t>
            </w:r>
            <w:r>
              <w:rPr>
                <w:rFonts w:hint="eastAsia" w:ascii="宋体" w:hAnsi="宋体" w:cs="宋体"/>
                <w:b/>
                <w:bCs/>
                <w:sz w:val="24"/>
                <w:szCs w:val="22"/>
                <w:u w:val="single"/>
              </w:rPr>
              <w:fldChar w:fldCharType="begin"/>
            </w:r>
            <w:r>
              <w:rPr>
                <w:rFonts w:hint="eastAsia" w:ascii="宋体" w:hAnsi="宋体" w:cs="宋体"/>
                <w:b/>
                <w:bCs/>
                <w:sz w:val="24"/>
                <w:szCs w:val="22"/>
                <w:u w:val="single"/>
              </w:rPr>
              <w:instrText xml:space="preserve"> = 600000 \* CHINESENUM4 \* MERGEFORMAT </w:instrText>
            </w:r>
            <w:r>
              <w:rPr>
                <w:rFonts w:hint="eastAsia" w:ascii="宋体" w:hAnsi="宋体" w:cs="宋体"/>
                <w:b/>
                <w:bCs/>
                <w:sz w:val="24"/>
                <w:szCs w:val="22"/>
                <w:u w:val="single"/>
              </w:rPr>
              <w:fldChar w:fldCharType="separate"/>
            </w:r>
            <w:r>
              <w:rPr>
                <w:rFonts w:hint="eastAsia" w:ascii="宋体" w:hAnsi="宋体" w:cs="宋体"/>
                <w:b/>
                <w:bCs/>
                <w:sz w:val="24"/>
                <w:szCs w:val="22"/>
                <w:u w:val="single"/>
              </w:rPr>
              <w:t xml:space="preserve">               元整</w:t>
            </w:r>
            <w:r>
              <w:rPr>
                <w:rFonts w:hint="eastAsia" w:ascii="宋体" w:hAnsi="宋体" w:cs="宋体"/>
                <w:b/>
                <w:bCs/>
                <w:sz w:val="24"/>
                <w:szCs w:val="22"/>
                <w:u w:val="single"/>
              </w:rPr>
              <w:fldChar w:fldCharType="end"/>
            </w:r>
            <w:r>
              <w:rPr>
                <w:rFonts w:hint="eastAsia" w:ascii="宋体" w:hAnsi="宋体" w:cs="宋体"/>
                <w:b/>
                <w:bCs/>
                <w:sz w:val="24"/>
                <w:szCs w:val="22"/>
                <w:u w:val="single"/>
              </w:rPr>
              <w:t>（￥    ）</w:t>
            </w:r>
          </w:p>
        </w:tc>
      </w:tr>
    </w:tbl>
    <w:p>
      <w:pPr>
        <w:tabs>
          <w:tab w:val="left" w:pos="9180"/>
        </w:tabs>
        <w:snapToGrid w:val="0"/>
        <w:spacing w:line="440" w:lineRule="exact"/>
        <w:rPr>
          <w:rFonts w:ascii="宋体" w:hAnsi="宋体" w:cs="宋体"/>
          <w:b/>
          <w:sz w:val="28"/>
          <w:szCs w:val="28"/>
        </w:rPr>
      </w:pPr>
    </w:p>
    <w:p>
      <w:pPr>
        <w:tabs>
          <w:tab w:val="left" w:pos="9180"/>
        </w:tabs>
        <w:snapToGrid w:val="0"/>
        <w:spacing w:line="440" w:lineRule="exact"/>
        <w:ind w:firstLine="562" w:firstLineChars="200"/>
        <w:rPr>
          <w:rFonts w:ascii="宋体" w:hAnsi="宋体" w:cs="宋体"/>
          <w:b/>
          <w:sz w:val="28"/>
          <w:szCs w:val="28"/>
        </w:rPr>
      </w:pPr>
    </w:p>
    <w:p>
      <w:pPr>
        <w:tabs>
          <w:tab w:val="left" w:pos="9180"/>
        </w:tabs>
        <w:snapToGrid w:val="0"/>
        <w:spacing w:line="440" w:lineRule="exact"/>
        <w:ind w:firstLine="562" w:firstLineChars="200"/>
        <w:rPr>
          <w:rFonts w:ascii="宋体" w:hAnsi="宋体" w:cs="宋体"/>
          <w:sz w:val="28"/>
          <w:szCs w:val="28"/>
        </w:rPr>
      </w:pPr>
      <w:r>
        <w:rPr>
          <w:rFonts w:hint="eastAsia" w:ascii="宋体" w:hAnsi="宋体" w:cs="宋体"/>
          <w:b/>
          <w:sz w:val="28"/>
          <w:szCs w:val="28"/>
        </w:rPr>
        <w:t xml:space="preserve">备注：1. </w:t>
      </w:r>
      <w:r>
        <w:rPr>
          <w:rFonts w:hint="eastAsia" w:ascii="宋体" w:hAnsi="宋体" w:cs="宋体"/>
          <w:sz w:val="28"/>
          <w:szCs w:val="28"/>
        </w:rPr>
        <w:t>投标总价包含供货、运输、安装、调试、辅材、附件、备品备件、验收、税金、售后服务及辅助工作等完成本项目的所有费用，为交钥匙工程价格。须提供所有产品设备的价格清单。</w:t>
      </w:r>
    </w:p>
    <w:p>
      <w:pPr>
        <w:tabs>
          <w:tab w:val="left" w:pos="9180"/>
        </w:tabs>
        <w:snapToGrid w:val="0"/>
        <w:spacing w:line="440" w:lineRule="exact"/>
        <w:ind w:firstLine="562" w:firstLineChars="200"/>
        <w:rPr>
          <w:rFonts w:ascii="宋体" w:hAnsi="宋体" w:cs="宋体"/>
          <w:sz w:val="28"/>
          <w:szCs w:val="28"/>
        </w:rPr>
      </w:pPr>
      <w:r>
        <w:rPr>
          <w:rFonts w:hint="eastAsia" w:ascii="宋体" w:hAnsi="宋体" w:cs="宋体"/>
          <w:b/>
          <w:sz w:val="28"/>
          <w:szCs w:val="28"/>
        </w:rPr>
        <w:t xml:space="preserve">2. </w:t>
      </w:r>
      <w:r>
        <w:rPr>
          <w:rFonts w:hint="eastAsia" w:ascii="宋体" w:hAnsi="宋体" w:cs="宋体"/>
          <w:sz w:val="28"/>
          <w:szCs w:val="28"/>
        </w:rPr>
        <w:t xml:space="preserve">此表在不改变表式的情况下，可自行制作，必须加盖公章。          </w:t>
      </w:r>
    </w:p>
    <w:p>
      <w:pPr>
        <w:snapToGrid w:val="0"/>
        <w:spacing w:line="440" w:lineRule="exact"/>
        <w:ind w:firstLine="562" w:firstLineChars="200"/>
        <w:rPr>
          <w:rFonts w:ascii="宋体" w:hAnsi="宋体" w:cs="宋体"/>
          <w:b/>
          <w:sz w:val="28"/>
          <w:szCs w:val="28"/>
        </w:rPr>
      </w:pPr>
      <w:r>
        <w:rPr>
          <w:rFonts w:hint="eastAsia" w:ascii="宋体" w:hAnsi="宋体" w:cs="宋体"/>
          <w:b/>
          <w:sz w:val="28"/>
          <w:szCs w:val="28"/>
        </w:rPr>
        <w:t xml:space="preserve">3. </w:t>
      </w:r>
      <w:r>
        <w:rPr>
          <w:rFonts w:hint="eastAsia" w:ascii="宋体" w:hAnsi="宋体" w:cs="宋体"/>
          <w:sz w:val="28"/>
          <w:szCs w:val="28"/>
        </w:rPr>
        <w:t>投标人不能拆分标项内容投标。</w:t>
      </w:r>
    </w:p>
    <w:p>
      <w:pPr>
        <w:spacing w:line="440" w:lineRule="exact"/>
        <w:jc w:val="left"/>
        <w:rPr>
          <w:rStyle w:val="105"/>
          <w:rFonts w:ascii="宋体" w:hAnsi="宋体" w:cs="宋体"/>
          <w:sz w:val="28"/>
          <w:szCs w:val="28"/>
        </w:rPr>
      </w:pPr>
      <w:r>
        <w:rPr>
          <w:rFonts w:hint="eastAsia" w:ascii="宋体" w:hAnsi="宋体" w:cs="宋体"/>
          <w:b/>
          <w:sz w:val="28"/>
          <w:szCs w:val="28"/>
        </w:rPr>
        <w:t xml:space="preserve">    4. </w:t>
      </w:r>
      <w:r>
        <w:rPr>
          <w:rFonts w:hint="eastAsia" w:ascii="宋体" w:hAnsi="宋体" w:cs="宋体"/>
          <w:b/>
          <w:sz w:val="28"/>
          <w:szCs w:val="28"/>
          <w:u w:val="single"/>
        </w:rPr>
        <w:t>特别提醒：本表的商务报价内容不能出现在资格后审文件、商务技术文件、资信文件正副本中。</w:t>
      </w:r>
    </w:p>
    <w:p>
      <w:pPr>
        <w:snapToGrid w:val="0"/>
        <w:ind w:firstLine="543" w:firstLineChars="196"/>
        <w:jc w:val="left"/>
        <w:rPr>
          <w:rStyle w:val="105"/>
          <w:rFonts w:ascii="宋体" w:hAnsi="宋体" w:cs="宋体"/>
          <w:sz w:val="28"/>
          <w:szCs w:val="28"/>
        </w:rPr>
      </w:pPr>
    </w:p>
    <w:p>
      <w:pPr>
        <w:widowControl/>
        <w:snapToGrid w:val="0"/>
        <w:jc w:val="center"/>
        <w:rPr>
          <w:rFonts w:ascii="宋体" w:hAnsi="宋体" w:cs="宋体"/>
          <w:b/>
          <w:kern w:val="0"/>
          <w:sz w:val="28"/>
          <w:szCs w:val="28"/>
        </w:rPr>
      </w:pPr>
    </w:p>
    <w:p>
      <w:pPr>
        <w:widowControl/>
        <w:snapToGrid w:val="0"/>
        <w:spacing w:line="312" w:lineRule="auto"/>
        <w:jc w:val="center"/>
        <w:rPr>
          <w:rFonts w:ascii="宋体" w:hAnsi="宋体" w:cs="宋体"/>
          <w:kern w:val="0"/>
          <w:sz w:val="28"/>
          <w:szCs w:val="28"/>
        </w:rPr>
      </w:pPr>
      <w:r>
        <w:rPr>
          <w:rFonts w:hint="eastAsia" w:ascii="宋体" w:hAnsi="宋体" w:cs="宋体"/>
          <w:kern w:val="0"/>
          <w:sz w:val="28"/>
          <w:szCs w:val="28"/>
        </w:rPr>
        <w:t xml:space="preserve">             全权代表(签字)：</w:t>
      </w:r>
    </w:p>
    <w:p>
      <w:pPr>
        <w:widowControl/>
        <w:snapToGrid w:val="0"/>
        <w:spacing w:line="312" w:lineRule="auto"/>
        <w:ind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12" w:lineRule="auto"/>
        <w:ind w:firstLine="4480" w:firstLineChars="1600"/>
        <w:rPr>
          <w:rFonts w:ascii="宋体" w:hAnsi="宋体" w:cs="宋体"/>
          <w:kern w:val="0"/>
          <w:sz w:val="28"/>
          <w:szCs w:val="28"/>
        </w:rPr>
      </w:pPr>
      <w:r>
        <w:rPr>
          <w:rFonts w:hint="eastAsia" w:ascii="宋体" w:hAnsi="宋体" w:cs="宋体"/>
          <w:kern w:val="0"/>
          <w:sz w:val="28"/>
          <w:szCs w:val="28"/>
        </w:rPr>
        <w:t>日期：  年 月  日</w:t>
      </w:r>
    </w:p>
    <w:p>
      <w:pPr>
        <w:spacing w:line="480" w:lineRule="auto"/>
        <w:jc w:val="left"/>
        <w:rPr>
          <w:rStyle w:val="105"/>
          <w:rFonts w:ascii="宋体" w:hAnsi="宋体" w:cs="宋体"/>
          <w:sz w:val="28"/>
          <w:szCs w:val="28"/>
        </w:rPr>
      </w:pPr>
    </w:p>
    <w:p>
      <w:pPr>
        <w:pStyle w:val="36"/>
        <w:ind w:firstLine="554"/>
        <w:rPr>
          <w:rStyle w:val="105"/>
          <w:rFonts w:ascii="宋体" w:hAnsi="宋体" w:cs="宋体"/>
          <w:sz w:val="28"/>
          <w:szCs w:val="28"/>
        </w:rPr>
      </w:pPr>
    </w:p>
    <w:p>
      <w:pPr>
        <w:pStyle w:val="36"/>
        <w:ind w:firstLine="554"/>
        <w:rPr>
          <w:rStyle w:val="105"/>
          <w:rFonts w:ascii="宋体" w:hAnsi="宋体" w:cs="宋体"/>
          <w:sz w:val="28"/>
          <w:szCs w:val="28"/>
        </w:rPr>
      </w:pPr>
    </w:p>
    <w:p>
      <w:pPr>
        <w:pStyle w:val="36"/>
        <w:ind w:firstLine="554"/>
        <w:rPr>
          <w:rStyle w:val="105"/>
          <w:rFonts w:ascii="宋体" w:hAnsi="宋体" w:cs="宋体"/>
          <w:sz w:val="28"/>
          <w:szCs w:val="28"/>
        </w:rPr>
      </w:pPr>
    </w:p>
    <w:p>
      <w:pPr>
        <w:pStyle w:val="36"/>
        <w:ind w:firstLine="554"/>
        <w:rPr>
          <w:rStyle w:val="105"/>
          <w:rFonts w:ascii="宋体" w:hAnsi="宋体" w:cs="宋体"/>
          <w:sz w:val="28"/>
          <w:szCs w:val="28"/>
        </w:rPr>
      </w:pPr>
    </w:p>
    <w:p>
      <w:pPr>
        <w:pStyle w:val="36"/>
        <w:ind w:firstLine="0" w:firstLineChars="0"/>
        <w:rPr>
          <w:rStyle w:val="105"/>
          <w:rFonts w:ascii="宋体" w:hAnsi="宋体" w:cs="宋体"/>
          <w:sz w:val="28"/>
          <w:szCs w:val="28"/>
        </w:rPr>
      </w:pPr>
    </w:p>
    <w:p>
      <w:pPr>
        <w:widowControl/>
        <w:rPr>
          <w:rFonts w:ascii="宋体" w:hAnsi="宋体" w:cs="宋体"/>
          <w:b/>
          <w:bCs/>
          <w:sz w:val="36"/>
          <w:szCs w:val="36"/>
        </w:rPr>
      </w:pPr>
      <w:r>
        <w:rPr>
          <w:rFonts w:hint="eastAsia" w:ascii="宋体" w:hAnsi="宋体" w:cs="宋体"/>
          <w:sz w:val="30"/>
          <w:szCs w:val="30"/>
        </w:rPr>
        <w:t>附件二</w:t>
      </w:r>
      <w:r>
        <w:rPr>
          <w:rFonts w:hint="eastAsia" w:ascii="宋体" w:hAnsi="宋体" w:cs="宋体"/>
          <w:b/>
          <w:bCs/>
          <w:sz w:val="30"/>
          <w:szCs w:val="30"/>
        </w:rPr>
        <w:t xml:space="preserve">  </w:t>
      </w:r>
      <w:r>
        <w:rPr>
          <w:rFonts w:hint="eastAsia" w:ascii="宋体" w:hAnsi="宋体" w:cs="宋体"/>
          <w:b/>
          <w:bCs/>
          <w:sz w:val="36"/>
          <w:szCs w:val="36"/>
        </w:rPr>
        <w:t xml:space="preserve">       </w:t>
      </w:r>
    </w:p>
    <w:p>
      <w:pPr>
        <w:widowControl/>
        <w:jc w:val="center"/>
        <w:rPr>
          <w:rFonts w:ascii="宋体" w:hAnsi="宋体" w:cs="宋体"/>
          <w:sz w:val="24"/>
        </w:rPr>
      </w:pPr>
      <w:r>
        <w:rPr>
          <w:rFonts w:hint="eastAsia" w:ascii="宋体" w:hAnsi="宋体" w:cs="宋体"/>
          <w:b/>
          <w:bCs/>
          <w:sz w:val="36"/>
          <w:szCs w:val="36"/>
        </w:rPr>
        <w:t>（2）投标报价明细表</w:t>
      </w:r>
    </w:p>
    <w:p>
      <w:pPr>
        <w:spacing w:line="280" w:lineRule="exact"/>
        <w:rPr>
          <w:rFonts w:ascii="宋体" w:hAnsi="宋体" w:cs="宋体"/>
          <w:b/>
          <w:sz w:val="24"/>
          <w:szCs w:val="24"/>
        </w:rPr>
      </w:pPr>
      <w:r>
        <w:rPr>
          <w:rFonts w:hint="eastAsia" w:ascii="宋体" w:hAnsi="宋体" w:cs="宋体"/>
          <w:b/>
          <w:sz w:val="24"/>
          <w:szCs w:val="24"/>
        </w:rPr>
        <w:t xml:space="preserve">招标编号：                                                  金额：元                                                              </w:t>
      </w:r>
    </w:p>
    <w:tbl>
      <w:tblPr>
        <w:tblStyle w:val="38"/>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86"/>
        <w:gridCol w:w="831"/>
        <w:gridCol w:w="2411"/>
        <w:gridCol w:w="540"/>
        <w:gridCol w:w="684"/>
        <w:gridCol w:w="877"/>
        <w:gridCol w:w="89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4"/>
                <w:szCs w:val="24"/>
              </w:rPr>
            </w:pPr>
            <w:r>
              <w:rPr>
                <w:rFonts w:hint="eastAsia" w:ascii="宋体" w:hAnsi="宋体" w:cs="宋体"/>
                <w:b/>
                <w:kern w:val="0"/>
                <w:sz w:val="24"/>
                <w:szCs w:val="24"/>
              </w:rPr>
              <w:t>序号</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品名</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品牌</w:t>
            </w:r>
          </w:p>
        </w:tc>
        <w:tc>
          <w:tcPr>
            <w:tcW w:w="241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规格型号及 主要技术参数</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单位</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数量</w:t>
            </w: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投标</w:t>
            </w:r>
          </w:p>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单价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投标</w:t>
            </w:r>
          </w:p>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合价</w:t>
            </w:r>
          </w:p>
        </w:tc>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kern w:val="0"/>
                <w:sz w:val="24"/>
                <w:szCs w:val="24"/>
              </w:rPr>
            </w:pPr>
            <w:r>
              <w:rPr>
                <w:rFonts w:hint="eastAsia" w:ascii="宋体" w:hAnsi="宋体"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0" w:type="dxa"/>
            <w:tcBorders>
              <w:left w:val="single" w:color="auto" w:sz="4" w:space="0"/>
              <w:right w:val="single" w:color="auto" w:sz="4" w:space="0"/>
            </w:tcBorders>
            <w:vAlign w:val="center"/>
          </w:tcPr>
          <w:p>
            <w:pPr>
              <w:jc w:val="center"/>
              <w:rPr>
                <w:rFonts w:ascii="宋体" w:hAnsi="宋体" w:cs="宋体"/>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241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00" w:type="dxa"/>
            <w:tcBorders>
              <w:left w:val="single" w:color="auto" w:sz="4" w:space="0"/>
              <w:right w:val="single" w:color="auto" w:sz="4" w:space="0"/>
            </w:tcBorders>
            <w:vAlign w:val="center"/>
          </w:tcPr>
          <w:p>
            <w:pPr>
              <w:jc w:val="center"/>
              <w:rPr>
                <w:rFonts w:ascii="宋体" w:hAnsi="宋体" w:cs="宋体"/>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24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0" w:type="dxa"/>
            <w:tcBorders>
              <w:left w:val="single" w:color="auto" w:sz="4" w:space="0"/>
              <w:right w:val="single" w:color="auto" w:sz="4" w:space="0"/>
            </w:tcBorders>
            <w:vAlign w:val="center"/>
          </w:tcPr>
          <w:p>
            <w:pPr>
              <w:jc w:val="center"/>
              <w:rPr>
                <w:rFonts w:ascii="宋体" w:hAnsi="宋体" w:cs="宋体"/>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24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0" w:type="dxa"/>
            <w:tcBorders>
              <w:left w:val="single" w:color="auto" w:sz="4" w:space="0"/>
              <w:right w:val="single" w:color="auto" w:sz="4" w:space="0"/>
            </w:tcBorders>
            <w:vAlign w:val="center"/>
          </w:tcPr>
          <w:p>
            <w:pPr>
              <w:jc w:val="center"/>
              <w:rPr>
                <w:rFonts w:ascii="宋体" w:hAnsi="宋体" w:cs="宋体"/>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241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0" w:type="dxa"/>
            <w:tcBorders>
              <w:left w:val="single" w:color="auto" w:sz="4" w:space="0"/>
              <w:right w:val="single" w:color="auto" w:sz="4" w:space="0"/>
            </w:tcBorders>
            <w:vAlign w:val="center"/>
          </w:tcPr>
          <w:p>
            <w:pPr>
              <w:jc w:val="center"/>
              <w:rPr>
                <w:rFonts w:ascii="宋体" w:hAnsi="宋体" w:cs="宋体"/>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241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0" w:type="dxa"/>
            <w:tcBorders>
              <w:left w:val="single" w:color="auto" w:sz="4" w:space="0"/>
              <w:right w:val="single" w:color="auto" w:sz="4" w:space="0"/>
            </w:tcBorders>
            <w:vAlign w:val="center"/>
          </w:tcPr>
          <w:p>
            <w:pPr>
              <w:jc w:val="center"/>
              <w:rPr>
                <w:rFonts w:ascii="宋体" w:hAnsi="宋体" w:cs="宋体"/>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241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0" w:type="dxa"/>
            <w:tcBorders>
              <w:left w:val="single" w:color="auto" w:sz="4" w:space="0"/>
              <w:right w:val="single" w:color="auto" w:sz="4" w:space="0"/>
            </w:tcBorders>
            <w:vAlign w:val="center"/>
          </w:tcPr>
          <w:p>
            <w:pPr>
              <w:jc w:val="center"/>
              <w:rPr>
                <w:rFonts w:ascii="宋体" w:hAnsi="宋体" w:cs="宋体"/>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241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845" w:type="dxa"/>
            <w:gridSpan w:val="9"/>
            <w:tcBorders>
              <w:left w:val="single" w:color="auto" w:sz="4" w:space="0"/>
              <w:right w:val="single" w:color="auto" w:sz="4" w:space="0"/>
            </w:tcBorders>
            <w:vAlign w:val="center"/>
          </w:tcPr>
          <w:p>
            <w:pPr>
              <w:ind w:firstLine="120" w:firstLineChars="50"/>
              <w:rPr>
                <w:rFonts w:ascii="宋体" w:hAnsi="宋体" w:cs="宋体"/>
                <w:b/>
                <w:kern w:val="0"/>
                <w:sz w:val="24"/>
                <w:szCs w:val="24"/>
              </w:rPr>
            </w:pPr>
            <w:r>
              <w:rPr>
                <w:rFonts w:hint="eastAsia" w:ascii="宋体" w:hAnsi="宋体" w:cs="宋体"/>
                <w:b/>
                <w:kern w:val="0"/>
                <w:sz w:val="24"/>
                <w:szCs w:val="24"/>
              </w:rPr>
              <w:t>投标总报价合计：人民币（大写）</w:t>
            </w:r>
            <w:r>
              <w:rPr>
                <w:rFonts w:hint="eastAsia" w:ascii="宋体" w:hAnsi="宋体" w:cs="宋体"/>
                <w:b/>
                <w:kern w:val="0"/>
                <w:sz w:val="24"/>
                <w:szCs w:val="24"/>
                <w:u w:val="single"/>
              </w:rPr>
              <w:t xml:space="preserve">                                  </w:t>
            </w:r>
            <w:r>
              <w:rPr>
                <w:rFonts w:hint="eastAsia" w:ascii="宋体" w:hAnsi="宋体" w:cs="宋体"/>
                <w:b/>
                <w:kern w:val="0"/>
                <w:sz w:val="24"/>
                <w:szCs w:val="24"/>
              </w:rPr>
              <w:t xml:space="preserve"> （￥：</w:t>
            </w:r>
            <w:r>
              <w:rPr>
                <w:rFonts w:hint="eastAsia" w:ascii="宋体" w:hAnsi="宋体" w:cs="宋体"/>
                <w:b/>
                <w:kern w:val="0"/>
                <w:sz w:val="24"/>
                <w:szCs w:val="24"/>
                <w:u w:val="single"/>
              </w:rPr>
              <w:t xml:space="preserve">     </w:t>
            </w:r>
            <w:r>
              <w:rPr>
                <w:rFonts w:hint="eastAsia" w:ascii="宋体" w:hAnsi="宋体" w:cs="宋体"/>
                <w:b/>
                <w:kern w:val="0"/>
                <w:sz w:val="24"/>
                <w:szCs w:val="24"/>
              </w:rPr>
              <w:t>元）</w:t>
            </w:r>
          </w:p>
        </w:tc>
      </w:tr>
    </w:tbl>
    <w:p>
      <w:pPr>
        <w:widowControl/>
        <w:snapToGrid w:val="0"/>
        <w:spacing w:line="480" w:lineRule="exact"/>
        <w:ind w:right="636" w:rightChars="303"/>
        <w:rPr>
          <w:rFonts w:ascii="宋体" w:hAnsi="宋体" w:cs="宋体"/>
          <w:kern w:val="0"/>
          <w:sz w:val="24"/>
          <w:szCs w:val="24"/>
        </w:rPr>
      </w:pPr>
    </w:p>
    <w:p>
      <w:pPr>
        <w:tabs>
          <w:tab w:val="left" w:pos="9180"/>
        </w:tabs>
        <w:snapToGrid w:val="0"/>
        <w:spacing w:line="440" w:lineRule="exact"/>
        <w:ind w:firstLine="562" w:firstLineChars="200"/>
        <w:rPr>
          <w:rFonts w:ascii="宋体" w:hAnsi="宋体" w:cs="宋体"/>
          <w:sz w:val="28"/>
          <w:szCs w:val="28"/>
        </w:rPr>
      </w:pPr>
      <w:r>
        <w:rPr>
          <w:rFonts w:hint="eastAsia" w:ascii="宋体" w:hAnsi="宋体" w:cs="宋体"/>
          <w:b/>
          <w:sz w:val="28"/>
          <w:szCs w:val="28"/>
        </w:rPr>
        <w:t xml:space="preserve">备注：1. </w:t>
      </w:r>
      <w:r>
        <w:rPr>
          <w:rFonts w:hint="eastAsia" w:ascii="宋体" w:hAnsi="宋体" w:cs="宋体"/>
          <w:sz w:val="28"/>
          <w:szCs w:val="28"/>
        </w:rPr>
        <w:t>投标总价包含供货、运输、安装、调试、辅材、附件、备品备件、验收、税金、售后服务及辅助工作等完成本项目的所有费用，为交钥匙工程价格。须提供所有产品设备的价格清单。</w:t>
      </w:r>
    </w:p>
    <w:p>
      <w:pPr>
        <w:tabs>
          <w:tab w:val="left" w:pos="9180"/>
        </w:tabs>
        <w:snapToGrid w:val="0"/>
        <w:spacing w:line="440" w:lineRule="exact"/>
        <w:ind w:firstLine="562" w:firstLineChars="200"/>
        <w:rPr>
          <w:rFonts w:ascii="宋体" w:hAnsi="宋体" w:cs="宋体"/>
          <w:sz w:val="28"/>
          <w:szCs w:val="28"/>
        </w:rPr>
      </w:pPr>
      <w:r>
        <w:rPr>
          <w:rFonts w:hint="eastAsia" w:ascii="宋体" w:hAnsi="宋体" w:cs="宋体"/>
          <w:b/>
          <w:sz w:val="28"/>
          <w:szCs w:val="28"/>
        </w:rPr>
        <w:t xml:space="preserve">2. </w:t>
      </w:r>
      <w:r>
        <w:rPr>
          <w:rFonts w:hint="eastAsia" w:ascii="宋体" w:hAnsi="宋体" w:cs="宋体"/>
          <w:sz w:val="28"/>
          <w:szCs w:val="28"/>
        </w:rPr>
        <w:t xml:space="preserve">此表在不改变表式的情况下，可自行制作，必须加盖公章。          </w:t>
      </w:r>
    </w:p>
    <w:p>
      <w:pPr>
        <w:snapToGrid w:val="0"/>
        <w:spacing w:line="440" w:lineRule="exact"/>
        <w:ind w:firstLine="562" w:firstLineChars="200"/>
        <w:rPr>
          <w:rFonts w:ascii="宋体" w:hAnsi="宋体" w:cs="宋体"/>
          <w:b/>
          <w:sz w:val="28"/>
          <w:szCs w:val="28"/>
        </w:rPr>
      </w:pPr>
      <w:r>
        <w:rPr>
          <w:rFonts w:hint="eastAsia" w:ascii="宋体" w:hAnsi="宋体" w:cs="宋体"/>
          <w:b/>
          <w:sz w:val="28"/>
          <w:szCs w:val="28"/>
        </w:rPr>
        <w:t xml:space="preserve">3. </w:t>
      </w:r>
      <w:r>
        <w:rPr>
          <w:rFonts w:hint="eastAsia" w:ascii="宋体" w:hAnsi="宋体" w:cs="宋体"/>
          <w:sz w:val="28"/>
          <w:szCs w:val="28"/>
        </w:rPr>
        <w:t>投标人不能拆分标项内容投标。</w:t>
      </w:r>
    </w:p>
    <w:p>
      <w:pPr>
        <w:spacing w:line="440" w:lineRule="exact"/>
        <w:jc w:val="left"/>
        <w:rPr>
          <w:rStyle w:val="105"/>
          <w:rFonts w:ascii="宋体" w:hAnsi="宋体" w:cs="宋体"/>
          <w:sz w:val="28"/>
          <w:szCs w:val="28"/>
        </w:rPr>
      </w:pPr>
      <w:r>
        <w:rPr>
          <w:rFonts w:hint="eastAsia" w:ascii="宋体" w:hAnsi="宋体" w:cs="宋体"/>
          <w:b/>
          <w:sz w:val="28"/>
          <w:szCs w:val="28"/>
        </w:rPr>
        <w:t xml:space="preserve">    4. </w:t>
      </w:r>
      <w:r>
        <w:rPr>
          <w:rFonts w:hint="eastAsia" w:ascii="宋体" w:hAnsi="宋体" w:cs="宋体"/>
          <w:b/>
          <w:sz w:val="28"/>
          <w:szCs w:val="28"/>
          <w:u w:val="single"/>
        </w:rPr>
        <w:t>特别提醒：本表的商务报价内容不能出现在资格后审文件、商务技术文件、资信文件正副本中。</w:t>
      </w:r>
    </w:p>
    <w:p>
      <w:pPr>
        <w:snapToGrid w:val="0"/>
        <w:ind w:firstLine="543" w:firstLineChars="196"/>
        <w:jc w:val="left"/>
        <w:rPr>
          <w:rStyle w:val="105"/>
          <w:rFonts w:ascii="宋体" w:hAnsi="宋体" w:cs="宋体"/>
          <w:sz w:val="28"/>
          <w:szCs w:val="28"/>
        </w:rPr>
      </w:pPr>
    </w:p>
    <w:p>
      <w:pPr>
        <w:widowControl/>
        <w:snapToGrid w:val="0"/>
        <w:jc w:val="center"/>
        <w:rPr>
          <w:rFonts w:ascii="宋体" w:hAnsi="宋体" w:cs="宋体"/>
          <w:b/>
          <w:kern w:val="0"/>
          <w:sz w:val="28"/>
          <w:szCs w:val="28"/>
        </w:rPr>
      </w:pPr>
    </w:p>
    <w:p>
      <w:pPr>
        <w:widowControl/>
        <w:snapToGrid w:val="0"/>
        <w:spacing w:line="312" w:lineRule="auto"/>
        <w:jc w:val="center"/>
        <w:rPr>
          <w:rFonts w:ascii="宋体" w:hAnsi="宋体" w:cs="宋体"/>
          <w:kern w:val="0"/>
          <w:sz w:val="28"/>
          <w:szCs w:val="28"/>
        </w:rPr>
      </w:pPr>
      <w:r>
        <w:rPr>
          <w:rFonts w:hint="eastAsia" w:ascii="宋体" w:hAnsi="宋体" w:cs="宋体"/>
          <w:kern w:val="0"/>
          <w:sz w:val="28"/>
          <w:szCs w:val="28"/>
        </w:rPr>
        <w:t xml:space="preserve">             全权代表(签字)：</w:t>
      </w:r>
    </w:p>
    <w:p>
      <w:pPr>
        <w:widowControl/>
        <w:snapToGrid w:val="0"/>
        <w:spacing w:line="312" w:lineRule="auto"/>
        <w:ind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12" w:lineRule="auto"/>
        <w:ind w:firstLine="4480" w:firstLineChars="1600"/>
        <w:rPr>
          <w:rFonts w:ascii="宋体" w:hAnsi="宋体" w:cs="宋体"/>
          <w:kern w:val="0"/>
          <w:sz w:val="28"/>
          <w:szCs w:val="28"/>
        </w:rPr>
      </w:pPr>
      <w:r>
        <w:rPr>
          <w:rFonts w:hint="eastAsia" w:ascii="宋体" w:hAnsi="宋体" w:cs="宋体"/>
          <w:kern w:val="0"/>
          <w:sz w:val="28"/>
          <w:szCs w:val="28"/>
        </w:rPr>
        <w:t>日期：  年 月  日</w:t>
      </w:r>
    </w:p>
    <w:p>
      <w:pPr>
        <w:spacing w:line="480" w:lineRule="auto"/>
        <w:jc w:val="left"/>
        <w:rPr>
          <w:rStyle w:val="105"/>
          <w:rFonts w:ascii="宋体" w:hAnsi="宋体" w:cs="宋体"/>
          <w:sz w:val="28"/>
          <w:szCs w:val="28"/>
        </w:rPr>
      </w:pPr>
    </w:p>
    <w:p>
      <w:pPr>
        <w:widowControl/>
        <w:snapToGrid w:val="0"/>
        <w:rPr>
          <w:rFonts w:ascii="宋体" w:hAnsi="宋体" w:cs="宋体"/>
          <w:b/>
          <w:kern w:val="0"/>
          <w:sz w:val="30"/>
          <w:szCs w:val="30"/>
        </w:rPr>
      </w:pPr>
    </w:p>
    <w:p>
      <w:pPr>
        <w:pStyle w:val="18"/>
        <w:rPr>
          <w:rFonts w:ascii="宋体" w:hAnsi="宋体" w:cs="宋体"/>
          <w:b/>
          <w:kern w:val="0"/>
          <w:sz w:val="30"/>
          <w:szCs w:val="30"/>
        </w:rPr>
      </w:pPr>
    </w:p>
    <w:p>
      <w:pPr>
        <w:pStyle w:val="18"/>
        <w:rPr>
          <w:rFonts w:ascii="宋体" w:hAnsi="宋体" w:cs="宋体"/>
          <w:b/>
          <w:kern w:val="0"/>
          <w:sz w:val="30"/>
          <w:szCs w:val="30"/>
        </w:rPr>
      </w:pPr>
    </w:p>
    <w:p>
      <w:pPr>
        <w:pStyle w:val="18"/>
        <w:rPr>
          <w:rFonts w:ascii="宋体" w:hAnsi="宋体" w:cs="宋体"/>
          <w:b/>
          <w:kern w:val="0"/>
          <w:sz w:val="30"/>
          <w:szCs w:val="30"/>
        </w:rPr>
      </w:pPr>
    </w:p>
    <w:p>
      <w:pPr>
        <w:widowControl/>
        <w:snapToGrid w:val="0"/>
        <w:rPr>
          <w:rFonts w:ascii="宋体" w:hAnsi="宋体" w:cs="宋体"/>
          <w:b/>
          <w:kern w:val="0"/>
          <w:sz w:val="36"/>
          <w:szCs w:val="36"/>
        </w:rPr>
      </w:pPr>
      <w:r>
        <w:rPr>
          <w:rFonts w:hint="eastAsia" w:ascii="宋体" w:hAnsi="宋体" w:cs="宋体"/>
          <w:b/>
          <w:kern w:val="0"/>
          <w:sz w:val="30"/>
          <w:szCs w:val="30"/>
        </w:rPr>
        <w:t xml:space="preserve">附件三 </w:t>
      </w:r>
      <w:r>
        <w:rPr>
          <w:rFonts w:hint="eastAsia" w:ascii="宋体" w:hAnsi="宋体" w:cs="宋体"/>
          <w:b/>
          <w:kern w:val="0"/>
          <w:sz w:val="36"/>
          <w:szCs w:val="36"/>
        </w:rPr>
        <w:t xml:space="preserve">              </w:t>
      </w:r>
    </w:p>
    <w:p>
      <w:pPr>
        <w:widowControl/>
        <w:snapToGrid w:val="0"/>
        <w:jc w:val="center"/>
        <w:rPr>
          <w:rFonts w:ascii="宋体" w:hAnsi="宋体" w:cs="宋体"/>
          <w:b/>
          <w:kern w:val="0"/>
          <w:sz w:val="36"/>
          <w:szCs w:val="36"/>
        </w:rPr>
      </w:pPr>
      <w:r>
        <w:rPr>
          <w:rFonts w:hint="eastAsia" w:ascii="宋体" w:hAnsi="宋体" w:cs="宋体"/>
          <w:b/>
          <w:kern w:val="0"/>
          <w:sz w:val="36"/>
          <w:szCs w:val="36"/>
        </w:rPr>
        <w:t>投 标 函</w:t>
      </w:r>
    </w:p>
    <w:p>
      <w:pPr>
        <w:widowControl/>
        <w:snapToGrid w:val="0"/>
        <w:spacing w:line="480" w:lineRule="exact"/>
        <w:rPr>
          <w:rFonts w:ascii="宋体" w:hAnsi="宋体" w:cs="宋体"/>
          <w:kern w:val="0"/>
          <w:sz w:val="28"/>
          <w:szCs w:val="28"/>
        </w:rPr>
      </w:pPr>
      <w:r>
        <w:rPr>
          <w:rFonts w:hint="eastAsia" w:ascii="宋体" w:hAnsi="宋体" w:cs="宋体"/>
          <w:kern w:val="0"/>
          <w:sz w:val="28"/>
          <w:szCs w:val="28"/>
          <w:u w:val="single"/>
        </w:rPr>
        <w:t>建德市新安江第二小学</w:t>
      </w:r>
      <w:r>
        <w:rPr>
          <w:rFonts w:hint="eastAsia" w:ascii="宋体" w:hAnsi="宋体" w:cs="宋体"/>
          <w:kern w:val="0"/>
          <w:sz w:val="28"/>
          <w:szCs w:val="28"/>
          <w:u w:val="single"/>
          <w:lang w:eastAsia="zh-CN"/>
        </w:rPr>
        <w:t>、建德市资产经营投资有限公司</w:t>
      </w:r>
      <w:r>
        <w:rPr>
          <w:rFonts w:hint="eastAsia" w:ascii="宋体" w:hAnsi="宋体" w:cs="宋体"/>
          <w:kern w:val="0"/>
          <w:sz w:val="28"/>
          <w:szCs w:val="28"/>
          <w:u w:val="single"/>
        </w:rPr>
        <w:t>：</w:t>
      </w:r>
    </w:p>
    <w:p>
      <w:pPr>
        <w:widowControl/>
        <w:snapToGrid w:val="0"/>
        <w:spacing w:line="480" w:lineRule="exact"/>
        <w:rPr>
          <w:rFonts w:ascii="宋体" w:hAnsi="宋体" w:cs="宋体"/>
          <w:kern w:val="0"/>
          <w:sz w:val="28"/>
          <w:szCs w:val="28"/>
        </w:rPr>
      </w:pPr>
      <w:r>
        <w:rPr>
          <w:rFonts w:hint="eastAsia" w:ascii="宋体" w:hAnsi="宋体" w:cs="宋体"/>
          <w:kern w:val="0"/>
          <w:sz w:val="28"/>
          <w:szCs w:val="28"/>
        </w:rPr>
        <w:t>     _________________________(投标单位全称)授权____________________ (全权代表姓名)____________________(职务、职称)为全权代表，参加贵方组织的</w:t>
      </w:r>
      <w:r>
        <w:rPr>
          <w:rFonts w:hint="eastAsia" w:ascii="宋体" w:hAnsi="宋体" w:cs="宋体"/>
          <w:sz w:val="28"/>
          <w:szCs w:val="28"/>
          <w:lang w:eastAsia="zh-CN"/>
        </w:rPr>
        <w:t>新安江第二小学多媒体影像设备采购</w:t>
      </w:r>
      <w:r>
        <w:rPr>
          <w:rFonts w:hint="eastAsia" w:ascii="宋体" w:hAnsi="宋体" w:cs="宋体"/>
          <w:kern w:val="0"/>
          <w:sz w:val="28"/>
          <w:szCs w:val="28"/>
        </w:rPr>
        <w:t>(招标编号：JDYH2021-  )招标的有关活动，并对此项目进行投标。为此：</w:t>
      </w:r>
    </w:p>
    <w:p>
      <w:pPr>
        <w:widowControl/>
        <w:snapToGrid w:val="0"/>
        <w:spacing w:line="480" w:lineRule="exact"/>
        <w:ind w:left="-2" w:firstLine="436"/>
        <w:jc w:val="left"/>
        <w:rPr>
          <w:rFonts w:ascii="宋体" w:hAnsi="宋体" w:cs="宋体"/>
          <w:kern w:val="0"/>
          <w:sz w:val="28"/>
          <w:szCs w:val="28"/>
        </w:rPr>
      </w:pPr>
      <w:r>
        <w:rPr>
          <w:rFonts w:hint="eastAsia" w:ascii="宋体" w:hAnsi="宋体" w:cs="宋体"/>
          <w:kern w:val="0"/>
          <w:sz w:val="28"/>
          <w:szCs w:val="28"/>
        </w:rPr>
        <w:t>1、我方同意在投标单位须知规定的开标日期起遵守本投标函中的承诺且在投标有效期满之前均具有约束力。</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2、我方承诺已经具备《中华人民共和国政府采购法》中规定的参加政府采购活动的供应商应当具备的条件：</w:t>
      </w:r>
    </w:p>
    <w:p>
      <w:pPr>
        <w:widowControl/>
        <w:snapToGrid w:val="0"/>
        <w:spacing w:line="480" w:lineRule="exact"/>
        <w:ind w:firstLine="568" w:firstLineChars="203"/>
        <w:jc w:val="left"/>
        <w:rPr>
          <w:rFonts w:ascii="宋体" w:hAnsi="宋体" w:cs="宋体"/>
          <w:kern w:val="0"/>
          <w:sz w:val="28"/>
          <w:szCs w:val="28"/>
        </w:rPr>
      </w:pPr>
      <w:r>
        <w:rPr>
          <w:rFonts w:hint="eastAsia" w:ascii="宋体" w:hAnsi="宋体" w:cs="宋体"/>
          <w:kern w:val="0"/>
          <w:sz w:val="28"/>
          <w:szCs w:val="28"/>
        </w:rPr>
        <w:t>（1）具有独立承担民事责任和履行合同的能力；</w:t>
      </w:r>
    </w:p>
    <w:p>
      <w:pPr>
        <w:widowControl/>
        <w:snapToGrid w:val="0"/>
        <w:spacing w:line="480" w:lineRule="exact"/>
        <w:ind w:firstLine="568" w:firstLineChars="203"/>
        <w:jc w:val="left"/>
        <w:rPr>
          <w:rFonts w:ascii="宋体" w:hAnsi="宋体" w:cs="宋体"/>
          <w:kern w:val="0"/>
          <w:sz w:val="28"/>
          <w:szCs w:val="28"/>
        </w:rPr>
      </w:pPr>
      <w:r>
        <w:rPr>
          <w:rFonts w:hint="eastAsia" w:ascii="宋体" w:hAnsi="宋体" w:cs="宋体"/>
          <w:kern w:val="0"/>
          <w:sz w:val="28"/>
          <w:szCs w:val="28"/>
        </w:rPr>
        <w:t>（2）遵守国家法律、行政法规，在市场中具有良好信誉和商业道德；</w:t>
      </w:r>
    </w:p>
    <w:p>
      <w:pPr>
        <w:widowControl/>
        <w:snapToGrid w:val="0"/>
        <w:spacing w:line="480" w:lineRule="exact"/>
        <w:ind w:firstLine="568" w:firstLineChars="203"/>
        <w:jc w:val="left"/>
        <w:rPr>
          <w:rFonts w:ascii="宋体" w:hAnsi="宋体" w:cs="宋体"/>
          <w:kern w:val="0"/>
          <w:sz w:val="28"/>
          <w:szCs w:val="28"/>
        </w:rPr>
      </w:pPr>
      <w:r>
        <w:rPr>
          <w:rFonts w:hint="eastAsia" w:ascii="宋体" w:hAnsi="宋体" w:cs="宋体"/>
          <w:kern w:val="0"/>
          <w:sz w:val="28"/>
          <w:szCs w:val="28"/>
        </w:rPr>
        <w:t>（3）具有一定规模和良好的资金、财务状况；</w:t>
      </w:r>
    </w:p>
    <w:p>
      <w:pPr>
        <w:widowControl/>
        <w:snapToGrid w:val="0"/>
        <w:spacing w:line="480" w:lineRule="exact"/>
        <w:ind w:firstLine="568" w:firstLineChars="203"/>
        <w:jc w:val="left"/>
        <w:rPr>
          <w:rFonts w:ascii="宋体" w:hAnsi="宋体" w:cs="宋体"/>
          <w:kern w:val="0"/>
          <w:sz w:val="28"/>
          <w:szCs w:val="28"/>
        </w:rPr>
      </w:pPr>
      <w:r>
        <w:rPr>
          <w:rFonts w:hint="eastAsia" w:ascii="宋体" w:hAnsi="宋体" w:cs="宋体"/>
          <w:kern w:val="0"/>
          <w:sz w:val="28"/>
          <w:szCs w:val="28"/>
        </w:rPr>
        <w:t>（4）具备国家有关部门和采购主管部门规定的其他条件；</w:t>
      </w:r>
    </w:p>
    <w:p>
      <w:pPr>
        <w:widowControl/>
        <w:snapToGrid w:val="0"/>
        <w:spacing w:line="360" w:lineRule="auto"/>
        <w:ind w:left="-2" w:firstLine="436"/>
        <w:rPr>
          <w:rFonts w:ascii="宋体" w:hAnsi="宋体" w:cs="宋体"/>
          <w:kern w:val="0"/>
          <w:sz w:val="28"/>
          <w:szCs w:val="28"/>
        </w:rPr>
      </w:pPr>
      <w:r>
        <w:rPr>
          <w:rFonts w:hint="eastAsia" w:ascii="宋体" w:hAnsi="宋体" w:cs="宋体"/>
          <w:kern w:val="0"/>
          <w:sz w:val="28"/>
          <w:szCs w:val="28"/>
        </w:rPr>
        <w:t>3、提供投标单位须知规定的全部投标文件，包括资格审查文件正本1份；报价文件正本1份、副本5份；商务技术文件正本1份、副本5份；资信文件正本1份、副本5份分别装订成册。</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4、按招标文件要求提供和交付的货物和服务的投标报价详见《投标报价函》和《开标一览表》。</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5、保证忠实地执行双方所签订的合同，并承担合同规定的责任和义务。</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6、保证遵守招标文件中的其他有关规定。</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7、如果在开标后的投标有效期内撤回投标，我方同意按招标方的规定进行处罚。</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8、我方完全理解贵方不一定要接受最低价的投标或收到的任何投标。</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9、我方愿意向贵方提供任何与该项投标有关的详细情况和技术资料，若贵方需要，我方愿意提供我方作出的一切承诺的证明材料。</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10、我方已详细阅读全部招标文件，包括招标文件修改书（如有的话）、参考资料及有关附件，确认无误。</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pPr>
        <w:snapToGrid w:val="0"/>
        <w:spacing w:line="480" w:lineRule="exact"/>
        <w:ind w:left="-2" w:firstLine="436"/>
        <w:rPr>
          <w:rFonts w:ascii="宋体" w:hAnsi="宋体" w:cs="宋体"/>
          <w:sz w:val="28"/>
          <w:szCs w:val="28"/>
        </w:rPr>
      </w:pPr>
      <w:r>
        <w:rPr>
          <w:rFonts w:hint="eastAsia" w:ascii="宋体" w:hAnsi="宋体" w:cs="宋体"/>
          <w:kern w:val="0"/>
          <w:sz w:val="28"/>
          <w:szCs w:val="28"/>
        </w:rPr>
        <w:t>（1）提供虚假材料谋取中标、成交的；</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（2）采取不正当手段诋毁、排挤其他投标单位的；</w:t>
      </w:r>
    </w:p>
    <w:p>
      <w:pPr>
        <w:snapToGrid w:val="0"/>
        <w:spacing w:line="480" w:lineRule="exact"/>
        <w:ind w:left="-2" w:firstLine="436"/>
        <w:rPr>
          <w:rFonts w:ascii="宋体" w:hAnsi="宋体" w:cs="宋体"/>
          <w:sz w:val="28"/>
          <w:szCs w:val="28"/>
        </w:rPr>
      </w:pPr>
      <w:r>
        <w:rPr>
          <w:rFonts w:hint="eastAsia" w:ascii="宋体" w:hAnsi="宋体" w:cs="宋体"/>
          <w:kern w:val="0"/>
          <w:sz w:val="28"/>
          <w:szCs w:val="28"/>
        </w:rPr>
        <w:t>（3）与其它投标单位恶意串通的；</w:t>
      </w:r>
    </w:p>
    <w:p>
      <w:pPr>
        <w:snapToGrid w:val="0"/>
        <w:spacing w:line="480" w:lineRule="exact"/>
        <w:ind w:left="-2" w:firstLine="436"/>
        <w:rPr>
          <w:rFonts w:ascii="宋体" w:hAnsi="宋体" w:cs="宋体"/>
          <w:sz w:val="28"/>
          <w:szCs w:val="28"/>
        </w:rPr>
      </w:pPr>
      <w:r>
        <w:rPr>
          <w:rFonts w:hint="eastAsia" w:ascii="宋体" w:hAnsi="宋体" w:cs="宋体"/>
          <w:kern w:val="0"/>
          <w:sz w:val="28"/>
          <w:szCs w:val="28"/>
        </w:rPr>
        <w:t>（4）向招标方行贿或者提供其他不正当利益的；</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（5）拒绝有关部门监督检查或提供虚假情况的。</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12、我方的投标文件在开标后</w:t>
      </w:r>
      <w:r>
        <w:rPr>
          <w:rFonts w:hint="eastAsia" w:ascii="宋体" w:hAnsi="宋体" w:cs="宋体"/>
          <w:kern w:val="0"/>
          <w:sz w:val="28"/>
          <w:szCs w:val="28"/>
          <w:u w:val="single"/>
        </w:rPr>
        <w:t>90</w:t>
      </w:r>
      <w:r>
        <w:rPr>
          <w:rFonts w:hint="eastAsia" w:ascii="宋体" w:hAnsi="宋体" w:cs="宋体"/>
          <w:kern w:val="0"/>
          <w:sz w:val="28"/>
          <w:szCs w:val="28"/>
        </w:rPr>
        <w:t>天内有效。</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与本投标有关的一切往来通讯请寄：</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地址：____________________________________________________</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邮编：____________　</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电话：____________　</w:t>
      </w:r>
    </w:p>
    <w:p>
      <w:pPr>
        <w:widowControl/>
        <w:snapToGrid w:val="0"/>
        <w:spacing w:line="480" w:lineRule="exact"/>
        <w:ind w:left="-2" w:firstLine="436"/>
        <w:rPr>
          <w:rFonts w:ascii="宋体" w:hAnsi="宋体" w:cs="宋体"/>
          <w:kern w:val="0"/>
          <w:sz w:val="28"/>
          <w:szCs w:val="28"/>
        </w:rPr>
      </w:pPr>
      <w:r>
        <w:rPr>
          <w:rFonts w:hint="eastAsia" w:ascii="宋体" w:hAnsi="宋体" w:cs="宋体"/>
          <w:kern w:val="0"/>
          <w:sz w:val="28"/>
          <w:szCs w:val="28"/>
        </w:rPr>
        <w:t>传真：____________</w:t>
      </w:r>
    </w:p>
    <w:p>
      <w:pPr>
        <w:widowControl/>
        <w:snapToGrid w:val="0"/>
        <w:spacing w:line="480" w:lineRule="exact"/>
        <w:ind w:left="-2" w:firstLine="436"/>
        <w:rPr>
          <w:rFonts w:ascii="宋体" w:hAnsi="宋体" w:cs="宋体"/>
          <w:kern w:val="0"/>
          <w:sz w:val="28"/>
          <w:szCs w:val="28"/>
        </w:rPr>
      </w:pPr>
    </w:p>
    <w:p>
      <w:pPr>
        <w:widowControl/>
        <w:snapToGrid w:val="0"/>
        <w:spacing w:line="480" w:lineRule="exact"/>
        <w:ind w:left="-2" w:firstLine="436"/>
        <w:rPr>
          <w:rFonts w:ascii="宋体" w:hAnsi="宋体" w:cs="宋体"/>
          <w:kern w:val="0"/>
          <w:sz w:val="28"/>
          <w:szCs w:val="28"/>
        </w:rPr>
      </w:pPr>
    </w:p>
    <w:p>
      <w:pPr>
        <w:widowControl/>
        <w:snapToGrid w:val="0"/>
        <w:spacing w:line="480" w:lineRule="exact"/>
        <w:ind w:left="-2" w:firstLine="436"/>
        <w:rPr>
          <w:rFonts w:ascii="宋体" w:hAnsi="宋体" w:cs="宋体"/>
          <w:kern w:val="0"/>
          <w:sz w:val="28"/>
          <w:szCs w:val="28"/>
        </w:rPr>
      </w:pPr>
    </w:p>
    <w:p>
      <w:pPr>
        <w:widowControl/>
        <w:snapToGrid w:val="0"/>
        <w:spacing w:line="480" w:lineRule="exact"/>
        <w:ind w:left="-2" w:firstLine="436"/>
        <w:rPr>
          <w:rFonts w:ascii="宋体" w:hAnsi="宋体" w:cs="宋体"/>
          <w:kern w:val="0"/>
          <w:sz w:val="28"/>
          <w:szCs w:val="28"/>
        </w:rPr>
      </w:pPr>
    </w:p>
    <w:p>
      <w:pPr>
        <w:widowControl/>
        <w:snapToGrid w:val="0"/>
        <w:spacing w:line="360" w:lineRule="auto"/>
        <w:jc w:val="center"/>
        <w:rPr>
          <w:rFonts w:ascii="宋体" w:hAnsi="宋体" w:cs="宋体"/>
          <w:kern w:val="0"/>
          <w:sz w:val="28"/>
          <w:szCs w:val="28"/>
        </w:rPr>
      </w:pPr>
      <w:r>
        <w:rPr>
          <w:rFonts w:hint="eastAsia" w:ascii="宋体" w:hAnsi="宋体" w:cs="宋体"/>
          <w:kern w:val="0"/>
          <w:sz w:val="28"/>
          <w:szCs w:val="28"/>
        </w:rPr>
        <w:t xml:space="preserve">            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60" w:lineRule="auto"/>
        <w:ind w:firstLine="4340" w:firstLineChars="1550"/>
        <w:rPr>
          <w:rFonts w:ascii="宋体" w:hAnsi="宋体" w:cs="宋体"/>
          <w:kern w:val="0"/>
          <w:sz w:val="28"/>
          <w:szCs w:val="28"/>
        </w:rPr>
        <w:sectPr>
          <w:pgSz w:w="11906" w:h="16838"/>
          <w:pgMar w:top="1247" w:right="1247" w:bottom="1247" w:left="1247" w:header="851" w:footer="992" w:gutter="0"/>
          <w:cols w:space="720" w:num="1"/>
          <w:docGrid w:linePitch="312" w:charSpace="0"/>
        </w:sectPr>
      </w:pPr>
      <w:r>
        <w:rPr>
          <w:rFonts w:hint="eastAsia" w:ascii="宋体" w:hAnsi="宋体" w:cs="宋体"/>
          <w:kern w:val="0"/>
          <w:sz w:val="28"/>
          <w:szCs w:val="28"/>
        </w:rPr>
        <w:t>日期：   年 月  日</w:t>
      </w:r>
    </w:p>
    <w:p>
      <w:pPr>
        <w:spacing w:line="480" w:lineRule="auto"/>
        <w:jc w:val="left"/>
        <w:rPr>
          <w:rStyle w:val="105"/>
          <w:rFonts w:ascii="宋体" w:hAnsi="宋体" w:cs="宋体"/>
          <w:sz w:val="30"/>
          <w:szCs w:val="30"/>
        </w:rPr>
      </w:pPr>
      <w:r>
        <w:rPr>
          <w:rStyle w:val="105"/>
          <w:rFonts w:hint="eastAsia" w:ascii="宋体" w:hAnsi="宋体" w:cs="宋体"/>
          <w:sz w:val="30"/>
          <w:szCs w:val="30"/>
        </w:rPr>
        <w:t>附件四</w:t>
      </w:r>
    </w:p>
    <w:p>
      <w:pPr>
        <w:adjustRightInd w:val="0"/>
        <w:snapToGrid w:val="0"/>
        <w:jc w:val="center"/>
        <w:rPr>
          <w:rFonts w:ascii="宋体" w:hAnsi="宋体" w:cs="宋体"/>
          <w:b/>
          <w:bCs/>
          <w:iCs/>
          <w:spacing w:val="20"/>
          <w:sz w:val="36"/>
          <w:szCs w:val="36"/>
        </w:rPr>
      </w:pPr>
      <w:r>
        <w:rPr>
          <w:rFonts w:hint="eastAsia" w:ascii="宋体" w:hAnsi="宋体" w:cs="宋体"/>
          <w:b/>
          <w:bCs/>
          <w:iCs/>
          <w:spacing w:val="20"/>
          <w:sz w:val="36"/>
          <w:szCs w:val="36"/>
        </w:rPr>
        <w:t>技术参数对照表</w:t>
      </w:r>
    </w:p>
    <w:p>
      <w:pPr>
        <w:adjustRightInd w:val="0"/>
        <w:snapToGrid w:val="0"/>
        <w:spacing w:line="360" w:lineRule="auto"/>
        <w:ind w:firstLine="160" w:firstLineChars="50"/>
        <w:rPr>
          <w:rFonts w:ascii="宋体" w:hAnsi="宋体" w:cs="宋体"/>
          <w:spacing w:val="20"/>
          <w:sz w:val="28"/>
          <w:szCs w:val="28"/>
        </w:rPr>
      </w:pPr>
    </w:p>
    <w:p>
      <w:pPr>
        <w:adjustRightInd w:val="0"/>
        <w:snapToGrid w:val="0"/>
        <w:spacing w:line="360" w:lineRule="auto"/>
        <w:ind w:firstLine="160" w:firstLineChars="50"/>
        <w:rPr>
          <w:rFonts w:ascii="宋体" w:hAnsi="宋体" w:cs="宋体"/>
          <w:spacing w:val="20"/>
          <w:sz w:val="28"/>
          <w:szCs w:val="28"/>
        </w:rPr>
      </w:pPr>
      <w:r>
        <w:rPr>
          <w:rFonts w:hint="eastAsia" w:ascii="宋体" w:hAnsi="宋体" w:cs="宋体"/>
          <w:spacing w:val="20"/>
          <w:sz w:val="28"/>
          <w:szCs w:val="28"/>
        </w:rPr>
        <w:t>招标编号：</w:t>
      </w:r>
      <w:r>
        <w:rPr>
          <w:rFonts w:hint="eastAsia" w:ascii="宋体" w:hAnsi="宋体" w:cs="宋体"/>
          <w:kern w:val="0"/>
          <w:sz w:val="28"/>
          <w:szCs w:val="28"/>
        </w:rPr>
        <w:t>JDYH2021-</w:t>
      </w:r>
    </w:p>
    <w:tbl>
      <w:tblPr>
        <w:tblStyle w:val="38"/>
        <w:tblW w:w="923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12"/>
        <w:gridCol w:w="1260"/>
        <w:gridCol w:w="1080"/>
        <w:gridCol w:w="1832"/>
        <w:gridCol w:w="103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adjustRightInd w:val="0"/>
              <w:snapToGrid w:val="0"/>
              <w:jc w:val="center"/>
              <w:rPr>
                <w:rFonts w:ascii="宋体" w:hAnsi="宋体" w:cs="宋体"/>
                <w:spacing w:val="20"/>
                <w:sz w:val="28"/>
                <w:szCs w:val="28"/>
              </w:rPr>
            </w:pPr>
            <w:r>
              <w:rPr>
                <w:rFonts w:hint="eastAsia" w:ascii="宋体" w:hAnsi="宋体" w:cs="宋体"/>
                <w:spacing w:val="20"/>
                <w:sz w:val="28"/>
                <w:szCs w:val="28"/>
              </w:rPr>
              <w:t>序号</w:t>
            </w:r>
          </w:p>
        </w:tc>
        <w:tc>
          <w:tcPr>
            <w:tcW w:w="1512" w:type="dxa"/>
            <w:vAlign w:val="center"/>
          </w:tcPr>
          <w:p>
            <w:pPr>
              <w:adjustRightInd w:val="0"/>
              <w:snapToGrid w:val="0"/>
              <w:jc w:val="center"/>
              <w:rPr>
                <w:rFonts w:ascii="宋体" w:hAnsi="宋体" w:cs="宋体"/>
                <w:spacing w:val="20"/>
                <w:sz w:val="28"/>
                <w:szCs w:val="28"/>
              </w:rPr>
            </w:pPr>
            <w:r>
              <w:rPr>
                <w:rFonts w:hint="eastAsia" w:ascii="宋体" w:hAnsi="宋体" w:cs="宋体"/>
                <w:spacing w:val="20"/>
                <w:sz w:val="28"/>
                <w:szCs w:val="28"/>
              </w:rPr>
              <w:t>招标规格和技术要求</w:t>
            </w:r>
          </w:p>
        </w:tc>
        <w:tc>
          <w:tcPr>
            <w:tcW w:w="1260" w:type="dxa"/>
            <w:vAlign w:val="center"/>
          </w:tcPr>
          <w:p>
            <w:pPr>
              <w:adjustRightInd w:val="0"/>
              <w:snapToGrid w:val="0"/>
              <w:jc w:val="center"/>
              <w:rPr>
                <w:rFonts w:ascii="宋体" w:hAnsi="宋体" w:cs="宋体"/>
                <w:spacing w:val="20"/>
                <w:sz w:val="28"/>
                <w:szCs w:val="28"/>
              </w:rPr>
            </w:pPr>
            <w:r>
              <w:rPr>
                <w:rFonts w:hint="eastAsia" w:ascii="宋体" w:hAnsi="宋体" w:cs="宋体"/>
                <w:spacing w:val="20"/>
                <w:sz w:val="28"/>
                <w:szCs w:val="28"/>
              </w:rPr>
              <w:t>投标产品品牌</w:t>
            </w:r>
          </w:p>
        </w:tc>
        <w:tc>
          <w:tcPr>
            <w:tcW w:w="1080" w:type="dxa"/>
            <w:vAlign w:val="center"/>
          </w:tcPr>
          <w:p>
            <w:pPr>
              <w:adjustRightInd w:val="0"/>
              <w:snapToGrid w:val="0"/>
              <w:rPr>
                <w:rFonts w:ascii="宋体" w:hAnsi="宋体" w:cs="宋体"/>
                <w:spacing w:val="20"/>
                <w:sz w:val="28"/>
                <w:szCs w:val="28"/>
              </w:rPr>
            </w:pPr>
            <w:r>
              <w:rPr>
                <w:rFonts w:hint="eastAsia" w:ascii="宋体" w:hAnsi="宋体" w:cs="宋体"/>
                <w:spacing w:val="20"/>
                <w:sz w:val="28"/>
                <w:szCs w:val="28"/>
              </w:rPr>
              <w:t>规格、型号</w:t>
            </w:r>
          </w:p>
        </w:tc>
        <w:tc>
          <w:tcPr>
            <w:tcW w:w="1832" w:type="dxa"/>
            <w:vAlign w:val="center"/>
          </w:tcPr>
          <w:p>
            <w:pPr>
              <w:adjustRightInd w:val="0"/>
              <w:snapToGrid w:val="0"/>
              <w:jc w:val="center"/>
              <w:rPr>
                <w:rFonts w:ascii="宋体" w:hAnsi="宋体" w:cs="宋体"/>
                <w:spacing w:val="20"/>
                <w:sz w:val="28"/>
                <w:szCs w:val="28"/>
              </w:rPr>
            </w:pPr>
            <w:r>
              <w:rPr>
                <w:rFonts w:hint="eastAsia" w:ascii="宋体" w:hAnsi="宋体" w:cs="宋体"/>
                <w:spacing w:val="20"/>
                <w:sz w:val="28"/>
                <w:szCs w:val="28"/>
              </w:rPr>
              <w:t>技术参数和需求响应</w:t>
            </w:r>
          </w:p>
        </w:tc>
        <w:tc>
          <w:tcPr>
            <w:tcW w:w="1036" w:type="dxa"/>
            <w:vAlign w:val="center"/>
          </w:tcPr>
          <w:p>
            <w:pPr>
              <w:adjustRightInd w:val="0"/>
              <w:snapToGrid w:val="0"/>
              <w:jc w:val="center"/>
              <w:rPr>
                <w:rFonts w:ascii="宋体" w:hAnsi="宋体" w:cs="宋体"/>
                <w:spacing w:val="20"/>
                <w:sz w:val="28"/>
                <w:szCs w:val="28"/>
              </w:rPr>
            </w:pPr>
            <w:r>
              <w:rPr>
                <w:rFonts w:hint="eastAsia" w:ascii="宋体" w:hAnsi="宋体" w:cs="宋体"/>
                <w:spacing w:val="20"/>
                <w:sz w:val="28"/>
                <w:szCs w:val="28"/>
              </w:rPr>
              <w:t>偏离</w:t>
            </w:r>
          </w:p>
        </w:tc>
        <w:tc>
          <w:tcPr>
            <w:tcW w:w="1508" w:type="dxa"/>
            <w:vAlign w:val="center"/>
          </w:tcPr>
          <w:p>
            <w:pPr>
              <w:adjustRightInd w:val="0"/>
              <w:snapToGrid w:val="0"/>
              <w:jc w:val="center"/>
              <w:rPr>
                <w:rFonts w:ascii="宋体" w:hAnsi="宋体" w:cs="宋体"/>
                <w:spacing w:val="20"/>
                <w:sz w:val="28"/>
                <w:szCs w:val="28"/>
              </w:rPr>
            </w:pPr>
            <w:r>
              <w:rPr>
                <w:rFonts w:hint="eastAsia" w:ascii="宋体" w:hAnsi="宋体" w:cs="宋体"/>
                <w:spacing w:val="2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adjustRightInd w:val="0"/>
              <w:snapToGrid w:val="0"/>
              <w:spacing w:line="480" w:lineRule="auto"/>
              <w:jc w:val="center"/>
              <w:rPr>
                <w:rFonts w:ascii="宋体" w:hAnsi="宋体" w:cs="宋体"/>
                <w:spacing w:val="20"/>
                <w:sz w:val="28"/>
                <w:szCs w:val="28"/>
              </w:rPr>
            </w:pPr>
          </w:p>
        </w:tc>
        <w:tc>
          <w:tcPr>
            <w:tcW w:w="1512" w:type="dxa"/>
            <w:vAlign w:val="center"/>
          </w:tcPr>
          <w:p>
            <w:pPr>
              <w:adjustRightInd w:val="0"/>
              <w:snapToGrid w:val="0"/>
              <w:spacing w:line="480" w:lineRule="auto"/>
              <w:jc w:val="center"/>
              <w:rPr>
                <w:rFonts w:ascii="宋体" w:hAnsi="宋体" w:cs="宋体"/>
                <w:spacing w:val="20"/>
                <w:sz w:val="28"/>
                <w:szCs w:val="28"/>
              </w:rPr>
            </w:pPr>
          </w:p>
        </w:tc>
        <w:tc>
          <w:tcPr>
            <w:tcW w:w="1260" w:type="dxa"/>
            <w:vAlign w:val="center"/>
          </w:tcPr>
          <w:p>
            <w:pPr>
              <w:adjustRightInd w:val="0"/>
              <w:snapToGrid w:val="0"/>
              <w:spacing w:line="480" w:lineRule="auto"/>
              <w:jc w:val="center"/>
              <w:rPr>
                <w:rFonts w:ascii="宋体" w:hAnsi="宋体" w:cs="宋体"/>
                <w:spacing w:val="20"/>
                <w:sz w:val="28"/>
                <w:szCs w:val="28"/>
              </w:rPr>
            </w:pPr>
          </w:p>
        </w:tc>
        <w:tc>
          <w:tcPr>
            <w:tcW w:w="1080" w:type="dxa"/>
            <w:vAlign w:val="center"/>
          </w:tcPr>
          <w:p>
            <w:pPr>
              <w:adjustRightInd w:val="0"/>
              <w:snapToGrid w:val="0"/>
              <w:spacing w:line="480" w:lineRule="auto"/>
              <w:jc w:val="center"/>
              <w:rPr>
                <w:rFonts w:ascii="宋体" w:hAnsi="宋体" w:cs="宋体"/>
                <w:spacing w:val="20"/>
                <w:sz w:val="28"/>
                <w:szCs w:val="28"/>
              </w:rPr>
            </w:pPr>
          </w:p>
        </w:tc>
        <w:tc>
          <w:tcPr>
            <w:tcW w:w="1832" w:type="dxa"/>
            <w:vAlign w:val="center"/>
          </w:tcPr>
          <w:p>
            <w:pPr>
              <w:adjustRightInd w:val="0"/>
              <w:snapToGrid w:val="0"/>
              <w:spacing w:line="480" w:lineRule="auto"/>
              <w:jc w:val="center"/>
              <w:rPr>
                <w:rFonts w:ascii="宋体" w:hAnsi="宋体" w:cs="宋体"/>
                <w:spacing w:val="20"/>
                <w:sz w:val="28"/>
                <w:szCs w:val="28"/>
              </w:rPr>
            </w:pPr>
          </w:p>
        </w:tc>
        <w:tc>
          <w:tcPr>
            <w:tcW w:w="1036" w:type="dxa"/>
            <w:vAlign w:val="center"/>
          </w:tcPr>
          <w:p>
            <w:pPr>
              <w:adjustRightInd w:val="0"/>
              <w:snapToGrid w:val="0"/>
              <w:spacing w:line="480" w:lineRule="auto"/>
              <w:jc w:val="center"/>
              <w:rPr>
                <w:rFonts w:ascii="宋体" w:hAnsi="宋体" w:cs="宋体"/>
                <w:spacing w:val="20"/>
                <w:sz w:val="28"/>
                <w:szCs w:val="28"/>
              </w:rPr>
            </w:pPr>
          </w:p>
        </w:tc>
        <w:tc>
          <w:tcPr>
            <w:tcW w:w="1508" w:type="dxa"/>
            <w:vAlign w:val="center"/>
          </w:tcPr>
          <w:p>
            <w:pPr>
              <w:adjustRightInd w:val="0"/>
              <w:snapToGrid w:val="0"/>
              <w:spacing w:line="480" w:lineRule="auto"/>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adjustRightInd w:val="0"/>
              <w:snapToGrid w:val="0"/>
              <w:spacing w:line="480" w:lineRule="auto"/>
              <w:jc w:val="center"/>
              <w:rPr>
                <w:rFonts w:ascii="宋体" w:hAnsi="宋体" w:cs="宋体"/>
                <w:spacing w:val="20"/>
                <w:sz w:val="28"/>
                <w:szCs w:val="28"/>
              </w:rPr>
            </w:pPr>
          </w:p>
        </w:tc>
        <w:tc>
          <w:tcPr>
            <w:tcW w:w="1512" w:type="dxa"/>
            <w:vAlign w:val="center"/>
          </w:tcPr>
          <w:p>
            <w:pPr>
              <w:adjustRightInd w:val="0"/>
              <w:snapToGrid w:val="0"/>
              <w:spacing w:line="480" w:lineRule="auto"/>
              <w:jc w:val="center"/>
              <w:rPr>
                <w:rFonts w:ascii="宋体" w:hAnsi="宋体" w:cs="宋体"/>
                <w:spacing w:val="20"/>
                <w:sz w:val="28"/>
                <w:szCs w:val="28"/>
              </w:rPr>
            </w:pPr>
          </w:p>
        </w:tc>
        <w:tc>
          <w:tcPr>
            <w:tcW w:w="1260" w:type="dxa"/>
            <w:vAlign w:val="center"/>
          </w:tcPr>
          <w:p>
            <w:pPr>
              <w:adjustRightInd w:val="0"/>
              <w:snapToGrid w:val="0"/>
              <w:spacing w:line="480" w:lineRule="auto"/>
              <w:jc w:val="center"/>
              <w:rPr>
                <w:rFonts w:ascii="宋体" w:hAnsi="宋体" w:cs="宋体"/>
                <w:spacing w:val="20"/>
                <w:sz w:val="28"/>
                <w:szCs w:val="28"/>
              </w:rPr>
            </w:pPr>
          </w:p>
        </w:tc>
        <w:tc>
          <w:tcPr>
            <w:tcW w:w="1080" w:type="dxa"/>
            <w:vAlign w:val="center"/>
          </w:tcPr>
          <w:p>
            <w:pPr>
              <w:adjustRightInd w:val="0"/>
              <w:snapToGrid w:val="0"/>
              <w:spacing w:line="480" w:lineRule="auto"/>
              <w:jc w:val="center"/>
              <w:rPr>
                <w:rFonts w:ascii="宋体" w:hAnsi="宋体" w:cs="宋体"/>
                <w:spacing w:val="20"/>
                <w:sz w:val="28"/>
                <w:szCs w:val="28"/>
              </w:rPr>
            </w:pPr>
          </w:p>
        </w:tc>
        <w:tc>
          <w:tcPr>
            <w:tcW w:w="1832" w:type="dxa"/>
            <w:vAlign w:val="center"/>
          </w:tcPr>
          <w:p>
            <w:pPr>
              <w:adjustRightInd w:val="0"/>
              <w:snapToGrid w:val="0"/>
              <w:spacing w:line="480" w:lineRule="auto"/>
              <w:jc w:val="center"/>
              <w:rPr>
                <w:rFonts w:ascii="宋体" w:hAnsi="宋体" w:cs="宋体"/>
                <w:spacing w:val="20"/>
                <w:sz w:val="28"/>
                <w:szCs w:val="28"/>
              </w:rPr>
            </w:pPr>
          </w:p>
        </w:tc>
        <w:tc>
          <w:tcPr>
            <w:tcW w:w="1036" w:type="dxa"/>
            <w:vAlign w:val="center"/>
          </w:tcPr>
          <w:p>
            <w:pPr>
              <w:adjustRightInd w:val="0"/>
              <w:snapToGrid w:val="0"/>
              <w:spacing w:line="480" w:lineRule="auto"/>
              <w:jc w:val="center"/>
              <w:rPr>
                <w:rFonts w:ascii="宋体" w:hAnsi="宋体" w:cs="宋体"/>
                <w:spacing w:val="20"/>
                <w:sz w:val="28"/>
                <w:szCs w:val="28"/>
              </w:rPr>
            </w:pPr>
          </w:p>
        </w:tc>
        <w:tc>
          <w:tcPr>
            <w:tcW w:w="1508" w:type="dxa"/>
            <w:vAlign w:val="center"/>
          </w:tcPr>
          <w:p>
            <w:pPr>
              <w:adjustRightInd w:val="0"/>
              <w:snapToGrid w:val="0"/>
              <w:spacing w:line="480" w:lineRule="auto"/>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adjustRightInd w:val="0"/>
              <w:snapToGrid w:val="0"/>
              <w:spacing w:line="480" w:lineRule="auto"/>
              <w:jc w:val="center"/>
              <w:rPr>
                <w:rFonts w:ascii="宋体" w:hAnsi="宋体" w:cs="宋体"/>
                <w:spacing w:val="20"/>
                <w:sz w:val="28"/>
                <w:szCs w:val="28"/>
              </w:rPr>
            </w:pPr>
          </w:p>
        </w:tc>
        <w:tc>
          <w:tcPr>
            <w:tcW w:w="1512" w:type="dxa"/>
            <w:vAlign w:val="center"/>
          </w:tcPr>
          <w:p>
            <w:pPr>
              <w:adjustRightInd w:val="0"/>
              <w:snapToGrid w:val="0"/>
              <w:spacing w:line="480" w:lineRule="auto"/>
              <w:jc w:val="center"/>
              <w:rPr>
                <w:rFonts w:ascii="宋体" w:hAnsi="宋体" w:cs="宋体"/>
                <w:spacing w:val="20"/>
                <w:sz w:val="28"/>
                <w:szCs w:val="28"/>
              </w:rPr>
            </w:pPr>
          </w:p>
        </w:tc>
        <w:tc>
          <w:tcPr>
            <w:tcW w:w="1260" w:type="dxa"/>
            <w:vAlign w:val="center"/>
          </w:tcPr>
          <w:p>
            <w:pPr>
              <w:adjustRightInd w:val="0"/>
              <w:snapToGrid w:val="0"/>
              <w:spacing w:line="480" w:lineRule="auto"/>
              <w:jc w:val="center"/>
              <w:rPr>
                <w:rFonts w:ascii="宋体" w:hAnsi="宋体" w:cs="宋体"/>
                <w:spacing w:val="20"/>
                <w:sz w:val="28"/>
                <w:szCs w:val="28"/>
              </w:rPr>
            </w:pPr>
          </w:p>
        </w:tc>
        <w:tc>
          <w:tcPr>
            <w:tcW w:w="1080" w:type="dxa"/>
            <w:vAlign w:val="center"/>
          </w:tcPr>
          <w:p>
            <w:pPr>
              <w:adjustRightInd w:val="0"/>
              <w:snapToGrid w:val="0"/>
              <w:spacing w:line="480" w:lineRule="auto"/>
              <w:jc w:val="center"/>
              <w:rPr>
                <w:rFonts w:ascii="宋体" w:hAnsi="宋体" w:cs="宋体"/>
                <w:spacing w:val="20"/>
                <w:sz w:val="28"/>
                <w:szCs w:val="28"/>
              </w:rPr>
            </w:pPr>
          </w:p>
        </w:tc>
        <w:tc>
          <w:tcPr>
            <w:tcW w:w="1832" w:type="dxa"/>
            <w:vAlign w:val="center"/>
          </w:tcPr>
          <w:p>
            <w:pPr>
              <w:adjustRightInd w:val="0"/>
              <w:snapToGrid w:val="0"/>
              <w:spacing w:line="480" w:lineRule="auto"/>
              <w:jc w:val="center"/>
              <w:rPr>
                <w:rFonts w:ascii="宋体" w:hAnsi="宋体" w:cs="宋体"/>
                <w:spacing w:val="20"/>
                <w:sz w:val="28"/>
                <w:szCs w:val="28"/>
              </w:rPr>
            </w:pPr>
          </w:p>
        </w:tc>
        <w:tc>
          <w:tcPr>
            <w:tcW w:w="1036" w:type="dxa"/>
            <w:vAlign w:val="center"/>
          </w:tcPr>
          <w:p>
            <w:pPr>
              <w:adjustRightInd w:val="0"/>
              <w:snapToGrid w:val="0"/>
              <w:spacing w:line="480" w:lineRule="auto"/>
              <w:jc w:val="center"/>
              <w:rPr>
                <w:rFonts w:ascii="宋体" w:hAnsi="宋体" w:cs="宋体"/>
                <w:spacing w:val="20"/>
                <w:sz w:val="28"/>
                <w:szCs w:val="28"/>
              </w:rPr>
            </w:pPr>
          </w:p>
        </w:tc>
        <w:tc>
          <w:tcPr>
            <w:tcW w:w="1508" w:type="dxa"/>
            <w:vAlign w:val="center"/>
          </w:tcPr>
          <w:p>
            <w:pPr>
              <w:adjustRightInd w:val="0"/>
              <w:snapToGrid w:val="0"/>
              <w:spacing w:line="480" w:lineRule="auto"/>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adjustRightInd w:val="0"/>
              <w:snapToGrid w:val="0"/>
              <w:spacing w:line="480" w:lineRule="auto"/>
              <w:jc w:val="center"/>
              <w:rPr>
                <w:rFonts w:ascii="宋体" w:hAnsi="宋体" w:cs="宋体"/>
                <w:spacing w:val="20"/>
                <w:sz w:val="28"/>
                <w:szCs w:val="28"/>
              </w:rPr>
            </w:pPr>
          </w:p>
        </w:tc>
        <w:tc>
          <w:tcPr>
            <w:tcW w:w="1512" w:type="dxa"/>
            <w:vAlign w:val="center"/>
          </w:tcPr>
          <w:p>
            <w:pPr>
              <w:adjustRightInd w:val="0"/>
              <w:snapToGrid w:val="0"/>
              <w:spacing w:line="480" w:lineRule="auto"/>
              <w:jc w:val="center"/>
              <w:rPr>
                <w:rFonts w:ascii="宋体" w:hAnsi="宋体" w:cs="宋体"/>
                <w:spacing w:val="20"/>
                <w:sz w:val="28"/>
                <w:szCs w:val="28"/>
              </w:rPr>
            </w:pPr>
          </w:p>
        </w:tc>
        <w:tc>
          <w:tcPr>
            <w:tcW w:w="1260" w:type="dxa"/>
            <w:vAlign w:val="center"/>
          </w:tcPr>
          <w:p>
            <w:pPr>
              <w:adjustRightInd w:val="0"/>
              <w:snapToGrid w:val="0"/>
              <w:spacing w:line="480" w:lineRule="auto"/>
              <w:jc w:val="center"/>
              <w:rPr>
                <w:rFonts w:ascii="宋体" w:hAnsi="宋体" w:cs="宋体"/>
                <w:spacing w:val="20"/>
                <w:sz w:val="28"/>
                <w:szCs w:val="28"/>
              </w:rPr>
            </w:pPr>
          </w:p>
        </w:tc>
        <w:tc>
          <w:tcPr>
            <w:tcW w:w="1080" w:type="dxa"/>
            <w:vAlign w:val="center"/>
          </w:tcPr>
          <w:p>
            <w:pPr>
              <w:adjustRightInd w:val="0"/>
              <w:snapToGrid w:val="0"/>
              <w:spacing w:line="480" w:lineRule="auto"/>
              <w:jc w:val="center"/>
              <w:rPr>
                <w:rFonts w:ascii="宋体" w:hAnsi="宋体" w:cs="宋体"/>
                <w:spacing w:val="20"/>
                <w:sz w:val="28"/>
                <w:szCs w:val="28"/>
              </w:rPr>
            </w:pPr>
          </w:p>
        </w:tc>
        <w:tc>
          <w:tcPr>
            <w:tcW w:w="1832" w:type="dxa"/>
            <w:vAlign w:val="center"/>
          </w:tcPr>
          <w:p>
            <w:pPr>
              <w:adjustRightInd w:val="0"/>
              <w:snapToGrid w:val="0"/>
              <w:spacing w:line="480" w:lineRule="auto"/>
              <w:jc w:val="center"/>
              <w:rPr>
                <w:rFonts w:ascii="宋体" w:hAnsi="宋体" w:cs="宋体"/>
                <w:spacing w:val="20"/>
                <w:sz w:val="28"/>
                <w:szCs w:val="28"/>
              </w:rPr>
            </w:pPr>
          </w:p>
        </w:tc>
        <w:tc>
          <w:tcPr>
            <w:tcW w:w="1036" w:type="dxa"/>
            <w:vAlign w:val="center"/>
          </w:tcPr>
          <w:p>
            <w:pPr>
              <w:adjustRightInd w:val="0"/>
              <w:snapToGrid w:val="0"/>
              <w:spacing w:line="480" w:lineRule="auto"/>
              <w:jc w:val="center"/>
              <w:rPr>
                <w:rFonts w:ascii="宋体" w:hAnsi="宋体" w:cs="宋体"/>
                <w:spacing w:val="20"/>
                <w:sz w:val="28"/>
                <w:szCs w:val="28"/>
              </w:rPr>
            </w:pPr>
          </w:p>
        </w:tc>
        <w:tc>
          <w:tcPr>
            <w:tcW w:w="1508" w:type="dxa"/>
            <w:vAlign w:val="center"/>
          </w:tcPr>
          <w:p>
            <w:pPr>
              <w:adjustRightInd w:val="0"/>
              <w:snapToGrid w:val="0"/>
              <w:spacing w:line="480" w:lineRule="auto"/>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adjustRightInd w:val="0"/>
              <w:snapToGrid w:val="0"/>
              <w:spacing w:line="480" w:lineRule="auto"/>
              <w:jc w:val="center"/>
              <w:rPr>
                <w:rFonts w:ascii="宋体" w:hAnsi="宋体" w:cs="宋体"/>
                <w:spacing w:val="20"/>
                <w:sz w:val="28"/>
                <w:szCs w:val="28"/>
              </w:rPr>
            </w:pPr>
          </w:p>
        </w:tc>
        <w:tc>
          <w:tcPr>
            <w:tcW w:w="1512" w:type="dxa"/>
            <w:vAlign w:val="center"/>
          </w:tcPr>
          <w:p>
            <w:pPr>
              <w:adjustRightInd w:val="0"/>
              <w:snapToGrid w:val="0"/>
              <w:spacing w:line="480" w:lineRule="auto"/>
              <w:jc w:val="center"/>
              <w:rPr>
                <w:rFonts w:ascii="宋体" w:hAnsi="宋体" w:cs="宋体"/>
                <w:spacing w:val="20"/>
                <w:sz w:val="28"/>
                <w:szCs w:val="28"/>
              </w:rPr>
            </w:pPr>
          </w:p>
        </w:tc>
        <w:tc>
          <w:tcPr>
            <w:tcW w:w="1260" w:type="dxa"/>
            <w:vAlign w:val="center"/>
          </w:tcPr>
          <w:p>
            <w:pPr>
              <w:adjustRightInd w:val="0"/>
              <w:snapToGrid w:val="0"/>
              <w:spacing w:line="480" w:lineRule="auto"/>
              <w:jc w:val="center"/>
              <w:rPr>
                <w:rFonts w:ascii="宋体" w:hAnsi="宋体" w:cs="宋体"/>
                <w:spacing w:val="20"/>
                <w:sz w:val="28"/>
                <w:szCs w:val="28"/>
              </w:rPr>
            </w:pPr>
          </w:p>
        </w:tc>
        <w:tc>
          <w:tcPr>
            <w:tcW w:w="1080" w:type="dxa"/>
            <w:vAlign w:val="center"/>
          </w:tcPr>
          <w:p>
            <w:pPr>
              <w:adjustRightInd w:val="0"/>
              <w:snapToGrid w:val="0"/>
              <w:spacing w:line="480" w:lineRule="auto"/>
              <w:jc w:val="center"/>
              <w:rPr>
                <w:rFonts w:ascii="宋体" w:hAnsi="宋体" w:cs="宋体"/>
                <w:spacing w:val="20"/>
                <w:sz w:val="28"/>
                <w:szCs w:val="28"/>
              </w:rPr>
            </w:pPr>
          </w:p>
        </w:tc>
        <w:tc>
          <w:tcPr>
            <w:tcW w:w="1832" w:type="dxa"/>
            <w:vAlign w:val="center"/>
          </w:tcPr>
          <w:p>
            <w:pPr>
              <w:adjustRightInd w:val="0"/>
              <w:snapToGrid w:val="0"/>
              <w:spacing w:line="480" w:lineRule="auto"/>
              <w:jc w:val="center"/>
              <w:rPr>
                <w:rFonts w:ascii="宋体" w:hAnsi="宋体" w:cs="宋体"/>
                <w:spacing w:val="20"/>
                <w:sz w:val="28"/>
                <w:szCs w:val="28"/>
              </w:rPr>
            </w:pPr>
          </w:p>
        </w:tc>
        <w:tc>
          <w:tcPr>
            <w:tcW w:w="1036" w:type="dxa"/>
            <w:vAlign w:val="center"/>
          </w:tcPr>
          <w:p>
            <w:pPr>
              <w:adjustRightInd w:val="0"/>
              <w:snapToGrid w:val="0"/>
              <w:spacing w:line="480" w:lineRule="auto"/>
              <w:jc w:val="center"/>
              <w:rPr>
                <w:rFonts w:ascii="宋体" w:hAnsi="宋体" w:cs="宋体"/>
                <w:spacing w:val="20"/>
                <w:sz w:val="28"/>
                <w:szCs w:val="28"/>
              </w:rPr>
            </w:pPr>
          </w:p>
        </w:tc>
        <w:tc>
          <w:tcPr>
            <w:tcW w:w="1508" w:type="dxa"/>
            <w:vAlign w:val="center"/>
          </w:tcPr>
          <w:p>
            <w:pPr>
              <w:adjustRightInd w:val="0"/>
              <w:snapToGrid w:val="0"/>
              <w:spacing w:line="480" w:lineRule="auto"/>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adjustRightInd w:val="0"/>
              <w:snapToGrid w:val="0"/>
              <w:spacing w:line="480" w:lineRule="auto"/>
              <w:jc w:val="center"/>
              <w:rPr>
                <w:rFonts w:ascii="宋体" w:hAnsi="宋体" w:cs="宋体"/>
                <w:spacing w:val="20"/>
                <w:sz w:val="28"/>
                <w:szCs w:val="28"/>
              </w:rPr>
            </w:pPr>
          </w:p>
        </w:tc>
        <w:tc>
          <w:tcPr>
            <w:tcW w:w="1512" w:type="dxa"/>
            <w:vAlign w:val="center"/>
          </w:tcPr>
          <w:p>
            <w:pPr>
              <w:adjustRightInd w:val="0"/>
              <w:snapToGrid w:val="0"/>
              <w:spacing w:line="480" w:lineRule="auto"/>
              <w:jc w:val="center"/>
              <w:rPr>
                <w:rFonts w:ascii="宋体" w:hAnsi="宋体" w:cs="宋体"/>
                <w:spacing w:val="20"/>
                <w:sz w:val="28"/>
                <w:szCs w:val="28"/>
              </w:rPr>
            </w:pPr>
          </w:p>
        </w:tc>
        <w:tc>
          <w:tcPr>
            <w:tcW w:w="1260" w:type="dxa"/>
            <w:vAlign w:val="center"/>
          </w:tcPr>
          <w:p>
            <w:pPr>
              <w:adjustRightInd w:val="0"/>
              <w:snapToGrid w:val="0"/>
              <w:spacing w:line="480" w:lineRule="auto"/>
              <w:jc w:val="center"/>
              <w:rPr>
                <w:rFonts w:ascii="宋体" w:hAnsi="宋体" w:cs="宋体"/>
                <w:spacing w:val="20"/>
                <w:sz w:val="28"/>
                <w:szCs w:val="28"/>
              </w:rPr>
            </w:pPr>
          </w:p>
        </w:tc>
        <w:tc>
          <w:tcPr>
            <w:tcW w:w="1080" w:type="dxa"/>
            <w:vAlign w:val="center"/>
          </w:tcPr>
          <w:p>
            <w:pPr>
              <w:adjustRightInd w:val="0"/>
              <w:snapToGrid w:val="0"/>
              <w:spacing w:line="480" w:lineRule="auto"/>
              <w:jc w:val="center"/>
              <w:rPr>
                <w:rFonts w:ascii="宋体" w:hAnsi="宋体" w:cs="宋体"/>
                <w:spacing w:val="20"/>
                <w:sz w:val="28"/>
                <w:szCs w:val="28"/>
              </w:rPr>
            </w:pPr>
          </w:p>
        </w:tc>
        <w:tc>
          <w:tcPr>
            <w:tcW w:w="1832" w:type="dxa"/>
            <w:vAlign w:val="center"/>
          </w:tcPr>
          <w:p>
            <w:pPr>
              <w:adjustRightInd w:val="0"/>
              <w:snapToGrid w:val="0"/>
              <w:spacing w:line="480" w:lineRule="auto"/>
              <w:jc w:val="center"/>
              <w:rPr>
                <w:rFonts w:ascii="宋体" w:hAnsi="宋体" w:cs="宋体"/>
                <w:spacing w:val="20"/>
                <w:sz w:val="28"/>
                <w:szCs w:val="28"/>
              </w:rPr>
            </w:pPr>
          </w:p>
        </w:tc>
        <w:tc>
          <w:tcPr>
            <w:tcW w:w="1036" w:type="dxa"/>
            <w:vAlign w:val="center"/>
          </w:tcPr>
          <w:p>
            <w:pPr>
              <w:adjustRightInd w:val="0"/>
              <w:snapToGrid w:val="0"/>
              <w:spacing w:line="480" w:lineRule="auto"/>
              <w:jc w:val="center"/>
              <w:rPr>
                <w:rFonts w:ascii="宋体" w:hAnsi="宋体" w:cs="宋体"/>
                <w:spacing w:val="20"/>
                <w:sz w:val="28"/>
                <w:szCs w:val="28"/>
              </w:rPr>
            </w:pPr>
          </w:p>
        </w:tc>
        <w:tc>
          <w:tcPr>
            <w:tcW w:w="1508" w:type="dxa"/>
            <w:vAlign w:val="center"/>
          </w:tcPr>
          <w:p>
            <w:pPr>
              <w:adjustRightInd w:val="0"/>
              <w:snapToGrid w:val="0"/>
              <w:spacing w:line="480" w:lineRule="auto"/>
              <w:jc w:val="center"/>
              <w:rPr>
                <w:rFonts w:ascii="宋体" w:hAnsi="宋体" w:cs="宋体"/>
                <w:spacing w:val="20"/>
                <w:sz w:val="28"/>
                <w:szCs w:val="28"/>
              </w:rPr>
            </w:pPr>
          </w:p>
        </w:tc>
      </w:tr>
    </w:tbl>
    <w:p>
      <w:pPr>
        <w:adjustRightInd w:val="0"/>
        <w:snapToGrid w:val="0"/>
        <w:spacing w:line="500" w:lineRule="exact"/>
        <w:ind w:firstLine="800" w:firstLineChars="250"/>
        <w:rPr>
          <w:rFonts w:ascii="宋体" w:hAnsi="宋体" w:cs="宋体"/>
          <w:sz w:val="28"/>
          <w:szCs w:val="28"/>
        </w:rPr>
      </w:pPr>
      <w:r>
        <w:rPr>
          <w:rFonts w:hint="eastAsia" w:ascii="宋体" w:hAnsi="宋体" w:cs="宋体"/>
          <w:spacing w:val="20"/>
          <w:sz w:val="28"/>
          <w:szCs w:val="28"/>
        </w:rPr>
        <w:t>注：1、必须与相应项目的所有技术规格相比较填列。</w:t>
      </w:r>
    </w:p>
    <w:p>
      <w:pPr>
        <w:adjustRightInd w:val="0"/>
        <w:snapToGrid w:val="0"/>
        <w:rPr>
          <w:rFonts w:ascii="宋体" w:hAnsi="宋体" w:cs="宋体"/>
          <w:spacing w:val="20"/>
          <w:sz w:val="28"/>
          <w:szCs w:val="28"/>
        </w:rPr>
      </w:pPr>
    </w:p>
    <w:p>
      <w:pPr>
        <w:adjustRightInd w:val="0"/>
        <w:snapToGrid w:val="0"/>
        <w:rPr>
          <w:rFonts w:ascii="宋体" w:hAnsi="宋体" w:cs="宋体"/>
          <w:spacing w:val="20"/>
          <w:sz w:val="28"/>
          <w:szCs w:val="28"/>
        </w:rPr>
      </w:pPr>
    </w:p>
    <w:p>
      <w:pPr>
        <w:adjustRightInd w:val="0"/>
        <w:snapToGrid w:val="0"/>
        <w:jc w:val="center"/>
        <w:rPr>
          <w:rFonts w:ascii="宋体" w:hAnsi="宋体" w:cs="宋体"/>
          <w:spacing w:val="20"/>
          <w:sz w:val="28"/>
          <w:szCs w:val="28"/>
        </w:rPr>
      </w:pPr>
      <w:r>
        <w:rPr>
          <w:rFonts w:hint="eastAsia" w:ascii="宋体" w:hAnsi="宋体" w:cs="宋体"/>
          <w:spacing w:val="20"/>
          <w:sz w:val="28"/>
          <w:szCs w:val="28"/>
        </w:rPr>
        <w:t xml:space="preserve">    </w:t>
      </w:r>
    </w:p>
    <w:p>
      <w:pPr>
        <w:widowControl/>
        <w:snapToGrid w:val="0"/>
        <w:spacing w:line="360" w:lineRule="auto"/>
        <w:jc w:val="center"/>
        <w:rPr>
          <w:rFonts w:ascii="宋体" w:hAnsi="宋体" w:cs="宋体"/>
          <w:kern w:val="0"/>
          <w:sz w:val="28"/>
          <w:szCs w:val="28"/>
        </w:rPr>
      </w:pPr>
      <w:r>
        <w:rPr>
          <w:rFonts w:hint="eastAsia" w:ascii="宋体" w:hAnsi="宋体" w:cs="宋体"/>
          <w:sz w:val="28"/>
          <w:szCs w:val="28"/>
        </w:rPr>
        <w:t xml:space="preserve">             </w:t>
      </w:r>
      <w:r>
        <w:rPr>
          <w:rFonts w:hint="eastAsia" w:ascii="宋体" w:hAnsi="宋体" w:cs="宋体"/>
          <w:kern w:val="0"/>
          <w:sz w:val="28"/>
          <w:szCs w:val="28"/>
        </w:rPr>
        <w:t>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60" w:lineRule="auto"/>
        <w:ind w:firstLine="4340" w:firstLineChars="1550"/>
        <w:rPr>
          <w:rFonts w:ascii="宋体" w:hAnsi="宋体" w:cs="宋体"/>
          <w:b/>
          <w:bCs/>
          <w:kern w:val="0"/>
          <w:sz w:val="24"/>
        </w:rPr>
      </w:pPr>
      <w:r>
        <w:rPr>
          <w:rFonts w:hint="eastAsia" w:ascii="宋体" w:hAnsi="宋体" w:cs="宋体"/>
          <w:kern w:val="0"/>
          <w:sz w:val="28"/>
          <w:szCs w:val="28"/>
        </w:rPr>
        <w:t>日期：    年 月  日</w:t>
      </w: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r>
        <w:rPr>
          <w:rStyle w:val="105"/>
          <w:rFonts w:hint="eastAsia" w:ascii="宋体" w:hAnsi="宋体" w:cs="宋体"/>
          <w:sz w:val="30"/>
          <w:szCs w:val="30"/>
        </w:rPr>
        <w:t>附件五</w:t>
      </w:r>
    </w:p>
    <w:p>
      <w:pPr>
        <w:snapToGrid w:val="0"/>
        <w:spacing w:before="120" w:beforeLines="50" w:after="50"/>
        <w:jc w:val="center"/>
        <w:rPr>
          <w:rFonts w:ascii="宋体" w:hAnsi="宋体" w:cs="宋体"/>
          <w:b/>
          <w:sz w:val="32"/>
          <w:szCs w:val="32"/>
        </w:rPr>
      </w:pPr>
      <w:r>
        <w:rPr>
          <w:rFonts w:hint="eastAsia" w:ascii="宋体" w:hAnsi="宋体" w:cs="宋体"/>
          <w:b/>
          <w:sz w:val="32"/>
          <w:szCs w:val="32"/>
        </w:rPr>
        <w:t>项目实施人员（主要从业人员及其技术资格）一览表</w:t>
      </w:r>
    </w:p>
    <w:p>
      <w:pPr>
        <w:adjustRightInd w:val="0"/>
        <w:snapToGrid w:val="0"/>
        <w:spacing w:line="360" w:lineRule="auto"/>
        <w:ind w:firstLine="160" w:firstLineChars="50"/>
        <w:rPr>
          <w:rFonts w:ascii="宋体" w:hAnsi="宋体" w:cs="宋体"/>
          <w:spacing w:val="20"/>
          <w:sz w:val="28"/>
          <w:szCs w:val="28"/>
        </w:rPr>
      </w:pPr>
      <w:r>
        <w:rPr>
          <w:rFonts w:hint="eastAsia" w:ascii="宋体" w:hAnsi="宋体" w:cs="宋体"/>
          <w:spacing w:val="20"/>
          <w:sz w:val="28"/>
          <w:szCs w:val="28"/>
        </w:rPr>
        <w:t>招标编号：</w:t>
      </w:r>
      <w:r>
        <w:rPr>
          <w:rFonts w:hint="eastAsia" w:ascii="宋体" w:hAnsi="宋体" w:cs="宋体"/>
          <w:kern w:val="0"/>
          <w:sz w:val="28"/>
          <w:szCs w:val="28"/>
        </w:rPr>
        <w:t>JDYH2021-</w:t>
      </w:r>
    </w:p>
    <w:tbl>
      <w:tblPr>
        <w:tblStyle w:val="38"/>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gridCol w:w="1980"/>
        <w:gridCol w:w="1260"/>
        <w:gridCol w:w="18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8"/>
                <w:szCs w:val="28"/>
              </w:rPr>
            </w:pPr>
            <w:r>
              <w:rPr>
                <w:rFonts w:hint="eastAsia" w:ascii="宋体" w:hAnsi="宋体" w:cs="宋体"/>
                <w:sz w:val="28"/>
                <w:szCs w:val="28"/>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8"/>
                <w:szCs w:val="28"/>
              </w:rPr>
            </w:pPr>
            <w:r>
              <w:rPr>
                <w:rFonts w:hint="eastAsia" w:ascii="宋体" w:hAnsi="宋体" w:cs="宋体"/>
                <w:sz w:val="28"/>
                <w:szCs w:val="28"/>
              </w:rPr>
              <w:t>职务</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8"/>
                <w:szCs w:val="28"/>
              </w:rPr>
            </w:pPr>
            <w:r>
              <w:rPr>
                <w:rFonts w:hint="eastAsia" w:ascii="宋体" w:hAnsi="宋体" w:cs="宋体"/>
                <w:sz w:val="28"/>
                <w:szCs w:val="28"/>
              </w:rPr>
              <w:t>专业技</w:t>
            </w:r>
          </w:p>
          <w:p>
            <w:pPr>
              <w:snapToGrid w:val="0"/>
              <w:jc w:val="center"/>
              <w:rPr>
                <w:rFonts w:ascii="宋体" w:hAnsi="宋体" w:cs="宋体"/>
                <w:sz w:val="28"/>
                <w:szCs w:val="28"/>
              </w:rPr>
            </w:pPr>
            <w:r>
              <w:rPr>
                <w:rFonts w:hint="eastAsia" w:ascii="宋体" w:hAnsi="宋体" w:cs="宋体"/>
                <w:sz w:val="28"/>
                <w:szCs w:val="28"/>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8"/>
                <w:szCs w:val="28"/>
              </w:rPr>
            </w:pPr>
            <w:r>
              <w:rPr>
                <w:rFonts w:hint="eastAsia" w:ascii="宋体" w:hAnsi="宋体" w:cs="宋体"/>
                <w:sz w:val="28"/>
                <w:szCs w:val="28"/>
              </w:rPr>
              <w:t>证书</w:t>
            </w:r>
          </w:p>
          <w:p>
            <w:pPr>
              <w:snapToGrid w:val="0"/>
              <w:jc w:val="center"/>
              <w:rPr>
                <w:rFonts w:ascii="宋体" w:hAnsi="宋体" w:cs="宋体"/>
                <w:sz w:val="28"/>
                <w:szCs w:val="28"/>
              </w:rPr>
            </w:pPr>
            <w:r>
              <w:rPr>
                <w:rFonts w:hint="eastAsia" w:ascii="宋体" w:hAnsi="宋体" w:cs="宋体"/>
                <w:sz w:val="28"/>
                <w:szCs w:val="28"/>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28"/>
                <w:szCs w:val="28"/>
              </w:rPr>
            </w:pPr>
            <w:r>
              <w:rPr>
                <w:rFonts w:hint="eastAsia" w:ascii="宋体" w:hAnsi="宋体" w:cs="宋体"/>
                <w:bCs/>
                <w:sz w:val="28"/>
                <w:szCs w:val="28"/>
              </w:rPr>
              <w:t>参加本单位工作时间</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28"/>
                <w:szCs w:val="28"/>
              </w:rPr>
            </w:pPr>
            <w:r>
              <w:rPr>
                <w:rFonts w:hint="eastAsia" w:ascii="宋体" w:hAnsi="宋体" w:cs="宋体"/>
                <w:bCs/>
                <w:sz w:val="28"/>
                <w:szCs w:val="28"/>
              </w:rPr>
              <w:t>劳动合</w:t>
            </w:r>
          </w:p>
          <w:p>
            <w:pPr>
              <w:snapToGrid w:val="0"/>
              <w:jc w:val="center"/>
              <w:rPr>
                <w:rFonts w:ascii="宋体" w:hAnsi="宋体" w:cs="宋体"/>
                <w:bCs/>
                <w:sz w:val="28"/>
                <w:szCs w:val="28"/>
              </w:rPr>
            </w:pPr>
            <w:r>
              <w:rPr>
                <w:rFonts w:hint="eastAsia" w:ascii="宋体" w:hAnsi="宋体" w:cs="宋体"/>
                <w:bCs/>
                <w:sz w:val="28"/>
                <w:szCs w:val="28"/>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pStyle w:val="23"/>
              <w:snapToGrid w:val="0"/>
              <w:spacing w:before="120" w:beforeLines="50" w:after="50" w:line="460" w:lineRule="exact"/>
              <w:ind w:left="5250"/>
              <w:rPr>
                <w:rFonts w:ascii="宋体" w:hAnsi="宋体" w:cs="宋体"/>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8"/>
                <w:szCs w:val="28"/>
              </w:rPr>
            </w:pPr>
          </w:p>
        </w:tc>
      </w:tr>
    </w:tbl>
    <w:p>
      <w:pPr>
        <w:snapToGrid w:val="0"/>
        <w:spacing w:before="50" w:after="120" w:afterLines="50" w:line="460" w:lineRule="exact"/>
        <w:jc w:val="left"/>
        <w:rPr>
          <w:rFonts w:ascii="宋体" w:hAnsi="宋体" w:cs="宋体"/>
          <w:sz w:val="28"/>
          <w:szCs w:val="28"/>
        </w:rPr>
      </w:pPr>
      <w:r>
        <w:rPr>
          <w:rFonts w:hint="eastAsia" w:ascii="宋体" w:hAnsi="宋体" w:cs="宋体"/>
          <w:sz w:val="28"/>
          <w:szCs w:val="28"/>
        </w:rPr>
        <w:t xml:space="preserve">注：在填写时，如本表格不适合投标单位的实际情况，可根据本表格式自行划表填写。 </w:t>
      </w:r>
    </w:p>
    <w:p>
      <w:pPr>
        <w:snapToGrid w:val="0"/>
        <w:spacing w:before="50" w:after="120" w:afterLines="50" w:line="460" w:lineRule="exact"/>
        <w:jc w:val="left"/>
        <w:rPr>
          <w:rFonts w:ascii="宋体" w:hAnsi="宋体" w:cs="宋体"/>
          <w:sz w:val="28"/>
          <w:szCs w:val="28"/>
        </w:rPr>
      </w:pPr>
    </w:p>
    <w:p>
      <w:pPr>
        <w:snapToGrid w:val="0"/>
        <w:spacing w:before="50" w:after="120" w:afterLines="50" w:line="460" w:lineRule="exact"/>
        <w:jc w:val="left"/>
        <w:rPr>
          <w:rFonts w:ascii="宋体" w:hAnsi="宋体" w:cs="宋体"/>
          <w:sz w:val="28"/>
          <w:szCs w:val="28"/>
        </w:rPr>
      </w:pPr>
    </w:p>
    <w:p>
      <w:pPr>
        <w:widowControl/>
        <w:snapToGrid w:val="0"/>
        <w:spacing w:line="360" w:lineRule="auto"/>
        <w:jc w:val="center"/>
        <w:rPr>
          <w:rFonts w:ascii="宋体" w:hAnsi="宋体" w:cs="宋体"/>
          <w:kern w:val="0"/>
          <w:sz w:val="28"/>
          <w:szCs w:val="28"/>
        </w:rPr>
      </w:pPr>
      <w:r>
        <w:rPr>
          <w:rFonts w:hint="eastAsia" w:ascii="宋体" w:hAnsi="宋体" w:cs="宋体"/>
          <w:spacing w:val="20"/>
          <w:sz w:val="28"/>
          <w:szCs w:val="28"/>
        </w:rPr>
        <w:t xml:space="preserve">         </w:t>
      </w:r>
      <w:r>
        <w:rPr>
          <w:rFonts w:hint="eastAsia" w:ascii="宋体" w:hAnsi="宋体" w:cs="宋体"/>
          <w:kern w:val="0"/>
          <w:sz w:val="28"/>
          <w:szCs w:val="28"/>
        </w:rPr>
        <w:t>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投标单位(盖章)：日期：   年 月  日</w:t>
      </w:r>
    </w:p>
    <w:p>
      <w:pPr>
        <w:pStyle w:val="37"/>
        <w:ind w:firstLine="560"/>
        <w:rPr>
          <w:rFonts w:ascii="宋体" w:hAnsi="宋体" w:cs="宋体"/>
          <w:kern w:val="0"/>
          <w:sz w:val="28"/>
          <w:szCs w:val="28"/>
        </w:rPr>
      </w:pPr>
    </w:p>
    <w:p>
      <w:pPr>
        <w:pStyle w:val="37"/>
        <w:ind w:firstLine="560"/>
        <w:rPr>
          <w:rFonts w:ascii="宋体" w:hAnsi="宋体" w:cs="宋体"/>
          <w:kern w:val="0"/>
          <w:sz w:val="28"/>
          <w:szCs w:val="28"/>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r>
        <w:rPr>
          <w:rStyle w:val="105"/>
          <w:rFonts w:hint="eastAsia" w:ascii="宋体" w:hAnsi="宋体" w:cs="宋体"/>
          <w:sz w:val="30"/>
          <w:szCs w:val="30"/>
        </w:rPr>
        <w:t>附件六</w:t>
      </w:r>
    </w:p>
    <w:p>
      <w:pPr>
        <w:ind w:left="-178" w:leftChars="-85"/>
        <w:jc w:val="center"/>
        <w:rPr>
          <w:rFonts w:ascii="宋体" w:hAnsi="宋体" w:cs="宋体"/>
          <w:b/>
          <w:spacing w:val="20"/>
          <w:sz w:val="36"/>
          <w:szCs w:val="36"/>
        </w:rPr>
      </w:pPr>
      <w:r>
        <w:rPr>
          <w:rFonts w:hint="eastAsia" w:ascii="宋体" w:hAnsi="宋体" w:cs="宋体"/>
          <w:b/>
          <w:spacing w:val="20"/>
          <w:sz w:val="36"/>
          <w:szCs w:val="36"/>
        </w:rPr>
        <w:t>商务条款应对表</w:t>
      </w:r>
    </w:p>
    <w:p>
      <w:pPr>
        <w:pStyle w:val="18"/>
        <w:rPr>
          <w:rFonts w:ascii="宋体" w:hAnsi="宋体" w:cs="宋体"/>
        </w:rPr>
      </w:pPr>
    </w:p>
    <w:tbl>
      <w:tblPr>
        <w:tblStyle w:val="3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880"/>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adjustRightInd w:val="0"/>
              <w:snapToGrid w:val="0"/>
              <w:jc w:val="center"/>
              <w:rPr>
                <w:rFonts w:ascii="宋体" w:hAnsi="宋体" w:cs="宋体"/>
                <w:spacing w:val="20"/>
                <w:sz w:val="30"/>
                <w:szCs w:val="30"/>
              </w:rPr>
            </w:pPr>
            <w:r>
              <w:rPr>
                <w:rFonts w:hint="eastAsia" w:ascii="宋体" w:hAnsi="宋体" w:cs="宋体"/>
                <w:spacing w:val="20"/>
                <w:sz w:val="30"/>
                <w:szCs w:val="30"/>
              </w:rPr>
              <w:t>序号</w:t>
            </w:r>
          </w:p>
        </w:tc>
        <w:tc>
          <w:tcPr>
            <w:tcW w:w="1880" w:type="dxa"/>
            <w:vAlign w:val="center"/>
          </w:tcPr>
          <w:p>
            <w:pPr>
              <w:adjustRightInd w:val="0"/>
              <w:snapToGrid w:val="0"/>
              <w:jc w:val="center"/>
              <w:rPr>
                <w:rFonts w:ascii="宋体" w:hAnsi="宋体" w:cs="宋体"/>
                <w:spacing w:val="20"/>
                <w:sz w:val="30"/>
                <w:szCs w:val="30"/>
              </w:rPr>
            </w:pPr>
            <w:r>
              <w:rPr>
                <w:rFonts w:hint="eastAsia" w:ascii="宋体" w:hAnsi="宋体" w:cs="宋体"/>
                <w:spacing w:val="20"/>
                <w:sz w:val="30"/>
                <w:szCs w:val="30"/>
              </w:rPr>
              <w:t>内 容</w:t>
            </w:r>
          </w:p>
        </w:tc>
        <w:tc>
          <w:tcPr>
            <w:tcW w:w="1880" w:type="dxa"/>
            <w:vAlign w:val="center"/>
          </w:tcPr>
          <w:p>
            <w:pPr>
              <w:adjustRightInd w:val="0"/>
              <w:snapToGrid w:val="0"/>
              <w:jc w:val="center"/>
              <w:rPr>
                <w:rFonts w:ascii="宋体" w:hAnsi="宋体" w:cs="宋体"/>
                <w:spacing w:val="20"/>
                <w:sz w:val="30"/>
                <w:szCs w:val="30"/>
              </w:rPr>
            </w:pPr>
            <w:r>
              <w:rPr>
                <w:rFonts w:hint="eastAsia" w:ascii="宋体" w:hAnsi="宋体" w:cs="宋体"/>
                <w:spacing w:val="20"/>
                <w:sz w:val="30"/>
                <w:szCs w:val="30"/>
              </w:rPr>
              <w:t>招标要求</w:t>
            </w:r>
          </w:p>
        </w:tc>
        <w:tc>
          <w:tcPr>
            <w:tcW w:w="1880" w:type="dxa"/>
            <w:vAlign w:val="center"/>
          </w:tcPr>
          <w:p>
            <w:pPr>
              <w:adjustRightInd w:val="0"/>
              <w:snapToGrid w:val="0"/>
              <w:jc w:val="center"/>
              <w:rPr>
                <w:rFonts w:ascii="宋体" w:hAnsi="宋体" w:cs="宋体"/>
                <w:spacing w:val="20"/>
                <w:sz w:val="30"/>
                <w:szCs w:val="30"/>
              </w:rPr>
            </w:pPr>
            <w:r>
              <w:rPr>
                <w:rFonts w:hint="eastAsia" w:ascii="宋体" w:hAnsi="宋体" w:cs="宋体"/>
                <w:spacing w:val="20"/>
                <w:sz w:val="30"/>
                <w:szCs w:val="30"/>
              </w:rPr>
              <w:t>投标响应</w:t>
            </w:r>
          </w:p>
        </w:tc>
        <w:tc>
          <w:tcPr>
            <w:tcW w:w="1880" w:type="dxa"/>
            <w:vAlign w:val="center"/>
          </w:tcPr>
          <w:p>
            <w:pPr>
              <w:adjustRightInd w:val="0"/>
              <w:snapToGrid w:val="0"/>
              <w:jc w:val="center"/>
              <w:rPr>
                <w:rFonts w:ascii="宋体" w:hAnsi="宋体" w:cs="宋体"/>
                <w:spacing w:val="20"/>
                <w:sz w:val="30"/>
                <w:szCs w:val="30"/>
              </w:rPr>
            </w:pPr>
            <w:r>
              <w:rPr>
                <w:rFonts w:hint="eastAsia" w:ascii="宋体" w:hAnsi="宋体" w:cs="宋体"/>
                <w:spacing w:val="2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c>
          <w:tcPr>
            <w:tcW w:w="1880" w:type="dxa"/>
          </w:tcPr>
          <w:p>
            <w:pPr>
              <w:adjustRightInd w:val="0"/>
              <w:snapToGrid w:val="0"/>
              <w:spacing w:after="120" w:afterLines="50"/>
              <w:rPr>
                <w:rFonts w:ascii="宋体" w:hAnsi="宋体" w:cs="宋体"/>
                <w:spacing w:val="20"/>
                <w:sz w:val="28"/>
                <w:szCs w:val="28"/>
              </w:rPr>
            </w:pPr>
          </w:p>
        </w:tc>
      </w:tr>
    </w:tbl>
    <w:p>
      <w:pPr>
        <w:adjustRightInd w:val="0"/>
        <w:snapToGrid w:val="0"/>
        <w:spacing w:after="120" w:afterLines="50"/>
        <w:rPr>
          <w:rFonts w:ascii="宋体" w:hAnsi="宋体" w:cs="宋体"/>
          <w:spacing w:val="20"/>
          <w:sz w:val="28"/>
          <w:szCs w:val="28"/>
        </w:rPr>
      </w:pPr>
    </w:p>
    <w:p>
      <w:pPr>
        <w:adjustRightInd w:val="0"/>
        <w:snapToGrid w:val="0"/>
        <w:spacing w:line="360" w:lineRule="auto"/>
        <w:ind w:left="320" w:hanging="320" w:hangingChars="100"/>
        <w:rPr>
          <w:rFonts w:ascii="宋体" w:hAnsi="宋体" w:cs="宋体"/>
          <w:spacing w:val="20"/>
          <w:sz w:val="28"/>
          <w:szCs w:val="28"/>
        </w:rPr>
      </w:pPr>
      <w:r>
        <w:rPr>
          <w:rFonts w:hint="eastAsia" w:ascii="宋体" w:hAnsi="宋体" w:cs="宋体"/>
          <w:spacing w:val="20"/>
          <w:sz w:val="28"/>
          <w:szCs w:val="28"/>
        </w:rPr>
        <w:t>注：1、对照商务条款逐项比较填写；</w:t>
      </w:r>
    </w:p>
    <w:p>
      <w:pPr>
        <w:adjustRightInd w:val="0"/>
        <w:snapToGrid w:val="0"/>
        <w:spacing w:line="360" w:lineRule="auto"/>
        <w:ind w:left="319" w:leftChars="152" w:firstLine="320" w:firstLineChars="100"/>
        <w:rPr>
          <w:rFonts w:ascii="宋体" w:hAnsi="宋体" w:cs="宋体"/>
          <w:spacing w:val="20"/>
          <w:sz w:val="28"/>
          <w:szCs w:val="28"/>
        </w:rPr>
      </w:pPr>
      <w:r>
        <w:rPr>
          <w:rFonts w:hint="eastAsia" w:ascii="宋体" w:hAnsi="宋体" w:cs="宋体"/>
          <w:spacing w:val="20"/>
          <w:sz w:val="28"/>
          <w:szCs w:val="28"/>
        </w:rPr>
        <w:t>2、行数不够可自行增加。</w:t>
      </w:r>
    </w:p>
    <w:p>
      <w:pPr>
        <w:adjustRightInd w:val="0"/>
        <w:snapToGrid w:val="0"/>
        <w:rPr>
          <w:rFonts w:ascii="宋体" w:hAnsi="宋体" w:cs="宋体"/>
          <w:sz w:val="28"/>
          <w:szCs w:val="28"/>
        </w:rPr>
      </w:pPr>
    </w:p>
    <w:p>
      <w:pPr>
        <w:adjustRightInd w:val="0"/>
        <w:snapToGrid w:val="0"/>
        <w:spacing w:line="360" w:lineRule="auto"/>
        <w:rPr>
          <w:rFonts w:ascii="宋体" w:hAnsi="宋体" w:cs="宋体"/>
          <w:spacing w:val="20"/>
          <w:sz w:val="28"/>
          <w:szCs w:val="28"/>
        </w:rPr>
      </w:pPr>
    </w:p>
    <w:p>
      <w:pPr>
        <w:adjustRightInd w:val="0"/>
        <w:snapToGrid w:val="0"/>
        <w:spacing w:line="360" w:lineRule="auto"/>
        <w:rPr>
          <w:rFonts w:ascii="宋体" w:hAnsi="宋体" w:cs="宋体"/>
          <w:spacing w:val="20"/>
          <w:sz w:val="28"/>
          <w:szCs w:val="28"/>
        </w:rPr>
      </w:pPr>
    </w:p>
    <w:p>
      <w:pPr>
        <w:widowControl/>
        <w:snapToGrid w:val="0"/>
        <w:spacing w:line="360" w:lineRule="auto"/>
        <w:jc w:val="center"/>
        <w:rPr>
          <w:rFonts w:ascii="宋体" w:hAnsi="宋体" w:cs="宋体"/>
          <w:kern w:val="0"/>
          <w:sz w:val="28"/>
          <w:szCs w:val="28"/>
        </w:rPr>
      </w:pPr>
      <w:r>
        <w:rPr>
          <w:rFonts w:hint="eastAsia" w:ascii="宋体" w:hAnsi="宋体" w:cs="宋体"/>
          <w:spacing w:val="20"/>
          <w:sz w:val="28"/>
          <w:szCs w:val="28"/>
        </w:rPr>
        <w:t xml:space="preserve">              </w:t>
      </w:r>
      <w:r>
        <w:rPr>
          <w:rFonts w:hint="eastAsia" w:ascii="宋体" w:hAnsi="宋体" w:cs="宋体"/>
          <w:kern w:val="0"/>
          <w:sz w:val="28"/>
          <w:szCs w:val="28"/>
        </w:rPr>
        <w:t>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60" w:lineRule="auto"/>
        <w:ind w:firstLine="4760" w:firstLineChars="1700"/>
        <w:rPr>
          <w:rFonts w:ascii="宋体" w:hAnsi="宋体" w:cs="宋体"/>
          <w:kern w:val="0"/>
          <w:sz w:val="28"/>
          <w:szCs w:val="28"/>
        </w:rPr>
      </w:pPr>
      <w:r>
        <w:rPr>
          <w:rFonts w:hint="eastAsia" w:ascii="宋体" w:hAnsi="宋体" w:cs="宋体"/>
          <w:kern w:val="0"/>
          <w:sz w:val="28"/>
          <w:szCs w:val="28"/>
        </w:rPr>
        <w:t>日期：  年 月  日</w:t>
      </w:r>
    </w:p>
    <w:p>
      <w:pPr>
        <w:autoSpaceDE w:val="0"/>
        <w:adjustRightInd w:val="0"/>
        <w:snapToGrid w:val="0"/>
        <w:spacing w:line="360" w:lineRule="auto"/>
        <w:ind w:firstLine="4340" w:firstLineChars="1550"/>
        <w:rPr>
          <w:rFonts w:ascii="宋体" w:hAnsi="宋体" w:cs="宋体"/>
          <w:kern w:val="0"/>
          <w:sz w:val="28"/>
          <w:szCs w:val="28"/>
        </w:rPr>
      </w:pPr>
    </w:p>
    <w:p>
      <w:pPr>
        <w:autoSpaceDE w:val="0"/>
        <w:adjustRightInd w:val="0"/>
        <w:snapToGrid w:val="0"/>
        <w:ind w:firstLine="4340" w:firstLineChars="1550"/>
        <w:rPr>
          <w:rFonts w:ascii="宋体" w:hAnsi="宋体" w:cs="宋体"/>
          <w:kern w:val="0"/>
          <w:sz w:val="28"/>
          <w:szCs w:val="28"/>
        </w:rPr>
      </w:pPr>
    </w:p>
    <w:p>
      <w:pPr>
        <w:autoSpaceDE w:val="0"/>
        <w:adjustRightInd w:val="0"/>
        <w:snapToGrid w:val="0"/>
        <w:ind w:firstLine="4340" w:firstLineChars="1550"/>
        <w:rPr>
          <w:rFonts w:ascii="宋体" w:hAnsi="宋体" w:cs="宋体"/>
          <w:kern w:val="0"/>
          <w:sz w:val="28"/>
          <w:szCs w:val="28"/>
        </w:rPr>
      </w:pPr>
    </w:p>
    <w:p>
      <w:pPr>
        <w:pStyle w:val="37"/>
        <w:ind w:firstLine="560"/>
        <w:rPr>
          <w:rFonts w:ascii="宋体" w:hAnsi="宋体" w:cs="宋体"/>
          <w:kern w:val="0"/>
          <w:sz w:val="28"/>
          <w:szCs w:val="28"/>
        </w:rPr>
      </w:pPr>
    </w:p>
    <w:p>
      <w:pPr>
        <w:autoSpaceDE w:val="0"/>
        <w:adjustRightInd w:val="0"/>
        <w:snapToGrid w:val="0"/>
        <w:rPr>
          <w:rFonts w:ascii="宋体" w:hAnsi="宋体" w:cs="宋体"/>
          <w:kern w:val="0"/>
          <w:sz w:val="28"/>
          <w:szCs w:val="28"/>
        </w:rPr>
      </w:pPr>
    </w:p>
    <w:p>
      <w:pPr>
        <w:autoSpaceDE w:val="0"/>
        <w:adjustRightInd w:val="0"/>
        <w:snapToGrid w:val="0"/>
        <w:ind w:firstLine="3735" w:firstLineChars="1550"/>
        <w:rPr>
          <w:rFonts w:ascii="宋体" w:hAnsi="宋体" w:cs="宋体"/>
          <w:b/>
          <w:bCs/>
          <w:kern w:val="0"/>
          <w:sz w:val="24"/>
        </w:rPr>
      </w:pPr>
    </w:p>
    <w:p>
      <w:pPr>
        <w:widowControl/>
        <w:snapToGrid w:val="0"/>
        <w:ind w:right="480"/>
        <w:rPr>
          <w:rFonts w:ascii="宋体" w:hAnsi="宋体" w:cs="宋体"/>
          <w:b/>
          <w:sz w:val="30"/>
          <w:szCs w:val="30"/>
        </w:rPr>
      </w:pPr>
      <w:r>
        <w:rPr>
          <w:rFonts w:hint="eastAsia" w:ascii="宋体" w:hAnsi="宋体" w:cs="宋体"/>
          <w:b/>
          <w:sz w:val="30"/>
          <w:szCs w:val="30"/>
        </w:rPr>
        <w:t>附件七：</w:t>
      </w:r>
    </w:p>
    <w:p>
      <w:pPr>
        <w:ind w:left="-178" w:leftChars="-85"/>
        <w:jc w:val="center"/>
        <w:rPr>
          <w:rFonts w:ascii="宋体" w:hAnsi="宋体" w:cs="宋体"/>
          <w:b/>
          <w:spacing w:val="20"/>
          <w:sz w:val="36"/>
        </w:rPr>
      </w:pPr>
      <w:r>
        <w:rPr>
          <w:rFonts w:hint="eastAsia" w:ascii="宋体" w:hAnsi="宋体" w:cs="宋体"/>
          <w:b/>
          <w:spacing w:val="20"/>
          <w:sz w:val="36"/>
        </w:rPr>
        <w:t>服务计划表</w:t>
      </w:r>
    </w:p>
    <w:p>
      <w:pPr>
        <w:pStyle w:val="18"/>
        <w:rPr>
          <w:rFonts w:ascii="宋体" w:hAnsi="宋体" w:cs="宋体"/>
        </w:rPr>
      </w:pPr>
    </w:p>
    <w:tbl>
      <w:tblPr>
        <w:tblStyle w:val="38"/>
        <w:tblW w:w="9174" w:type="dxa"/>
        <w:jc w:val="center"/>
        <w:tblLayout w:type="fixed"/>
        <w:tblCellMar>
          <w:top w:w="0" w:type="dxa"/>
          <w:left w:w="0" w:type="dxa"/>
          <w:bottom w:w="0" w:type="dxa"/>
          <w:right w:w="0" w:type="dxa"/>
        </w:tblCellMar>
      </w:tblPr>
      <w:tblGrid>
        <w:gridCol w:w="740"/>
        <w:gridCol w:w="2885"/>
        <w:gridCol w:w="4018"/>
        <w:gridCol w:w="1531"/>
      </w:tblGrid>
      <w:tr>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b/>
                <w:kern w:val="0"/>
                <w:sz w:val="24"/>
                <w:szCs w:val="24"/>
              </w:rPr>
            </w:pPr>
            <w:r>
              <w:rPr>
                <w:rFonts w:hint="eastAsia" w:ascii="宋体" w:hAnsi="宋体" w:cs="宋体"/>
                <w:b/>
                <w:kern w:val="0"/>
                <w:sz w:val="24"/>
                <w:szCs w:val="24"/>
              </w:rPr>
              <w:t>序号</w:t>
            </w:r>
          </w:p>
        </w:tc>
        <w:tc>
          <w:tcPr>
            <w:tcW w:w="2885" w:type="dxa"/>
            <w:tcBorders>
              <w:top w:val="single" w:color="auto" w:sz="8" w:space="0"/>
              <w:left w:val="nil"/>
              <w:bottom w:val="single" w:color="auto" w:sz="8" w:space="0"/>
              <w:right w:val="single" w:color="auto" w:sz="4" w:space="0"/>
            </w:tcBorders>
            <w:vAlign w:val="center"/>
          </w:tcPr>
          <w:p>
            <w:pPr>
              <w:widowControl/>
              <w:snapToGrid w:val="0"/>
              <w:jc w:val="center"/>
              <w:rPr>
                <w:rFonts w:ascii="宋体" w:hAnsi="宋体" w:cs="宋体"/>
                <w:b/>
                <w:kern w:val="0"/>
                <w:sz w:val="24"/>
                <w:szCs w:val="24"/>
              </w:rPr>
            </w:pPr>
            <w:r>
              <w:rPr>
                <w:rFonts w:hint="eastAsia" w:ascii="宋体" w:hAnsi="宋体" w:cs="宋体"/>
                <w:b/>
                <w:kern w:val="0"/>
                <w:sz w:val="24"/>
                <w:szCs w:val="24"/>
              </w:rPr>
              <w:t>质量保障措施及服务内容</w:t>
            </w:r>
          </w:p>
        </w:tc>
        <w:tc>
          <w:tcPr>
            <w:tcW w:w="4018" w:type="dxa"/>
            <w:tcBorders>
              <w:top w:val="single" w:color="auto" w:sz="8" w:space="0"/>
              <w:left w:val="single" w:color="auto" w:sz="4" w:space="0"/>
              <w:bottom w:val="single" w:color="auto" w:sz="8" w:space="0"/>
              <w:right w:val="single" w:color="auto" w:sz="8" w:space="0"/>
            </w:tcBorders>
            <w:vAlign w:val="center"/>
          </w:tcPr>
          <w:p>
            <w:pPr>
              <w:widowControl/>
              <w:snapToGrid w:val="0"/>
              <w:jc w:val="center"/>
              <w:rPr>
                <w:rFonts w:ascii="宋体" w:hAnsi="宋体" w:cs="宋体"/>
                <w:b/>
                <w:kern w:val="0"/>
                <w:sz w:val="24"/>
                <w:szCs w:val="24"/>
              </w:rPr>
            </w:pPr>
            <w:r>
              <w:rPr>
                <w:rFonts w:hint="eastAsia" w:ascii="宋体" w:hAnsi="宋体" w:cs="宋体"/>
                <w:b/>
                <w:kern w:val="0"/>
                <w:sz w:val="24"/>
                <w:szCs w:val="24"/>
              </w:rPr>
              <w:t>承  诺</w:t>
            </w:r>
          </w:p>
        </w:tc>
        <w:tc>
          <w:tcPr>
            <w:tcW w:w="15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b/>
                <w:kern w:val="0"/>
                <w:sz w:val="24"/>
                <w:szCs w:val="24"/>
              </w:rPr>
            </w:pPr>
            <w:r>
              <w:rPr>
                <w:rFonts w:hint="eastAsia" w:ascii="宋体" w:hAnsi="宋体" w:cs="宋体"/>
                <w:b/>
                <w:kern w:val="0"/>
                <w:sz w:val="24"/>
                <w:szCs w:val="24"/>
              </w:rPr>
              <w:t>备注</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1</w:t>
            </w:r>
          </w:p>
        </w:tc>
        <w:tc>
          <w:tcPr>
            <w:tcW w:w="2885" w:type="dxa"/>
            <w:tcBorders>
              <w:top w:val="nil"/>
              <w:left w:val="nil"/>
              <w:bottom w:val="single" w:color="auto" w:sz="8" w:space="0"/>
              <w:right w:val="single" w:color="auto" w:sz="4" w:space="0"/>
            </w:tcBorders>
            <w:vAlign w:val="center"/>
          </w:tcPr>
          <w:p>
            <w:pPr>
              <w:widowControl/>
              <w:snapToGrid w:val="0"/>
              <w:textAlignment w:val="baseline"/>
              <w:rPr>
                <w:rFonts w:ascii="宋体" w:hAnsi="宋体" w:cs="宋体"/>
                <w:kern w:val="0"/>
                <w:sz w:val="24"/>
                <w:szCs w:val="24"/>
              </w:rPr>
            </w:pPr>
            <w:r>
              <w:rPr>
                <w:rFonts w:hint="eastAsia" w:ascii="宋体" w:hAnsi="宋体" w:cs="宋体"/>
                <w:kern w:val="0"/>
                <w:sz w:val="24"/>
                <w:szCs w:val="24"/>
              </w:rPr>
              <w:t>产品保修</w:t>
            </w:r>
          </w:p>
        </w:tc>
        <w:tc>
          <w:tcPr>
            <w:tcW w:w="4018" w:type="dxa"/>
            <w:tcBorders>
              <w:top w:val="nil"/>
              <w:left w:val="single" w:color="auto" w:sz="4"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2</w:t>
            </w:r>
          </w:p>
        </w:tc>
        <w:tc>
          <w:tcPr>
            <w:tcW w:w="2885" w:type="dxa"/>
            <w:tcBorders>
              <w:top w:val="nil"/>
              <w:left w:val="nil"/>
              <w:bottom w:val="single" w:color="auto" w:sz="8"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有关技术人员现场免费</w:t>
            </w:r>
          </w:p>
          <w:p>
            <w:pPr>
              <w:widowControl/>
              <w:snapToGrid w:val="0"/>
              <w:rPr>
                <w:rFonts w:ascii="宋体" w:hAnsi="宋体" w:cs="宋体"/>
                <w:kern w:val="0"/>
                <w:sz w:val="24"/>
                <w:szCs w:val="24"/>
              </w:rPr>
            </w:pPr>
            <w:r>
              <w:rPr>
                <w:rFonts w:hint="eastAsia" w:ascii="宋体" w:hAnsi="宋体" w:cs="宋体"/>
                <w:kern w:val="0"/>
                <w:sz w:val="24"/>
                <w:szCs w:val="24"/>
              </w:rPr>
              <w:t>提供安装、调试服务</w:t>
            </w:r>
          </w:p>
        </w:tc>
        <w:tc>
          <w:tcPr>
            <w:tcW w:w="4018" w:type="dxa"/>
            <w:tcBorders>
              <w:top w:val="nil"/>
              <w:left w:val="single" w:color="auto" w:sz="4" w:space="0"/>
              <w:bottom w:val="single" w:color="auto" w:sz="8" w:space="0"/>
              <w:right w:val="single" w:color="auto" w:sz="8" w:space="0"/>
            </w:tcBorders>
            <w:vAlign w:val="center"/>
          </w:tcPr>
          <w:p>
            <w:pPr>
              <w:widowControl/>
              <w:snapToGrid w:val="0"/>
              <w:jc w:val="left"/>
              <w:rPr>
                <w:rFonts w:ascii="宋体" w:hAnsi="宋体" w:cs="宋体"/>
                <w:kern w:val="0"/>
                <w:sz w:val="24"/>
                <w:szCs w:val="24"/>
              </w:rPr>
            </w:pPr>
          </w:p>
          <w:p>
            <w:pPr>
              <w:widowControl/>
              <w:snapToGrid w:val="0"/>
              <w:jc w:val="center"/>
              <w:rPr>
                <w:rFonts w:ascii="宋体" w:hAnsi="宋体" w:cs="宋体"/>
                <w:kern w:val="0"/>
                <w:sz w:val="24"/>
                <w:szCs w:val="24"/>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3</w:t>
            </w:r>
          </w:p>
        </w:tc>
        <w:tc>
          <w:tcPr>
            <w:tcW w:w="2885" w:type="dxa"/>
            <w:tcBorders>
              <w:top w:val="nil"/>
              <w:left w:val="nil"/>
              <w:bottom w:val="single" w:color="auto" w:sz="8"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产品免费换货期限</w:t>
            </w:r>
          </w:p>
        </w:tc>
        <w:tc>
          <w:tcPr>
            <w:tcW w:w="4018" w:type="dxa"/>
            <w:tcBorders>
              <w:top w:val="nil"/>
              <w:left w:val="single" w:color="auto" w:sz="4"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4</w:t>
            </w:r>
          </w:p>
        </w:tc>
        <w:tc>
          <w:tcPr>
            <w:tcW w:w="2885" w:type="dxa"/>
            <w:tcBorders>
              <w:top w:val="nil"/>
              <w:left w:val="nil"/>
              <w:bottom w:val="single" w:color="auto" w:sz="8"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免费上门服务期限</w:t>
            </w:r>
          </w:p>
        </w:tc>
        <w:tc>
          <w:tcPr>
            <w:tcW w:w="4018" w:type="dxa"/>
            <w:tcBorders>
              <w:top w:val="nil"/>
              <w:left w:val="single" w:color="auto" w:sz="4"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5</w:t>
            </w:r>
          </w:p>
        </w:tc>
        <w:tc>
          <w:tcPr>
            <w:tcW w:w="2885" w:type="dxa"/>
            <w:tcBorders>
              <w:top w:val="nil"/>
              <w:left w:val="nil"/>
              <w:bottom w:val="single" w:color="auto" w:sz="8"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质保期内产品故障</w:t>
            </w:r>
          </w:p>
          <w:p>
            <w:pPr>
              <w:widowControl/>
              <w:snapToGrid w:val="0"/>
              <w:rPr>
                <w:rFonts w:ascii="宋体" w:hAnsi="宋体" w:cs="宋体"/>
                <w:kern w:val="0"/>
                <w:sz w:val="24"/>
                <w:szCs w:val="24"/>
              </w:rPr>
            </w:pPr>
            <w:r>
              <w:rPr>
                <w:rFonts w:hint="eastAsia" w:ascii="宋体" w:hAnsi="宋体" w:cs="宋体"/>
                <w:kern w:val="0"/>
                <w:sz w:val="24"/>
                <w:szCs w:val="24"/>
              </w:rPr>
              <w:t>服务响应时限</w:t>
            </w:r>
          </w:p>
        </w:tc>
        <w:tc>
          <w:tcPr>
            <w:tcW w:w="4018" w:type="dxa"/>
            <w:tcBorders>
              <w:top w:val="nil"/>
              <w:left w:val="single" w:color="auto" w:sz="4" w:space="0"/>
              <w:bottom w:val="single" w:color="auto" w:sz="8" w:space="0"/>
              <w:right w:val="single" w:color="auto" w:sz="8" w:space="0"/>
            </w:tcBorders>
            <w:vAlign w:val="center"/>
          </w:tcPr>
          <w:p>
            <w:pPr>
              <w:widowControl/>
              <w:snapToGrid w:val="0"/>
              <w:jc w:val="left"/>
              <w:rPr>
                <w:rFonts w:ascii="宋体" w:hAnsi="宋体" w:cs="宋体"/>
                <w:kern w:val="0"/>
                <w:sz w:val="24"/>
                <w:szCs w:val="24"/>
              </w:rPr>
            </w:pPr>
          </w:p>
          <w:p>
            <w:pPr>
              <w:widowControl/>
              <w:snapToGrid w:val="0"/>
              <w:jc w:val="center"/>
              <w:rPr>
                <w:rFonts w:ascii="宋体" w:hAnsi="宋体" w:cs="宋体"/>
                <w:kern w:val="0"/>
                <w:sz w:val="24"/>
                <w:szCs w:val="24"/>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6</w:t>
            </w:r>
          </w:p>
        </w:tc>
        <w:tc>
          <w:tcPr>
            <w:tcW w:w="2885" w:type="dxa"/>
            <w:tcBorders>
              <w:top w:val="nil"/>
              <w:left w:val="nil"/>
              <w:bottom w:val="single" w:color="auto" w:sz="8"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服务时间（5*8、5*24、</w:t>
            </w:r>
          </w:p>
          <w:p>
            <w:pPr>
              <w:widowControl/>
              <w:snapToGrid w:val="0"/>
              <w:rPr>
                <w:rFonts w:ascii="宋体" w:hAnsi="宋体" w:cs="宋体"/>
                <w:kern w:val="0"/>
                <w:sz w:val="24"/>
                <w:szCs w:val="24"/>
              </w:rPr>
            </w:pPr>
            <w:r>
              <w:rPr>
                <w:rFonts w:hint="eastAsia" w:ascii="宋体" w:hAnsi="宋体" w:cs="宋体"/>
                <w:kern w:val="0"/>
                <w:sz w:val="24"/>
                <w:szCs w:val="24"/>
              </w:rPr>
              <w:t>7*8、7*24）（天*小时）</w:t>
            </w:r>
          </w:p>
        </w:tc>
        <w:tc>
          <w:tcPr>
            <w:tcW w:w="4018" w:type="dxa"/>
            <w:tcBorders>
              <w:top w:val="nil"/>
              <w:left w:val="single" w:color="auto" w:sz="4" w:space="0"/>
              <w:bottom w:val="single" w:color="auto" w:sz="8" w:space="0"/>
              <w:right w:val="single" w:color="auto" w:sz="8" w:space="0"/>
            </w:tcBorders>
            <w:vAlign w:val="center"/>
          </w:tcPr>
          <w:p>
            <w:pPr>
              <w:widowControl/>
              <w:snapToGrid w:val="0"/>
              <w:jc w:val="left"/>
              <w:rPr>
                <w:rFonts w:ascii="宋体" w:hAnsi="宋体" w:cs="宋体"/>
                <w:kern w:val="0"/>
                <w:sz w:val="24"/>
                <w:szCs w:val="24"/>
              </w:rPr>
            </w:pPr>
          </w:p>
          <w:p>
            <w:pPr>
              <w:widowControl/>
              <w:snapToGrid w:val="0"/>
              <w:jc w:val="center"/>
              <w:rPr>
                <w:rFonts w:ascii="宋体" w:hAnsi="宋体" w:cs="宋体"/>
                <w:kern w:val="0"/>
                <w:sz w:val="24"/>
                <w:szCs w:val="24"/>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rPr>
              <w:t>每周的服务天数和服务时间</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7</w:t>
            </w:r>
          </w:p>
        </w:tc>
        <w:tc>
          <w:tcPr>
            <w:tcW w:w="2885" w:type="dxa"/>
            <w:tcBorders>
              <w:top w:val="nil"/>
              <w:left w:val="nil"/>
              <w:bottom w:val="single" w:color="auto" w:sz="4"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质保期满后的保修</w:t>
            </w:r>
          </w:p>
          <w:p>
            <w:pPr>
              <w:widowControl/>
              <w:snapToGrid w:val="0"/>
              <w:rPr>
                <w:rFonts w:ascii="宋体" w:hAnsi="宋体" w:cs="宋体"/>
                <w:kern w:val="0"/>
                <w:sz w:val="24"/>
                <w:szCs w:val="24"/>
              </w:rPr>
            </w:pPr>
            <w:r>
              <w:rPr>
                <w:rFonts w:hint="eastAsia" w:ascii="宋体" w:hAnsi="宋体" w:cs="宋体"/>
                <w:kern w:val="0"/>
                <w:sz w:val="24"/>
                <w:szCs w:val="24"/>
              </w:rPr>
              <w:t>服务费用</w:t>
            </w:r>
          </w:p>
        </w:tc>
        <w:tc>
          <w:tcPr>
            <w:tcW w:w="4018" w:type="dxa"/>
            <w:tcBorders>
              <w:top w:val="nil"/>
              <w:left w:val="single" w:color="auto" w:sz="4" w:space="0"/>
              <w:bottom w:val="single" w:color="auto" w:sz="4" w:space="0"/>
              <w:right w:val="single" w:color="auto" w:sz="8" w:space="0"/>
            </w:tcBorders>
            <w:vAlign w:val="center"/>
          </w:tcPr>
          <w:p>
            <w:pPr>
              <w:widowControl/>
              <w:snapToGrid w:val="0"/>
              <w:jc w:val="left"/>
              <w:rPr>
                <w:rFonts w:ascii="宋体" w:hAnsi="宋体" w:cs="宋体"/>
                <w:kern w:val="0"/>
                <w:sz w:val="24"/>
                <w:szCs w:val="24"/>
              </w:rPr>
            </w:pPr>
          </w:p>
          <w:p>
            <w:pPr>
              <w:widowControl/>
              <w:snapToGrid w:val="0"/>
              <w:jc w:val="center"/>
              <w:rPr>
                <w:rFonts w:ascii="宋体" w:hAnsi="宋体" w:cs="宋体"/>
                <w:kern w:val="0"/>
                <w:sz w:val="24"/>
                <w:szCs w:val="24"/>
              </w:rPr>
            </w:pPr>
          </w:p>
        </w:tc>
        <w:tc>
          <w:tcPr>
            <w:tcW w:w="153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r>
        <w:tblPrEx>
          <w:tblCellMar>
            <w:top w:w="0" w:type="dxa"/>
            <w:left w:w="0" w:type="dxa"/>
            <w:bottom w:w="0" w:type="dxa"/>
            <w:right w:w="0" w:type="dxa"/>
          </w:tblCellMar>
        </w:tblPrEx>
        <w:trPr>
          <w:cantSplit/>
          <w:trHeight w:val="930"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8</w:t>
            </w:r>
          </w:p>
        </w:tc>
        <w:tc>
          <w:tcPr>
            <w:tcW w:w="2885" w:type="dxa"/>
            <w:tcBorders>
              <w:top w:val="single" w:color="auto" w:sz="4" w:space="0"/>
              <w:left w:val="nil"/>
              <w:bottom w:val="single" w:color="auto" w:sz="4"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交货时间</w:t>
            </w:r>
          </w:p>
        </w:tc>
        <w:tc>
          <w:tcPr>
            <w:tcW w:w="4018" w:type="dxa"/>
            <w:tcBorders>
              <w:top w:val="single" w:color="auto" w:sz="4" w:space="0"/>
              <w:left w:val="single" w:color="auto" w:sz="4" w:space="0"/>
              <w:bottom w:val="single" w:color="auto" w:sz="4" w:space="0"/>
              <w:right w:val="single" w:color="auto" w:sz="8" w:space="0"/>
            </w:tcBorders>
            <w:vAlign w:val="center"/>
          </w:tcPr>
          <w:p>
            <w:pPr>
              <w:widowControl/>
              <w:snapToGrid w:val="0"/>
              <w:jc w:val="center"/>
              <w:rPr>
                <w:rFonts w:ascii="宋体" w:hAnsi="宋体" w:cs="宋体"/>
                <w:kern w:val="0"/>
                <w:sz w:val="24"/>
                <w:szCs w:val="24"/>
              </w:rPr>
            </w:pPr>
          </w:p>
        </w:tc>
        <w:tc>
          <w:tcPr>
            <w:tcW w:w="153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r>
        <w:tblPrEx>
          <w:tblCellMar>
            <w:top w:w="0" w:type="dxa"/>
            <w:left w:w="0" w:type="dxa"/>
            <w:bottom w:w="0" w:type="dxa"/>
            <w:right w:w="0" w:type="dxa"/>
          </w:tblCellMar>
        </w:tblPrEx>
        <w:trPr>
          <w:cantSplit/>
          <w:trHeight w:val="783" w:hRule="atLeast"/>
          <w:jc w:val="center"/>
        </w:trPr>
        <w:tc>
          <w:tcPr>
            <w:tcW w:w="740" w:type="dxa"/>
            <w:tcBorders>
              <w:top w:val="single" w:color="auto" w:sz="4" w:space="0"/>
              <w:left w:val="single" w:color="auto" w:sz="8" w:space="0"/>
              <w:bottom w:val="single" w:color="auto" w:sz="8" w:space="0"/>
              <w:right w:val="single" w:color="auto" w:sz="8" w:space="0"/>
            </w:tcBorders>
            <w:vAlign w:val="center"/>
          </w:tcPr>
          <w:p>
            <w:pPr>
              <w:snapToGrid w:val="0"/>
              <w:jc w:val="center"/>
              <w:rPr>
                <w:rFonts w:ascii="宋体" w:hAnsi="宋体" w:cs="宋体"/>
                <w:kern w:val="0"/>
                <w:sz w:val="24"/>
                <w:szCs w:val="24"/>
              </w:rPr>
            </w:pPr>
            <w:r>
              <w:rPr>
                <w:rFonts w:hint="eastAsia" w:ascii="宋体" w:hAnsi="宋体" w:cs="宋体"/>
                <w:kern w:val="0"/>
                <w:sz w:val="24"/>
                <w:szCs w:val="24"/>
              </w:rPr>
              <w:t>9</w:t>
            </w:r>
          </w:p>
        </w:tc>
        <w:tc>
          <w:tcPr>
            <w:tcW w:w="2885" w:type="dxa"/>
            <w:tcBorders>
              <w:top w:val="single" w:color="auto" w:sz="4" w:space="0"/>
              <w:left w:val="nil"/>
              <w:bottom w:val="single" w:color="auto" w:sz="8" w:space="0"/>
              <w:right w:val="single" w:color="auto" w:sz="4" w:space="0"/>
            </w:tcBorders>
            <w:vAlign w:val="center"/>
          </w:tcPr>
          <w:p>
            <w:pPr>
              <w:snapToGrid w:val="0"/>
              <w:rPr>
                <w:rFonts w:ascii="宋体" w:hAnsi="宋体" w:cs="宋体"/>
                <w:kern w:val="0"/>
                <w:sz w:val="24"/>
                <w:szCs w:val="24"/>
              </w:rPr>
            </w:pPr>
            <w:r>
              <w:rPr>
                <w:rFonts w:hint="eastAsia" w:ascii="宋体" w:hAnsi="宋体" w:cs="宋体"/>
                <w:kern w:val="0"/>
                <w:sz w:val="24"/>
                <w:szCs w:val="24"/>
              </w:rPr>
              <w:t>其他服务</w:t>
            </w:r>
          </w:p>
        </w:tc>
        <w:tc>
          <w:tcPr>
            <w:tcW w:w="4018" w:type="dxa"/>
            <w:tcBorders>
              <w:top w:val="single" w:color="auto" w:sz="4" w:space="0"/>
              <w:left w:val="single" w:color="auto" w:sz="4" w:space="0"/>
              <w:bottom w:val="single" w:color="auto" w:sz="8" w:space="0"/>
              <w:right w:val="single" w:color="auto" w:sz="8" w:space="0"/>
            </w:tcBorders>
            <w:vAlign w:val="center"/>
          </w:tcPr>
          <w:p>
            <w:pPr>
              <w:widowControl/>
              <w:snapToGrid w:val="0"/>
              <w:jc w:val="center"/>
              <w:rPr>
                <w:rFonts w:ascii="宋体" w:hAnsi="宋体" w:cs="宋体"/>
                <w:kern w:val="0"/>
                <w:sz w:val="24"/>
                <w:szCs w:val="24"/>
              </w:rPr>
            </w:pPr>
          </w:p>
        </w:tc>
        <w:tc>
          <w:tcPr>
            <w:tcW w:w="15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cs="宋体"/>
                <w:kern w:val="0"/>
                <w:sz w:val="24"/>
                <w:szCs w:val="24"/>
              </w:rPr>
            </w:pPr>
          </w:p>
        </w:tc>
      </w:tr>
    </w:tbl>
    <w:p>
      <w:pPr>
        <w:widowControl/>
        <w:snapToGrid w:val="0"/>
        <w:jc w:val="right"/>
        <w:rPr>
          <w:rFonts w:ascii="宋体" w:hAnsi="宋体" w:cs="宋体"/>
          <w:sz w:val="24"/>
        </w:rPr>
      </w:pPr>
    </w:p>
    <w:p>
      <w:pPr>
        <w:widowControl/>
        <w:snapToGrid w:val="0"/>
        <w:jc w:val="right"/>
        <w:rPr>
          <w:rFonts w:ascii="宋体" w:hAnsi="宋体" w:cs="宋体"/>
          <w:sz w:val="24"/>
        </w:rPr>
      </w:pPr>
    </w:p>
    <w:p>
      <w:pPr>
        <w:widowControl/>
        <w:snapToGrid w:val="0"/>
        <w:jc w:val="right"/>
        <w:rPr>
          <w:rFonts w:ascii="宋体" w:hAnsi="宋体" w:cs="宋体"/>
          <w:sz w:val="24"/>
        </w:rPr>
      </w:pPr>
    </w:p>
    <w:p>
      <w:pPr>
        <w:widowControl/>
        <w:snapToGrid w:val="0"/>
        <w:spacing w:line="360" w:lineRule="auto"/>
        <w:jc w:val="right"/>
        <w:rPr>
          <w:rFonts w:ascii="宋体" w:hAnsi="宋体" w:cs="宋体"/>
          <w:sz w:val="24"/>
        </w:rPr>
      </w:pPr>
    </w:p>
    <w:p>
      <w:pPr>
        <w:widowControl/>
        <w:snapToGrid w:val="0"/>
        <w:spacing w:line="360" w:lineRule="auto"/>
        <w:jc w:val="center"/>
        <w:rPr>
          <w:rFonts w:ascii="宋体" w:hAnsi="宋体" w:cs="宋体"/>
          <w:kern w:val="0"/>
          <w:sz w:val="28"/>
          <w:szCs w:val="28"/>
        </w:rPr>
      </w:pPr>
      <w:r>
        <w:rPr>
          <w:rFonts w:hint="eastAsia" w:ascii="宋体" w:hAnsi="宋体" w:cs="宋体"/>
          <w:kern w:val="0"/>
          <w:sz w:val="28"/>
          <w:szCs w:val="28"/>
        </w:rPr>
        <w:t xml:space="preserve">            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60" w:lineRule="auto"/>
        <w:ind w:firstLine="4340" w:firstLineChars="1550"/>
        <w:rPr>
          <w:rFonts w:ascii="宋体" w:hAnsi="宋体" w:cs="宋体"/>
          <w:b/>
          <w:bCs/>
          <w:kern w:val="0"/>
          <w:sz w:val="24"/>
        </w:rPr>
      </w:pPr>
      <w:r>
        <w:rPr>
          <w:rFonts w:hint="eastAsia" w:ascii="宋体" w:hAnsi="宋体" w:cs="宋体"/>
          <w:kern w:val="0"/>
          <w:sz w:val="28"/>
          <w:szCs w:val="28"/>
        </w:rPr>
        <w:t>日期：   年 月  日</w:t>
      </w:r>
    </w:p>
    <w:p>
      <w:pPr>
        <w:ind w:left="540" w:firstLine="30"/>
        <w:jc w:val="center"/>
        <w:rPr>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r>
        <w:rPr>
          <w:rStyle w:val="105"/>
          <w:rFonts w:hint="eastAsia" w:ascii="宋体" w:hAnsi="宋体" w:cs="宋体"/>
          <w:sz w:val="30"/>
          <w:szCs w:val="30"/>
        </w:rPr>
        <w:t>附件八</w:t>
      </w:r>
    </w:p>
    <w:p>
      <w:pPr>
        <w:widowControl/>
        <w:snapToGrid w:val="0"/>
        <w:ind w:firstLine="3238" w:firstLineChars="896"/>
        <w:rPr>
          <w:rFonts w:ascii="宋体" w:hAnsi="宋体" w:cs="宋体"/>
          <w:b/>
          <w:bCs/>
          <w:kern w:val="0"/>
          <w:sz w:val="36"/>
          <w:szCs w:val="36"/>
        </w:rPr>
      </w:pPr>
      <w:r>
        <w:rPr>
          <w:rFonts w:hint="eastAsia" w:ascii="宋体" w:hAnsi="宋体" w:cs="宋体"/>
          <w:b/>
          <w:bCs/>
          <w:kern w:val="0"/>
          <w:sz w:val="36"/>
          <w:szCs w:val="36"/>
        </w:rPr>
        <w:t>法定代表人授权书</w:t>
      </w:r>
    </w:p>
    <w:p>
      <w:pPr>
        <w:widowControl/>
        <w:snapToGrid w:val="0"/>
        <w:rPr>
          <w:rFonts w:ascii="宋体" w:hAnsi="宋体" w:cs="宋体"/>
          <w:kern w:val="0"/>
          <w:sz w:val="28"/>
          <w:szCs w:val="28"/>
        </w:rPr>
      </w:pPr>
    </w:p>
    <w:p>
      <w:pPr>
        <w:widowControl/>
        <w:snapToGrid w:val="0"/>
        <w:spacing w:line="360" w:lineRule="auto"/>
        <w:rPr>
          <w:rFonts w:ascii="宋体" w:hAnsi="宋体" w:cs="宋体"/>
          <w:b/>
          <w:kern w:val="0"/>
          <w:sz w:val="28"/>
          <w:szCs w:val="28"/>
        </w:rPr>
      </w:pPr>
      <w:r>
        <w:rPr>
          <w:rFonts w:hint="eastAsia" w:ascii="宋体" w:hAnsi="宋体" w:cs="宋体"/>
          <w:b/>
          <w:kern w:val="0"/>
          <w:sz w:val="28"/>
          <w:szCs w:val="28"/>
        </w:rPr>
        <w:t>建德市新安江第二小学</w:t>
      </w:r>
      <w:r>
        <w:rPr>
          <w:rFonts w:hint="eastAsia" w:ascii="宋体" w:hAnsi="宋体" w:cs="宋体"/>
          <w:b/>
          <w:kern w:val="0"/>
          <w:sz w:val="28"/>
          <w:szCs w:val="28"/>
          <w:lang w:eastAsia="zh-CN"/>
        </w:rPr>
        <w:t>、建德市资产经营投资有限公司</w:t>
      </w:r>
      <w:r>
        <w:rPr>
          <w:rFonts w:hint="eastAsia" w:ascii="宋体" w:hAnsi="宋体" w:cs="宋体"/>
          <w:b/>
          <w:kern w:val="0"/>
          <w:sz w:val="28"/>
          <w:szCs w:val="28"/>
        </w:rPr>
        <w:t>：</w:t>
      </w:r>
    </w:p>
    <w:p>
      <w:pPr>
        <w:adjustRightInd w:val="0"/>
        <w:snapToGrid w:val="0"/>
        <w:spacing w:after="120" w:afterLines="50" w:line="360" w:lineRule="auto"/>
        <w:ind w:firstLine="560" w:firstLineChars="200"/>
        <w:rPr>
          <w:rFonts w:ascii="宋体" w:hAnsi="宋体" w:cs="宋体"/>
          <w:spacing w:val="20"/>
          <w:sz w:val="28"/>
          <w:szCs w:val="28"/>
        </w:rPr>
      </w:pPr>
      <w:r>
        <w:rPr>
          <w:rFonts w:hint="eastAsia" w:ascii="宋体" w:hAnsi="宋体" w:cs="宋体"/>
          <w:sz w:val="28"/>
          <w:szCs w:val="28"/>
        </w:rPr>
        <w:t>本授权书声明：注册于</w:t>
      </w:r>
      <w:r>
        <w:rPr>
          <w:rFonts w:hint="eastAsia" w:ascii="宋体" w:hAnsi="宋体" w:cs="宋体"/>
          <w:sz w:val="28"/>
          <w:szCs w:val="28"/>
          <w:u w:val="single"/>
        </w:rPr>
        <w:t xml:space="preserve">          </w:t>
      </w:r>
      <w:r>
        <w:rPr>
          <w:rFonts w:hint="eastAsia" w:ascii="宋体" w:hAnsi="宋体" w:cs="宋体"/>
          <w:sz w:val="28"/>
          <w:szCs w:val="28"/>
        </w:rPr>
        <w:t>（投标单位地址）的</w:t>
      </w:r>
      <w:r>
        <w:rPr>
          <w:rFonts w:hint="eastAsia" w:ascii="宋体" w:hAnsi="宋体" w:cs="宋体"/>
          <w:sz w:val="28"/>
          <w:szCs w:val="28"/>
          <w:u w:val="single"/>
        </w:rPr>
        <w:t xml:space="preserve">         </w:t>
      </w:r>
      <w:r>
        <w:rPr>
          <w:rFonts w:hint="eastAsia" w:ascii="宋体" w:hAnsi="宋体" w:cs="宋体"/>
          <w:sz w:val="28"/>
          <w:szCs w:val="28"/>
        </w:rPr>
        <w:t>（投标单位名称）</w:t>
      </w:r>
      <w:r>
        <w:rPr>
          <w:rFonts w:hint="eastAsia" w:ascii="宋体" w:hAnsi="宋体" w:cs="宋体"/>
          <w:sz w:val="28"/>
          <w:szCs w:val="28"/>
          <w:u w:val="single"/>
        </w:rPr>
        <w:t>            </w:t>
      </w:r>
      <w:r>
        <w:rPr>
          <w:rFonts w:hint="eastAsia" w:ascii="宋体" w:hAnsi="宋体" w:cs="宋体"/>
          <w:sz w:val="28"/>
          <w:szCs w:val="28"/>
        </w:rPr>
        <w:t>法定代表人（法定代表人职务、姓名）代表本公司授权在下面签字的</w:t>
      </w:r>
      <w:r>
        <w:rPr>
          <w:rFonts w:hint="eastAsia" w:ascii="宋体" w:hAnsi="宋体" w:cs="宋体"/>
          <w:sz w:val="28"/>
          <w:szCs w:val="28"/>
          <w:u w:val="single"/>
        </w:rPr>
        <w:t xml:space="preserve">          </w:t>
      </w:r>
      <w:r>
        <w:rPr>
          <w:rFonts w:hint="eastAsia" w:ascii="宋体" w:hAnsi="宋体" w:cs="宋体"/>
          <w:sz w:val="28"/>
          <w:szCs w:val="28"/>
        </w:rPr>
        <w:t>（全权代表人姓名、职务）为本公司的合法代理人，就贵方组织的</w:t>
      </w:r>
      <w:r>
        <w:rPr>
          <w:rFonts w:hint="eastAsia" w:ascii="宋体" w:hAnsi="宋体" w:cs="宋体"/>
          <w:sz w:val="28"/>
          <w:szCs w:val="28"/>
          <w:lang w:eastAsia="zh-CN"/>
        </w:rPr>
        <w:t>新安江第二小学多媒体影像设备采购</w:t>
      </w:r>
      <w:r>
        <w:rPr>
          <w:rFonts w:hint="eastAsia" w:ascii="宋体" w:hAnsi="宋体" w:cs="宋体"/>
          <w:sz w:val="28"/>
          <w:szCs w:val="28"/>
        </w:rPr>
        <w:t>招标编号：JDYH2021-   招标活动以本公司名义处理一切与之有关的事务。</w:t>
      </w:r>
    </w:p>
    <w:p>
      <w:pPr>
        <w:widowControl/>
        <w:snapToGrid w:val="0"/>
        <w:spacing w:line="360" w:lineRule="auto"/>
        <w:rPr>
          <w:rFonts w:ascii="宋体" w:hAnsi="宋体" w:cs="宋体"/>
          <w:kern w:val="0"/>
          <w:sz w:val="28"/>
          <w:szCs w:val="28"/>
        </w:rPr>
      </w:pPr>
      <w:r>
        <w:rPr>
          <w:rFonts w:hint="eastAsia" w:ascii="宋体" w:hAnsi="宋体" w:cs="宋体"/>
          <w:kern w:val="0"/>
          <w:sz w:val="28"/>
          <w:szCs w:val="28"/>
        </w:rPr>
        <w:t>    本授权书于    年  月  日签字生效，特此声明。</w:t>
      </w:r>
    </w:p>
    <w:p>
      <w:pPr>
        <w:widowControl/>
        <w:snapToGrid w:val="0"/>
        <w:rPr>
          <w:rFonts w:ascii="宋体" w:hAnsi="宋体" w:cs="宋体"/>
          <w:kern w:val="0"/>
          <w:sz w:val="28"/>
          <w:szCs w:val="28"/>
        </w:rPr>
      </w:pPr>
      <w:r>
        <w:rPr>
          <w:rFonts w:hint="eastAsia" w:ascii="宋体" w:hAnsi="宋体" w:cs="宋体"/>
          <w:kern w:val="0"/>
          <w:sz w:val="28"/>
          <w:szCs w:val="28"/>
        </w:rPr>
        <w:t xml:space="preserve">          </w:t>
      </w:r>
    </w:p>
    <w:p>
      <w:pPr>
        <w:widowControl/>
        <w:snapToGrid w:val="0"/>
        <w:rPr>
          <w:rFonts w:ascii="宋体" w:hAnsi="宋体" w:cs="宋体"/>
          <w:kern w:val="0"/>
          <w:sz w:val="28"/>
          <w:szCs w:val="28"/>
        </w:rPr>
      </w:pPr>
      <w:r>
        <w:rPr>
          <w:rFonts w:hint="eastAsia" w:ascii="宋体" w:hAnsi="宋体" w:cs="宋体"/>
          <w:kern w:val="0"/>
          <w:sz w:val="28"/>
          <w:szCs w:val="28"/>
        </w:rPr>
        <w:t>          </w:t>
      </w:r>
    </w:p>
    <w:p>
      <w:pPr>
        <w:widowControl/>
        <w:snapToGrid w:val="0"/>
        <w:rPr>
          <w:rFonts w:ascii="宋体" w:hAnsi="宋体" w:cs="宋体"/>
          <w:kern w:val="0"/>
          <w:sz w:val="28"/>
          <w:szCs w:val="28"/>
        </w:rPr>
      </w:pPr>
      <w:r>
        <w:rPr>
          <w:rFonts w:hint="eastAsia" w:ascii="宋体" w:hAnsi="宋体" w:cs="宋体"/>
          <w:kern w:val="0"/>
          <w:sz w:val="28"/>
          <w:szCs w:val="28"/>
        </w:rPr>
        <w:t> 全权代表身份证号：</w:t>
      </w:r>
    </w:p>
    <w:p>
      <w:pPr>
        <w:widowControl/>
        <w:snapToGrid w:val="0"/>
        <w:rPr>
          <w:rFonts w:ascii="宋体" w:hAnsi="宋体" w:cs="宋体"/>
          <w:kern w:val="0"/>
          <w:sz w:val="28"/>
          <w:szCs w:val="28"/>
        </w:rPr>
      </w:pPr>
      <w:r>
        <w:rPr>
          <w:rFonts w:hint="eastAsia" w:ascii="宋体" w:hAnsi="宋体" w:cs="宋体"/>
          <w:kern w:val="0"/>
          <w:sz w:val="28"/>
          <w:szCs w:val="28"/>
        </w:rPr>
        <w:t>     联系电话：</w:t>
      </w:r>
    </w:p>
    <w:p>
      <w:pPr>
        <w:widowControl/>
        <w:snapToGrid w:val="0"/>
        <w:ind w:firstLine="1260" w:firstLineChars="450"/>
        <w:rPr>
          <w:rFonts w:ascii="宋体" w:hAnsi="宋体" w:cs="宋体"/>
          <w:kern w:val="0"/>
          <w:sz w:val="28"/>
          <w:szCs w:val="28"/>
        </w:rPr>
      </w:pPr>
      <w:r>
        <w:rPr>
          <w:rFonts w:hint="eastAsia" w:ascii="宋体" w:hAnsi="宋体" w:cs="宋体"/>
          <w:kern w:val="0"/>
          <w:sz w:val="28"/>
          <w:szCs w:val="28"/>
        </w:rPr>
        <w:t>手机号码：</w:t>
      </w:r>
    </w:p>
    <w:p>
      <w:pPr>
        <w:widowControl/>
        <w:snapToGrid w:val="0"/>
        <w:rPr>
          <w:rFonts w:ascii="宋体" w:hAnsi="宋体" w:cs="宋体"/>
          <w:kern w:val="0"/>
          <w:sz w:val="28"/>
          <w:szCs w:val="28"/>
        </w:rPr>
      </w:pPr>
      <w:r>
        <w:rPr>
          <w:rFonts w:hint="eastAsia" w:ascii="宋体" w:hAnsi="宋体" w:cs="宋体"/>
          <w:kern w:val="0"/>
          <w:sz w:val="28"/>
          <w:szCs w:val="28"/>
        </w:rPr>
        <w:t>     传  真：</w:t>
      </w:r>
    </w:p>
    <w:p>
      <w:pPr>
        <w:widowControl/>
        <w:snapToGrid w:val="0"/>
        <w:ind w:firstLine="1260" w:firstLineChars="450"/>
        <w:rPr>
          <w:rFonts w:ascii="宋体" w:hAnsi="宋体" w:cs="宋体"/>
          <w:kern w:val="0"/>
          <w:sz w:val="28"/>
          <w:szCs w:val="28"/>
        </w:rPr>
      </w:pPr>
      <w:r>
        <w:rPr>
          <w:rFonts w:hint="eastAsia" w:ascii="宋体" w:hAnsi="宋体" w:cs="宋体"/>
          <w:kern w:val="0"/>
          <w:sz w:val="28"/>
          <w:szCs w:val="28"/>
        </w:rPr>
        <w:t>邮政编码：</w:t>
      </w:r>
    </w:p>
    <w:p>
      <w:pPr>
        <w:widowControl/>
        <w:snapToGrid w:val="0"/>
        <w:ind w:firstLine="1260" w:firstLineChars="450"/>
        <w:rPr>
          <w:rFonts w:ascii="宋体" w:hAnsi="宋体" w:cs="宋体"/>
          <w:kern w:val="0"/>
          <w:sz w:val="28"/>
          <w:szCs w:val="28"/>
        </w:rPr>
      </w:pPr>
      <w:r>
        <w:rPr>
          <w:rFonts w:hint="eastAsia" w:ascii="宋体" w:hAnsi="宋体" w:cs="宋体"/>
          <w:kern w:val="0"/>
          <w:sz w:val="28"/>
          <w:szCs w:val="28"/>
        </w:rPr>
        <w:t>联系地址：</w:t>
      </w:r>
    </w:p>
    <w:p>
      <w:pPr>
        <w:widowControl/>
        <w:snapToGrid w:val="0"/>
        <w:ind w:firstLine="1400" w:firstLineChars="500"/>
        <w:rPr>
          <w:rFonts w:ascii="宋体" w:hAnsi="宋体" w:cs="宋体"/>
          <w:kern w:val="0"/>
          <w:sz w:val="28"/>
          <w:szCs w:val="28"/>
        </w:rPr>
      </w:pPr>
    </w:p>
    <w:p>
      <w:pPr>
        <w:widowControl/>
        <w:snapToGrid w:val="0"/>
        <w:ind w:firstLine="1400" w:firstLineChars="500"/>
        <w:rPr>
          <w:rFonts w:ascii="宋体" w:hAnsi="宋体" w:cs="宋体"/>
          <w:kern w:val="0"/>
          <w:sz w:val="28"/>
          <w:szCs w:val="28"/>
        </w:rPr>
      </w:pPr>
    </w:p>
    <w:p>
      <w:pPr>
        <w:widowControl/>
        <w:snapToGrid w:val="0"/>
        <w:ind w:firstLine="1400" w:firstLineChars="500"/>
        <w:rPr>
          <w:rFonts w:ascii="宋体" w:hAnsi="宋体" w:cs="宋体"/>
          <w:kern w:val="0"/>
          <w:sz w:val="28"/>
          <w:szCs w:val="28"/>
        </w:rPr>
      </w:pPr>
    </w:p>
    <w:p>
      <w:pPr>
        <w:widowControl/>
        <w:snapToGrid w:val="0"/>
        <w:ind w:firstLine="1400" w:firstLineChars="500"/>
        <w:rPr>
          <w:rFonts w:ascii="宋体" w:hAnsi="宋体" w:cs="宋体"/>
          <w:kern w:val="0"/>
          <w:sz w:val="28"/>
          <w:szCs w:val="28"/>
        </w:rPr>
      </w:pPr>
    </w:p>
    <w:p>
      <w:pPr>
        <w:widowControl/>
        <w:snapToGrid w:val="0"/>
        <w:ind w:firstLine="1400" w:firstLineChars="500"/>
        <w:rPr>
          <w:rFonts w:ascii="宋体" w:hAnsi="宋体" w:cs="宋体"/>
          <w:kern w:val="0"/>
          <w:sz w:val="28"/>
          <w:szCs w:val="28"/>
        </w:rPr>
      </w:pPr>
    </w:p>
    <w:p>
      <w:pPr>
        <w:widowControl/>
        <w:snapToGrid w:val="0"/>
        <w:ind w:firstLine="1400" w:firstLineChars="500"/>
        <w:rPr>
          <w:rFonts w:ascii="宋体" w:hAnsi="宋体" w:cs="宋体"/>
          <w:kern w:val="0"/>
          <w:sz w:val="28"/>
          <w:szCs w:val="28"/>
        </w:rPr>
      </w:pPr>
    </w:p>
    <w:p>
      <w:pPr>
        <w:widowControl/>
        <w:snapToGrid w:val="0"/>
        <w:ind w:firstLine="560" w:firstLineChars="200"/>
        <w:rPr>
          <w:rFonts w:ascii="宋体" w:hAnsi="宋体" w:cs="宋体"/>
          <w:kern w:val="0"/>
          <w:sz w:val="28"/>
          <w:szCs w:val="28"/>
        </w:rPr>
      </w:pPr>
      <w:r>
        <w:rPr>
          <w:rFonts w:hint="eastAsia" w:ascii="宋体" w:hAnsi="宋体" w:cs="宋体"/>
          <w:kern w:val="0"/>
          <w:sz w:val="28"/>
          <w:szCs w:val="28"/>
        </w:rPr>
        <w:t xml:space="preserve">                              法定代表人签字：</w:t>
      </w:r>
    </w:p>
    <w:p>
      <w:pPr>
        <w:widowControl/>
        <w:snapToGrid w:val="0"/>
        <w:ind w:firstLine="560" w:firstLineChars="200"/>
        <w:rPr>
          <w:rFonts w:ascii="宋体" w:hAnsi="宋体" w:cs="宋体"/>
          <w:kern w:val="0"/>
          <w:sz w:val="28"/>
          <w:szCs w:val="28"/>
        </w:rPr>
      </w:pPr>
    </w:p>
    <w:p>
      <w:pPr>
        <w:widowControl/>
        <w:snapToGrid w:val="0"/>
        <w:jc w:val="center"/>
        <w:rPr>
          <w:rFonts w:ascii="宋体" w:hAnsi="宋体" w:cs="宋体"/>
          <w:kern w:val="0"/>
          <w:sz w:val="28"/>
          <w:szCs w:val="28"/>
        </w:rPr>
      </w:pPr>
      <w:r>
        <w:rPr>
          <w:rFonts w:hint="eastAsia" w:ascii="宋体" w:hAnsi="宋体" w:cs="宋体"/>
          <w:kern w:val="0"/>
          <w:sz w:val="28"/>
          <w:szCs w:val="28"/>
        </w:rPr>
        <w:t xml:space="preserve">                 单位公章：</w:t>
      </w:r>
    </w:p>
    <w:p>
      <w:pPr>
        <w:widowControl/>
        <w:snapToGrid w:val="0"/>
        <w:rPr>
          <w:rFonts w:ascii="宋体" w:hAnsi="宋体" w:cs="宋体"/>
          <w:kern w:val="0"/>
          <w:sz w:val="28"/>
          <w:szCs w:val="28"/>
        </w:rPr>
      </w:pPr>
      <w:r>
        <w:rPr>
          <w:rFonts w:hint="eastAsia" w:ascii="宋体" w:hAnsi="宋体" w:cs="宋体"/>
          <w:kern w:val="0"/>
          <w:sz w:val="28"/>
          <w:szCs w:val="28"/>
        </w:rPr>
        <w:t> </w:t>
      </w:r>
    </w:p>
    <w:p>
      <w:pPr>
        <w:widowControl/>
        <w:snapToGrid w:val="0"/>
        <w:jc w:val="center"/>
        <w:rPr>
          <w:rFonts w:ascii="宋体" w:hAnsi="宋体" w:cs="宋体"/>
          <w:kern w:val="0"/>
          <w:sz w:val="28"/>
          <w:szCs w:val="28"/>
        </w:rPr>
        <w:sectPr>
          <w:pgSz w:w="11906" w:h="16838"/>
          <w:pgMar w:top="1247" w:right="1247" w:bottom="1247" w:left="1247" w:header="851" w:footer="992" w:gutter="0"/>
          <w:cols w:space="720" w:num="1"/>
          <w:docGrid w:linePitch="312" w:charSpace="0"/>
        </w:sectPr>
      </w:pPr>
      <w:r>
        <w:rPr>
          <w:rFonts w:hint="eastAsia" w:ascii="宋体" w:hAnsi="宋体" w:cs="宋体"/>
          <w:kern w:val="0"/>
          <w:sz w:val="28"/>
          <w:szCs w:val="28"/>
        </w:rPr>
        <w:t xml:space="preserve">                      年  月  日</w:t>
      </w:r>
    </w:p>
    <w:p>
      <w:pPr>
        <w:spacing w:line="480" w:lineRule="auto"/>
        <w:jc w:val="left"/>
        <w:rPr>
          <w:rStyle w:val="105"/>
          <w:rFonts w:ascii="宋体" w:hAnsi="宋体" w:cs="宋体"/>
          <w:sz w:val="30"/>
          <w:szCs w:val="30"/>
        </w:rPr>
      </w:pPr>
      <w:r>
        <w:rPr>
          <w:rStyle w:val="105"/>
          <w:rFonts w:hint="eastAsia" w:ascii="宋体" w:hAnsi="宋体" w:cs="宋体"/>
          <w:sz w:val="30"/>
          <w:szCs w:val="30"/>
        </w:rPr>
        <w:t>附件九</w:t>
      </w:r>
    </w:p>
    <w:p>
      <w:pPr>
        <w:jc w:val="center"/>
        <w:rPr>
          <w:rFonts w:ascii="宋体" w:hAnsi="宋体" w:cs="宋体"/>
          <w:b/>
          <w:spacing w:val="20"/>
          <w:kern w:val="4"/>
          <w:sz w:val="36"/>
          <w:szCs w:val="36"/>
        </w:rPr>
      </w:pPr>
      <w:r>
        <w:rPr>
          <w:rFonts w:hint="eastAsia" w:ascii="宋体" w:hAnsi="宋体" w:cs="宋体"/>
          <w:b/>
          <w:spacing w:val="20"/>
          <w:kern w:val="4"/>
          <w:sz w:val="36"/>
          <w:szCs w:val="36"/>
        </w:rPr>
        <w:t>关于资格的声明函</w:t>
      </w:r>
    </w:p>
    <w:p>
      <w:pPr>
        <w:ind w:left="540" w:firstLine="30"/>
        <w:jc w:val="center"/>
        <w:rPr>
          <w:rFonts w:ascii="宋体" w:hAnsi="宋体" w:cs="宋体"/>
          <w:b/>
          <w:sz w:val="36"/>
          <w:szCs w:val="36"/>
        </w:rPr>
      </w:pPr>
    </w:p>
    <w:p>
      <w:pPr>
        <w:widowControl/>
        <w:snapToGrid w:val="0"/>
        <w:rPr>
          <w:rFonts w:ascii="宋体" w:hAnsi="宋体" w:cs="宋体"/>
          <w:b/>
          <w:kern w:val="0"/>
          <w:sz w:val="28"/>
          <w:szCs w:val="28"/>
        </w:rPr>
      </w:pPr>
      <w:r>
        <w:rPr>
          <w:rFonts w:hint="eastAsia" w:ascii="宋体" w:hAnsi="宋体" w:cs="宋体"/>
          <w:b/>
          <w:kern w:val="0"/>
          <w:sz w:val="28"/>
          <w:szCs w:val="28"/>
        </w:rPr>
        <w:t>建德市新安江第二小学</w:t>
      </w:r>
      <w:r>
        <w:rPr>
          <w:rFonts w:hint="eastAsia" w:ascii="宋体" w:hAnsi="宋体" w:cs="宋体"/>
          <w:b/>
          <w:kern w:val="0"/>
          <w:sz w:val="28"/>
          <w:szCs w:val="28"/>
          <w:lang w:eastAsia="zh-CN"/>
        </w:rPr>
        <w:t>、建德市资产经营投资有限公司</w:t>
      </w:r>
      <w:r>
        <w:rPr>
          <w:rFonts w:hint="eastAsia" w:ascii="宋体" w:hAnsi="宋体" w:cs="宋体"/>
          <w:b/>
          <w:kern w:val="0"/>
          <w:sz w:val="28"/>
          <w:szCs w:val="28"/>
        </w:rPr>
        <w:t>：</w:t>
      </w:r>
    </w:p>
    <w:p>
      <w:pPr>
        <w:spacing w:line="600" w:lineRule="exact"/>
        <w:rPr>
          <w:rFonts w:ascii="宋体" w:hAnsi="宋体" w:cs="宋体"/>
          <w:sz w:val="28"/>
          <w:szCs w:val="28"/>
        </w:rPr>
      </w:pPr>
      <w:r>
        <w:rPr>
          <w:rFonts w:hint="eastAsia" w:ascii="宋体" w:hAnsi="宋体" w:cs="宋体"/>
          <w:sz w:val="28"/>
          <w:szCs w:val="28"/>
        </w:rPr>
        <w:t xml:space="preserve">    关于贵方202</w:t>
      </w:r>
      <w:r>
        <w:rPr>
          <w:rFonts w:hint="eastAsia" w:ascii="宋体" w:hAnsi="宋体" w:cs="宋体"/>
          <w:sz w:val="28"/>
          <w:szCs w:val="28"/>
          <w:lang w:val="en-US" w:eastAsia="zh-CN"/>
        </w:rPr>
        <w:t>1</w:t>
      </w:r>
      <w:r>
        <w:rPr>
          <w:rFonts w:hint="eastAsia" w:ascii="宋体" w:hAnsi="宋体" w:cs="宋体"/>
          <w:sz w:val="28"/>
          <w:szCs w:val="28"/>
        </w:rPr>
        <w:t>年  月  日第JDYH2021-   号</w:t>
      </w:r>
      <w:r>
        <w:rPr>
          <w:rFonts w:hint="eastAsia" w:ascii="宋体" w:hAnsi="宋体" w:cs="宋体"/>
          <w:sz w:val="28"/>
          <w:szCs w:val="28"/>
          <w:lang w:eastAsia="zh-CN"/>
        </w:rPr>
        <w:t>新安江第二小学多媒体影像设备采购</w:t>
      </w:r>
      <w:r>
        <w:rPr>
          <w:rFonts w:hint="eastAsia" w:ascii="宋体" w:hAnsi="宋体" w:cs="宋体"/>
          <w:sz w:val="28"/>
          <w:szCs w:val="28"/>
        </w:rPr>
        <w:t>投标邀请，本公司愿意参加投标，并证明提交的下列文件和说明是准确和真实的。</w:t>
      </w:r>
    </w:p>
    <w:p>
      <w:pPr>
        <w:spacing w:line="600" w:lineRule="exact"/>
        <w:rPr>
          <w:rFonts w:ascii="宋体" w:hAnsi="宋体" w:cs="宋体"/>
          <w:sz w:val="28"/>
          <w:szCs w:val="28"/>
        </w:rPr>
      </w:pPr>
      <w:r>
        <w:rPr>
          <w:rFonts w:hint="eastAsia" w:ascii="宋体" w:hAnsi="宋体" w:cs="宋体"/>
          <w:sz w:val="28"/>
          <w:szCs w:val="28"/>
        </w:rPr>
        <w:t xml:space="preserve">    1、工商营业执照年检后副本复印件（加盖公章）；</w:t>
      </w:r>
    </w:p>
    <w:p>
      <w:pPr>
        <w:spacing w:line="600" w:lineRule="exact"/>
        <w:rPr>
          <w:rFonts w:ascii="宋体" w:hAnsi="宋体" w:cs="宋体"/>
          <w:sz w:val="28"/>
          <w:szCs w:val="28"/>
        </w:rPr>
      </w:pPr>
      <w:r>
        <w:rPr>
          <w:rFonts w:hint="eastAsia" w:ascii="宋体" w:hAnsi="宋体" w:cs="宋体"/>
          <w:sz w:val="28"/>
          <w:szCs w:val="28"/>
        </w:rPr>
        <w:t xml:space="preserve">    2、税务登记证复印件（加盖公章）；</w:t>
      </w:r>
    </w:p>
    <w:p>
      <w:pPr>
        <w:spacing w:line="600" w:lineRule="exact"/>
        <w:rPr>
          <w:rFonts w:ascii="宋体" w:hAnsi="宋体" w:cs="宋体"/>
          <w:sz w:val="28"/>
          <w:szCs w:val="28"/>
        </w:rPr>
      </w:pPr>
      <w:r>
        <w:rPr>
          <w:rFonts w:hint="eastAsia" w:ascii="宋体" w:hAnsi="宋体" w:cs="宋体"/>
          <w:sz w:val="28"/>
          <w:szCs w:val="28"/>
        </w:rPr>
        <w:t xml:space="preserve">    3、投标方一般情况；</w:t>
      </w:r>
    </w:p>
    <w:p>
      <w:pPr>
        <w:spacing w:line="600" w:lineRule="exact"/>
        <w:rPr>
          <w:rFonts w:ascii="宋体" w:hAnsi="宋体" w:cs="宋体"/>
          <w:sz w:val="28"/>
          <w:szCs w:val="28"/>
        </w:rPr>
      </w:pPr>
      <w:r>
        <w:rPr>
          <w:rFonts w:hint="eastAsia" w:ascii="宋体" w:hAnsi="宋体" w:cs="宋体"/>
          <w:sz w:val="28"/>
          <w:szCs w:val="28"/>
        </w:rPr>
        <w:t xml:space="preserve">    4、201</w:t>
      </w:r>
      <w:r>
        <w:rPr>
          <w:rFonts w:hint="eastAsia" w:ascii="宋体" w:hAnsi="宋体" w:cs="宋体"/>
          <w:sz w:val="28"/>
          <w:szCs w:val="28"/>
          <w:lang w:val="en-US" w:eastAsia="zh-CN"/>
        </w:rPr>
        <w:t>9</w:t>
      </w:r>
      <w:r>
        <w:rPr>
          <w:rFonts w:hint="eastAsia" w:ascii="宋体" w:hAnsi="宋体" w:cs="宋体"/>
          <w:sz w:val="28"/>
          <w:szCs w:val="28"/>
        </w:rPr>
        <w:t>年度的资产负债表、损益表复印件（加盖公章）；</w:t>
      </w:r>
    </w:p>
    <w:p>
      <w:pPr>
        <w:spacing w:line="600" w:lineRule="exact"/>
        <w:ind w:firstLine="560" w:firstLineChars="200"/>
        <w:rPr>
          <w:rFonts w:ascii="宋体" w:hAnsi="宋体" w:cs="宋体"/>
          <w:sz w:val="28"/>
          <w:szCs w:val="28"/>
        </w:rPr>
      </w:pPr>
      <w:r>
        <w:rPr>
          <w:rFonts w:hint="eastAsia" w:ascii="宋体" w:hAnsi="宋体" w:cs="宋体"/>
          <w:sz w:val="28"/>
          <w:szCs w:val="28"/>
        </w:rPr>
        <w:t>5、相关资质证明材料。</w:t>
      </w:r>
    </w:p>
    <w:p>
      <w:pPr>
        <w:spacing w:line="600" w:lineRule="exact"/>
        <w:jc w:val="center"/>
        <w:rPr>
          <w:rFonts w:ascii="宋体" w:hAnsi="宋体" w:cs="宋体"/>
          <w:sz w:val="28"/>
          <w:szCs w:val="28"/>
        </w:rPr>
      </w:pPr>
    </w:p>
    <w:p>
      <w:pPr>
        <w:spacing w:line="600" w:lineRule="exact"/>
        <w:jc w:val="center"/>
        <w:rPr>
          <w:rFonts w:ascii="宋体" w:hAnsi="宋体" w:cs="宋体"/>
          <w:sz w:val="28"/>
          <w:szCs w:val="28"/>
        </w:rPr>
      </w:pPr>
      <w:r>
        <w:rPr>
          <w:rFonts w:hint="eastAsia" w:ascii="宋体" w:hAnsi="宋体" w:cs="宋体"/>
          <w:sz w:val="28"/>
          <w:szCs w:val="28"/>
        </w:rPr>
        <w:t xml:space="preserve">      </w:t>
      </w:r>
    </w:p>
    <w:p>
      <w:pPr>
        <w:widowControl/>
        <w:snapToGrid w:val="0"/>
        <w:spacing w:line="360" w:lineRule="auto"/>
        <w:jc w:val="center"/>
        <w:rPr>
          <w:rFonts w:ascii="宋体" w:hAnsi="宋体" w:cs="宋体"/>
          <w:kern w:val="0"/>
          <w:sz w:val="28"/>
          <w:szCs w:val="28"/>
        </w:rPr>
      </w:pPr>
      <w:r>
        <w:rPr>
          <w:rFonts w:hint="eastAsia" w:ascii="宋体" w:hAnsi="宋体" w:cs="宋体"/>
          <w:sz w:val="28"/>
          <w:szCs w:val="28"/>
        </w:rPr>
        <w:t xml:space="preserve">             </w:t>
      </w:r>
      <w:r>
        <w:rPr>
          <w:rFonts w:hint="eastAsia" w:ascii="宋体" w:hAnsi="宋体" w:cs="宋体"/>
          <w:kern w:val="0"/>
          <w:sz w:val="28"/>
          <w:szCs w:val="28"/>
        </w:rPr>
        <w:t>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60" w:lineRule="auto"/>
        <w:ind w:firstLine="5460" w:firstLineChars="1950"/>
        <w:rPr>
          <w:rFonts w:ascii="宋体" w:hAnsi="宋体" w:cs="宋体"/>
          <w:b/>
          <w:bCs/>
          <w:kern w:val="0"/>
          <w:sz w:val="28"/>
          <w:szCs w:val="28"/>
        </w:rPr>
      </w:pPr>
      <w:r>
        <w:rPr>
          <w:rFonts w:hint="eastAsia" w:ascii="宋体" w:hAnsi="宋体" w:cs="宋体"/>
          <w:kern w:val="0"/>
          <w:sz w:val="28"/>
          <w:szCs w:val="28"/>
        </w:rPr>
        <w:t>日期：   年</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 月  日</w:t>
      </w:r>
    </w:p>
    <w:p>
      <w:pPr>
        <w:spacing w:line="600" w:lineRule="exact"/>
        <w:jc w:val="center"/>
        <w:rPr>
          <w:rFonts w:ascii="宋体" w:hAnsi="宋体" w:cs="宋体"/>
          <w:sz w:val="24"/>
          <w:szCs w:val="24"/>
        </w:rPr>
      </w:pPr>
    </w:p>
    <w:p>
      <w:pPr>
        <w:rPr>
          <w:rFonts w:ascii="宋体" w:hAnsi="宋体" w:cs="宋体"/>
          <w:sz w:val="28"/>
          <w:szCs w:val="28"/>
        </w:rPr>
      </w:pPr>
    </w:p>
    <w:p>
      <w:pPr>
        <w:rPr>
          <w:rFonts w:ascii="宋体" w:hAnsi="宋体" w:cs="宋体"/>
          <w:sz w:val="28"/>
          <w:szCs w:val="28"/>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jc w:val="left"/>
        <w:rPr>
          <w:rStyle w:val="105"/>
          <w:rFonts w:ascii="宋体" w:hAnsi="宋体" w:cs="宋体"/>
          <w:sz w:val="30"/>
          <w:szCs w:val="30"/>
        </w:rPr>
      </w:pPr>
    </w:p>
    <w:p>
      <w:pPr>
        <w:spacing w:line="480" w:lineRule="auto"/>
        <w:ind w:firstLine="291" w:firstLineChars="98"/>
        <w:jc w:val="left"/>
        <w:rPr>
          <w:rStyle w:val="105"/>
          <w:rFonts w:ascii="宋体" w:hAnsi="宋体" w:cs="宋体"/>
          <w:sz w:val="30"/>
          <w:szCs w:val="30"/>
        </w:rPr>
      </w:pPr>
      <w:r>
        <w:rPr>
          <w:rStyle w:val="105"/>
          <w:rFonts w:hint="eastAsia" w:ascii="宋体" w:hAnsi="宋体" w:cs="宋体"/>
          <w:sz w:val="30"/>
          <w:szCs w:val="30"/>
        </w:rPr>
        <w:t>附件十</w:t>
      </w:r>
    </w:p>
    <w:p>
      <w:pPr>
        <w:spacing w:line="480" w:lineRule="auto"/>
        <w:jc w:val="center"/>
        <w:rPr>
          <w:rFonts w:ascii="宋体" w:hAnsi="宋体" w:cs="宋体"/>
          <w:b/>
          <w:sz w:val="36"/>
          <w:szCs w:val="36"/>
        </w:rPr>
      </w:pPr>
      <w:r>
        <w:rPr>
          <w:rFonts w:hint="eastAsia" w:ascii="宋体" w:hAnsi="宋体" w:cs="宋体"/>
          <w:b/>
          <w:sz w:val="36"/>
          <w:szCs w:val="36"/>
        </w:rPr>
        <w:t>投标方一般情况</w:t>
      </w:r>
    </w:p>
    <w:tbl>
      <w:tblPr>
        <w:tblStyle w:val="38"/>
        <w:tblW w:w="91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65"/>
        <w:gridCol w:w="14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8445" w:type="dxa"/>
            <w:gridSpan w:val="3"/>
            <w:vAlign w:val="center"/>
          </w:tcPr>
          <w:p>
            <w:pPr>
              <w:spacing w:line="360" w:lineRule="auto"/>
              <w:rPr>
                <w:rFonts w:ascii="宋体" w:hAnsi="宋体" w:cs="宋体"/>
                <w:sz w:val="28"/>
                <w:szCs w:val="28"/>
              </w:rPr>
            </w:pPr>
            <w:r>
              <w:rPr>
                <w:rFonts w:hint="eastAsia" w:ascii="宋体" w:hAnsi="宋体" w:cs="宋体"/>
                <w:sz w:val="28"/>
                <w:szCs w:val="28"/>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8445" w:type="dxa"/>
            <w:gridSpan w:val="3"/>
            <w:vAlign w:val="center"/>
          </w:tcPr>
          <w:p>
            <w:pPr>
              <w:spacing w:line="360" w:lineRule="auto"/>
              <w:rPr>
                <w:rFonts w:ascii="宋体" w:hAnsi="宋体" w:cs="宋体"/>
                <w:sz w:val="28"/>
                <w:szCs w:val="28"/>
              </w:rPr>
            </w:pPr>
            <w:r>
              <w:rPr>
                <w:rFonts w:hint="eastAsia" w:ascii="宋体" w:hAnsi="宋体" w:cs="宋体"/>
                <w:sz w:val="28"/>
                <w:szCs w:val="28"/>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8445" w:type="dxa"/>
            <w:gridSpan w:val="3"/>
            <w:vAlign w:val="center"/>
          </w:tcPr>
          <w:p>
            <w:pPr>
              <w:spacing w:line="360" w:lineRule="auto"/>
              <w:rPr>
                <w:rFonts w:ascii="宋体" w:hAnsi="宋体" w:cs="宋体"/>
                <w:sz w:val="28"/>
                <w:szCs w:val="28"/>
              </w:rPr>
            </w:pPr>
            <w:r>
              <w:rPr>
                <w:rFonts w:hint="eastAsia" w:ascii="宋体" w:hAnsi="宋体" w:cs="宋体"/>
                <w:sz w:val="28"/>
                <w:szCs w:val="28"/>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4</w:t>
            </w:r>
          </w:p>
        </w:tc>
        <w:tc>
          <w:tcPr>
            <w:tcW w:w="4305" w:type="dxa"/>
            <w:gridSpan w:val="2"/>
            <w:vAlign w:val="center"/>
          </w:tcPr>
          <w:p>
            <w:pPr>
              <w:spacing w:line="360" w:lineRule="auto"/>
              <w:rPr>
                <w:rFonts w:ascii="宋体" w:hAnsi="宋体" w:cs="宋体"/>
                <w:sz w:val="28"/>
                <w:szCs w:val="28"/>
              </w:rPr>
            </w:pPr>
            <w:r>
              <w:rPr>
                <w:rFonts w:hint="eastAsia" w:ascii="宋体" w:hAnsi="宋体" w:cs="宋体"/>
                <w:sz w:val="28"/>
                <w:szCs w:val="28"/>
              </w:rPr>
              <w:t>电  话：</w:t>
            </w:r>
          </w:p>
        </w:tc>
        <w:tc>
          <w:tcPr>
            <w:tcW w:w="4140" w:type="dxa"/>
            <w:vAlign w:val="center"/>
          </w:tcPr>
          <w:p>
            <w:pPr>
              <w:spacing w:line="360" w:lineRule="auto"/>
              <w:rPr>
                <w:rFonts w:ascii="宋体" w:hAnsi="宋体" w:cs="宋体"/>
                <w:sz w:val="28"/>
                <w:szCs w:val="28"/>
              </w:rPr>
            </w:pPr>
            <w:r>
              <w:rPr>
                <w:rFonts w:hint="eastAsia" w:ascii="宋体" w:hAnsi="宋体" w:cs="宋体"/>
                <w:sz w:val="28"/>
                <w:szCs w:val="28"/>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5</w:t>
            </w:r>
          </w:p>
        </w:tc>
        <w:tc>
          <w:tcPr>
            <w:tcW w:w="4305" w:type="dxa"/>
            <w:gridSpan w:val="2"/>
            <w:vAlign w:val="center"/>
          </w:tcPr>
          <w:p>
            <w:pPr>
              <w:spacing w:line="360" w:lineRule="auto"/>
              <w:rPr>
                <w:rFonts w:ascii="宋体" w:hAnsi="宋体" w:cs="宋体"/>
                <w:sz w:val="28"/>
                <w:szCs w:val="28"/>
              </w:rPr>
            </w:pPr>
            <w:r>
              <w:rPr>
                <w:rFonts w:hint="eastAsia" w:ascii="宋体" w:hAnsi="宋体" w:cs="宋体"/>
                <w:sz w:val="28"/>
                <w:szCs w:val="28"/>
              </w:rPr>
              <w:t>传  真：</w:t>
            </w:r>
          </w:p>
        </w:tc>
        <w:tc>
          <w:tcPr>
            <w:tcW w:w="4140" w:type="dxa"/>
            <w:vAlign w:val="center"/>
          </w:tcPr>
          <w:p>
            <w:pPr>
              <w:spacing w:line="360" w:lineRule="auto"/>
              <w:rPr>
                <w:rFonts w:ascii="宋体" w:hAnsi="宋体" w:cs="宋体"/>
                <w:sz w:val="28"/>
                <w:szCs w:val="28"/>
              </w:rPr>
            </w:pPr>
            <w:r>
              <w:rPr>
                <w:rFonts w:hint="eastAsia" w:ascii="宋体" w:hAnsi="宋体" w:cs="宋体"/>
                <w:sz w:val="28"/>
                <w:szCs w:val="28"/>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6</w:t>
            </w:r>
          </w:p>
        </w:tc>
        <w:tc>
          <w:tcPr>
            <w:tcW w:w="4305" w:type="dxa"/>
            <w:gridSpan w:val="2"/>
            <w:vAlign w:val="center"/>
          </w:tcPr>
          <w:p>
            <w:pPr>
              <w:spacing w:line="360" w:lineRule="auto"/>
              <w:rPr>
                <w:rFonts w:ascii="宋体" w:hAnsi="宋体" w:cs="宋体"/>
                <w:sz w:val="28"/>
                <w:szCs w:val="28"/>
              </w:rPr>
            </w:pPr>
            <w:r>
              <w:rPr>
                <w:rFonts w:hint="eastAsia" w:ascii="宋体" w:hAnsi="宋体" w:cs="宋体"/>
                <w:sz w:val="28"/>
                <w:szCs w:val="28"/>
              </w:rPr>
              <w:t>注册地：</w:t>
            </w:r>
          </w:p>
        </w:tc>
        <w:tc>
          <w:tcPr>
            <w:tcW w:w="4140" w:type="dxa"/>
            <w:vAlign w:val="center"/>
          </w:tcPr>
          <w:p>
            <w:pPr>
              <w:spacing w:line="360" w:lineRule="auto"/>
              <w:rPr>
                <w:rFonts w:ascii="宋体" w:hAnsi="宋体" w:cs="宋体"/>
                <w:sz w:val="28"/>
                <w:szCs w:val="28"/>
              </w:rPr>
            </w:pPr>
            <w:r>
              <w:rPr>
                <w:rFonts w:hint="eastAsia" w:ascii="宋体" w:hAnsi="宋体" w:cs="宋体"/>
                <w:sz w:val="28"/>
                <w:szCs w:val="28"/>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7</w:t>
            </w:r>
          </w:p>
        </w:tc>
        <w:tc>
          <w:tcPr>
            <w:tcW w:w="8445" w:type="dxa"/>
            <w:gridSpan w:val="3"/>
            <w:vAlign w:val="center"/>
          </w:tcPr>
          <w:p>
            <w:pPr>
              <w:spacing w:line="360" w:lineRule="auto"/>
              <w:rPr>
                <w:rFonts w:ascii="宋体" w:hAnsi="宋体" w:cs="宋体"/>
                <w:sz w:val="28"/>
                <w:szCs w:val="28"/>
              </w:rPr>
            </w:pPr>
            <w:r>
              <w:rPr>
                <w:rFonts w:hint="eastAsia" w:ascii="宋体" w:hAnsi="宋体" w:cs="宋体"/>
                <w:sz w:val="28"/>
                <w:szCs w:val="28"/>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8</w:t>
            </w:r>
          </w:p>
        </w:tc>
        <w:tc>
          <w:tcPr>
            <w:tcW w:w="8445" w:type="dxa"/>
            <w:gridSpan w:val="3"/>
            <w:vAlign w:val="center"/>
          </w:tcPr>
          <w:p>
            <w:pPr>
              <w:spacing w:line="360" w:lineRule="auto"/>
              <w:rPr>
                <w:rFonts w:ascii="宋体" w:hAnsi="宋体" w:cs="宋体"/>
                <w:sz w:val="28"/>
                <w:szCs w:val="28"/>
              </w:rPr>
            </w:pPr>
            <w:r>
              <w:rPr>
                <w:rFonts w:hint="eastAsia" w:ascii="宋体" w:hAnsi="宋体" w:cs="宋体"/>
                <w:sz w:val="28"/>
                <w:szCs w:val="28"/>
              </w:rPr>
              <w:t>公司获得的主要荣誉（请附相关证书复印件）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s="宋体"/>
                <w:sz w:val="28"/>
                <w:szCs w:val="28"/>
              </w:rPr>
            </w:pPr>
            <w:r>
              <w:rPr>
                <w:rFonts w:hint="eastAsia" w:ascii="宋体" w:hAnsi="宋体" w:cs="宋体"/>
                <w:sz w:val="28"/>
                <w:szCs w:val="28"/>
              </w:rPr>
              <w:t>9</w:t>
            </w:r>
          </w:p>
        </w:tc>
        <w:tc>
          <w:tcPr>
            <w:tcW w:w="2865" w:type="dxa"/>
            <w:vAlign w:val="center"/>
          </w:tcPr>
          <w:p>
            <w:pPr>
              <w:spacing w:line="360" w:lineRule="auto"/>
              <w:rPr>
                <w:rFonts w:ascii="宋体" w:hAnsi="宋体" w:cs="宋体"/>
                <w:sz w:val="28"/>
                <w:szCs w:val="28"/>
              </w:rPr>
            </w:pPr>
            <w:r>
              <w:rPr>
                <w:rFonts w:hint="eastAsia" w:ascii="宋体" w:hAnsi="宋体" w:cs="宋体"/>
                <w:sz w:val="28"/>
                <w:szCs w:val="28"/>
              </w:rPr>
              <w:t>其他需要说明的情况</w:t>
            </w:r>
          </w:p>
        </w:tc>
        <w:tc>
          <w:tcPr>
            <w:tcW w:w="5580" w:type="dxa"/>
            <w:gridSpan w:val="2"/>
            <w:vAlign w:val="center"/>
          </w:tcPr>
          <w:p>
            <w:pPr>
              <w:spacing w:line="360" w:lineRule="auto"/>
              <w:rPr>
                <w:rFonts w:ascii="宋体" w:hAnsi="宋体" w:cs="宋体"/>
                <w:sz w:val="28"/>
                <w:szCs w:val="28"/>
              </w:rPr>
            </w:pPr>
          </w:p>
          <w:p>
            <w:pPr>
              <w:spacing w:line="360" w:lineRule="auto"/>
              <w:rPr>
                <w:rFonts w:ascii="宋体" w:hAnsi="宋体" w:cs="宋体"/>
                <w:sz w:val="28"/>
                <w:szCs w:val="28"/>
              </w:rPr>
            </w:pPr>
          </w:p>
        </w:tc>
      </w:tr>
    </w:tbl>
    <w:p>
      <w:pPr>
        <w:ind w:firstLine="573"/>
        <w:rPr>
          <w:rFonts w:ascii="宋体" w:hAnsi="宋体" w:cs="宋体"/>
          <w:sz w:val="28"/>
          <w:szCs w:val="28"/>
        </w:rPr>
      </w:pPr>
      <w:r>
        <w:rPr>
          <w:rFonts w:hint="eastAsia" w:ascii="宋体" w:hAnsi="宋体" w:cs="宋体"/>
          <w:sz w:val="28"/>
          <w:szCs w:val="28"/>
        </w:rPr>
        <w:t xml:space="preserve">             </w:t>
      </w:r>
    </w:p>
    <w:p>
      <w:pPr>
        <w:ind w:firstLine="280" w:firstLineChars="100"/>
        <w:rPr>
          <w:rFonts w:ascii="宋体" w:hAnsi="宋体" w:cs="宋体"/>
          <w:sz w:val="28"/>
          <w:szCs w:val="28"/>
        </w:rPr>
      </w:pPr>
      <w:r>
        <w:rPr>
          <w:rFonts w:hint="eastAsia" w:ascii="宋体" w:hAnsi="宋体" w:cs="宋体"/>
          <w:sz w:val="28"/>
          <w:szCs w:val="28"/>
        </w:rPr>
        <w:t>说明： 所有独立投标申请人或联合体成员都须填写此表；</w:t>
      </w:r>
    </w:p>
    <w:p>
      <w:pPr>
        <w:jc w:val="center"/>
        <w:rPr>
          <w:rFonts w:ascii="宋体" w:hAnsi="宋体" w:cs="宋体"/>
          <w:sz w:val="28"/>
          <w:szCs w:val="28"/>
        </w:rPr>
      </w:pPr>
    </w:p>
    <w:p>
      <w:pPr>
        <w:widowControl/>
        <w:snapToGrid w:val="0"/>
        <w:spacing w:line="360" w:lineRule="auto"/>
        <w:jc w:val="center"/>
        <w:rPr>
          <w:rFonts w:ascii="宋体" w:hAnsi="宋体" w:cs="宋体"/>
          <w:kern w:val="0"/>
          <w:sz w:val="28"/>
          <w:szCs w:val="28"/>
        </w:rPr>
      </w:pPr>
      <w:r>
        <w:rPr>
          <w:rFonts w:hint="eastAsia" w:ascii="宋体" w:hAnsi="宋体" w:cs="宋体"/>
          <w:sz w:val="28"/>
          <w:szCs w:val="28"/>
        </w:rPr>
        <w:t xml:space="preserve">            </w:t>
      </w:r>
      <w:r>
        <w:rPr>
          <w:rFonts w:hint="eastAsia" w:ascii="宋体" w:hAnsi="宋体" w:cs="宋体"/>
          <w:kern w:val="0"/>
          <w:sz w:val="28"/>
          <w:szCs w:val="28"/>
        </w:rPr>
        <w:t>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60" w:lineRule="auto"/>
        <w:ind w:firstLine="4340" w:firstLineChars="1550"/>
        <w:rPr>
          <w:rFonts w:ascii="宋体" w:hAnsi="宋体" w:cs="宋体"/>
          <w:b/>
          <w:bCs/>
          <w:kern w:val="0"/>
          <w:sz w:val="24"/>
        </w:rPr>
      </w:pPr>
      <w:r>
        <w:rPr>
          <w:rFonts w:hint="eastAsia" w:ascii="宋体" w:hAnsi="宋体" w:cs="宋体"/>
          <w:kern w:val="0"/>
          <w:sz w:val="28"/>
          <w:szCs w:val="28"/>
        </w:rPr>
        <w:t>日期：  年 月  日</w:t>
      </w:r>
    </w:p>
    <w:p>
      <w:pPr>
        <w:autoSpaceDE w:val="0"/>
        <w:adjustRightInd w:val="0"/>
        <w:snapToGrid w:val="0"/>
        <w:ind w:firstLine="3735" w:firstLineChars="1550"/>
        <w:rPr>
          <w:rFonts w:ascii="宋体" w:hAnsi="宋体" w:cs="宋体"/>
          <w:b/>
          <w:bCs/>
          <w:kern w:val="0"/>
          <w:sz w:val="24"/>
        </w:rPr>
      </w:pPr>
    </w:p>
    <w:p>
      <w:pPr>
        <w:adjustRightInd w:val="0"/>
        <w:snapToGrid w:val="0"/>
        <w:jc w:val="center"/>
        <w:rPr>
          <w:rFonts w:ascii="宋体" w:hAnsi="宋体" w:cs="宋体"/>
          <w:sz w:val="28"/>
          <w:szCs w:val="28"/>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snapToGrid w:val="0"/>
        <w:spacing w:before="50" w:after="120" w:afterLines="50" w:line="360" w:lineRule="auto"/>
        <w:jc w:val="left"/>
        <w:rPr>
          <w:rFonts w:ascii="宋体" w:hAnsi="宋体" w:cs="宋体"/>
          <w:b/>
          <w:sz w:val="30"/>
          <w:szCs w:val="30"/>
        </w:rPr>
      </w:pPr>
    </w:p>
    <w:p>
      <w:pPr>
        <w:snapToGrid w:val="0"/>
        <w:spacing w:before="50" w:after="120" w:afterLines="50" w:line="360" w:lineRule="auto"/>
        <w:jc w:val="left"/>
        <w:rPr>
          <w:rFonts w:ascii="宋体" w:hAnsi="宋体" w:cs="宋体"/>
          <w:b/>
          <w:sz w:val="30"/>
          <w:szCs w:val="30"/>
        </w:rPr>
      </w:pPr>
    </w:p>
    <w:p>
      <w:pPr>
        <w:snapToGrid w:val="0"/>
        <w:spacing w:before="50" w:after="120" w:afterLines="50" w:line="360" w:lineRule="auto"/>
        <w:jc w:val="left"/>
        <w:rPr>
          <w:rFonts w:ascii="宋体" w:hAnsi="宋体" w:cs="宋体"/>
          <w:b/>
          <w:sz w:val="30"/>
          <w:szCs w:val="30"/>
        </w:rPr>
      </w:pPr>
    </w:p>
    <w:p>
      <w:pPr>
        <w:snapToGrid w:val="0"/>
        <w:spacing w:before="50" w:after="120" w:afterLines="50" w:line="360" w:lineRule="auto"/>
        <w:jc w:val="left"/>
        <w:rPr>
          <w:rFonts w:ascii="宋体" w:hAnsi="宋体" w:cs="宋体"/>
          <w:b/>
          <w:sz w:val="30"/>
          <w:szCs w:val="30"/>
        </w:rPr>
      </w:pPr>
      <w:r>
        <w:rPr>
          <w:rFonts w:hint="eastAsia" w:ascii="宋体" w:hAnsi="宋体" w:cs="宋体"/>
          <w:b/>
          <w:sz w:val="30"/>
          <w:szCs w:val="30"/>
        </w:rPr>
        <w:t>附件十一：</w:t>
      </w:r>
    </w:p>
    <w:p>
      <w:pPr>
        <w:pStyle w:val="30"/>
        <w:snapToGrid w:val="0"/>
        <w:spacing w:line="360" w:lineRule="auto"/>
        <w:ind w:left="803" w:hanging="803"/>
        <w:jc w:val="center"/>
        <w:rPr>
          <w:rFonts w:ascii="宋体" w:hAnsi="宋体" w:cs="宋体"/>
          <w:b/>
          <w:spacing w:val="20"/>
          <w:sz w:val="36"/>
          <w:szCs w:val="20"/>
        </w:rPr>
      </w:pPr>
      <w:r>
        <w:rPr>
          <w:rFonts w:hint="eastAsia" w:ascii="宋体" w:hAnsi="宋体" w:cs="宋体"/>
          <w:b/>
          <w:spacing w:val="20"/>
          <w:sz w:val="36"/>
          <w:szCs w:val="20"/>
        </w:rPr>
        <w:t>投标人同类项目实施情况一览表</w:t>
      </w:r>
    </w:p>
    <w:p>
      <w:pPr>
        <w:pStyle w:val="30"/>
        <w:snapToGrid w:val="0"/>
        <w:spacing w:line="360" w:lineRule="auto"/>
        <w:ind w:left="666" w:leftChars="-85" w:hanging="844" w:hangingChars="264"/>
        <w:rPr>
          <w:rFonts w:ascii="宋体" w:hAnsi="宋体" w:cs="宋体"/>
          <w:b/>
          <w:spacing w:val="20"/>
          <w:sz w:val="36"/>
          <w:szCs w:val="20"/>
        </w:rPr>
      </w:pPr>
      <w:r>
        <w:rPr>
          <w:rFonts w:hint="eastAsia" w:ascii="宋体" w:hAnsi="宋体" w:cs="宋体"/>
          <w:spacing w:val="20"/>
          <w:szCs w:val="28"/>
        </w:rPr>
        <w:t>招标编号：JDYH2021-</w:t>
      </w:r>
    </w:p>
    <w:tbl>
      <w:tblPr>
        <w:tblStyle w:val="38"/>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900"/>
        <w:gridCol w:w="900"/>
        <w:gridCol w:w="144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采购单位名称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投标品牌、型号及主要技术参数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采购</w:t>
            </w:r>
          </w:p>
          <w:p>
            <w:pPr>
              <w:snapToGrid w:val="0"/>
              <w:jc w:val="center"/>
              <w:rPr>
                <w:rFonts w:ascii="宋体" w:hAnsi="宋体" w:cs="宋体"/>
                <w:sz w:val="24"/>
                <w:szCs w:val="24"/>
              </w:rPr>
            </w:pPr>
            <w:r>
              <w:rPr>
                <w:rFonts w:hint="eastAsia" w:ascii="宋体" w:hAnsi="宋体" w:cs="宋体"/>
                <w:sz w:val="24"/>
                <w:szCs w:val="24"/>
              </w:rPr>
              <w:t>数量</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合同</w:t>
            </w:r>
          </w:p>
          <w:p>
            <w:pPr>
              <w:snapToGrid w:val="0"/>
              <w:jc w:val="center"/>
              <w:rPr>
                <w:rFonts w:ascii="宋体" w:hAnsi="宋体" w:cs="宋体"/>
                <w:sz w:val="24"/>
                <w:szCs w:val="24"/>
              </w:rPr>
            </w:pPr>
            <w:r>
              <w:rPr>
                <w:rFonts w:hint="eastAsia" w:ascii="宋体" w:hAnsi="宋体" w:cs="宋体"/>
                <w:sz w:val="24"/>
                <w:szCs w:val="24"/>
              </w:rPr>
              <w:t>金额</w:t>
            </w:r>
          </w:p>
          <w:p>
            <w:pPr>
              <w:snapToGrid w:val="0"/>
              <w:jc w:val="center"/>
              <w:rPr>
                <w:rFonts w:ascii="宋体" w:hAnsi="宋体" w:cs="宋体"/>
                <w:sz w:val="24"/>
                <w:szCs w:val="24"/>
              </w:rPr>
            </w:pPr>
            <w:r>
              <w:rPr>
                <w:rFonts w:hint="eastAsia" w:ascii="宋体" w:hAnsi="宋体" w:cs="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附件页码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采购单位联系人及</w:t>
            </w:r>
          </w:p>
          <w:p>
            <w:pPr>
              <w:snapToGrid w:val="0"/>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合</w:t>
            </w:r>
          </w:p>
          <w:p>
            <w:pPr>
              <w:snapToGrid w:val="0"/>
              <w:jc w:val="center"/>
              <w:rPr>
                <w:rFonts w:ascii="宋体" w:hAnsi="宋体" w:cs="宋体"/>
                <w:sz w:val="24"/>
                <w:szCs w:val="24"/>
              </w:rPr>
            </w:pPr>
            <w:r>
              <w:rPr>
                <w:rFonts w:hint="eastAsia" w:ascii="宋体" w:hAnsi="宋体" w:cs="宋体"/>
                <w:sz w:val="24"/>
                <w:szCs w:val="24"/>
              </w:rPr>
              <w:t>同</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备注</w:t>
            </w:r>
          </w:p>
        </w:tc>
        <w:tc>
          <w:tcPr>
            <w:tcW w:w="8172"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须提供投标人同类项目合同复印件。</w:t>
            </w:r>
          </w:p>
        </w:tc>
      </w:tr>
    </w:tbl>
    <w:p>
      <w:pPr>
        <w:widowControl/>
        <w:snapToGrid w:val="0"/>
        <w:spacing w:line="480" w:lineRule="exact"/>
        <w:jc w:val="center"/>
        <w:rPr>
          <w:rFonts w:ascii="宋体" w:hAnsi="宋体" w:cs="宋体"/>
          <w:kern w:val="0"/>
          <w:sz w:val="28"/>
          <w:szCs w:val="28"/>
        </w:rPr>
      </w:pPr>
      <w:r>
        <w:rPr>
          <w:rFonts w:hint="eastAsia" w:ascii="宋体" w:hAnsi="宋体" w:cs="宋体"/>
          <w:kern w:val="0"/>
          <w:sz w:val="28"/>
          <w:szCs w:val="28"/>
        </w:rPr>
        <w:t xml:space="preserve">     </w:t>
      </w:r>
    </w:p>
    <w:p>
      <w:pPr>
        <w:widowControl/>
        <w:snapToGrid w:val="0"/>
        <w:spacing w:line="480" w:lineRule="exact"/>
        <w:jc w:val="center"/>
        <w:rPr>
          <w:rFonts w:ascii="宋体" w:hAnsi="宋体" w:cs="宋体"/>
          <w:kern w:val="0"/>
          <w:sz w:val="28"/>
          <w:szCs w:val="28"/>
        </w:rPr>
      </w:pPr>
      <w:r>
        <w:rPr>
          <w:rFonts w:hint="eastAsia" w:ascii="宋体" w:hAnsi="宋体" w:cs="宋体"/>
          <w:kern w:val="0"/>
          <w:sz w:val="28"/>
          <w:szCs w:val="28"/>
        </w:rPr>
        <w:t xml:space="preserve">     </w:t>
      </w:r>
    </w:p>
    <w:p>
      <w:pPr>
        <w:widowControl/>
        <w:snapToGrid w:val="0"/>
        <w:spacing w:line="360" w:lineRule="auto"/>
        <w:jc w:val="center"/>
        <w:rPr>
          <w:rFonts w:ascii="宋体" w:hAnsi="宋体" w:cs="宋体"/>
          <w:kern w:val="0"/>
          <w:sz w:val="28"/>
          <w:szCs w:val="28"/>
        </w:rPr>
      </w:pPr>
      <w:r>
        <w:rPr>
          <w:rFonts w:hint="eastAsia" w:ascii="宋体" w:hAnsi="宋体" w:cs="宋体"/>
          <w:kern w:val="0"/>
          <w:sz w:val="28"/>
          <w:szCs w:val="28"/>
        </w:rPr>
        <w:t xml:space="preserve">            全权代表(签字)：</w:t>
      </w:r>
    </w:p>
    <w:p>
      <w:pPr>
        <w:widowControl/>
        <w:snapToGrid w:val="0"/>
        <w:spacing w:line="360" w:lineRule="auto"/>
        <w:ind w:left="420" w:hanging="420"/>
        <w:jc w:val="center"/>
        <w:rPr>
          <w:rFonts w:ascii="宋体" w:hAnsi="宋体" w:cs="宋体"/>
          <w:kern w:val="0"/>
          <w:sz w:val="28"/>
          <w:szCs w:val="28"/>
        </w:rPr>
      </w:pPr>
      <w:r>
        <w:rPr>
          <w:rFonts w:hint="eastAsia" w:ascii="宋体" w:hAnsi="宋体" w:cs="宋体"/>
          <w:kern w:val="0"/>
          <w:sz w:val="28"/>
          <w:szCs w:val="28"/>
        </w:rPr>
        <w:t xml:space="preserve">            投标单位(盖章)：</w:t>
      </w:r>
    </w:p>
    <w:p>
      <w:pPr>
        <w:autoSpaceDE w:val="0"/>
        <w:adjustRightInd w:val="0"/>
        <w:snapToGrid w:val="0"/>
        <w:spacing w:line="360" w:lineRule="auto"/>
        <w:ind w:firstLine="4340" w:firstLineChars="1550"/>
        <w:rPr>
          <w:rFonts w:ascii="宋体" w:hAnsi="宋体" w:cs="宋体"/>
          <w:b/>
          <w:bCs/>
          <w:kern w:val="0"/>
          <w:sz w:val="24"/>
        </w:rPr>
      </w:pPr>
      <w:r>
        <w:rPr>
          <w:rFonts w:hint="eastAsia" w:ascii="宋体" w:hAnsi="宋体" w:cs="宋体"/>
          <w:kern w:val="0"/>
          <w:sz w:val="28"/>
          <w:szCs w:val="28"/>
        </w:rPr>
        <w:t>日期：  年 月  日</w:t>
      </w:r>
    </w:p>
    <w:p>
      <w:pPr>
        <w:autoSpaceDE w:val="0"/>
        <w:adjustRightInd w:val="0"/>
        <w:snapToGrid w:val="0"/>
        <w:ind w:firstLine="3735" w:firstLineChars="1550"/>
        <w:rPr>
          <w:rFonts w:ascii="宋体" w:hAnsi="宋体" w:cs="宋体"/>
          <w:b/>
          <w:bCs/>
          <w:kern w:val="0"/>
          <w:sz w:val="24"/>
        </w:rPr>
      </w:pPr>
    </w:p>
    <w:p>
      <w:pPr>
        <w:autoSpaceDE w:val="0"/>
        <w:adjustRightInd w:val="0"/>
        <w:snapToGrid w:val="0"/>
        <w:ind w:firstLine="3735" w:firstLineChars="1550"/>
        <w:rPr>
          <w:rFonts w:ascii="宋体" w:hAnsi="宋体" w:cs="宋体"/>
          <w:b/>
          <w:bCs/>
          <w:kern w:val="0"/>
          <w:sz w:val="24"/>
        </w:rPr>
      </w:pPr>
    </w:p>
    <w:p>
      <w:pPr>
        <w:autoSpaceDE w:val="0"/>
        <w:adjustRightInd w:val="0"/>
        <w:snapToGrid w:val="0"/>
        <w:ind w:firstLine="3735" w:firstLineChars="1550"/>
        <w:rPr>
          <w:rFonts w:ascii="宋体" w:hAnsi="宋体" w:cs="宋体"/>
          <w:b/>
          <w:bCs/>
          <w:kern w:val="0"/>
          <w:sz w:val="24"/>
        </w:rPr>
      </w:pPr>
    </w:p>
    <w:p>
      <w:pPr>
        <w:autoSpaceDE w:val="0"/>
        <w:adjustRightInd w:val="0"/>
        <w:snapToGrid w:val="0"/>
        <w:ind w:firstLine="3735" w:firstLineChars="1550"/>
        <w:rPr>
          <w:rFonts w:ascii="宋体" w:hAnsi="宋体" w:cs="宋体"/>
          <w:b/>
          <w:bCs/>
          <w:kern w:val="0"/>
          <w:sz w:val="24"/>
        </w:rPr>
      </w:pPr>
    </w:p>
    <w:p>
      <w:pPr>
        <w:autoSpaceDE w:val="0"/>
        <w:adjustRightInd w:val="0"/>
        <w:snapToGrid w:val="0"/>
        <w:ind w:firstLine="3735" w:firstLineChars="1550"/>
        <w:rPr>
          <w:rFonts w:ascii="宋体" w:hAnsi="宋体" w:cs="宋体"/>
          <w:b/>
          <w:bCs/>
          <w:kern w:val="0"/>
          <w:sz w:val="24"/>
        </w:rPr>
      </w:pPr>
    </w:p>
    <w:p>
      <w:pPr>
        <w:autoSpaceDE w:val="0"/>
        <w:adjustRightInd w:val="0"/>
        <w:snapToGrid w:val="0"/>
        <w:ind w:firstLine="3735" w:firstLineChars="1550"/>
        <w:rPr>
          <w:rFonts w:ascii="宋体" w:hAnsi="宋体" w:cs="宋体"/>
          <w:b/>
          <w:bCs/>
          <w:kern w:val="0"/>
          <w:sz w:val="24"/>
        </w:rPr>
      </w:pPr>
    </w:p>
    <w:p>
      <w:pPr>
        <w:autoSpaceDE w:val="0"/>
        <w:adjustRightInd w:val="0"/>
        <w:snapToGrid w:val="0"/>
        <w:ind w:firstLine="3735" w:firstLineChars="1550"/>
        <w:rPr>
          <w:rFonts w:ascii="宋体" w:hAnsi="宋体" w:cs="宋体"/>
          <w:b/>
          <w:bCs/>
          <w:kern w:val="0"/>
          <w:sz w:val="24"/>
        </w:rPr>
      </w:pPr>
    </w:p>
    <w:p>
      <w:pPr>
        <w:autoSpaceDE w:val="0"/>
        <w:adjustRightInd w:val="0"/>
        <w:snapToGrid w:val="0"/>
        <w:ind w:firstLine="3735" w:firstLineChars="1550"/>
        <w:rPr>
          <w:rFonts w:ascii="宋体" w:hAnsi="宋体" w:cs="宋体"/>
          <w:b/>
          <w:bCs/>
          <w:kern w:val="0"/>
          <w:sz w:val="24"/>
        </w:rPr>
      </w:pPr>
    </w:p>
    <w:p>
      <w:pPr>
        <w:rPr>
          <w:rFonts w:ascii="宋体" w:hAnsi="宋体" w:cs="宋体"/>
          <w:sz w:val="28"/>
        </w:rPr>
      </w:pPr>
      <w:r>
        <w:rPr>
          <w:rStyle w:val="105"/>
          <w:rFonts w:hint="eastAsia" w:ascii="宋体" w:hAnsi="宋体" w:cs="宋体"/>
          <w:sz w:val="30"/>
          <w:szCs w:val="30"/>
        </w:rPr>
        <w:t>附件十二</w:t>
      </w:r>
      <w:r>
        <w:rPr>
          <w:rFonts w:hint="eastAsia" w:ascii="宋体" w:hAnsi="宋体" w:cs="宋体"/>
          <w:sz w:val="28"/>
        </w:rPr>
        <w:t xml:space="preserve"> </w:t>
      </w:r>
    </w:p>
    <w:p>
      <w:pPr>
        <w:pStyle w:val="2"/>
        <w:rPr>
          <w:rFonts w:ascii="宋体" w:hAnsi="宋体" w:eastAsia="宋体" w:cs="宋体"/>
        </w:rPr>
      </w:pPr>
    </w:p>
    <w:p>
      <w:pPr>
        <w:rPr>
          <w:rFonts w:ascii="宋体" w:hAnsi="宋体" w:cs="宋体"/>
          <w:sz w:val="28"/>
        </w:rPr>
      </w:pPr>
      <w:r>
        <w:rPr>
          <w:rFonts w:hint="eastAsia" w:ascii="宋体" w:hAnsi="宋体" w:cs="宋体"/>
          <w:sz w:val="28"/>
        </w:rPr>
        <w:t>（1）投标文件封面：</w:t>
      </w:r>
    </w:p>
    <w:p>
      <w:pPr>
        <w:jc w:val="right"/>
        <w:rPr>
          <w:rFonts w:ascii="宋体" w:hAnsi="宋体" w:cs="宋体"/>
          <w:sz w:val="32"/>
          <w:szCs w:val="32"/>
        </w:rPr>
      </w:pPr>
      <w:r>
        <w:rPr>
          <w:rFonts w:hint="eastAsia" w:ascii="宋体" w:hAnsi="宋体" w:cs="宋体"/>
          <w:sz w:val="28"/>
        </w:rPr>
        <w:t xml:space="preserve">   </w:t>
      </w:r>
      <w:r>
        <w:rPr>
          <w:rFonts w:hint="eastAsia" w:ascii="宋体" w:hAnsi="宋体" w:cs="宋体"/>
          <w:b/>
          <w:sz w:val="32"/>
          <w:szCs w:val="32"/>
        </w:rPr>
        <w:t>正（副）本</w:t>
      </w:r>
    </w:p>
    <w:p>
      <w:pPr>
        <w:spacing w:line="360" w:lineRule="auto"/>
        <w:jc w:val="center"/>
        <w:rPr>
          <w:rFonts w:hint="eastAsia" w:ascii="宋体" w:hAnsi="宋体" w:eastAsia="宋体" w:cs="宋体"/>
          <w:b/>
          <w:sz w:val="46"/>
          <w:szCs w:val="48"/>
          <w:lang w:eastAsia="zh-CN"/>
        </w:rPr>
      </w:pPr>
      <w:r>
        <w:rPr>
          <w:rFonts w:hint="eastAsia" w:ascii="宋体" w:hAnsi="宋体" w:cs="宋体"/>
          <w:b/>
          <w:sz w:val="46"/>
          <w:szCs w:val="48"/>
          <w:lang w:eastAsia="zh-CN"/>
        </w:rPr>
        <w:t>新安江第二小学多媒体影像设备采购</w:t>
      </w:r>
    </w:p>
    <w:p>
      <w:pPr>
        <w:spacing w:line="360" w:lineRule="auto"/>
        <w:jc w:val="center"/>
        <w:rPr>
          <w:rFonts w:ascii="宋体" w:hAnsi="宋体" w:cs="宋体"/>
          <w:sz w:val="32"/>
          <w:szCs w:val="32"/>
        </w:rPr>
      </w:pPr>
      <w:r>
        <w:rPr>
          <w:rFonts w:hint="eastAsia" w:ascii="宋体" w:hAnsi="宋体" w:cs="宋体"/>
          <w:sz w:val="32"/>
          <w:szCs w:val="32"/>
        </w:rPr>
        <w:t>招标编号：JDYH2021-</w:t>
      </w:r>
    </w:p>
    <w:p>
      <w:pPr>
        <w:spacing w:line="360" w:lineRule="auto"/>
        <w:jc w:val="center"/>
        <w:rPr>
          <w:rFonts w:ascii="宋体" w:hAnsi="宋体" w:cs="宋体"/>
          <w:sz w:val="32"/>
          <w:szCs w:val="32"/>
        </w:rPr>
      </w:pPr>
    </w:p>
    <w:p>
      <w:pPr>
        <w:jc w:val="center"/>
        <w:rPr>
          <w:rFonts w:ascii="宋体" w:hAnsi="宋体" w:cs="宋体"/>
          <w:sz w:val="44"/>
          <w:szCs w:val="44"/>
        </w:rPr>
      </w:pPr>
      <w:r>
        <w:rPr>
          <w:rFonts w:hint="eastAsia" w:ascii="宋体" w:hAnsi="宋体" w:cs="宋体"/>
          <w:sz w:val="44"/>
          <w:szCs w:val="44"/>
        </w:rPr>
        <w:t>（</w:t>
      </w:r>
      <w:r>
        <w:rPr>
          <w:rFonts w:hint="eastAsia" w:ascii="宋体" w:hAnsi="宋体" w:cs="宋体"/>
          <w:sz w:val="36"/>
          <w:szCs w:val="36"/>
        </w:rPr>
        <w:t>资格证明文件或报价文件或资信或商务技术文件</w:t>
      </w:r>
      <w:r>
        <w:rPr>
          <w:rFonts w:hint="eastAsia" w:ascii="宋体" w:hAnsi="宋体" w:cs="宋体"/>
          <w:sz w:val="44"/>
          <w:szCs w:val="44"/>
        </w:rPr>
        <w:t>）</w:t>
      </w:r>
    </w:p>
    <w:p>
      <w:pPr>
        <w:spacing w:line="1000" w:lineRule="exact"/>
        <w:jc w:val="center"/>
        <w:rPr>
          <w:rFonts w:ascii="宋体" w:hAnsi="宋体" w:cs="宋体"/>
          <w:sz w:val="84"/>
        </w:rPr>
      </w:pPr>
    </w:p>
    <w:p>
      <w:pPr>
        <w:spacing w:line="1000" w:lineRule="exact"/>
        <w:jc w:val="center"/>
        <w:rPr>
          <w:rFonts w:ascii="宋体" w:hAnsi="宋体" w:cs="宋体"/>
          <w:sz w:val="72"/>
          <w:szCs w:val="72"/>
        </w:rPr>
      </w:pPr>
      <w:r>
        <w:rPr>
          <w:rFonts w:hint="eastAsia" w:ascii="宋体" w:hAnsi="宋体" w:cs="宋体"/>
          <w:sz w:val="72"/>
          <w:szCs w:val="72"/>
        </w:rPr>
        <w:t>投</w:t>
      </w:r>
    </w:p>
    <w:p>
      <w:pPr>
        <w:spacing w:line="1000" w:lineRule="exact"/>
        <w:jc w:val="center"/>
        <w:rPr>
          <w:rFonts w:ascii="宋体" w:hAnsi="宋体" w:cs="宋体"/>
          <w:sz w:val="72"/>
          <w:szCs w:val="72"/>
        </w:rPr>
      </w:pPr>
      <w:r>
        <w:rPr>
          <w:rFonts w:hint="eastAsia" w:ascii="宋体" w:hAnsi="宋体" w:cs="宋体"/>
          <w:sz w:val="72"/>
          <w:szCs w:val="72"/>
        </w:rPr>
        <w:t>标</w:t>
      </w:r>
    </w:p>
    <w:p>
      <w:pPr>
        <w:spacing w:line="1000" w:lineRule="exact"/>
        <w:jc w:val="center"/>
        <w:rPr>
          <w:rFonts w:ascii="宋体" w:hAnsi="宋体" w:cs="宋体"/>
          <w:sz w:val="72"/>
          <w:szCs w:val="72"/>
        </w:rPr>
      </w:pPr>
      <w:r>
        <w:rPr>
          <w:rFonts w:hint="eastAsia" w:ascii="宋体" w:hAnsi="宋体" w:cs="宋体"/>
          <w:sz w:val="72"/>
          <w:szCs w:val="72"/>
        </w:rPr>
        <w:t>文</w:t>
      </w:r>
    </w:p>
    <w:p>
      <w:pPr>
        <w:spacing w:line="1000" w:lineRule="exact"/>
        <w:jc w:val="center"/>
        <w:rPr>
          <w:rFonts w:ascii="宋体" w:hAnsi="宋体" w:cs="宋体"/>
          <w:sz w:val="72"/>
          <w:szCs w:val="72"/>
        </w:rPr>
      </w:pPr>
      <w:r>
        <w:rPr>
          <w:rFonts w:hint="eastAsia" w:ascii="宋体" w:hAnsi="宋体" w:cs="宋体"/>
          <w:sz w:val="72"/>
          <w:szCs w:val="72"/>
        </w:rPr>
        <w:t>件</w:t>
      </w: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spacing w:line="480" w:lineRule="auto"/>
        <w:ind w:firstLine="2160" w:firstLineChars="600"/>
        <w:rPr>
          <w:rFonts w:ascii="宋体" w:hAnsi="宋体" w:cs="宋体"/>
          <w:sz w:val="36"/>
          <w:szCs w:val="36"/>
        </w:rPr>
      </w:pPr>
      <w:r>
        <w:rPr>
          <w:rFonts w:hint="eastAsia" w:ascii="宋体" w:hAnsi="宋体" w:cs="宋体"/>
          <w:sz w:val="36"/>
          <w:szCs w:val="36"/>
        </w:rPr>
        <w:t>投标单位全称：（加盖单位公章）</w:t>
      </w:r>
    </w:p>
    <w:p>
      <w:pPr>
        <w:spacing w:line="480" w:lineRule="auto"/>
        <w:jc w:val="center"/>
        <w:rPr>
          <w:rFonts w:ascii="宋体" w:hAnsi="宋体" w:cs="宋体"/>
          <w:sz w:val="36"/>
          <w:szCs w:val="36"/>
        </w:rPr>
        <w:sectPr>
          <w:pgSz w:w="11906" w:h="16838"/>
          <w:pgMar w:top="1247" w:right="1247" w:bottom="1247" w:left="1247" w:header="851" w:footer="992" w:gutter="0"/>
          <w:cols w:space="720" w:num="1"/>
          <w:docGrid w:linePitch="312" w:charSpace="0"/>
        </w:sectPr>
      </w:pPr>
      <w:r>
        <w:rPr>
          <w:rFonts w:hint="eastAsia" w:ascii="宋体" w:hAnsi="宋体" w:cs="宋体"/>
          <w:sz w:val="36"/>
          <w:szCs w:val="36"/>
        </w:rPr>
        <w:t>年 月  日</w:t>
      </w:r>
    </w:p>
    <w:p>
      <w:pPr>
        <w:numPr>
          <w:ilvl w:val="0"/>
          <w:numId w:val="5"/>
        </w:numPr>
        <w:rPr>
          <w:rFonts w:ascii="宋体" w:hAnsi="宋体" w:cs="宋体"/>
          <w:sz w:val="28"/>
        </w:rPr>
      </w:pPr>
      <w:r>
        <w:rPr>
          <w:rFonts w:hint="eastAsia" w:ascii="宋体" w:hAnsi="宋体" w:cs="宋体"/>
          <w:sz w:val="28"/>
        </w:rPr>
        <w:t>外包封封面格式：</w:t>
      </w:r>
    </w:p>
    <w:p>
      <w:pPr>
        <w:pStyle w:val="2"/>
        <w:rPr>
          <w:rFonts w:ascii="宋体" w:hAnsi="宋体" w:eastAsia="宋体" w:cs="宋体"/>
        </w:rPr>
      </w:pPr>
    </w:p>
    <w:p>
      <w:pPr>
        <w:pStyle w:val="22"/>
        <w:jc w:val="center"/>
        <w:rPr>
          <w:rFonts w:hint="eastAsia" w:hAnsi="宋体" w:eastAsia="宋体" w:cs="宋体"/>
          <w:b/>
          <w:sz w:val="46"/>
          <w:szCs w:val="48"/>
          <w:lang w:eastAsia="zh-CN"/>
        </w:rPr>
      </w:pPr>
      <w:r>
        <w:rPr>
          <w:rFonts w:hint="eastAsia" w:hAnsi="宋体" w:cs="宋体"/>
          <w:b/>
          <w:sz w:val="46"/>
          <w:szCs w:val="48"/>
          <w:lang w:eastAsia="zh-CN"/>
        </w:rPr>
        <w:t>新安江第二小学多媒体影像设备采购</w:t>
      </w:r>
    </w:p>
    <w:p>
      <w:pPr>
        <w:pStyle w:val="22"/>
        <w:jc w:val="center"/>
        <w:rPr>
          <w:rFonts w:hint="eastAsia" w:hAnsi="宋体" w:cs="宋体"/>
          <w:sz w:val="32"/>
          <w:szCs w:val="32"/>
        </w:rPr>
      </w:pPr>
    </w:p>
    <w:p>
      <w:pPr>
        <w:pStyle w:val="22"/>
        <w:jc w:val="center"/>
        <w:rPr>
          <w:rFonts w:hAnsi="宋体" w:cs="宋体"/>
          <w:sz w:val="28"/>
          <w:u w:val="single"/>
        </w:rPr>
      </w:pPr>
      <w:r>
        <w:rPr>
          <w:rFonts w:hint="eastAsia" w:hAnsi="宋体" w:cs="宋体"/>
          <w:sz w:val="32"/>
          <w:szCs w:val="32"/>
        </w:rPr>
        <w:t>招标编号：JDYH2021-</w:t>
      </w:r>
    </w:p>
    <w:p>
      <w:pPr>
        <w:pStyle w:val="22"/>
        <w:rPr>
          <w:rFonts w:hAnsi="宋体" w:cs="宋体"/>
          <w:sz w:val="28"/>
        </w:rPr>
      </w:pPr>
    </w:p>
    <w:p>
      <w:pPr>
        <w:pStyle w:val="22"/>
        <w:jc w:val="center"/>
        <w:rPr>
          <w:rFonts w:hAnsi="宋体" w:cs="宋体"/>
          <w:b/>
          <w:sz w:val="44"/>
          <w:szCs w:val="44"/>
        </w:rPr>
      </w:pPr>
      <w:r>
        <w:rPr>
          <w:rFonts w:hint="eastAsia" w:hAnsi="宋体" w:cs="宋体"/>
          <w:sz w:val="44"/>
          <w:szCs w:val="44"/>
        </w:rPr>
        <w:t>（</w:t>
      </w:r>
      <w:r>
        <w:rPr>
          <w:rFonts w:hint="eastAsia" w:hAnsi="宋体" w:cs="宋体"/>
          <w:sz w:val="36"/>
          <w:szCs w:val="36"/>
        </w:rPr>
        <w:t>资格证明文件或报价文件或资信或商务技术文件</w:t>
      </w:r>
      <w:r>
        <w:rPr>
          <w:rFonts w:hint="eastAsia" w:hAnsi="宋体" w:cs="宋体"/>
          <w:sz w:val="44"/>
          <w:szCs w:val="44"/>
        </w:rPr>
        <w:t>）</w:t>
      </w:r>
    </w:p>
    <w:p>
      <w:pPr>
        <w:pStyle w:val="22"/>
        <w:spacing w:line="360" w:lineRule="auto"/>
        <w:rPr>
          <w:rFonts w:hAnsi="宋体" w:cs="宋体"/>
          <w:sz w:val="32"/>
        </w:rPr>
      </w:pPr>
    </w:p>
    <w:p>
      <w:pPr>
        <w:pStyle w:val="22"/>
        <w:spacing w:line="360" w:lineRule="auto"/>
        <w:rPr>
          <w:rFonts w:hAnsi="宋体" w:cs="宋体"/>
          <w:sz w:val="32"/>
        </w:rPr>
      </w:pPr>
    </w:p>
    <w:p>
      <w:pPr>
        <w:pStyle w:val="22"/>
        <w:spacing w:line="360" w:lineRule="auto"/>
        <w:ind w:firstLine="800" w:firstLineChars="250"/>
        <w:rPr>
          <w:rFonts w:hAnsi="宋体" w:cs="宋体"/>
          <w:sz w:val="32"/>
          <w:u w:val="single"/>
        </w:rPr>
      </w:pPr>
      <w:r>
        <w:rPr>
          <w:rFonts w:hint="eastAsia" w:hAnsi="宋体" w:cs="宋体"/>
          <w:sz w:val="32"/>
        </w:rPr>
        <w:t>采购单位名称：</w:t>
      </w:r>
      <w:r>
        <w:rPr>
          <w:rFonts w:hint="eastAsia" w:hAnsi="宋体" w:cs="宋体"/>
          <w:sz w:val="32"/>
          <w:u w:val="single"/>
        </w:rPr>
        <w:t xml:space="preserve">                                  </w:t>
      </w:r>
    </w:p>
    <w:p>
      <w:pPr>
        <w:pStyle w:val="22"/>
        <w:spacing w:line="360" w:lineRule="auto"/>
        <w:rPr>
          <w:rFonts w:hAnsi="宋体" w:cs="宋体"/>
          <w:sz w:val="32"/>
        </w:rPr>
      </w:pPr>
      <w:r>
        <w:rPr>
          <w:rFonts w:hint="eastAsia" w:hAnsi="宋体" w:cs="宋体"/>
          <w:sz w:val="32"/>
        </w:rPr>
        <w:t xml:space="preserve"> </w:t>
      </w:r>
    </w:p>
    <w:p>
      <w:pPr>
        <w:pStyle w:val="22"/>
        <w:spacing w:line="360" w:lineRule="auto"/>
        <w:ind w:firstLine="800" w:firstLineChars="250"/>
        <w:rPr>
          <w:rFonts w:hAnsi="宋体" w:cs="宋体"/>
          <w:sz w:val="32"/>
        </w:rPr>
      </w:pPr>
      <w:r>
        <w:rPr>
          <w:rFonts w:hint="eastAsia" w:hAnsi="宋体" w:cs="宋体"/>
          <w:sz w:val="32"/>
        </w:rPr>
        <w:t xml:space="preserve">投标单位名称:  </w:t>
      </w:r>
      <w:r>
        <w:rPr>
          <w:rFonts w:hint="eastAsia" w:hAnsi="宋体" w:cs="宋体"/>
          <w:sz w:val="32"/>
          <w:u w:val="single"/>
        </w:rPr>
        <w:t xml:space="preserve">                          (盖公章)</w:t>
      </w:r>
    </w:p>
    <w:p>
      <w:pPr>
        <w:pStyle w:val="22"/>
        <w:spacing w:after="120" w:afterLines="50" w:line="360" w:lineRule="auto"/>
        <w:ind w:firstLine="800" w:firstLineChars="250"/>
        <w:rPr>
          <w:rFonts w:hAnsi="宋体" w:cs="宋体"/>
          <w:sz w:val="32"/>
          <w:u w:val="single"/>
        </w:rPr>
      </w:pPr>
      <w:r>
        <w:rPr>
          <w:rFonts w:hint="eastAsia" w:hAnsi="宋体" w:cs="宋体"/>
          <w:sz w:val="32"/>
        </w:rPr>
        <w:t>投标单位法定代表人或其委托代理人:</w:t>
      </w:r>
      <w:r>
        <w:rPr>
          <w:rFonts w:hint="eastAsia" w:hAnsi="宋体" w:cs="宋体"/>
          <w:sz w:val="32"/>
          <w:u w:val="single"/>
        </w:rPr>
        <w:t xml:space="preserve">    (签字或盖章)</w:t>
      </w:r>
    </w:p>
    <w:p>
      <w:pPr>
        <w:pStyle w:val="22"/>
        <w:spacing w:after="120" w:afterLines="50" w:line="360" w:lineRule="auto"/>
        <w:ind w:firstLine="800" w:firstLineChars="250"/>
        <w:rPr>
          <w:rFonts w:hAnsi="宋体" w:cs="宋体"/>
          <w:sz w:val="32"/>
          <w:u w:val="single"/>
        </w:rPr>
      </w:pPr>
      <w:r>
        <w:rPr>
          <w:rFonts w:hint="eastAsia" w:hAnsi="宋体" w:cs="宋体"/>
          <w:sz w:val="32"/>
        </w:rPr>
        <w:t>投标单位地址：</w:t>
      </w:r>
      <w:r>
        <w:rPr>
          <w:rFonts w:hint="eastAsia" w:hAnsi="宋体" w:cs="宋体"/>
          <w:sz w:val="32"/>
          <w:u w:val="single"/>
        </w:rPr>
        <w:t xml:space="preserve">                                   </w:t>
      </w:r>
    </w:p>
    <w:p>
      <w:pPr>
        <w:pStyle w:val="22"/>
        <w:spacing w:after="120" w:afterLines="50" w:line="360" w:lineRule="auto"/>
        <w:ind w:firstLine="800" w:firstLineChars="250"/>
        <w:rPr>
          <w:rFonts w:hAnsi="宋体" w:cs="宋体"/>
          <w:sz w:val="32"/>
          <w:u w:val="single"/>
        </w:rPr>
      </w:pPr>
      <w:r>
        <w:rPr>
          <w:rFonts w:hint="eastAsia" w:hAnsi="宋体" w:cs="宋体"/>
          <w:sz w:val="32"/>
        </w:rPr>
        <w:t>邮编：</w:t>
      </w:r>
      <w:r>
        <w:rPr>
          <w:rFonts w:hint="eastAsia" w:hAnsi="宋体" w:cs="宋体"/>
          <w:sz w:val="32"/>
          <w:u w:val="single"/>
        </w:rPr>
        <w:t xml:space="preserve">                                           </w:t>
      </w:r>
    </w:p>
    <w:p>
      <w:pPr>
        <w:pStyle w:val="22"/>
        <w:spacing w:after="120" w:afterLines="50" w:line="360" w:lineRule="auto"/>
        <w:ind w:firstLine="800" w:firstLineChars="250"/>
        <w:rPr>
          <w:rFonts w:hAnsi="宋体" w:cs="宋体"/>
          <w:sz w:val="32"/>
          <w:u w:val="single"/>
        </w:rPr>
      </w:pPr>
      <w:r>
        <w:rPr>
          <w:rFonts w:hint="eastAsia" w:hAnsi="宋体" w:cs="宋体"/>
          <w:sz w:val="32"/>
        </w:rPr>
        <w:t>联系人：</w:t>
      </w:r>
      <w:r>
        <w:rPr>
          <w:rFonts w:hint="eastAsia" w:hAnsi="宋体" w:cs="宋体"/>
          <w:sz w:val="32"/>
          <w:u w:val="single"/>
        </w:rPr>
        <w:t xml:space="preserve">                                         </w:t>
      </w:r>
    </w:p>
    <w:p>
      <w:pPr>
        <w:pStyle w:val="22"/>
        <w:spacing w:after="120" w:afterLines="50" w:line="360" w:lineRule="auto"/>
        <w:ind w:firstLine="800" w:firstLineChars="250"/>
        <w:rPr>
          <w:rFonts w:hAnsi="宋体" w:cs="宋体"/>
          <w:sz w:val="32"/>
          <w:u w:val="single"/>
        </w:rPr>
      </w:pPr>
      <w:r>
        <w:rPr>
          <w:rFonts w:hint="eastAsia" w:hAnsi="宋体" w:cs="宋体"/>
          <w:sz w:val="32"/>
        </w:rPr>
        <w:t>联系电话：</w:t>
      </w:r>
      <w:r>
        <w:rPr>
          <w:rFonts w:hint="eastAsia" w:hAnsi="宋体" w:cs="宋体"/>
          <w:sz w:val="32"/>
          <w:u w:val="single"/>
        </w:rPr>
        <w:t xml:space="preserve">                                       </w:t>
      </w:r>
    </w:p>
    <w:p>
      <w:pPr>
        <w:pStyle w:val="22"/>
        <w:spacing w:after="120" w:afterLines="50" w:line="480" w:lineRule="auto"/>
        <w:rPr>
          <w:rFonts w:hAnsi="宋体" w:cs="宋体"/>
          <w:sz w:val="32"/>
        </w:rPr>
      </w:pPr>
    </w:p>
    <w:p>
      <w:pPr>
        <w:pStyle w:val="22"/>
        <w:spacing w:after="120" w:afterLines="50" w:line="480" w:lineRule="auto"/>
        <w:jc w:val="center"/>
        <w:rPr>
          <w:rFonts w:hAnsi="宋体" w:cs="宋体"/>
          <w:b/>
          <w:sz w:val="36"/>
          <w:szCs w:val="36"/>
        </w:rPr>
        <w:sectPr>
          <w:pgSz w:w="11906" w:h="16838"/>
          <w:pgMar w:top="1247" w:right="1247" w:bottom="1247" w:left="1247" w:header="851" w:footer="992" w:gutter="0"/>
          <w:cols w:space="720" w:num="1"/>
          <w:docGrid w:linePitch="312" w:charSpace="0"/>
        </w:sectPr>
      </w:pPr>
      <w:r>
        <w:rPr>
          <w:rFonts w:hint="eastAsia" w:hAnsi="宋体" w:cs="宋体"/>
          <w:b/>
          <w:sz w:val="36"/>
          <w:szCs w:val="36"/>
        </w:rPr>
        <w:t>在开标截止时间之前不得启封</w:t>
      </w:r>
    </w:p>
    <w:p>
      <w:pPr>
        <w:rPr>
          <w:rFonts w:ascii="宋体" w:hAnsi="宋体" w:cs="宋体"/>
          <w:b/>
          <w:bCs/>
          <w:sz w:val="28"/>
          <w:szCs w:val="28"/>
        </w:rPr>
      </w:pPr>
      <w:r>
        <w:rPr>
          <w:rFonts w:hint="eastAsia" w:ascii="宋体" w:hAnsi="宋体" w:cs="宋体"/>
          <w:b/>
          <w:bCs/>
          <w:sz w:val="28"/>
          <w:szCs w:val="28"/>
        </w:rPr>
        <w:t>附件十三</w:t>
      </w:r>
    </w:p>
    <w:p>
      <w:pPr>
        <w:spacing w:line="360" w:lineRule="auto"/>
        <w:jc w:val="center"/>
        <w:rPr>
          <w:rFonts w:ascii="宋体" w:hAnsi="宋体" w:cs="宋体"/>
          <w:b/>
          <w:bCs/>
          <w:sz w:val="40"/>
          <w:szCs w:val="48"/>
        </w:rPr>
      </w:pPr>
    </w:p>
    <w:p>
      <w:pPr>
        <w:spacing w:line="360" w:lineRule="auto"/>
        <w:jc w:val="center"/>
        <w:rPr>
          <w:rFonts w:ascii="宋体" w:hAnsi="宋体" w:cs="宋体"/>
          <w:sz w:val="32"/>
          <w:szCs w:val="40"/>
        </w:rPr>
      </w:pPr>
      <w:r>
        <w:rPr>
          <w:rFonts w:hint="eastAsia" w:ascii="宋体" w:hAnsi="宋体" w:cs="宋体"/>
          <w:b/>
          <w:bCs/>
          <w:sz w:val="40"/>
          <w:szCs w:val="48"/>
        </w:rPr>
        <w:t>现场踏勘确认书</w:t>
      </w:r>
    </w:p>
    <w:p>
      <w:pPr>
        <w:spacing w:line="360" w:lineRule="auto"/>
        <w:rPr>
          <w:rFonts w:ascii="宋体" w:hAnsi="宋体" w:cs="宋体"/>
          <w:sz w:val="28"/>
          <w:szCs w:val="36"/>
          <w:u w:val="single"/>
        </w:rPr>
      </w:pPr>
    </w:p>
    <w:p>
      <w:pPr>
        <w:spacing w:line="360" w:lineRule="auto"/>
        <w:rPr>
          <w:rFonts w:ascii="宋体" w:hAnsi="宋体" w:cs="宋体"/>
          <w:sz w:val="28"/>
          <w:szCs w:val="36"/>
        </w:rPr>
      </w:pPr>
      <w:r>
        <w:rPr>
          <w:rFonts w:hint="eastAsia" w:ascii="宋体" w:hAnsi="宋体" w:cs="宋体"/>
          <w:sz w:val="28"/>
          <w:szCs w:val="36"/>
          <w:u w:val="single"/>
        </w:rPr>
        <w:t xml:space="preserve">                    </w:t>
      </w:r>
      <w:r>
        <w:rPr>
          <w:rFonts w:hint="eastAsia" w:ascii="宋体" w:hAnsi="宋体" w:cs="宋体"/>
          <w:sz w:val="28"/>
          <w:szCs w:val="36"/>
        </w:rPr>
        <w:t>（投标供应商名称）</w:t>
      </w:r>
    </w:p>
    <w:p>
      <w:pPr>
        <w:spacing w:line="360" w:lineRule="auto"/>
        <w:rPr>
          <w:rFonts w:ascii="宋体" w:hAnsi="宋体" w:cs="宋体"/>
          <w:sz w:val="28"/>
          <w:szCs w:val="36"/>
        </w:rPr>
      </w:pPr>
      <w:r>
        <w:rPr>
          <w:rFonts w:hint="eastAsia" w:ascii="宋体" w:hAnsi="宋体" w:cs="宋体"/>
          <w:sz w:val="28"/>
          <w:szCs w:val="36"/>
        </w:rPr>
        <w:t xml:space="preserve">   根据招标文件要求，各供应商对项目现场进行实地踏勘。现有投标单位已进行实地踏勘，获得投标所需要相关资料。</w:t>
      </w:r>
    </w:p>
    <w:p>
      <w:pPr>
        <w:spacing w:line="360" w:lineRule="auto"/>
        <w:ind w:firstLine="560" w:firstLineChars="200"/>
        <w:rPr>
          <w:rFonts w:ascii="宋体" w:hAnsi="宋体" w:cs="宋体"/>
          <w:sz w:val="28"/>
          <w:szCs w:val="36"/>
        </w:rPr>
      </w:pPr>
      <w:r>
        <w:rPr>
          <w:rFonts w:hint="eastAsia" w:ascii="宋体" w:hAnsi="宋体" w:cs="宋体"/>
          <w:sz w:val="28"/>
          <w:szCs w:val="36"/>
        </w:rPr>
        <w:t>1、经现场踏勘，该投标单位对该项目场地现状已充分了解。</w:t>
      </w:r>
    </w:p>
    <w:p>
      <w:pPr>
        <w:spacing w:line="360" w:lineRule="auto"/>
        <w:ind w:firstLine="560" w:firstLineChars="200"/>
        <w:rPr>
          <w:rFonts w:ascii="宋体" w:hAnsi="宋体" w:cs="宋体"/>
          <w:sz w:val="28"/>
          <w:szCs w:val="36"/>
        </w:rPr>
      </w:pPr>
      <w:r>
        <w:rPr>
          <w:rFonts w:hint="eastAsia" w:ascii="宋体" w:hAnsi="宋体" w:cs="宋体"/>
          <w:sz w:val="28"/>
          <w:szCs w:val="36"/>
        </w:rPr>
        <w:t>2、该供应商若中标，不得对场地现状提出异议，不以场地存在瑕疵为由拒绝签署项目合同书或履行所约定的各项义务。</w:t>
      </w:r>
    </w:p>
    <w:p>
      <w:pPr>
        <w:spacing w:line="360" w:lineRule="auto"/>
        <w:ind w:firstLine="560" w:firstLineChars="200"/>
        <w:rPr>
          <w:rFonts w:ascii="宋体" w:hAnsi="宋体" w:cs="宋体"/>
          <w:sz w:val="28"/>
          <w:szCs w:val="36"/>
        </w:rPr>
      </w:pPr>
      <w:r>
        <w:rPr>
          <w:rFonts w:hint="eastAsia" w:ascii="宋体" w:hAnsi="宋体" w:cs="宋体"/>
          <w:sz w:val="28"/>
          <w:szCs w:val="36"/>
        </w:rPr>
        <w:t>特此证明</w:t>
      </w:r>
    </w:p>
    <w:p>
      <w:pPr>
        <w:spacing w:line="360" w:lineRule="auto"/>
        <w:jc w:val="right"/>
        <w:rPr>
          <w:rFonts w:ascii="宋体" w:hAnsi="宋体" w:cs="宋体"/>
          <w:sz w:val="28"/>
          <w:szCs w:val="36"/>
        </w:rPr>
      </w:pPr>
    </w:p>
    <w:p>
      <w:pPr>
        <w:spacing w:line="360" w:lineRule="auto"/>
        <w:jc w:val="right"/>
        <w:rPr>
          <w:rFonts w:ascii="宋体" w:hAnsi="宋体" w:cs="宋体"/>
          <w:sz w:val="28"/>
          <w:szCs w:val="36"/>
        </w:rPr>
      </w:pPr>
    </w:p>
    <w:p>
      <w:pPr>
        <w:spacing w:line="360" w:lineRule="auto"/>
        <w:jc w:val="right"/>
        <w:rPr>
          <w:rFonts w:ascii="宋体" w:hAnsi="宋体" w:cs="宋体"/>
          <w:sz w:val="28"/>
          <w:szCs w:val="36"/>
          <w:u w:val="single"/>
        </w:rPr>
      </w:pPr>
      <w:r>
        <w:rPr>
          <w:rFonts w:hint="eastAsia" w:ascii="宋体" w:hAnsi="宋体" w:cs="宋体"/>
          <w:sz w:val="28"/>
          <w:szCs w:val="36"/>
        </w:rPr>
        <w:t xml:space="preserve">采购单位：  </w:t>
      </w:r>
      <w:r>
        <w:rPr>
          <w:rFonts w:hint="eastAsia" w:ascii="宋体" w:hAnsi="宋体" w:cs="宋体"/>
          <w:sz w:val="28"/>
          <w:szCs w:val="36"/>
          <w:u w:val="single"/>
        </w:rPr>
        <w:t xml:space="preserve">        （盖章）</w:t>
      </w:r>
    </w:p>
    <w:p>
      <w:pPr>
        <w:pStyle w:val="22"/>
        <w:spacing w:after="120" w:afterLines="50"/>
        <w:jc w:val="center"/>
        <w:rPr>
          <w:rFonts w:hAnsi="宋体" w:cs="宋体"/>
          <w:b/>
          <w:bCs/>
          <w:sz w:val="32"/>
          <w:szCs w:val="32"/>
        </w:rPr>
      </w:pPr>
      <w:r>
        <w:rPr>
          <w:rFonts w:hint="eastAsia" w:hAnsi="宋体" w:cs="宋体"/>
          <w:sz w:val="28"/>
          <w:szCs w:val="36"/>
        </w:rPr>
        <w:t xml:space="preserve">                                 日期：   年  月  日</w:t>
      </w:r>
    </w:p>
    <w:sectPr>
      <w:pgSz w:w="11906" w:h="16838"/>
      <w:pgMar w:top="1247" w:right="1247" w:bottom="1247"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
    <w:altName w:val="Segoe Print"/>
    <w:panose1 w:val="020B060402020203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00" w:usb3="00000000" w:csb0="00040000" w:csb1="00000000"/>
  </w:font>
  <w:font w:name="Myriad Pro">
    <w:altName w:val="Segoe Print"/>
    <w:panose1 w:val="020B0703030403090204"/>
    <w:charset w:val="00"/>
    <w:family w:val="swiss"/>
    <w:pitch w:val="default"/>
    <w:sig w:usb0="00000000" w:usb1="00000000" w:usb2="0000000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耀华建设管理有限公司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0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C207avCAIAAAcEAAAOAAAAAAAAAAEAIAAAAB4BAABkcnMv&#10;ZTJvRG9jLnhtbFBLBQYAAAAABgAGAFkBAACY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23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2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MrUSGwHAgAABwQAAA4AAAAAAAAAAQAgAAAAHgEAAGRycy9l&#10;Mm9Eb2MueG1sUEsFBgAAAAAGAAYAWQEAAJc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23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2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Jzrk2YHAgAABwQAAA4AAAAAAAAAAQAgAAAAHgEAAGRycy9l&#10;Mm9Eb2MueG1sUEsFBgAAAAAGAAYAWQEAAJc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24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2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Cj8jp0HAgAABwQAAA4AAAAAAAAAAQAgAAAAHgEAAGRycy9l&#10;Mm9Eb2MueG1sUEsFBgAAAAAGAAYAWQEAAJc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jc w:val="left"/>
      <w:rPr>
        <w:b/>
        <w:bCs/>
      </w:rPr>
    </w:pPr>
    <w:r>
      <w:rPr>
        <w:rFonts w:hint="eastAsia"/>
        <w:b/>
        <w:bCs/>
        <w:sz w:val="16"/>
        <w:szCs w:val="16"/>
        <w:lang w:eastAsia="zh-CN"/>
      </w:rPr>
      <w:t>新安江第二小学多媒体影像设备采购</w:t>
    </w:r>
    <w:r>
      <w:rPr>
        <w:rFonts w:hint="eastAsia"/>
        <w:b/>
        <w:bCs/>
        <w:sz w:val="16"/>
        <w:szCs w:val="16"/>
      </w:rPr>
      <w:t xml:space="preserve">    </w:t>
    </w:r>
  </w:p>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b/>
        <w:bCs/>
      </w:rPr>
    </w:pPr>
    <w:r>
      <w:rPr>
        <w:rFonts w:hint="eastAsia"/>
        <w:b/>
        <w:bCs/>
      </w:rPr>
      <w:t xml:space="preserve">                          </w:t>
    </w:r>
  </w:p>
  <w:p>
    <w:pPr>
      <w:pStyle w:val="28"/>
      <w:pBdr>
        <w:bottom w:val="none" w:color="auto" w:sz="0" w:space="1"/>
      </w:pBd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rPr>
        <w:sz w:val="16"/>
        <w:szCs w:val="16"/>
      </w:rPr>
    </w:pPr>
    <w:r>
      <w:rPr>
        <w:rFonts w:hint="eastAsia"/>
        <w:b/>
        <w:bCs/>
        <w:sz w:val="16"/>
        <w:szCs w:val="16"/>
        <w:lang w:eastAsia="zh-CN"/>
      </w:rPr>
      <w:t>新安江第二小学多媒体影像设备采购</w:t>
    </w:r>
    <w:r>
      <w:rPr>
        <w:rFonts w:hint="eastAsia"/>
        <w:b/>
        <w:bC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1C824"/>
    <w:multiLevelType w:val="singleLevel"/>
    <w:tmpl w:val="C991C824"/>
    <w:lvl w:ilvl="0" w:tentative="0">
      <w:start w:val="2"/>
      <w:numFmt w:val="decimal"/>
      <w:suff w:val="nothing"/>
      <w:lvlText w:val="（%1）"/>
      <w:lvlJc w:val="left"/>
    </w:lvl>
  </w:abstractNum>
  <w:abstractNum w:abstractNumId="1">
    <w:nsid w:val="097612CE"/>
    <w:multiLevelType w:val="multilevel"/>
    <w:tmpl w:val="097612CE"/>
    <w:lvl w:ilvl="0" w:tentative="0">
      <w:start w:val="5"/>
      <w:numFmt w:val="japaneseCounting"/>
      <w:lvlText w:val="第%1章"/>
      <w:lvlJc w:val="left"/>
      <w:pPr>
        <w:tabs>
          <w:tab w:val="left" w:pos="1635"/>
        </w:tabs>
        <w:ind w:left="1635" w:hanging="1635"/>
      </w:pPr>
      <w:rPr>
        <w:rFonts w:hint="default"/>
      </w:rPr>
    </w:lvl>
    <w:lvl w:ilvl="1" w:tentative="0">
      <w:start w:val="2014"/>
      <w:numFmt w:val="decimal"/>
      <w:lvlText w:val="%2年"/>
      <w:lvlJc w:val="left"/>
      <w:pPr>
        <w:tabs>
          <w:tab w:val="left" w:pos="1695"/>
        </w:tabs>
        <w:ind w:left="1695" w:hanging="1275"/>
      </w:pPr>
      <w:rPr>
        <w:rFonts w:hint="default"/>
      </w:rPr>
    </w:lvl>
    <w:lvl w:ilvl="2" w:tentative="0">
      <w:start w:val="1"/>
      <w:numFmt w:val="lowerRoman"/>
      <w:pStyle w:val="21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80584C"/>
    <w:multiLevelType w:val="singleLevel"/>
    <w:tmpl w:val="0980584C"/>
    <w:lvl w:ilvl="0" w:tentative="0">
      <w:start w:val="6"/>
      <w:numFmt w:val="chineseCounting"/>
      <w:suff w:val="nothing"/>
      <w:lvlText w:val="%1、"/>
      <w:lvlJc w:val="left"/>
      <w:rPr>
        <w:rFonts w:hint="eastAsia"/>
      </w:rPr>
    </w:lvl>
  </w:abstractNum>
  <w:abstractNum w:abstractNumId="3">
    <w:nsid w:val="57535BF6"/>
    <w:multiLevelType w:val="multilevel"/>
    <w:tmpl w:val="57535B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187522"/>
    <w:multiLevelType w:val="multilevel"/>
    <w:tmpl w:val="71187522"/>
    <w:lvl w:ilvl="0" w:tentative="0">
      <w:start w:val="1"/>
      <w:numFmt w:val="japaneseCounting"/>
      <w:pStyle w:val="115"/>
      <w:lvlText w:val="第%1章"/>
      <w:lvlJc w:val="left"/>
      <w:pPr>
        <w:tabs>
          <w:tab w:val="left" w:pos="1620"/>
        </w:tabs>
        <w:ind w:left="1620" w:hanging="16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E59"/>
    <w:rsid w:val="000101C3"/>
    <w:rsid w:val="000112C9"/>
    <w:rsid w:val="00012727"/>
    <w:rsid w:val="00013885"/>
    <w:rsid w:val="000157F9"/>
    <w:rsid w:val="00021654"/>
    <w:rsid w:val="00024431"/>
    <w:rsid w:val="000256A3"/>
    <w:rsid w:val="00030B00"/>
    <w:rsid w:val="00033F82"/>
    <w:rsid w:val="0003548D"/>
    <w:rsid w:val="00035AD4"/>
    <w:rsid w:val="000364AC"/>
    <w:rsid w:val="0003693E"/>
    <w:rsid w:val="000369AD"/>
    <w:rsid w:val="00040567"/>
    <w:rsid w:val="00046F27"/>
    <w:rsid w:val="0005016D"/>
    <w:rsid w:val="000527D1"/>
    <w:rsid w:val="000545FC"/>
    <w:rsid w:val="0006513A"/>
    <w:rsid w:val="00073B87"/>
    <w:rsid w:val="00077102"/>
    <w:rsid w:val="000773C8"/>
    <w:rsid w:val="000778C5"/>
    <w:rsid w:val="00084057"/>
    <w:rsid w:val="00090C46"/>
    <w:rsid w:val="000A0BA2"/>
    <w:rsid w:val="000A0C7A"/>
    <w:rsid w:val="000A2436"/>
    <w:rsid w:val="000A49D2"/>
    <w:rsid w:val="000A531B"/>
    <w:rsid w:val="000A6344"/>
    <w:rsid w:val="000A63EB"/>
    <w:rsid w:val="000A7567"/>
    <w:rsid w:val="000B0E05"/>
    <w:rsid w:val="000B1E80"/>
    <w:rsid w:val="000B24A1"/>
    <w:rsid w:val="000B5A6E"/>
    <w:rsid w:val="000B63CD"/>
    <w:rsid w:val="000C284F"/>
    <w:rsid w:val="000C423B"/>
    <w:rsid w:val="000C6931"/>
    <w:rsid w:val="000E0373"/>
    <w:rsid w:val="000E0AE1"/>
    <w:rsid w:val="000E1637"/>
    <w:rsid w:val="000E1D45"/>
    <w:rsid w:val="000E4CF8"/>
    <w:rsid w:val="000E6BF7"/>
    <w:rsid w:val="000F0F85"/>
    <w:rsid w:val="000F3877"/>
    <w:rsid w:val="000F499C"/>
    <w:rsid w:val="00102A2B"/>
    <w:rsid w:val="00104797"/>
    <w:rsid w:val="0010556F"/>
    <w:rsid w:val="0010609B"/>
    <w:rsid w:val="001103C9"/>
    <w:rsid w:val="001165E2"/>
    <w:rsid w:val="00120649"/>
    <w:rsid w:val="00125CD6"/>
    <w:rsid w:val="00132166"/>
    <w:rsid w:val="00133396"/>
    <w:rsid w:val="0013617E"/>
    <w:rsid w:val="00136AFB"/>
    <w:rsid w:val="00137ED1"/>
    <w:rsid w:val="0014068A"/>
    <w:rsid w:val="00141D7F"/>
    <w:rsid w:val="001469A9"/>
    <w:rsid w:val="00147B38"/>
    <w:rsid w:val="0015080A"/>
    <w:rsid w:val="001509B3"/>
    <w:rsid w:val="001526D2"/>
    <w:rsid w:val="0015323E"/>
    <w:rsid w:val="0015506C"/>
    <w:rsid w:val="00157C2D"/>
    <w:rsid w:val="00160EB3"/>
    <w:rsid w:val="0016282C"/>
    <w:rsid w:val="00163D9C"/>
    <w:rsid w:val="001662E1"/>
    <w:rsid w:val="00167546"/>
    <w:rsid w:val="00172A27"/>
    <w:rsid w:val="00175C73"/>
    <w:rsid w:val="001842CF"/>
    <w:rsid w:val="0019027B"/>
    <w:rsid w:val="001924FF"/>
    <w:rsid w:val="00195892"/>
    <w:rsid w:val="001A6D00"/>
    <w:rsid w:val="001A6EF2"/>
    <w:rsid w:val="001B0598"/>
    <w:rsid w:val="001B0EC3"/>
    <w:rsid w:val="001B32AA"/>
    <w:rsid w:val="001B3BE8"/>
    <w:rsid w:val="001B5765"/>
    <w:rsid w:val="001C028A"/>
    <w:rsid w:val="001C1731"/>
    <w:rsid w:val="001C3275"/>
    <w:rsid w:val="001C5D42"/>
    <w:rsid w:val="001C72A3"/>
    <w:rsid w:val="001D3437"/>
    <w:rsid w:val="001D63A8"/>
    <w:rsid w:val="001D6A40"/>
    <w:rsid w:val="001E0D11"/>
    <w:rsid w:val="001E33E5"/>
    <w:rsid w:val="001E4A53"/>
    <w:rsid w:val="001E7884"/>
    <w:rsid w:val="001F0749"/>
    <w:rsid w:val="001F22BA"/>
    <w:rsid w:val="001F557F"/>
    <w:rsid w:val="001F5976"/>
    <w:rsid w:val="00200480"/>
    <w:rsid w:val="0020151A"/>
    <w:rsid w:val="00205784"/>
    <w:rsid w:val="002058AA"/>
    <w:rsid w:val="00205E2E"/>
    <w:rsid w:val="00211E70"/>
    <w:rsid w:val="00213D09"/>
    <w:rsid w:val="00216A71"/>
    <w:rsid w:val="00216C6F"/>
    <w:rsid w:val="00217234"/>
    <w:rsid w:val="002175E4"/>
    <w:rsid w:val="00225A56"/>
    <w:rsid w:val="00227148"/>
    <w:rsid w:val="00230228"/>
    <w:rsid w:val="00232723"/>
    <w:rsid w:val="002331C6"/>
    <w:rsid w:val="00233346"/>
    <w:rsid w:val="00235157"/>
    <w:rsid w:val="002371D0"/>
    <w:rsid w:val="002376F0"/>
    <w:rsid w:val="00241387"/>
    <w:rsid w:val="00241B48"/>
    <w:rsid w:val="002444E3"/>
    <w:rsid w:val="00245DFB"/>
    <w:rsid w:val="002568C3"/>
    <w:rsid w:val="00264A3A"/>
    <w:rsid w:val="00264E20"/>
    <w:rsid w:val="00265FFF"/>
    <w:rsid w:val="00266006"/>
    <w:rsid w:val="00266048"/>
    <w:rsid w:val="00266894"/>
    <w:rsid w:val="002670B2"/>
    <w:rsid w:val="00267840"/>
    <w:rsid w:val="00273073"/>
    <w:rsid w:val="002737E6"/>
    <w:rsid w:val="002743F2"/>
    <w:rsid w:val="00275FA6"/>
    <w:rsid w:val="0027734F"/>
    <w:rsid w:val="0027798D"/>
    <w:rsid w:val="002818BE"/>
    <w:rsid w:val="00284AC3"/>
    <w:rsid w:val="00294B4D"/>
    <w:rsid w:val="002A0651"/>
    <w:rsid w:val="002A10C5"/>
    <w:rsid w:val="002A59D4"/>
    <w:rsid w:val="002A60F0"/>
    <w:rsid w:val="002B2E7B"/>
    <w:rsid w:val="002B3182"/>
    <w:rsid w:val="002B47B5"/>
    <w:rsid w:val="002B52AF"/>
    <w:rsid w:val="002B68E7"/>
    <w:rsid w:val="002B7785"/>
    <w:rsid w:val="002C168D"/>
    <w:rsid w:val="002C6E93"/>
    <w:rsid w:val="002C76B5"/>
    <w:rsid w:val="002D0364"/>
    <w:rsid w:val="002D1026"/>
    <w:rsid w:val="002D322C"/>
    <w:rsid w:val="002D3405"/>
    <w:rsid w:val="002D515E"/>
    <w:rsid w:val="002D72A5"/>
    <w:rsid w:val="002D77D1"/>
    <w:rsid w:val="002E4CCC"/>
    <w:rsid w:val="002F38C5"/>
    <w:rsid w:val="002F46D9"/>
    <w:rsid w:val="002F4EBD"/>
    <w:rsid w:val="0030333D"/>
    <w:rsid w:val="003054CC"/>
    <w:rsid w:val="003074C5"/>
    <w:rsid w:val="00313FBB"/>
    <w:rsid w:val="003217A8"/>
    <w:rsid w:val="00322124"/>
    <w:rsid w:val="003231E0"/>
    <w:rsid w:val="00323F6C"/>
    <w:rsid w:val="003262B2"/>
    <w:rsid w:val="00327F7D"/>
    <w:rsid w:val="003315BC"/>
    <w:rsid w:val="00331CB0"/>
    <w:rsid w:val="00334825"/>
    <w:rsid w:val="00340D98"/>
    <w:rsid w:val="00345DC8"/>
    <w:rsid w:val="00345E86"/>
    <w:rsid w:val="00350174"/>
    <w:rsid w:val="00353154"/>
    <w:rsid w:val="00353B89"/>
    <w:rsid w:val="00354472"/>
    <w:rsid w:val="00354B3C"/>
    <w:rsid w:val="0035561A"/>
    <w:rsid w:val="00356371"/>
    <w:rsid w:val="00365F3F"/>
    <w:rsid w:val="00366303"/>
    <w:rsid w:val="0036751B"/>
    <w:rsid w:val="00367EEC"/>
    <w:rsid w:val="00371AA8"/>
    <w:rsid w:val="003843DE"/>
    <w:rsid w:val="00385560"/>
    <w:rsid w:val="00390EAA"/>
    <w:rsid w:val="003939E9"/>
    <w:rsid w:val="003944AF"/>
    <w:rsid w:val="00394B01"/>
    <w:rsid w:val="00395BEE"/>
    <w:rsid w:val="003A09D4"/>
    <w:rsid w:val="003A4215"/>
    <w:rsid w:val="003A46C5"/>
    <w:rsid w:val="003A6D64"/>
    <w:rsid w:val="003B4948"/>
    <w:rsid w:val="003B5107"/>
    <w:rsid w:val="003B54BB"/>
    <w:rsid w:val="003C2B40"/>
    <w:rsid w:val="003C42D2"/>
    <w:rsid w:val="003C4876"/>
    <w:rsid w:val="003C65A1"/>
    <w:rsid w:val="003D5D9D"/>
    <w:rsid w:val="003D6F96"/>
    <w:rsid w:val="003D7AE4"/>
    <w:rsid w:val="003E069A"/>
    <w:rsid w:val="003E24D0"/>
    <w:rsid w:val="003E2F16"/>
    <w:rsid w:val="003E3436"/>
    <w:rsid w:val="003E45A2"/>
    <w:rsid w:val="003E4A5A"/>
    <w:rsid w:val="003E7007"/>
    <w:rsid w:val="003F129A"/>
    <w:rsid w:val="003F1F3A"/>
    <w:rsid w:val="003F378B"/>
    <w:rsid w:val="003F4882"/>
    <w:rsid w:val="003F61E1"/>
    <w:rsid w:val="003F7D15"/>
    <w:rsid w:val="00400377"/>
    <w:rsid w:val="00400C33"/>
    <w:rsid w:val="00400D94"/>
    <w:rsid w:val="00404270"/>
    <w:rsid w:val="004049C0"/>
    <w:rsid w:val="0041139B"/>
    <w:rsid w:val="004114F7"/>
    <w:rsid w:val="0041443E"/>
    <w:rsid w:val="00415881"/>
    <w:rsid w:val="004165E7"/>
    <w:rsid w:val="00416CBB"/>
    <w:rsid w:val="00421854"/>
    <w:rsid w:val="004237F7"/>
    <w:rsid w:val="004270FF"/>
    <w:rsid w:val="004309F7"/>
    <w:rsid w:val="0043669B"/>
    <w:rsid w:val="0044054A"/>
    <w:rsid w:val="00441EBB"/>
    <w:rsid w:val="00447D38"/>
    <w:rsid w:val="004516B7"/>
    <w:rsid w:val="0046324A"/>
    <w:rsid w:val="004663F1"/>
    <w:rsid w:val="00471FA2"/>
    <w:rsid w:val="004724F6"/>
    <w:rsid w:val="004821CA"/>
    <w:rsid w:val="00483798"/>
    <w:rsid w:val="00484D62"/>
    <w:rsid w:val="004853F4"/>
    <w:rsid w:val="004867FB"/>
    <w:rsid w:val="00491D8E"/>
    <w:rsid w:val="00492157"/>
    <w:rsid w:val="00492DF8"/>
    <w:rsid w:val="0049329B"/>
    <w:rsid w:val="00497037"/>
    <w:rsid w:val="00497DB0"/>
    <w:rsid w:val="004A2FF7"/>
    <w:rsid w:val="004A5C0A"/>
    <w:rsid w:val="004A63DB"/>
    <w:rsid w:val="004A6BE4"/>
    <w:rsid w:val="004A7DB2"/>
    <w:rsid w:val="004A7EF0"/>
    <w:rsid w:val="004B3E2D"/>
    <w:rsid w:val="004B4137"/>
    <w:rsid w:val="004C017D"/>
    <w:rsid w:val="004C20E5"/>
    <w:rsid w:val="004C29EB"/>
    <w:rsid w:val="004C2F8A"/>
    <w:rsid w:val="004C379D"/>
    <w:rsid w:val="004C6152"/>
    <w:rsid w:val="004C6C16"/>
    <w:rsid w:val="004D0CBF"/>
    <w:rsid w:val="004D0DAB"/>
    <w:rsid w:val="004D3B34"/>
    <w:rsid w:val="004D3EF8"/>
    <w:rsid w:val="004D64F3"/>
    <w:rsid w:val="004E1F01"/>
    <w:rsid w:val="004E6B6C"/>
    <w:rsid w:val="004F2403"/>
    <w:rsid w:val="004F35D5"/>
    <w:rsid w:val="004F5DE0"/>
    <w:rsid w:val="004F6470"/>
    <w:rsid w:val="00504D82"/>
    <w:rsid w:val="0050793F"/>
    <w:rsid w:val="00507BC0"/>
    <w:rsid w:val="00514F3E"/>
    <w:rsid w:val="005161C7"/>
    <w:rsid w:val="00516700"/>
    <w:rsid w:val="00520053"/>
    <w:rsid w:val="00521D27"/>
    <w:rsid w:val="005232AE"/>
    <w:rsid w:val="005246C5"/>
    <w:rsid w:val="005250CD"/>
    <w:rsid w:val="0052716B"/>
    <w:rsid w:val="00531B2E"/>
    <w:rsid w:val="00533AC4"/>
    <w:rsid w:val="00533D9E"/>
    <w:rsid w:val="0053542A"/>
    <w:rsid w:val="0053580B"/>
    <w:rsid w:val="00535D66"/>
    <w:rsid w:val="005518D2"/>
    <w:rsid w:val="00551C81"/>
    <w:rsid w:val="0055348C"/>
    <w:rsid w:val="00556132"/>
    <w:rsid w:val="0055621A"/>
    <w:rsid w:val="00561FAE"/>
    <w:rsid w:val="00562133"/>
    <w:rsid w:val="0056756A"/>
    <w:rsid w:val="0056778A"/>
    <w:rsid w:val="005772B3"/>
    <w:rsid w:val="00577E37"/>
    <w:rsid w:val="00584DEC"/>
    <w:rsid w:val="005A7253"/>
    <w:rsid w:val="005B1999"/>
    <w:rsid w:val="005B3D82"/>
    <w:rsid w:val="005B4E90"/>
    <w:rsid w:val="005B7C5C"/>
    <w:rsid w:val="005C0D53"/>
    <w:rsid w:val="005C2B7C"/>
    <w:rsid w:val="005C30D7"/>
    <w:rsid w:val="005D0022"/>
    <w:rsid w:val="005D194D"/>
    <w:rsid w:val="005D3881"/>
    <w:rsid w:val="005D3ECC"/>
    <w:rsid w:val="005D554E"/>
    <w:rsid w:val="005D7BFD"/>
    <w:rsid w:val="005D7C8D"/>
    <w:rsid w:val="005E12A9"/>
    <w:rsid w:val="005E49DA"/>
    <w:rsid w:val="005E732A"/>
    <w:rsid w:val="005F457A"/>
    <w:rsid w:val="005F6A87"/>
    <w:rsid w:val="00611AAA"/>
    <w:rsid w:val="0061223B"/>
    <w:rsid w:val="00612609"/>
    <w:rsid w:val="00612C09"/>
    <w:rsid w:val="006202C1"/>
    <w:rsid w:val="006206C5"/>
    <w:rsid w:val="00620AA0"/>
    <w:rsid w:val="0062530F"/>
    <w:rsid w:val="00627C62"/>
    <w:rsid w:val="00632F90"/>
    <w:rsid w:val="006332E2"/>
    <w:rsid w:val="00634A73"/>
    <w:rsid w:val="0063590C"/>
    <w:rsid w:val="00637598"/>
    <w:rsid w:val="00637987"/>
    <w:rsid w:val="00640F8F"/>
    <w:rsid w:val="00644557"/>
    <w:rsid w:val="00645C13"/>
    <w:rsid w:val="006519BE"/>
    <w:rsid w:val="00651C58"/>
    <w:rsid w:val="0065240E"/>
    <w:rsid w:val="00653666"/>
    <w:rsid w:val="006577C7"/>
    <w:rsid w:val="00657852"/>
    <w:rsid w:val="00661566"/>
    <w:rsid w:val="006620CE"/>
    <w:rsid w:val="00664804"/>
    <w:rsid w:val="00664A2F"/>
    <w:rsid w:val="00665029"/>
    <w:rsid w:val="006651C7"/>
    <w:rsid w:val="00665D71"/>
    <w:rsid w:val="0067275E"/>
    <w:rsid w:val="006761C8"/>
    <w:rsid w:val="006762AB"/>
    <w:rsid w:val="006775C9"/>
    <w:rsid w:val="006778DE"/>
    <w:rsid w:val="0068371F"/>
    <w:rsid w:val="00686A51"/>
    <w:rsid w:val="0069125C"/>
    <w:rsid w:val="0069331E"/>
    <w:rsid w:val="00693AB6"/>
    <w:rsid w:val="00694321"/>
    <w:rsid w:val="00697A8D"/>
    <w:rsid w:val="006A08C1"/>
    <w:rsid w:val="006A70AD"/>
    <w:rsid w:val="006B5975"/>
    <w:rsid w:val="006B5BED"/>
    <w:rsid w:val="006C1C58"/>
    <w:rsid w:val="006C4B9C"/>
    <w:rsid w:val="006C61F7"/>
    <w:rsid w:val="006C669A"/>
    <w:rsid w:val="006C701D"/>
    <w:rsid w:val="006D2B58"/>
    <w:rsid w:val="006D52EE"/>
    <w:rsid w:val="006E0A8F"/>
    <w:rsid w:val="006E31AC"/>
    <w:rsid w:val="006E6712"/>
    <w:rsid w:val="006E7738"/>
    <w:rsid w:val="006F2075"/>
    <w:rsid w:val="006F5AE9"/>
    <w:rsid w:val="006F6312"/>
    <w:rsid w:val="006F76A3"/>
    <w:rsid w:val="00702C83"/>
    <w:rsid w:val="00704CD3"/>
    <w:rsid w:val="00705C7D"/>
    <w:rsid w:val="007125EE"/>
    <w:rsid w:val="00713A9D"/>
    <w:rsid w:val="00717B5D"/>
    <w:rsid w:val="0072460F"/>
    <w:rsid w:val="0072474A"/>
    <w:rsid w:val="007324B4"/>
    <w:rsid w:val="0073377B"/>
    <w:rsid w:val="00734699"/>
    <w:rsid w:val="00735C31"/>
    <w:rsid w:val="00736B0C"/>
    <w:rsid w:val="00736B7C"/>
    <w:rsid w:val="007477BA"/>
    <w:rsid w:val="00751C37"/>
    <w:rsid w:val="00757F22"/>
    <w:rsid w:val="0076328B"/>
    <w:rsid w:val="00771A5A"/>
    <w:rsid w:val="00773AC4"/>
    <w:rsid w:val="00775C98"/>
    <w:rsid w:val="00780193"/>
    <w:rsid w:val="007832A1"/>
    <w:rsid w:val="0078552E"/>
    <w:rsid w:val="007863F5"/>
    <w:rsid w:val="0079120F"/>
    <w:rsid w:val="007950D2"/>
    <w:rsid w:val="00795D1B"/>
    <w:rsid w:val="007A2A77"/>
    <w:rsid w:val="007A4F02"/>
    <w:rsid w:val="007A54AA"/>
    <w:rsid w:val="007A5F97"/>
    <w:rsid w:val="007A63B3"/>
    <w:rsid w:val="007A6680"/>
    <w:rsid w:val="007A7282"/>
    <w:rsid w:val="007B557E"/>
    <w:rsid w:val="007C0121"/>
    <w:rsid w:val="007C15CB"/>
    <w:rsid w:val="007C370A"/>
    <w:rsid w:val="007C76BE"/>
    <w:rsid w:val="007D10B7"/>
    <w:rsid w:val="007E5788"/>
    <w:rsid w:val="007E74D5"/>
    <w:rsid w:val="007F1141"/>
    <w:rsid w:val="007F341D"/>
    <w:rsid w:val="00800E72"/>
    <w:rsid w:val="008029C5"/>
    <w:rsid w:val="00802B7E"/>
    <w:rsid w:val="0080474B"/>
    <w:rsid w:val="0080518B"/>
    <w:rsid w:val="00805EE6"/>
    <w:rsid w:val="00814FE5"/>
    <w:rsid w:val="00816053"/>
    <w:rsid w:val="0082121B"/>
    <w:rsid w:val="008219BA"/>
    <w:rsid w:val="008231D7"/>
    <w:rsid w:val="008244B8"/>
    <w:rsid w:val="008248B4"/>
    <w:rsid w:val="00830CE1"/>
    <w:rsid w:val="008326C0"/>
    <w:rsid w:val="00832740"/>
    <w:rsid w:val="00834E9C"/>
    <w:rsid w:val="0083553A"/>
    <w:rsid w:val="00836B26"/>
    <w:rsid w:val="00837750"/>
    <w:rsid w:val="00837ED3"/>
    <w:rsid w:val="00843C6F"/>
    <w:rsid w:val="0084420A"/>
    <w:rsid w:val="008460E1"/>
    <w:rsid w:val="008462A1"/>
    <w:rsid w:val="008465B3"/>
    <w:rsid w:val="00850B21"/>
    <w:rsid w:val="00851C97"/>
    <w:rsid w:val="008536E3"/>
    <w:rsid w:val="008545B4"/>
    <w:rsid w:val="00857252"/>
    <w:rsid w:val="0086095E"/>
    <w:rsid w:val="00862250"/>
    <w:rsid w:val="0086246A"/>
    <w:rsid w:val="00862A1B"/>
    <w:rsid w:val="00864E5E"/>
    <w:rsid w:val="008663EB"/>
    <w:rsid w:val="00870704"/>
    <w:rsid w:val="008709DD"/>
    <w:rsid w:val="0087477F"/>
    <w:rsid w:val="008747E5"/>
    <w:rsid w:val="008809DC"/>
    <w:rsid w:val="0088461E"/>
    <w:rsid w:val="00886ED3"/>
    <w:rsid w:val="008907B5"/>
    <w:rsid w:val="00894382"/>
    <w:rsid w:val="008A1205"/>
    <w:rsid w:val="008A2E63"/>
    <w:rsid w:val="008A33A0"/>
    <w:rsid w:val="008A3FB7"/>
    <w:rsid w:val="008B1BD1"/>
    <w:rsid w:val="008B2318"/>
    <w:rsid w:val="008B4033"/>
    <w:rsid w:val="008B403B"/>
    <w:rsid w:val="008B4910"/>
    <w:rsid w:val="008C0392"/>
    <w:rsid w:val="008C54D4"/>
    <w:rsid w:val="008C7173"/>
    <w:rsid w:val="008C741D"/>
    <w:rsid w:val="008C77AC"/>
    <w:rsid w:val="008D1904"/>
    <w:rsid w:val="008D5FDA"/>
    <w:rsid w:val="008D6D9C"/>
    <w:rsid w:val="008D727A"/>
    <w:rsid w:val="008E4C6E"/>
    <w:rsid w:val="008E62D9"/>
    <w:rsid w:val="008E7BB3"/>
    <w:rsid w:val="008E7D16"/>
    <w:rsid w:val="008F1BED"/>
    <w:rsid w:val="008F614B"/>
    <w:rsid w:val="00900A97"/>
    <w:rsid w:val="00902B1E"/>
    <w:rsid w:val="00904377"/>
    <w:rsid w:val="00905B61"/>
    <w:rsid w:val="00910009"/>
    <w:rsid w:val="00922D8B"/>
    <w:rsid w:val="0093158A"/>
    <w:rsid w:val="00934C07"/>
    <w:rsid w:val="0093567F"/>
    <w:rsid w:val="00936024"/>
    <w:rsid w:val="009408E1"/>
    <w:rsid w:val="00946705"/>
    <w:rsid w:val="0095033D"/>
    <w:rsid w:val="00950807"/>
    <w:rsid w:val="00952B24"/>
    <w:rsid w:val="009548EE"/>
    <w:rsid w:val="00960396"/>
    <w:rsid w:val="00960734"/>
    <w:rsid w:val="00963C82"/>
    <w:rsid w:val="00963F61"/>
    <w:rsid w:val="0096664C"/>
    <w:rsid w:val="00971C12"/>
    <w:rsid w:val="00973878"/>
    <w:rsid w:val="00975B0E"/>
    <w:rsid w:val="00976691"/>
    <w:rsid w:val="00977580"/>
    <w:rsid w:val="009803A1"/>
    <w:rsid w:val="009830BE"/>
    <w:rsid w:val="00993873"/>
    <w:rsid w:val="00994F81"/>
    <w:rsid w:val="009965F5"/>
    <w:rsid w:val="009A0012"/>
    <w:rsid w:val="009A64B4"/>
    <w:rsid w:val="009A7DA6"/>
    <w:rsid w:val="009B108E"/>
    <w:rsid w:val="009B26D4"/>
    <w:rsid w:val="009B3BF6"/>
    <w:rsid w:val="009C3B25"/>
    <w:rsid w:val="009C3BE0"/>
    <w:rsid w:val="009C3FE8"/>
    <w:rsid w:val="009C471A"/>
    <w:rsid w:val="009C5605"/>
    <w:rsid w:val="009C65EE"/>
    <w:rsid w:val="009D08CF"/>
    <w:rsid w:val="009E0AD7"/>
    <w:rsid w:val="009E2B63"/>
    <w:rsid w:val="009E2CA8"/>
    <w:rsid w:val="009E4176"/>
    <w:rsid w:val="009E52FD"/>
    <w:rsid w:val="009E66A8"/>
    <w:rsid w:val="009F2D2D"/>
    <w:rsid w:val="009F30D0"/>
    <w:rsid w:val="009F4C1D"/>
    <w:rsid w:val="009F6B0C"/>
    <w:rsid w:val="009F7E63"/>
    <w:rsid w:val="00A0066B"/>
    <w:rsid w:val="00A0225A"/>
    <w:rsid w:val="00A03E0F"/>
    <w:rsid w:val="00A0528A"/>
    <w:rsid w:val="00A105E6"/>
    <w:rsid w:val="00A1091B"/>
    <w:rsid w:val="00A1299E"/>
    <w:rsid w:val="00A13B7E"/>
    <w:rsid w:val="00A1481F"/>
    <w:rsid w:val="00A1669D"/>
    <w:rsid w:val="00A17596"/>
    <w:rsid w:val="00A22E31"/>
    <w:rsid w:val="00A230F4"/>
    <w:rsid w:val="00A23CE4"/>
    <w:rsid w:val="00A23CEB"/>
    <w:rsid w:val="00A24AA9"/>
    <w:rsid w:val="00A253C4"/>
    <w:rsid w:val="00A340A3"/>
    <w:rsid w:val="00A40CF1"/>
    <w:rsid w:val="00A4162F"/>
    <w:rsid w:val="00A41AB9"/>
    <w:rsid w:val="00A42E78"/>
    <w:rsid w:val="00A45372"/>
    <w:rsid w:val="00A45D06"/>
    <w:rsid w:val="00A46C04"/>
    <w:rsid w:val="00A518B4"/>
    <w:rsid w:val="00A51DB6"/>
    <w:rsid w:val="00A53424"/>
    <w:rsid w:val="00A53D92"/>
    <w:rsid w:val="00A62E4B"/>
    <w:rsid w:val="00A6611F"/>
    <w:rsid w:val="00A66678"/>
    <w:rsid w:val="00A708B6"/>
    <w:rsid w:val="00A7158B"/>
    <w:rsid w:val="00A7164F"/>
    <w:rsid w:val="00A726A3"/>
    <w:rsid w:val="00A7479E"/>
    <w:rsid w:val="00A74ED7"/>
    <w:rsid w:val="00A81DC4"/>
    <w:rsid w:val="00A825B0"/>
    <w:rsid w:val="00A8325B"/>
    <w:rsid w:val="00A8360C"/>
    <w:rsid w:val="00A83BA0"/>
    <w:rsid w:val="00A83DB2"/>
    <w:rsid w:val="00A86A28"/>
    <w:rsid w:val="00A86F37"/>
    <w:rsid w:val="00A90942"/>
    <w:rsid w:val="00A90AA7"/>
    <w:rsid w:val="00A977CE"/>
    <w:rsid w:val="00A97E00"/>
    <w:rsid w:val="00AA4882"/>
    <w:rsid w:val="00AB12BB"/>
    <w:rsid w:val="00AB14F2"/>
    <w:rsid w:val="00AB1BD6"/>
    <w:rsid w:val="00AB3922"/>
    <w:rsid w:val="00AB402C"/>
    <w:rsid w:val="00AC1723"/>
    <w:rsid w:val="00AC22AD"/>
    <w:rsid w:val="00AC2BDF"/>
    <w:rsid w:val="00AC4034"/>
    <w:rsid w:val="00AD0D66"/>
    <w:rsid w:val="00AD6770"/>
    <w:rsid w:val="00AE0CF2"/>
    <w:rsid w:val="00AE14C3"/>
    <w:rsid w:val="00AE4BAB"/>
    <w:rsid w:val="00AE6285"/>
    <w:rsid w:val="00AF0122"/>
    <w:rsid w:val="00AF43F4"/>
    <w:rsid w:val="00AF571C"/>
    <w:rsid w:val="00B01FA0"/>
    <w:rsid w:val="00B066DB"/>
    <w:rsid w:val="00B06FE8"/>
    <w:rsid w:val="00B07A96"/>
    <w:rsid w:val="00B1081D"/>
    <w:rsid w:val="00B22A7A"/>
    <w:rsid w:val="00B23747"/>
    <w:rsid w:val="00B24EED"/>
    <w:rsid w:val="00B270E5"/>
    <w:rsid w:val="00B27436"/>
    <w:rsid w:val="00B27E94"/>
    <w:rsid w:val="00B307F6"/>
    <w:rsid w:val="00B31128"/>
    <w:rsid w:val="00B31663"/>
    <w:rsid w:val="00B363C4"/>
    <w:rsid w:val="00B36AF1"/>
    <w:rsid w:val="00B41256"/>
    <w:rsid w:val="00B42D04"/>
    <w:rsid w:val="00B43496"/>
    <w:rsid w:val="00B47A42"/>
    <w:rsid w:val="00B50144"/>
    <w:rsid w:val="00B518E8"/>
    <w:rsid w:val="00B551A5"/>
    <w:rsid w:val="00B55437"/>
    <w:rsid w:val="00B557CD"/>
    <w:rsid w:val="00B562D0"/>
    <w:rsid w:val="00B569C4"/>
    <w:rsid w:val="00B6033E"/>
    <w:rsid w:val="00B60B46"/>
    <w:rsid w:val="00B6742D"/>
    <w:rsid w:val="00B71E87"/>
    <w:rsid w:val="00B73EE7"/>
    <w:rsid w:val="00B751A9"/>
    <w:rsid w:val="00B75A82"/>
    <w:rsid w:val="00B81D3A"/>
    <w:rsid w:val="00B875C3"/>
    <w:rsid w:val="00B9280C"/>
    <w:rsid w:val="00B9336D"/>
    <w:rsid w:val="00B933A3"/>
    <w:rsid w:val="00BA0448"/>
    <w:rsid w:val="00BA1013"/>
    <w:rsid w:val="00BA20AF"/>
    <w:rsid w:val="00BA2BD7"/>
    <w:rsid w:val="00BA5362"/>
    <w:rsid w:val="00BB0B35"/>
    <w:rsid w:val="00BB28F5"/>
    <w:rsid w:val="00BC6B7E"/>
    <w:rsid w:val="00BC754D"/>
    <w:rsid w:val="00BD6E35"/>
    <w:rsid w:val="00BE0A8B"/>
    <w:rsid w:val="00BE42F5"/>
    <w:rsid w:val="00BF2735"/>
    <w:rsid w:val="00BF594C"/>
    <w:rsid w:val="00C00124"/>
    <w:rsid w:val="00C01153"/>
    <w:rsid w:val="00C02285"/>
    <w:rsid w:val="00C02ECA"/>
    <w:rsid w:val="00C03434"/>
    <w:rsid w:val="00C0609C"/>
    <w:rsid w:val="00C074A1"/>
    <w:rsid w:val="00C132ED"/>
    <w:rsid w:val="00C13B78"/>
    <w:rsid w:val="00C152A3"/>
    <w:rsid w:val="00C20434"/>
    <w:rsid w:val="00C2095A"/>
    <w:rsid w:val="00C217F0"/>
    <w:rsid w:val="00C22365"/>
    <w:rsid w:val="00C23063"/>
    <w:rsid w:val="00C24009"/>
    <w:rsid w:val="00C263CC"/>
    <w:rsid w:val="00C26AC4"/>
    <w:rsid w:val="00C27CA9"/>
    <w:rsid w:val="00C317FF"/>
    <w:rsid w:val="00C31959"/>
    <w:rsid w:val="00C3210F"/>
    <w:rsid w:val="00C3397B"/>
    <w:rsid w:val="00C33982"/>
    <w:rsid w:val="00C33B7E"/>
    <w:rsid w:val="00C34BD4"/>
    <w:rsid w:val="00C45A50"/>
    <w:rsid w:val="00C45D4F"/>
    <w:rsid w:val="00C47B08"/>
    <w:rsid w:val="00C510A0"/>
    <w:rsid w:val="00C526D3"/>
    <w:rsid w:val="00C536B6"/>
    <w:rsid w:val="00C63681"/>
    <w:rsid w:val="00C63A5B"/>
    <w:rsid w:val="00C63F22"/>
    <w:rsid w:val="00C67080"/>
    <w:rsid w:val="00C74B39"/>
    <w:rsid w:val="00C765DB"/>
    <w:rsid w:val="00C7713B"/>
    <w:rsid w:val="00C80A16"/>
    <w:rsid w:val="00C80C9F"/>
    <w:rsid w:val="00C81BD7"/>
    <w:rsid w:val="00C83783"/>
    <w:rsid w:val="00C851BB"/>
    <w:rsid w:val="00C85236"/>
    <w:rsid w:val="00C854A2"/>
    <w:rsid w:val="00C867AC"/>
    <w:rsid w:val="00C914B4"/>
    <w:rsid w:val="00C967F7"/>
    <w:rsid w:val="00CA6A18"/>
    <w:rsid w:val="00CB5951"/>
    <w:rsid w:val="00CB5F9F"/>
    <w:rsid w:val="00CB6630"/>
    <w:rsid w:val="00CB6BB3"/>
    <w:rsid w:val="00CC2735"/>
    <w:rsid w:val="00CC6CF5"/>
    <w:rsid w:val="00CC7306"/>
    <w:rsid w:val="00CC7790"/>
    <w:rsid w:val="00CD1B39"/>
    <w:rsid w:val="00CD242B"/>
    <w:rsid w:val="00CD2AE2"/>
    <w:rsid w:val="00CD338A"/>
    <w:rsid w:val="00CD7531"/>
    <w:rsid w:val="00CD7D47"/>
    <w:rsid w:val="00CE1ED0"/>
    <w:rsid w:val="00CE37E5"/>
    <w:rsid w:val="00CE3D68"/>
    <w:rsid w:val="00CE4543"/>
    <w:rsid w:val="00CE5A83"/>
    <w:rsid w:val="00CE7465"/>
    <w:rsid w:val="00D01E96"/>
    <w:rsid w:val="00D034EA"/>
    <w:rsid w:val="00D04349"/>
    <w:rsid w:val="00D1009E"/>
    <w:rsid w:val="00D10BBF"/>
    <w:rsid w:val="00D11E32"/>
    <w:rsid w:val="00D12D0C"/>
    <w:rsid w:val="00D21ABB"/>
    <w:rsid w:val="00D229AC"/>
    <w:rsid w:val="00D22DC5"/>
    <w:rsid w:val="00D26838"/>
    <w:rsid w:val="00D35D21"/>
    <w:rsid w:val="00D363B8"/>
    <w:rsid w:val="00D37283"/>
    <w:rsid w:val="00D40EB1"/>
    <w:rsid w:val="00D41862"/>
    <w:rsid w:val="00D4341F"/>
    <w:rsid w:val="00D43B03"/>
    <w:rsid w:val="00D44900"/>
    <w:rsid w:val="00D44AB6"/>
    <w:rsid w:val="00D50CD4"/>
    <w:rsid w:val="00D52DE1"/>
    <w:rsid w:val="00D54263"/>
    <w:rsid w:val="00D55DE1"/>
    <w:rsid w:val="00D56632"/>
    <w:rsid w:val="00D5707A"/>
    <w:rsid w:val="00D57747"/>
    <w:rsid w:val="00D60AB5"/>
    <w:rsid w:val="00D64ADD"/>
    <w:rsid w:val="00D65257"/>
    <w:rsid w:val="00D67E8E"/>
    <w:rsid w:val="00D714C9"/>
    <w:rsid w:val="00D714CA"/>
    <w:rsid w:val="00D72108"/>
    <w:rsid w:val="00D73208"/>
    <w:rsid w:val="00D73B87"/>
    <w:rsid w:val="00D73D71"/>
    <w:rsid w:val="00D77452"/>
    <w:rsid w:val="00D77C34"/>
    <w:rsid w:val="00D81662"/>
    <w:rsid w:val="00D8682B"/>
    <w:rsid w:val="00D94DAF"/>
    <w:rsid w:val="00D958CD"/>
    <w:rsid w:val="00DA1B14"/>
    <w:rsid w:val="00DA1F83"/>
    <w:rsid w:val="00DA4CD4"/>
    <w:rsid w:val="00DA5173"/>
    <w:rsid w:val="00DB00EE"/>
    <w:rsid w:val="00DB087B"/>
    <w:rsid w:val="00DB3FE8"/>
    <w:rsid w:val="00DB58CF"/>
    <w:rsid w:val="00DC3F72"/>
    <w:rsid w:val="00DC503B"/>
    <w:rsid w:val="00DC5446"/>
    <w:rsid w:val="00DC6B3E"/>
    <w:rsid w:val="00DC79DA"/>
    <w:rsid w:val="00DD0170"/>
    <w:rsid w:val="00DD6457"/>
    <w:rsid w:val="00DD64B5"/>
    <w:rsid w:val="00DD6B96"/>
    <w:rsid w:val="00DD6BED"/>
    <w:rsid w:val="00DD71C9"/>
    <w:rsid w:val="00DD71CB"/>
    <w:rsid w:val="00DE5B5F"/>
    <w:rsid w:val="00DF1CDB"/>
    <w:rsid w:val="00DF3642"/>
    <w:rsid w:val="00DF597D"/>
    <w:rsid w:val="00E001DA"/>
    <w:rsid w:val="00E01A8A"/>
    <w:rsid w:val="00E01F21"/>
    <w:rsid w:val="00E0660B"/>
    <w:rsid w:val="00E12CA6"/>
    <w:rsid w:val="00E14B65"/>
    <w:rsid w:val="00E16A55"/>
    <w:rsid w:val="00E237E6"/>
    <w:rsid w:val="00E23E4B"/>
    <w:rsid w:val="00E248FA"/>
    <w:rsid w:val="00E24E3D"/>
    <w:rsid w:val="00E27078"/>
    <w:rsid w:val="00E27100"/>
    <w:rsid w:val="00E33683"/>
    <w:rsid w:val="00E34B7B"/>
    <w:rsid w:val="00E34FA6"/>
    <w:rsid w:val="00E46CBD"/>
    <w:rsid w:val="00E47BA5"/>
    <w:rsid w:val="00E51192"/>
    <w:rsid w:val="00E51FE1"/>
    <w:rsid w:val="00E545DB"/>
    <w:rsid w:val="00E5677A"/>
    <w:rsid w:val="00E620A5"/>
    <w:rsid w:val="00E62272"/>
    <w:rsid w:val="00E622FF"/>
    <w:rsid w:val="00E6257E"/>
    <w:rsid w:val="00E6716C"/>
    <w:rsid w:val="00E67212"/>
    <w:rsid w:val="00E67F47"/>
    <w:rsid w:val="00E714A5"/>
    <w:rsid w:val="00E733F5"/>
    <w:rsid w:val="00E755A6"/>
    <w:rsid w:val="00E76539"/>
    <w:rsid w:val="00E80644"/>
    <w:rsid w:val="00E81B1A"/>
    <w:rsid w:val="00E8292F"/>
    <w:rsid w:val="00E83695"/>
    <w:rsid w:val="00E84FEC"/>
    <w:rsid w:val="00E8594E"/>
    <w:rsid w:val="00E85AE4"/>
    <w:rsid w:val="00E91F46"/>
    <w:rsid w:val="00E9436E"/>
    <w:rsid w:val="00EA054C"/>
    <w:rsid w:val="00EA454C"/>
    <w:rsid w:val="00EA5ED6"/>
    <w:rsid w:val="00EA610F"/>
    <w:rsid w:val="00EA62B6"/>
    <w:rsid w:val="00EB0218"/>
    <w:rsid w:val="00EB3C69"/>
    <w:rsid w:val="00EB4E7D"/>
    <w:rsid w:val="00EC0141"/>
    <w:rsid w:val="00EC0D15"/>
    <w:rsid w:val="00EC0F65"/>
    <w:rsid w:val="00EC2672"/>
    <w:rsid w:val="00EC3914"/>
    <w:rsid w:val="00EC3BDA"/>
    <w:rsid w:val="00EC550A"/>
    <w:rsid w:val="00EC585A"/>
    <w:rsid w:val="00EC5FB5"/>
    <w:rsid w:val="00EC6AE7"/>
    <w:rsid w:val="00EC7C4F"/>
    <w:rsid w:val="00ED3263"/>
    <w:rsid w:val="00ED38F0"/>
    <w:rsid w:val="00ED4428"/>
    <w:rsid w:val="00ED57BB"/>
    <w:rsid w:val="00ED7973"/>
    <w:rsid w:val="00EE1A37"/>
    <w:rsid w:val="00EE27EB"/>
    <w:rsid w:val="00EF1D92"/>
    <w:rsid w:val="00EF240F"/>
    <w:rsid w:val="00EF3117"/>
    <w:rsid w:val="00EF420A"/>
    <w:rsid w:val="00EF6592"/>
    <w:rsid w:val="00F00306"/>
    <w:rsid w:val="00F071A5"/>
    <w:rsid w:val="00F115D4"/>
    <w:rsid w:val="00F12A9B"/>
    <w:rsid w:val="00F15A3B"/>
    <w:rsid w:val="00F17ED5"/>
    <w:rsid w:val="00F22F26"/>
    <w:rsid w:val="00F25CCE"/>
    <w:rsid w:val="00F267C3"/>
    <w:rsid w:val="00F30617"/>
    <w:rsid w:val="00F32353"/>
    <w:rsid w:val="00F328CE"/>
    <w:rsid w:val="00F37F8F"/>
    <w:rsid w:val="00F4287A"/>
    <w:rsid w:val="00F4327F"/>
    <w:rsid w:val="00F43F3F"/>
    <w:rsid w:val="00F4466D"/>
    <w:rsid w:val="00F44A36"/>
    <w:rsid w:val="00F47EF4"/>
    <w:rsid w:val="00F5559A"/>
    <w:rsid w:val="00F55A67"/>
    <w:rsid w:val="00F5643F"/>
    <w:rsid w:val="00F56CCE"/>
    <w:rsid w:val="00F63537"/>
    <w:rsid w:val="00F65EA1"/>
    <w:rsid w:val="00F70508"/>
    <w:rsid w:val="00F70CD6"/>
    <w:rsid w:val="00F75DE7"/>
    <w:rsid w:val="00F765C3"/>
    <w:rsid w:val="00F773F9"/>
    <w:rsid w:val="00F778B4"/>
    <w:rsid w:val="00F77EF1"/>
    <w:rsid w:val="00F82654"/>
    <w:rsid w:val="00F829AE"/>
    <w:rsid w:val="00F855BD"/>
    <w:rsid w:val="00F8657F"/>
    <w:rsid w:val="00F872E0"/>
    <w:rsid w:val="00F87D33"/>
    <w:rsid w:val="00F914B5"/>
    <w:rsid w:val="00F932FF"/>
    <w:rsid w:val="00F96872"/>
    <w:rsid w:val="00FA09B6"/>
    <w:rsid w:val="00FA4A9C"/>
    <w:rsid w:val="00FB0C4F"/>
    <w:rsid w:val="00FB2D94"/>
    <w:rsid w:val="00FB33A7"/>
    <w:rsid w:val="00FB408F"/>
    <w:rsid w:val="00FB4CC1"/>
    <w:rsid w:val="00FB65CD"/>
    <w:rsid w:val="00FC05E0"/>
    <w:rsid w:val="00FC28A2"/>
    <w:rsid w:val="00FC65E0"/>
    <w:rsid w:val="00FD000C"/>
    <w:rsid w:val="00FD00F9"/>
    <w:rsid w:val="00FD0D01"/>
    <w:rsid w:val="00FD2952"/>
    <w:rsid w:val="00FD2C27"/>
    <w:rsid w:val="00FD6A66"/>
    <w:rsid w:val="00FE259B"/>
    <w:rsid w:val="00FE5FB5"/>
    <w:rsid w:val="00FF514A"/>
    <w:rsid w:val="00FF529D"/>
    <w:rsid w:val="00FF7D30"/>
    <w:rsid w:val="012359C8"/>
    <w:rsid w:val="0132002F"/>
    <w:rsid w:val="01444178"/>
    <w:rsid w:val="01755D34"/>
    <w:rsid w:val="0186609F"/>
    <w:rsid w:val="01936FF7"/>
    <w:rsid w:val="01A93C0B"/>
    <w:rsid w:val="01AF200E"/>
    <w:rsid w:val="01D14A81"/>
    <w:rsid w:val="020F401E"/>
    <w:rsid w:val="021A5A61"/>
    <w:rsid w:val="023473A0"/>
    <w:rsid w:val="02477C3A"/>
    <w:rsid w:val="026B58F0"/>
    <w:rsid w:val="028064D2"/>
    <w:rsid w:val="028C5267"/>
    <w:rsid w:val="029A3BB0"/>
    <w:rsid w:val="02A657D0"/>
    <w:rsid w:val="02AE7629"/>
    <w:rsid w:val="02AF30BA"/>
    <w:rsid w:val="02E0325E"/>
    <w:rsid w:val="03371CB7"/>
    <w:rsid w:val="034D3C69"/>
    <w:rsid w:val="035E2A04"/>
    <w:rsid w:val="037E253D"/>
    <w:rsid w:val="03861939"/>
    <w:rsid w:val="03937CA5"/>
    <w:rsid w:val="03D87A47"/>
    <w:rsid w:val="040D6CC3"/>
    <w:rsid w:val="0433224F"/>
    <w:rsid w:val="0451505F"/>
    <w:rsid w:val="04552561"/>
    <w:rsid w:val="04E23328"/>
    <w:rsid w:val="04ED5335"/>
    <w:rsid w:val="04FA455B"/>
    <w:rsid w:val="05142EE0"/>
    <w:rsid w:val="0521017F"/>
    <w:rsid w:val="05397107"/>
    <w:rsid w:val="05614AEC"/>
    <w:rsid w:val="05B56AB7"/>
    <w:rsid w:val="05BE003B"/>
    <w:rsid w:val="05E922D3"/>
    <w:rsid w:val="06076AD1"/>
    <w:rsid w:val="062A5CA0"/>
    <w:rsid w:val="06396C25"/>
    <w:rsid w:val="067A1C21"/>
    <w:rsid w:val="06966723"/>
    <w:rsid w:val="06967F4E"/>
    <w:rsid w:val="06983FBB"/>
    <w:rsid w:val="06FE57C8"/>
    <w:rsid w:val="0706533A"/>
    <w:rsid w:val="0724135D"/>
    <w:rsid w:val="073C070F"/>
    <w:rsid w:val="074B1F6C"/>
    <w:rsid w:val="075F142F"/>
    <w:rsid w:val="079014D6"/>
    <w:rsid w:val="07945308"/>
    <w:rsid w:val="07C00D62"/>
    <w:rsid w:val="07DD36D5"/>
    <w:rsid w:val="07F12075"/>
    <w:rsid w:val="081600BC"/>
    <w:rsid w:val="08197B04"/>
    <w:rsid w:val="082F0898"/>
    <w:rsid w:val="08310661"/>
    <w:rsid w:val="08477113"/>
    <w:rsid w:val="08694C91"/>
    <w:rsid w:val="08745878"/>
    <w:rsid w:val="087E41AD"/>
    <w:rsid w:val="088B0160"/>
    <w:rsid w:val="08A43FCE"/>
    <w:rsid w:val="08BC1FEE"/>
    <w:rsid w:val="08E46B68"/>
    <w:rsid w:val="090B769B"/>
    <w:rsid w:val="091E37D1"/>
    <w:rsid w:val="09224A62"/>
    <w:rsid w:val="09240E66"/>
    <w:rsid w:val="096C5C96"/>
    <w:rsid w:val="09845D14"/>
    <w:rsid w:val="099F6F11"/>
    <w:rsid w:val="09D426AD"/>
    <w:rsid w:val="09FF25E0"/>
    <w:rsid w:val="0A5A6619"/>
    <w:rsid w:val="0AA35207"/>
    <w:rsid w:val="0ACA694E"/>
    <w:rsid w:val="0ADC0637"/>
    <w:rsid w:val="0AE667C7"/>
    <w:rsid w:val="0B002280"/>
    <w:rsid w:val="0B0306D6"/>
    <w:rsid w:val="0B505C20"/>
    <w:rsid w:val="0B7F297D"/>
    <w:rsid w:val="0BC322B0"/>
    <w:rsid w:val="0BD54D6B"/>
    <w:rsid w:val="0BD66076"/>
    <w:rsid w:val="0C1C47A4"/>
    <w:rsid w:val="0C1F6FB6"/>
    <w:rsid w:val="0C4C1985"/>
    <w:rsid w:val="0C5431EA"/>
    <w:rsid w:val="0C764D0E"/>
    <w:rsid w:val="0C7A4929"/>
    <w:rsid w:val="0C7F221B"/>
    <w:rsid w:val="0C9B2272"/>
    <w:rsid w:val="0CA97169"/>
    <w:rsid w:val="0CB809BA"/>
    <w:rsid w:val="0CD159F6"/>
    <w:rsid w:val="0CD23611"/>
    <w:rsid w:val="0D120AC8"/>
    <w:rsid w:val="0D1221FC"/>
    <w:rsid w:val="0D313CA3"/>
    <w:rsid w:val="0D4E6B05"/>
    <w:rsid w:val="0D6B3313"/>
    <w:rsid w:val="0D716937"/>
    <w:rsid w:val="0D7D3421"/>
    <w:rsid w:val="0DA47BD4"/>
    <w:rsid w:val="0DB13D42"/>
    <w:rsid w:val="0DBC3EE4"/>
    <w:rsid w:val="0DC50BE6"/>
    <w:rsid w:val="0DDD3384"/>
    <w:rsid w:val="0DEC61FF"/>
    <w:rsid w:val="0E253AFB"/>
    <w:rsid w:val="0E473313"/>
    <w:rsid w:val="0E7F780B"/>
    <w:rsid w:val="0EBA7877"/>
    <w:rsid w:val="0ECC7EC8"/>
    <w:rsid w:val="0ECC7F97"/>
    <w:rsid w:val="0EDB4573"/>
    <w:rsid w:val="0F2A201A"/>
    <w:rsid w:val="0F3174A2"/>
    <w:rsid w:val="0F333771"/>
    <w:rsid w:val="0F7151EB"/>
    <w:rsid w:val="0F9339E3"/>
    <w:rsid w:val="0FC664EA"/>
    <w:rsid w:val="0FD11F32"/>
    <w:rsid w:val="0FD727CD"/>
    <w:rsid w:val="100C0826"/>
    <w:rsid w:val="10137EA8"/>
    <w:rsid w:val="10170703"/>
    <w:rsid w:val="10807B80"/>
    <w:rsid w:val="109D3ECB"/>
    <w:rsid w:val="10EB5A9D"/>
    <w:rsid w:val="11331AB6"/>
    <w:rsid w:val="11D947A0"/>
    <w:rsid w:val="121624F3"/>
    <w:rsid w:val="12243A80"/>
    <w:rsid w:val="12316F35"/>
    <w:rsid w:val="12346411"/>
    <w:rsid w:val="123A3F7A"/>
    <w:rsid w:val="126215A7"/>
    <w:rsid w:val="129436B0"/>
    <w:rsid w:val="12B821F2"/>
    <w:rsid w:val="130D12DF"/>
    <w:rsid w:val="130F3A9E"/>
    <w:rsid w:val="132D7003"/>
    <w:rsid w:val="133546CC"/>
    <w:rsid w:val="134D3D66"/>
    <w:rsid w:val="136D18EE"/>
    <w:rsid w:val="139745FE"/>
    <w:rsid w:val="13D431C5"/>
    <w:rsid w:val="13DC3680"/>
    <w:rsid w:val="13FC7AF3"/>
    <w:rsid w:val="14021556"/>
    <w:rsid w:val="144B3584"/>
    <w:rsid w:val="146C57EE"/>
    <w:rsid w:val="14744674"/>
    <w:rsid w:val="1477479F"/>
    <w:rsid w:val="14932D61"/>
    <w:rsid w:val="149B44CB"/>
    <w:rsid w:val="14AA4AD4"/>
    <w:rsid w:val="14C60908"/>
    <w:rsid w:val="14C7150C"/>
    <w:rsid w:val="14CB7B30"/>
    <w:rsid w:val="14D63748"/>
    <w:rsid w:val="14DA7C25"/>
    <w:rsid w:val="14DE552A"/>
    <w:rsid w:val="14F053A1"/>
    <w:rsid w:val="14F12BA8"/>
    <w:rsid w:val="150417D3"/>
    <w:rsid w:val="159369A0"/>
    <w:rsid w:val="159D1E80"/>
    <w:rsid w:val="15B01C94"/>
    <w:rsid w:val="15BC6C5C"/>
    <w:rsid w:val="15E775B2"/>
    <w:rsid w:val="16184E2C"/>
    <w:rsid w:val="162A10B5"/>
    <w:rsid w:val="162C4242"/>
    <w:rsid w:val="16703E93"/>
    <w:rsid w:val="167B0165"/>
    <w:rsid w:val="168C39F7"/>
    <w:rsid w:val="16D37615"/>
    <w:rsid w:val="16FA01BA"/>
    <w:rsid w:val="178E69F1"/>
    <w:rsid w:val="17DB7BA2"/>
    <w:rsid w:val="17F4735F"/>
    <w:rsid w:val="18046C9B"/>
    <w:rsid w:val="181F75AA"/>
    <w:rsid w:val="18351675"/>
    <w:rsid w:val="1846575F"/>
    <w:rsid w:val="18595516"/>
    <w:rsid w:val="186111FB"/>
    <w:rsid w:val="18726B10"/>
    <w:rsid w:val="18816279"/>
    <w:rsid w:val="18C1575B"/>
    <w:rsid w:val="18C65830"/>
    <w:rsid w:val="18D31B51"/>
    <w:rsid w:val="18D7128D"/>
    <w:rsid w:val="1904305B"/>
    <w:rsid w:val="194423C6"/>
    <w:rsid w:val="195351AB"/>
    <w:rsid w:val="195412FB"/>
    <w:rsid w:val="196100AC"/>
    <w:rsid w:val="19721889"/>
    <w:rsid w:val="19A815DE"/>
    <w:rsid w:val="19C01AD3"/>
    <w:rsid w:val="1A094992"/>
    <w:rsid w:val="1A1759CC"/>
    <w:rsid w:val="1A1F3F80"/>
    <w:rsid w:val="1A22276E"/>
    <w:rsid w:val="1A5D07F0"/>
    <w:rsid w:val="1A6C4DF9"/>
    <w:rsid w:val="1A727016"/>
    <w:rsid w:val="1A7A14B2"/>
    <w:rsid w:val="1AB47542"/>
    <w:rsid w:val="1AFB1DDB"/>
    <w:rsid w:val="1B3A0155"/>
    <w:rsid w:val="1B8C736D"/>
    <w:rsid w:val="1BBF57FC"/>
    <w:rsid w:val="1BD266D3"/>
    <w:rsid w:val="1BD945CE"/>
    <w:rsid w:val="1BED12CA"/>
    <w:rsid w:val="1C063C25"/>
    <w:rsid w:val="1C232530"/>
    <w:rsid w:val="1C5E70DA"/>
    <w:rsid w:val="1C6C0420"/>
    <w:rsid w:val="1C917FB8"/>
    <w:rsid w:val="1CA768A9"/>
    <w:rsid w:val="1CB33B2B"/>
    <w:rsid w:val="1CB4048B"/>
    <w:rsid w:val="1CDB523A"/>
    <w:rsid w:val="1CE84DF5"/>
    <w:rsid w:val="1CEE40F0"/>
    <w:rsid w:val="1D025A7F"/>
    <w:rsid w:val="1D57601C"/>
    <w:rsid w:val="1D5D13E5"/>
    <w:rsid w:val="1D7B46E8"/>
    <w:rsid w:val="1D8450D1"/>
    <w:rsid w:val="1D9A23D3"/>
    <w:rsid w:val="1DD436FA"/>
    <w:rsid w:val="1DE30F81"/>
    <w:rsid w:val="1E1D33D0"/>
    <w:rsid w:val="1E242E86"/>
    <w:rsid w:val="1E4B3C1F"/>
    <w:rsid w:val="1E4F25A9"/>
    <w:rsid w:val="1E53633B"/>
    <w:rsid w:val="1E5F54AC"/>
    <w:rsid w:val="1E6855FB"/>
    <w:rsid w:val="1E7B76C1"/>
    <w:rsid w:val="1E830DC4"/>
    <w:rsid w:val="1E864E6B"/>
    <w:rsid w:val="1E896B91"/>
    <w:rsid w:val="1EAC01AF"/>
    <w:rsid w:val="1EC80D0E"/>
    <w:rsid w:val="1EDB16DD"/>
    <w:rsid w:val="1F000749"/>
    <w:rsid w:val="1F567DE1"/>
    <w:rsid w:val="1F6D0862"/>
    <w:rsid w:val="1F81511F"/>
    <w:rsid w:val="1FA84A44"/>
    <w:rsid w:val="1FDC09D7"/>
    <w:rsid w:val="1FF42306"/>
    <w:rsid w:val="200D5244"/>
    <w:rsid w:val="20102B0D"/>
    <w:rsid w:val="201F128D"/>
    <w:rsid w:val="202C39F0"/>
    <w:rsid w:val="203167D6"/>
    <w:rsid w:val="20435939"/>
    <w:rsid w:val="206162E8"/>
    <w:rsid w:val="206436A7"/>
    <w:rsid w:val="2076496C"/>
    <w:rsid w:val="20DB2B72"/>
    <w:rsid w:val="210F541C"/>
    <w:rsid w:val="211B5CC2"/>
    <w:rsid w:val="211C1640"/>
    <w:rsid w:val="214B6F1B"/>
    <w:rsid w:val="215D41D5"/>
    <w:rsid w:val="216919A0"/>
    <w:rsid w:val="21984ABA"/>
    <w:rsid w:val="21B0075F"/>
    <w:rsid w:val="21D0055F"/>
    <w:rsid w:val="21EE1183"/>
    <w:rsid w:val="22393670"/>
    <w:rsid w:val="227D4E80"/>
    <w:rsid w:val="22984AAE"/>
    <w:rsid w:val="22EC7AD2"/>
    <w:rsid w:val="22FE3F7C"/>
    <w:rsid w:val="23035F6D"/>
    <w:rsid w:val="23086C17"/>
    <w:rsid w:val="232610F0"/>
    <w:rsid w:val="234B2622"/>
    <w:rsid w:val="2350222C"/>
    <w:rsid w:val="23585F53"/>
    <w:rsid w:val="237B4F78"/>
    <w:rsid w:val="23826203"/>
    <w:rsid w:val="23AA0EBE"/>
    <w:rsid w:val="23BC072A"/>
    <w:rsid w:val="23CD1182"/>
    <w:rsid w:val="23E76A1F"/>
    <w:rsid w:val="24464F01"/>
    <w:rsid w:val="24491758"/>
    <w:rsid w:val="248D74FF"/>
    <w:rsid w:val="248D7596"/>
    <w:rsid w:val="249B6615"/>
    <w:rsid w:val="249C12B2"/>
    <w:rsid w:val="24B22E17"/>
    <w:rsid w:val="24D96EFE"/>
    <w:rsid w:val="25130F67"/>
    <w:rsid w:val="25146B0F"/>
    <w:rsid w:val="25426307"/>
    <w:rsid w:val="25440D60"/>
    <w:rsid w:val="25493BC0"/>
    <w:rsid w:val="25604805"/>
    <w:rsid w:val="25614BFE"/>
    <w:rsid w:val="25D179CE"/>
    <w:rsid w:val="25E10C33"/>
    <w:rsid w:val="25E822F6"/>
    <w:rsid w:val="26860010"/>
    <w:rsid w:val="26A35350"/>
    <w:rsid w:val="26CD695F"/>
    <w:rsid w:val="26DD13CE"/>
    <w:rsid w:val="26FD251D"/>
    <w:rsid w:val="270646A5"/>
    <w:rsid w:val="274749CE"/>
    <w:rsid w:val="2785548F"/>
    <w:rsid w:val="279E585B"/>
    <w:rsid w:val="27A03B01"/>
    <w:rsid w:val="27CF371F"/>
    <w:rsid w:val="280759CC"/>
    <w:rsid w:val="282A2CB3"/>
    <w:rsid w:val="28384DC9"/>
    <w:rsid w:val="2848067E"/>
    <w:rsid w:val="287215E7"/>
    <w:rsid w:val="287B4C2F"/>
    <w:rsid w:val="28811F5A"/>
    <w:rsid w:val="28AA6094"/>
    <w:rsid w:val="28AC1765"/>
    <w:rsid w:val="28DF0F6B"/>
    <w:rsid w:val="28E95161"/>
    <w:rsid w:val="29123205"/>
    <w:rsid w:val="29145F2C"/>
    <w:rsid w:val="291957E2"/>
    <w:rsid w:val="292B4536"/>
    <w:rsid w:val="295F7EC3"/>
    <w:rsid w:val="29622CFF"/>
    <w:rsid w:val="29676054"/>
    <w:rsid w:val="29696604"/>
    <w:rsid w:val="298A3E92"/>
    <w:rsid w:val="2993417B"/>
    <w:rsid w:val="29A7700B"/>
    <w:rsid w:val="29B63E2B"/>
    <w:rsid w:val="29C075BB"/>
    <w:rsid w:val="29D30719"/>
    <w:rsid w:val="29DB5954"/>
    <w:rsid w:val="29F97F43"/>
    <w:rsid w:val="2A117562"/>
    <w:rsid w:val="2A2B7DFE"/>
    <w:rsid w:val="2A3037DB"/>
    <w:rsid w:val="2A562CA3"/>
    <w:rsid w:val="2A8628CA"/>
    <w:rsid w:val="2AA33F13"/>
    <w:rsid w:val="2AAB4E50"/>
    <w:rsid w:val="2AC056DF"/>
    <w:rsid w:val="2AC325A8"/>
    <w:rsid w:val="2AE70462"/>
    <w:rsid w:val="2B0F15B0"/>
    <w:rsid w:val="2B1A1509"/>
    <w:rsid w:val="2B210166"/>
    <w:rsid w:val="2B496550"/>
    <w:rsid w:val="2B5E6C66"/>
    <w:rsid w:val="2B602D9C"/>
    <w:rsid w:val="2B605E11"/>
    <w:rsid w:val="2B784F3A"/>
    <w:rsid w:val="2B933EED"/>
    <w:rsid w:val="2BBE3FC0"/>
    <w:rsid w:val="2BEF2621"/>
    <w:rsid w:val="2C5A69EB"/>
    <w:rsid w:val="2C6C7E3B"/>
    <w:rsid w:val="2C773C13"/>
    <w:rsid w:val="2C845918"/>
    <w:rsid w:val="2CB57C25"/>
    <w:rsid w:val="2CC653AD"/>
    <w:rsid w:val="2D5415B1"/>
    <w:rsid w:val="2D591E8A"/>
    <w:rsid w:val="2D70040C"/>
    <w:rsid w:val="2DF2651E"/>
    <w:rsid w:val="2DFE1FAB"/>
    <w:rsid w:val="2E0808F1"/>
    <w:rsid w:val="2E4A7C58"/>
    <w:rsid w:val="2E6C23FE"/>
    <w:rsid w:val="2ED807CE"/>
    <w:rsid w:val="2ED810B8"/>
    <w:rsid w:val="2EF74686"/>
    <w:rsid w:val="2F056D00"/>
    <w:rsid w:val="2F1E2026"/>
    <w:rsid w:val="2F3A1F97"/>
    <w:rsid w:val="2F584F11"/>
    <w:rsid w:val="2F6153B4"/>
    <w:rsid w:val="2F6C1E88"/>
    <w:rsid w:val="2F741994"/>
    <w:rsid w:val="2F9F3D5E"/>
    <w:rsid w:val="2FA374A5"/>
    <w:rsid w:val="303E4766"/>
    <w:rsid w:val="308B7CA1"/>
    <w:rsid w:val="30DE658E"/>
    <w:rsid w:val="311F7718"/>
    <w:rsid w:val="312A0A35"/>
    <w:rsid w:val="3131531F"/>
    <w:rsid w:val="31365B50"/>
    <w:rsid w:val="31550F55"/>
    <w:rsid w:val="31875952"/>
    <w:rsid w:val="31952116"/>
    <w:rsid w:val="31BF4671"/>
    <w:rsid w:val="31D85A5D"/>
    <w:rsid w:val="31EC74E9"/>
    <w:rsid w:val="32363EC9"/>
    <w:rsid w:val="325876F4"/>
    <w:rsid w:val="32825B4F"/>
    <w:rsid w:val="32856811"/>
    <w:rsid w:val="32883F3F"/>
    <w:rsid w:val="32A33450"/>
    <w:rsid w:val="32B729AB"/>
    <w:rsid w:val="330031B1"/>
    <w:rsid w:val="330B2D77"/>
    <w:rsid w:val="33215DB3"/>
    <w:rsid w:val="332915EA"/>
    <w:rsid w:val="3338212C"/>
    <w:rsid w:val="334A422E"/>
    <w:rsid w:val="339B5E13"/>
    <w:rsid w:val="33AF2100"/>
    <w:rsid w:val="33D671E9"/>
    <w:rsid w:val="33E8780D"/>
    <w:rsid w:val="33F01380"/>
    <w:rsid w:val="34086BD7"/>
    <w:rsid w:val="340F654A"/>
    <w:rsid w:val="34120A7A"/>
    <w:rsid w:val="34136EEA"/>
    <w:rsid w:val="342306AB"/>
    <w:rsid w:val="342517A3"/>
    <w:rsid w:val="343029F0"/>
    <w:rsid w:val="344D534C"/>
    <w:rsid w:val="345D6805"/>
    <w:rsid w:val="347E70D5"/>
    <w:rsid w:val="348B02FD"/>
    <w:rsid w:val="349825D2"/>
    <w:rsid w:val="34B57FCE"/>
    <w:rsid w:val="34C54B13"/>
    <w:rsid w:val="34F26124"/>
    <w:rsid w:val="350F3732"/>
    <w:rsid w:val="35265B69"/>
    <w:rsid w:val="35364CF1"/>
    <w:rsid w:val="35856CA7"/>
    <w:rsid w:val="35A8554D"/>
    <w:rsid w:val="35A86738"/>
    <w:rsid w:val="35B83F99"/>
    <w:rsid w:val="35C724FE"/>
    <w:rsid w:val="35D425A8"/>
    <w:rsid w:val="35E92DC4"/>
    <w:rsid w:val="36083619"/>
    <w:rsid w:val="36403E85"/>
    <w:rsid w:val="367317AD"/>
    <w:rsid w:val="36740F6F"/>
    <w:rsid w:val="36A926CD"/>
    <w:rsid w:val="36AC7477"/>
    <w:rsid w:val="36F50121"/>
    <w:rsid w:val="37090543"/>
    <w:rsid w:val="370D4A41"/>
    <w:rsid w:val="37314231"/>
    <w:rsid w:val="37410E35"/>
    <w:rsid w:val="37625F04"/>
    <w:rsid w:val="376374C3"/>
    <w:rsid w:val="376A1287"/>
    <w:rsid w:val="37710225"/>
    <w:rsid w:val="37790AD0"/>
    <w:rsid w:val="378575FB"/>
    <w:rsid w:val="38074B41"/>
    <w:rsid w:val="38232CD7"/>
    <w:rsid w:val="383A0285"/>
    <w:rsid w:val="385251AF"/>
    <w:rsid w:val="3887588C"/>
    <w:rsid w:val="390C70F9"/>
    <w:rsid w:val="39165E8B"/>
    <w:rsid w:val="3922513D"/>
    <w:rsid w:val="393438A4"/>
    <w:rsid w:val="394A28AF"/>
    <w:rsid w:val="3982260E"/>
    <w:rsid w:val="39892BCE"/>
    <w:rsid w:val="3998618B"/>
    <w:rsid w:val="39C52C7E"/>
    <w:rsid w:val="39D945E7"/>
    <w:rsid w:val="39E74F5B"/>
    <w:rsid w:val="39F96039"/>
    <w:rsid w:val="3A3647DC"/>
    <w:rsid w:val="3A720900"/>
    <w:rsid w:val="3A863081"/>
    <w:rsid w:val="3AB24630"/>
    <w:rsid w:val="3AC07F62"/>
    <w:rsid w:val="3AC50899"/>
    <w:rsid w:val="3AE241ED"/>
    <w:rsid w:val="3B015946"/>
    <w:rsid w:val="3B386543"/>
    <w:rsid w:val="3B8A3C43"/>
    <w:rsid w:val="3B9B5F5C"/>
    <w:rsid w:val="3BA361AB"/>
    <w:rsid w:val="3C423B8F"/>
    <w:rsid w:val="3C671D83"/>
    <w:rsid w:val="3C6B737D"/>
    <w:rsid w:val="3C7C415A"/>
    <w:rsid w:val="3CBB7FA1"/>
    <w:rsid w:val="3CFC25BE"/>
    <w:rsid w:val="3D49614B"/>
    <w:rsid w:val="3D65586A"/>
    <w:rsid w:val="3D6E5330"/>
    <w:rsid w:val="3D9545AD"/>
    <w:rsid w:val="3DB5793D"/>
    <w:rsid w:val="3DCF5952"/>
    <w:rsid w:val="3DF633F1"/>
    <w:rsid w:val="3E477767"/>
    <w:rsid w:val="3E6D3CF8"/>
    <w:rsid w:val="3E746027"/>
    <w:rsid w:val="3EBC57A1"/>
    <w:rsid w:val="3ED57845"/>
    <w:rsid w:val="3EF32AC4"/>
    <w:rsid w:val="3F285E41"/>
    <w:rsid w:val="3F3A4BF6"/>
    <w:rsid w:val="3F594115"/>
    <w:rsid w:val="3FA45959"/>
    <w:rsid w:val="3FA94A0C"/>
    <w:rsid w:val="3FAE0891"/>
    <w:rsid w:val="3FCC01C2"/>
    <w:rsid w:val="3FFA1378"/>
    <w:rsid w:val="40172A2F"/>
    <w:rsid w:val="402C09B0"/>
    <w:rsid w:val="4042227C"/>
    <w:rsid w:val="4049578C"/>
    <w:rsid w:val="40914AF2"/>
    <w:rsid w:val="40CF21E9"/>
    <w:rsid w:val="40F63546"/>
    <w:rsid w:val="412055E7"/>
    <w:rsid w:val="414C5E58"/>
    <w:rsid w:val="415236C1"/>
    <w:rsid w:val="41621F10"/>
    <w:rsid w:val="41657C7E"/>
    <w:rsid w:val="41785A79"/>
    <w:rsid w:val="41B46653"/>
    <w:rsid w:val="41F96CD8"/>
    <w:rsid w:val="420947FF"/>
    <w:rsid w:val="4209592C"/>
    <w:rsid w:val="421D13FF"/>
    <w:rsid w:val="4242501E"/>
    <w:rsid w:val="424A7E4C"/>
    <w:rsid w:val="424D3D69"/>
    <w:rsid w:val="424F6369"/>
    <w:rsid w:val="42832C1F"/>
    <w:rsid w:val="42C1681D"/>
    <w:rsid w:val="42E03683"/>
    <w:rsid w:val="4300554D"/>
    <w:rsid w:val="4316152A"/>
    <w:rsid w:val="43255A60"/>
    <w:rsid w:val="43621804"/>
    <w:rsid w:val="43654737"/>
    <w:rsid w:val="43706286"/>
    <w:rsid w:val="43757480"/>
    <w:rsid w:val="439827BB"/>
    <w:rsid w:val="43A50E68"/>
    <w:rsid w:val="43DE4578"/>
    <w:rsid w:val="43F008A7"/>
    <w:rsid w:val="43FC0EC2"/>
    <w:rsid w:val="44163EAC"/>
    <w:rsid w:val="44310C81"/>
    <w:rsid w:val="44606AE1"/>
    <w:rsid w:val="446976A0"/>
    <w:rsid w:val="44744F40"/>
    <w:rsid w:val="447A6320"/>
    <w:rsid w:val="4493057C"/>
    <w:rsid w:val="44937B3C"/>
    <w:rsid w:val="44A220A3"/>
    <w:rsid w:val="44B82EA4"/>
    <w:rsid w:val="44C50825"/>
    <w:rsid w:val="453E25EC"/>
    <w:rsid w:val="457D3A1A"/>
    <w:rsid w:val="45C57780"/>
    <w:rsid w:val="45DA507F"/>
    <w:rsid w:val="45DC4575"/>
    <w:rsid w:val="45E7193C"/>
    <w:rsid w:val="45E90955"/>
    <w:rsid w:val="463C3F10"/>
    <w:rsid w:val="465661EA"/>
    <w:rsid w:val="466F241A"/>
    <w:rsid w:val="46862344"/>
    <w:rsid w:val="46A616B2"/>
    <w:rsid w:val="46B65A30"/>
    <w:rsid w:val="46BC029B"/>
    <w:rsid w:val="46BE2CA7"/>
    <w:rsid w:val="46E80EDE"/>
    <w:rsid w:val="46FE22C6"/>
    <w:rsid w:val="47714E6E"/>
    <w:rsid w:val="47785118"/>
    <w:rsid w:val="47790756"/>
    <w:rsid w:val="47880DCB"/>
    <w:rsid w:val="47A0108A"/>
    <w:rsid w:val="47AA424D"/>
    <w:rsid w:val="47EA7048"/>
    <w:rsid w:val="47EB5E9D"/>
    <w:rsid w:val="47EC553F"/>
    <w:rsid w:val="48042CC6"/>
    <w:rsid w:val="481B2679"/>
    <w:rsid w:val="484E560A"/>
    <w:rsid w:val="48723DA3"/>
    <w:rsid w:val="48920762"/>
    <w:rsid w:val="48C831B6"/>
    <w:rsid w:val="4917724C"/>
    <w:rsid w:val="49283F86"/>
    <w:rsid w:val="49492394"/>
    <w:rsid w:val="49576E5A"/>
    <w:rsid w:val="49773AE0"/>
    <w:rsid w:val="498319E3"/>
    <w:rsid w:val="49966D71"/>
    <w:rsid w:val="49B50AA9"/>
    <w:rsid w:val="49C12054"/>
    <w:rsid w:val="49CA72FD"/>
    <w:rsid w:val="49FF7EF9"/>
    <w:rsid w:val="4A076F16"/>
    <w:rsid w:val="4A4A551C"/>
    <w:rsid w:val="4A4E0960"/>
    <w:rsid w:val="4A6262F0"/>
    <w:rsid w:val="4A6349C0"/>
    <w:rsid w:val="4A7172CE"/>
    <w:rsid w:val="4B0B61EA"/>
    <w:rsid w:val="4B1707EF"/>
    <w:rsid w:val="4B3E5E79"/>
    <w:rsid w:val="4B610128"/>
    <w:rsid w:val="4B6F2132"/>
    <w:rsid w:val="4B774DB8"/>
    <w:rsid w:val="4BAD2ED7"/>
    <w:rsid w:val="4BB07C9A"/>
    <w:rsid w:val="4BBD2FE3"/>
    <w:rsid w:val="4BC009BF"/>
    <w:rsid w:val="4BD4060F"/>
    <w:rsid w:val="4BE103F9"/>
    <w:rsid w:val="4BF87431"/>
    <w:rsid w:val="4C115D51"/>
    <w:rsid w:val="4C237772"/>
    <w:rsid w:val="4C29453C"/>
    <w:rsid w:val="4C2C1513"/>
    <w:rsid w:val="4C477168"/>
    <w:rsid w:val="4C687E07"/>
    <w:rsid w:val="4C78259D"/>
    <w:rsid w:val="4CC87D8E"/>
    <w:rsid w:val="4CD20291"/>
    <w:rsid w:val="4CDA345C"/>
    <w:rsid w:val="4CFE43F8"/>
    <w:rsid w:val="4D074C38"/>
    <w:rsid w:val="4D0C5F4F"/>
    <w:rsid w:val="4D4A488D"/>
    <w:rsid w:val="4D7A5CA6"/>
    <w:rsid w:val="4DB315A1"/>
    <w:rsid w:val="4DC9090D"/>
    <w:rsid w:val="4DD31473"/>
    <w:rsid w:val="4DD42C46"/>
    <w:rsid w:val="4DEA5F02"/>
    <w:rsid w:val="4E295A46"/>
    <w:rsid w:val="4E7903CD"/>
    <w:rsid w:val="4E8168CF"/>
    <w:rsid w:val="4E975428"/>
    <w:rsid w:val="4ECF54E9"/>
    <w:rsid w:val="4ED5346E"/>
    <w:rsid w:val="4EEB467B"/>
    <w:rsid w:val="4EF02F10"/>
    <w:rsid w:val="4EFA13EA"/>
    <w:rsid w:val="4F9A7C30"/>
    <w:rsid w:val="502412FB"/>
    <w:rsid w:val="50270982"/>
    <w:rsid w:val="504448C8"/>
    <w:rsid w:val="50476F7C"/>
    <w:rsid w:val="50517805"/>
    <w:rsid w:val="505A5B7A"/>
    <w:rsid w:val="50A757B0"/>
    <w:rsid w:val="50E3726B"/>
    <w:rsid w:val="50EE2B70"/>
    <w:rsid w:val="51573290"/>
    <w:rsid w:val="51660731"/>
    <w:rsid w:val="51E30256"/>
    <w:rsid w:val="523C34E0"/>
    <w:rsid w:val="526210AC"/>
    <w:rsid w:val="528140BF"/>
    <w:rsid w:val="528220B3"/>
    <w:rsid w:val="528366C1"/>
    <w:rsid w:val="528E795F"/>
    <w:rsid w:val="52962B12"/>
    <w:rsid w:val="529B3594"/>
    <w:rsid w:val="52A04341"/>
    <w:rsid w:val="52AA282E"/>
    <w:rsid w:val="52AE72F9"/>
    <w:rsid w:val="52D4376C"/>
    <w:rsid w:val="52DA707D"/>
    <w:rsid w:val="534242EE"/>
    <w:rsid w:val="535D0FD6"/>
    <w:rsid w:val="53A84CD9"/>
    <w:rsid w:val="53CC6DC7"/>
    <w:rsid w:val="53E626BF"/>
    <w:rsid w:val="53ED1596"/>
    <w:rsid w:val="53F5788B"/>
    <w:rsid w:val="53F96129"/>
    <w:rsid w:val="53FA3F2F"/>
    <w:rsid w:val="53FB098A"/>
    <w:rsid w:val="53FD7711"/>
    <w:rsid w:val="541C3A59"/>
    <w:rsid w:val="543E3578"/>
    <w:rsid w:val="54434A2F"/>
    <w:rsid w:val="546B4C15"/>
    <w:rsid w:val="546C69F6"/>
    <w:rsid w:val="549B23BF"/>
    <w:rsid w:val="54EF706C"/>
    <w:rsid w:val="54FC68DD"/>
    <w:rsid w:val="55163530"/>
    <w:rsid w:val="55256F00"/>
    <w:rsid w:val="552C35AC"/>
    <w:rsid w:val="55333BBB"/>
    <w:rsid w:val="555C5DCB"/>
    <w:rsid w:val="556D1DA6"/>
    <w:rsid w:val="55906AF1"/>
    <w:rsid w:val="55D04B36"/>
    <w:rsid w:val="55E22ADC"/>
    <w:rsid w:val="56337EF5"/>
    <w:rsid w:val="56343B54"/>
    <w:rsid w:val="565176B8"/>
    <w:rsid w:val="56AB3B85"/>
    <w:rsid w:val="56D6690D"/>
    <w:rsid w:val="56ED01D4"/>
    <w:rsid w:val="5705671C"/>
    <w:rsid w:val="572355FD"/>
    <w:rsid w:val="57321DC0"/>
    <w:rsid w:val="5739578C"/>
    <w:rsid w:val="57530F71"/>
    <w:rsid w:val="57627457"/>
    <w:rsid w:val="576B4EC1"/>
    <w:rsid w:val="5786598C"/>
    <w:rsid w:val="57A565D2"/>
    <w:rsid w:val="57F57E61"/>
    <w:rsid w:val="58046129"/>
    <w:rsid w:val="584F645D"/>
    <w:rsid w:val="587F4C36"/>
    <w:rsid w:val="58810AE0"/>
    <w:rsid w:val="58850202"/>
    <w:rsid w:val="58A63F9E"/>
    <w:rsid w:val="58C705E2"/>
    <w:rsid w:val="58F5683C"/>
    <w:rsid w:val="591371A6"/>
    <w:rsid w:val="59185D50"/>
    <w:rsid w:val="59221252"/>
    <w:rsid w:val="5924146F"/>
    <w:rsid w:val="592D4DF1"/>
    <w:rsid w:val="594241EF"/>
    <w:rsid w:val="59504D50"/>
    <w:rsid w:val="595352A2"/>
    <w:rsid w:val="597A60EB"/>
    <w:rsid w:val="59856C12"/>
    <w:rsid w:val="59897215"/>
    <w:rsid w:val="59ED48C2"/>
    <w:rsid w:val="5A035C50"/>
    <w:rsid w:val="5A5905F9"/>
    <w:rsid w:val="5A6019B1"/>
    <w:rsid w:val="5A6E1043"/>
    <w:rsid w:val="5A9068A4"/>
    <w:rsid w:val="5A9B53E1"/>
    <w:rsid w:val="5A9B652A"/>
    <w:rsid w:val="5AB30FE8"/>
    <w:rsid w:val="5AD61408"/>
    <w:rsid w:val="5ADA075D"/>
    <w:rsid w:val="5AF67178"/>
    <w:rsid w:val="5B3608F8"/>
    <w:rsid w:val="5BEF3566"/>
    <w:rsid w:val="5BF056AF"/>
    <w:rsid w:val="5C013B71"/>
    <w:rsid w:val="5C206265"/>
    <w:rsid w:val="5C3C2441"/>
    <w:rsid w:val="5C831067"/>
    <w:rsid w:val="5C8F4B80"/>
    <w:rsid w:val="5C9842A5"/>
    <w:rsid w:val="5D063D32"/>
    <w:rsid w:val="5D226A4F"/>
    <w:rsid w:val="5D266AA2"/>
    <w:rsid w:val="5D6531BC"/>
    <w:rsid w:val="5D6F058A"/>
    <w:rsid w:val="5D8D5A18"/>
    <w:rsid w:val="5D975E56"/>
    <w:rsid w:val="5DC31E7D"/>
    <w:rsid w:val="5DF144D2"/>
    <w:rsid w:val="5E3E3A3A"/>
    <w:rsid w:val="5E435788"/>
    <w:rsid w:val="5E69669C"/>
    <w:rsid w:val="5E717D28"/>
    <w:rsid w:val="5E974F1B"/>
    <w:rsid w:val="5ECE6397"/>
    <w:rsid w:val="5F046D55"/>
    <w:rsid w:val="5F177E14"/>
    <w:rsid w:val="5F3472F1"/>
    <w:rsid w:val="5F652C7D"/>
    <w:rsid w:val="5F8859A9"/>
    <w:rsid w:val="5FAE051E"/>
    <w:rsid w:val="601A4A7D"/>
    <w:rsid w:val="60276393"/>
    <w:rsid w:val="602D01B5"/>
    <w:rsid w:val="605E215E"/>
    <w:rsid w:val="60846627"/>
    <w:rsid w:val="60A20546"/>
    <w:rsid w:val="60A822AB"/>
    <w:rsid w:val="60E22E0A"/>
    <w:rsid w:val="60E377D6"/>
    <w:rsid w:val="60E8400E"/>
    <w:rsid w:val="61081A6E"/>
    <w:rsid w:val="61150C12"/>
    <w:rsid w:val="6133138D"/>
    <w:rsid w:val="61846DC5"/>
    <w:rsid w:val="61D90B1A"/>
    <w:rsid w:val="620014FB"/>
    <w:rsid w:val="62006338"/>
    <w:rsid w:val="62060F6F"/>
    <w:rsid w:val="624518E5"/>
    <w:rsid w:val="627D54A7"/>
    <w:rsid w:val="62EE3739"/>
    <w:rsid w:val="633641DA"/>
    <w:rsid w:val="63384855"/>
    <w:rsid w:val="63715118"/>
    <w:rsid w:val="638B4DE0"/>
    <w:rsid w:val="63917B04"/>
    <w:rsid w:val="63D16391"/>
    <w:rsid w:val="63F41162"/>
    <w:rsid w:val="63F7081B"/>
    <w:rsid w:val="641801A4"/>
    <w:rsid w:val="645904D3"/>
    <w:rsid w:val="648E6E5F"/>
    <w:rsid w:val="64C22F8F"/>
    <w:rsid w:val="64F93CED"/>
    <w:rsid w:val="64FA2CCC"/>
    <w:rsid w:val="651B5B38"/>
    <w:rsid w:val="65664A50"/>
    <w:rsid w:val="6628739A"/>
    <w:rsid w:val="666D6118"/>
    <w:rsid w:val="66B0252D"/>
    <w:rsid w:val="66D14A47"/>
    <w:rsid w:val="66D96AA5"/>
    <w:rsid w:val="671E22CC"/>
    <w:rsid w:val="673466DE"/>
    <w:rsid w:val="673C5BE1"/>
    <w:rsid w:val="6772675A"/>
    <w:rsid w:val="67A84493"/>
    <w:rsid w:val="67AC6ACD"/>
    <w:rsid w:val="67D372BD"/>
    <w:rsid w:val="67F96582"/>
    <w:rsid w:val="67FF1974"/>
    <w:rsid w:val="68363F37"/>
    <w:rsid w:val="68484A86"/>
    <w:rsid w:val="6851615B"/>
    <w:rsid w:val="68660CCB"/>
    <w:rsid w:val="686E3904"/>
    <w:rsid w:val="68992E3E"/>
    <w:rsid w:val="68A66E49"/>
    <w:rsid w:val="68A77C9F"/>
    <w:rsid w:val="68CC30D6"/>
    <w:rsid w:val="68D75161"/>
    <w:rsid w:val="68E11855"/>
    <w:rsid w:val="690247EE"/>
    <w:rsid w:val="69190370"/>
    <w:rsid w:val="695774CB"/>
    <w:rsid w:val="69602D69"/>
    <w:rsid w:val="696B4AE9"/>
    <w:rsid w:val="69842D6D"/>
    <w:rsid w:val="6A373E59"/>
    <w:rsid w:val="6A3912F3"/>
    <w:rsid w:val="6A442B56"/>
    <w:rsid w:val="6A4D033C"/>
    <w:rsid w:val="6A7A69AD"/>
    <w:rsid w:val="6AB2776F"/>
    <w:rsid w:val="6ABB08D9"/>
    <w:rsid w:val="6ABE216C"/>
    <w:rsid w:val="6AF70AA8"/>
    <w:rsid w:val="6B0B1801"/>
    <w:rsid w:val="6B682DCF"/>
    <w:rsid w:val="6B81637A"/>
    <w:rsid w:val="6B867C67"/>
    <w:rsid w:val="6B8A79F0"/>
    <w:rsid w:val="6BAD2674"/>
    <w:rsid w:val="6BC0039D"/>
    <w:rsid w:val="6BCD7A2F"/>
    <w:rsid w:val="6BE03625"/>
    <w:rsid w:val="6C0956BF"/>
    <w:rsid w:val="6C1364BB"/>
    <w:rsid w:val="6C1C3257"/>
    <w:rsid w:val="6C600DE9"/>
    <w:rsid w:val="6C9041B9"/>
    <w:rsid w:val="6C9C0DEA"/>
    <w:rsid w:val="6CE76E29"/>
    <w:rsid w:val="6D5828F9"/>
    <w:rsid w:val="6D8965FC"/>
    <w:rsid w:val="6D8B313F"/>
    <w:rsid w:val="6E001E55"/>
    <w:rsid w:val="6E10183C"/>
    <w:rsid w:val="6E63576F"/>
    <w:rsid w:val="6EC54237"/>
    <w:rsid w:val="6ED54A53"/>
    <w:rsid w:val="6EE93EFF"/>
    <w:rsid w:val="6F3F2E95"/>
    <w:rsid w:val="6F6F56A4"/>
    <w:rsid w:val="6F812DBD"/>
    <w:rsid w:val="6F8C36F7"/>
    <w:rsid w:val="6FB12141"/>
    <w:rsid w:val="6FBC5BFC"/>
    <w:rsid w:val="6FC66418"/>
    <w:rsid w:val="6FDD25F4"/>
    <w:rsid w:val="6FEF2AC6"/>
    <w:rsid w:val="7003732F"/>
    <w:rsid w:val="70197188"/>
    <w:rsid w:val="701E4691"/>
    <w:rsid w:val="70684462"/>
    <w:rsid w:val="70822179"/>
    <w:rsid w:val="70994A00"/>
    <w:rsid w:val="70FC2D70"/>
    <w:rsid w:val="7129797D"/>
    <w:rsid w:val="71597C4A"/>
    <w:rsid w:val="716A1DB1"/>
    <w:rsid w:val="718055F0"/>
    <w:rsid w:val="7194304D"/>
    <w:rsid w:val="71A20F96"/>
    <w:rsid w:val="71C739BC"/>
    <w:rsid w:val="71DC6198"/>
    <w:rsid w:val="71DF5CC5"/>
    <w:rsid w:val="720A0011"/>
    <w:rsid w:val="721A79E8"/>
    <w:rsid w:val="721F1E45"/>
    <w:rsid w:val="72835017"/>
    <w:rsid w:val="72A51E3F"/>
    <w:rsid w:val="72AF3E61"/>
    <w:rsid w:val="72CE4875"/>
    <w:rsid w:val="7319509D"/>
    <w:rsid w:val="731B2FFA"/>
    <w:rsid w:val="73202373"/>
    <w:rsid w:val="7327461F"/>
    <w:rsid w:val="732F1030"/>
    <w:rsid w:val="733A4365"/>
    <w:rsid w:val="73660FE3"/>
    <w:rsid w:val="738F0BB0"/>
    <w:rsid w:val="73921965"/>
    <w:rsid w:val="73CD7447"/>
    <w:rsid w:val="73DB6B4F"/>
    <w:rsid w:val="73DD26B8"/>
    <w:rsid w:val="74897E3A"/>
    <w:rsid w:val="74902394"/>
    <w:rsid w:val="749D438D"/>
    <w:rsid w:val="74A17148"/>
    <w:rsid w:val="74B576B5"/>
    <w:rsid w:val="753B7F34"/>
    <w:rsid w:val="757A3ABD"/>
    <w:rsid w:val="759157DA"/>
    <w:rsid w:val="75B6325E"/>
    <w:rsid w:val="75CD1CB2"/>
    <w:rsid w:val="75EF2804"/>
    <w:rsid w:val="75F345CD"/>
    <w:rsid w:val="761207C4"/>
    <w:rsid w:val="76125B21"/>
    <w:rsid w:val="76286290"/>
    <w:rsid w:val="763F7C0E"/>
    <w:rsid w:val="76481411"/>
    <w:rsid w:val="76703D71"/>
    <w:rsid w:val="76C010F9"/>
    <w:rsid w:val="76C1117A"/>
    <w:rsid w:val="76E7529C"/>
    <w:rsid w:val="77442F7C"/>
    <w:rsid w:val="776C43D3"/>
    <w:rsid w:val="777E02BD"/>
    <w:rsid w:val="77C36CD2"/>
    <w:rsid w:val="77D474DF"/>
    <w:rsid w:val="77F6312E"/>
    <w:rsid w:val="782A349F"/>
    <w:rsid w:val="7835481B"/>
    <w:rsid w:val="784D6DC5"/>
    <w:rsid w:val="78717FF5"/>
    <w:rsid w:val="78917FF0"/>
    <w:rsid w:val="789C4A79"/>
    <w:rsid w:val="78A37FFD"/>
    <w:rsid w:val="78AC173D"/>
    <w:rsid w:val="78CB0386"/>
    <w:rsid w:val="78E05532"/>
    <w:rsid w:val="790654D7"/>
    <w:rsid w:val="79086494"/>
    <w:rsid w:val="790B6E53"/>
    <w:rsid w:val="793A7DBE"/>
    <w:rsid w:val="7979419C"/>
    <w:rsid w:val="79B206AD"/>
    <w:rsid w:val="79E70188"/>
    <w:rsid w:val="79E975E9"/>
    <w:rsid w:val="7A42219B"/>
    <w:rsid w:val="7A6A0050"/>
    <w:rsid w:val="7AA81432"/>
    <w:rsid w:val="7ACA59F6"/>
    <w:rsid w:val="7B377DB7"/>
    <w:rsid w:val="7B572291"/>
    <w:rsid w:val="7B812987"/>
    <w:rsid w:val="7B8541A6"/>
    <w:rsid w:val="7B8F480A"/>
    <w:rsid w:val="7B956922"/>
    <w:rsid w:val="7BC1367E"/>
    <w:rsid w:val="7BDA1A41"/>
    <w:rsid w:val="7C076A8A"/>
    <w:rsid w:val="7C3710F0"/>
    <w:rsid w:val="7C3C0D84"/>
    <w:rsid w:val="7C9143CD"/>
    <w:rsid w:val="7C980F7B"/>
    <w:rsid w:val="7C9E1651"/>
    <w:rsid w:val="7CA13DBC"/>
    <w:rsid w:val="7CA50917"/>
    <w:rsid w:val="7CAC1101"/>
    <w:rsid w:val="7CC004AA"/>
    <w:rsid w:val="7CDC6B72"/>
    <w:rsid w:val="7D4D37FC"/>
    <w:rsid w:val="7D517AAB"/>
    <w:rsid w:val="7D7054B9"/>
    <w:rsid w:val="7D8964E0"/>
    <w:rsid w:val="7D8A1336"/>
    <w:rsid w:val="7D8D6B81"/>
    <w:rsid w:val="7D8F5CDD"/>
    <w:rsid w:val="7DA7336D"/>
    <w:rsid w:val="7E047B7D"/>
    <w:rsid w:val="7E101709"/>
    <w:rsid w:val="7E295751"/>
    <w:rsid w:val="7E4115A8"/>
    <w:rsid w:val="7E47136B"/>
    <w:rsid w:val="7E66523D"/>
    <w:rsid w:val="7E731F51"/>
    <w:rsid w:val="7E7862F7"/>
    <w:rsid w:val="7E8D0A24"/>
    <w:rsid w:val="7EAB571A"/>
    <w:rsid w:val="7EBB11EA"/>
    <w:rsid w:val="7EF4767B"/>
    <w:rsid w:val="7EF50A9F"/>
    <w:rsid w:val="7EF65833"/>
    <w:rsid w:val="7F223F29"/>
    <w:rsid w:val="7F3F44A5"/>
    <w:rsid w:val="7F6351F4"/>
    <w:rsid w:val="7F7B070E"/>
    <w:rsid w:val="7F8E4538"/>
    <w:rsid w:val="7FCB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2"/>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50"/>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5">
    <w:name w:val="heading 3"/>
    <w:basedOn w:val="1"/>
    <w:next w:val="6"/>
    <w:link w:val="53"/>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99"/>
    <w:rPr>
      <w:rFonts w:eastAsia="黑体"/>
      <w:b/>
      <w:bCs/>
      <w:sz w:val="24"/>
      <w:szCs w:val="24"/>
    </w:rPr>
  </w:style>
  <w:style w:type="paragraph" w:styleId="6">
    <w:name w:val="Normal Indent"/>
    <w:basedOn w:val="1"/>
    <w:link w:val="81"/>
    <w:qFormat/>
    <w:uiPriority w:val="0"/>
    <w:pPr>
      <w:ind w:firstLine="420"/>
    </w:pPr>
  </w:style>
  <w:style w:type="paragraph" w:styleId="13">
    <w:name w:val="caption"/>
    <w:basedOn w:val="1"/>
    <w:next w:val="1"/>
    <w:qFormat/>
    <w:uiPriority w:val="0"/>
    <w:rPr>
      <w:rFonts w:ascii="Arial" w:hAnsi="Arial" w:eastAsia="黑体" w:cs="Arial"/>
      <w:sz w:val="20"/>
    </w:rPr>
  </w:style>
  <w:style w:type="paragraph" w:styleId="14">
    <w:name w:val="List Bullet"/>
    <w:basedOn w:val="1"/>
    <w:qFormat/>
    <w:uiPriority w:val="0"/>
    <w:pPr>
      <w:widowControl/>
      <w:tabs>
        <w:tab w:val="left" w:pos="900"/>
      </w:tabs>
      <w:spacing w:before="100" w:beforeAutospacing="1" w:after="100" w:afterLines="50" w:afterAutospacing="1"/>
      <w:ind w:left="900" w:hanging="420"/>
      <w:jc w:val="left"/>
    </w:pPr>
    <w:rPr>
      <w:kern w:val="0"/>
    </w:rPr>
  </w:style>
  <w:style w:type="paragraph" w:styleId="15">
    <w:name w:val="Document Map"/>
    <w:basedOn w:val="1"/>
    <w:semiHidden/>
    <w:qFormat/>
    <w:uiPriority w:val="0"/>
    <w:pPr>
      <w:shd w:val="clear" w:color="auto" w:fill="000080"/>
    </w:pPr>
    <w:rPr>
      <w:rFonts w:eastAsia="黑体"/>
      <w:szCs w:val="24"/>
    </w:rPr>
  </w:style>
  <w:style w:type="paragraph" w:styleId="16">
    <w:name w:val="annotation text"/>
    <w:basedOn w:val="1"/>
    <w:qFormat/>
    <w:uiPriority w:val="0"/>
    <w:pPr>
      <w:jc w:val="left"/>
    </w:pPr>
  </w:style>
  <w:style w:type="paragraph" w:styleId="17">
    <w:name w:val="Body Text 3"/>
    <w:basedOn w:val="1"/>
    <w:qFormat/>
    <w:uiPriority w:val="0"/>
    <w:rPr>
      <w:rFonts w:ascii="宋体" w:hAnsi="宋体"/>
      <w:sz w:val="36"/>
      <w:szCs w:val="24"/>
    </w:rPr>
  </w:style>
  <w:style w:type="paragraph" w:styleId="18">
    <w:name w:val="Body Text"/>
    <w:basedOn w:val="1"/>
    <w:qFormat/>
    <w:uiPriority w:val="0"/>
    <w:pPr>
      <w:spacing w:after="120"/>
    </w:pPr>
  </w:style>
  <w:style w:type="paragraph" w:styleId="19">
    <w:name w:val="Body Text Indent"/>
    <w:basedOn w:val="1"/>
    <w:qFormat/>
    <w:uiPriority w:val="0"/>
    <w:pPr>
      <w:spacing w:line="480" w:lineRule="auto"/>
      <w:ind w:firstLine="600"/>
    </w:pPr>
    <w:rPr>
      <w:sz w:val="28"/>
    </w:rPr>
  </w:style>
  <w:style w:type="paragraph" w:styleId="20">
    <w:name w:val="Block Text"/>
    <w:basedOn w:val="1"/>
    <w:qFormat/>
    <w:uiPriority w:val="0"/>
    <w:pPr>
      <w:adjustRightInd w:val="0"/>
      <w:snapToGrid w:val="0"/>
      <w:spacing w:line="360" w:lineRule="auto"/>
      <w:ind w:left="567" w:leftChars="270" w:right="-150" w:rightChars="-150" w:firstLine="480" w:firstLineChars="200"/>
    </w:pPr>
    <w:rPr>
      <w:rFonts w:ascii="宋体"/>
      <w:sz w:val="24"/>
    </w:rPr>
  </w:style>
  <w:style w:type="paragraph" w:styleId="21">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2">
    <w:name w:val="Plain Text"/>
    <w:basedOn w:val="1"/>
    <w:link w:val="48"/>
    <w:qFormat/>
    <w:uiPriority w:val="0"/>
    <w:pPr>
      <w:widowControl/>
      <w:overflowPunct w:val="0"/>
      <w:autoSpaceDE w:val="0"/>
      <w:autoSpaceDN w:val="0"/>
      <w:adjustRightInd w:val="0"/>
      <w:jc w:val="left"/>
      <w:textAlignment w:val="baseline"/>
    </w:pPr>
    <w:rPr>
      <w:rFonts w:ascii="宋体" w:hAnsi="Courier New"/>
      <w:kern w:val="0"/>
    </w:rPr>
  </w:style>
  <w:style w:type="paragraph" w:styleId="23">
    <w:name w:val="Date"/>
    <w:basedOn w:val="1"/>
    <w:next w:val="1"/>
    <w:qFormat/>
    <w:uiPriority w:val="0"/>
    <w:pPr>
      <w:ind w:left="100"/>
    </w:pPr>
    <w:rPr>
      <w:sz w:val="28"/>
    </w:rPr>
  </w:style>
  <w:style w:type="paragraph" w:styleId="24">
    <w:name w:val="Body Text Indent 2"/>
    <w:basedOn w:val="1"/>
    <w:qFormat/>
    <w:uiPriority w:val="0"/>
    <w:pPr>
      <w:spacing w:after="120" w:line="480" w:lineRule="auto"/>
      <w:ind w:left="420" w:leftChars="200"/>
    </w:pPr>
  </w:style>
  <w:style w:type="paragraph" w:styleId="25">
    <w:name w:val="endnote text"/>
    <w:basedOn w:val="1"/>
    <w:semiHidden/>
    <w:qFormat/>
    <w:uiPriority w:val="0"/>
    <w:pPr>
      <w:snapToGrid w:val="0"/>
      <w:spacing w:after="156" w:afterLines="50"/>
      <w:jc w:val="left"/>
    </w:pPr>
    <w:rPr>
      <w:rFonts w:ascii="宋体"/>
      <w:snapToGrid w:val="0"/>
      <w:kern w:val="0"/>
    </w:rPr>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Subtitle"/>
    <w:basedOn w:val="1"/>
    <w:qFormat/>
    <w:uiPriority w:val="0"/>
    <w:pPr>
      <w:spacing w:after="156" w:afterLines="50"/>
      <w:jc w:val="center"/>
    </w:pPr>
    <w:rPr>
      <w:rFonts w:ascii="宋体"/>
      <w:i/>
      <w:snapToGrid w:val="0"/>
      <w:kern w:val="0"/>
      <w:sz w:val="36"/>
      <w:lang w:val="en-AU"/>
    </w:rPr>
  </w:style>
  <w:style w:type="paragraph" w:styleId="30">
    <w:name w:val="List"/>
    <w:basedOn w:val="1"/>
    <w:qFormat/>
    <w:uiPriority w:val="0"/>
    <w:pPr>
      <w:ind w:left="200" w:hanging="200" w:hangingChars="200"/>
    </w:pPr>
    <w:rPr>
      <w:sz w:val="28"/>
      <w:szCs w:val="24"/>
    </w:rPr>
  </w:style>
  <w:style w:type="paragraph" w:styleId="31">
    <w:name w:val="Body Text Indent 3"/>
    <w:basedOn w:val="1"/>
    <w:qFormat/>
    <w:uiPriority w:val="0"/>
    <w:pPr>
      <w:spacing w:line="500" w:lineRule="atLeast"/>
      <w:ind w:firstLine="720" w:firstLineChars="300"/>
    </w:pPr>
    <w:rPr>
      <w:sz w:val="24"/>
      <w:szCs w:val="24"/>
    </w:rPr>
  </w:style>
  <w:style w:type="paragraph" w:styleId="32">
    <w:name w:val="Body Text 2"/>
    <w:basedOn w:val="1"/>
    <w:qFormat/>
    <w:uiPriority w:val="0"/>
    <w:pPr>
      <w:autoSpaceDE w:val="0"/>
      <w:autoSpaceDN w:val="0"/>
      <w:adjustRightInd w:val="0"/>
    </w:pPr>
    <w:rPr>
      <w:color w:val="000000"/>
      <w:szCs w:val="24"/>
    </w:rPr>
  </w:style>
  <w:style w:type="paragraph" w:styleId="33">
    <w:name w:val="HTML Preformatted"/>
    <w:basedOn w:val="1"/>
    <w:qFormat/>
    <w:uiPriority w:val="0"/>
    <w:rPr>
      <w:rFonts w:ascii="Courier New" w:hAnsi="Courier New" w:cs="Courier New"/>
      <w:sz w:val="20"/>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35">
    <w:name w:val="Title"/>
    <w:basedOn w:val="1"/>
    <w:qFormat/>
    <w:uiPriority w:val="0"/>
    <w:pPr>
      <w:widowControl/>
      <w:overflowPunct w:val="0"/>
      <w:autoSpaceDE w:val="0"/>
      <w:autoSpaceDN w:val="0"/>
      <w:adjustRightInd w:val="0"/>
      <w:jc w:val="center"/>
      <w:textAlignment w:val="baseline"/>
    </w:pPr>
    <w:rPr>
      <w:b/>
      <w:kern w:val="0"/>
      <w:sz w:val="24"/>
      <w:lang w:val="en-GB"/>
    </w:rPr>
  </w:style>
  <w:style w:type="paragraph" w:styleId="36">
    <w:name w:val="Body Text First Indent"/>
    <w:basedOn w:val="18"/>
    <w:qFormat/>
    <w:uiPriority w:val="0"/>
    <w:pPr>
      <w:spacing w:line="360" w:lineRule="auto"/>
      <w:ind w:firstLine="200" w:firstLineChars="200"/>
      <w:jc w:val="left"/>
    </w:pPr>
    <w:rPr>
      <w:bCs/>
      <w:sz w:val="24"/>
      <w:szCs w:val="24"/>
    </w:rPr>
  </w:style>
  <w:style w:type="paragraph" w:styleId="37">
    <w:name w:val="Body Text First Indent 2"/>
    <w:basedOn w:val="19"/>
    <w:qFormat/>
    <w:uiPriority w:val="0"/>
    <w:pPr>
      <w:spacing w:after="120" w:line="240" w:lineRule="auto"/>
      <w:ind w:left="420" w:leftChars="200" w:firstLine="420" w:firstLineChars="200"/>
    </w:pPr>
    <w:rPr>
      <w:sz w:val="21"/>
      <w:szCs w:val="24"/>
    </w:rPr>
  </w:style>
  <w:style w:type="table" w:styleId="39">
    <w:name w:val="Table Grid"/>
    <w:basedOn w:val="3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仿宋_GB2312" w:eastAsia="仿宋_GB2312"/>
      <w:bCs/>
      <w:sz w:val="32"/>
      <w:szCs w:val="32"/>
    </w:rPr>
  </w:style>
  <w:style w:type="character" w:styleId="42">
    <w:name w:val="page number"/>
    <w:basedOn w:val="40"/>
    <w:qFormat/>
    <w:uiPriority w:val="0"/>
    <w:rPr>
      <w:rFonts w:ascii="仿宋_GB2312" w:eastAsia="仿宋_GB2312"/>
      <w:b/>
      <w:sz w:val="32"/>
      <w:szCs w:val="32"/>
    </w:rPr>
  </w:style>
  <w:style w:type="character" w:styleId="43">
    <w:name w:val="FollowedHyperlink"/>
    <w:qFormat/>
    <w:uiPriority w:val="0"/>
    <w:rPr>
      <w:rFonts w:ascii="仿宋_GB2312" w:eastAsia="仿宋_GB2312"/>
      <w:b/>
      <w:color w:val="800080"/>
      <w:sz w:val="32"/>
      <w:szCs w:val="32"/>
      <w:u w:val="single"/>
    </w:rPr>
  </w:style>
  <w:style w:type="character" w:styleId="44">
    <w:name w:val="HTML Typewriter"/>
    <w:qFormat/>
    <w:uiPriority w:val="0"/>
    <w:rPr>
      <w:rFonts w:hint="eastAsia" w:ascii="黑体" w:hAnsi="Courier New" w:eastAsia="黑体" w:cs="Times New Roman"/>
      <w:sz w:val="14"/>
      <w:szCs w:val="24"/>
    </w:rPr>
  </w:style>
  <w:style w:type="character" w:styleId="45">
    <w:name w:val="Hyperlink"/>
    <w:qFormat/>
    <w:uiPriority w:val="0"/>
    <w:rPr>
      <w:rFonts w:ascii="仿宋_GB2312" w:eastAsia="仿宋_GB2312"/>
      <w:b/>
      <w:color w:val="0000FF"/>
      <w:sz w:val="32"/>
      <w:szCs w:val="32"/>
      <w:u w:val="single"/>
    </w:rPr>
  </w:style>
  <w:style w:type="character" w:customStyle="1" w:styleId="46">
    <w:name w:val="Normal Indent Char Char"/>
    <w:qFormat/>
    <w:uiPriority w:val="0"/>
    <w:rPr>
      <w:rFonts w:ascii="仿宋_GB2312" w:eastAsia="宋体"/>
      <w:b/>
      <w:kern w:val="2"/>
      <w:sz w:val="21"/>
      <w:szCs w:val="32"/>
      <w:lang w:val="en-US" w:eastAsia="zh-CN" w:bidi="ar-SA"/>
    </w:rPr>
  </w:style>
  <w:style w:type="character" w:customStyle="1" w:styleId="47">
    <w:name w:val="titletxt1"/>
    <w:qFormat/>
    <w:uiPriority w:val="0"/>
    <w:rPr>
      <w:rFonts w:ascii="仿宋_GB2312" w:eastAsia="仿宋_GB2312"/>
      <w:b/>
      <w:color w:val="000033"/>
      <w:sz w:val="28"/>
      <w:szCs w:val="28"/>
    </w:rPr>
  </w:style>
  <w:style w:type="character" w:customStyle="1" w:styleId="48">
    <w:name w:val="纯文本 字符"/>
    <w:link w:val="22"/>
    <w:qFormat/>
    <w:uiPriority w:val="0"/>
    <w:rPr>
      <w:rFonts w:ascii="宋体" w:hAnsi="Courier New" w:eastAsia="宋体"/>
      <w:b/>
      <w:sz w:val="21"/>
      <w:szCs w:val="32"/>
      <w:lang w:val="en-US" w:eastAsia="zh-CN" w:bidi="ar-SA"/>
    </w:rPr>
  </w:style>
  <w:style w:type="character" w:customStyle="1" w:styleId="49">
    <w:name w:val="A C"/>
    <w:qFormat/>
    <w:uiPriority w:val="0"/>
    <w:rPr>
      <w:rFonts w:ascii="仿宋_GB2312"/>
      <w:bCs/>
      <w:iCs/>
      <w:sz w:val="24"/>
    </w:rPr>
  </w:style>
  <w:style w:type="character" w:customStyle="1" w:styleId="50">
    <w:name w:val="标题 2 字符"/>
    <w:link w:val="4"/>
    <w:qFormat/>
    <w:uiPriority w:val="0"/>
    <w:rPr>
      <w:rFonts w:ascii="Arial" w:hAnsi="Arial" w:eastAsia="黑体"/>
      <w:b/>
      <w:bCs/>
      <w:kern w:val="2"/>
      <w:sz w:val="32"/>
      <w:szCs w:val="32"/>
      <w:lang w:val="en-US" w:eastAsia="zh-CN" w:bidi="ar-SA"/>
    </w:rPr>
  </w:style>
  <w:style w:type="character" w:customStyle="1" w:styleId="51">
    <w:name w:val="time"/>
    <w:qFormat/>
    <w:uiPriority w:val="0"/>
    <w:rPr>
      <w:rFonts w:ascii="仿宋_GB2312" w:eastAsia="仿宋_GB2312"/>
      <w:b/>
      <w:color w:val="769199"/>
      <w:sz w:val="32"/>
      <w:szCs w:val="32"/>
    </w:rPr>
  </w:style>
  <w:style w:type="character" w:customStyle="1" w:styleId="52">
    <w:name w:val="Char Char6"/>
    <w:qFormat/>
    <w:uiPriority w:val="0"/>
    <w:rPr>
      <w:rFonts w:ascii="宋体" w:hAnsi="Courier New" w:eastAsia="宋体"/>
      <w:sz w:val="21"/>
      <w:lang w:val="en-US" w:eastAsia="zh-CN" w:bidi="ar-SA"/>
    </w:rPr>
  </w:style>
  <w:style w:type="character" w:customStyle="1" w:styleId="53">
    <w:name w:val="标题 3 字符"/>
    <w:link w:val="5"/>
    <w:qFormat/>
    <w:uiPriority w:val="0"/>
    <w:rPr>
      <w:rFonts w:ascii="黑体" w:eastAsia="黑体"/>
      <w:b/>
      <w:color w:val="000000"/>
      <w:sz w:val="28"/>
      <w:szCs w:val="32"/>
      <w:lang w:val="en-US" w:eastAsia="zh-CN" w:bidi="ar-SA"/>
    </w:rPr>
  </w:style>
  <w:style w:type="character" w:customStyle="1" w:styleId="54">
    <w:name w:val="style591"/>
    <w:qFormat/>
    <w:uiPriority w:val="0"/>
    <w:rPr>
      <w:rFonts w:hint="default" w:ascii="Arial" w:hAnsi="Arial" w:eastAsia="仿宋_GB2312" w:cs="Arial"/>
      <w:b/>
      <w:sz w:val="18"/>
      <w:szCs w:val="18"/>
      <w:u w:val="none"/>
    </w:rPr>
  </w:style>
  <w:style w:type="character" w:customStyle="1" w:styleId="55">
    <w:name w:val="Normal Indent Char1 Char1 Char2 Char Char Char Char Char Char Char Char Char Char Char Char Char Char"/>
    <w:qFormat/>
    <w:uiPriority w:val="0"/>
    <w:rPr>
      <w:rFonts w:ascii="仿宋_GB2312" w:eastAsia="仿宋_GB2312"/>
      <w:b/>
      <w:kern w:val="2"/>
      <w:sz w:val="22"/>
      <w:szCs w:val="24"/>
      <w:lang w:val="en-US" w:eastAsia="zh-CN" w:bidi="ar-SA"/>
    </w:rPr>
  </w:style>
  <w:style w:type="character" w:customStyle="1" w:styleId="56">
    <w:name w:val="font71"/>
    <w:qFormat/>
    <w:uiPriority w:val="0"/>
    <w:rPr>
      <w:rFonts w:hint="default" w:ascii="Times New Roman" w:hAnsi="Times New Roman" w:eastAsia="仿宋_GB2312" w:cs="Times New Roman"/>
      <w:b/>
      <w:color w:val="000000"/>
      <w:sz w:val="20"/>
      <w:szCs w:val="20"/>
      <w:u w:val="none"/>
    </w:rPr>
  </w:style>
  <w:style w:type="character" w:customStyle="1" w:styleId="57">
    <w:name w:val="表格 Char Char"/>
    <w:link w:val="58"/>
    <w:qFormat/>
    <w:uiPriority w:val="0"/>
    <w:rPr>
      <w:rFonts w:ascii="仿宋_GB2312" w:hAnsi="宋体" w:eastAsia="仿宋_GB2312"/>
      <w:b/>
      <w:sz w:val="21"/>
      <w:szCs w:val="21"/>
      <w:lang w:val="en-US" w:eastAsia="zh-CN" w:bidi="ar-SA"/>
    </w:rPr>
  </w:style>
  <w:style w:type="paragraph" w:customStyle="1" w:styleId="58">
    <w:name w:val="表格"/>
    <w:basedOn w:val="1"/>
    <w:link w:val="57"/>
    <w:qFormat/>
    <w:uiPriority w:val="0"/>
    <w:pPr>
      <w:snapToGrid w:val="0"/>
      <w:spacing w:after="156"/>
    </w:pPr>
    <w:rPr>
      <w:rFonts w:ascii="仿宋_GB2312" w:hAnsi="宋体" w:eastAsia="仿宋_GB2312"/>
      <w:kern w:val="0"/>
      <w:szCs w:val="21"/>
    </w:rPr>
  </w:style>
  <w:style w:type="character" w:customStyle="1" w:styleId="59">
    <w:name w:val="font61"/>
    <w:qFormat/>
    <w:uiPriority w:val="0"/>
    <w:rPr>
      <w:rFonts w:ascii="Arial" w:hAnsi="Arial" w:eastAsia="仿宋_GB2312" w:cs="Arial"/>
      <w:b/>
      <w:color w:val="000000"/>
      <w:sz w:val="22"/>
      <w:szCs w:val="22"/>
      <w:u w:val="none"/>
    </w:rPr>
  </w:style>
  <w:style w:type="character" w:customStyle="1" w:styleId="60">
    <w:name w:val="tw4winError"/>
    <w:qFormat/>
    <w:uiPriority w:val="0"/>
    <w:rPr>
      <w:rFonts w:ascii="Courier New" w:hAnsi="Courier New"/>
      <w:color w:val="00FF00"/>
      <w:sz w:val="40"/>
    </w:rPr>
  </w:style>
  <w:style w:type="character" w:customStyle="1" w:styleId="61">
    <w:name w:val="正文2 Char"/>
    <w:link w:val="62"/>
    <w:qFormat/>
    <w:uiPriority w:val="0"/>
    <w:rPr>
      <w:rFonts w:eastAsia="宋体"/>
      <w:kern w:val="2"/>
      <w:sz w:val="24"/>
      <w:lang w:val="en-US" w:eastAsia="zh-CN" w:bidi="ar-SA"/>
    </w:rPr>
  </w:style>
  <w:style w:type="paragraph" w:customStyle="1" w:styleId="62">
    <w:name w:val="正文2"/>
    <w:basedOn w:val="1"/>
    <w:link w:val="61"/>
    <w:qFormat/>
    <w:uiPriority w:val="0"/>
    <w:pPr>
      <w:spacing w:before="156" w:line="360" w:lineRule="auto"/>
      <w:ind w:firstLine="510" w:firstLineChars="200"/>
    </w:pPr>
    <w:rPr>
      <w:sz w:val="24"/>
    </w:rPr>
  </w:style>
  <w:style w:type="character" w:customStyle="1" w:styleId="63">
    <w:name w:val="font81"/>
    <w:qFormat/>
    <w:uiPriority w:val="0"/>
    <w:rPr>
      <w:rFonts w:hint="eastAsia" w:ascii="宋体" w:hAnsi="宋体" w:eastAsia="宋体" w:cs="宋体"/>
      <w:b/>
      <w:color w:val="000000"/>
      <w:sz w:val="24"/>
      <w:szCs w:val="24"/>
      <w:u w:val="none"/>
    </w:rPr>
  </w:style>
  <w:style w:type="character" w:customStyle="1" w:styleId="64">
    <w:name w:val="样式 小四"/>
    <w:qFormat/>
    <w:uiPriority w:val="0"/>
    <w:rPr>
      <w:rFonts w:ascii="仿宋_GB2312" w:eastAsia="仿宋_GB2312"/>
      <w:b/>
      <w:sz w:val="21"/>
      <w:szCs w:val="32"/>
    </w:rPr>
  </w:style>
  <w:style w:type="character" w:customStyle="1" w:styleId="65">
    <w:name w:val="md"/>
    <w:basedOn w:val="40"/>
    <w:qFormat/>
    <w:uiPriority w:val="0"/>
    <w:rPr>
      <w:rFonts w:ascii="仿宋_GB2312" w:eastAsia="仿宋_GB2312"/>
      <w:b/>
      <w:sz w:val="32"/>
      <w:szCs w:val="32"/>
    </w:rPr>
  </w:style>
  <w:style w:type="character" w:customStyle="1" w:styleId="66">
    <w:name w:val="line1"/>
    <w:qFormat/>
    <w:uiPriority w:val="0"/>
    <w:rPr>
      <w:rFonts w:ascii="仿宋_GB2312" w:eastAsia="仿宋_GB2312"/>
      <w:b/>
      <w:sz w:val="32"/>
      <w:szCs w:val="32"/>
      <w:u w:val="none"/>
    </w:rPr>
  </w:style>
  <w:style w:type="character" w:customStyle="1" w:styleId="67">
    <w:name w:val="tw4winJump"/>
    <w:qFormat/>
    <w:uiPriority w:val="0"/>
    <w:rPr>
      <w:rFonts w:ascii="Courier New" w:hAnsi="Courier New"/>
      <w:color w:val="008080"/>
    </w:rPr>
  </w:style>
  <w:style w:type="character" w:customStyle="1" w:styleId="68">
    <w:name w:val="size31"/>
    <w:qFormat/>
    <w:uiPriority w:val="0"/>
    <w:rPr>
      <w:rFonts w:hint="default" w:ascii="Arial" w:hAnsi="Arial" w:eastAsia="仿宋_GB2312" w:cs="Arial"/>
      <w:b/>
      <w:color w:val="2D2D2D"/>
      <w:sz w:val="18"/>
      <w:szCs w:val="18"/>
    </w:rPr>
  </w:style>
  <w:style w:type="character" w:customStyle="1" w:styleId="69">
    <w:name w:val="font01"/>
    <w:qFormat/>
    <w:uiPriority w:val="0"/>
    <w:rPr>
      <w:rFonts w:hint="eastAsia" w:ascii="宋体" w:hAnsi="宋体" w:eastAsia="宋体" w:cs="宋体"/>
      <w:b/>
      <w:color w:val="000000"/>
      <w:sz w:val="22"/>
      <w:szCs w:val="22"/>
      <w:u w:val="single"/>
    </w:rPr>
  </w:style>
  <w:style w:type="character" w:customStyle="1" w:styleId="70">
    <w:name w:val="font141"/>
    <w:qFormat/>
    <w:uiPriority w:val="0"/>
    <w:rPr>
      <w:rFonts w:hint="default" w:ascii="Times New Roman" w:hAnsi="Times New Roman" w:eastAsia="仿宋_GB2312" w:cs="Times New Roman"/>
      <w:b/>
      <w:color w:val="000000"/>
      <w:sz w:val="24"/>
      <w:szCs w:val="24"/>
      <w:u w:val="none"/>
    </w:rPr>
  </w:style>
  <w:style w:type="character" w:customStyle="1" w:styleId="71">
    <w:name w:val="font31"/>
    <w:qFormat/>
    <w:uiPriority w:val="0"/>
    <w:rPr>
      <w:rFonts w:hint="default" w:ascii="Times New Roman" w:hAnsi="Times New Roman" w:eastAsia="仿宋_GB2312" w:cs="Times New Roman"/>
      <w:b/>
      <w:color w:val="000000"/>
      <w:sz w:val="22"/>
      <w:szCs w:val="22"/>
      <w:u w:val="none"/>
    </w:rPr>
  </w:style>
  <w:style w:type="character" w:customStyle="1" w:styleId="72">
    <w:name w:val="pubtime"/>
    <w:qFormat/>
    <w:uiPriority w:val="0"/>
    <w:rPr>
      <w:rFonts w:ascii="仿宋_GB2312" w:eastAsia="仿宋_GB2312"/>
      <w:color w:val="000000"/>
      <w:sz w:val="18"/>
      <w:szCs w:val="18"/>
    </w:rPr>
  </w:style>
  <w:style w:type="character" w:customStyle="1" w:styleId="73">
    <w:name w:val="huide001"/>
    <w:qFormat/>
    <w:uiPriority w:val="0"/>
    <w:rPr>
      <w:rFonts w:hint="default" w:ascii="Arial" w:hAnsi="Arial" w:eastAsia="仿宋_GB2312" w:cs="Arial"/>
      <w:b/>
      <w:color w:val="666666"/>
      <w:sz w:val="18"/>
      <w:szCs w:val="18"/>
    </w:rPr>
  </w:style>
  <w:style w:type="character" w:customStyle="1" w:styleId="74">
    <w:name w:val="more"/>
    <w:basedOn w:val="40"/>
    <w:qFormat/>
    <w:uiPriority w:val="0"/>
    <w:rPr>
      <w:rFonts w:ascii="仿宋_GB2312" w:eastAsia="仿宋_GB2312"/>
      <w:b/>
      <w:sz w:val="32"/>
      <w:szCs w:val="32"/>
    </w:rPr>
  </w:style>
  <w:style w:type="character" w:customStyle="1" w:styleId="75">
    <w:name w:val="表正文 Char"/>
    <w:qFormat/>
    <w:uiPriority w:val="0"/>
    <w:rPr>
      <w:rFonts w:ascii="仿宋_GB2312" w:eastAsia="宋体"/>
      <w:b/>
      <w:kern w:val="2"/>
      <w:sz w:val="21"/>
      <w:szCs w:val="32"/>
      <w:lang w:val="en-US" w:eastAsia="zh-CN" w:bidi="ar-SA"/>
    </w:rPr>
  </w:style>
  <w:style w:type="character" w:customStyle="1" w:styleId="76">
    <w:name w:val="标题 3 Char"/>
    <w:qFormat/>
    <w:uiPriority w:val="0"/>
    <w:rPr>
      <w:rFonts w:ascii="仿宋_GB2312" w:eastAsia="宋体"/>
      <w:b/>
      <w:kern w:val="2"/>
      <w:sz w:val="32"/>
      <w:szCs w:val="32"/>
      <w:lang w:val="en-US" w:eastAsia="zh-CN"/>
    </w:rPr>
  </w:style>
  <w:style w:type="character" w:customStyle="1" w:styleId="77">
    <w:name w:val="apple-converted-space"/>
    <w:basedOn w:val="40"/>
    <w:qFormat/>
    <w:uiPriority w:val="0"/>
    <w:rPr>
      <w:rFonts w:ascii="仿宋_GB2312" w:eastAsia="仿宋_GB2312"/>
      <w:b/>
      <w:sz w:val="32"/>
      <w:szCs w:val="32"/>
    </w:rPr>
  </w:style>
  <w:style w:type="character" w:customStyle="1" w:styleId="78">
    <w:name w:val="普通文字 Char Char1"/>
    <w:qFormat/>
    <w:uiPriority w:val="0"/>
    <w:rPr>
      <w:rFonts w:ascii="宋体" w:hAnsi="Courier New" w:eastAsia="宋体"/>
      <w:b/>
      <w:sz w:val="21"/>
      <w:szCs w:val="32"/>
      <w:lang w:val="en-US" w:eastAsia="zh-CN" w:bidi="ar-SA"/>
    </w:rPr>
  </w:style>
  <w:style w:type="character" w:customStyle="1" w:styleId="79">
    <w:name w:val="zbggmain style9"/>
    <w:basedOn w:val="40"/>
    <w:qFormat/>
    <w:uiPriority w:val="0"/>
    <w:rPr>
      <w:rFonts w:ascii="仿宋_GB2312" w:eastAsia="仿宋_GB2312"/>
      <w:b/>
      <w:sz w:val="32"/>
      <w:szCs w:val="32"/>
    </w:rPr>
  </w:style>
  <w:style w:type="character" w:customStyle="1" w:styleId="80">
    <w:name w:val="tw4winPopup"/>
    <w:qFormat/>
    <w:uiPriority w:val="0"/>
    <w:rPr>
      <w:rFonts w:ascii="Courier New" w:hAnsi="Courier New"/>
      <w:color w:val="008000"/>
    </w:rPr>
  </w:style>
  <w:style w:type="character" w:customStyle="1" w:styleId="81">
    <w:name w:val="正文缩进 字符"/>
    <w:link w:val="6"/>
    <w:qFormat/>
    <w:uiPriority w:val="0"/>
    <w:rPr>
      <w:rFonts w:ascii="仿宋_GB2312" w:eastAsia="宋体"/>
      <w:b/>
      <w:kern w:val="2"/>
      <w:sz w:val="21"/>
      <w:szCs w:val="32"/>
      <w:lang w:val="en-US" w:eastAsia="zh-CN" w:bidi="ar-SA"/>
    </w:rPr>
  </w:style>
  <w:style w:type="character" w:customStyle="1" w:styleId="82">
    <w:name w:val="标题 1 字符"/>
    <w:link w:val="3"/>
    <w:qFormat/>
    <w:uiPriority w:val="0"/>
    <w:rPr>
      <w:rFonts w:ascii="宋体" w:hAnsi="Arial" w:eastAsia="黑体"/>
      <w:b/>
      <w:color w:val="000000"/>
      <w:kern w:val="44"/>
      <w:sz w:val="36"/>
      <w:szCs w:val="32"/>
      <w:lang w:val="en-US" w:eastAsia="zh-CN" w:bidi="ar-SA"/>
    </w:rPr>
  </w:style>
  <w:style w:type="character" w:customStyle="1" w:styleId="83">
    <w:name w:val="tw4winInternal"/>
    <w:qFormat/>
    <w:uiPriority w:val="0"/>
    <w:rPr>
      <w:rFonts w:ascii="Courier New" w:hAnsi="Courier New"/>
      <w:color w:val="FF0000"/>
    </w:rPr>
  </w:style>
  <w:style w:type="character" w:customStyle="1" w:styleId="84">
    <w:name w:val="font51"/>
    <w:qFormat/>
    <w:uiPriority w:val="0"/>
    <w:rPr>
      <w:rFonts w:hint="default" w:ascii="Times New Roman" w:hAnsi="Times New Roman" w:eastAsia="仿宋_GB2312" w:cs="Times New Roman"/>
      <w:b/>
      <w:color w:val="000000"/>
      <w:sz w:val="22"/>
      <w:szCs w:val="22"/>
      <w:u w:val="none"/>
    </w:rPr>
  </w:style>
  <w:style w:type="character" w:customStyle="1" w:styleId="85">
    <w:name w:val="so-ask-best"/>
    <w:basedOn w:val="40"/>
    <w:qFormat/>
    <w:uiPriority w:val="0"/>
    <w:rPr>
      <w:rFonts w:ascii="仿宋_GB2312" w:eastAsia="仿宋_GB2312"/>
      <w:b/>
      <w:sz w:val="32"/>
      <w:szCs w:val="32"/>
    </w:rPr>
  </w:style>
  <w:style w:type="character" w:customStyle="1" w:styleId="86">
    <w:name w:val="Char Char3"/>
    <w:qFormat/>
    <w:uiPriority w:val="0"/>
    <w:rPr>
      <w:rFonts w:ascii="宋体" w:hAnsi="Courier New" w:eastAsia="宋体"/>
      <w:b/>
      <w:sz w:val="21"/>
      <w:szCs w:val="32"/>
      <w:lang w:val="en-US" w:eastAsia="zh-CN" w:bidi="ar-SA"/>
    </w:rPr>
  </w:style>
  <w:style w:type="character" w:customStyle="1" w:styleId="87">
    <w:name w:val="tw4winExternal"/>
    <w:qFormat/>
    <w:uiPriority w:val="0"/>
    <w:rPr>
      <w:rFonts w:ascii="Courier New" w:hAnsi="Courier New"/>
      <w:color w:val="808080"/>
    </w:rPr>
  </w:style>
  <w:style w:type="character" w:customStyle="1" w:styleId="88">
    <w:name w:val="font21"/>
    <w:qFormat/>
    <w:uiPriority w:val="0"/>
    <w:rPr>
      <w:rFonts w:hint="eastAsia" w:ascii="宋体" w:hAnsi="宋体" w:eastAsia="宋体" w:cs="宋体"/>
      <w:b/>
      <w:color w:val="000000"/>
      <w:sz w:val="22"/>
      <w:szCs w:val="22"/>
      <w:u w:val="none"/>
    </w:rPr>
  </w:style>
  <w:style w:type="character" w:customStyle="1" w:styleId="89">
    <w:name w:val="正文缩进 Char Char1"/>
    <w:qFormat/>
    <w:uiPriority w:val="0"/>
    <w:rPr>
      <w:rFonts w:ascii="仿宋_GB2312" w:eastAsia="楷体_GB2312"/>
      <w:b/>
      <w:kern w:val="2"/>
      <w:sz w:val="24"/>
      <w:szCs w:val="32"/>
      <w:lang w:val="en-US" w:eastAsia="zh-CN" w:bidi="ar-SA"/>
    </w:rPr>
  </w:style>
  <w:style w:type="character" w:customStyle="1" w:styleId="9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1">
    <w:name w:val="Char Char1"/>
    <w:qFormat/>
    <w:uiPriority w:val="0"/>
    <w:rPr>
      <w:rFonts w:ascii="Calibri" w:hAnsi="Calibri" w:eastAsia="宋体"/>
      <w:b/>
      <w:bCs/>
      <w:kern w:val="2"/>
      <w:sz w:val="32"/>
      <w:szCs w:val="32"/>
      <w:lang w:val="en-US" w:eastAsia="zh-CN" w:bidi="ar-SA"/>
    </w:rPr>
  </w:style>
  <w:style w:type="character" w:customStyle="1" w:styleId="92">
    <w:name w:val="font91"/>
    <w:qFormat/>
    <w:uiPriority w:val="0"/>
    <w:rPr>
      <w:rFonts w:hint="eastAsia" w:ascii="宋体" w:hAnsi="宋体" w:eastAsia="宋体" w:cs="宋体"/>
      <w:b/>
      <w:color w:val="000000"/>
      <w:sz w:val="21"/>
      <w:szCs w:val="21"/>
      <w:u w:val="none"/>
    </w:rPr>
  </w:style>
  <w:style w:type="character" w:customStyle="1" w:styleId="93">
    <w:name w:val="hei14b1"/>
    <w:qFormat/>
    <w:uiPriority w:val="0"/>
    <w:rPr>
      <w:rFonts w:ascii="仿宋_GB2312" w:eastAsia="仿宋_GB2312"/>
      <w:b/>
      <w:color w:val="333333"/>
      <w:sz w:val="21"/>
      <w:szCs w:val="32"/>
    </w:rPr>
  </w:style>
  <w:style w:type="character" w:customStyle="1" w:styleId="94">
    <w:name w:val="样式 标题 4 + 黑体 五号 Char"/>
    <w:qFormat/>
    <w:uiPriority w:val="0"/>
    <w:rPr>
      <w:rFonts w:ascii="黑体" w:hAnsi="黑体" w:eastAsia="黑体"/>
      <w:b/>
      <w:bCs/>
      <w:kern w:val="2"/>
      <w:sz w:val="21"/>
      <w:szCs w:val="28"/>
      <w:lang w:val="en-US" w:eastAsia="zh-CN" w:bidi="ar-SA"/>
    </w:rPr>
  </w:style>
  <w:style w:type="character" w:customStyle="1" w:styleId="95">
    <w:name w:val="标题 1 Char"/>
    <w:qFormat/>
    <w:uiPriority w:val="0"/>
    <w:rPr>
      <w:rFonts w:ascii="宋体" w:hAnsi="Arial" w:eastAsia="黑体"/>
      <w:b/>
      <w:color w:val="000000"/>
      <w:kern w:val="44"/>
      <w:sz w:val="36"/>
      <w:szCs w:val="32"/>
      <w:lang w:val="en-US" w:eastAsia="zh-CN" w:bidi="ar-SA"/>
    </w:rPr>
  </w:style>
  <w:style w:type="character" w:customStyle="1" w:styleId="96">
    <w:name w:val="point_normal1"/>
    <w:qFormat/>
    <w:uiPriority w:val="0"/>
    <w:rPr>
      <w:rFonts w:hint="default" w:ascii="Arial" w:hAnsi="Arial" w:eastAsia="仿宋_GB2312" w:cs="Arial"/>
      <w:b/>
      <w:sz w:val="18"/>
      <w:szCs w:val="18"/>
    </w:rPr>
  </w:style>
  <w:style w:type="character" w:customStyle="1" w:styleId="97">
    <w:name w:val="para"/>
    <w:basedOn w:val="40"/>
    <w:qFormat/>
    <w:uiPriority w:val="0"/>
    <w:rPr>
      <w:rFonts w:ascii="仿宋_GB2312" w:eastAsia="仿宋_GB2312"/>
      <w:b/>
      <w:sz w:val="32"/>
      <w:szCs w:val="32"/>
    </w:rPr>
  </w:style>
  <w:style w:type="character" w:customStyle="1" w:styleId="98">
    <w:name w:val="标题 2 Char"/>
    <w:qFormat/>
    <w:uiPriority w:val="0"/>
    <w:rPr>
      <w:rFonts w:ascii="Arial" w:hAnsi="Arial" w:eastAsia="黑体"/>
      <w:b/>
      <w:bCs/>
      <w:kern w:val="2"/>
      <w:sz w:val="32"/>
      <w:szCs w:val="32"/>
    </w:rPr>
  </w:style>
  <w:style w:type="character" w:customStyle="1" w:styleId="99">
    <w:name w:val="font41"/>
    <w:qFormat/>
    <w:uiPriority w:val="0"/>
    <w:rPr>
      <w:rFonts w:hint="eastAsia" w:ascii="宋体" w:hAnsi="宋体" w:eastAsia="宋体" w:cs="宋体"/>
      <w:b/>
      <w:color w:val="000000"/>
      <w:sz w:val="22"/>
      <w:szCs w:val="22"/>
      <w:u w:val="none"/>
    </w:rPr>
  </w:style>
  <w:style w:type="character" w:customStyle="1" w:styleId="100">
    <w:name w:val="1051"/>
    <w:qFormat/>
    <w:uiPriority w:val="0"/>
    <w:rPr>
      <w:rFonts w:ascii="仿宋_GB2312" w:eastAsia="仿宋_GB2312"/>
      <w:sz w:val="21"/>
      <w:szCs w:val="21"/>
    </w:rPr>
  </w:style>
  <w:style w:type="character" w:customStyle="1" w:styleId="101">
    <w:name w:val="tw4winMark"/>
    <w:qFormat/>
    <w:uiPriority w:val="0"/>
    <w:rPr>
      <w:rFonts w:ascii="Courier New" w:hAnsi="Courier New"/>
      <w:vanish/>
      <w:color w:val="800080"/>
      <w:vertAlign w:val="subscript"/>
    </w:rPr>
  </w:style>
  <w:style w:type="character" w:customStyle="1" w:styleId="102">
    <w:name w:val="Head 2"/>
    <w:qFormat/>
    <w:uiPriority w:val="0"/>
    <w:rPr>
      <w:rFonts w:ascii="仿宋_GB2312"/>
      <w:bCs/>
      <w:iCs/>
      <w:sz w:val="24"/>
    </w:rPr>
  </w:style>
  <w:style w:type="character" w:customStyle="1" w:styleId="103">
    <w:name w:val="tw4winTerm"/>
    <w:qFormat/>
    <w:uiPriority w:val="0"/>
    <w:rPr>
      <w:color w:val="0000FF"/>
    </w:rPr>
  </w:style>
  <w:style w:type="character" w:customStyle="1" w:styleId="104">
    <w:name w:val="unnamed11"/>
    <w:qFormat/>
    <w:uiPriority w:val="0"/>
    <w:rPr>
      <w:rFonts w:ascii="仿宋_GB2312" w:eastAsia="仿宋_GB2312"/>
      <w:b/>
      <w:sz w:val="20"/>
      <w:szCs w:val="20"/>
    </w:rPr>
  </w:style>
  <w:style w:type="character" w:customStyle="1" w:styleId="105">
    <w:name w:val="标题 1 Char Char"/>
    <w:qFormat/>
    <w:uiPriority w:val="0"/>
    <w:rPr>
      <w:rFonts w:ascii="仿宋_GB2312" w:eastAsia="宋体"/>
      <w:b/>
      <w:spacing w:val="-2"/>
      <w:sz w:val="24"/>
      <w:szCs w:val="32"/>
      <w:lang w:val="en-US" w:eastAsia="zh-CN" w:bidi="ar-SA"/>
    </w:rPr>
  </w:style>
  <w:style w:type="paragraph" w:customStyle="1" w:styleId="106">
    <w:name w:val="样式 标题 2 + 五号"/>
    <w:basedOn w:val="4"/>
    <w:qFormat/>
    <w:uiPriority w:val="0"/>
    <w:pPr>
      <w:spacing w:before="0" w:after="0" w:line="240" w:lineRule="auto"/>
      <w:ind w:left="0" w:firstLine="0"/>
    </w:pPr>
    <w:rPr>
      <w:rFonts w:ascii="宋体" w:hAnsi="宋体" w:eastAsia="宋体"/>
      <w:sz w:val="21"/>
    </w:rPr>
  </w:style>
  <w:style w:type="paragraph" w:customStyle="1" w:styleId="107">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108">
    <w:name w:val="样式3"/>
    <w:basedOn w:val="11"/>
    <w:next w:val="1"/>
    <w:qFormat/>
    <w:uiPriority w:val="0"/>
    <w:pPr>
      <w:tabs>
        <w:tab w:val="left" w:pos="1050"/>
      </w:tabs>
      <w:adjustRightInd/>
      <w:spacing w:line="319" w:lineRule="auto"/>
      <w:ind w:left="1050" w:hanging="450"/>
      <w:jc w:val="left"/>
      <w:textAlignment w:val="auto"/>
    </w:pPr>
    <w:rPr>
      <w:b/>
      <w:kern w:val="2"/>
      <w:szCs w:val="24"/>
    </w:rPr>
  </w:style>
  <w:style w:type="paragraph" w:customStyle="1" w:styleId="109">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rPr>
  </w:style>
  <w:style w:type="paragraph" w:customStyle="1" w:styleId="110">
    <w:name w:val="Bullet"/>
    <w:basedOn w:val="1"/>
    <w:qFormat/>
    <w:uiPriority w:val="0"/>
    <w:pPr>
      <w:widowControl/>
      <w:tabs>
        <w:tab w:val="left" w:pos="720"/>
        <w:tab w:val="left" w:pos="964"/>
      </w:tabs>
      <w:spacing w:before="120" w:after="156" w:afterLines="50"/>
      <w:ind w:left="720" w:right="360" w:hanging="482"/>
    </w:pPr>
    <w:rPr>
      <w:rFonts w:ascii="宋体"/>
      <w:snapToGrid w:val="0"/>
      <w:kern w:val="0"/>
    </w:rPr>
  </w:style>
  <w:style w:type="paragraph" w:customStyle="1" w:styleId="111">
    <w:name w:val="_Style 10"/>
    <w:basedOn w:val="1"/>
    <w:qFormat/>
    <w:uiPriority w:val="0"/>
    <w:rPr>
      <w:rFonts w:ascii="仿宋_GB2312" w:eastAsia="仿宋_GB2312"/>
      <w:b/>
      <w:sz w:val="32"/>
      <w:szCs w:val="32"/>
    </w:rPr>
  </w:style>
  <w:style w:type="paragraph" w:customStyle="1" w:styleId="112">
    <w:name w:val="font9"/>
    <w:basedOn w:val="1"/>
    <w:qFormat/>
    <w:uiPriority w:val="0"/>
    <w:pPr>
      <w:widowControl/>
      <w:spacing w:before="100" w:beforeAutospacing="1" w:after="100" w:afterAutospacing="1"/>
      <w:jc w:val="left"/>
    </w:pPr>
    <w:rPr>
      <w:kern w:val="0"/>
      <w:sz w:val="24"/>
      <w:szCs w:val="24"/>
    </w:rPr>
  </w:style>
  <w:style w:type="paragraph" w:customStyle="1" w:styleId="113">
    <w:name w:val="4"/>
    <w:basedOn w:val="1"/>
    <w:qFormat/>
    <w:uiPriority w:val="0"/>
    <w:rPr>
      <w:rFonts w:ascii="仿宋_GB2312" w:eastAsia="仿宋_GB2312"/>
      <w:b/>
      <w:sz w:val="32"/>
      <w:szCs w:val="32"/>
    </w:rPr>
  </w:style>
  <w:style w:type="paragraph" w:customStyle="1" w:styleId="114">
    <w:name w:val="样式 正文"/>
    <w:basedOn w:val="1"/>
    <w:next w:val="1"/>
    <w:qFormat/>
    <w:uiPriority w:val="0"/>
    <w:pPr>
      <w:spacing w:after="156" w:afterLines="50"/>
      <w:jc w:val="left"/>
    </w:pPr>
    <w:rPr>
      <w:rFonts w:ascii="宋体" w:cs="宋体"/>
      <w:snapToGrid w:val="0"/>
      <w:kern w:val="0"/>
    </w:rPr>
  </w:style>
  <w:style w:type="paragraph" w:customStyle="1" w:styleId="115">
    <w:name w:val="正文表标题"/>
    <w:next w:val="1"/>
    <w:qFormat/>
    <w:uiPriority w:val="0"/>
    <w:pPr>
      <w:numPr>
        <w:ilvl w:val="0"/>
        <w:numId w:val="1"/>
      </w:numPr>
      <w:tabs>
        <w:tab w:val="left" w:pos="360"/>
        <w:tab w:val="clear" w:pos="1620"/>
      </w:tabs>
      <w:spacing w:before="156" w:beforeLines="50" w:after="156" w:afterLines="50"/>
      <w:jc w:val="center"/>
    </w:pPr>
    <w:rPr>
      <w:rFonts w:ascii="黑体" w:hAnsi="Times New Roman" w:eastAsia="黑体" w:cs="Times New Roman"/>
      <w:sz w:val="21"/>
      <w:szCs w:val="22"/>
      <w:lang w:val="en-US" w:eastAsia="zh-CN" w:bidi="ar-SA"/>
    </w:rPr>
  </w:style>
  <w:style w:type="paragraph" w:customStyle="1" w:styleId="116">
    <w:name w:val="最新标题4"/>
    <w:basedOn w:val="117"/>
    <w:next w:val="1"/>
    <w:qFormat/>
    <w:uiPriority w:val="0"/>
    <w:pPr>
      <w:tabs>
        <w:tab w:val="left" w:pos="2100"/>
      </w:tabs>
      <w:spacing w:after="120"/>
      <w:ind w:left="0" w:firstLine="0"/>
    </w:pPr>
  </w:style>
  <w:style w:type="paragraph" w:customStyle="1" w:styleId="117">
    <w:name w:val="样式 标题 4"/>
    <w:basedOn w:val="118"/>
    <w:next w:val="114"/>
    <w:qFormat/>
    <w:uiPriority w:val="0"/>
    <w:pPr>
      <w:tabs>
        <w:tab w:val="left" w:pos="2100"/>
      </w:tabs>
      <w:spacing w:after="50"/>
      <w:ind w:left="2100" w:hanging="420"/>
    </w:pPr>
  </w:style>
  <w:style w:type="paragraph" w:customStyle="1" w:styleId="118">
    <w:name w:val="样式 标题 4Chapter X.X.X.X. + 段后: 0.5 行1"/>
    <w:basedOn w:val="119"/>
    <w:qFormat/>
    <w:uiPriority w:val="0"/>
    <w:pPr>
      <w:spacing w:after="120" w:afterLines="0"/>
    </w:pPr>
  </w:style>
  <w:style w:type="paragraph" w:customStyle="1" w:styleId="119">
    <w:name w:val="样式 标题 4 + 段后: 0.5 行"/>
    <w:basedOn w:val="7"/>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S4-B-L15"/>
    <w:basedOn w:val="1"/>
    <w:qFormat/>
    <w:uiPriority w:val="0"/>
    <w:pPr>
      <w:spacing w:line="360" w:lineRule="auto"/>
    </w:pPr>
    <w:rPr>
      <w:b/>
      <w:bCs/>
      <w:sz w:val="24"/>
      <w:szCs w:val="24"/>
    </w:rPr>
  </w:style>
  <w:style w:type="paragraph" w:customStyle="1" w:styleId="122">
    <w:name w:val="S4-L15"/>
    <w:basedOn w:val="1"/>
    <w:qFormat/>
    <w:uiPriority w:val="0"/>
    <w:pPr>
      <w:spacing w:after="120" w:line="360" w:lineRule="auto"/>
      <w:ind w:left="720" w:firstLine="392"/>
    </w:pPr>
    <w:rPr>
      <w:szCs w:val="21"/>
      <w:lang w:val="fr-FR"/>
    </w:rPr>
  </w:style>
  <w:style w:type="paragraph" w:customStyle="1" w:styleId="123">
    <w:name w:val="表格内容"/>
    <w:basedOn w:val="18"/>
    <w:qFormat/>
    <w:uiPriority w:val="0"/>
    <w:pPr>
      <w:suppressLineNumbers/>
      <w:suppressAutoHyphens/>
    </w:pPr>
    <w:rPr>
      <w:kern w:val="1"/>
      <w:szCs w:val="24"/>
      <w:lang w:eastAsia="ar-SA"/>
    </w:rPr>
  </w:style>
  <w:style w:type="paragraph" w:customStyle="1" w:styleId="124">
    <w:name w:val="标题 3Chapter X.X.X. + 段后: 0.5 行 + 段后: 0.5 行 + 段后: 0.5 行1"/>
    <w:basedOn w:val="125"/>
    <w:qFormat/>
    <w:uiPriority w:val="0"/>
    <w:pPr>
      <w:tabs>
        <w:tab w:val="left" w:pos="709"/>
      </w:tabs>
    </w:pPr>
  </w:style>
  <w:style w:type="paragraph" w:customStyle="1" w:styleId="125">
    <w:name w:val="样式 样式 标题 3Chapter X.X.X. + 段后: 0.5 行 + 段后: 0.5 行"/>
    <w:basedOn w:val="126"/>
    <w:qFormat/>
    <w:uiPriority w:val="0"/>
    <w:pPr>
      <w:tabs>
        <w:tab w:val="left" w:pos="709"/>
      </w:tabs>
    </w:pPr>
  </w:style>
  <w:style w:type="paragraph" w:customStyle="1" w:styleId="126">
    <w:name w:val="样式 标题 3Chapter X.X.X. + 段后: 0.5 行"/>
    <w:basedOn w:val="5"/>
    <w:qFormat/>
    <w:uiPriority w:val="0"/>
    <w:pPr>
      <w:keepNext/>
      <w:autoSpaceDE/>
      <w:autoSpaceDN/>
      <w:adjustRightInd/>
      <w:spacing w:before="120" w:after="156" w:afterLines="50" w:line="240" w:lineRule="auto"/>
      <w:ind w:left="0" w:firstLine="0"/>
      <w:jc w:val="left"/>
      <w:textAlignment w:val="auto"/>
    </w:pPr>
    <w:rPr>
      <w:rFonts w:ascii="宋体" w:eastAsia="宋体" w:cs="宋体"/>
      <w:bCs/>
      <w:snapToGrid w:val="0"/>
      <w:color w:val="auto"/>
      <w:sz w:val="24"/>
    </w:rPr>
  </w:style>
  <w:style w:type="paragraph" w:customStyle="1" w:styleId="127">
    <w:name w:val="Paragraph3"/>
    <w:basedOn w:val="1"/>
    <w:qFormat/>
    <w:uiPriority w:val="0"/>
    <w:pPr>
      <w:spacing w:before="80" w:after="156" w:afterLines="50"/>
      <w:ind w:left="1530"/>
    </w:pPr>
    <w:rPr>
      <w:rFonts w:ascii="宋体"/>
      <w:snapToGrid w:val="0"/>
      <w:kern w:val="0"/>
    </w:rPr>
  </w:style>
  <w:style w:type="paragraph" w:customStyle="1" w:styleId="128">
    <w:name w:val="样式 标题 3"/>
    <w:basedOn w:val="5"/>
    <w:next w:val="116"/>
    <w:qFormat/>
    <w:uiPriority w:val="0"/>
    <w:pPr>
      <w:keepNext/>
      <w:autoSpaceDE/>
      <w:autoSpaceDN/>
      <w:adjustRightInd/>
      <w:spacing w:before="120" w:after="156" w:afterLines="50" w:line="240" w:lineRule="auto"/>
      <w:ind w:left="0" w:firstLine="0"/>
      <w:jc w:val="left"/>
      <w:textAlignment w:val="auto"/>
    </w:pPr>
    <w:rPr>
      <w:rFonts w:ascii="宋体" w:eastAsia="宋体" w:cs="宋体"/>
      <w:bCs/>
      <w:snapToGrid w:val="0"/>
      <w:color w:val="auto"/>
      <w:sz w:val="24"/>
    </w:rPr>
  </w:style>
  <w:style w:type="paragraph" w:customStyle="1" w:styleId="12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szCs w:val="24"/>
    </w:rPr>
  </w:style>
  <w:style w:type="paragraph" w:customStyle="1" w:styleId="130">
    <w:name w:val="最新标题2"/>
    <w:basedOn w:val="131"/>
    <w:next w:val="132"/>
    <w:qFormat/>
    <w:uiPriority w:val="0"/>
    <w:pPr>
      <w:tabs>
        <w:tab w:val="left" w:pos="720"/>
      </w:tabs>
      <w:spacing w:after="120" w:afterLines="0"/>
    </w:pPr>
  </w:style>
  <w:style w:type="paragraph" w:customStyle="1" w:styleId="131">
    <w:name w:val="样式 标题 2"/>
    <w:basedOn w:val="4"/>
    <w:next w:val="1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132">
    <w:name w:val="最新标题3"/>
    <w:basedOn w:val="128"/>
    <w:next w:val="116"/>
    <w:qFormat/>
    <w:uiPriority w:val="0"/>
    <w:pPr>
      <w:tabs>
        <w:tab w:val="clear" w:pos="709"/>
      </w:tabs>
      <w:spacing w:after="120" w:afterLines="0"/>
    </w:pPr>
  </w:style>
  <w:style w:type="paragraph" w:customStyle="1" w:styleId="133">
    <w:name w:val="Main Title"/>
    <w:basedOn w:val="1"/>
    <w:qFormat/>
    <w:uiPriority w:val="0"/>
    <w:pPr>
      <w:spacing w:before="480" w:after="156" w:afterLines="50"/>
      <w:jc w:val="center"/>
    </w:pPr>
    <w:rPr>
      <w:rFonts w:ascii="宋体"/>
      <w:b/>
      <w:snapToGrid w:val="0"/>
      <w:kern w:val="28"/>
      <w:sz w:val="32"/>
    </w:rPr>
  </w:style>
  <w:style w:type="paragraph" w:customStyle="1" w:styleId="134">
    <w:name w:val="样式 正文文本缩进 + 仿宋_GB2312 小四 首行缩进:  0 厘米 行距: 1.5 倍行距"/>
    <w:basedOn w:val="19"/>
    <w:qFormat/>
    <w:uiPriority w:val="0"/>
    <w:pPr>
      <w:spacing w:line="360" w:lineRule="auto"/>
      <w:ind w:firstLine="0"/>
    </w:pPr>
    <w:rPr>
      <w:rFonts w:ascii="仿宋_GB2312" w:eastAsia="新宋体"/>
      <w:sz w:val="24"/>
    </w:rPr>
  </w:style>
  <w:style w:type="paragraph" w:customStyle="1" w:styleId="135">
    <w:name w:val="样式 标题 4Chapter X.X.X. + 段后: 0.5 行1 + 段后: 0.5 行"/>
    <w:basedOn w:val="136"/>
    <w:qFormat/>
    <w:uiPriority w:val="0"/>
    <w:rPr>
      <w:szCs w:val="21"/>
    </w:rPr>
  </w:style>
  <w:style w:type="paragraph" w:customStyle="1" w:styleId="136">
    <w:name w:val="样式 标题 4Chapter X.X.X. + 段后: 0.5 行1"/>
    <w:basedOn w:val="7"/>
    <w:next w:val="7"/>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137">
    <w:name w:val="正文1"/>
    <w:basedOn w:val="1"/>
    <w:qFormat/>
    <w:uiPriority w:val="0"/>
    <w:pPr>
      <w:adjustRightInd w:val="0"/>
      <w:spacing w:line="318" w:lineRule="atLeast"/>
      <w:ind w:left="369" w:firstLine="369"/>
      <w:textAlignment w:val="baseline"/>
    </w:pPr>
    <w:rPr>
      <w:rFonts w:ascii="宋体"/>
    </w:rPr>
  </w:style>
  <w:style w:type="paragraph" w:customStyle="1" w:styleId="13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40">
    <w:name w:val="Body"/>
    <w:basedOn w:val="1"/>
    <w:qFormat/>
    <w:uiPriority w:val="0"/>
    <w:pPr>
      <w:widowControl/>
      <w:spacing w:before="120" w:after="156" w:afterLines="50"/>
    </w:pPr>
    <w:rPr>
      <w:rFonts w:ascii="宋体"/>
      <w:snapToGrid w:val="0"/>
      <w:kern w:val="0"/>
    </w:rPr>
  </w:style>
  <w:style w:type="paragraph" w:customStyle="1" w:styleId="14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42">
    <w:name w:val="样式 标题 1 + 五号1 Char Char Char Char Char Char Char Char Char Char Char Char Char Char Char Char Char"/>
    <w:basedOn w:val="3"/>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43">
    <w:name w:val="HTML Bottom of Form"/>
    <w:basedOn w:val="1"/>
    <w:next w:val="1"/>
    <w:qFormat/>
    <w:uiPriority w:val="0"/>
    <w:pPr>
      <w:pBdr>
        <w:top w:val="single" w:color="auto" w:sz="6" w:space="1"/>
      </w:pBdr>
      <w:jc w:val="center"/>
    </w:pPr>
    <w:rPr>
      <w:rFonts w:ascii="Arial"/>
      <w:vanish/>
      <w:sz w:val="16"/>
    </w:rPr>
  </w:style>
  <w:style w:type="paragraph" w:customStyle="1" w:styleId="144">
    <w:name w:val="xl31"/>
    <w:basedOn w:val="1"/>
    <w:qFormat/>
    <w:uiPriority w:val="0"/>
    <w:pPr>
      <w:widowControl/>
      <w:pBdr>
        <w:top w:val="single" w:color="auto" w:sz="8" w:space="0"/>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145">
    <w:name w:val="xl30"/>
    <w:basedOn w:val="1"/>
    <w:qFormat/>
    <w:uiPriority w:val="0"/>
    <w:pPr>
      <w:widowControl/>
      <w:pBdr>
        <w:top w:val="single" w:color="auto" w:sz="8" w:space="0"/>
        <w:bottom w:val="single" w:color="auto" w:sz="8" w:space="0"/>
      </w:pBdr>
      <w:spacing w:before="100" w:beforeAutospacing="1" w:after="100" w:afterAutospacing="1"/>
      <w:jc w:val="center"/>
      <w:textAlignment w:val="bottom"/>
    </w:pPr>
    <w:rPr>
      <w:rFonts w:ascii="宋体" w:hAnsi="宋体"/>
      <w:b/>
      <w:bCs/>
      <w:kern w:val="0"/>
      <w:sz w:val="24"/>
      <w:szCs w:val="24"/>
    </w:rPr>
  </w:style>
  <w:style w:type="paragraph" w:customStyle="1" w:styleId="146">
    <w:name w:val="样式 标题 1 + 段后: 0.5 行"/>
    <w:basedOn w:val="3"/>
    <w:qFormat/>
    <w:uiPriority w:val="0"/>
    <w:pPr>
      <w:keepLines w:val="0"/>
      <w:autoSpaceDE/>
      <w:autoSpaceDN/>
      <w:adjustRightInd/>
      <w:spacing w:before="120" w:after="156" w:afterLines="50" w:line="240" w:lineRule="auto"/>
      <w:textAlignment w:val="auto"/>
    </w:pPr>
    <w:rPr>
      <w:rFonts w:hAnsi="Times New Roman" w:eastAsia="宋体" w:cs="宋体"/>
      <w:bCs/>
      <w:snapToGrid w:val="0"/>
      <w:color w:val="auto"/>
      <w:kern w:val="0"/>
      <w:sz w:val="28"/>
    </w:rPr>
  </w:style>
  <w:style w:type="paragraph" w:customStyle="1" w:styleId="147">
    <w:name w:val="样式6"/>
    <w:basedOn w:val="1"/>
    <w:qFormat/>
    <w:uiPriority w:val="0"/>
    <w:pPr>
      <w:adjustRightInd w:val="0"/>
      <w:spacing w:before="156" w:beforeLines="50" w:after="156" w:afterLines="50"/>
      <w:ind w:firstLine="669"/>
      <w:textAlignment w:val="baseline"/>
    </w:pPr>
    <w:rPr>
      <w:rFonts w:ascii="宋体" w:hAnsi="宋体"/>
      <w:kern w:val="0"/>
      <w:sz w:val="28"/>
    </w:rPr>
  </w:style>
  <w:style w:type="paragraph" w:customStyle="1" w:styleId="148">
    <w:name w:val="Char Char Char Char1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最新标题1"/>
    <w:basedOn w:val="150"/>
    <w:next w:val="130"/>
    <w:qFormat/>
    <w:uiPriority w:val="0"/>
    <w:pPr>
      <w:tabs>
        <w:tab w:val="left" w:pos="1140"/>
      </w:tabs>
      <w:spacing w:after="120"/>
    </w:pPr>
    <w:rPr>
      <w:bCs/>
    </w:rPr>
  </w:style>
  <w:style w:type="paragraph" w:customStyle="1" w:styleId="150">
    <w:name w:val="样式 标题1"/>
    <w:basedOn w:val="146"/>
    <w:next w:val="130"/>
    <w:qFormat/>
    <w:uiPriority w:val="0"/>
    <w:pPr>
      <w:tabs>
        <w:tab w:val="left" w:pos="1140"/>
        <w:tab w:val="clear" w:pos="360"/>
      </w:tabs>
      <w:spacing w:after="50" w:afterLines="0"/>
      <w:ind w:left="1140" w:hanging="720"/>
    </w:pPr>
    <w:rPr>
      <w:bCs w:val="0"/>
      <w:sz w:val="32"/>
    </w:rPr>
  </w:style>
  <w:style w:type="paragraph" w:customStyle="1" w:styleId="15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52">
    <w:name w:val="HTML Top of Form"/>
    <w:basedOn w:val="1"/>
    <w:next w:val="1"/>
    <w:qFormat/>
    <w:uiPriority w:val="0"/>
    <w:pPr>
      <w:pBdr>
        <w:bottom w:val="single" w:color="auto" w:sz="6" w:space="1"/>
      </w:pBdr>
      <w:jc w:val="center"/>
    </w:pPr>
    <w:rPr>
      <w:rFonts w:ascii="Arial"/>
      <w:vanish/>
      <w:sz w:val="16"/>
    </w:rPr>
  </w:style>
  <w:style w:type="paragraph" w:customStyle="1" w:styleId="153">
    <w:name w:val="纯文本1"/>
    <w:basedOn w:val="1"/>
    <w:qFormat/>
    <w:uiPriority w:val="0"/>
    <w:pPr>
      <w:adjustRightInd w:val="0"/>
      <w:textAlignment w:val="baseline"/>
    </w:pPr>
    <w:rPr>
      <w:rFonts w:ascii="宋体" w:hAnsi="Courier New" w:eastAsia="楷体_GB2312"/>
      <w:sz w:val="26"/>
    </w:rPr>
  </w:style>
  <w:style w:type="paragraph" w:customStyle="1" w:styleId="15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55">
    <w:name w:val="Plain Text1"/>
    <w:basedOn w:val="1"/>
    <w:qFormat/>
    <w:uiPriority w:val="0"/>
    <w:pPr>
      <w:autoSpaceDE w:val="0"/>
      <w:autoSpaceDN w:val="0"/>
      <w:adjustRightInd w:val="0"/>
      <w:spacing w:line="360" w:lineRule="auto"/>
    </w:pPr>
    <w:rPr>
      <w:rFonts w:hint="eastAsia" w:ascii="宋体" w:hAnsi="宋体"/>
      <w:sz w:val="24"/>
    </w:rPr>
  </w:style>
  <w:style w:type="paragraph" w:customStyle="1" w:styleId="156">
    <w:name w:val="样式 样式 正文文本缩进 + 仿宋_GB2312 小四 首行缩进:  0 厘米 行距: 1.5 倍行距 + (中文) 仿宋_GB... Char Char"/>
    <w:basedOn w:val="134"/>
    <w:qFormat/>
    <w:uiPriority w:val="0"/>
    <w:pPr>
      <w:ind w:firstLine="480" w:firstLineChars="200"/>
    </w:pPr>
  </w:style>
  <w:style w:type="paragraph" w:customStyle="1" w:styleId="15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58">
    <w:name w:val="font10"/>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159">
    <w:name w:val="xl33"/>
    <w:basedOn w:val="1"/>
    <w:qFormat/>
    <w:uiPriority w:val="0"/>
    <w:pPr>
      <w:widowControl/>
      <w:pBdr>
        <w:top w:val="single" w:color="auto" w:sz="8" w:space="0"/>
        <w:bottom w:val="single" w:color="auto" w:sz="8" w:space="0"/>
      </w:pBdr>
      <w:spacing w:before="100" w:beforeAutospacing="1" w:after="100" w:afterAutospacing="1"/>
      <w:jc w:val="right"/>
      <w:textAlignment w:val="bottom"/>
    </w:pPr>
    <w:rPr>
      <w:rFonts w:ascii="宋体" w:hAnsi="宋体"/>
      <w:b/>
      <w:bCs/>
      <w:kern w:val="0"/>
      <w:sz w:val="24"/>
      <w:szCs w:val="24"/>
    </w:rPr>
  </w:style>
  <w:style w:type="paragraph" w:customStyle="1" w:styleId="160">
    <w:name w:val="样式 模板描述"/>
    <w:basedOn w:val="1"/>
    <w:next w:val="114"/>
    <w:qFormat/>
    <w:uiPriority w:val="0"/>
    <w:pPr>
      <w:spacing w:after="156" w:afterLines="50"/>
      <w:jc w:val="left"/>
    </w:pPr>
    <w:rPr>
      <w:rFonts w:ascii="宋体" w:cs="宋体"/>
      <w:i/>
      <w:iCs/>
      <w:snapToGrid w:val="0"/>
      <w:color w:val="0000FF"/>
      <w:kern w:val="0"/>
      <w:szCs w:val="21"/>
    </w:rPr>
  </w:style>
  <w:style w:type="paragraph" w:customStyle="1" w:styleId="16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162">
    <w:name w:val="样式 样式 标题 4 + 段后: 0.5 行 + 段后: 0.5 行"/>
    <w:basedOn w:val="119"/>
    <w:qFormat/>
    <w:uiPriority w:val="0"/>
  </w:style>
  <w:style w:type="paragraph" w:customStyle="1" w:styleId="163">
    <w:name w:val="默认段落字体 Para Char"/>
    <w:basedOn w:val="1"/>
    <w:qFormat/>
    <w:uiPriority w:val="0"/>
  </w:style>
  <w:style w:type="paragraph" w:customStyle="1" w:styleId="16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65">
    <w:name w:val="默认段落字体 Para Char Char Char Char Char Char Char"/>
    <w:basedOn w:val="1"/>
    <w:qFormat/>
    <w:uiPriority w:val="0"/>
    <w:rPr>
      <w:rFonts w:ascii="Arial" w:hAnsi="Arial" w:cs="Arial"/>
      <w:sz w:val="20"/>
    </w:rPr>
  </w:style>
  <w:style w:type="paragraph" w:customStyle="1" w:styleId="16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0"/>
    </w:rPr>
  </w:style>
  <w:style w:type="paragraph" w:customStyle="1" w:styleId="167">
    <w:name w:val="xl27"/>
    <w:basedOn w:val="1"/>
    <w:qFormat/>
    <w:uiPriority w:val="0"/>
    <w:pPr>
      <w:widowControl/>
      <w:spacing w:before="100" w:beforeAutospacing="1" w:after="100" w:afterAutospacing="1"/>
      <w:jc w:val="center"/>
      <w:textAlignment w:val="bottom"/>
    </w:pPr>
    <w:rPr>
      <w:rFonts w:ascii="宋体" w:hAnsi="宋体"/>
      <w:b/>
      <w:bCs/>
      <w:kern w:val="0"/>
      <w:sz w:val="24"/>
      <w:szCs w:val="24"/>
    </w:rPr>
  </w:style>
  <w:style w:type="paragraph" w:customStyle="1" w:styleId="168">
    <w:name w:val="正文 + 宋体"/>
    <w:basedOn w:val="1"/>
    <w:qFormat/>
    <w:uiPriority w:val="0"/>
    <w:pPr>
      <w:spacing w:line="660" w:lineRule="exact"/>
    </w:pPr>
    <w:rPr>
      <w:rFonts w:ascii="宋体" w:hAnsi="宋体"/>
      <w:color w:val="000000"/>
      <w:sz w:val="24"/>
      <w:szCs w:val="24"/>
    </w:rPr>
  </w:style>
  <w:style w:type="paragraph" w:customStyle="1" w:styleId="169">
    <w:name w:val="标准正文"/>
    <w:basedOn w:val="19"/>
    <w:qFormat/>
    <w:uiPriority w:val="0"/>
    <w:pPr>
      <w:spacing w:before="60" w:after="60" w:line="360" w:lineRule="auto"/>
      <w:ind w:firstLine="482"/>
    </w:pPr>
    <w:rPr>
      <w:rFonts w:ascii="Arial" w:hAnsi="Arial"/>
      <w:sz w:val="24"/>
    </w:rPr>
  </w:style>
  <w:style w:type="paragraph" w:customStyle="1" w:styleId="170">
    <w:name w:val="样式 标题 1 + 五号"/>
    <w:basedOn w:val="3"/>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7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72">
    <w:name w:val="样式　标题4"/>
    <w:basedOn w:val="136"/>
    <w:next w:val="1"/>
    <w:qFormat/>
    <w:uiPriority w:val="0"/>
  </w:style>
  <w:style w:type="paragraph" w:customStyle="1" w:styleId="173">
    <w:name w:val="表格标题"/>
    <w:basedOn w:val="123"/>
    <w:qFormat/>
    <w:uiPriority w:val="0"/>
    <w:pPr>
      <w:jc w:val="center"/>
    </w:pPr>
    <w:rPr>
      <w:b/>
      <w:bCs/>
      <w:i/>
      <w:iCs/>
    </w:rPr>
  </w:style>
  <w:style w:type="paragraph" w:customStyle="1" w:styleId="174">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kern w:val="0"/>
      <w:sz w:val="20"/>
    </w:rPr>
  </w:style>
  <w:style w:type="paragraph" w:customStyle="1" w:styleId="175">
    <w:name w:val="标题1"/>
    <w:basedOn w:val="22"/>
    <w:qFormat/>
    <w:uiPriority w:val="0"/>
    <w:pPr>
      <w:widowControl w:val="0"/>
      <w:overflowPunct/>
      <w:autoSpaceDE/>
      <w:autoSpaceDN/>
      <w:adjustRightInd/>
      <w:spacing w:line="360" w:lineRule="auto"/>
      <w:jc w:val="both"/>
      <w:textAlignment w:val="auto"/>
    </w:pPr>
    <w:rPr>
      <w:b/>
      <w:kern w:val="2"/>
      <w:sz w:val="30"/>
    </w:rPr>
  </w:style>
  <w:style w:type="paragraph" w:customStyle="1" w:styleId="176">
    <w:name w:val="font14"/>
    <w:basedOn w:val="1"/>
    <w:qFormat/>
    <w:uiPriority w:val="0"/>
    <w:pPr>
      <w:widowControl/>
      <w:spacing w:before="100" w:beforeAutospacing="1" w:after="100" w:afterAutospacing="1"/>
      <w:jc w:val="left"/>
    </w:pPr>
    <w:rPr>
      <w:kern w:val="0"/>
      <w:sz w:val="22"/>
      <w:szCs w:val="22"/>
    </w:rPr>
  </w:style>
  <w:style w:type="paragraph" w:customStyle="1" w:styleId="177">
    <w:name w:val="Table - Col. Head"/>
    <w:basedOn w:val="1"/>
    <w:qFormat/>
    <w:uiPriority w:val="0"/>
    <w:pPr>
      <w:keepNext/>
      <w:widowControl/>
      <w:spacing w:before="60" w:after="156" w:afterLines="50"/>
      <w:jc w:val="left"/>
    </w:pPr>
    <w:rPr>
      <w:rFonts w:ascii="Arial" w:hAnsi="Arial"/>
      <w:b/>
      <w:kern w:val="0"/>
      <w:sz w:val="18"/>
      <w:lang w:eastAsia="en-US"/>
    </w:rPr>
  </w:style>
  <w:style w:type="paragraph" w:customStyle="1" w:styleId="178">
    <w:name w:val="_Style 2"/>
    <w:basedOn w:val="1"/>
    <w:qFormat/>
    <w:uiPriority w:val="34"/>
    <w:pPr>
      <w:ind w:firstLine="420" w:firstLineChars="200"/>
    </w:pPr>
    <w:rPr>
      <w:rFonts w:ascii="Calibri" w:hAnsi="Calibri"/>
      <w:szCs w:val="22"/>
    </w:rPr>
  </w:style>
  <w:style w:type="paragraph" w:customStyle="1" w:styleId="179">
    <w:name w:val="xl29"/>
    <w:basedOn w:val="1"/>
    <w:qFormat/>
    <w:uiPriority w:val="0"/>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180">
    <w:name w:val="xl4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1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82">
    <w:name w:val="Char"/>
    <w:basedOn w:val="1"/>
    <w:qFormat/>
    <w:uiPriority w:val="0"/>
    <w:rPr>
      <w:rFonts w:ascii="仿宋_GB2312" w:eastAsia="仿宋_GB2312"/>
      <w:b/>
      <w:sz w:val="32"/>
      <w:szCs w:val="32"/>
    </w:rPr>
  </w:style>
  <w:style w:type="paragraph" w:customStyle="1" w:styleId="183">
    <w:name w:val="font7"/>
    <w:basedOn w:val="1"/>
    <w:qFormat/>
    <w:uiPriority w:val="0"/>
    <w:pPr>
      <w:widowControl/>
      <w:spacing w:before="100" w:beforeAutospacing="1" w:after="100" w:afterAutospacing="1"/>
      <w:jc w:val="left"/>
    </w:pPr>
    <w:rPr>
      <w:kern w:val="0"/>
      <w:sz w:val="20"/>
    </w:rPr>
  </w:style>
  <w:style w:type="paragraph" w:customStyle="1" w:styleId="184">
    <w:name w:val="font12"/>
    <w:basedOn w:val="1"/>
    <w:qFormat/>
    <w:uiPriority w:val="0"/>
    <w:pPr>
      <w:widowControl/>
      <w:spacing w:before="100" w:beforeAutospacing="1" w:after="100" w:afterAutospacing="1"/>
      <w:jc w:val="left"/>
    </w:pPr>
    <w:rPr>
      <w:kern w:val="0"/>
      <w:sz w:val="20"/>
    </w:rPr>
  </w:style>
  <w:style w:type="paragraph" w:customStyle="1" w:styleId="185">
    <w:name w:val="Char Char"/>
    <w:basedOn w:val="1"/>
    <w:qFormat/>
    <w:uiPriority w:val="0"/>
    <w:rPr>
      <w:rFonts w:ascii="Tahoma" w:hAnsi="Tahoma"/>
      <w:sz w:val="24"/>
    </w:rPr>
  </w:style>
  <w:style w:type="paragraph" w:customStyle="1" w:styleId="186">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87">
    <w:name w:val="样式 样式 标题 4 + 段后: 0.5 行1"/>
    <w:basedOn w:val="119"/>
    <w:next w:val="25"/>
    <w:qFormat/>
    <w:uiPriority w:val="0"/>
    <w:pPr>
      <w:spacing w:after="120" w:afterLines="0"/>
    </w:pPr>
  </w:style>
  <w:style w:type="paragraph" w:customStyle="1" w:styleId="188">
    <w:name w:val="标准标题2"/>
    <w:basedOn w:val="4"/>
    <w:qFormat/>
    <w:uiPriority w:val="0"/>
    <w:pPr>
      <w:spacing w:line="360" w:lineRule="auto"/>
      <w:ind w:left="0" w:firstLine="0"/>
    </w:pPr>
    <w:rPr>
      <w:rFonts w:eastAsia="仿宋_GB2312"/>
      <w:bCs w:val="0"/>
      <w:sz w:val="28"/>
    </w:rPr>
  </w:style>
  <w:style w:type="paragraph" w:customStyle="1" w:styleId="189">
    <w:name w:val="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90">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91">
    <w:name w:val="正文 + 小四"/>
    <w:basedOn w:val="1"/>
    <w:qFormat/>
    <w:uiPriority w:val="0"/>
    <w:pPr>
      <w:jc w:val="center"/>
    </w:pPr>
    <w:rPr>
      <w:sz w:val="24"/>
      <w:szCs w:val="24"/>
    </w:rPr>
  </w:style>
  <w:style w:type="paragraph" w:customStyle="1" w:styleId="192">
    <w:name w:val="P1"/>
    <w:basedOn w:val="1"/>
    <w:qFormat/>
    <w:uiPriority w:val="0"/>
    <w:pPr>
      <w:widowControl/>
      <w:spacing w:before="240" w:line="240" w:lineRule="atLeast"/>
      <w:jc w:val="left"/>
    </w:pPr>
    <w:rPr>
      <w:b/>
      <w:kern w:val="0"/>
      <w:szCs w:val="21"/>
      <w:lang w:val="en-AU" w:eastAsia="en-US"/>
    </w:rPr>
  </w:style>
  <w:style w:type="paragraph" w:customStyle="1" w:styleId="19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4">
    <w:name w:val="样式 样式 正文文本缩进 + 仿宋_GB2312 小四 首行缩进:  0 厘米 行距: 1.5 倍行距 + (中文) 仿宋_GB..."/>
    <w:basedOn w:val="134"/>
    <w:qFormat/>
    <w:uiPriority w:val="0"/>
    <w:pPr>
      <w:ind w:firstLine="480" w:firstLineChars="200"/>
    </w:pPr>
  </w:style>
  <w:style w:type="paragraph" w:customStyle="1" w:styleId="195">
    <w:name w:val="S4-L15-C"/>
    <w:basedOn w:val="1"/>
    <w:qFormat/>
    <w:uiPriority w:val="0"/>
    <w:pPr>
      <w:spacing w:after="120" w:line="360" w:lineRule="auto"/>
      <w:jc w:val="center"/>
    </w:pPr>
    <w:rPr>
      <w:szCs w:val="21"/>
    </w:rPr>
  </w:style>
  <w:style w:type="paragraph" w:customStyle="1" w:styleId="196">
    <w:name w:val="样式 标题 2Chapter X.X. Statementh22Header 2l2Level 2 Headhea...1"/>
    <w:basedOn w:val="5"/>
    <w:qFormat/>
    <w:uiPriority w:val="0"/>
    <w:pPr>
      <w:keepNext/>
      <w:autoSpaceDE/>
      <w:autoSpaceDN/>
      <w:adjustRightInd/>
      <w:spacing w:before="120" w:after="156" w:afterLines="50" w:line="240" w:lineRule="auto"/>
      <w:ind w:left="0" w:firstLine="0"/>
      <w:jc w:val="left"/>
      <w:textAlignment w:val="auto"/>
    </w:pPr>
    <w:rPr>
      <w:rFonts w:ascii="宋体" w:eastAsia="宋体" w:cs="宋体"/>
      <w:bCs/>
      <w:snapToGrid w:val="0"/>
      <w:color w:val="auto"/>
      <w:sz w:val="24"/>
    </w:rPr>
  </w:style>
  <w:style w:type="paragraph" w:customStyle="1" w:styleId="197">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198">
    <w:name w:val="Char Char Char Char1 Char Char1"/>
    <w:basedOn w:val="1"/>
    <w:qFormat/>
    <w:uiPriority w:val="0"/>
    <w:pPr>
      <w:widowControl/>
      <w:spacing w:after="160" w:line="240" w:lineRule="exact"/>
      <w:jc w:val="left"/>
    </w:pPr>
    <w:rPr>
      <w:rFonts w:ascii="Verdana" w:hAnsi="Verdana"/>
      <w:kern w:val="0"/>
      <w:sz w:val="20"/>
      <w:lang w:eastAsia="en-US"/>
    </w:rPr>
  </w:style>
  <w:style w:type="paragraph" w:customStyle="1" w:styleId="199">
    <w:name w:val="Char3 Char Char Char"/>
    <w:basedOn w:val="1"/>
    <w:qFormat/>
    <w:uiPriority w:val="0"/>
    <w:pPr>
      <w:widowControl/>
      <w:spacing w:after="160" w:line="240" w:lineRule="exact"/>
      <w:jc w:val="left"/>
    </w:pPr>
  </w:style>
  <w:style w:type="paragraph" w:customStyle="1" w:styleId="200">
    <w:name w:val="Char Char Char Char Char Char Char Char"/>
    <w:basedOn w:val="1"/>
    <w:qFormat/>
    <w:uiPriority w:val="0"/>
    <w:pPr>
      <w:tabs>
        <w:tab w:val="left" w:pos="360"/>
      </w:tabs>
    </w:pPr>
    <w:rPr>
      <w:sz w:val="24"/>
      <w:szCs w:val="24"/>
    </w:rPr>
  </w:style>
  <w:style w:type="paragraph" w:customStyle="1" w:styleId="201">
    <w:name w:val="样式 标题 3Chapter X.X.X. + 五号 段后: 0.5 行"/>
    <w:basedOn w:val="5"/>
    <w:qFormat/>
    <w:uiPriority w:val="0"/>
    <w:pPr>
      <w:keepNext/>
      <w:autoSpaceDE/>
      <w:autoSpaceDN/>
      <w:adjustRightInd/>
      <w:spacing w:before="120" w:after="156" w:afterLines="50" w:line="240" w:lineRule="auto"/>
      <w:ind w:left="0" w:firstLine="0"/>
      <w:jc w:val="left"/>
      <w:textAlignment w:val="auto"/>
    </w:pPr>
    <w:rPr>
      <w:rFonts w:ascii="宋体" w:eastAsia="宋体" w:cs="宋体"/>
      <w:bCs/>
      <w:snapToGrid w:val="0"/>
      <w:color w:val="auto"/>
      <w:sz w:val="21"/>
    </w:rPr>
  </w:style>
  <w:style w:type="paragraph" w:customStyle="1" w:styleId="202">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203">
    <w:name w:val="Table - Text"/>
    <w:basedOn w:val="1"/>
    <w:qFormat/>
    <w:uiPriority w:val="0"/>
    <w:pPr>
      <w:widowControl/>
      <w:spacing w:before="60" w:after="156" w:afterLines="50"/>
      <w:jc w:val="left"/>
    </w:pPr>
    <w:rPr>
      <w:kern w:val="0"/>
      <w:lang w:eastAsia="en-US"/>
    </w:rPr>
  </w:style>
  <w:style w:type="paragraph" w:customStyle="1" w:styleId="204">
    <w:name w:val="xl4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Helv" w:hAnsi="Helv"/>
      <w:b/>
      <w:bCs/>
      <w:kern w:val="0"/>
      <w:sz w:val="28"/>
      <w:szCs w:val="28"/>
    </w:rPr>
  </w:style>
  <w:style w:type="paragraph" w:customStyle="1" w:styleId="205">
    <w:name w:val="font8"/>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6">
    <w:name w:val="样式 三号 加粗 段后: 0.5 行"/>
    <w:basedOn w:val="1"/>
    <w:qFormat/>
    <w:uiPriority w:val="0"/>
    <w:pPr>
      <w:spacing w:after="156" w:afterLines="50"/>
      <w:jc w:val="left"/>
    </w:pPr>
    <w:rPr>
      <w:rFonts w:ascii="宋体" w:cs="宋体"/>
      <w:b/>
      <w:bCs/>
      <w:snapToGrid w:val="0"/>
      <w:kern w:val="0"/>
      <w:sz w:val="32"/>
    </w:rPr>
  </w:style>
  <w:style w:type="paragraph" w:customStyle="1" w:styleId="207">
    <w:name w:val="样式 宋体 小四"/>
    <w:basedOn w:val="1"/>
    <w:qFormat/>
    <w:uiPriority w:val="0"/>
    <w:pPr>
      <w:spacing w:line="360" w:lineRule="auto"/>
      <w:ind w:firstLine="560" w:firstLineChars="200"/>
    </w:pPr>
    <w:rPr>
      <w:rFonts w:ascii="宋体" w:hAnsi="宋体" w:cs="宋体"/>
      <w:sz w:val="24"/>
      <w:szCs w:val="24"/>
    </w:rPr>
  </w:style>
  <w:style w:type="paragraph" w:customStyle="1" w:styleId="208">
    <w:name w:val="Bullet1"/>
    <w:basedOn w:val="1"/>
    <w:qFormat/>
    <w:uiPriority w:val="0"/>
    <w:pPr>
      <w:spacing w:after="156" w:afterLines="50"/>
      <w:ind w:left="720" w:hanging="432"/>
      <w:jc w:val="left"/>
    </w:pPr>
    <w:rPr>
      <w:rFonts w:ascii="宋体"/>
      <w:snapToGrid w:val="0"/>
      <w:kern w:val="0"/>
    </w:rPr>
  </w:style>
  <w:style w:type="paragraph" w:customStyle="1" w:styleId="209">
    <w:name w:val="样式 标题 3Chapter X.X.X. + 段后: 0.5 行1"/>
    <w:basedOn w:val="5"/>
    <w:next w:val="1"/>
    <w:qFormat/>
    <w:uiPriority w:val="0"/>
    <w:pPr>
      <w:keepNext/>
      <w:autoSpaceDE/>
      <w:autoSpaceDN/>
      <w:adjustRightInd/>
      <w:spacing w:before="120" w:after="156" w:afterLines="50" w:line="240" w:lineRule="auto"/>
      <w:ind w:left="0" w:firstLine="0"/>
      <w:jc w:val="left"/>
      <w:textAlignment w:val="auto"/>
    </w:pPr>
    <w:rPr>
      <w:rFonts w:ascii="宋体" w:eastAsia="宋体" w:cs="宋体"/>
      <w:bCs/>
      <w:snapToGrid w:val="0"/>
      <w:color w:val="auto"/>
      <w:sz w:val="24"/>
    </w:rPr>
  </w:style>
  <w:style w:type="paragraph" w:customStyle="1" w:styleId="210">
    <w:name w:val="xl32"/>
    <w:basedOn w:val="1"/>
    <w:qFormat/>
    <w:uiPriority w:val="0"/>
    <w:pPr>
      <w:widowControl/>
      <w:spacing w:before="100" w:beforeAutospacing="1" w:after="100" w:afterAutospacing="1"/>
      <w:jc w:val="left"/>
      <w:textAlignment w:val="bottom"/>
    </w:pPr>
    <w:rPr>
      <w:rFonts w:ascii="宋体" w:hAnsi="宋体"/>
      <w:b/>
      <w:bCs/>
      <w:kern w:val="0"/>
      <w:sz w:val="24"/>
      <w:szCs w:val="24"/>
    </w:rPr>
  </w:style>
  <w:style w:type="paragraph" w:customStyle="1" w:styleId="211">
    <w:name w:val="font11"/>
    <w:basedOn w:val="1"/>
    <w:qFormat/>
    <w:uiPriority w:val="0"/>
    <w:pPr>
      <w:widowControl/>
      <w:spacing w:before="100" w:beforeAutospacing="1" w:after="100" w:afterAutospacing="1"/>
      <w:jc w:val="left"/>
    </w:pPr>
    <w:rPr>
      <w:b/>
      <w:bCs/>
      <w:kern w:val="0"/>
      <w:sz w:val="24"/>
      <w:szCs w:val="24"/>
    </w:rPr>
  </w:style>
  <w:style w:type="paragraph" w:customStyle="1" w:styleId="212">
    <w:name w:val="二级项目符号"/>
    <w:basedOn w:val="1"/>
    <w:qFormat/>
    <w:uiPriority w:val="0"/>
    <w:pPr>
      <w:widowControl/>
      <w:tabs>
        <w:tab w:val="left" w:pos="964"/>
      </w:tabs>
      <w:spacing w:line="360" w:lineRule="auto"/>
      <w:ind w:left="964" w:hanging="482"/>
    </w:pPr>
    <w:rPr>
      <w:kern w:val="0"/>
      <w:sz w:val="24"/>
    </w:rPr>
  </w:style>
  <w:style w:type="paragraph" w:customStyle="1" w:styleId="213">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20"/>
    </w:rPr>
  </w:style>
  <w:style w:type="paragraph" w:customStyle="1" w:styleId="214">
    <w:name w:val="此正文"/>
    <w:basedOn w:val="1"/>
    <w:qFormat/>
    <w:uiPriority w:val="0"/>
    <w:pPr>
      <w:spacing w:line="360" w:lineRule="auto"/>
      <w:ind w:firstLine="200" w:firstLineChars="200"/>
    </w:pPr>
    <w:rPr>
      <w:sz w:val="24"/>
    </w:rPr>
  </w:style>
  <w:style w:type="paragraph" w:customStyle="1" w:styleId="215">
    <w:name w:val="五号正文项目（标准）"/>
    <w:basedOn w:val="1"/>
    <w:qFormat/>
    <w:uiPriority w:val="0"/>
    <w:pPr>
      <w:tabs>
        <w:tab w:val="left" w:pos="900"/>
      </w:tabs>
      <w:spacing w:line="400" w:lineRule="exact"/>
      <w:ind w:left="900" w:hanging="540"/>
      <w:jc w:val="left"/>
    </w:pPr>
    <w:rPr>
      <w:rFonts w:ascii="宋体" w:hAnsi="宋体"/>
      <w:color w:val="000000"/>
    </w:rPr>
  </w:style>
  <w:style w:type="paragraph" w:customStyle="1" w:styleId="216">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7">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18">
    <w:name w:val="二级条标题"/>
    <w:basedOn w:val="1"/>
    <w:next w:val="1"/>
    <w:qFormat/>
    <w:uiPriority w:val="0"/>
    <w:pPr>
      <w:widowControl/>
      <w:numPr>
        <w:ilvl w:val="2"/>
        <w:numId w:val="2"/>
      </w:numPr>
      <w:tabs>
        <w:tab w:val="left" w:pos="360"/>
        <w:tab w:val="left" w:pos="1980"/>
      </w:tabs>
      <w:spacing w:before="50" w:after="50"/>
      <w:jc w:val="left"/>
      <w:outlineLvl w:val="3"/>
    </w:pPr>
    <w:rPr>
      <w:rFonts w:ascii="黑体" w:eastAsia="黑体"/>
      <w:kern w:val="0"/>
      <w:szCs w:val="21"/>
    </w:rPr>
  </w:style>
  <w:style w:type="paragraph" w:customStyle="1" w:styleId="219">
    <w:name w:val="Style-正文"/>
    <w:basedOn w:val="1"/>
    <w:qFormat/>
    <w:uiPriority w:val="0"/>
    <w:pPr>
      <w:spacing w:line="360" w:lineRule="auto"/>
      <w:ind w:firstLine="420"/>
    </w:pPr>
    <w:rPr>
      <w:rFonts w:ascii="宋体" w:hAnsi="宋体"/>
      <w:sz w:val="24"/>
      <w:szCs w:val="24"/>
    </w:rPr>
  </w:style>
  <w:style w:type="paragraph" w:customStyle="1" w:styleId="220">
    <w:name w:val="标准标题1"/>
    <w:basedOn w:val="3"/>
    <w:qFormat/>
    <w:uiPriority w:val="0"/>
    <w:pPr>
      <w:pageBreakBefore/>
      <w:tabs>
        <w:tab w:val="left" w:pos="1080"/>
        <w:tab w:val="clear" w:pos="36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22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22">
    <w:name w:val="Paragraph2"/>
    <w:basedOn w:val="1"/>
    <w:qFormat/>
    <w:uiPriority w:val="0"/>
    <w:pPr>
      <w:spacing w:before="80" w:after="156" w:afterLines="50"/>
      <w:ind w:left="720"/>
    </w:pPr>
    <w:rPr>
      <w:rFonts w:ascii="宋体"/>
      <w:snapToGrid w:val="0"/>
      <w:color w:val="000000"/>
      <w:kern w:val="0"/>
      <w:lang w:val="en-AU"/>
    </w:rPr>
  </w:style>
  <w:style w:type="paragraph" w:customStyle="1" w:styleId="223">
    <w:name w:val="Blockquote"/>
    <w:basedOn w:val="1"/>
    <w:qFormat/>
    <w:uiPriority w:val="0"/>
    <w:pPr>
      <w:widowControl/>
      <w:spacing w:before="100" w:after="156" w:afterLines="50"/>
      <w:ind w:left="360" w:right="360"/>
      <w:jc w:val="left"/>
    </w:pPr>
    <w:rPr>
      <w:rFonts w:ascii="宋体"/>
      <w:snapToGrid w:val="0"/>
      <w:kern w:val="0"/>
      <w:sz w:val="24"/>
      <w:lang w:val="en-CA"/>
    </w:rPr>
  </w:style>
  <w:style w:type="paragraph" w:customStyle="1" w:styleId="224">
    <w:name w:val="圆点"/>
    <w:basedOn w:val="1"/>
    <w:qFormat/>
    <w:uiPriority w:val="0"/>
    <w:pPr>
      <w:spacing w:before="156" w:beforeLines="50" w:after="156" w:afterLines="50" w:line="360" w:lineRule="auto"/>
      <w:ind w:firstLine="480" w:firstLineChars="200"/>
    </w:pPr>
    <w:rPr>
      <w:rFonts w:ascii="仿宋_GB2312" w:eastAsia="仿宋_GB2312"/>
      <w:sz w:val="24"/>
      <w:szCs w:val="24"/>
    </w:rPr>
  </w:style>
  <w:style w:type="paragraph" w:customStyle="1" w:styleId="2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0"/>
    </w:rPr>
  </w:style>
  <w:style w:type="paragraph" w:customStyle="1" w:styleId="226">
    <w:name w:val="正文11"/>
    <w:basedOn w:val="1"/>
    <w:next w:val="1"/>
    <w:qFormat/>
    <w:uiPriority w:val="0"/>
    <w:pPr>
      <w:spacing w:before="100" w:after="100" w:line="400" w:lineRule="exact"/>
      <w:ind w:firstLine="480"/>
      <w:jc w:val="left"/>
    </w:pPr>
    <w:rPr>
      <w:rFonts w:ascii="Arial" w:hAnsi="Arial"/>
      <w:sz w:val="24"/>
    </w:rPr>
  </w:style>
  <w:style w:type="paragraph" w:customStyle="1" w:styleId="227">
    <w:name w:val="样式 左侧:  1 厘米 段后: 0.5 行"/>
    <w:basedOn w:val="1"/>
    <w:qFormat/>
    <w:uiPriority w:val="0"/>
    <w:pPr>
      <w:spacing w:after="156" w:afterLines="50"/>
      <w:ind w:firstLine="425"/>
      <w:jc w:val="left"/>
    </w:pPr>
    <w:rPr>
      <w:rFonts w:ascii="宋体" w:cs="宋体"/>
      <w:snapToGrid w:val="0"/>
      <w:kern w:val="0"/>
    </w:rPr>
  </w:style>
  <w:style w:type="paragraph" w:customStyle="1" w:styleId="22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28"/>
    <w:basedOn w:val="1"/>
    <w:qFormat/>
    <w:uiPriority w:val="0"/>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30">
    <w:name w:val="标准标题3"/>
    <w:basedOn w:val="5"/>
    <w:qFormat/>
    <w:uiPriority w:val="0"/>
    <w:pPr>
      <w:keepNext/>
      <w:keepLines/>
      <w:tabs>
        <w:tab w:val="left" w:pos="1050"/>
        <w:tab w:val="clear" w:pos="709"/>
      </w:tabs>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2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232">
    <w:name w:val="Char Char Char Char Char Char Char"/>
    <w:basedOn w:val="1"/>
    <w:qFormat/>
    <w:uiPriority w:val="0"/>
    <w:pPr>
      <w:tabs>
        <w:tab w:val="left" w:pos="432"/>
      </w:tabs>
      <w:ind w:left="432" w:hanging="432"/>
    </w:pPr>
    <w:rPr>
      <w:rFonts w:ascii="Tahoma" w:hAnsi="Tahoma"/>
      <w:sz w:val="24"/>
    </w:rPr>
  </w:style>
  <w:style w:type="paragraph" w:customStyle="1" w:styleId="233">
    <w:name w:val="样式 样式 样式 标题 3Chapter X.X.X. + 段后: 0.5 行 + 段后: 0.5 行 + 段后: 0.5 行"/>
    <w:basedOn w:val="125"/>
    <w:qFormat/>
    <w:uiPriority w:val="0"/>
    <w:pPr>
      <w:spacing w:after="120" w:afterLines="0"/>
    </w:pPr>
  </w:style>
  <w:style w:type="paragraph" w:customStyle="1" w:styleId="234">
    <w:name w:val="表内文字"/>
    <w:basedOn w:val="1"/>
    <w:qFormat/>
    <w:uiPriority w:val="0"/>
    <w:pPr>
      <w:tabs>
        <w:tab w:val="left" w:pos="3060"/>
      </w:tabs>
      <w:spacing w:line="400" w:lineRule="atLeast"/>
    </w:pPr>
    <w:rPr>
      <w:rFonts w:ascii="仿宋_GB2312" w:eastAsia="仿宋_GB2312"/>
      <w:b/>
      <w:bCs/>
      <w:sz w:val="24"/>
      <w:szCs w:val="24"/>
    </w:rPr>
  </w:style>
  <w:style w:type="paragraph" w:customStyle="1" w:styleId="235">
    <w:name w:val="Char Char Char"/>
    <w:basedOn w:val="15"/>
    <w:qFormat/>
    <w:uiPriority w:val="0"/>
    <w:rPr>
      <w:rFonts w:ascii="Tahoma" w:hAnsi="Tahoma" w:eastAsia="宋体"/>
      <w:sz w:val="24"/>
    </w:rPr>
  </w:style>
  <w:style w:type="paragraph" w:customStyle="1" w:styleId="236">
    <w:name w:val="S4-L15-No"/>
    <w:basedOn w:val="122"/>
    <w:qFormat/>
    <w:uiPriority w:val="0"/>
    <w:pPr>
      <w:tabs>
        <w:tab w:val="left" w:pos="720"/>
      </w:tabs>
      <w:ind w:hanging="720"/>
    </w:pPr>
  </w:style>
  <w:style w:type="paragraph" w:customStyle="1" w:styleId="237">
    <w:name w:val="Default"/>
    <w:qFormat/>
    <w:uiPriority w:val="0"/>
    <w:pPr>
      <w:widowControl w:val="0"/>
      <w:autoSpaceDE w:val="0"/>
      <w:autoSpaceDN w:val="0"/>
      <w:adjustRightInd w:val="0"/>
    </w:pPr>
    <w:rPr>
      <w:rFonts w:ascii="Myriad Pro" w:hAnsi="Times New Roman" w:eastAsia="Myriad Pro" w:cs="Myriad Pro"/>
      <w:color w:val="000000"/>
      <w:sz w:val="24"/>
      <w:szCs w:val="24"/>
      <w:lang w:val="en-US" w:eastAsia="zh-CN" w:bidi="ar-SA"/>
    </w:rPr>
  </w:style>
  <w:style w:type="paragraph" w:customStyle="1" w:styleId="238">
    <w:name w:val="Char1"/>
    <w:basedOn w:val="1"/>
    <w:qFormat/>
    <w:uiPriority w:val="0"/>
    <w:rPr>
      <w:rFonts w:ascii="仿宋_GB2312" w:eastAsia="仿宋_GB2312"/>
      <w:b/>
      <w:sz w:val="32"/>
      <w:szCs w:val="32"/>
    </w:rPr>
  </w:style>
  <w:style w:type="paragraph" w:customStyle="1" w:styleId="239">
    <w:name w:val="Char Char3 Char Char Char Char"/>
    <w:basedOn w:val="1"/>
    <w:qFormat/>
    <w:uiPriority w:val="0"/>
    <w:pPr>
      <w:widowControl/>
      <w:spacing w:after="160" w:line="360" w:lineRule="auto"/>
      <w:jc w:val="left"/>
    </w:pPr>
    <w:rPr>
      <w:rFonts w:ascii="Verdana" w:hAnsi="Verdana"/>
      <w:kern w:val="0"/>
      <w:sz w:val="24"/>
      <w:lang w:eastAsia="en-US"/>
    </w:rPr>
  </w:style>
  <w:style w:type="paragraph" w:customStyle="1" w:styleId="240">
    <w:name w:val="S4-I-U-L15-No-dot"/>
    <w:basedOn w:val="1"/>
    <w:qFormat/>
    <w:uiPriority w:val="0"/>
    <w:pPr>
      <w:tabs>
        <w:tab w:val="left" w:pos="1112"/>
      </w:tabs>
      <w:spacing w:after="120" w:line="360" w:lineRule="auto"/>
      <w:ind w:left="1112" w:hanging="420"/>
    </w:pPr>
    <w:rPr>
      <w:i/>
      <w:sz w:val="24"/>
      <w:szCs w:val="24"/>
      <w:u w:val="single"/>
    </w:rPr>
  </w:style>
  <w:style w:type="paragraph" w:customStyle="1" w:styleId="2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42">
    <w:name w:val="IBM 正文"/>
    <w:basedOn w:val="1"/>
    <w:qFormat/>
    <w:uiPriority w:val="0"/>
    <w:pPr>
      <w:spacing w:line="360" w:lineRule="atLeast"/>
    </w:pPr>
    <w:rPr>
      <w:sz w:val="24"/>
    </w:rPr>
  </w:style>
  <w:style w:type="paragraph" w:customStyle="1" w:styleId="243">
    <w:name w:val="Char Char Char Char Char Char Char Char1"/>
    <w:basedOn w:val="1"/>
    <w:qFormat/>
    <w:uiPriority w:val="0"/>
    <w:pPr>
      <w:tabs>
        <w:tab w:val="left" w:pos="360"/>
      </w:tabs>
    </w:pPr>
    <w:rPr>
      <w:sz w:val="24"/>
      <w:szCs w:val="24"/>
    </w:rPr>
  </w:style>
  <w:style w:type="paragraph" w:customStyle="1" w:styleId="244">
    <w:name w:val="Tabletext"/>
    <w:basedOn w:val="1"/>
    <w:qFormat/>
    <w:uiPriority w:val="0"/>
    <w:pPr>
      <w:keepLines/>
      <w:spacing w:after="156" w:afterLines="50"/>
      <w:jc w:val="left"/>
    </w:pPr>
    <w:rPr>
      <w:rFonts w:ascii="宋体"/>
      <w:snapToGrid w:val="0"/>
      <w:kern w:val="0"/>
    </w:rPr>
  </w:style>
  <w:style w:type="paragraph" w:customStyle="1" w:styleId="24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20"/>
    </w:rPr>
  </w:style>
  <w:style w:type="paragraph" w:customStyle="1" w:styleId="246">
    <w:name w:val="文本框内文字"/>
    <w:basedOn w:val="1"/>
    <w:qFormat/>
    <w:uiPriority w:val="0"/>
    <w:pPr>
      <w:spacing w:line="0" w:lineRule="atLeast"/>
    </w:pPr>
    <w:rPr>
      <w:rFonts w:eastAsia="仿宋_GB2312"/>
      <w:sz w:val="22"/>
      <w:szCs w:val="24"/>
    </w:rPr>
  </w:style>
  <w:style w:type="paragraph" w:customStyle="1" w:styleId="2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48">
    <w:name w:val="样式 标题 3(A-3)sect1.2.3h3H3level_3PIM 3Level 3 HeadHeading..."/>
    <w:basedOn w:val="5"/>
    <w:qFormat/>
    <w:uiPriority w:val="0"/>
    <w:pPr>
      <w:keepNext/>
      <w:keepLines/>
      <w:autoSpaceDE/>
      <w:autoSpaceDN/>
      <w:adjustRightInd/>
      <w:spacing w:before="260" w:after="260" w:line="416" w:lineRule="auto"/>
      <w:ind w:left="0" w:firstLine="0"/>
      <w:textAlignment w:val="auto"/>
    </w:pPr>
    <w:rPr>
      <w:rFonts w:ascii="Arial" w:hAnsi="Arial" w:eastAsia="宋体"/>
      <w:bCs/>
      <w:color w:val="auto"/>
      <w:kern w:val="2"/>
      <w:sz w:val="30"/>
      <w:szCs w:val="32"/>
    </w:rPr>
  </w:style>
  <w:style w:type="paragraph" w:customStyle="1" w:styleId="249">
    <w:name w:val="样式 标题 3Chapter X.X.X"/>
    <w:basedOn w:val="124"/>
    <w:qFormat/>
    <w:uiPriority w:val="0"/>
    <w:pPr>
      <w:spacing w:after="120" w:afterLines="0"/>
    </w:pPr>
  </w:style>
  <w:style w:type="paragraph" w:customStyle="1" w:styleId="250">
    <w:name w:val="P2"/>
    <w:basedOn w:val="1"/>
    <w:qFormat/>
    <w:uiPriority w:val="0"/>
    <w:pPr>
      <w:widowControl/>
      <w:spacing w:before="240" w:line="240" w:lineRule="atLeast"/>
      <w:ind w:left="578"/>
      <w:jc w:val="left"/>
    </w:pPr>
    <w:rPr>
      <w:b/>
      <w:kern w:val="0"/>
      <w:szCs w:val="21"/>
      <w:lang w:val="en-AU" w:eastAsia="en-US"/>
    </w:rPr>
  </w:style>
  <w:style w:type="paragraph" w:customStyle="1" w:styleId="251">
    <w:name w:val="Char Char21"/>
    <w:basedOn w:val="1"/>
    <w:qFormat/>
    <w:uiPriority w:val="0"/>
    <w:rPr>
      <w:rFonts w:ascii="仿宋_GB2312" w:eastAsia="仿宋_GB2312"/>
      <w:b/>
      <w:sz w:val="32"/>
      <w:szCs w:val="32"/>
    </w:rPr>
  </w:style>
  <w:style w:type="paragraph" w:customStyle="1" w:styleId="252">
    <w:name w:val="S4-I-L15-U"/>
    <w:basedOn w:val="1"/>
    <w:qFormat/>
    <w:uiPriority w:val="0"/>
    <w:pPr>
      <w:spacing w:line="360" w:lineRule="auto"/>
    </w:pPr>
    <w:rPr>
      <w:b/>
      <w:i/>
      <w:sz w:val="24"/>
      <w:szCs w:val="24"/>
      <w:u w:val="single"/>
    </w:rPr>
  </w:style>
  <w:style w:type="paragraph" w:customStyle="1" w:styleId="253">
    <w:name w:val="Paragraph4"/>
    <w:basedOn w:val="1"/>
    <w:qFormat/>
    <w:uiPriority w:val="0"/>
    <w:pPr>
      <w:spacing w:before="80" w:after="156" w:afterLines="50"/>
      <w:ind w:left="2250"/>
    </w:pPr>
    <w:rPr>
      <w:rFonts w:ascii="宋体"/>
      <w:snapToGrid w:val="0"/>
      <w:kern w:val="0"/>
    </w:rPr>
  </w:style>
  <w:style w:type="paragraph" w:customStyle="1" w:styleId="254">
    <w:name w:val="样式 标题 2Chapter X.X. Statementh22Header 2l2Level 2 Headhea..."/>
    <w:basedOn w:val="4"/>
    <w:qFormat/>
    <w:uiPriority w:val="0"/>
    <w:pPr>
      <w:keepLines w:val="0"/>
      <w:spacing w:before="120" w:after="156" w:afterLines="50" w:line="240" w:lineRule="auto"/>
      <w:ind w:left="0" w:firstLine="0"/>
      <w:jc w:val="left"/>
    </w:pPr>
    <w:rPr>
      <w:rFonts w:ascii="宋体" w:hAnsi="Times New Roman" w:eastAsia="宋体" w:cs="宋体"/>
      <w:snapToGrid w:val="0"/>
      <w:kern w:val="0"/>
      <w:sz w:val="24"/>
      <w:szCs w:val="24"/>
    </w:rPr>
  </w:style>
  <w:style w:type="paragraph" w:customStyle="1" w:styleId="255">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6">
    <w:name w:val="Paragraph1"/>
    <w:basedOn w:val="1"/>
    <w:qFormat/>
    <w:uiPriority w:val="0"/>
    <w:pPr>
      <w:spacing w:before="80" w:after="156" w:afterLines="50"/>
    </w:pPr>
    <w:rPr>
      <w:rFonts w:ascii="宋体"/>
      <w:snapToGrid w:val="0"/>
      <w:kern w:val="0"/>
    </w:rPr>
  </w:style>
  <w:style w:type="paragraph" w:customStyle="1" w:styleId="257">
    <w:name w:val="Bullet2"/>
    <w:basedOn w:val="1"/>
    <w:qFormat/>
    <w:uiPriority w:val="0"/>
    <w:pPr>
      <w:spacing w:after="156" w:afterLines="50"/>
      <w:ind w:left="1440" w:hanging="360"/>
      <w:jc w:val="left"/>
    </w:pPr>
    <w:rPr>
      <w:rFonts w:ascii="宋体"/>
      <w:snapToGrid w:val="0"/>
      <w:color w:val="000080"/>
      <w:kern w:val="0"/>
    </w:rPr>
  </w:style>
  <w:style w:type="paragraph" w:customStyle="1" w:styleId="258">
    <w:name w:val="普通正文"/>
    <w:basedOn w:val="1"/>
    <w:qFormat/>
    <w:uiPriority w:val="0"/>
    <w:pPr>
      <w:tabs>
        <w:tab w:val="left" w:pos="360"/>
      </w:tabs>
      <w:spacing w:line="360" w:lineRule="auto"/>
      <w:ind w:firstLine="720" w:firstLineChars="225"/>
    </w:pPr>
    <w:rPr>
      <w:rFonts w:ascii="仿宋_GB2312" w:hAnsi="宋体" w:eastAsia="仿宋_GB2312"/>
      <w:iCs/>
      <w:sz w:val="32"/>
      <w:szCs w:val="32"/>
    </w:rPr>
  </w:style>
  <w:style w:type="paragraph" w:customStyle="1" w:styleId="259">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60">
    <w:name w:val="Char11"/>
    <w:basedOn w:val="1"/>
    <w:qFormat/>
    <w:uiPriority w:val="0"/>
    <w:rPr>
      <w:rFonts w:ascii="仿宋_GB2312" w:eastAsia="仿宋_GB2312"/>
      <w:b/>
      <w:sz w:val="32"/>
      <w:szCs w:val="32"/>
    </w:rPr>
  </w:style>
  <w:style w:type="paragraph" w:customStyle="1" w:styleId="26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62">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263">
    <w:name w:val="font13"/>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64">
    <w:name w:val="Char21"/>
    <w:basedOn w:val="1"/>
    <w:qFormat/>
    <w:uiPriority w:val="0"/>
  </w:style>
  <w:style w:type="paragraph" w:customStyle="1" w:styleId="265">
    <w:name w:val="CM7"/>
    <w:basedOn w:val="237"/>
    <w:next w:val="237"/>
    <w:qFormat/>
    <w:uiPriority w:val="0"/>
    <w:pPr>
      <w:spacing w:line="193" w:lineRule="atLeast"/>
    </w:pPr>
    <w:rPr>
      <w:color w:val="auto"/>
    </w:rPr>
  </w:style>
  <w:style w:type="paragraph" w:customStyle="1" w:styleId="266">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267">
    <w:name w:val="paragraph1"/>
    <w:basedOn w:val="1"/>
    <w:qFormat/>
    <w:uiPriority w:val="0"/>
    <w:pPr>
      <w:spacing w:after="93" w:afterLines="30" w:line="360" w:lineRule="auto"/>
      <w:ind w:firstLine="420" w:firstLineChars="200"/>
    </w:pPr>
    <w:rPr>
      <w:rFonts w:eastAsia="楷体_GB2312"/>
      <w:sz w:val="24"/>
    </w:rPr>
  </w:style>
  <w:style w:type="paragraph" w:customStyle="1" w:styleId="268">
    <w:name w:val="Char Char Char Char Char Char Char Char Char Char Char Char Char"/>
    <w:basedOn w:val="1"/>
    <w:qFormat/>
    <w:uiPriority w:val="0"/>
    <w:pPr>
      <w:tabs>
        <w:tab w:val="left" w:pos="432"/>
      </w:tabs>
      <w:ind w:left="432" w:hanging="432"/>
    </w:pPr>
    <w:rPr>
      <w:rFonts w:ascii="Tahoma" w:hAnsi="Tahoma"/>
      <w:sz w:val="24"/>
    </w:rPr>
  </w:style>
  <w:style w:type="paragraph" w:customStyle="1" w:styleId="269">
    <w:name w:val="不可偏离参数"/>
    <w:basedOn w:val="8"/>
    <w:qFormat/>
    <w:uiPriority w:val="0"/>
    <w:pPr>
      <w:tabs>
        <w:tab w:val="left" w:pos="630"/>
      </w:tabs>
      <w:spacing w:before="0" w:after="0" w:line="240" w:lineRule="auto"/>
    </w:pPr>
    <w:rPr>
      <w:rFonts w:eastAsia="黑体"/>
      <w:b w:val="0"/>
      <w:sz w:val="24"/>
    </w:rPr>
  </w:style>
  <w:style w:type="paragraph" w:customStyle="1" w:styleId="270">
    <w:name w:val="列出段落1"/>
    <w:basedOn w:val="1"/>
    <w:qFormat/>
    <w:uiPriority w:val="0"/>
    <w:pPr>
      <w:ind w:firstLine="420" w:firstLineChars="200"/>
    </w:pPr>
    <w:rPr>
      <w:rFonts w:ascii="Calibri" w:hAnsi="Calibri"/>
      <w:szCs w:val="22"/>
    </w:rPr>
  </w:style>
  <w:style w:type="paragraph" w:customStyle="1" w:styleId="271">
    <w:name w:val="List Paragraph"/>
    <w:basedOn w:val="1"/>
    <w:qFormat/>
    <w:uiPriority w:val="0"/>
    <w:pPr>
      <w:ind w:firstLine="420" w:firstLineChars="200"/>
    </w:pPr>
    <w:rPr>
      <w:rFonts w:ascii="Calibri" w:hAnsi="Calibri"/>
      <w:szCs w:val="22"/>
    </w:rPr>
  </w:style>
  <w:style w:type="paragraph" w:customStyle="1" w:styleId="272">
    <w:name w:val="样式2"/>
    <w:basedOn w:val="4"/>
    <w:qFormat/>
    <w:uiPriority w:val="0"/>
    <w:pPr>
      <w:tabs>
        <w:tab w:val="left" w:pos="600"/>
        <w:tab w:val="clear" w:pos="720"/>
      </w:tabs>
      <w:ind w:left="600" w:hanging="600"/>
    </w:pPr>
    <w:rPr>
      <w:rFonts w:eastAsia="宋体"/>
    </w:rPr>
  </w:style>
  <w:style w:type="paragraph" w:customStyle="1" w:styleId="273">
    <w:name w:val="CM1"/>
    <w:basedOn w:val="237"/>
    <w:next w:val="237"/>
    <w:qFormat/>
    <w:uiPriority w:val="0"/>
    <w:pPr>
      <w:spacing w:line="186" w:lineRule="atLeast"/>
    </w:pPr>
    <w:rPr>
      <w:color w:val="auto"/>
    </w:rPr>
  </w:style>
  <w:style w:type="paragraph" w:customStyle="1" w:styleId="274">
    <w:name w:val="P3"/>
    <w:basedOn w:val="1"/>
    <w:qFormat/>
    <w:uiPriority w:val="0"/>
    <w:pPr>
      <w:widowControl/>
      <w:spacing w:before="240" w:line="240" w:lineRule="atLeast"/>
      <w:ind w:left="1152"/>
      <w:jc w:val="left"/>
    </w:pPr>
    <w:rPr>
      <w:b/>
      <w:kern w:val="0"/>
      <w:szCs w:val="21"/>
      <w:lang w:val="en-AU" w:eastAsia="en-US"/>
    </w:rPr>
  </w:style>
  <w:style w:type="paragraph" w:customStyle="1" w:styleId="275">
    <w:name w:val="标准有序列表（L1）"/>
    <w:basedOn w:val="6"/>
    <w:qFormat/>
    <w:uiPriority w:val="0"/>
    <w:pPr>
      <w:tabs>
        <w:tab w:val="left" w:pos="0"/>
      </w:tabs>
      <w:spacing w:line="360" w:lineRule="auto"/>
      <w:ind w:firstLine="0"/>
    </w:pPr>
    <w:rPr>
      <w:rFonts w:ascii="黑体" w:eastAsia="黑体"/>
      <w:color w:val="000000"/>
      <w:sz w:val="24"/>
    </w:rPr>
  </w:style>
  <w:style w:type="paragraph" w:customStyle="1" w:styleId="276">
    <w:name w:val="正文3"/>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277">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7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79">
    <w:name w:val="Char2"/>
    <w:basedOn w:val="1"/>
    <w:qFormat/>
    <w:uiPriority w:val="0"/>
    <w:rPr>
      <w:rFonts w:ascii="仿宋_GB2312" w:eastAsia="仿宋_GB2312"/>
      <w:b/>
      <w:sz w:val="32"/>
      <w:szCs w:val="32"/>
    </w:rPr>
  </w:style>
  <w:style w:type="paragraph" w:customStyle="1" w:styleId="280">
    <w:name w:val="InfoBlue"/>
    <w:basedOn w:val="1"/>
    <w:next w:val="18"/>
    <w:qFormat/>
    <w:uiPriority w:val="0"/>
    <w:pPr>
      <w:spacing w:after="156" w:afterLines="50"/>
      <w:ind w:left="720"/>
      <w:jc w:val="left"/>
    </w:pPr>
    <w:rPr>
      <w:rFonts w:ascii="宋体"/>
      <w:i/>
      <w:snapToGrid w:val="0"/>
      <w:color w:val="0000FF"/>
      <w:kern w:val="0"/>
    </w:rPr>
  </w:style>
  <w:style w:type="paragraph" w:customStyle="1" w:styleId="281">
    <w:name w:val="首行缩进"/>
    <w:basedOn w:val="1"/>
    <w:qFormat/>
    <w:uiPriority w:val="0"/>
    <w:pPr>
      <w:widowControl/>
      <w:tabs>
        <w:tab w:val="left" w:pos="822"/>
      </w:tabs>
      <w:snapToGrid w:val="0"/>
      <w:spacing w:before="40" w:after="40" w:line="300" w:lineRule="atLeast"/>
      <w:ind w:left="1701"/>
    </w:pPr>
    <w:rPr>
      <w:rFonts w:ascii="Arial" w:hAnsi="Arial"/>
      <w:kern w:val="0"/>
    </w:rPr>
  </w:style>
  <w:style w:type="paragraph" w:customStyle="1" w:styleId="2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84">
    <w:name w:val="_Style 3"/>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11786</Words>
  <Characters>67183</Characters>
  <Lines>559</Lines>
  <Paragraphs>157</Paragraphs>
  <TotalTime>27</TotalTime>
  <ScaleCrop>false</ScaleCrop>
  <LinksUpToDate>false</LinksUpToDate>
  <CharactersWithSpaces>78812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2021-03-07T10:45:00Z</dcterms:created>
  <dc:creator>China</dc:creator>
  <cp:lastModifiedBy>梗</cp:lastModifiedBy>
  <cp:lastPrinted>2020-12-28T03:19:00Z</cp:lastPrinted>
  <dcterms:modified xsi:type="dcterms:W3CDTF">2021-03-25T02:58:30Z</dcterms:modified>
  <dc:title>建德市便携式防爆型现场数据采集系统</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13BDED02DF9148B7BBECC0FC09C8A040</vt:lpwstr>
  </property>
</Properties>
</file>