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center"/>
        <w:rPr>
          <w:rFonts w:ascii="宋体" w:hAnsi="宋体" w:cs="宋体"/>
          <w:b/>
          <w:color w:val="000000" w:themeColor="text1"/>
          <w:sz w:val="48"/>
          <w:szCs w:val="48"/>
          <w:highlight w:val="none"/>
          <w14:textFill>
            <w14:solidFill>
              <w14:schemeClr w14:val="tx1"/>
            </w14:solidFill>
          </w14:textFill>
        </w:rPr>
      </w:pPr>
    </w:p>
    <w:p>
      <w:pPr>
        <w:adjustRightInd/>
        <w:spacing w:line="360" w:lineRule="auto"/>
        <w:jc w:val="center"/>
        <w:rPr>
          <w:rFonts w:ascii="宋体" w:hAnsi="宋体" w:cs="宋体"/>
          <w:b/>
          <w:color w:val="000000" w:themeColor="text1"/>
          <w:sz w:val="44"/>
          <w:szCs w:val="44"/>
          <w:highlight w:val="none"/>
          <w14:textFill>
            <w14:solidFill>
              <w14:schemeClr w14:val="tx1"/>
            </w14:solidFill>
          </w14:textFill>
        </w:rPr>
      </w:pPr>
      <w:r>
        <w:rPr>
          <w:rFonts w:hint="eastAsia" w:ascii="宋体" w:hAnsi="宋体" w:cs="宋体"/>
          <w:b/>
          <w:color w:val="000000" w:themeColor="text1"/>
          <w:sz w:val="44"/>
          <w:szCs w:val="44"/>
          <w:highlight w:val="none"/>
          <w14:textFill>
            <w14:solidFill>
              <w14:schemeClr w14:val="tx1"/>
            </w14:solidFill>
          </w14:textFill>
        </w:rPr>
        <w:t>中国伞博物馆多媒体提升改造项目</w:t>
      </w:r>
    </w:p>
    <w:p>
      <w:pPr>
        <w:adjustRightInd/>
        <w:spacing w:line="360" w:lineRule="auto"/>
        <w:jc w:val="center"/>
        <w:rPr>
          <w:rFonts w:ascii="宋体" w:hAnsi="宋体" w:cs="宋体"/>
          <w:color w:val="000000" w:themeColor="text1"/>
          <w:sz w:val="48"/>
          <w:szCs w:val="48"/>
          <w:highlight w:val="none"/>
          <w14:textFill>
            <w14:solidFill>
              <w14:schemeClr w14:val="tx1"/>
            </w14:solidFill>
          </w14:textFill>
        </w:rPr>
      </w:pPr>
    </w:p>
    <w:p>
      <w:pPr>
        <w:adjustRightInd/>
        <w:spacing w:line="360" w:lineRule="auto"/>
        <w:jc w:val="center"/>
        <w:rPr>
          <w:rFonts w:ascii="宋体" w:hAnsi="宋体" w:cs="宋体"/>
          <w:b/>
          <w:bCs/>
          <w:color w:val="000000" w:themeColor="text1"/>
          <w:sz w:val="72"/>
          <w:szCs w:val="72"/>
          <w:highlight w:val="none"/>
          <w14:textFill>
            <w14:solidFill>
              <w14:schemeClr w14:val="tx1"/>
            </w14:solidFill>
          </w14:textFill>
        </w:rPr>
      </w:pPr>
      <w:r>
        <w:rPr>
          <w:rFonts w:hint="eastAsia" w:ascii="宋体" w:hAnsi="宋体" w:cs="宋体"/>
          <w:b/>
          <w:bCs/>
          <w:color w:val="000000" w:themeColor="text1"/>
          <w:sz w:val="72"/>
          <w:szCs w:val="72"/>
          <w:highlight w:val="none"/>
          <w14:textFill>
            <w14:solidFill>
              <w14:schemeClr w14:val="tx1"/>
            </w14:solidFill>
          </w14:textFill>
        </w:rPr>
        <w:t xml:space="preserve">采购文件 </w:t>
      </w:r>
    </w:p>
    <w:p>
      <w:pPr>
        <w:adjustRightInd/>
        <w:spacing w:line="360" w:lineRule="auto"/>
        <w:jc w:val="center"/>
        <w:rPr>
          <w:rFonts w:ascii="宋体" w:hAnsi="宋体" w:cs="宋体"/>
          <w:b/>
          <w:color w:val="000000" w:themeColor="text1"/>
          <w:sz w:val="44"/>
          <w:szCs w:val="44"/>
          <w:highlight w:val="none"/>
          <w14:textFill>
            <w14:solidFill>
              <w14:schemeClr w14:val="tx1"/>
            </w14:solidFill>
          </w14:textFill>
        </w:rPr>
      </w:pPr>
      <w:r>
        <w:rPr>
          <w:rFonts w:hint="eastAsia" w:ascii="宋体" w:hAnsi="宋体" w:cs="宋体"/>
          <w:b/>
          <w:color w:val="000000" w:themeColor="text1"/>
          <w:sz w:val="44"/>
          <w:szCs w:val="44"/>
          <w:highlight w:val="none"/>
          <w14:textFill>
            <w14:solidFill>
              <w14:schemeClr w14:val="tx1"/>
            </w14:solidFill>
          </w14:textFill>
        </w:rPr>
        <w:t xml:space="preserve"> （电子招投标）</w:t>
      </w:r>
    </w:p>
    <w:p>
      <w:pPr>
        <w:snapToGrid w:val="0"/>
        <w:spacing w:line="360" w:lineRule="auto"/>
        <w:jc w:val="center"/>
        <w:rPr>
          <w:rFonts w:ascii="宋体" w:hAnsi="宋体" w:cs="宋体"/>
          <w:color w:val="000000" w:themeColor="text1"/>
          <w:sz w:val="30"/>
          <w:szCs w:val="30"/>
          <w:highlight w:val="none"/>
          <w14:textFill>
            <w14:solidFill>
              <w14:schemeClr w14:val="tx1"/>
            </w14:solidFill>
          </w14:textFill>
        </w:rPr>
      </w:pPr>
      <w:r>
        <w:rPr>
          <w:rFonts w:hint="eastAsia" w:ascii="宋体" w:hAnsi="宋体" w:cs="宋体"/>
          <w:color w:val="000000" w:themeColor="text1"/>
          <w:sz w:val="30"/>
          <w:szCs w:val="30"/>
          <w:highlight w:val="none"/>
          <w14:textFill>
            <w14:solidFill>
              <w14:schemeClr w14:val="tx1"/>
            </w14:solidFill>
          </w14:textFill>
        </w:rPr>
        <w:t>项目编号:LFF-202206-42</w:t>
      </w:r>
    </w:p>
    <w:p>
      <w:pPr>
        <w:adjustRightInd/>
        <w:spacing w:line="360" w:lineRule="auto"/>
        <w:rPr>
          <w:rFonts w:ascii="宋体" w:hAnsi="宋体" w:cs="宋体"/>
          <w:color w:val="000000" w:themeColor="text1"/>
          <w:sz w:val="28"/>
          <w:szCs w:val="20"/>
          <w:highlight w:val="none"/>
          <w14:textFill>
            <w14:solidFill>
              <w14:schemeClr w14:val="tx1"/>
            </w14:solidFill>
          </w14:textFill>
        </w:rPr>
      </w:pPr>
    </w:p>
    <w:p>
      <w:pPr>
        <w:spacing w:line="360" w:lineRule="auto"/>
        <w:jc w:val="center"/>
        <w:rPr>
          <w:rFonts w:ascii="宋体" w:hAnsi="宋体" w:cs="宋体"/>
          <w:b/>
          <w:color w:val="000000" w:themeColor="text1"/>
          <w:sz w:val="44"/>
          <w:szCs w:val="44"/>
          <w:highlight w:val="none"/>
          <w14:textFill>
            <w14:solidFill>
              <w14:schemeClr w14:val="tx1"/>
            </w14:solidFill>
          </w14:textFill>
        </w:rPr>
      </w:pPr>
      <w:r>
        <w:rPr>
          <w:rFonts w:hint="eastAsia" w:ascii="宋体" w:hAnsi="宋体" w:cs="宋体"/>
          <w:b/>
          <w:color w:val="000000" w:themeColor="text1"/>
          <w:sz w:val="44"/>
          <w:szCs w:val="44"/>
          <w:highlight w:val="none"/>
          <w14:textFill>
            <w14:solidFill>
              <w14:schemeClr w14:val="tx1"/>
            </w14:solidFill>
          </w14:textFill>
        </w:rPr>
        <w:t xml:space="preserve"> </w:t>
      </w:r>
    </w:p>
    <w:p>
      <w:pPr>
        <w:spacing w:line="360" w:lineRule="auto"/>
        <w:jc w:val="center"/>
        <w:rPr>
          <w:rFonts w:ascii="宋体" w:hAnsi="宋体" w:cs="宋体"/>
          <w:color w:val="000000" w:themeColor="text1"/>
          <w:sz w:val="24"/>
          <w:highlight w:val="none"/>
          <w14:textFill>
            <w14:solidFill>
              <w14:schemeClr w14:val="tx1"/>
            </w14:solidFill>
          </w14:textFill>
        </w:rPr>
      </w:pPr>
    </w:p>
    <w:p>
      <w:pPr>
        <w:pStyle w:val="5"/>
        <w:rPr>
          <w:color w:val="000000" w:themeColor="text1"/>
          <w:highlight w:val="none"/>
          <w14:textFill>
            <w14:solidFill>
              <w14:schemeClr w14:val="tx1"/>
            </w14:solidFill>
          </w14:textFill>
        </w:rPr>
      </w:pPr>
    </w:p>
    <w:p>
      <w:pPr>
        <w:spacing w:line="360" w:lineRule="auto"/>
        <w:jc w:val="center"/>
        <w:rPr>
          <w:rFonts w:ascii="宋体" w:hAnsi="宋体" w:cs="宋体"/>
          <w:color w:val="000000" w:themeColor="text1"/>
          <w:sz w:val="24"/>
          <w:highlight w:val="none"/>
          <w14:textFill>
            <w14:solidFill>
              <w14:schemeClr w14:val="tx1"/>
            </w14:solidFill>
          </w14:textFill>
        </w:rPr>
      </w:pPr>
    </w:p>
    <w:p>
      <w:pPr>
        <w:snapToGrid w:val="0"/>
        <w:spacing w:line="360" w:lineRule="auto"/>
        <w:ind w:right="-7" w:firstLine="896" w:firstLineChars="279"/>
        <w:jc w:val="left"/>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采   购   人：杭州工艺美术博物馆(杭州中国刀</w:t>
      </w:r>
    </w:p>
    <w:p>
      <w:pPr>
        <w:snapToGrid w:val="0"/>
        <w:spacing w:line="360" w:lineRule="auto"/>
        <w:ind w:right="-7" w:firstLine="3135" w:firstLineChars="976"/>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剪剑、扇业、伞业博物馆）</w:t>
      </w:r>
      <w:r>
        <w:rPr>
          <w:rFonts w:hint="eastAsia" w:ascii="宋体" w:hAnsi="宋体" w:cs="宋体"/>
          <w:color w:val="000000" w:themeColor="text1"/>
          <w:szCs w:val="21"/>
          <w:highlight w:val="none"/>
          <w14:textFill>
            <w14:solidFill>
              <w14:schemeClr w14:val="tx1"/>
            </w14:solidFill>
          </w14:textFill>
        </w:rPr>
        <w:t>（盖章）</w:t>
      </w:r>
    </w:p>
    <w:p>
      <w:pPr>
        <w:snapToGrid w:val="0"/>
        <w:spacing w:line="360" w:lineRule="auto"/>
        <w:ind w:right="-7" w:firstLine="585" w:firstLineChars="279"/>
        <w:rPr>
          <w:rFonts w:ascii="宋体" w:hAnsi="宋体" w:cs="宋体"/>
          <w:color w:val="000000" w:themeColor="text1"/>
          <w:szCs w:val="21"/>
          <w:highlight w:val="none"/>
          <w14:textFill>
            <w14:solidFill>
              <w14:schemeClr w14:val="tx1"/>
            </w14:solidFill>
          </w14:textFill>
        </w:rPr>
      </w:pPr>
    </w:p>
    <w:p>
      <w:pPr>
        <w:snapToGrid w:val="0"/>
        <w:spacing w:line="360" w:lineRule="auto"/>
        <w:ind w:right="-7" w:firstLine="896" w:firstLineChars="279"/>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采购代理机构：浙江泛亚工程咨询有限公司</w:t>
      </w:r>
      <w:r>
        <w:rPr>
          <w:rFonts w:hint="eastAsia" w:ascii="宋体" w:hAnsi="宋体" w:cs="宋体"/>
          <w:color w:val="000000" w:themeColor="text1"/>
          <w:szCs w:val="21"/>
          <w:highlight w:val="none"/>
          <w14:textFill>
            <w14:solidFill>
              <w14:schemeClr w14:val="tx1"/>
            </w14:solidFill>
          </w14:textFill>
        </w:rPr>
        <w:t>（盖章）</w:t>
      </w:r>
    </w:p>
    <w:p>
      <w:pPr>
        <w:tabs>
          <w:tab w:val="left" w:pos="840"/>
        </w:tabs>
        <w:snapToGrid w:val="0"/>
        <w:spacing w:line="360" w:lineRule="auto"/>
        <w:ind w:right="533"/>
        <w:rPr>
          <w:rFonts w:ascii="宋体" w:hAnsi="宋体" w:cs="宋体"/>
          <w:b/>
          <w:color w:val="000000" w:themeColor="text1"/>
          <w:sz w:val="32"/>
          <w:szCs w:val="32"/>
          <w:highlight w:val="none"/>
          <w14:textFill>
            <w14:solidFill>
              <w14:schemeClr w14:val="tx1"/>
            </w14:solidFill>
          </w14:textFill>
        </w:rPr>
      </w:pPr>
    </w:p>
    <w:p>
      <w:pPr>
        <w:snapToGrid w:val="0"/>
        <w:spacing w:line="360" w:lineRule="auto"/>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二〇二二年〇</w:t>
      </w:r>
      <w:r>
        <w:rPr>
          <w:rFonts w:hint="eastAsia" w:ascii="宋体" w:hAnsi="宋体" w:cs="宋体"/>
          <w:b/>
          <w:color w:val="000000" w:themeColor="text1"/>
          <w:sz w:val="32"/>
          <w:szCs w:val="32"/>
          <w:highlight w:val="none"/>
          <w:lang w:eastAsia="zh-CN"/>
          <w14:textFill>
            <w14:solidFill>
              <w14:schemeClr w14:val="tx1"/>
            </w14:solidFill>
          </w14:textFill>
        </w:rPr>
        <w:t>九</w:t>
      </w:r>
      <w:r>
        <w:rPr>
          <w:rFonts w:hint="eastAsia" w:ascii="宋体" w:hAnsi="宋体" w:cs="宋体"/>
          <w:b/>
          <w:color w:val="000000" w:themeColor="text1"/>
          <w:sz w:val="32"/>
          <w:szCs w:val="32"/>
          <w:highlight w:val="none"/>
          <w14:textFill>
            <w14:solidFill>
              <w14:schemeClr w14:val="tx1"/>
            </w14:solidFill>
          </w14:textFill>
        </w:rPr>
        <w:t>月</w:t>
      </w:r>
      <w:r>
        <w:rPr>
          <w:rFonts w:hint="eastAsia" w:ascii="宋体" w:hAnsi="宋体" w:cs="宋体"/>
          <w:b/>
          <w:color w:val="000000" w:themeColor="text1"/>
          <w:sz w:val="32"/>
          <w:szCs w:val="32"/>
          <w:highlight w:val="none"/>
          <w:lang w:eastAsia="zh-CN"/>
          <w14:textFill>
            <w14:solidFill>
              <w14:schemeClr w14:val="tx1"/>
            </w14:solidFill>
          </w14:textFill>
        </w:rPr>
        <w:t>一十四</w:t>
      </w:r>
      <w:r>
        <w:rPr>
          <w:rFonts w:hint="eastAsia" w:ascii="宋体" w:hAnsi="宋体" w:cs="宋体"/>
          <w:b/>
          <w:color w:val="000000" w:themeColor="text1"/>
          <w:sz w:val="32"/>
          <w:szCs w:val="32"/>
          <w:highlight w:val="none"/>
          <w14:textFill>
            <w14:solidFill>
              <w14:schemeClr w14:val="tx1"/>
            </w14:solidFill>
          </w14:textFill>
        </w:rPr>
        <w:t>日</w:t>
      </w:r>
    </w:p>
    <w:p>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br w:type="page"/>
      </w:r>
      <w:bookmarkStart w:id="0" w:name="_Hlt67893495"/>
      <w:bookmarkEnd w:id="0"/>
    </w:p>
    <w:p>
      <w:pPr>
        <w:spacing w:line="360" w:lineRule="auto"/>
        <w:jc w:val="center"/>
        <w:rPr>
          <w:rFonts w:ascii="宋体" w:hAnsi="宋体" w:cs="宋体"/>
          <w:color w:val="000000" w:themeColor="text1"/>
          <w:sz w:val="24"/>
          <w:highlight w:val="none"/>
          <w14:textFill>
            <w14:solidFill>
              <w14:schemeClr w14:val="tx1"/>
            </w14:solidFill>
          </w14:textFill>
        </w:rPr>
      </w:pPr>
    </w:p>
    <w:p>
      <w:pPr>
        <w:spacing w:line="360" w:lineRule="auto"/>
        <w:jc w:val="center"/>
        <w:rPr>
          <w:rFonts w:ascii="宋体" w:hAnsi="宋体" w:cs="宋体"/>
          <w:b/>
          <w:color w:val="000000" w:themeColor="text1"/>
          <w:sz w:val="48"/>
          <w:szCs w:val="48"/>
          <w:highlight w:val="none"/>
          <w14:textFill>
            <w14:solidFill>
              <w14:schemeClr w14:val="tx1"/>
            </w14:solidFill>
          </w14:textFill>
        </w:rPr>
      </w:pPr>
      <w:r>
        <w:rPr>
          <w:rFonts w:hint="eastAsia" w:ascii="宋体" w:hAnsi="宋体" w:cs="宋体"/>
          <w:b/>
          <w:color w:val="000000" w:themeColor="text1"/>
          <w:sz w:val="48"/>
          <w:szCs w:val="48"/>
          <w:highlight w:val="none"/>
          <w14:textFill>
            <w14:solidFill>
              <w14:schemeClr w14:val="tx1"/>
            </w14:solidFill>
          </w14:textFill>
        </w:rPr>
        <w:t>目  录</w:t>
      </w:r>
    </w:p>
    <w:p>
      <w:pPr>
        <w:spacing w:line="360" w:lineRule="auto"/>
        <w:rPr>
          <w:rFonts w:ascii="宋体" w:hAnsi="宋体" w:cs="宋体"/>
          <w:color w:val="000000" w:themeColor="text1"/>
          <w:sz w:val="32"/>
          <w:szCs w:val="32"/>
          <w:highlight w:val="none"/>
          <w14:textFill>
            <w14:solidFill>
              <w14:schemeClr w14:val="tx1"/>
            </w14:solidFill>
          </w14:textFill>
        </w:rPr>
      </w:pPr>
    </w:p>
    <w:p>
      <w:pPr>
        <w:spacing w:line="360" w:lineRule="auto"/>
        <w:rPr>
          <w:rFonts w:ascii="宋体" w:hAnsi="宋体" w:cs="宋体"/>
          <w:color w:val="000000" w:themeColor="text1"/>
          <w:sz w:val="32"/>
          <w:szCs w:val="32"/>
          <w:highlight w:val="none"/>
          <w14:textFill>
            <w14:solidFill>
              <w14:schemeClr w14:val="tx1"/>
            </w14:solidFill>
          </w14:textFill>
        </w:rPr>
      </w:pPr>
    </w:p>
    <w:p>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第一部分      招标公告</w:t>
      </w:r>
    </w:p>
    <w:p>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第二部分      供应商须知</w:t>
      </w:r>
    </w:p>
    <w:p>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第三部分      采购需求</w:t>
      </w:r>
    </w:p>
    <w:p>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第四部分      评标办法</w:t>
      </w:r>
    </w:p>
    <w:p>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第五部分      拟签订的合同文本</w:t>
      </w:r>
    </w:p>
    <w:p>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第六部分      应提交的有关格式范例</w:t>
      </w: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bookmarkStart w:id="1" w:name="_Hlt91233176"/>
      <w:bookmarkEnd w:id="1"/>
      <w:bookmarkStart w:id="2" w:name="_Toc91899869"/>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rPr>
          <w:rFonts w:ascii="宋体" w:hAnsi="宋体" w:cs="宋体"/>
          <w:color w:val="000000" w:themeColor="text1"/>
          <w:sz w:val="24"/>
          <w:highlight w:val="none"/>
          <w14:textFill>
            <w14:solidFill>
              <w14:schemeClr w14:val="tx1"/>
            </w14:solidFill>
          </w14:textFill>
        </w:rPr>
      </w:pPr>
    </w:p>
    <w:p>
      <w:pPr>
        <w:adjustRightInd/>
        <w:spacing w:line="360" w:lineRule="auto"/>
        <w:jc w:val="center"/>
        <w:outlineLvl w:val="0"/>
        <w:rPr>
          <w:rFonts w:ascii="宋体" w:hAnsi="宋体" w:cs="宋体"/>
          <w:b/>
          <w:color w:val="000000" w:themeColor="text1"/>
          <w:sz w:val="36"/>
          <w:szCs w:val="20"/>
          <w:highlight w:val="none"/>
          <w14:textFill>
            <w14:solidFill>
              <w14:schemeClr w14:val="tx1"/>
            </w14:solidFill>
          </w14:textFill>
        </w:rPr>
      </w:pPr>
      <w:bookmarkStart w:id="3" w:name="第一部分"/>
      <w:r>
        <w:rPr>
          <w:rFonts w:hint="eastAsia" w:ascii="宋体" w:hAnsi="宋体" w:cs="宋体"/>
          <w:b/>
          <w:color w:val="000000" w:themeColor="text1"/>
          <w:sz w:val="36"/>
          <w:szCs w:val="36"/>
          <w:highlight w:val="none"/>
          <w14:textFill>
            <w14:solidFill>
              <w14:schemeClr w14:val="tx1"/>
            </w14:solidFill>
          </w14:textFill>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宋体" w:hAnsi="宋体" w:cs="宋体"/>
          <w:b/>
          <w:color w:val="000000" w:themeColor="text1"/>
          <w:sz w:val="36"/>
          <w:szCs w:val="20"/>
          <w:highlight w:val="none"/>
          <w14:textFill>
            <w14:solidFill>
              <w14:schemeClr w14:val="tx1"/>
            </w14:solidFill>
          </w14:textFill>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中国伞博物馆多媒体提升改造项目</w:t>
      </w:r>
      <w:r>
        <w:rPr>
          <w:rFonts w:hint="eastAsia" w:ascii="宋体" w:hAnsi="宋体" w:cs="宋体"/>
          <w:color w:val="000000" w:themeColor="text1"/>
          <w:sz w:val="24"/>
          <w:highlight w:val="none"/>
          <w14:textFill>
            <w14:solidFill>
              <w14:schemeClr w14:val="tx1"/>
            </w14:solidFill>
          </w14:textFill>
        </w:rPr>
        <w:t>招标项目的潜在供应商应在政采云平台（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"https://www.zcygov.cn/）获取（下载）招标文件，并于2021年" </w:instrText>
      </w:r>
      <w:r>
        <w:rPr>
          <w:color w:val="000000" w:themeColor="text1"/>
          <w:highlight w:val="none"/>
          <w14:textFill>
            <w14:solidFill>
              <w14:schemeClr w14:val="tx1"/>
            </w14:solidFill>
          </w14:textFill>
        </w:rPr>
        <w:fldChar w:fldCharType="separate"/>
      </w:r>
      <w:r>
        <w:rPr>
          <w:rStyle w:val="77"/>
          <w:rFonts w:hint="eastAsia" w:ascii="宋体" w:hAnsi="宋体" w:eastAsia="宋体" w:cs="宋体"/>
          <w:snapToGrid/>
          <w:color w:val="000000" w:themeColor="text1"/>
          <w:kern w:val="2"/>
          <w:sz w:val="24"/>
          <w:szCs w:val="24"/>
          <w:highlight w:val="none"/>
          <w14:textFill>
            <w14:solidFill>
              <w14:schemeClr w14:val="tx1"/>
            </w14:solidFill>
          </w14:textFill>
        </w:rPr>
        <w:t>https://www.zcygov.cn/）获取（下载）采购文件，并于</w:t>
      </w:r>
      <w:r>
        <w:rPr>
          <w:rFonts w:hint="eastAsia" w:ascii="宋体" w:hAnsi="宋体" w:cs="宋体"/>
          <w:color w:val="000000" w:themeColor="text1"/>
          <w:sz w:val="24"/>
          <w:highlight w:val="none"/>
          <w:u w:val="single"/>
          <w14:textFill>
            <w14:solidFill>
              <w14:schemeClr w14:val="tx1"/>
            </w14:solidFill>
          </w14:textFill>
        </w:rPr>
        <w:t>202</w:t>
      </w:r>
      <w:r>
        <w:rPr>
          <w:rFonts w:hint="eastAsia" w:ascii="宋体" w:hAnsi="宋体" w:cs="宋体"/>
          <w:color w:val="000000" w:themeColor="text1"/>
          <w:sz w:val="24"/>
          <w:highlight w:val="none"/>
          <w:u w:val="single"/>
          <w:lang w:val="en-US" w:eastAsia="zh-CN"/>
          <w14:textFill>
            <w14:solidFill>
              <w14:schemeClr w14:val="tx1"/>
            </w14:solidFill>
          </w14:textFill>
        </w:rPr>
        <w:t>2</w:t>
      </w:r>
      <w:r>
        <w:rPr>
          <w:rFonts w:hint="eastAsia" w:ascii="宋体" w:hAnsi="宋体" w:cs="宋体"/>
          <w:color w:val="000000" w:themeColor="text1"/>
          <w:sz w:val="24"/>
          <w:highlight w:val="none"/>
          <w:u w:val="single"/>
          <w14:textFill>
            <w14:solidFill>
              <w14:schemeClr w14:val="tx1"/>
            </w14:solidFill>
          </w14:textFill>
        </w:rPr>
        <w:t>年</w:t>
      </w:r>
      <w:r>
        <w:rPr>
          <w:rFonts w:hint="eastAsia" w:ascii="宋体" w:hAnsi="宋体" w:cs="宋体"/>
          <w:color w:val="000000" w:themeColor="text1"/>
          <w:sz w:val="24"/>
          <w:highlight w:val="none"/>
          <w:u w:val="single"/>
          <w:lang w:val="en-US" w:eastAsia="zh-CN"/>
          <w14:textFill>
            <w14:solidFill>
              <w14:schemeClr w14:val="tx1"/>
            </w14:solidFill>
          </w14:textFill>
        </w:rPr>
        <w:t>10</w:t>
      </w:r>
      <w:r>
        <w:rPr>
          <w:rFonts w:hint="eastAsia" w:ascii="宋体" w:hAnsi="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08</w:t>
      </w:r>
      <w:r>
        <w:rPr>
          <w:rFonts w:hint="eastAsia" w:ascii="宋体" w:hAnsi="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u w:val="single"/>
          <w:lang w:val="en-US" w:eastAsia="zh-CN"/>
          <w14:textFill>
            <w14:solidFill>
              <w14:schemeClr w14:val="tx1"/>
            </w14:solidFill>
          </w14:textFill>
        </w:rPr>
        <w:t>14</w:t>
      </w:r>
      <w:r>
        <w:rPr>
          <w:rFonts w:hint="eastAsia" w:ascii="宋体" w:hAnsi="宋体" w:cs="宋体"/>
          <w:color w:val="000000" w:themeColor="text1"/>
          <w:sz w:val="24"/>
          <w:highlight w:val="none"/>
          <w:u w:val="single"/>
          <w14:textFill>
            <w14:solidFill>
              <w14:schemeClr w14:val="tx1"/>
            </w14:solidFill>
          </w14:textFill>
        </w:rPr>
        <w:t>点</w:t>
      </w:r>
      <w:r>
        <w:rPr>
          <w:rFonts w:hint="eastAsia" w:ascii="宋体" w:hAnsi="宋体" w:cs="宋体"/>
          <w:color w:val="000000" w:themeColor="text1"/>
          <w:sz w:val="24"/>
          <w:highlight w:val="none"/>
          <w:u w:val="single"/>
          <w:lang w:val="en-US" w:eastAsia="zh-CN"/>
          <w14:textFill>
            <w14:solidFill>
              <w14:schemeClr w14:val="tx1"/>
            </w14:solidFill>
          </w14:textFill>
        </w:rPr>
        <w:t>00</w:t>
      </w:r>
      <w:r>
        <w:rPr>
          <w:rFonts w:hint="eastAsia" w:ascii="宋体" w:hAnsi="宋体" w:cs="宋体"/>
          <w:color w:val="000000" w:themeColor="text1"/>
          <w:sz w:val="24"/>
          <w:highlight w:val="none"/>
          <w:u w:val="single"/>
          <w14:textFill>
            <w14:solidFill>
              <w14:schemeClr w14:val="tx1"/>
            </w14:solidFill>
          </w14:textFill>
        </w:rPr>
        <w:t>分</w:t>
      </w:r>
      <w:r>
        <w:rPr>
          <w:rFonts w:hint="eastAsia" w:ascii="宋体" w:hAnsi="宋体" w:cs="宋体"/>
          <w:bCs/>
          <w:color w:val="000000" w:themeColor="text1"/>
          <w:sz w:val="24"/>
          <w:highlight w:val="none"/>
          <w:u w:val="single"/>
          <w14:textFill>
            <w14:solidFill>
              <w14:schemeClr w14:val="tx1"/>
            </w14:solidFill>
          </w14:textFill>
        </w:rPr>
        <w:t>00秒</w:t>
      </w:r>
      <w:r>
        <w:rPr>
          <w:rFonts w:hint="eastAsia" w:ascii="宋体" w:hAnsi="宋体" w:cs="宋体"/>
          <w:bCs/>
          <w:color w:val="000000" w:themeColor="text1"/>
          <w:sz w:val="24"/>
          <w:highlight w:val="none"/>
          <w:u w:val="single"/>
          <w14:textFill>
            <w14:solidFill>
              <w14:schemeClr w14:val="tx1"/>
            </w14:solidFill>
          </w14:textFill>
        </w:rPr>
        <w:fldChar w:fldCharType="end"/>
      </w:r>
      <w:r>
        <w:rPr>
          <w:rFonts w:hint="eastAsia" w:ascii="宋体" w:hAnsi="宋体" w:cs="宋体"/>
          <w:bCs/>
          <w:color w:val="000000" w:themeColor="text1"/>
          <w:sz w:val="24"/>
          <w:highlight w:val="none"/>
          <w14:textFill>
            <w14:solidFill>
              <w14:schemeClr w14:val="tx1"/>
            </w14:solidFill>
          </w14:textFill>
        </w:rPr>
        <w:t>（北京时间）前</w:t>
      </w:r>
      <w:r>
        <w:rPr>
          <w:rFonts w:hint="eastAsia" w:ascii="宋体" w:hAnsi="宋体" w:cs="宋体"/>
          <w:color w:val="000000" w:themeColor="text1"/>
          <w:sz w:val="24"/>
          <w:highlight w:val="none"/>
          <w14:textFill>
            <w14:solidFill>
              <w14:schemeClr w14:val="tx1"/>
            </w14:solidFill>
          </w14:textFill>
        </w:rPr>
        <w:t>递交（上传）采购文件。</w:t>
      </w:r>
    </w:p>
    <w:p>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一、项目基本情况                                            </w:t>
      </w:r>
    </w:p>
    <w:p>
      <w:pPr>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项目编号</w:t>
      </w:r>
      <w:r>
        <w:rPr>
          <w:rFonts w:hint="eastAsia" w:ascii="宋体" w:hAnsi="宋体" w:cs="宋体"/>
          <w:bCs/>
          <w:color w:val="000000" w:themeColor="text1"/>
          <w:sz w:val="24"/>
          <w:highlight w:val="none"/>
          <w14:textFill>
            <w14:solidFill>
              <w14:schemeClr w14:val="tx1"/>
            </w14:solidFill>
          </w14:textFill>
        </w:rPr>
        <w:t>:</w:t>
      </w:r>
      <w:r>
        <w:rPr>
          <w:rFonts w:hint="eastAsia" w:ascii="宋体" w:hAnsi="宋体" w:cs="宋体"/>
          <w:color w:val="000000" w:themeColor="text1"/>
          <w:sz w:val="24"/>
          <w:szCs w:val="20"/>
          <w:highlight w:val="none"/>
          <w14:textFill>
            <w14:solidFill>
              <w14:schemeClr w14:val="tx1"/>
            </w14:solidFill>
          </w14:textFill>
        </w:rPr>
        <w:t>LFF-202206-42</w:t>
      </w:r>
    </w:p>
    <w:p>
      <w:pPr>
        <w:spacing w:line="360" w:lineRule="auto"/>
        <w:rPr>
          <w:rFonts w:ascii="宋体" w:hAnsi="宋体" w:cs="宋体"/>
          <w:color w:val="000000" w:themeColor="text1"/>
          <w:sz w:val="24"/>
          <w:szCs w:val="20"/>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 xml:space="preserve"> 项目名称：</w:t>
      </w:r>
      <w:r>
        <w:rPr>
          <w:rFonts w:hint="eastAsia" w:ascii="宋体" w:hAnsi="宋体" w:cs="宋体"/>
          <w:color w:val="000000" w:themeColor="text1"/>
          <w:sz w:val="24"/>
          <w:szCs w:val="20"/>
          <w:highlight w:val="none"/>
          <w14:textFill>
            <w14:solidFill>
              <w14:schemeClr w14:val="tx1"/>
            </w14:solidFill>
          </w14:textFill>
        </w:rPr>
        <w:t>中国伞博物馆多媒体提升改造项目</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 xml:space="preserve"> 预算金额（元）：</w:t>
      </w:r>
      <w:r>
        <w:rPr>
          <w:rFonts w:hint="eastAsia" w:ascii="宋体" w:hAnsi="宋体" w:cs="宋体"/>
          <w:color w:val="000000" w:themeColor="text1"/>
          <w:sz w:val="24"/>
          <w:szCs w:val="20"/>
          <w:highlight w:val="none"/>
          <w:lang w:eastAsia="zh-CN"/>
          <w14:textFill>
            <w14:solidFill>
              <w14:schemeClr w14:val="tx1"/>
            </w14:solidFill>
          </w14:textFill>
        </w:rPr>
        <w:t>4376000</w:t>
      </w:r>
      <w:r>
        <w:rPr>
          <w:rFonts w:hint="eastAsia" w:ascii="宋体" w:hAnsi="宋体" w:cs="宋体"/>
          <w:color w:val="000000" w:themeColor="text1"/>
          <w:sz w:val="24"/>
          <w:szCs w:val="20"/>
          <w:highlight w:val="none"/>
          <w14:textFill>
            <w14:solidFill>
              <w14:schemeClr w14:val="tx1"/>
            </w14:solidFill>
          </w14:textFill>
        </w:rPr>
        <w:t>.00</w:t>
      </w:r>
    </w:p>
    <w:p>
      <w:pPr>
        <w:spacing w:line="360" w:lineRule="auto"/>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最高限价（元）：</w:t>
      </w:r>
      <w:r>
        <w:rPr>
          <w:rFonts w:hint="eastAsia" w:ascii="宋体" w:hAnsi="宋体" w:cs="宋体"/>
          <w:color w:val="000000" w:themeColor="text1"/>
          <w:sz w:val="24"/>
          <w:highlight w:val="none"/>
          <w:lang w:eastAsia="zh-CN"/>
          <w14:textFill>
            <w14:solidFill>
              <w14:schemeClr w14:val="tx1"/>
            </w14:solidFill>
          </w14:textFill>
        </w:rPr>
        <w:t>4376000</w:t>
      </w:r>
      <w:r>
        <w:rPr>
          <w:rFonts w:hint="eastAsia" w:ascii="宋体" w:hAnsi="宋体" w:cs="宋体"/>
          <w:color w:val="000000" w:themeColor="text1"/>
          <w:sz w:val="24"/>
          <w:highlight w:val="none"/>
          <w:lang w:val="en-US" w:eastAsia="zh-CN"/>
          <w14:textFill>
            <w14:solidFill>
              <w14:schemeClr w14:val="tx1"/>
            </w14:solidFill>
          </w14:textFill>
        </w:rPr>
        <w:t>.00</w:t>
      </w:r>
      <w:r>
        <w:rPr>
          <w:rFonts w:hint="eastAsia" w:ascii="宋体" w:hAnsi="宋体" w:cs="宋体"/>
          <w:color w:val="000000" w:themeColor="text1"/>
          <w:sz w:val="24"/>
          <w:highlight w:val="none"/>
          <w14:textFill>
            <w14:solidFill>
              <w14:schemeClr w14:val="tx1"/>
            </w14:solidFill>
          </w14:textFill>
        </w:rPr>
        <w:t xml:space="preserve">； </w:t>
      </w:r>
    </w:p>
    <w:p>
      <w:pPr>
        <w:snapToGrid w:val="0"/>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采购需求：</w:t>
      </w:r>
    </w:p>
    <w:p>
      <w:pPr>
        <w:snapToGrid w:val="0"/>
        <w:spacing w:line="360" w:lineRule="auto"/>
        <w:ind w:firstLine="480" w:firstLineChars="200"/>
        <w:rPr>
          <w:rFonts w:ascii="宋体" w:hAnsi="宋体" w:cs="宋体"/>
          <w:color w:val="000000" w:themeColor="text1"/>
          <w:sz w:val="24"/>
          <w:szCs w:val="20"/>
          <w:highlight w:val="none"/>
          <w14:textFill>
            <w14:solidFill>
              <w14:schemeClr w14:val="tx1"/>
            </w14:solidFill>
          </w14:textFill>
        </w:rPr>
      </w:pPr>
      <w:r>
        <w:rPr>
          <w:rFonts w:hint="eastAsia" w:ascii="宋体" w:hAnsi="宋体" w:cs="宋体"/>
          <w:color w:val="000000" w:themeColor="text1"/>
          <w:sz w:val="24"/>
          <w:szCs w:val="20"/>
          <w:highlight w:val="none"/>
          <w14:textFill>
            <w14:solidFill>
              <w14:schemeClr w14:val="tx1"/>
            </w14:solidFill>
          </w14:textFill>
        </w:rPr>
        <w:t>标项名称:中国伞博物馆多媒体提升改造项目</w:t>
      </w:r>
    </w:p>
    <w:p>
      <w:pPr>
        <w:snapToGrid w:val="0"/>
        <w:spacing w:line="360" w:lineRule="auto"/>
        <w:ind w:firstLine="480" w:firstLineChars="200"/>
        <w:rPr>
          <w:rFonts w:ascii="宋体" w:hAnsi="宋体" w:cs="宋体"/>
          <w:color w:val="000000" w:themeColor="text1"/>
          <w:sz w:val="24"/>
          <w:szCs w:val="20"/>
          <w:highlight w:val="none"/>
          <w14:textFill>
            <w14:solidFill>
              <w14:schemeClr w14:val="tx1"/>
            </w14:solidFill>
          </w14:textFill>
        </w:rPr>
      </w:pPr>
      <w:r>
        <w:rPr>
          <w:rFonts w:hint="eastAsia" w:ascii="宋体" w:hAnsi="宋体" w:cs="宋体"/>
          <w:color w:val="000000" w:themeColor="text1"/>
          <w:sz w:val="24"/>
          <w:szCs w:val="20"/>
          <w:highlight w:val="none"/>
          <w14:textFill>
            <w14:solidFill>
              <w14:schemeClr w14:val="tx1"/>
            </w14:solidFill>
          </w14:textFill>
        </w:rPr>
        <w:t>数量:1  </w:t>
      </w:r>
    </w:p>
    <w:p>
      <w:pPr>
        <w:snapToGrid w:val="0"/>
        <w:spacing w:line="360" w:lineRule="auto"/>
        <w:ind w:firstLine="480" w:firstLineChars="200"/>
        <w:rPr>
          <w:rFonts w:ascii="宋体" w:hAnsi="宋体" w:cs="宋体"/>
          <w:color w:val="000000" w:themeColor="text1"/>
          <w:sz w:val="24"/>
          <w:szCs w:val="20"/>
          <w:highlight w:val="none"/>
          <w14:textFill>
            <w14:solidFill>
              <w14:schemeClr w14:val="tx1"/>
            </w14:solidFill>
          </w14:textFill>
        </w:rPr>
      </w:pPr>
      <w:r>
        <w:rPr>
          <w:rFonts w:hint="eastAsia" w:ascii="宋体" w:hAnsi="宋体" w:cs="宋体"/>
          <w:color w:val="000000" w:themeColor="text1"/>
          <w:sz w:val="24"/>
          <w:szCs w:val="20"/>
          <w:highlight w:val="none"/>
          <w14:textFill>
            <w14:solidFill>
              <w14:schemeClr w14:val="tx1"/>
            </w14:solidFill>
          </w14:textFill>
        </w:rPr>
        <w:t>预算金额（元）:</w:t>
      </w:r>
      <w:r>
        <w:rPr>
          <w:rFonts w:hint="eastAsia" w:ascii="宋体" w:hAnsi="宋体" w:cs="宋体"/>
          <w:color w:val="000000" w:themeColor="text1"/>
          <w:sz w:val="24"/>
          <w:szCs w:val="20"/>
          <w:highlight w:val="none"/>
          <w:lang w:eastAsia="zh-CN"/>
          <w14:textFill>
            <w14:solidFill>
              <w14:schemeClr w14:val="tx1"/>
            </w14:solidFill>
          </w14:textFill>
        </w:rPr>
        <w:t>4376000</w:t>
      </w:r>
      <w:r>
        <w:rPr>
          <w:rFonts w:hint="eastAsia" w:ascii="宋体" w:hAnsi="宋体" w:cs="宋体"/>
          <w:color w:val="000000" w:themeColor="text1"/>
          <w:sz w:val="24"/>
          <w:szCs w:val="20"/>
          <w:highlight w:val="none"/>
          <w:lang w:val="en-US" w:eastAsia="zh-CN"/>
          <w14:textFill>
            <w14:solidFill>
              <w14:schemeClr w14:val="tx1"/>
            </w14:solidFill>
          </w14:textFill>
        </w:rPr>
        <w:t>.00</w:t>
      </w:r>
      <w:r>
        <w:rPr>
          <w:rFonts w:hint="eastAsia" w:ascii="宋体" w:hAnsi="宋体" w:cs="宋体"/>
          <w:color w:val="000000" w:themeColor="text1"/>
          <w:sz w:val="24"/>
          <w:szCs w:val="20"/>
          <w:highlight w:val="none"/>
          <w14:textFill>
            <w14:solidFill>
              <w14:schemeClr w14:val="tx1"/>
            </w14:solidFill>
          </w14:textFill>
        </w:rPr>
        <w:t>；</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szCs w:val="20"/>
          <w:highlight w:val="none"/>
          <w14:textFill>
            <w14:solidFill>
              <w14:schemeClr w14:val="tx1"/>
            </w14:solidFill>
          </w14:textFill>
        </w:rPr>
        <w:t>简要规格描述或项目基本概况介绍、用途：中国伞博物馆多媒体提升改造项目主要内容：对中国伞博物馆基本陈列序厅、放映厅、雨巷等区域进行多媒体展项提升改造，包括</w:t>
      </w:r>
      <w:r>
        <w:rPr>
          <w:rFonts w:hint="eastAsia" w:ascii="宋体" w:hAnsi="宋体" w:cs="宋体"/>
          <w:color w:val="000000" w:themeColor="text1"/>
          <w:sz w:val="24"/>
          <w:highlight w:val="none"/>
          <w:lang w:bidi="ar"/>
          <w14:textFill>
            <w14:solidFill>
              <w14:schemeClr w14:val="tx1"/>
            </w14:solidFill>
          </w14:textFill>
        </w:rPr>
        <w:t>设备采购及安装、多媒体内容设计及制作、基础施工等</w:t>
      </w:r>
      <w:r>
        <w:rPr>
          <w:rFonts w:hint="eastAsia" w:ascii="宋体" w:hAnsi="宋体" w:cs="宋体"/>
          <w:color w:val="000000" w:themeColor="text1"/>
          <w:sz w:val="24"/>
          <w:szCs w:val="20"/>
          <w:highlight w:val="none"/>
          <w14:textFill>
            <w14:solidFill>
              <w14:schemeClr w14:val="tx1"/>
            </w14:solidFill>
          </w14:textFill>
        </w:rPr>
        <w:t>。详见采购文件第三部分采购需求。</w:t>
      </w:r>
      <w:r>
        <w:rPr>
          <w:rFonts w:hint="eastAsia" w:ascii="宋体" w:hAnsi="宋体" w:cs="宋体"/>
          <w:color w:val="000000" w:themeColor="text1"/>
          <w:sz w:val="24"/>
          <w:highlight w:val="none"/>
          <w14:textFill>
            <w14:solidFill>
              <w14:schemeClr w14:val="tx1"/>
            </w14:solidFill>
          </w14:textFill>
        </w:rPr>
        <w:t> </w:t>
      </w:r>
    </w:p>
    <w:p>
      <w:pPr>
        <w:pStyle w:val="131"/>
        <w:ind w:firstLine="482"/>
        <w:outlineLvl w:val="2"/>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合同履约期限：</w:t>
      </w:r>
      <w:r>
        <w:rPr>
          <w:rFonts w:hint="eastAsia" w:ascii="宋体" w:hAnsi="宋体" w:cs="宋体"/>
          <w:color w:val="000000" w:themeColor="text1"/>
          <w:highlight w:val="none"/>
          <w:u w:val="single"/>
          <w:lang w:val="en-US" w:eastAsia="zh-CN"/>
          <w14:textFill>
            <w14:solidFill>
              <w14:schemeClr w14:val="tx1"/>
            </w14:solidFill>
          </w14:textFill>
        </w:rPr>
        <w:t>90</w:t>
      </w:r>
      <w:r>
        <w:rPr>
          <w:rFonts w:hint="eastAsia" w:ascii="宋体" w:hAnsi="宋体" w:cs="宋体"/>
          <w:color w:val="000000" w:themeColor="text1"/>
          <w:highlight w:val="none"/>
          <w14:textFill>
            <w14:solidFill>
              <w14:schemeClr w14:val="tx1"/>
            </w14:solidFill>
          </w14:textFill>
        </w:rPr>
        <w:t>日历天（具体以合同签订时间为准，含完成设备供货安装及内容系统的部署、配套装饰等，经测试运行及培训，并通过采购人组织初步验收确认合格，投入运行）。</w:t>
      </w:r>
    </w:p>
    <w:p>
      <w:pPr>
        <w:pStyle w:val="18"/>
        <w:spacing w:line="360" w:lineRule="auto"/>
        <w:ind w:firstLine="480"/>
        <w:rPr>
          <w:rFonts w:hAnsi="宋体" w:cs="宋体"/>
          <w:color w:val="000000" w:themeColor="text1"/>
          <w:kern w:val="0"/>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本项目接受联合体投标：</w:t>
      </w:r>
      <w:sdt>
        <w:sdtPr>
          <w:rPr>
            <w:rFonts w:hint="eastAsia" w:hAnsi="宋体" w:cs="宋体"/>
            <w:color w:val="000000" w:themeColor="text1"/>
            <w:kern w:val="0"/>
            <w:sz w:val="24"/>
            <w:highlight w:val="none"/>
            <w14:textFill>
              <w14:solidFill>
                <w14:schemeClr w14:val="tx1"/>
              </w14:solidFill>
            </w14:textFill>
          </w:rPr>
          <w:id w:val="2035453831"/>
          <w14:checkbox>
            <w14:checked w14:val="0"/>
            <w14:checkedState w14:val="00FE" w14:font="Wingdings"/>
            <w14:uncheckedState w14:val="2610" w14:font="MS Gothic"/>
          </w14:checkbox>
        </w:sdtPr>
        <w:sdtEndPr>
          <w:rPr>
            <w:rFonts w:hint="eastAsia" w:hAnsi="宋体" w:cs="宋体"/>
            <w:color w:val="000000" w:themeColor="text1"/>
            <w:kern w:val="0"/>
            <w:sz w:val="24"/>
            <w:highlight w:val="none"/>
            <w14:textFill>
              <w14:solidFill>
                <w14:schemeClr w14:val="tx1"/>
              </w14:solidFill>
            </w14:textFill>
          </w:rPr>
        </w:sdtEndPr>
        <w:sdtContent>
          <w:r>
            <w:rPr>
              <w:rFonts w:hint="eastAsia" w:ascii="MS Gothic" w:hAnsi="MS Gothic" w:eastAsia="宋体" w:cs="宋体"/>
              <w:snapToGrid w:val="0"/>
              <w:color w:val="000000" w:themeColor="text1"/>
              <w:kern w:val="0"/>
              <w:sz w:val="24"/>
              <w:szCs w:val="20"/>
              <w:highlight w:val="none"/>
              <w:lang w:val="en-US" w:eastAsia="zh-CN" w:bidi="ar-SA"/>
              <w14:textFill>
                <w14:solidFill>
                  <w14:schemeClr w14:val="tx1"/>
                </w14:solidFill>
              </w14:textFill>
            </w:rPr>
            <w:t>☐</w:t>
          </w:r>
        </w:sdtContent>
      </w:sdt>
      <w:r>
        <w:rPr>
          <w:rFonts w:hint="eastAsia" w:hAnsi="宋体" w:cs="宋体"/>
          <w:b/>
          <w:color w:val="000000" w:themeColor="text1"/>
          <w:sz w:val="24"/>
          <w:highlight w:val="none"/>
          <w14:textFill>
            <w14:solidFill>
              <w14:schemeClr w14:val="tx1"/>
            </w14:solidFill>
          </w14:textFill>
        </w:rPr>
        <w:t>是，</w:t>
      </w:r>
      <w:sdt>
        <w:sdtPr>
          <w:rPr>
            <w:rFonts w:hint="eastAsia" w:hAnsi="宋体" w:cs="宋体"/>
            <w:color w:val="000000" w:themeColor="text1"/>
            <w:kern w:val="0"/>
            <w:sz w:val="24"/>
            <w:highlight w:val="none"/>
            <w14:textFill>
              <w14:solidFill>
                <w14:schemeClr w14:val="tx1"/>
              </w14:solidFill>
            </w14:textFill>
          </w:rPr>
          <w:id w:val="-1765526721"/>
          <w14:checkbox>
            <w14:checked w14:val="1"/>
            <w14:checkedState w14:val="00FE" w14:font="Wingdings"/>
            <w14:uncheckedState w14:val="2610" w14:font="MS Gothic"/>
          </w14:checkbox>
        </w:sdtPr>
        <w:sdtEndPr>
          <w:rPr>
            <w:rFonts w:hint="eastAsia" w:hAnsi="宋体" w:cs="宋体"/>
            <w:color w:val="000000" w:themeColor="text1"/>
            <w:kern w:val="0"/>
            <w:sz w:val="24"/>
            <w:highlight w:val="none"/>
            <w14:textFill>
              <w14:solidFill>
                <w14:schemeClr w14:val="tx1"/>
              </w14:solidFill>
            </w14:textFill>
          </w:rPr>
        </w:sdtEndPr>
        <w:sdtContent>
          <w:r>
            <w:rPr>
              <w:rFonts w:hint="eastAsia" w:ascii="Wingdings" w:hAnsi="Wingdings" w:eastAsia="宋体" w:cs="宋体"/>
              <w:snapToGrid w:val="0"/>
              <w:color w:val="000000" w:themeColor="text1"/>
              <w:kern w:val="0"/>
              <w:sz w:val="24"/>
              <w:szCs w:val="20"/>
              <w:highlight w:val="none"/>
              <w:lang w:val="en-US" w:eastAsia="zh-CN" w:bidi="ar-SA"/>
              <w14:textFill>
                <w14:solidFill>
                  <w14:schemeClr w14:val="tx1"/>
                </w14:solidFill>
              </w14:textFill>
            </w:rPr>
            <w:t>þ</w:t>
          </w:r>
        </w:sdtContent>
      </w:sdt>
      <w:r>
        <w:rPr>
          <w:rFonts w:hint="eastAsia" w:hAnsi="宋体" w:cs="宋体"/>
          <w:b/>
          <w:color w:val="000000" w:themeColor="text1"/>
          <w:sz w:val="24"/>
          <w:highlight w:val="none"/>
          <w14:textFill>
            <w14:solidFill>
              <w14:schemeClr w14:val="tx1"/>
            </w14:solidFill>
          </w14:textFill>
        </w:rPr>
        <w:t>否</w:t>
      </w:r>
      <w:r>
        <w:rPr>
          <w:rFonts w:hint="eastAsia" w:hAnsi="宋体" w:cs="宋体"/>
          <w:color w:val="000000" w:themeColor="text1"/>
          <w:kern w:val="0"/>
          <w:sz w:val="24"/>
          <w:highlight w:val="none"/>
          <w14:textFill>
            <w14:solidFill>
              <w14:schemeClr w14:val="tx1"/>
            </w14:solidFill>
          </w14:textFill>
        </w:rPr>
        <w:t>。</w:t>
      </w:r>
    </w:p>
    <w:p>
      <w:pPr>
        <w:pStyle w:val="131"/>
        <w:ind w:firstLine="482"/>
        <w:outlineLvl w:val="2"/>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注：不得限制大中型企业与小微企业组成联合体参与投标。</w:t>
      </w:r>
    </w:p>
    <w:p>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二、申请人的资格要求：</w:t>
      </w:r>
    </w:p>
    <w:p>
      <w:pPr>
        <w:spacing w:line="360" w:lineRule="auto"/>
        <w:ind w:firstLine="480"/>
        <w:rPr>
          <w:rFonts w:ascii="宋体" w:hAnsi="宋体" w:cs="宋体"/>
          <w:snapToGrid w:val="0"/>
          <w:color w:val="000000" w:themeColor="text1"/>
          <w:kern w:val="28"/>
          <w:sz w:val="24"/>
          <w:szCs w:val="20"/>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 xml:space="preserve">    2.落实政府采购政策需满足的资格要求：</w:t>
      </w:r>
      <w:sdt>
        <w:sdtPr>
          <w:rPr>
            <w:rFonts w:hint="eastAsia" w:ascii="宋体" w:hAnsi="宋体" w:cs="宋体"/>
            <w:color w:val="000000" w:themeColor="text1"/>
            <w:kern w:val="0"/>
            <w:sz w:val="24"/>
            <w:highlight w:val="none"/>
            <w14:textFill>
              <w14:solidFill>
                <w14:schemeClr w14:val="tx1"/>
              </w14:solidFill>
            </w14:textFill>
          </w:rPr>
          <w:id w:val="-1024704304"/>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sym w:font="Wingdings" w:char="F0FE"/>
          </w:r>
        </w:sdtContent>
      </w:sdt>
      <w:r>
        <w:rPr>
          <w:rFonts w:hint="eastAsia" w:ascii="宋体" w:hAnsi="宋体" w:cs="宋体"/>
          <w:color w:val="000000" w:themeColor="text1"/>
          <w:kern w:val="0"/>
          <w:sz w:val="24"/>
          <w:highlight w:val="none"/>
          <w14:textFill>
            <w14:solidFill>
              <w14:schemeClr w14:val="tx1"/>
            </w14:solidFill>
          </w14:textFill>
        </w:rPr>
        <w:t>专</w:t>
      </w:r>
      <w:r>
        <w:rPr>
          <w:rFonts w:hint="eastAsia" w:ascii="宋体" w:hAnsi="宋体" w:cs="宋体"/>
          <w:color w:val="000000" w:themeColor="text1"/>
          <w:sz w:val="24"/>
          <w:highlight w:val="none"/>
          <w14:textFill>
            <w14:solidFill>
              <w14:schemeClr w14:val="tx1"/>
            </w14:solidFill>
          </w14:textFill>
        </w:rPr>
        <w:t>门面向中小企业</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3.本项目的特定资格要求：无。</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三、获取采购文件 </w:t>
      </w:r>
    </w:p>
    <w:p>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时间：</w:t>
      </w:r>
      <w:r>
        <w:rPr>
          <w:rFonts w:hint="eastAsia" w:ascii="宋体" w:hAnsi="宋体" w:cs="宋体"/>
          <w:color w:val="000000" w:themeColor="text1"/>
          <w:sz w:val="24"/>
          <w:highlight w:val="none"/>
          <w14:textFill>
            <w14:solidFill>
              <w14:schemeClr w14:val="tx1"/>
            </w14:solidFill>
          </w14:textFill>
        </w:rPr>
        <w:t>/至</w:t>
      </w:r>
      <w:r>
        <w:rPr>
          <w:rFonts w:hint="eastAsia" w:ascii="宋体" w:hAnsi="宋体" w:cs="宋体"/>
          <w:color w:val="000000" w:themeColor="text1"/>
          <w:sz w:val="24"/>
          <w:highlight w:val="none"/>
          <w:u w:val="single"/>
          <w14:textFill>
            <w14:solidFill>
              <w14:schemeClr w14:val="tx1"/>
            </w14:solidFill>
          </w14:textFill>
        </w:rPr>
        <w:t>2022年</w:t>
      </w:r>
      <w:r>
        <w:rPr>
          <w:rFonts w:hint="eastAsia" w:ascii="宋体" w:hAnsi="宋体" w:cs="宋体"/>
          <w:color w:val="000000" w:themeColor="text1"/>
          <w:sz w:val="24"/>
          <w:highlight w:val="none"/>
          <w:u w:val="single"/>
          <w:lang w:val="en-US" w:eastAsia="zh-CN"/>
          <w14:textFill>
            <w14:solidFill>
              <w14:schemeClr w14:val="tx1"/>
            </w14:solidFill>
          </w14:textFill>
        </w:rPr>
        <w:t>10</w:t>
      </w:r>
      <w:r>
        <w:rPr>
          <w:rFonts w:hint="eastAsia" w:ascii="宋体" w:hAnsi="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08</w:t>
      </w:r>
      <w:r>
        <w:rPr>
          <w:rFonts w:hint="eastAsia" w:ascii="宋体" w:hAnsi="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地点（网址）：</w:t>
      </w:r>
      <w:r>
        <w:rPr>
          <w:rFonts w:hint="eastAsia" w:ascii="宋体" w:hAnsi="宋体" w:cs="宋体"/>
          <w:color w:val="000000" w:themeColor="text1"/>
          <w:sz w:val="24"/>
          <w:highlight w:val="none"/>
          <w14:textFill>
            <w14:solidFill>
              <w14:schemeClr w14:val="tx1"/>
            </w14:solidFill>
          </w14:textFill>
        </w:rPr>
        <w:t xml:space="preserve">政采云平台（https://www.zcygov.cn/） </w:t>
      </w:r>
    </w:p>
    <w:p>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方式：</w:t>
      </w:r>
      <w:r>
        <w:rPr>
          <w:rFonts w:hint="eastAsia" w:ascii="宋体" w:hAnsi="宋体" w:cs="宋体"/>
          <w:color w:val="000000" w:themeColor="text1"/>
          <w:sz w:val="24"/>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售价（元）：</w:t>
      </w:r>
      <w:r>
        <w:rPr>
          <w:rFonts w:hint="eastAsia" w:ascii="宋体" w:hAnsi="宋体" w:cs="宋体"/>
          <w:color w:val="000000" w:themeColor="text1"/>
          <w:sz w:val="24"/>
          <w:highlight w:val="none"/>
          <w14:textFill>
            <w14:solidFill>
              <w14:schemeClr w14:val="tx1"/>
            </w14:solidFill>
          </w14:textFill>
        </w:rPr>
        <w:t xml:space="preserve">0 </w:t>
      </w:r>
      <w:r>
        <w:rPr>
          <w:rFonts w:hint="eastAsia" w:ascii="宋体" w:hAnsi="宋体" w:cs="宋体"/>
          <w:color w:val="000000" w:themeColor="text1"/>
          <w:sz w:val="24"/>
          <w:highlight w:val="none"/>
          <w14:textFill>
            <w14:solidFill>
              <w14:schemeClr w14:val="tx1"/>
            </w14:solidFill>
          </w14:textFill>
        </w:rPr>
        <w:tab/>
      </w:r>
    </w:p>
    <w:p>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四、提交采购文件截止时间、开标时间和地点</w:t>
      </w:r>
    </w:p>
    <w:p>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提交采购文件截止时间：</w:t>
      </w:r>
      <w:r>
        <w:rPr>
          <w:rFonts w:hint="eastAsia" w:ascii="宋体" w:hAnsi="宋体" w:cs="宋体"/>
          <w:color w:val="000000" w:themeColor="text1"/>
          <w:sz w:val="24"/>
          <w:highlight w:val="none"/>
          <w:u w:val="single"/>
          <w14:textFill>
            <w14:solidFill>
              <w14:schemeClr w14:val="tx1"/>
            </w14:solidFill>
          </w14:textFill>
        </w:rPr>
        <w:t xml:space="preserve"> 2022年</w:t>
      </w:r>
      <w:r>
        <w:rPr>
          <w:rFonts w:hint="eastAsia" w:ascii="宋体" w:hAnsi="宋体" w:cs="宋体"/>
          <w:color w:val="000000" w:themeColor="text1"/>
          <w:sz w:val="24"/>
          <w:highlight w:val="none"/>
          <w:u w:val="single"/>
          <w:lang w:val="en-US" w:eastAsia="zh-CN"/>
          <w14:textFill>
            <w14:solidFill>
              <w14:schemeClr w14:val="tx1"/>
            </w14:solidFill>
          </w14:textFill>
        </w:rPr>
        <w:t>10</w:t>
      </w:r>
      <w:r>
        <w:rPr>
          <w:rFonts w:hint="eastAsia" w:ascii="宋体" w:hAnsi="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08</w:t>
      </w:r>
      <w:r>
        <w:rPr>
          <w:rFonts w:hint="eastAsia" w:ascii="宋体" w:hAnsi="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u w:val="single"/>
          <w:lang w:val="en-US" w:eastAsia="zh-CN"/>
          <w14:textFill>
            <w14:solidFill>
              <w14:schemeClr w14:val="tx1"/>
            </w14:solidFill>
          </w14:textFill>
        </w:rPr>
        <w:t>14</w:t>
      </w:r>
      <w:r>
        <w:rPr>
          <w:rFonts w:hint="eastAsia" w:ascii="宋体" w:hAnsi="宋体" w:cs="宋体"/>
          <w:color w:val="000000" w:themeColor="text1"/>
          <w:sz w:val="24"/>
          <w:highlight w:val="none"/>
          <w:u w:val="single"/>
          <w14:textFill>
            <w14:solidFill>
              <w14:schemeClr w14:val="tx1"/>
            </w14:solidFill>
          </w14:textFill>
        </w:rPr>
        <w:t>点</w:t>
      </w:r>
      <w:r>
        <w:rPr>
          <w:rFonts w:hint="eastAsia" w:ascii="宋体" w:hAnsi="宋体" w:cs="宋体"/>
          <w:color w:val="000000" w:themeColor="text1"/>
          <w:sz w:val="24"/>
          <w:highlight w:val="none"/>
          <w:u w:val="single"/>
          <w:lang w:val="en-US" w:eastAsia="zh-CN"/>
          <w14:textFill>
            <w14:solidFill>
              <w14:schemeClr w14:val="tx1"/>
            </w14:solidFill>
          </w14:textFill>
        </w:rPr>
        <w:t>00</w:t>
      </w:r>
      <w:r>
        <w:rPr>
          <w:rFonts w:hint="eastAsia" w:ascii="宋体" w:hAnsi="宋体" w:cs="宋体"/>
          <w:color w:val="000000" w:themeColor="text1"/>
          <w:sz w:val="24"/>
          <w:highlight w:val="none"/>
          <w:u w:val="single"/>
          <w14:textFill>
            <w14:solidFill>
              <w14:schemeClr w14:val="tx1"/>
            </w14:solidFill>
          </w14:textFill>
        </w:rPr>
        <w:t>分</w:t>
      </w:r>
      <w:r>
        <w:rPr>
          <w:rFonts w:hint="eastAsia" w:ascii="宋体" w:hAnsi="宋体" w:cs="宋体"/>
          <w:bCs/>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（北京时间）</w:t>
      </w:r>
    </w:p>
    <w:p>
      <w:pPr>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投标地点（网址）：</w:t>
      </w:r>
      <w:r>
        <w:rPr>
          <w:rFonts w:hint="eastAsia" w:ascii="宋体" w:hAnsi="宋体" w:cs="宋体"/>
          <w:color w:val="000000" w:themeColor="text1"/>
          <w:sz w:val="24"/>
          <w:highlight w:val="none"/>
          <w14:textFill>
            <w14:solidFill>
              <w14:schemeClr w14:val="tx1"/>
            </w14:solidFill>
          </w14:textFill>
        </w:rPr>
        <w:t xml:space="preserve">通过“政府采购云平台（www.zcygov.cn）”实行在线投标响应 </w:t>
      </w:r>
    </w:p>
    <w:p>
      <w:pPr>
        <w:spacing w:line="360" w:lineRule="auto"/>
        <w:ind w:firstLine="482" w:firstLineChars="200"/>
        <w:rPr>
          <w:rFonts w:ascii="宋体" w:hAnsi="宋体" w:cs="宋体"/>
          <w:bCs/>
          <w:color w:val="000000" w:themeColor="text1"/>
          <w:sz w:val="24"/>
          <w:highlight w:val="none"/>
          <w:u w:val="singl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开标时间：</w:t>
      </w:r>
      <w:r>
        <w:rPr>
          <w:rFonts w:hint="eastAsia" w:ascii="宋体" w:hAnsi="宋体" w:cs="宋体"/>
          <w:color w:val="000000" w:themeColor="text1"/>
          <w:sz w:val="24"/>
          <w:highlight w:val="none"/>
          <w:u w:val="single"/>
          <w14:textFill>
            <w14:solidFill>
              <w14:schemeClr w14:val="tx1"/>
            </w14:solidFill>
          </w14:textFill>
        </w:rPr>
        <w:t>2022年</w:t>
      </w:r>
      <w:r>
        <w:rPr>
          <w:rFonts w:hint="eastAsia" w:ascii="宋体" w:hAnsi="宋体" w:cs="宋体"/>
          <w:color w:val="000000" w:themeColor="text1"/>
          <w:sz w:val="24"/>
          <w:highlight w:val="none"/>
          <w:u w:val="single"/>
          <w:lang w:val="en-US" w:eastAsia="zh-CN"/>
          <w14:textFill>
            <w14:solidFill>
              <w14:schemeClr w14:val="tx1"/>
            </w14:solidFill>
          </w14:textFill>
        </w:rPr>
        <w:t>10</w:t>
      </w:r>
      <w:r>
        <w:rPr>
          <w:rFonts w:hint="eastAsia" w:ascii="宋体" w:hAnsi="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08</w:t>
      </w:r>
      <w:r>
        <w:rPr>
          <w:rFonts w:hint="eastAsia" w:ascii="宋体" w:hAnsi="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u w:val="single"/>
          <w:lang w:val="en-US" w:eastAsia="zh-CN"/>
          <w14:textFill>
            <w14:solidFill>
              <w14:schemeClr w14:val="tx1"/>
            </w14:solidFill>
          </w14:textFill>
        </w:rPr>
        <w:t>14</w:t>
      </w:r>
      <w:r>
        <w:rPr>
          <w:rFonts w:hint="eastAsia" w:ascii="宋体" w:hAnsi="宋体" w:cs="宋体"/>
          <w:color w:val="000000" w:themeColor="text1"/>
          <w:sz w:val="24"/>
          <w:highlight w:val="none"/>
          <w:u w:val="single"/>
          <w14:textFill>
            <w14:solidFill>
              <w14:schemeClr w14:val="tx1"/>
            </w14:solidFill>
          </w14:textFill>
        </w:rPr>
        <w:t>点</w:t>
      </w:r>
      <w:r>
        <w:rPr>
          <w:rFonts w:hint="eastAsia" w:ascii="宋体" w:hAnsi="宋体" w:cs="宋体"/>
          <w:color w:val="000000" w:themeColor="text1"/>
          <w:sz w:val="24"/>
          <w:highlight w:val="none"/>
          <w:u w:val="single"/>
          <w:lang w:val="en-US" w:eastAsia="zh-CN"/>
          <w14:textFill>
            <w14:solidFill>
              <w14:schemeClr w14:val="tx1"/>
            </w14:solidFill>
          </w14:textFill>
        </w:rPr>
        <w:t>00</w:t>
      </w:r>
      <w:r>
        <w:rPr>
          <w:rFonts w:hint="eastAsia" w:ascii="宋体" w:hAnsi="宋体" w:cs="宋体"/>
          <w:color w:val="000000" w:themeColor="text1"/>
          <w:sz w:val="24"/>
          <w:highlight w:val="none"/>
          <w:u w:val="single"/>
          <w14:textFill>
            <w14:solidFill>
              <w14:schemeClr w14:val="tx1"/>
            </w14:solidFill>
          </w14:textFill>
        </w:rPr>
        <w:t>分</w:t>
      </w:r>
      <w:r>
        <w:rPr>
          <w:rFonts w:hint="eastAsia" w:ascii="宋体" w:hAnsi="宋体" w:cs="宋体"/>
          <w:bCs/>
          <w:color w:val="000000" w:themeColor="text1"/>
          <w:sz w:val="24"/>
          <w:highlight w:val="none"/>
          <w:u w:val="single"/>
          <w14:textFill>
            <w14:solidFill>
              <w14:schemeClr w14:val="tx1"/>
            </w14:solidFill>
          </w14:textFill>
        </w:rPr>
        <w:t xml:space="preserve"> </w:t>
      </w:r>
    </w:p>
    <w:p>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开标地点（网址）：</w:t>
      </w:r>
      <w:r>
        <w:rPr>
          <w:rFonts w:hint="eastAsia" w:ascii="宋体" w:hAnsi="宋体" w:cs="宋体"/>
          <w:color w:val="000000" w:themeColor="text1"/>
          <w:sz w:val="24"/>
          <w:highlight w:val="none"/>
          <w14:textFill>
            <w14:solidFill>
              <w14:schemeClr w14:val="tx1"/>
            </w14:solidFill>
          </w14:textFill>
        </w:rPr>
        <w:t>政采云平台（https://www.zcygov.cn/）</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五、公告期限 </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自本公告发布之日起5个工作日。</w:t>
      </w:r>
    </w:p>
    <w:p>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六、其他补充事宜</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其他事项：（1）需要落实的政府采购政策：包括节约资源、保护环境、支持创新、促进中小企业发展等。详见采购文件的第二部分总则。（2）电子招投标的说明：①电子招投标：本项目以数据电文形式，依托“政府采购云平台（www.zcygov.cn）”进行招投标活动，不接受纸质采购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采购文件的制作：在“政采云电子交易客户端”中完成“填写基本信息”、“导入采购文件”、“标书关联”、“标书检查”、“电子签名”、“生成电子标书”等操作；⑤采购人、采购机构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⑧采购文件的传输递交：供应商在投标截止时间前将加密的采购文件上传至政府采购云平台，还可以在投标截止时间前直接提交或者以邮政快递方式递交备份采购文件1份。备份采购文件的制作、存储、密封详见采购文件第二部分第15点—“备份采购文件”；⑨采购文件的解密：供应商按照平台提示和采购文件的规定在半小时内完成在线解密。通过“政府采购云平台”上传递交的采购文件无法按时解密，投标供应商递交了备份采购文件的，以备份采购文件为依据，否则视为采购文件撤回。通过“政府采购云平台”上传递交的采购文件已按时解密的，备份采购文件自动失效。供应商仅提交备份采购文件，未在电子交易平台传输递交采购文件的，投标无效；⑩具体操作指南：详见政采云平台“服务中心-帮助文档-项目采购-操作流程-电子招投标-政府采购项目电子交易管理操作指南-供应商”。（3）采购文件公告期限与招标公告的公告期限一致。</w:t>
      </w:r>
    </w:p>
    <w:p>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七、对本次采购提出询问、质疑、投诉，请按以下方式联系</w:t>
      </w:r>
    </w:p>
    <w:p>
      <w:pPr>
        <w:widowControl/>
        <w:spacing w:line="360" w:lineRule="auto"/>
        <w:jc w:val="left"/>
        <w:rPr>
          <w:rFonts w:ascii="宋体" w:hAnsi="宋体" w:cs="宋体"/>
          <w:color w:val="000000" w:themeColor="text1"/>
          <w:sz w:val="24"/>
          <w:szCs w:val="28"/>
          <w:highlight w:val="none"/>
          <w14:textFill>
            <w14:solidFill>
              <w14:schemeClr w14:val="tx1"/>
            </w14:solidFill>
          </w14:textFill>
        </w:rPr>
      </w:pPr>
      <w:r>
        <w:rPr>
          <w:rFonts w:hint="eastAsia" w:ascii="宋体" w:hAnsi="宋体" w:cs="宋体"/>
          <w:color w:val="000000" w:themeColor="text1"/>
          <w:sz w:val="24"/>
          <w:szCs w:val="28"/>
          <w:highlight w:val="none"/>
          <w14:textFill>
            <w14:solidFill>
              <w14:schemeClr w14:val="tx1"/>
            </w14:solidFill>
          </w14:textFill>
        </w:rPr>
        <w:t>1.采购人信息</w:t>
      </w:r>
    </w:p>
    <w:p>
      <w:pPr>
        <w:widowControl/>
        <w:spacing w:line="360" w:lineRule="auto"/>
        <w:jc w:val="left"/>
        <w:rPr>
          <w:rFonts w:ascii="宋体" w:hAnsi="宋体" w:cs="宋体"/>
          <w:color w:val="000000" w:themeColor="text1"/>
          <w:sz w:val="24"/>
          <w:szCs w:val="28"/>
          <w:highlight w:val="none"/>
          <w14:textFill>
            <w14:solidFill>
              <w14:schemeClr w14:val="tx1"/>
            </w14:solidFill>
          </w14:textFill>
        </w:rPr>
      </w:pPr>
      <w:r>
        <w:rPr>
          <w:rFonts w:hint="eastAsia" w:ascii="宋体" w:hAnsi="宋体" w:cs="宋体"/>
          <w:color w:val="000000" w:themeColor="text1"/>
          <w:sz w:val="24"/>
          <w:szCs w:val="28"/>
          <w:highlight w:val="none"/>
          <w14:textFill>
            <w14:solidFill>
              <w14:schemeClr w14:val="tx1"/>
            </w14:solidFill>
          </w14:textFill>
        </w:rPr>
        <w:t>   名称：杭州工艺美术博物馆(杭州中国刀剪剑、扇业、伞业博物馆）</w:t>
      </w:r>
    </w:p>
    <w:p>
      <w:pPr>
        <w:widowControl/>
        <w:spacing w:line="360" w:lineRule="auto"/>
        <w:jc w:val="left"/>
        <w:rPr>
          <w:rFonts w:ascii="宋体" w:hAnsi="宋体" w:cs="宋体"/>
          <w:color w:val="000000" w:themeColor="text1"/>
          <w:sz w:val="24"/>
          <w:szCs w:val="28"/>
          <w:highlight w:val="none"/>
          <w14:textFill>
            <w14:solidFill>
              <w14:schemeClr w14:val="tx1"/>
            </w14:solidFill>
          </w14:textFill>
        </w:rPr>
      </w:pPr>
      <w:r>
        <w:rPr>
          <w:rFonts w:hint="eastAsia" w:ascii="宋体" w:hAnsi="宋体" w:cs="宋体"/>
          <w:color w:val="000000" w:themeColor="text1"/>
          <w:sz w:val="24"/>
          <w:szCs w:val="28"/>
          <w:highlight w:val="none"/>
          <w14:textFill>
            <w14:solidFill>
              <w14:schemeClr w14:val="tx1"/>
            </w14:solidFill>
          </w14:textFill>
        </w:rPr>
        <w:t>   地址：杭州市拱墅区桥弄街36号</w:t>
      </w:r>
    </w:p>
    <w:p>
      <w:pPr>
        <w:widowControl/>
        <w:spacing w:line="360" w:lineRule="auto"/>
        <w:jc w:val="left"/>
        <w:rPr>
          <w:rFonts w:ascii="宋体" w:hAnsi="宋体" w:cs="宋体"/>
          <w:color w:val="000000" w:themeColor="text1"/>
          <w:sz w:val="24"/>
          <w:szCs w:val="28"/>
          <w:highlight w:val="none"/>
          <w14:textFill>
            <w14:solidFill>
              <w14:schemeClr w14:val="tx1"/>
            </w14:solidFill>
          </w14:textFill>
        </w:rPr>
      </w:pPr>
      <w:r>
        <w:rPr>
          <w:rFonts w:hint="eastAsia" w:ascii="宋体" w:hAnsi="宋体" w:cs="宋体"/>
          <w:color w:val="000000" w:themeColor="text1"/>
          <w:sz w:val="24"/>
          <w:szCs w:val="28"/>
          <w:highlight w:val="none"/>
          <w14:textFill>
            <w14:solidFill>
              <w14:schemeClr w14:val="tx1"/>
            </w14:solidFill>
          </w14:textFill>
        </w:rPr>
        <w:t>   传真：/</w:t>
      </w:r>
    </w:p>
    <w:p>
      <w:pPr>
        <w:widowControl/>
        <w:spacing w:line="360" w:lineRule="auto"/>
        <w:jc w:val="left"/>
        <w:rPr>
          <w:rFonts w:ascii="宋体" w:hAnsi="宋体" w:cs="宋体"/>
          <w:color w:val="000000" w:themeColor="text1"/>
          <w:sz w:val="24"/>
          <w:szCs w:val="28"/>
          <w:highlight w:val="none"/>
          <w14:textFill>
            <w14:solidFill>
              <w14:schemeClr w14:val="tx1"/>
            </w14:solidFill>
          </w14:textFill>
        </w:rPr>
      </w:pPr>
      <w:r>
        <w:rPr>
          <w:rFonts w:hint="eastAsia" w:ascii="宋体" w:hAnsi="宋体" w:cs="宋体"/>
          <w:color w:val="000000" w:themeColor="text1"/>
          <w:sz w:val="24"/>
          <w:szCs w:val="28"/>
          <w:highlight w:val="none"/>
          <w14:textFill>
            <w14:solidFill>
              <w14:schemeClr w14:val="tx1"/>
            </w14:solidFill>
          </w14:textFill>
        </w:rPr>
        <w:t>   项目联系人（询问）：徐老师</w:t>
      </w:r>
    </w:p>
    <w:p>
      <w:pPr>
        <w:widowControl/>
        <w:spacing w:line="360" w:lineRule="auto"/>
        <w:jc w:val="left"/>
        <w:rPr>
          <w:rFonts w:ascii="宋体" w:hAnsi="宋体" w:cs="宋体"/>
          <w:color w:val="000000" w:themeColor="text1"/>
          <w:sz w:val="24"/>
          <w:szCs w:val="28"/>
          <w:highlight w:val="none"/>
          <w14:textFill>
            <w14:solidFill>
              <w14:schemeClr w14:val="tx1"/>
            </w14:solidFill>
          </w14:textFill>
        </w:rPr>
      </w:pPr>
      <w:r>
        <w:rPr>
          <w:rFonts w:hint="eastAsia" w:ascii="宋体" w:hAnsi="宋体" w:cs="宋体"/>
          <w:color w:val="000000" w:themeColor="text1"/>
          <w:sz w:val="24"/>
          <w:szCs w:val="28"/>
          <w:highlight w:val="none"/>
          <w14:textFill>
            <w14:solidFill>
              <w14:schemeClr w14:val="tx1"/>
            </w14:solidFill>
          </w14:textFill>
        </w:rPr>
        <w:t xml:space="preserve">   项目联系方式（询问）：0571-88197525  </w:t>
      </w:r>
    </w:p>
    <w:p>
      <w:pPr>
        <w:widowControl/>
        <w:spacing w:line="360" w:lineRule="auto"/>
        <w:jc w:val="left"/>
        <w:rPr>
          <w:rFonts w:ascii="宋体" w:hAnsi="宋体" w:cs="宋体"/>
          <w:color w:val="000000" w:themeColor="text1"/>
          <w:sz w:val="24"/>
          <w:szCs w:val="28"/>
          <w:highlight w:val="none"/>
          <w14:textFill>
            <w14:solidFill>
              <w14:schemeClr w14:val="tx1"/>
            </w14:solidFill>
          </w14:textFill>
        </w:rPr>
      </w:pPr>
      <w:r>
        <w:rPr>
          <w:rFonts w:hint="eastAsia" w:ascii="宋体" w:hAnsi="宋体" w:cs="宋体"/>
          <w:color w:val="000000" w:themeColor="text1"/>
          <w:sz w:val="24"/>
          <w:szCs w:val="28"/>
          <w:highlight w:val="none"/>
          <w14:textFill>
            <w14:solidFill>
              <w14:schemeClr w14:val="tx1"/>
            </w14:solidFill>
          </w14:textFill>
        </w:rPr>
        <w:t>   质疑联系人：黄琦</w:t>
      </w:r>
    </w:p>
    <w:p>
      <w:pPr>
        <w:widowControl/>
        <w:spacing w:line="360" w:lineRule="auto"/>
        <w:ind w:firstLine="480" w:firstLineChars="200"/>
        <w:jc w:val="left"/>
        <w:rPr>
          <w:rFonts w:ascii="宋体" w:hAnsi="宋体" w:cs="宋体"/>
          <w:color w:val="000000" w:themeColor="text1"/>
          <w:sz w:val="24"/>
          <w:szCs w:val="28"/>
          <w:highlight w:val="none"/>
          <w14:textFill>
            <w14:solidFill>
              <w14:schemeClr w14:val="tx1"/>
            </w14:solidFill>
          </w14:textFill>
        </w:rPr>
      </w:pPr>
      <w:r>
        <w:rPr>
          <w:rFonts w:hint="eastAsia" w:ascii="宋体" w:hAnsi="宋体" w:cs="宋体"/>
          <w:color w:val="000000" w:themeColor="text1"/>
          <w:sz w:val="24"/>
          <w:szCs w:val="28"/>
          <w:highlight w:val="none"/>
          <w14:textFill>
            <w14:solidFill>
              <w14:schemeClr w14:val="tx1"/>
            </w14:solidFill>
          </w14:textFill>
        </w:rPr>
        <w:t>质疑联系电话：0571-88197522</w:t>
      </w:r>
    </w:p>
    <w:p>
      <w:pPr>
        <w:widowControl/>
        <w:spacing w:line="360" w:lineRule="auto"/>
        <w:ind w:firstLine="480" w:firstLineChars="200"/>
        <w:jc w:val="left"/>
        <w:rPr>
          <w:rFonts w:ascii="宋体" w:hAnsi="宋体" w:cs="宋体"/>
          <w:color w:val="000000" w:themeColor="text1"/>
          <w:sz w:val="24"/>
          <w:szCs w:val="28"/>
          <w:highlight w:val="none"/>
          <w14:textFill>
            <w14:solidFill>
              <w14:schemeClr w14:val="tx1"/>
            </w14:solidFill>
          </w14:textFill>
        </w:rPr>
      </w:pPr>
      <w:r>
        <w:rPr>
          <w:rFonts w:hint="eastAsia" w:ascii="宋体" w:hAnsi="宋体" w:cs="宋体"/>
          <w:color w:val="000000" w:themeColor="text1"/>
          <w:sz w:val="24"/>
          <w:szCs w:val="28"/>
          <w:highlight w:val="none"/>
          <w14:textFill>
            <w14:solidFill>
              <w14:schemeClr w14:val="tx1"/>
            </w14:solidFill>
          </w14:textFill>
        </w:rPr>
        <w:t xml:space="preserve"> 2.采购代理机构信息</w:t>
      </w:r>
    </w:p>
    <w:p>
      <w:pPr>
        <w:widowControl/>
        <w:spacing w:line="360" w:lineRule="auto"/>
        <w:jc w:val="left"/>
        <w:rPr>
          <w:rFonts w:ascii="宋体" w:hAnsi="宋体" w:cs="宋体"/>
          <w:color w:val="000000" w:themeColor="text1"/>
          <w:sz w:val="24"/>
          <w:szCs w:val="28"/>
          <w:highlight w:val="none"/>
          <w14:textFill>
            <w14:solidFill>
              <w14:schemeClr w14:val="tx1"/>
            </w14:solidFill>
          </w14:textFill>
        </w:rPr>
      </w:pPr>
      <w:r>
        <w:rPr>
          <w:rFonts w:hint="eastAsia" w:ascii="宋体" w:hAnsi="宋体" w:cs="宋体"/>
          <w:color w:val="000000" w:themeColor="text1"/>
          <w:sz w:val="24"/>
          <w:szCs w:val="28"/>
          <w:highlight w:val="none"/>
          <w14:textFill>
            <w14:solidFill>
              <w14:schemeClr w14:val="tx1"/>
            </w14:solidFill>
          </w14:textFill>
        </w:rPr>
        <w:t>   名称：浙江泛亚工程咨询有限公司              </w:t>
      </w:r>
    </w:p>
    <w:p>
      <w:pPr>
        <w:widowControl/>
        <w:spacing w:line="360" w:lineRule="auto"/>
        <w:jc w:val="left"/>
        <w:rPr>
          <w:rFonts w:ascii="宋体" w:hAnsi="宋体" w:cs="宋体"/>
          <w:color w:val="000000" w:themeColor="text1"/>
          <w:sz w:val="24"/>
          <w:szCs w:val="28"/>
          <w:highlight w:val="none"/>
          <w14:textFill>
            <w14:solidFill>
              <w14:schemeClr w14:val="tx1"/>
            </w14:solidFill>
          </w14:textFill>
        </w:rPr>
      </w:pPr>
      <w:r>
        <w:rPr>
          <w:rFonts w:hint="eastAsia" w:ascii="宋体" w:hAnsi="宋体" w:cs="宋体"/>
          <w:color w:val="000000" w:themeColor="text1"/>
          <w:sz w:val="24"/>
          <w:szCs w:val="28"/>
          <w:highlight w:val="none"/>
          <w14:textFill>
            <w14:solidFill>
              <w14:schemeClr w14:val="tx1"/>
            </w14:solidFill>
          </w14:textFill>
        </w:rPr>
        <w:t xml:space="preserve">   地址：杭州市西湖区天目山路181号天际大厦803、804  </w:t>
      </w:r>
    </w:p>
    <w:p>
      <w:pPr>
        <w:widowControl/>
        <w:spacing w:line="360" w:lineRule="auto"/>
        <w:jc w:val="left"/>
        <w:rPr>
          <w:rFonts w:ascii="宋体" w:hAnsi="宋体" w:cs="宋体"/>
          <w:color w:val="000000" w:themeColor="text1"/>
          <w:sz w:val="24"/>
          <w:szCs w:val="28"/>
          <w:highlight w:val="none"/>
          <w14:textFill>
            <w14:solidFill>
              <w14:schemeClr w14:val="tx1"/>
            </w14:solidFill>
          </w14:textFill>
        </w:rPr>
      </w:pPr>
      <w:r>
        <w:rPr>
          <w:rFonts w:hint="eastAsia" w:ascii="宋体" w:hAnsi="宋体" w:cs="宋体"/>
          <w:color w:val="000000" w:themeColor="text1"/>
          <w:sz w:val="24"/>
          <w:szCs w:val="28"/>
          <w:highlight w:val="none"/>
          <w14:textFill>
            <w14:solidFill>
              <w14:schemeClr w14:val="tx1"/>
            </w14:solidFill>
          </w14:textFill>
        </w:rPr>
        <w:t>   传真：/             </w:t>
      </w:r>
    </w:p>
    <w:p>
      <w:pPr>
        <w:widowControl/>
        <w:spacing w:line="360" w:lineRule="auto"/>
        <w:jc w:val="left"/>
        <w:rPr>
          <w:rFonts w:ascii="宋体" w:hAnsi="宋体" w:cs="宋体"/>
          <w:color w:val="000000" w:themeColor="text1"/>
          <w:sz w:val="24"/>
          <w:szCs w:val="28"/>
          <w:highlight w:val="none"/>
          <w14:textFill>
            <w14:solidFill>
              <w14:schemeClr w14:val="tx1"/>
            </w14:solidFill>
          </w14:textFill>
        </w:rPr>
      </w:pPr>
      <w:r>
        <w:rPr>
          <w:rFonts w:hint="eastAsia" w:ascii="宋体" w:hAnsi="宋体" w:cs="宋体"/>
          <w:color w:val="000000" w:themeColor="text1"/>
          <w:sz w:val="24"/>
          <w:szCs w:val="28"/>
          <w:highlight w:val="none"/>
          <w14:textFill>
            <w14:solidFill>
              <w14:schemeClr w14:val="tx1"/>
            </w14:solidFill>
          </w14:textFill>
        </w:rPr>
        <w:t>   项目联系人（询问）：李工           </w:t>
      </w:r>
    </w:p>
    <w:p>
      <w:pPr>
        <w:widowControl/>
        <w:spacing w:line="360" w:lineRule="auto"/>
        <w:jc w:val="left"/>
        <w:rPr>
          <w:rFonts w:ascii="宋体" w:hAnsi="宋体" w:cs="宋体"/>
          <w:color w:val="000000" w:themeColor="text1"/>
          <w:sz w:val="24"/>
          <w:szCs w:val="28"/>
          <w:highlight w:val="none"/>
          <w14:textFill>
            <w14:solidFill>
              <w14:schemeClr w14:val="tx1"/>
            </w14:solidFill>
          </w14:textFill>
        </w:rPr>
      </w:pPr>
      <w:r>
        <w:rPr>
          <w:rFonts w:hint="eastAsia" w:ascii="宋体" w:hAnsi="宋体" w:cs="宋体"/>
          <w:color w:val="000000" w:themeColor="text1"/>
          <w:sz w:val="24"/>
          <w:szCs w:val="28"/>
          <w:highlight w:val="none"/>
          <w14:textFill>
            <w14:solidFill>
              <w14:schemeClr w14:val="tx1"/>
            </w14:solidFill>
          </w14:textFill>
        </w:rPr>
        <w:t>   项目联系方式（询问）：13605802875</w:t>
      </w:r>
    </w:p>
    <w:p>
      <w:pPr>
        <w:widowControl/>
        <w:spacing w:line="360" w:lineRule="auto"/>
        <w:ind w:firstLine="480" w:firstLineChars="200"/>
        <w:jc w:val="left"/>
        <w:rPr>
          <w:rFonts w:hint="eastAsia" w:ascii="宋体" w:hAnsi="宋体" w:eastAsia="宋体" w:cs="宋体"/>
          <w:color w:val="000000" w:themeColor="text1"/>
          <w:sz w:val="24"/>
          <w:szCs w:val="28"/>
          <w:highlight w:val="none"/>
          <w:lang w:val="en-US" w:eastAsia="zh-CN"/>
          <w14:textFill>
            <w14:solidFill>
              <w14:schemeClr w14:val="tx1"/>
            </w14:solidFill>
          </w14:textFill>
        </w:rPr>
      </w:pPr>
      <w:r>
        <w:rPr>
          <w:rFonts w:hint="eastAsia" w:ascii="宋体" w:hAnsi="宋体" w:cs="宋体"/>
          <w:color w:val="000000" w:themeColor="text1"/>
          <w:sz w:val="24"/>
          <w:szCs w:val="28"/>
          <w:highlight w:val="none"/>
          <w14:textFill>
            <w14:solidFill>
              <w14:schemeClr w14:val="tx1"/>
            </w14:solidFill>
          </w14:textFill>
        </w:rPr>
        <w:t>质疑联系人：</w:t>
      </w:r>
      <w:r>
        <w:rPr>
          <w:rFonts w:hint="eastAsia" w:ascii="宋体" w:hAnsi="宋体" w:cs="宋体"/>
          <w:color w:val="000000" w:themeColor="text1"/>
          <w:sz w:val="24"/>
          <w:szCs w:val="28"/>
          <w:highlight w:val="none"/>
          <w:lang w:eastAsia="zh-CN"/>
          <w14:textFill>
            <w14:solidFill>
              <w14:schemeClr w14:val="tx1"/>
            </w14:solidFill>
          </w14:textFill>
        </w:rPr>
        <w:t>杨佩瑾</w:t>
      </w:r>
    </w:p>
    <w:p>
      <w:pPr>
        <w:pStyle w:val="782"/>
        <w:adjustRightInd w:val="0"/>
        <w:snapToGrid w:val="0"/>
        <w:spacing w:line="360" w:lineRule="auto"/>
        <w:ind w:firstLine="480" w:firstLineChars="200"/>
        <w:jc w:val="left"/>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8"/>
          <w:highlight w:val="none"/>
          <w14:textFill>
            <w14:solidFill>
              <w14:schemeClr w14:val="tx1"/>
            </w14:solidFill>
          </w14:textFill>
        </w:rPr>
        <w:t>质疑联系电话：</w:t>
      </w:r>
      <w:r>
        <w:rPr>
          <w:rFonts w:hint="eastAsia" w:ascii="宋体" w:hAnsi="宋体" w:cs="宋体"/>
          <w:color w:val="000000" w:themeColor="text1"/>
          <w:sz w:val="24"/>
          <w:szCs w:val="28"/>
          <w:highlight w:val="none"/>
          <w:lang w:val="en-US" w:eastAsia="zh-CN"/>
          <w14:textFill>
            <w14:solidFill>
              <w14:schemeClr w14:val="tx1"/>
            </w14:solidFill>
          </w14:textFill>
        </w:rPr>
        <w:t>15068827539</w:t>
      </w:r>
    </w:p>
    <w:p>
      <w:pPr>
        <w:pStyle w:val="782"/>
        <w:adjustRightInd w:val="0"/>
        <w:snapToGrid w:val="0"/>
        <w:spacing w:line="360" w:lineRule="auto"/>
        <w:ind w:firstLine="480" w:firstLineChars="200"/>
        <w:jc w:val="left"/>
        <w:rPr>
          <w:rFonts w:ascii="宋体" w:hAnsi="宋体" w:cs="宋体"/>
          <w:color w:val="000000" w:themeColor="text1"/>
          <w:sz w:val="24"/>
          <w:szCs w:val="24"/>
          <w:highlight w:val="none"/>
          <w:lang w:val="zh-TW" w:eastAsia="zh-TW"/>
          <w14:textFill>
            <w14:solidFill>
              <w14:schemeClr w14:val="tx1"/>
            </w14:solidFill>
          </w14:textFill>
        </w:rPr>
      </w:pPr>
      <w:r>
        <w:rPr>
          <w:rFonts w:hint="eastAsia" w:ascii="宋体" w:hAnsi="宋体" w:cs="宋体"/>
          <w:color w:val="000000" w:themeColor="text1"/>
          <w:sz w:val="24"/>
          <w:szCs w:val="24"/>
          <w:highlight w:val="none"/>
          <w:lang w:val="zh-TW" w:eastAsia="zh-TW"/>
          <w14:textFill>
            <w14:solidFill>
              <w14:schemeClr w14:val="tx1"/>
            </w14:solidFill>
          </w14:textFill>
        </w:rPr>
        <w:t xml:space="preserve">3.同级政府采购监督管理部门            </w:t>
      </w:r>
    </w:p>
    <w:p>
      <w:pPr>
        <w:pStyle w:val="59"/>
        <w:snapToGrid w:val="0"/>
        <w:spacing w:before="0" w:beforeAutospacing="0" w:after="0" w:afterAutospacing="0" w:line="360" w:lineRule="auto"/>
        <w:ind w:firstLine="480" w:firstLineChars="200"/>
        <w:rPr>
          <w:rFonts w:cs="宋体"/>
          <w:color w:val="000000" w:themeColor="text1"/>
          <w:highlight w:val="none"/>
          <w:lang w:val="zh-CN"/>
          <w14:textFill>
            <w14:solidFill>
              <w14:schemeClr w14:val="tx1"/>
            </w14:solidFill>
          </w14:textFill>
        </w:rPr>
      </w:pPr>
      <w:r>
        <w:rPr>
          <w:rFonts w:hint="eastAsia" w:cs="宋体"/>
          <w:color w:val="000000" w:themeColor="text1"/>
          <w:highlight w:val="none"/>
          <w:lang w:val="zh-CN"/>
          <w14:textFill>
            <w14:solidFill>
              <w14:schemeClr w14:val="tx1"/>
            </w14:solidFill>
          </w14:textFill>
        </w:rPr>
        <w:t>同级政府采购监督管理部门名称：杭州市财政局</w:t>
      </w:r>
    </w:p>
    <w:p>
      <w:pPr>
        <w:pStyle w:val="59"/>
        <w:snapToGrid w:val="0"/>
        <w:spacing w:before="0" w:beforeAutospacing="0" w:after="0" w:afterAutospacing="0" w:line="360" w:lineRule="auto"/>
        <w:ind w:firstLine="480" w:firstLineChars="200"/>
        <w:rPr>
          <w:rFonts w:cs="宋体"/>
          <w:color w:val="000000" w:themeColor="text1"/>
          <w:highlight w:val="none"/>
          <w:lang w:val="zh-CN"/>
          <w14:textFill>
            <w14:solidFill>
              <w14:schemeClr w14:val="tx1"/>
            </w14:solidFill>
          </w14:textFill>
        </w:rPr>
      </w:pPr>
      <w:r>
        <w:rPr>
          <w:rFonts w:hint="eastAsia" w:cs="宋体"/>
          <w:color w:val="000000" w:themeColor="text1"/>
          <w:highlight w:val="none"/>
          <w:lang w:val="zh-CN"/>
          <w14:textFill>
            <w14:solidFill>
              <w14:schemeClr w14:val="tx1"/>
            </w14:solidFill>
          </w14:textFill>
        </w:rPr>
        <w:t>地点：杭州市中河中路152号杭州市财税大楼</w:t>
      </w:r>
    </w:p>
    <w:p>
      <w:pPr>
        <w:pStyle w:val="59"/>
        <w:snapToGrid w:val="0"/>
        <w:spacing w:before="0" w:beforeAutospacing="0" w:after="0" w:afterAutospacing="0" w:line="360" w:lineRule="auto"/>
        <w:ind w:firstLine="480" w:firstLineChars="200"/>
        <w:rPr>
          <w:rFonts w:cs="宋体"/>
          <w:color w:val="000000" w:themeColor="text1"/>
          <w:highlight w:val="none"/>
          <w:lang w:val="zh-CN"/>
          <w14:textFill>
            <w14:solidFill>
              <w14:schemeClr w14:val="tx1"/>
            </w14:solidFill>
          </w14:textFill>
        </w:rPr>
      </w:pPr>
      <w:r>
        <w:rPr>
          <w:rFonts w:hint="eastAsia" w:cs="宋体"/>
          <w:color w:val="000000" w:themeColor="text1"/>
          <w:highlight w:val="none"/>
          <w:lang w:val="zh-CN"/>
          <w14:textFill>
            <w14:solidFill>
              <w14:schemeClr w14:val="tx1"/>
            </w14:solidFill>
          </w14:textFill>
        </w:rPr>
        <w:t>联系人：厉先生</w:t>
      </w:r>
    </w:p>
    <w:p>
      <w:pPr>
        <w:pStyle w:val="59"/>
        <w:snapToGrid w:val="0"/>
        <w:spacing w:before="0" w:beforeAutospacing="0" w:after="0" w:afterAutospacing="0" w:line="360" w:lineRule="auto"/>
        <w:ind w:firstLine="480" w:firstLineChars="200"/>
        <w:rPr>
          <w:rFonts w:cs="宋体"/>
          <w:color w:val="000000" w:themeColor="text1"/>
          <w:highlight w:val="none"/>
          <w:lang w:val="zh-CN"/>
          <w14:textFill>
            <w14:solidFill>
              <w14:schemeClr w14:val="tx1"/>
            </w14:solidFill>
          </w14:textFill>
        </w:rPr>
      </w:pPr>
      <w:r>
        <w:rPr>
          <w:rFonts w:hint="eastAsia" w:cs="宋体"/>
          <w:color w:val="000000" w:themeColor="text1"/>
          <w:highlight w:val="none"/>
          <w14:textFill>
            <w14:solidFill>
              <w14:schemeClr w14:val="tx1"/>
            </w14:solidFill>
          </w14:textFill>
        </w:rPr>
        <w:t>监督投诉电话</w:t>
      </w:r>
      <w:r>
        <w:rPr>
          <w:rFonts w:hint="eastAsia" w:cs="宋体"/>
          <w:color w:val="000000" w:themeColor="text1"/>
          <w:highlight w:val="none"/>
          <w:lang w:val="zh-CN"/>
          <w14:textFill>
            <w14:solidFill>
              <w14:schemeClr w14:val="tx1"/>
            </w14:solidFill>
          </w14:textFill>
        </w:rPr>
        <w:t>：</w:t>
      </w:r>
      <w:r>
        <w:rPr>
          <w:rFonts w:cs="宋体"/>
          <w:color w:val="000000" w:themeColor="text1"/>
          <w:highlight w:val="none"/>
          <w:lang w:val="zh-CN"/>
          <w14:textFill>
            <w14:solidFill>
              <w14:schemeClr w14:val="tx1"/>
            </w14:solidFill>
          </w14:textFill>
        </w:rPr>
        <w:t>0571-89580456</w:t>
      </w:r>
    </w:p>
    <w:p>
      <w:pPr>
        <w:pStyle w:val="59"/>
        <w:snapToGrid w:val="0"/>
        <w:spacing w:before="0" w:beforeAutospacing="0" w:after="0" w:afterAutospacing="0" w:line="360" w:lineRule="auto"/>
        <w:ind w:firstLine="480" w:firstLineChars="200"/>
        <w:rPr>
          <w:rFonts w:cs="宋体"/>
          <w:color w:val="000000" w:themeColor="text1"/>
          <w:highlight w:val="none"/>
          <w:lang w:val="zh-CN"/>
          <w14:textFill>
            <w14:solidFill>
              <w14:schemeClr w14:val="tx1"/>
            </w14:solidFill>
          </w14:textFill>
        </w:rPr>
      </w:pPr>
      <w:r>
        <w:rPr>
          <w:rFonts w:hint="eastAsia" w:cs="宋体"/>
          <w:color w:val="000000" w:themeColor="text1"/>
          <w:highlight w:val="none"/>
          <w:lang w:val="zh-CN"/>
          <w14:textFill>
            <w14:solidFill>
              <w14:schemeClr w14:val="tx1"/>
            </w14:solidFill>
          </w14:textFill>
        </w:rPr>
        <w:t>传真：</w:t>
      </w:r>
      <w:r>
        <w:rPr>
          <w:rFonts w:cs="宋体"/>
          <w:color w:val="000000" w:themeColor="text1"/>
          <w:highlight w:val="none"/>
          <w:lang w:val="zh-CN"/>
          <w14:textFill>
            <w14:solidFill>
              <w14:schemeClr w14:val="tx1"/>
            </w14:solidFill>
          </w14:textFill>
        </w:rPr>
        <w:t>0571-89580456</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CA问题联系电话（人工）：汇信CA 400-888-4636；天谷CA 400-087-8198。</w:t>
      </w:r>
    </w:p>
    <w:p>
      <w:pPr>
        <w:pStyle w:val="3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 xml:space="preserve">                              </w:t>
      </w:r>
    </w:p>
    <w:p>
      <w:pPr>
        <w:adjustRightInd/>
        <w:spacing w:line="360" w:lineRule="auto"/>
        <w:jc w:val="center"/>
        <w:outlineLvl w:val="0"/>
        <w:rPr>
          <w:rFonts w:ascii="宋体" w:hAnsi="宋体" w:cs="宋体"/>
          <w:b/>
          <w:color w:val="000000" w:themeColor="text1"/>
          <w:sz w:val="36"/>
          <w:szCs w:val="20"/>
          <w:highlight w:val="none"/>
          <w14:textFill>
            <w14:solidFill>
              <w14:schemeClr w14:val="tx1"/>
            </w14:solidFill>
          </w14:textFill>
        </w:rPr>
      </w:pPr>
      <w:r>
        <w:rPr>
          <w:rFonts w:hint="eastAsia" w:ascii="宋体" w:hAnsi="宋体" w:cs="宋体"/>
          <w:b/>
          <w:color w:val="000000" w:themeColor="text1"/>
          <w:sz w:val="36"/>
          <w:szCs w:val="20"/>
          <w:highlight w:val="none"/>
          <w14:textFill>
            <w14:solidFill>
              <w14:schemeClr w14:val="tx1"/>
            </w14:solidFill>
          </w14:textFill>
        </w:rPr>
        <w:br w:type="page"/>
      </w:r>
      <w:r>
        <w:rPr>
          <w:rFonts w:hint="eastAsia" w:ascii="宋体" w:hAnsi="宋体" w:cs="宋体"/>
          <w:b/>
          <w:color w:val="000000" w:themeColor="text1"/>
          <w:sz w:val="36"/>
          <w:szCs w:val="20"/>
          <w:highlight w:val="none"/>
          <w14:textFill>
            <w14:solidFill>
              <w14:schemeClr w14:val="tx1"/>
            </w14:solidFill>
          </w14:textFill>
        </w:rPr>
        <w:t>第二部分</w:t>
      </w:r>
      <w:bookmarkEnd w:id="8"/>
      <w:r>
        <w:rPr>
          <w:rFonts w:hint="eastAsia" w:ascii="宋体" w:hAnsi="宋体" w:cs="宋体"/>
          <w:b/>
          <w:color w:val="000000" w:themeColor="text1"/>
          <w:sz w:val="36"/>
          <w:szCs w:val="20"/>
          <w:highlight w:val="none"/>
          <w14:textFill>
            <w14:solidFill>
              <w14:schemeClr w14:val="tx1"/>
            </w14:solidFill>
          </w14:textFill>
        </w:rPr>
        <w:t xml:space="preserve"> 供应商须知</w:t>
      </w:r>
      <w:bookmarkEnd w:id="9"/>
    </w:p>
    <w:p>
      <w:pPr>
        <w:snapToGrid w:val="0"/>
        <w:jc w:val="center"/>
        <w:rPr>
          <w:rFonts w:ascii="宋体" w:hAnsi="宋体" w:cs="宋体"/>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前附表</w:t>
      </w:r>
    </w:p>
    <w:tbl>
      <w:tblPr>
        <w:tblStyle w:val="63"/>
        <w:tblW w:w="0" w:type="auto"/>
        <w:tblInd w:w="108"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28" w:type="dxa"/>
          <w:bottom w:w="0" w:type="dxa"/>
          <w:right w:w="28" w:type="dxa"/>
        </w:tblCellMar>
      </w:tblPr>
      <w:tblGrid>
        <w:gridCol w:w="629"/>
        <w:gridCol w:w="1843"/>
        <w:gridCol w:w="609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37" w:hRule="atLeast"/>
          <w:tblHeader/>
        </w:trPr>
        <w:tc>
          <w:tcPr>
            <w:tcW w:w="629" w:type="dxa"/>
            <w:tcBorders>
              <w:tl2br w:val="nil"/>
              <w:tr2bl w:val="nil"/>
            </w:tcBorders>
          </w:tcPr>
          <w:p>
            <w:pPr>
              <w:adjustRightInd/>
              <w:spacing w:line="288"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1843" w:type="dxa"/>
            <w:tcBorders>
              <w:tl2br w:val="nil"/>
              <w:tr2bl w:val="nil"/>
            </w:tcBorders>
            <w:vAlign w:val="center"/>
          </w:tcPr>
          <w:p>
            <w:pPr>
              <w:adjustRightInd/>
              <w:spacing w:line="288"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事项</w:t>
            </w:r>
          </w:p>
        </w:tc>
        <w:tc>
          <w:tcPr>
            <w:tcW w:w="6095" w:type="dxa"/>
            <w:tcBorders>
              <w:tl2br w:val="nil"/>
              <w:tr2bl w:val="nil"/>
            </w:tcBorders>
            <w:vAlign w:val="center"/>
          </w:tcPr>
          <w:p>
            <w:pPr>
              <w:adjustRightInd/>
              <w:spacing w:line="288"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本项目的特别规定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519" w:hRule="atLeast"/>
          <w:tblHeader/>
        </w:trPr>
        <w:tc>
          <w:tcPr>
            <w:tcW w:w="629" w:type="dxa"/>
            <w:tcBorders>
              <w:tl2br w:val="nil"/>
              <w:tr2bl w:val="nil"/>
            </w:tcBorders>
            <w:vAlign w:val="center"/>
          </w:tcPr>
          <w:p>
            <w:pPr>
              <w:adjustRightInd/>
              <w:spacing w:line="288"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1843" w:type="dxa"/>
            <w:tcBorders>
              <w:tl2br w:val="nil"/>
              <w:tr2bl w:val="nil"/>
            </w:tcBorders>
            <w:vAlign w:val="center"/>
          </w:tcPr>
          <w:p>
            <w:pPr>
              <w:adjustRightInd/>
              <w:spacing w:line="288"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项目属性</w:t>
            </w:r>
          </w:p>
        </w:tc>
        <w:tc>
          <w:tcPr>
            <w:tcW w:w="6095" w:type="dxa"/>
            <w:tcBorders>
              <w:tl2br w:val="nil"/>
              <w:tr2bl w:val="nil"/>
            </w:tcBorders>
            <w:vAlign w:val="center"/>
          </w:tcPr>
          <w:p>
            <w:pPr>
              <w:adjustRightInd/>
              <w:spacing w:line="288"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货物类。</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996" w:hRule="atLeast"/>
          <w:tblHeader/>
        </w:trPr>
        <w:tc>
          <w:tcPr>
            <w:tcW w:w="629" w:type="dxa"/>
            <w:tcBorders>
              <w:tl2br w:val="nil"/>
              <w:tr2bl w:val="nil"/>
            </w:tcBorders>
            <w:vAlign w:val="center"/>
          </w:tcPr>
          <w:p>
            <w:pPr>
              <w:adjustRightInd/>
              <w:spacing w:line="288"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843" w:type="dxa"/>
            <w:tcBorders>
              <w:tl2br w:val="nil"/>
              <w:tr2bl w:val="nil"/>
            </w:tcBorders>
            <w:vAlign w:val="center"/>
          </w:tcPr>
          <w:p>
            <w:pPr>
              <w:adjustRightInd/>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采购标的对应的中小企业划分标准所属行业</w:t>
            </w:r>
          </w:p>
        </w:tc>
        <w:tc>
          <w:tcPr>
            <w:tcW w:w="6095" w:type="dxa"/>
            <w:tcBorders>
              <w:tl2br w:val="nil"/>
              <w:tr2bl w:val="nil"/>
            </w:tcBorders>
            <w:vAlign w:val="center"/>
          </w:tcPr>
          <w:p>
            <w:pPr>
              <w:adjustRightInd/>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标的：中国伞博物馆多媒体提升改造，属于其他未列明行业；</w:t>
            </w:r>
          </w:p>
          <w:p>
            <w:pPr>
              <w:adjustRightInd/>
              <w:jc w:val="left"/>
              <w:rPr>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中小企业划型标准：从业人员300人以下的为中小微型企业。其中，从业人员100人及以上的为中型企业；从业人员10人及以上的为小型企业；从业人员10人以下的为微型企业。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727" w:hRule="atLeast"/>
          <w:tblHeader/>
        </w:trPr>
        <w:tc>
          <w:tcPr>
            <w:tcW w:w="629" w:type="dxa"/>
            <w:tcBorders>
              <w:tl2br w:val="nil"/>
              <w:tr2bl w:val="nil"/>
            </w:tcBorders>
            <w:vAlign w:val="center"/>
          </w:tcPr>
          <w:p>
            <w:pPr>
              <w:adjustRightInd/>
              <w:spacing w:line="288"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1843" w:type="dxa"/>
            <w:tcBorders>
              <w:tl2br w:val="nil"/>
              <w:tr2bl w:val="nil"/>
            </w:tcBorders>
            <w:vAlign w:val="center"/>
          </w:tcPr>
          <w:p>
            <w:pPr>
              <w:adjustRightInd/>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是否允许采购进口产品</w:t>
            </w:r>
          </w:p>
        </w:tc>
        <w:tc>
          <w:tcPr>
            <w:tcW w:w="6095" w:type="dxa"/>
            <w:tcBorders>
              <w:tl2br w:val="nil"/>
              <w:tr2bl w:val="nil"/>
            </w:tcBorders>
            <w:vAlign w:val="center"/>
          </w:tcPr>
          <w:p>
            <w:pPr>
              <w:adjustRightInd/>
              <w:spacing w:line="288"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本项目不允许采购进口产品。</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81" w:hRule="atLeast"/>
          <w:tblHeader/>
        </w:trPr>
        <w:tc>
          <w:tcPr>
            <w:tcW w:w="629" w:type="dxa"/>
            <w:tcBorders>
              <w:tl2br w:val="nil"/>
              <w:tr2bl w:val="nil"/>
            </w:tcBorders>
            <w:vAlign w:val="center"/>
          </w:tcPr>
          <w:p>
            <w:pPr>
              <w:adjustRightInd/>
              <w:spacing w:line="288"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p>
        </w:tc>
        <w:tc>
          <w:tcPr>
            <w:tcW w:w="1843" w:type="dxa"/>
            <w:tcBorders>
              <w:tl2br w:val="nil"/>
              <w:tr2bl w:val="nil"/>
            </w:tcBorders>
            <w:vAlign w:val="center"/>
          </w:tcPr>
          <w:p>
            <w:pPr>
              <w:adjustRightInd/>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分包</w:t>
            </w:r>
          </w:p>
        </w:tc>
        <w:tc>
          <w:tcPr>
            <w:tcW w:w="6095" w:type="dxa"/>
            <w:tcBorders>
              <w:tl2br w:val="nil"/>
              <w:tr2bl w:val="nil"/>
            </w:tcBorders>
            <w:vAlign w:val="center"/>
          </w:tcPr>
          <w:p>
            <w:pPr>
              <w:adjustRightInd/>
              <w:spacing w:line="288"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不同意分包。</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705" w:hRule="atLeast"/>
          <w:tblHeader/>
        </w:trPr>
        <w:tc>
          <w:tcPr>
            <w:tcW w:w="629" w:type="dxa"/>
            <w:tcBorders>
              <w:tl2br w:val="nil"/>
              <w:tr2bl w:val="nil"/>
            </w:tcBorders>
            <w:vAlign w:val="center"/>
          </w:tcPr>
          <w:p>
            <w:pPr>
              <w:adjustRightInd/>
              <w:spacing w:line="288"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1843" w:type="dxa"/>
            <w:tcBorders>
              <w:tl2br w:val="nil"/>
              <w:tr2bl w:val="nil"/>
            </w:tcBorders>
            <w:vAlign w:val="center"/>
          </w:tcPr>
          <w:p>
            <w:pPr>
              <w:adjustRightInd/>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开标前答疑会或现场考察</w:t>
            </w:r>
          </w:p>
        </w:tc>
        <w:tc>
          <w:tcPr>
            <w:tcW w:w="6095" w:type="dxa"/>
            <w:tcBorders>
              <w:tl2br w:val="nil"/>
              <w:tr2bl w:val="nil"/>
            </w:tcBorders>
            <w:vAlign w:val="center"/>
          </w:tcPr>
          <w:p>
            <w:pPr>
              <w:adjustRightInd/>
              <w:spacing w:line="288"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不组织。</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550" w:hRule="atLeast"/>
          <w:tblHeader/>
        </w:trPr>
        <w:tc>
          <w:tcPr>
            <w:tcW w:w="629" w:type="dxa"/>
            <w:tcBorders>
              <w:tl2br w:val="nil"/>
              <w:tr2bl w:val="nil"/>
            </w:tcBorders>
            <w:vAlign w:val="center"/>
          </w:tcPr>
          <w:p>
            <w:pPr>
              <w:adjustRightInd/>
              <w:spacing w:line="288"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w:t>
            </w:r>
          </w:p>
        </w:tc>
        <w:tc>
          <w:tcPr>
            <w:tcW w:w="1843" w:type="dxa"/>
            <w:tcBorders>
              <w:tl2br w:val="nil"/>
              <w:tr2bl w:val="nil"/>
            </w:tcBorders>
            <w:vAlign w:val="center"/>
          </w:tcPr>
          <w:p>
            <w:pPr>
              <w:adjustRightInd/>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样品提供</w:t>
            </w:r>
          </w:p>
        </w:tc>
        <w:tc>
          <w:tcPr>
            <w:tcW w:w="6095" w:type="dxa"/>
            <w:tcBorders>
              <w:tl2br w:val="nil"/>
              <w:tr2bl w:val="nil"/>
            </w:tcBorders>
            <w:vAlign w:val="center"/>
          </w:tcPr>
          <w:p>
            <w:pPr>
              <w:adjustRightInd/>
              <w:spacing w:line="288"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不要求提供。</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691" w:hRule="atLeast"/>
          <w:tblHeader/>
        </w:trPr>
        <w:tc>
          <w:tcPr>
            <w:tcW w:w="629" w:type="dxa"/>
            <w:tcBorders>
              <w:tl2br w:val="nil"/>
              <w:tr2bl w:val="nil"/>
            </w:tcBorders>
            <w:vAlign w:val="center"/>
          </w:tcPr>
          <w:p>
            <w:pPr>
              <w:adjustRightInd/>
              <w:spacing w:line="288"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w:t>
            </w:r>
          </w:p>
        </w:tc>
        <w:tc>
          <w:tcPr>
            <w:tcW w:w="1843" w:type="dxa"/>
            <w:tcBorders>
              <w:tl2br w:val="nil"/>
              <w:tr2bl w:val="nil"/>
            </w:tcBorders>
            <w:vAlign w:val="center"/>
          </w:tcPr>
          <w:p>
            <w:pPr>
              <w:adjustRightInd/>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方案讲解演示</w:t>
            </w:r>
          </w:p>
        </w:tc>
        <w:tc>
          <w:tcPr>
            <w:tcW w:w="6095" w:type="dxa"/>
            <w:tcBorders>
              <w:tl2br w:val="nil"/>
              <w:tr2bl w:val="nil"/>
            </w:tcBorders>
            <w:vAlign w:val="center"/>
          </w:tcPr>
          <w:p>
            <w:pPr>
              <w:adjustRightInd/>
              <w:spacing w:line="288" w:lineRule="auto"/>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不组织</w:t>
            </w:r>
            <w:r>
              <w:rPr>
                <w:rFonts w:hint="eastAsia" w:ascii="宋体" w:hAnsi="宋体" w:cs="宋体"/>
                <w:color w:val="000000" w:themeColor="text1"/>
                <w:kern w:val="0"/>
                <w:sz w:val="24"/>
                <w:highlight w:val="none"/>
                <w14:textFill>
                  <w14:solidFill>
                    <w14:schemeClr w14:val="tx1"/>
                  </w14:solidFill>
                </w14:textFill>
              </w:rPr>
              <w: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61" w:hRule="atLeast"/>
          <w:tblHeader/>
        </w:trPr>
        <w:tc>
          <w:tcPr>
            <w:tcW w:w="629" w:type="dxa"/>
            <w:vMerge w:val="restart"/>
            <w:tcBorders>
              <w:tl2br w:val="nil"/>
              <w:tr2bl w:val="nil"/>
            </w:tcBorders>
            <w:vAlign w:val="center"/>
          </w:tcPr>
          <w:p>
            <w:pPr>
              <w:adjustRightInd/>
              <w:spacing w:line="288" w:lineRule="auto"/>
              <w:jc w:val="center"/>
              <w:rPr>
                <w:rFonts w:ascii="宋体" w:hAnsi="宋体" w:cs="宋体"/>
                <w:color w:val="000000" w:themeColor="text1"/>
                <w:sz w:val="24"/>
                <w:highlight w:val="none"/>
                <w14:textFill>
                  <w14:solidFill>
                    <w14:schemeClr w14:val="tx1"/>
                  </w14:solidFill>
                </w14:textFill>
              </w:rPr>
            </w:pPr>
          </w:p>
          <w:p>
            <w:pPr>
              <w:adjustRightInd/>
              <w:spacing w:line="288" w:lineRule="auto"/>
              <w:jc w:val="center"/>
              <w:rPr>
                <w:rFonts w:ascii="宋体" w:hAnsi="宋体" w:cs="宋体"/>
                <w:color w:val="000000" w:themeColor="text1"/>
                <w:sz w:val="24"/>
                <w:highlight w:val="none"/>
                <w14:textFill>
                  <w14:solidFill>
                    <w14:schemeClr w14:val="tx1"/>
                  </w14:solidFill>
                </w14:textFill>
              </w:rPr>
            </w:pPr>
          </w:p>
          <w:p>
            <w:pPr>
              <w:adjustRightInd/>
              <w:spacing w:line="288"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w:t>
            </w:r>
          </w:p>
        </w:tc>
        <w:tc>
          <w:tcPr>
            <w:tcW w:w="1843" w:type="dxa"/>
            <w:vMerge w:val="restart"/>
            <w:tcBorders>
              <w:tl2br w:val="nil"/>
              <w:tr2bl w:val="nil"/>
            </w:tcBorders>
            <w:vAlign w:val="center"/>
          </w:tcPr>
          <w:p>
            <w:pPr>
              <w:adjustRightInd/>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供应商应当提供的资格、资信证明文件</w:t>
            </w:r>
          </w:p>
        </w:tc>
        <w:tc>
          <w:tcPr>
            <w:tcW w:w="6095" w:type="dxa"/>
            <w:tcBorders>
              <w:tl2br w:val="nil"/>
              <w:tr2bl w:val="nil"/>
            </w:tcBorders>
            <w:vAlign w:val="center"/>
          </w:tcPr>
          <w:p>
            <w:pPr>
              <w:adjustRightInd/>
              <w:spacing w:line="288"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（1）资格证明文件：见采购文件第二部分11.1。</w:t>
            </w:r>
          </w:p>
          <w:p>
            <w:pPr>
              <w:adjustRightInd/>
              <w:spacing w:line="288" w:lineRule="auto"/>
              <w:rPr>
                <w:rFonts w:ascii="宋体" w:hAnsi="宋体" w:cs="宋体"/>
                <w:snapToGrid w:val="0"/>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供应商未提供有效的资格证明文件的，视为供应商不具备采购文件中规定的资格要求，投标无效。</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574" w:hRule="atLeast"/>
          <w:tblHeader/>
        </w:trPr>
        <w:tc>
          <w:tcPr>
            <w:tcW w:w="629" w:type="dxa"/>
            <w:vMerge w:val="continue"/>
            <w:tcBorders>
              <w:tl2br w:val="nil"/>
              <w:tr2bl w:val="nil"/>
            </w:tcBorders>
            <w:vAlign w:val="center"/>
          </w:tcPr>
          <w:p>
            <w:pPr>
              <w:adjustRightInd/>
              <w:spacing w:line="288" w:lineRule="auto"/>
              <w:jc w:val="center"/>
              <w:rPr>
                <w:rFonts w:ascii="宋体" w:hAnsi="宋体" w:cs="宋体"/>
                <w:color w:val="000000" w:themeColor="text1"/>
                <w:sz w:val="24"/>
                <w:highlight w:val="none"/>
                <w14:textFill>
                  <w14:solidFill>
                    <w14:schemeClr w14:val="tx1"/>
                  </w14:solidFill>
                </w14:textFill>
              </w:rPr>
            </w:pPr>
          </w:p>
        </w:tc>
        <w:tc>
          <w:tcPr>
            <w:tcW w:w="1843" w:type="dxa"/>
            <w:vMerge w:val="continue"/>
            <w:tcBorders>
              <w:tl2br w:val="nil"/>
              <w:tr2bl w:val="nil"/>
            </w:tcBorders>
            <w:vAlign w:val="center"/>
          </w:tcPr>
          <w:p>
            <w:pPr>
              <w:adjustRightInd/>
              <w:jc w:val="center"/>
              <w:rPr>
                <w:rFonts w:ascii="宋体" w:hAnsi="宋体" w:cs="宋体"/>
                <w:b/>
                <w:color w:val="000000" w:themeColor="text1"/>
                <w:sz w:val="24"/>
                <w:highlight w:val="none"/>
                <w14:textFill>
                  <w14:solidFill>
                    <w14:schemeClr w14:val="tx1"/>
                  </w14:solidFill>
                </w14:textFill>
              </w:rPr>
            </w:pPr>
          </w:p>
        </w:tc>
        <w:tc>
          <w:tcPr>
            <w:tcW w:w="6095" w:type="dxa"/>
            <w:tcBorders>
              <w:tl2br w:val="nil"/>
              <w:tr2bl w:val="nil"/>
            </w:tcBorders>
            <w:vAlign w:val="center"/>
          </w:tcPr>
          <w:p>
            <w:pPr>
              <w:adjustRightInd/>
              <w:spacing w:line="288"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（2）资信证明文件：根据采购文件第四部分评标标准提供。</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686" w:hRule="atLeast"/>
          <w:tblHeader/>
        </w:trPr>
        <w:tc>
          <w:tcPr>
            <w:tcW w:w="629" w:type="dxa"/>
            <w:tcBorders>
              <w:tl2br w:val="nil"/>
              <w:tr2bl w:val="nil"/>
            </w:tcBorders>
            <w:vAlign w:val="center"/>
          </w:tcPr>
          <w:p>
            <w:pPr>
              <w:adjustRightInd/>
              <w:spacing w:line="288" w:lineRule="auto"/>
              <w:jc w:val="center"/>
              <w:rPr>
                <w:rFonts w:ascii="宋体" w:hAnsi="宋体" w:cs="宋体"/>
                <w:color w:val="000000" w:themeColor="text1"/>
                <w:sz w:val="24"/>
                <w:highlight w:val="none"/>
                <w14:textFill>
                  <w14:solidFill>
                    <w14:schemeClr w14:val="tx1"/>
                  </w14:solidFill>
                </w14:textFill>
              </w:rPr>
            </w:pPr>
          </w:p>
          <w:p>
            <w:pPr>
              <w:adjustRightInd/>
              <w:spacing w:line="288" w:lineRule="auto"/>
              <w:jc w:val="center"/>
              <w:rPr>
                <w:rFonts w:ascii="宋体" w:hAnsi="宋体" w:cs="宋体"/>
                <w:color w:val="000000" w:themeColor="text1"/>
                <w:sz w:val="24"/>
                <w:highlight w:val="none"/>
                <w14:textFill>
                  <w14:solidFill>
                    <w14:schemeClr w14:val="tx1"/>
                  </w14:solidFill>
                </w14:textFill>
              </w:rPr>
            </w:pPr>
          </w:p>
          <w:p>
            <w:pPr>
              <w:adjustRightInd/>
              <w:spacing w:line="288"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w:t>
            </w:r>
          </w:p>
        </w:tc>
        <w:tc>
          <w:tcPr>
            <w:tcW w:w="1843" w:type="dxa"/>
            <w:tcBorders>
              <w:tl2br w:val="nil"/>
              <w:tr2bl w:val="nil"/>
            </w:tcBorders>
            <w:vAlign w:val="center"/>
          </w:tcPr>
          <w:p>
            <w:pPr>
              <w:adjustRightInd/>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节能产品、环境标志产品</w:t>
            </w:r>
          </w:p>
        </w:tc>
        <w:tc>
          <w:tcPr>
            <w:tcW w:w="6095" w:type="dxa"/>
            <w:tcBorders>
              <w:tl2br w:val="nil"/>
              <w:tr2bl w:val="nil"/>
            </w:tcBorders>
            <w:vAlign w:val="center"/>
          </w:tcPr>
          <w:p>
            <w:pPr>
              <w:adjustRightInd/>
              <w:spacing w:line="288"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686" w:hRule="atLeast"/>
          <w:tblHeader/>
        </w:trPr>
        <w:tc>
          <w:tcPr>
            <w:tcW w:w="629" w:type="dxa"/>
            <w:tcBorders>
              <w:tl2br w:val="nil"/>
              <w:tr2bl w:val="nil"/>
            </w:tcBorders>
            <w:vAlign w:val="center"/>
          </w:tcPr>
          <w:p>
            <w:pPr>
              <w:adjustRightInd/>
              <w:spacing w:line="288"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10</w:t>
            </w:r>
          </w:p>
        </w:tc>
        <w:tc>
          <w:tcPr>
            <w:tcW w:w="1843" w:type="dxa"/>
            <w:tcBorders>
              <w:tl2br w:val="nil"/>
              <w:tr2bl w:val="nil"/>
            </w:tcBorders>
            <w:vAlign w:val="center"/>
          </w:tcPr>
          <w:p>
            <w:pPr>
              <w:adjustRightInd/>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报价要求</w:t>
            </w:r>
          </w:p>
        </w:tc>
        <w:tc>
          <w:tcPr>
            <w:tcW w:w="6095" w:type="dxa"/>
            <w:tcBorders>
              <w:tl2br w:val="nil"/>
              <w:tr2bl w:val="nil"/>
            </w:tcBorders>
            <w:vAlign w:val="center"/>
          </w:tcPr>
          <w:p>
            <w:pPr>
              <w:adjustRightInd/>
              <w:spacing w:line="288" w:lineRule="auto"/>
              <w:jc w:val="left"/>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zh-CN"/>
                <w14:textFill>
                  <w14:solidFill>
                    <w14:schemeClr w14:val="tx1"/>
                  </w14:solidFill>
                </w14:textFill>
              </w:rPr>
              <w:t>本项目采用投标总价报价。投标报价含有关本项目供货所需的货物成本、人工费、运输费、包装费、交通费、搬运费、设备安装费（含基础设施）、配套的内容制作及基础装修费、管理费、税金（按国家规定）、政策性文件规定及合同包含的所有风险、责任等完成本项目的所有费用。</w:t>
            </w:r>
          </w:p>
          <w:p>
            <w:pPr>
              <w:adjustRightInd/>
              <w:spacing w:line="288" w:lineRule="auto"/>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《投标（开标）一览表》是报价的唯一载体。采购文件中价格全部采用人民币报价。采购文件未列明，而供应商认为必需的费用也需综合考虑至投标报价中。</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686" w:hRule="atLeast"/>
          <w:tblHeader/>
        </w:trPr>
        <w:tc>
          <w:tcPr>
            <w:tcW w:w="629" w:type="dxa"/>
            <w:tcBorders>
              <w:tl2br w:val="nil"/>
              <w:tr2bl w:val="nil"/>
            </w:tcBorders>
            <w:vAlign w:val="center"/>
          </w:tcPr>
          <w:p>
            <w:pPr>
              <w:adjustRightInd/>
              <w:spacing w:line="288"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10</w:t>
            </w:r>
          </w:p>
        </w:tc>
        <w:tc>
          <w:tcPr>
            <w:tcW w:w="1843" w:type="dxa"/>
            <w:tcBorders>
              <w:tl2br w:val="nil"/>
              <w:tr2bl w:val="nil"/>
            </w:tcBorders>
            <w:vAlign w:val="center"/>
          </w:tcPr>
          <w:p>
            <w:pPr>
              <w:adjustRightInd/>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报价要求</w:t>
            </w:r>
          </w:p>
        </w:tc>
        <w:tc>
          <w:tcPr>
            <w:tcW w:w="6095" w:type="dxa"/>
            <w:tcBorders>
              <w:tl2br w:val="nil"/>
              <w:tr2bl w:val="nil"/>
            </w:tcBorders>
            <w:vAlign w:val="center"/>
          </w:tcPr>
          <w:p>
            <w:pPr>
              <w:numPr>
                <w:ilvl w:val="0"/>
                <w:numId w:val="1"/>
              </w:numPr>
              <w:adjustRightInd/>
              <w:spacing w:line="288"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其它需在报价中考虑的因素：</w:t>
            </w:r>
          </w:p>
          <w:p>
            <w:pPr>
              <w:adjustRightInd/>
              <w:spacing w:line="288"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3.1用户需求中明确的需供应商承担的费用均应含在投标</w:t>
            </w:r>
          </w:p>
          <w:p>
            <w:pPr>
              <w:adjustRightInd/>
              <w:spacing w:line="288"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总价中；</w:t>
            </w:r>
          </w:p>
          <w:p>
            <w:pPr>
              <w:adjustRightInd/>
              <w:spacing w:line="288"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3.2采购文件未明示但供应商认为可能产生的潜在费用支出均需自行考虑并计入投标总价中；</w:t>
            </w:r>
          </w:p>
          <w:p>
            <w:pPr>
              <w:adjustRightInd/>
              <w:spacing w:line="288"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3.3对于没有填报的项目，采购人将不再支付，并均认为已包含在报价内。</w:t>
            </w:r>
          </w:p>
          <w:p>
            <w:pPr>
              <w:autoSpaceDE w:val="0"/>
              <w:autoSpaceDN w:val="0"/>
              <w:adjustRightInd/>
              <w:spacing w:line="288" w:lineRule="auto"/>
              <w:jc w:val="left"/>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lang w:val="zh-CN"/>
                <w14:textFill>
                  <w14:solidFill>
                    <w14:schemeClr w14:val="tx1"/>
                  </w14:solidFill>
                </w14:textFill>
              </w:rPr>
              <w:t>投标报价出现下列情形的，投标无效：</w:t>
            </w:r>
          </w:p>
          <w:p>
            <w:pPr>
              <w:autoSpaceDE w:val="0"/>
              <w:autoSpaceDN w:val="0"/>
              <w:adjustRightInd/>
              <w:spacing w:line="288" w:lineRule="auto"/>
              <w:jc w:val="left"/>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▲采购文件出现不是唯一的、有选择性投标报价的；</w:t>
            </w:r>
          </w:p>
          <w:p>
            <w:pPr>
              <w:autoSpaceDE w:val="0"/>
              <w:autoSpaceDN w:val="0"/>
              <w:adjustRightInd/>
              <w:spacing w:line="288" w:lineRule="auto"/>
              <w:jc w:val="left"/>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b/>
                <w:color w:val="000000" w:themeColor="text1"/>
                <w:kern w:val="0"/>
                <w:sz w:val="24"/>
                <w:highlight w:val="none"/>
                <w14:textFill>
                  <w14:solidFill>
                    <w14:schemeClr w14:val="tx1"/>
                  </w14:solidFill>
                </w14:textFill>
              </w:rPr>
              <w:t>报价明显低于其他通过符合性审查供应商的报价，有可能影响产品质量或者不能诚信履约的，未能按要求提供书面说明或者提交相关证明材料，不能证明其报价合理性的</w:t>
            </w:r>
            <w:r>
              <w:rPr>
                <w:rFonts w:hint="eastAsia" w:ascii="宋体" w:hAnsi="宋体" w:cs="宋体"/>
                <w:color w:val="000000" w:themeColor="text1"/>
                <w:sz w:val="24"/>
                <w:highlight w:val="none"/>
                <w:lang w:val="zh-CN"/>
                <w14:textFill>
                  <w14:solidFill>
                    <w14:schemeClr w14:val="tx1"/>
                  </w14:solidFill>
                </w14:textFill>
              </w:rPr>
              <w:t>；</w:t>
            </w:r>
          </w:p>
          <w:p>
            <w:pPr>
              <w:autoSpaceDE w:val="0"/>
              <w:autoSpaceDN w:val="0"/>
              <w:adjustRightInd/>
              <w:spacing w:line="288" w:lineRule="auto"/>
              <w:jc w:val="left"/>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▲《投标（开标）一览表》填写不完整或字迹不能辨认或有漏项的；</w:t>
            </w:r>
          </w:p>
          <w:p>
            <w:pPr>
              <w:pStyle w:val="2"/>
              <w:rPr>
                <w:color w:val="000000" w:themeColor="text1"/>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▲供应商对根据修正原则修正后的报价不确认的。</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686" w:hRule="atLeast"/>
          <w:tblHeader/>
        </w:trPr>
        <w:tc>
          <w:tcPr>
            <w:tcW w:w="629" w:type="dxa"/>
            <w:tcBorders>
              <w:tl2br w:val="nil"/>
              <w:tr2bl w:val="nil"/>
            </w:tcBorders>
            <w:vAlign w:val="center"/>
          </w:tcPr>
          <w:p>
            <w:pPr>
              <w:adjustRightInd/>
              <w:spacing w:line="288"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w:t>
            </w:r>
          </w:p>
        </w:tc>
        <w:tc>
          <w:tcPr>
            <w:tcW w:w="1843" w:type="dxa"/>
            <w:tcBorders>
              <w:tl2br w:val="nil"/>
              <w:tr2bl w:val="nil"/>
            </w:tcBorders>
            <w:vAlign w:val="center"/>
          </w:tcPr>
          <w:p>
            <w:pPr>
              <w:pStyle w:val="26"/>
              <w:tabs>
                <w:tab w:val="left" w:pos="-5"/>
              </w:tabs>
              <w:adjustRightInd/>
              <w:spacing w:line="288" w:lineRule="auto"/>
              <w:ind w:firstLine="0" w:firstLineChars="0"/>
              <w:jc w:val="center"/>
              <w:rPr>
                <w:rFonts w:cs="宋体"/>
                <w:b/>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最高限价</w:t>
            </w:r>
          </w:p>
        </w:tc>
        <w:tc>
          <w:tcPr>
            <w:tcW w:w="6095" w:type="dxa"/>
            <w:tcBorders>
              <w:tl2br w:val="nil"/>
              <w:tr2bl w:val="nil"/>
            </w:tcBorders>
            <w:vAlign w:val="center"/>
          </w:tcPr>
          <w:p>
            <w:pPr>
              <w:pStyle w:val="27"/>
              <w:adjustRightInd/>
              <w:snapToGrid/>
              <w:spacing w:line="288" w:lineRule="auto"/>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b/>
                <w:snapToGrid w:val="0"/>
                <w:color w:val="000000" w:themeColor="text1"/>
                <w:kern w:val="0"/>
                <w:sz w:val="24"/>
                <w:highlight w:val="none"/>
                <w14:textFill>
                  <w14:solidFill>
                    <w14:schemeClr w14:val="tx1"/>
                  </w14:solidFill>
                </w14:textFill>
              </w:rPr>
              <w:t>投标报价不得高于</w:t>
            </w:r>
            <w:r>
              <w:rPr>
                <w:rFonts w:hint="eastAsia" w:ascii="宋体" w:hAnsi="宋体" w:cs="宋体"/>
                <w:b/>
                <w:snapToGrid w:val="0"/>
                <w:color w:val="000000" w:themeColor="text1"/>
                <w:kern w:val="0"/>
                <w:sz w:val="24"/>
                <w:highlight w:val="none"/>
                <w:lang w:eastAsia="zh-CN"/>
                <w14:textFill>
                  <w14:solidFill>
                    <w14:schemeClr w14:val="tx1"/>
                  </w14:solidFill>
                </w14:textFill>
              </w:rPr>
              <w:t>4376000</w:t>
            </w:r>
            <w:r>
              <w:rPr>
                <w:rFonts w:hint="eastAsia" w:ascii="宋体" w:hAnsi="宋体" w:cs="宋体"/>
                <w:b/>
                <w:snapToGrid w:val="0"/>
                <w:color w:val="000000" w:themeColor="text1"/>
                <w:kern w:val="0"/>
                <w:sz w:val="24"/>
                <w:highlight w:val="none"/>
                <w14:textFill>
                  <w14:solidFill>
                    <w14:schemeClr w14:val="tx1"/>
                  </w14:solidFill>
                </w14:textFill>
              </w:rPr>
              <w:t>.00元，报价超出此范围的做无效报价处理。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1144" w:hRule="atLeast"/>
          <w:tblHeader/>
        </w:trPr>
        <w:tc>
          <w:tcPr>
            <w:tcW w:w="629" w:type="dxa"/>
            <w:vMerge w:val="restart"/>
            <w:tcBorders>
              <w:tl2br w:val="nil"/>
              <w:tr2bl w:val="nil"/>
            </w:tcBorders>
            <w:vAlign w:val="center"/>
          </w:tcPr>
          <w:p>
            <w:pPr>
              <w:adjustRightInd/>
              <w:spacing w:line="288" w:lineRule="auto"/>
              <w:jc w:val="center"/>
              <w:rPr>
                <w:rFonts w:ascii="宋体" w:hAnsi="宋体" w:cs="宋体"/>
                <w:color w:val="000000" w:themeColor="text1"/>
                <w:sz w:val="24"/>
                <w:highlight w:val="none"/>
                <w14:textFill>
                  <w14:solidFill>
                    <w14:schemeClr w14:val="tx1"/>
                  </w14:solidFill>
                </w14:textFill>
              </w:rPr>
            </w:pPr>
          </w:p>
          <w:p>
            <w:pPr>
              <w:adjustRightInd/>
              <w:spacing w:line="288"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w:t>
            </w:r>
          </w:p>
        </w:tc>
        <w:tc>
          <w:tcPr>
            <w:tcW w:w="1843" w:type="dxa"/>
            <w:vMerge w:val="restart"/>
            <w:tcBorders>
              <w:tl2br w:val="nil"/>
              <w:tr2bl w:val="nil"/>
            </w:tcBorders>
            <w:vAlign w:val="center"/>
          </w:tcPr>
          <w:p>
            <w:pPr>
              <w:adjustRightInd/>
              <w:spacing w:line="288"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中小企业信用融资</w:t>
            </w:r>
          </w:p>
        </w:tc>
        <w:tc>
          <w:tcPr>
            <w:tcW w:w="6095" w:type="dxa"/>
            <w:tcBorders>
              <w:tl2br w:val="nil"/>
              <w:tr2bl w:val="nil"/>
            </w:tcBorders>
            <w:vAlign w:val="center"/>
          </w:tcPr>
          <w:p>
            <w:pPr>
              <w:adjustRightInd/>
              <w:spacing w:line="288"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144" w:hRule="atLeast"/>
          <w:tblHeader/>
        </w:trPr>
        <w:tc>
          <w:tcPr>
            <w:tcW w:w="629" w:type="dxa"/>
            <w:vMerge w:val="continue"/>
            <w:tcBorders>
              <w:tl2br w:val="nil"/>
              <w:tr2bl w:val="nil"/>
            </w:tcBorders>
            <w:vAlign w:val="center"/>
          </w:tcPr>
          <w:p>
            <w:pPr>
              <w:adjustRightInd/>
              <w:spacing w:line="288" w:lineRule="auto"/>
              <w:ind w:firstLine="480" w:firstLineChars="200"/>
              <w:jc w:val="center"/>
              <w:rPr>
                <w:rFonts w:ascii="宋体" w:hAnsi="宋体" w:cs="宋体"/>
                <w:color w:val="000000" w:themeColor="text1"/>
                <w:sz w:val="24"/>
                <w:highlight w:val="none"/>
                <w14:textFill>
                  <w14:solidFill>
                    <w14:schemeClr w14:val="tx1"/>
                  </w14:solidFill>
                </w14:textFill>
              </w:rPr>
            </w:pPr>
          </w:p>
        </w:tc>
        <w:tc>
          <w:tcPr>
            <w:tcW w:w="1843" w:type="dxa"/>
            <w:vMerge w:val="continue"/>
            <w:tcBorders>
              <w:tl2br w:val="nil"/>
              <w:tr2bl w:val="nil"/>
            </w:tcBorders>
            <w:vAlign w:val="center"/>
          </w:tcPr>
          <w:p>
            <w:pPr>
              <w:adjustRightInd/>
              <w:spacing w:line="288" w:lineRule="auto"/>
              <w:ind w:firstLine="480" w:firstLineChars="200"/>
              <w:rPr>
                <w:rFonts w:ascii="宋体" w:hAnsi="宋体" w:cs="宋体"/>
                <w:color w:val="000000" w:themeColor="text1"/>
                <w:sz w:val="24"/>
                <w:highlight w:val="none"/>
                <w14:textFill>
                  <w14:solidFill>
                    <w14:schemeClr w14:val="tx1"/>
                  </w14:solidFill>
                </w14:textFill>
              </w:rPr>
            </w:pPr>
          </w:p>
        </w:tc>
        <w:tc>
          <w:tcPr>
            <w:tcW w:w="6095" w:type="dxa"/>
            <w:tcBorders>
              <w:tl2br w:val="nil"/>
              <w:tr2bl w:val="nil"/>
            </w:tcBorders>
            <w:vAlign w:val="center"/>
          </w:tcPr>
          <w:p>
            <w:pPr>
              <w:adjustRightInd/>
              <w:spacing w:line="288" w:lineRule="auto"/>
              <w:ind w:firstLine="480" w:firstLineChars="200"/>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734" w:hRule="atLeast"/>
          <w:tblHeader/>
        </w:trPr>
        <w:tc>
          <w:tcPr>
            <w:tcW w:w="629" w:type="dxa"/>
            <w:tcBorders>
              <w:tl2br w:val="nil"/>
              <w:tr2bl w:val="nil"/>
            </w:tcBorders>
            <w:vAlign w:val="center"/>
          </w:tcPr>
          <w:p>
            <w:pPr>
              <w:adjustRightInd/>
              <w:spacing w:line="288"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w:t>
            </w:r>
          </w:p>
        </w:tc>
        <w:tc>
          <w:tcPr>
            <w:tcW w:w="1843" w:type="dxa"/>
            <w:tcBorders>
              <w:tl2br w:val="nil"/>
              <w:tr2bl w:val="nil"/>
            </w:tcBorders>
            <w:vAlign w:val="center"/>
          </w:tcPr>
          <w:p>
            <w:pPr>
              <w:adjustRightInd/>
              <w:spacing w:line="288"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备份采购文件送达地点和签收人员 </w:t>
            </w:r>
          </w:p>
        </w:tc>
        <w:tc>
          <w:tcPr>
            <w:tcW w:w="6095" w:type="dxa"/>
            <w:tcBorders>
              <w:tl2br w:val="nil"/>
              <w:tr2bl w:val="nil"/>
            </w:tcBorders>
            <w:vAlign w:val="center"/>
          </w:tcPr>
          <w:p>
            <w:pPr>
              <w:pStyle w:val="35"/>
              <w:adjustRightInd/>
              <w:spacing w:line="288" w:lineRule="auto"/>
              <w:rPr>
                <w:rFonts w:hAnsi="宋体" w:cs="宋体"/>
                <w:color w:val="000000" w:themeColor="text1"/>
                <w:kern w:val="28"/>
                <w:sz w:val="24"/>
                <w:szCs w:val="24"/>
                <w:highlight w:val="none"/>
                <w14:textFill>
                  <w14:solidFill>
                    <w14:schemeClr w14:val="tx1"/>
                  </w14:solidFill>
                </w14:textFill>
              </w:rPr>
            </w:pPr>
            <w:r>
              <w:rPr>
                <w:rFonts w:hint="eastAsia" w:hAnsi="宋体" w:cs="宋体"/>
                <w:color w:val="000000" w:themeColor="text1"/>
                <w:kern w:val="28"/>
                <w:sz w:val="24"/>
                <w:szCs w:val="24"/>
                <w:highlight w:val="none"/>
                <w14:textFill>
                  <w14:solidFill>
                    <w14:schemeClr w14:val="tx1"/>
                  </w14:solidFill>
                </w14:textFill>
              </w:rPr>
              <w:t>备份采购文件送达地点：</w:t>
            </w:r>
            <w:r>
              <w:rPr>
                <w:rFonts w:hint="eastAsia" w:hAnsi="宋体" w:cs="宋体"/>
                <w:color w:val="000000" w:themeColor="text1"/>
                <w:kern w:val="28"/>
                <w:sz w:val="24"/>
                <w:szCs w:val="24"/>
                <w:highlight w:val="none"/>
                <w:u w:val="single"/>
                <w14:textFill>
                  <w14:solidFill>
                    <w14:schemeClr w14:val="tx1"/>
                  </w14:solidFill>
                </w14:textFill>
              </w:rPr>
              <w:t>杭州市西湖区天目山路181号天际大厦804室</w:t>
            </w:r>
            <w:r>
              <w:rPr>
                <w:rFonts w:hint="eastAsia" w:hAnsi="宋体" w:cs="宋体"/>
                <w:color w:val="000000" w:themeColor="text1"/>
                <w:sz w:val="24"/>
                <w:szCs w:val="24"/>
                <w:highlight w:val="none"/>
                <w:u w:val="single"/>
                <w14:textFill>
                  <w14:solidFill>
                    <w14:schemeClr w14:val="tx1"/>
                  </w14:solidFill>
                </w14:textFill>
              </w:rPr>
              <w:t xml:space="preserve"> </w:t>
            </w:r>
            <w:r>
              <w:rPr>
                <w:rFonts w:hint="eastAsia" w:hAnsi="宋体" w:cs="宋体"/>
                <w:color w:val="000000" w:themeColor="text1"/>
                <w:kern w:val="28"/>
                <w:sz w:val="24"/>
                <w:szCs w:val="24"/>
                <w:highlight w:val="none"/>
                <w14:textFill>
                  <w14:solidFill>
                    <w14:schemeClr w14:val="tx1"/>
                  </w14:solidFill>
                </w14:textFill>
              </w:rPr>
              <w:t>；备份采购文件签收人员联系电话：</w:t>
            </w:r>
            <w:r>
              <w:rPr>
                <w:rFonts w:hint="eastAsia" w:hAnsi="宋体" w:cs="宋体"/>
                <w:color w:val="000000" w:themeColor="text1"/>
                <w:sz w:val="24"/>
                <w:szCs w:val="24"/>
                <w:highlight w:val="none"/>
                <w:u w:val="single"/>
                <w14:textFill>
                  <w14:solidFill>
                    <w14:schemeClr w14:val="tx1"/>
                  </w14:solidFill>
                </w14:textFill>
              </w:rPr>
              <w:t xml:space="preserve">李工 13605802875 </w:t>
            </w:r>
            <w:r>
              <w:rPr>
                <w:rFonts w:hint="eastAsia" w:hAnsi="宋体" w:cs="宋体"/>
                <w:color w:val="000000" w:themeColor="text1"/>
                <w:sz w:val="24"/>
                <w:szCs w:val="24"/>
                <w:highlight w:val="none"/>
                <w14:textFill>
                  <w14:solidFill>
                    <w14:schemeClr w14:val="tx1"/>
                  </w14:solidFill>
                </w14:textFill>
              </w:rPr>
              <w:t>。</w:t>
            </w:r>
            <w:r>
              <w:rPr>
                <w:rFonts w:hint="eastAsia" w:hAnsi="宋体" w:cs="宋体"/>
                <w:b/>
                <w:color w:val="000000" w:themeColor="text1"/>
                <w:sz w:val="24"/>
                <w:szCs w:val="24"/>
                <w:highlight w:val="none"/>
                <w14:textFill>
                  <w14:solidFill>
                    <w14:schemeClr w14:val="tx1"/>
                  </w14:solidFill>
                </w14:textFill>
              </w:rPr>
              <w:t>采购人、采购机构不强制或变相强制供应商提交备份采购文件。</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30" w:hRule="atLeast"/>
          <w:tblHeader/>
        </w:trPr>
        <w:tc>
          <w:tcPr>
            <w:tcW w:w="629" w:type="dxa"/>
            <w:tcBorders>
              <w:tl2br w:val="nil"/>
              <w:tr2bl w:val="nil"/>
            </w:tcBorders>
            <w:vAlign w:val="center"/>
          </w:tcPr>
          <w:p>
            <w:pPr>
              <w:adjustRightInd/>
              <w:spacing w:line="288"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14</w:t>
            </w:r>
          </w:p>
        </w:tc>
        <w:tc>
          <w:tcPr>
            <w:tcW w:w="1843" w:type="dxa"/>
            <w:tcBorders>
              <w:tl2br w:val="nil"/>
              <w:tr2bl w:val="nil"/>
            </w:tcBorders>
            <w:vAlign w:val="center"/>
          </w:tcPr>
          <w:p>
            <w:pPr>
              <w:autoSpaceDE w:val="0"/>
              <w:autoSpaceDN w:val="0"/>
              <w:adjustRightInd/>
              <w:spacing w:line="288" w:lineRule="auto"/>
              <w:jc w:val="center"/>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履约保证金</w:t>
            </w:r>
          </w:p>
        </w:tc>
        <w:tc>
          <w:tcPr>
            <w:tcW w:w="6095" w:type="dxa"/>
            <w:tcBorders>
              <w:tl2br w:val="nil"/>
              <w:tr2bl w:val="nil"/>
            </w:tcBorders>
            <w:vAlign w:val="center"/>
          </w:tcPr>
          <w:p>
            <w:pPr>
              <w:autoSpaceDE w:val="0"/>
              <w:autoSpaceDN w:val="0"/>
              <w:adjustRightInd/>
              <w:spacing w:line="288"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合同价的</w:t>
            </w:r>
            <w:r>
              <w:rPr>
                <w:rFonts w:hint="eastAsia" w:ascii="宋体" w:hAnsi="宋体" w:cs="宋体"/>
                <w:color w:val="000000" w:themeColor="text1"/>
                <w:sz w:val="24"/>
                <w:highlight w:val="none"/>
                <w14:textFill>
                  <w14:solidFill>
                    <w14:schemeClr w14:val="tx1"/>
                  </w14:solidFill>
                </w14:textFill>
              </w:rPr>
              <w:t>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630" w:hRule="atLeast"/>
          <w:tblHeader/>
        </w:trPr>
        <w:tc>
          <w:tcPr>
            <w:tcW w:w="629" w:type="dxa"/>
            <w:tcBorders>
              <w:tl2br w:val="nil"/>
              <w:tr2bl w:val="nil"/>
            </w:tcBorders>
            <w:vAlign w:val="center"/>
          </w:tcPr>
          <w:p>
            <w:pPr>
              <w:adjustRightInd/>
              <w:spacing w:line="288" w:lineRule="auto"/>
              <w:jc w:val="center"/>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15</w:t>
            </w:r>
          </w:p>
        </w:tc>
        <w:tc>
          <w:tcPr>
            <w:tcW w:w="1843" w:type="dxa"/>
            <w:tcBorders>
              <w:tl2br w:val="nil"/>
              <w:tr2bl w:val="nil"/>
            </w:tcBorders>
            <w:vAlign w:val="center"/>
          </w:tcPr>
          <w:p>
            <w:pPr>
              <w:pStyle w:val="26"/>
              <w:tabs>
                <w:tab w:val="left" w:pos="-5"/>
              </w:tabs>
              <w:adjustRightInd w:val="0"/>
              <w:spacing w:line="360" w:lineRule="auto"/>
              <w:ind w:firstLine="0" w:firstLineChars="0"/>
              <w:jc w:val="center"/>
              <w:rPr>
                <w:rFonts w:hint="eastAsia" w:ascii="宋体" w:hAnsi="宋体" w:eastAsia="宋体" w:cs="宋体"/>
                <w:b/>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color w:val="000000" w:themeColor="text1"/>
                <w:kern w:val="2"/>
                <w:sz w:val="24"/>
                <w:szCs w:val="24"/>
                <w:highlight w:val="none"/>
                <w:lang w:val="en-US" w:eastAsia="zh-CN" w:bidi="ar-SA"/>
                <w14:textFill>
                  <w14:solidFill>
                    <w14:schemeClr w14:val="tx1"/>
                  </w14:solidFill>
                </w14:textFill>
              </w:rPr>
              <w:t>招标代理</w:t>
            </w:r>
          </w:p>
          <w:p>
            <w:pPr>
              <w:snapToGrid w:val="0"/>
              <w:spacing w:line="360" w:lineRule="auto"/>
              <w:jc w:val="center"/>
              <w:rPr>
                <w:rFonts w:hint="eastAsia" w:ascii="宋体" w:hAnsi="宋体" w:cs="宋体"/>
                <w:color w:val="000000" w:themeColor="text1"/>
                <w:sz w:val="24"/>
                <w:highlight w:val="none"/>
                <w:lang w:val="zh-CN"/>
                <w14:textFill>
                  <w14:solidFill>
                    <w14:schemeClr w14:val="tx1"/>
                  </w14:solidFill>
                </w14:textFill>
              </w:rPr>
            </w:pPr>
            <w:r>
              <w:rPr>
                <w:rFonts w:hint="eastAsia" w:ascii="宋体" w:hAnsi="宋体" w:eastAsia="宋体" w:cs="宋体"/>
                <w:b/>
                <w:color w:val="000000" w:themeColor="text1"/>
                <w:kern w:val="2"/>
                <w:sz w:val="24"/>
                <w:szCs w:val="24"/>
                <w:highlight w:val="none"/>
                <w:lang w:val="en-US" w:eastAsia="zh-CN" w:bidi="ar-SA"/>
                <w14:textFill>
                  <w14:solidFill>
                    <w14:schemeClr w14:val="tx1"/>
                  </w14:solidFill>
                </w14:textFill>
              </w:rPr>
              <w:t>服务费</w:t>
            </w:r>
          </w:p>
        </w:tc>
        <w:tc>
          <w:tcPr>
            <w:tcW w:w="6095" w:type="dxa"/>
            <w:tcBorders>
              <w:tl2br w:val="nil"/>
              <w:tr2bl w:val="nil"/>
            </w:tcBorders>
            <w:vAlign w:val="center"/>
          </w:tcPr>
          <w:p>
            <w:pPr>
              <w:pStyle w:val="35"/>
              <w:spacing w:line="360" w:lineRule="auto"/>
              <w:rPr>
                <w:rFonts w:hint="eastAsia" w:ascii="宋体" w:hAnsi="宋体" w:cs="宋体"/>
                <w:color w:val="000000" w:themeColor="text1"/>
                <w:sz w:val="24"/>
                <w:highlight w:val="none"/>
                <w:lang w:val="zh-CN"/>
                <w14:textFill>
                  <w14:solidFill>
                    <w14:schemeClr w14:val="tx1"/>
                  </w14:solidFill>
                </w14:textFill>
              </w:rPr>
            </w:pPr>
            <w:r>
              <w:rPr>
                <w:rFonts w:hint="eastAsia" w:ascii="宋体" w:hAnsi="宋体" w:eastAsia="宋体" w:cs="宋体"/>
                <w:snapToGrid w:val="0"/>
                <w:color w:val="000000" w:themeColor="text1"/>
                <w:kern w:val="28"/>
                <w:sz w:val="24"/>
                <w:szCs w:val="24"/>
                <w:highlight w:val="none"/>
                <w:lang w:val="en-US" w:eastAsia="zh-CN" w:bidi="ar-SA"/>
                <w14:textFill>
                  <w14:solidFill>
                    <w14:schemeClr w14:val="tx1"/>
                  </w14:solidFill>
                </w14:textFill>
              </w:rPr>
              <w:t>本项目的采购代理费由</w:t>
            </w:r>
            <w:r>
              <w:rPr>
                <w:rFonts w:hint="eastAsia" w:hAnsi="宋体" w:cs="宋体"/>
                <w:snapToGrid w:val="0"/>
                <w:color w:val="000000" w:themeColor="text1"/>
                <w:kern w:val="28"/>
                <w:sz w:val="24"/>
                <w:szCs w:val="24"/>
                <w:highlight w:val="none"/>
                <w:lang w:val="en-US" w:eastAsia="zh-CN" w:bidi="ar-SA"/>
                <w14:textFill>
                  <w14:solidFill>
                    <w14:schemeClr w14:val="tx1"/>
                  </w14:solidFill>
                </w14:textFill>
              </w:rPr>
              <w:t>采购人</w:t>
            </w:r>
            <w:r>
              <w:rPr>
                <w:rFonts w:hint="eastAsia" w:ascii="宋体" w:hAnsi="宋体" w:eastAsia="宋体" w:cs="宋体"/>
                <w:snapToGrid w:val="0"/>
                <w:color w:val="000000" w:themeColor="text1"/>
                <w:kern w:val="28"/>
                <w:sz w:val="24"/>
                <w:szCs w:val="24"/>
                <w:highlight w:val="none"/>
                <w:lang w:val="en-US" w:eastAsia="zh-CN" w:bidi="ar-SA"/>
                <w14:textFill>
                  <w14:solidFill>
                    <w14:schemeClr w14:val="tx1"/>
                  </w14:solidFill>
                </w14:textFill>
              </w:rPr>
              <w:t>支付。</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686" w:hRule="atLeast"/>
          <w:tblHeader/>
        </w:trPr>
        <w:tc>
          <w:tcPr>
            <w:tcW w:w="629" w:type="dxa"/>
            <w:tcBorders>
              <w:tl2br w:val="nil"/>
              <w:tr2bl w:val="nil"/>
            </w:tcBorders>
            <w:vAlign w:val="center"/>
          </w:tcPr>
          <w:p>
            <w:pPr>
              <w:adjustRightInd/>
              <w:spacing w:line="288" w:lineRule="auto"/>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6</w:t>
            </w:r>
          </w:p>
        </w:tc>
        <w:tc>
          <w:tcPr>
            <w:tcW w:w="1843" w:type="dxa"/>
            <w:tcBorders>
              <w:tl2br w:val="nil"/>
              <w:tr2bl w:val="nil"/>
            </w:tcBorders>
            <w:vAlign w:val="center"/>
          </w:tcPr>
          <w:p>
            <w:pPr>
              <w:autoSpaceDE w:val="0"/>
              <w:autoSpaceDN w:val="0"/>
              <w:adjustRightInd/>
              <w:spacing w:line="288"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特别说明</w:t>
            </w:r>
          </w:p>
        </w:tc>
        <w:tc>
          <w:tcPr>
            <w:tcW w:w="6095" w:type="dxa"/>
            <w:tcBorders>
              <w:tl2br w:val="nil"/>
              <w:tr2bl w:val="nil"/>
            </w:tcBorders>
            <w:vAlign w:val="center"/>
          </w:tcPr>
          <w:p>
            <w:pPr>
              <w:adjustRightInd/>
              <w:spacing w:line="288"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特别说明：1、本表与采购文件其他部分内容不一致的，以本表为准。本采购文件的解释权属于采购人。采购文件中标注“▲”处为不允许负偏离的实质性要求和条件（如果有，做无效标处理）。</w:t>
            </w:r>
          </w:p>
          <w:p>
            <w:pPr>
              <w:adjustRightInd/>
              <w:spacing w:line="288"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2、采购文件最总解释权归采购人。</w:t>
            </w:r>
          </w:p>
        </w:tc>
      </w:tr>
    </w:tbl>
    <w:p>
      <w:pPr>
        <w:snapToGrid w:val="0"/>
        <w:spacing w:line="360" w:lineRule="auto"/>
        <w:jc w:val="center"/>
        <w:rPr>
          <w:rFonts w:ascii="宋体" w:hAnsi="宋体" w:cs="宋体"/>
          <w:b/>
          <w:color w:val="000000" w:themeColor="text1"/>
          <w:sz w:val="32"/>
          <w:szCs w:val="20"/>
          <w:highlight w:val="none"/>
          <w14:textFill>
            <w14:solidFill>
              <w14:schemeClr w14:val="tx1"/>
            </w14:solidFill>
          </w14:textFill>
        </w:rPr>
      </w:pPr>
    </w:p>
    <w:bookmarkEnd w:id="10"/>
    <w:p>
      <w:pPr>
        <w:adjustRightInd/>
        <w:spacing w:line="360" w:lineRule="auto"/>
        <w:ind w:firstLine="3845" w:firstLineChars="1197"/>
        <w:outlineLvl w:val="0"/>
        <w:rPr>
          <w:rFonts w:ascii="宋体" w:hAnsi="宋体" w:cs="宋体"/>
          <w:b/>
          <w:color w:val="000000" w:themeColor="text1"/>
          <w:sz w:val="32"/>
          <w:szCs w:val="20"/>
          <w:highlight w:val="none"/>
          <w14:textFill>
            <w14:solidFill>
              <w14:schemeClr w14:val="tx1"/>
            </w14:solidFill>
          </w14:textFill>
        </w:rPr>
      </w:pPr>
      <w:bookmarkStart w:id="11" w:name="_Toc164416483"/>
      <w:bookmarkStart w:id="12" w:name="第三部分"/>
      <w:r>
        <w:rPr>
          <w:rFonts w:hint="eastAsia" w:ascii="宋体" w:hAnsi="宋体" w:cs="宋体"/>
          <w:b/>
          <w:color w:val="000000" w:themeColor="text1"/>
          <w:sz w:val="32"/>
          <w:szCs w:val="20"/>
          <w:highlight w:val="none"/>
          <w14:textFill>
            <w14:solidFill>
              <w14:schemeClr w14:val="tx1"/>
            </w14:solidFill>
          </w14:textFill>
        </w:rPr>
        <w:t>一、总则</w:t>
      </w:r>
    </w:p>
    <w:p>
      <w:pPr>
        <w:snapToGrid w:val="0"/>
        <w:spacing w:line="360" w:lineRule="auto"/>
        <w:ind w:firstLine="361" w:firstLineChars="150"/>
        <w:jc w:val="left"/>
        <w:outlineLvl w:val="1"/>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 适用范围</w:t>
      </w:r>
    </w:p>
    <w:p>
      <w:pPr>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本采购文件适用于该项目的招标、投标、开标、资格审查及信用信息查询、评标、定标、合同、验收等行为（法律、法规另有规定的，从其规定）。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   2.定义</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 “采购人”系指招标公告中载明的本项目的采购人。</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 “采购机构”系指招标公告中载明的本项目的采购机构。</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 “供应商”系指是指响应招标、参加投标竞争的法人、其他组织或者自然人。</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2.6“电子交易平台”是指本项目政府采购活动所依托的政府采购云平台（https://www.zcygov.cn/）。</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2.7 “▲” 系指实质性要求条款，“</w:t>
      </w:r>
      <w:sdt>
        <w:sdtPr>
          <w:rPr>
            <w:rFonts w:hint="eastAsia" w:ascii="宋体" w:hAnsi="宋体" w:cs="宋体"/>
            <w:color w:val="000000" w:themeColor="text1"/>
            <w:kern w:val="0"/>
            <w:sz w:val="24"/>
            <w:highlight w:val="none"/>
            <w14:textFill>
              <w14:solidFill>
                <w14:schemeClr w14:val="tx1"/>
              </w14:solidFill>
            </w14:textFill>
          </w:rPr>
          <w:id w:val="512970236"/>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Wingdings" w:hAnsi="Wingdings" w:cs="宋体"/>
              <w:color w:val="000000" w:themeColor="text1"/>
              <w:kern w:val="0"/>
              <w:sz w:val="24"/>
              <w:highlight w:val="none"/>
              <w14:textFill>
                <w14:solidFill>
                  <w14:schemeClr w14:val="tx1"/>
                </w14:solidFill>
              </w14:textFill>
            </w:rPr>
            <w:t>þ</w:t>
          </w:r>
        </w:sdtContent>
      </w:sdt>
      <w:r>
        <w:rPr>
          <w:rFonts w:hint="eastAsia" w:ascii="宋体" w:hAnsi="宋体" w:cs="宋体"/>
          <w:color w:val="000000" w:themeColor="text1"/>
          <w:sz w:val="24"/>
          <w:highlight w:val="none"/>
          <w14:textFill>
            <w14:solidFill>
              <w14:schemeClr w14:val="tx1"/>
            </w14:solidFill>
          </w14:textFill>
        </w:rPr>
        <w:t>” 系指适用本项目的要求，“</w:t>
      </w:r>
      <w:sdt>
        <w:sdtPr>
          <w:rPr>
            <w:rFonts w:hint="eastAsia" w:ascii="宋体" w:hAnsi="宋体" w:cs="宋体"/>
            <w:color w:val="000000" w:themeColor="text1"/>
            <w:kern w:val="0"/>
            <w:sz w:val="24"/>
            <w:highlight w:val="none"/>
            <w14:textFill>
              <w14:solidFill>
                <w14:schemeClr w14:val="tx1"/>
              </w14:solidFill>
            </w14:textFill>
          </w:rPr>
          <w:id w:val="404888855"/>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 系指不适用本项目的要求。</w:t>
      </w:r>
    </w:p>
    <w:p>
      <w:pPr>
        <w:spacing w:line="360" w:lineRule="auto"/>
        <w:ind w:firstLine="241" w:firstLineChars="1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3.</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采购项目需要落实的政府采购政策</w:t>
      </w:r>
    </w:p>
    <w:p>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color w:val="000000" w:themeColor="text1"/>
          <w:kern w:val="0"/>
          <w:sz w:val="24"/>
          <w:highlight w:val="none"/>
          <w14:textFill>
            <w14:solidFill>
              <w14:schemeClr w14:val="tx1"/>
            </w14:solidFill>
          </w14:textFill>
        </w:rPr>
        <w:t>优先采购向我国企业转让技术、与我国企业签订消化吸收再创新方案的供应商的进口产品</w:t>
      </w:r>
      <w:r>
        <w:rPr>
          <w:rFonts w:hint="eastAsia" w:ascii="宋体" w:hAnsi="宋体" w:cs="宋体"/>
          <w:color w:val="000000" w:themeColor="text1"/>
          <w:sz w:val="24"/>
          <w:highlight w:val="none"/>
          <w14:textFill>
            <w14:solidFill>
              <w14:schemeClr w14:val="tx1"/>
            </w14:solidFill>
          </w14:textFill>
        </w:rPr>
        <w:t>。</w:t>
      </w:r>
    </w:p>
    <w:p>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 支持绿色发展</w:t>
      </w:r>
    </w:p>
    <w:p>
      <w:pPr>
        <w:spacing w:line="360" w:lineRule="auto"/>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宋体" w:hAnsi="宋体" w:cs="宋体"/>
          <w:b/>
          <w:color w:val="000000" w:themeColor="text1"/>
          <w:sz w:val="24"/>
          <w:highlight w:val="none"/>
          <w14:textFill>
            <w14:solidFill>
              <w14:schemeClr w14:val="tx1"/>
            </w14:solidFill>
          </w14:textFill>
        </w:rPr>
        <w:t>采购人拟采购的产品属于政府强制采购的节能产品品目清单范围的，供应商未按采购文件要求提供国家确定的认证机构出具的、处于有效期之内的节能产品认证证书的，投标无效。</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3.2.2 修缮、装修类项目采购建材的，采购人应将绿色建筑和绿色建材性能、指标等作为实质性条件纳入采购文件和合同。</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3.3支持中小企业发展</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符合中小企业划分标准的个体工商户，在政府采购活动中视同中小企业。</w:t>
      </w:r>
    </w:p>
    <w:p>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3.3.2</w:t>
      </w:r>
      <w:r>
        <w:rPr>
          <w:rFonts w:hint="eastAsia" w:ascii="宋体" w:hAnsi="宋体" w:cs="宋体"/>
          <w:color w:val="000000" w:themeColor="text1"/>
          <w:kern w:val="0"/>
          <w:sz w:val="24"/>
          <w:highlight w:val="none"/>
          <w14:textFill>
            <w14:solidFill>
              <w14:schemeClr w14:val="tx1"/>
            </w14:solidFill>
          </w14:textFill>
        </w:rPr>
        <w:t>在政府采购活动中，供应商提供的货物、工程或者服务符合下列情形的，享受中小企业扶持政策：</w:t>
      </w:r>
    </w:p>
    <w:p>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3.3.2.1在货物采购项目中，货物由中小企业制造，即货物由中小企业生产且使用该中小企业商号或者注册商标；</w:t>
      </w:r>
    </w:p>
    <w:p>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3.3.2.2在工程采购项目中，工程由中小企业承建，即工程施工单位为中小企业；</w:t>
      </w:r>
    </w:p>
    <w:p>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3.3.2.3在服务采购项目中，服务由中小企业承接，即提供服务的人员为中小企业依照《中华人民共和国劳动合同法》订立劳动合同的从业人员。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在货物采购项目中，供应商提供的货物既有中小企业制造货物，也有大型企业制造货物的，不享受中小企业扶持政策。</w:t>
      </w:r>
    </w:p>
    <w:p>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3.3.3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w:t>
      </w:r>
      <w:r>
        <w:rPr>
          <w:rFonts w:hint="eastAsia" w:ascii="宋体" w:hAnsi="宋体" w:cs="宋体"/>
          <w:bCs/>
          <w:color w:val="000000" w:themeColor="text1"/>
          <w:sz w:val="24"/>
          <w:highlight w:val="none"/>
          <w14:textFill>
            <w14:solidFill>
              <w14:schemeClr w14:val="tx1"/>
            </w14:solidFill>
          </w14:textFill>
        </w:rPr>
        <w:t>支持创新发展</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3.4.1 采购人优先采购被认定为首台套产品和“制造精品”的自主创新产品。</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p>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3.5平等对待内外资企业和符合条件的破产重整企业</w:t>
      </w:r>
    </w:p>
    <w:p>
      <w:pPr>
        <w:spacing w:line="360" w:lineRule="auto"/>
        <w:ind w:firstLine="240" w:firstLineChars="1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平等对待内外资企业和符合条件的破产重整企业，切实保障企业公平竞争，平等维护企业的合法利益。</w:t>
      </w:r>
      <w:r>
        <w:rPr>
          <w:rFonts w:hint="eastAsia" w:ascii="宋体" w:hAnsi="宋体" w:cs="宋体"/>
          <w:color w:val="000000" w:themeColor="text1"/>
          <w:sz w:val="24"/>
          <w:highlight w:val="none"/>
          <w14:textFill>
            <w14:solidFill>
              <w14:schemeClr w14:val="tx1"/>
            </w14:solidFill>
          </w14:textFill>
        </w:rPr>
        <w:cr/>
      </w:r>
      <w:r>
        <w:rPr>
          <w:rFonts w:hint="eastAsia" w:ascii="宋体" w:hAnsi="宋体" w:cs="宋体"/>
          <w:b/>
          <w:color w:val="000000" w:themeColor="text1"/>
          <w:sz w:val="24"/>
          <w:highlight w:val="none"/>
          <w14:textFill>
            <w14:solidFill>
              <w14:schemeClr w14:val="tx1"/>
            </w14:solidFill>
          </w14:textFill>
        </w:rPr>
        <w:t>4. 询问、质疑、投诉</w:t>
      </w:r>
    </w:p>
    <w:p>
      <w:pPr>
        <w:autoSpaceDE w:val="0"/>
        <w:autoSpaceDN w:val="0"/>
        <w:spacing w:line="360" w:lineRule="auto"/>
        <w:ind w:firstLine="240" w:firstLineChars="1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4.1供应商询问</w:t>
      </w:r>
    </w:p>
    <w:p>
      <w:pPr>
        <w:autoSpaceDE w:val="0"/>
        <w:autoSpaceDN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4.2供应商质疑</w:t>
      </w:r>
    </w:p>
    <w:p>
      <w:pPr>
        <w:pStyle w:val="35"/>
        <w:spacing w:line="360" w:lineRule="auto"/>
        <w:ind w:firstLine="480" w:firstLineChars="200"/>
        <w:rPr>
          <w:rFonts w:hAnsi="宋体" w:cs="宋体"/>
          <w:color w:val="000000" w:themeColor="text1"/>
          <w:sz w:val="24"/>
          <w:highlight w:val="none"/>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4.2</w:t>
      </w:r>
      <w:r>
        <w:rPr>
          <w:rFonts w:hint="eastAsia" w:hAnsi="宋体" w:cs="宋体"/>
          <w:color w:val="000000" w:themeColor="text1"/>
          <w:sz w:val="24"/>
          <w:highlight w:val="none"/>
          <w14:textFill>
            <w14:solidFill>
              <w14:schemeClr w14:val="tx1"/>
            </w14:solidFill>
          </w14:textFill>
        </w:rPr>
        <w:t>.1提出质疑的供应商应当是参与所质疑项目采购活动的供应商。潜在供应商已依法获取其可质疑的采购文件的，可以对该文件提出质疑。</w:t>
      </w:r>
    </w:p>
    <w:p>
      <w:pPr>
        <w:pStyle w:val="35"/>
        <w:spacing w:line="360" w:lineRule="auto"/>
        <w:ind w:firstLine="480" w:firstLineChars="200"/>
        <w:rPr>
          <w:rFonts w:hAnsi="宋体" w:cs="宋体"/>
          <w:color w:val="000000" w:themeColor="text1"/>
          <w:sz w:val="24"/>
          <w:highlight w:val="none"/>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4.2</w:t>
      </w:r>
      <w:r>
        <w:rPr>
          <w:rFonts w:hint="eastAsia" w:hAnsi="宋体" w:cs="宋体"/>
          <w:color w:val="000000" w:themeColor="text1"/>
          <w:sz w:val="24"/>
          <w:highlight w:val="none"/>
          <w14:textFill>
            <w14:solidFill>
              <w14:schemeClr w14:val="tx1"/>
            </w14:solidFill>
          </w14:textFill>
        </w:rPr>
        <w:t>.2供应商认为采购文件、采购过程和中标结果使自己的权益受到损害的，可以在知道或者应知其权益受到损害之日起七个工作日内，以书面形式向采购人或者采购机构提出质疑，否则，采购人或者采购机构不予受理：</w:t>
      </w:r>
    </w:p>
    <w:p>
      <w:pPr>
        <w:pStyle w:val="18"/>
        <w:spacing w:line="360" w:lineRule="auto"/>
        <w:ind w:firstLine="480" w:firstLineChars="200"/>
        <w:rPr>
          <w:rFonts w:hAnsi="宋体" w:cs="宋体"/>
          <w:snapToGrid/>
          <w:color w:val="000000" w:themeColor="text1"/>
          <w:kern w:val="2"/>
          <w:sz w:val="24"/>
          <w:highlight w:val="none"/>
          <w14:textFill>
            <w14:solidFill>
              <w14:schemeClr w14:val="tx1"/>
            </w14:solidFill>
          </w14:textFill>
        </w:rPr>
      </w:pPr>
      <w:r>
        <w:rPr>
          <w:rFonts w:hint="eastAsia" w:hAnsi="宋体" w:cs="宋体"/>
          <w:snapToGrid/>
          <w:color w:val="000000" w:themeColor="text1"/>
          <w:kern w:val="2"/>
          <w:sz w:val="24"/>
          <w:highlight w:val="none"/>
          <w14:textFill>
            <w14:solidFill>
              <w14:schemeClr w14:val="tx1"/>
            </w14:solidFill>
          </w14:textFill>
        </w:rPr>
        <w:t>4.2.2.1对采购文件提出质疑的，质疑期限为供应商获得采购文件之日或者采购文件公告期限届满之日起计算。</w:t>
      </w:r>
    </w:p>
    <w:p>
      <w:pPr>
        <w:pStyle w:val="35"/>
        <w:spacing w:line="360" w:lineRule="auto"/>
        <w:ind w:left="479" w:leftChars="228"/>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4.2.2.2对采购过程提出质疑的，质疑期限为各采购程序环节结束之日起计算。4.2.2.3对采购结果提出质疑的，质疑期限自采购结果公告期限届满之日起计算。</w:t>
      </w:r>
    </w:p>
    <w:p>
      <w:pPr>
        <w:pStyle w:val="35"/>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4.2.3</w:t>
      </w:r>
      <w:r>
        <w:rPr>
          <w:rFonts w:hint="eastAsia" w:hAnsi="宋体" w:cs="宋体"/>
          <w:color w:val="000000" w:themeColor="text1"/>
          <w:sz w:val="24"/>
          <w:highlight w:val="none"/>
          <w14:textFill>
            <w14:solidFill>
              <w14:schemeClr w14:val="tx1"/>
            </w14:solidFill>
          </w14:textFill>
        </w:rPr>
        <w:t>供应商提出质疑应当提交质疑函和必要的证明材料。质疑函应当包括下列内容：</w:t>
      </w:r>
    </w:p>
    <w:p>
      <w:pPr>
        <w:pStyle w:val="35"/>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4.2.3.1供应商的姓名或者名称、地址、邮编、联系人及联系电话；</w:t>
      </w:r>
    </w:p>
    <w:p>
      <w:pPr>
        <w:pStyle w:val="35"/>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4.2.3.2质疑项目的名称、编号；</w:t>
      </w:r>
    </w:p>
    <w:p>
      <w:pPr>
        <w:pStyle w:val="35"/>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4.2.3.3具体、明确的质疑事项和与质疑事项相关的请求；</w:t>
      </w:r>
    </w:p>
    <w:p>
      <w:pPr>
        <w:pStyle w:val="35"/>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4.2.3.4事实依据；</w:t>
      </w:r>
    </w:p>
    <w:p>
      <w:pPr>
        <w:pStyle w:val="35"/>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4.2.3.5必要的法律依据；</w:t>
      </w:r>
    </w:p>
    <w:p>
      <w:pPr>
        <w:pStyle w:val="35"/>
        <w:spacing w:line="360" w:lineRule="auto"/>
        <w:ind w:firstLine="960" w:firstLineChars="4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4.2.3.6提出质疑的日期。</w:t>
      </w:r>
    </w:p>
    <w:p>
      <w:pPr>
        <w:pStyle w:val="887"/>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pPr>
        <w:pStyle w:val="887"/>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质疑函范本及制作说明详见附件2。</w:t>
      </w:r>
    </w:p>
    <w:p>
      <w:pPr>
        <w:pStyle w:val="887"/>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4.2.4对同一采购程序环节的质疑，供应商须在法定质疑期内一次性提出。</w:t>
      </w:r>
    </w:p>
    <w:p>
      <w:pPr>
        <w:pStyle w:val="887"/>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lang w:val="zh-CN"/>
          <w14:textFill>
            <w14:solidFill>
              <w14:schemeClr w14:val="tx1"/>
            </w14:solidFill>
          </w14:textFill>
        </w:rPr>
        <w:t>4.2</w:t>
      </w:r>
      <w:r>
        <w:rPr>
          <w:rFonts w:hint="eastAsia"/>
          <w:color w:val="000000" w:themeColor="text1"/>
          <w:highlight w:val="none"/>
          <w14:textFill>
            <w14:solidFill>
              <w14:schemeClr w14:val="tx1"/>
            </w14:solidFill>
          </w14:textFill>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887"/>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lang w:val="zh-CN"/>
          <w14:textFill>
            <w14:solidFill>
              <w14:schemeClr w14:val="tx1"/>
            </w14:solidFill>
          </w14:textFill>
        </w:rPr>
        <w:t>4.2</w:t>
      </w:r>
      <w:r>
        <w:rPr>
          <w:rFonts w:hint="eastAsia"/>
          <w:color w:val="000000" w:themeColor="text1"/>
          <w:highlight w:val="none"/>
          <w14:textFill>
            <w14:solidFill>
              <w14:schemeClr w14:val="tx1"/>
            </w14:solidFill>
          </w14:textFill>
        </w:rPr>
        <w:t>.6询问或者质疑事项可能影响采购结果的，采购人应当暂停签订合同，已经签订合同的，应当中止履行合同。</w:t>
      </w:r>
    </w:p>
    <w:p>
      <w:pPr>
        <w:pStyle w:val="887"/>
        <w:snapToGrid w:val="0"/>
        <w:spacing w:after="240" w:afterAutospacing="0" w:line="360" w:lineRule="auto"/>
        <w:ind w:firstLine="480" w:firstLineChars="200"/>
        <w:contextualSpacing/>
        <w:rPr>
          <w:color w:val="000000" w:themeColor="text1"/>
          <w:highlight w:val="none"/>
          <w:lang w:val="zh-CN"/>
          <w14:textFill>
            <w14:solidFill>
              <w14:schemeClr w14:val="tx1"/>
            </w14:solidFill>
          </w14:textFill>
        </w:rPr>
      </w:pPr>
      <w:r>
        <w:rPr>
          <w:rFonts w:hint="eastAsia"/>
          <w:color w:val="000000" w:themeColor="text1"/>
          <w:highlight w:val="none"/>
          <w:lang w:val="zh-CN"/>
          <w14:textFill>
            <w14:solidFill>
              <w14:schemeClr w14:val="tx1"/>
            </w14:solidFill>
          </w14:textFill>
        </w:rPr>
        <w:t>4.3供应商投诉</w:t>
      </w:r>
    </w:p>
    <w:p>
      <w:pPr>
        <w:pStyle w:val="887"/>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4.3.1质疑供应商对采购人、采购机构的答复不满意或者采购人、采购机构未在规定的时间内作出答复的，可以在答复期满后十五个工作日内向同级政府采购监督管理部门提出投诉。</w:t>
      </w:r>
    </w:p>
    <w:p>
      <w:pPr>
        <w:pStyle w:val="887"/>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4.3.</w:t>
      </w:r>
      <w:r>
        <w:rPr>
          <w:rFonts w:hint="eastAsia"/>
          <w:color w:val="000000" w:themeColor="text1"/>
          <w:highlight w:val="none"/>
          <w:lang w:val="zh-CN"/>
          <w14:textFill>
            <w14:solidFill>
              <w14:schemeClr w14:val="tx1"/>
            </w14:solidFill>
          </w14:textFill>
        </w:rPr>
        <w:t>2</w:t>
      </w:r>
      <w:r>
        <w:rPr>
          <w:rFonts w:hint="eastAsia"/>
          <w:color w:val="000000" w:themeColor="text1"/>
          <w:highlight w:val="none"/>
          <w14:textFill>
            <w14:solidFill>
              <w14:schemeClr w14:val="tx1"/>
            </w14:solidFill>
          </w14:textFill>
        </w:rPr>
        <w:t>供应商投诉的事项不得超出已质疑事项的范围，基于质疑答复内容提出的投诉事项除外。</w:t>
      </w:r>
    </w:p>
    <w:p>
      <w:pPr>
        <w:pStyle w:val="887"/>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4.3.3供应商投诉应当有明确的请求和必要的证明材料。</w:t>
      </w:r>
    </w:p>
    <w:p>
      <w:pPr>
        <w:pStyle w:val="887"/>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4.3.5 以联合体形式参加政府采购活动的，其投诉应当由组成联合体的所有供应商共同提出。</w:t>
      </w:r>
    </w:p>
    <w:p>
      <w:pPr>
        <w:pStyle w:val="887"/>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投诉书范本及制作说明详见附件3。</w:t>
      </w:r>
    </w:p>
    <w:p>
      <w:pPr>
        <w:pStyle w:val="887"/>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4.4在线质疑、投诉。</w:t>
      </w:r>
    </w:p>
    <w:p>
      <w:pPr>
        <w:pStyle w:val="887"/>
        <w:snapToGrid w:val="0"/>
        <w:spacing w:after="240" w:afterAutospacing="0" w:line="360" w:lineRule="auto"/>
        <w:ind w:firstLine="480" w:firstLineChars="2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131"/>
        <w:snapToGrid w:val="0"/>
        <w:spacing w:before="0"/>
        <w:ind w:firstLine="360"/>
        <w:rPr>
          <w:rFonts w:ascii="宋体" w:hAnsi="宋体" w:cs="宋体"/>
          <w:color w:val="000000" w:themeColor="text1"/>
          <w:sz w:val="18"/>
          <w:szCs w:val="18"/>
          <w:highlight w:val="none"/>
          <w14:textFill>
            <w14:solidFill>
              <w14:schemeClr w14:val="tx1"/>
            </w14:solidFill>
          </w14:textFill>
        </w:rPr>
      </w:pPr>
    </w:p>
    <w:p>
      <w:pPr>
        <w:adjustRightInd/>
        <w:spacing w:line="360" w:lineRule="auto"/>
        <w:jc w:val="center"/>
        <w:outlineLvl w:val="0"/>
        <w:rPr>
          <w:rFonts w:ascii="宋体" w:hAnsi="宋体" w:cs="宋体"/>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 xml:space="preserve">      二、采购文件的构成、澄清、修改</w:t>
      </w:r>
    </w:p>
    <w:p>
      <w:pPr>
        <w:pStyle w:val="35"/>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5．采购文件的构成</w:t>
      </w:r>
    </w:p>
    <w:p>
      <w:pPr>
        <w:pStyle w:val="3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 采购文件包括下列文件及附件：</w:t>
      </w:r>
    </w:p>
    <w:p>
      <w:pPr>
        <w:pStyle w:val="35"/>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5.1.1招标公告；</w:t>
      </w:r>
    </w:p>
    <w:p>
      <w:pPr>
        <w:pStyle w:val="35"/>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5.1.2供应商须知；</w:t>
      </w:r>
    </w:p>
    <w:p>
      <w:pPr>
        <w:pStyle w:val="35"/>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5.1.3采购需求；</w:t>
      </w:r>
    </w:p>
    <w:p>
      <w:pPr>
        <w:pStyle w:val="35"/>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5.1.4评标办法；</w:t>
      </w:r>
    </w:p>
    <w:p>
      <w:pPr>
        <w:pStyle w:val="35"/>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5.1.5拟签订的合同文本；</w:t>
      </w:r>
    </w:p>
    <w:p>
      <w:pPr>
        <w:pStyle w:val="35"/>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5.1.6</w:t>
      </w:r>
      <w:r>
        <w:rPr>
          <w:rFonts w:hint="eastAsia" w:hAnsi="宋体" w:cs="宋体"/>
          <w:color w:val="000000" w:themeColor="text1"/>
          <w:sz w:val="24"/>
          <w:szCs w:val="24"/>
          <w:highlight w:val="none"/>
          <w14:textFill>
            <w14:solidFill>
              <w14:schemeClr w14:val="tx1"/>
            </w14:solidFill>
          </w14:textFill>
        </w:rPr>
        <w:t>应提交的有关格式范例。</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5.2与本项目有关的</w:t>
      </w:r>
      <w:r>
        <w:rPr>
          <w:rFonts w:hint="eastAsia" w:ascii="宋体" w:hAnsi="宋体" w:cs="宋体"/>
          <w:bCs/>
          <w:color w:val="000000" w:themeColor="text1"/>
          <w:sz w:val="24"/>
          <w:highlight w:val="none"/>
          <w14:textFill>
            <w14:solidFill>
              <w14:schemeClr w14:val="tx1"/>
            </w14:solidFill>
          </w14:textFill>
        </w:rPr>
        <w:t>澄清或者修改的内容为采购文件的组成部分</w:t>
      </w:r>
      <w:r>
        <w:rPr>
          <w:rFonts w:hint="eastAsia" w:ascii="宋体" w:hAnsi="宋体" w:cs="宋体"/>
          <w:color w:val="000000" w:themeColor="text1"/>
          <w:sz w:val="24"/>
          <w:highlight w:val="none"/>
          <w14:textFill>
            <w14:solidFill>
              <w14:schemeClr w14:val="tx1"/>
            </w14:solidFill>
          </w14:textFill>
        </w:rPr>
        <w:t>。</w:t>
      </w:r>
    </w:p>
    <w:p>
      <w:pPr>
        <w:pStyle w:val="35"/>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6. 采购文件的澄清、修改</w:t>
      </w:r>
    </w:p>
    <w:p>
      <w:pPr>
        <w:pStyle w:val="131"/>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6.1已获取采购文件的潜在供应商，若有问题需要澄清，应于投标截止时间前，以书面形式向采购机构提出。</w:t>
      </w:r>
    </w:p>
    <w:p>
      <w:pPr>
        <w:pStyle w:val="131"/>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6.2 采购机构对采购文件进行澄清或修改的，将同时通过电子交易平台通知已获取采购文件的潜在供应商。依法应当公告的，将按规定公告，同时视情况延长投标截止时间和开标时间。该澄清或者修改的内容为采购文件的组成部分。</w:t>
      </w:r>
    </w:p>
    <w:p>
      <w:pPr>
        <w:pStyle w:val="2"/>
        <w:rPr>
          <w:rFonts w:hAnsi="宋体" w:cs="宋体"/>
          <w:color w:val="000000" w:themeColor="text1"/>
          <w:sz w:val="18"/>
          <w:szCs w:val="18"/>
          <w:highlight w:val="none"/>
          <w:lang w:val="en-US"/>
          <w14:textFill>
            <w14:solidFill>
              <w14:schemeClr w14:val="tx1"/>
            </w14:solidFill>
          </w14:textFill>
        </w:rPr>
      </w:pPr>
      <w:r>
        <w:rPr>
          <w:rFonts w:hint="eastAsia" w:hAnsi="宋体" w:cs="宋体"/>
          <w:color w:val="000000" w:themeColor="text1"/>
          <w:szCs w:val="24"/>
          <w:highlight w:val="none"/>
          <w:lang w:val="en-US"/>
          <w14:textFill>
            <w14:solidFill>
              <w14:schemeClr w14:val="tx1"/>
            </w14:solidFill>
          </w14:textFill>
        </w:rPr>
        <w:t xml:space="preserve">    </w:t>
      </w:r>
    </w:p>
    <w:p>
      <w:pPr>
        <w:adjustRightInd/>
        <w:spacing w:line="360" w:lineRule="auto"/>
        <w:jc w:val="center"/>
        <w:outlineLvl w:val="0"/>
        <w:rPr>
          <w:rFonts w:ascii="宋体" w:hAnsi="宋体" w:cs="宋体"/>
          <w:b/>
          <w:color w:val="000000" w:themeColor="text1"/>
          <w:sz w:val="30"/>
          <w:szCs w:val="20"/>
          <w:highlight w:val="none"/>
          <w14:textFill>
            <w14:solidFill>
              <w14:schemeClr w14:val="tx1"/>
            </w14:solidFill>
          </w14:textFill>
        </w:rPr>
      </w:pPr>
      <w:r>
        <w:rPr>
          <w:rFonts w:hint="eastAsia" w:ascii="宋体" w:hAnsi="宋体" w:cs="宋体"/>
          <w:b/>
          <w:color w:val="000000" w:themeColor="text1"/>
          <w:sz w:val="30"/>
          <w:szCs w:val="20"/>
          <w:highlight w:val="none"/>
          <w14:textFill>
            <w14:solidFill>
              <w14:schemeClr w14:val="tx1"/>
            </w14:solidFill>
          </w14:textFill>
        </w:rPr>
        <w:t>三、投标</w:t>
      </w:r>
    </w:p>
    <w:p>
      <w:pPr>
        <w:pStyle w:val="35"/>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7. 采购文件的获取</w:t>
      </w:r>
    </w:p>
    <w:p>
      <w:pPr>
        <w:spacing w:line="360" w:lineRule="auto"/>
        <w:ind w:firstLine="480" w:firstLineChars="200"/>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详见招标公告中获取采购文件的时间期限、地点、方式及采购文件售价。</w:t>
      </w:r>
    </w:p>
    <w:p>
      <w:pPr>
        <w:pStyle w:val="35"/>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8.开标前答疑会或现场考察</w:t>
      </w:r>
    </w:p>
    <w:p>
      <w:pPr>
        <w:pStyle w:val="3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采购人组织潜在供应商现场考察或者召开开标前答疑会的，潜在供应商按第二部分供应商须知前附表的规定参加现场考察或者开标前答疑会。</w:t>
      </w:r>
    </w:p>
    <w:p>
      <w:pPr>
        <w:pStyle w:val="35"/>
        <w:spacing w:line="360" w:lineRule="auto"/>
        <w:rPr>
          <w:rFonts w:hAnsi="宋体" w:cs="宋体"/>
          <w:b/>
          <w:color w:val="000000" w:themeColor="text1"/>
          <w:szCs w:val="24"/>
          <w:highlight w:val="none"/>
          <w14:textFill>
            <w14:solidFill>
              <w14:schemeClr w14:val="tx1"/>
            </w14:solidFill>
          </w14:textFill>
        </w:rPr>
      </w:pPr>
      <w:r>
        <w:rPr>
          <w:rFonts w:hint="eastAsia" w:hAnsi="宋体" w:cs="宋体"/>
          <w:b/>
          <w:color w:val="000000" w:themeColor="text1"/>
          <w:kern w:val="28"/>
          <w:sz w:val="24"/>
          <w:szCs w:val="24"/>
          <w:highlight w:val="none"/>
          <w14:textFill>
            <w14:solidFill>
              <w14:schemeClr w14:val="tx1"/>
            </w14:solidFill>
          </w14:textFill>
        </w:rPr>
        <w:t>9.投标保证金</w:t>
      </w:r>
    </w:p>
    <w:p>
      <w:pPr>
        <w:pStyle w:val="18"/>
        <w:spacing w:line="360" w:lineRule="auto"/>
        <w:ind w:firstLine="470" w:firstLineChars="196"/>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本项目不需缴纳投标保证金。</w:t>
      </w:r>
    </w:p>
    <w:p>
      <w:pPr>
        <w:pStyle w:val="35"/>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10. 采购文件的语言</w:t>
      </w:r>
    </w:p>
    <w:p>
      <w:pPr>
        <w:autoSpaceDE w:val="0"/>
        <w:autoSpaceDN w:val="0"/>
        <w:spacing w:line="360" w:lineRule="auto"/>
        <w:ind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采购文件及供应商与采购有关的来往通知、函件和文件均应使用中文。</w:t>
      </w:r>
    </w:p>
    <w:p>
      <w:pPr>
        <w:pStyle w:val="35"/>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11. 采购文件的组成</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hint="eastAsia" w:ascii="宋体" w:hAnsi="宋体" w:cs="宋体"/>
          <w:b/>
          <w:color w:val="000000" w:themeColor="text1"/>
          <w:sz w:val="24"/>
          <w:highlight w:val="none"/>
          <w14:textFill>
            <w14:solidFill>
              <w14:schemeClr w14:val="tx1"/>
            </w14:solidFill>
          </w14:textFill>
        </w:rPr>
        <w:t>资格文件</w:t>
      </w:r>
      <w:r>
        <w:rPr>
          <w:rFonts w:hint="eastAsia" w:ascii="宋体" w:hAnsi="宋体" w:cs="宋体"/>
          <w:color w:val="000000" w:themeColor="text1"/>
          <w:sz w:val="24"/>
          <w:highlight w:val="none"/>
          <w14:textFill>
            <w14:solidFill>
              <w14:schemeClr w14:val="tx1"/>
            </w14:solidFill>
          </w14:textFill>
        </w:rPr>
        <w:t>：</w:t>
      </w:r>
    </w:p>
    <w:p>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11.1.1符合参加政府采购活动应当具备的一般条件的承诺函；</w:t>
      </w:r>
    </w:p>
    <w:p>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11.1.2落实政府采购政策需满足的资格要求；</w:t>
      </w:r>
    </w:p>
    <w:p>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11.1.3本项目的特定资格要求。</w:t>
      </w:r>
    </w:p>
    <w:p>
      <w:pPr>
        <w:snapToGrid w:val="0"/>
        <w:spacing w:line="360" w:lineRule="auto"/>
        <w:ind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11.</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商务技术</w:t>
      </w:r>
      <w:r>
        <w:rPr>
          <w:rFonts w:hint="eastAsia" w:ascii="宋体" w:hAnsi="宋体" w:cs="宋体"/>
          <w:color w:val="000000" w:themeColor="text1"/>
          <w:sz w:val="24"/>
          <w:highlight w:val="none"/>
          <w:lang w:val="zh-CN"/>
          <w14:textFill>
            <w14:solidFill>
              <w14:schemeClr w14:val="tx1"/>
            </w14:solidFill>
          </w14:textFill>
        </w:rPr>
        <w:t>文件：</w:t>
      </w:r>
    </w:p>
    <w:p>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11.2.1投标函；</w:t>
      </w:r>
      <w:r>
        <w:rPr>
          <w:rFonts w:hint="eastAsia" w:ascii="宋体" w:hAnsi="宋体" w:cs="宋体"/>
          <w:color w:val="000000" w:themeColor="text1"/>
          <w:sz w:val="24"/>
          <w:highlight w:val="none"/>
          <w:lang w:val="zh-CN"/>
          <w14:textFill>
            <w14:solidFill>
              <w14:schemeClr w14:val="tx1"/>
            </w14:solidFill>
          </w14:textFill>
        </w:rPr>
        <w:t xml:space="preserve"> </w:t>
      </w:r>
    </w:p>
    <w:p>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11.2.2授权委托书或法定代表人（单位负责人、自然人本人）身份证明；</w:t>
      </w:r>
    </w:p>
    <w:p>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11.2.3联合协议（本项目不适用）；</w:t>
      </w:r>
    </w:p>
    <w:p>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11.2.4分包意向协议（本项目不适用）；</w:t>
      </w:r>
    </w:p>
    <w:p>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11.2.5符合性审查资料；</w:t>
      </w:r>
    </w:p>
    <w:p>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11.2.6评标标准相应的商务技术资料；</w:t>
      </w:r>
    </w:p>
    <w:p>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11.2.7投标标的清单（本项目不适用）；</w:t>
      </w:r>
    </w:p>
    <w:p>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11.2.8商务技术偏离表；</w:t>
      </w:r>
    </w:p>
    <w:p>
      <w:pPr>
        <w:snapToGrid w:val="0"/>
        <w:spacing w:line="360" w:lineRule="auto"/>
        <w:ind w:firstLine="960" w:firstLineChars="4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11.</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9</w:t>
      </w:r>
      <w:r>
        <w:rPr>
          <w:rFonts w:hint="eastAsia" w:ascii="宋体" w:hAnsi="宋体" w:cs="宋体"/>
          <w:color w:val="000000" w:themeColor="text1"/>
          <w:sz w:val="24"/>
          <w:highlight w:val="none"/>
          <w:lang w:val="zh-CN"/>
          <w14:textFill>
            <w14:solidFill>
              <w14:schemeClr w14:val="tx1"/>
            </w14:solidFill>
          </w14:textFill>
        </w:rPr>
        <w:t>政府采购供应商廉洁自律承诺书；</w:t>
      </w:r>
    </w:p>
    <w:p>
      <w:pPr>
        <w:snapToGrid w:val="0"/>
        <w:spacing w:line="360" w:lineRule="auto"/>
        <w:ind w:firstLine="480" w:firstLineChars="200"/>
        <w:rPr>
          <w:rFonts w:ascii="宋体" w:hAnsi="宋体" w:cs="宋体"/>
          <w:color w:val="000000" w:themeColor="text1"/>
          <w:sz w:val="24"/>
          <w:highlight w:val="none"/>
          <w:u w:val="singl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11.</w:t>
      </w:r>
      <w:r>
        <w:rPr>
          <w:rFonts w:hint="eastAsia" w:ascii="宋体" w:hAnsi="宋体" w:cs="宋体"/>
          <w:color w:val="000000" w:themeColor="text1"/>
          <w:kern w:val="0"/>
          <w:sz w:val="24"/>
          <w:highlight w:val="none"/>
          <w14:textFill>
            <w14:solidFill>
              <w14:schemeClr w14:val="tx1"/>
            </w14:solidFill>
          </w14:textFill>
        </w:rPr>
        <w:t>3</w:t>
      </w:r>
      <w:r>
        <w:rPr>
          <w:rFonts w:hint="eastAsia" w:ascii="宋体" w:hAnsi="宋体" w:cs="宋体"/>
          <w:b/>
          <w:color w:val="000000" w:themeColor="text1"/>
          <w:sz w:val="24"/>
          <w:highlight w:val="none"/>
          <w14:textFill>
            <w14:solidFill>
              <w14:schemeClr w14:val="tx1"/>
            </w14:solidFill>
          </w14:textFill>
        </w:rPr>
        <w:t>报价文件：</w:t>
      </w:r>
      <w:r>
        <w:rPr>
          <w:rFonts w:hint="eastAsia" w:ascii="宋体" w:hAnsi="宋体" w:cs="宋体"/>
          <w:color w:val="000000" w:themeColor="text1"/>
          <w:sz w:val="24"/>
          <w:highlight w:val="none"/>
          <w14:textFill>
            <w14:solidFill>
              <w14:schemeClr w14:val="tx1"/>
            </w14:solidFill>
          </w14:textFill>
        </w:rPr>
        <w:t xml:space="preserve"> </w:t>
      </w:r>
    </w:p>
    <w:p>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11.3.1开标一览表（报价表）；</w:t>
      </w:r>
    </w:p>
    <w:p>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11.3.2推荐供选择的配套零部件及价格表</w:t>
      </w:r>
    </w:p>
    <w:p>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11.3.3中小企业声明函。</w:t>
      </w:r>
    </w:p>
    <w:p>
      <w:pPr>
        <w:spacing w:line="360" w:lineRule="auto"/>
        <w:ind w:firstLine="723" w:firstLineChars="3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采购文件含有采购人不能接受的附加条件的，投标无效；</w:t>
      </w:r>
    </w:p>
    <w:p>
      <w:pPr>
        <w:spacing w:line="360" w:lineRule="auto"/>
        <w:ind w:firstLine="723" w:firstLineChars="300"/>
        <w:rPr>
          <w:rFonts w:ascii="宋体" w:hAnsi="宋体" w:cs="宋体"/>
          <w:b/>
          <w:color w:val="000000" w:themeColor="text1"/>
          <w:sz w:val="24"/>
          <w:szCs w:val="21"/>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供应商提供虚假材料投标的，投标无效。</w:t>
      </w:r>
    </w:p>
    <w:p>
      <w:pPr>
        <w:pStyle w:val="131"/>
        <w:snapToGrid w:val="0"/>
        <w:spacing w:before="0"/>
        <w:ind w:firstLine="0" w:firstLineChars="0"/>
        <w:outlineLvl w:val="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12</w:t>
      </w:r>
      <w:r>
        <w:rPr>
          <w:rFonts w:hint="eastAsia" w:ascii="宋体" w:hAnsi="宋体" w:cs="宋体"/>
          <w:b/>
          <w:color w:val="000000" w:themeColor="text1"/>
          <w:kern w:val="0"/>
          <w:szCs w:val="24"/>
          <w:highlight w:val="none"/>
          <w:lang w:val="zh-CN"/>
          <w14:textFill>
            <w14:solidFill>
              <w14:schemeClr w14:val="tx1"/>
            </w14:solidFill>
          </w14:textFill>
        </w:rPr>
        <w:t xml:space="preserve">. </w:t>
      </w:r>
      <w:r>
        <w:rPr>
          <w:rFonts w:hint="eastAsia" w:ascii="宋体" w:hAnsi="宋体" w:cs="宋体"/>
          <w:b/>
          <w:color w:val="000000" w:themeColor="text1"/>
          <w:szCs w:val="24"/>
          <w:highlight w:val="none"/>
          <w14:textFill>
            <w14:solidFill>
              <w14:schemeClr w14:val="tx1"/>
            </w14:solidFill>
          </w14:textFill>
        </w:rPr>
        <w:t>采购文件的编制</w:t>
      </w:r>
    </w:p>
    <w:p>
      <w:pPr>
        <w:spacing w:line="360" w:lineRule="auto"/>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12.1采购文件分为资格文件、商务技术文件、报价文件三部分。各供应商在编制采购文件时请按照采购文件第六部分规定的格式进行，混乱的编排导致采购文件被误读或评标委员会查找不到有效文件是供应商的风险。</w:t>
      </w:r>
    </w:p>
    <w:p>
      <w:pPr>
        <w:spacing w:line="360" w:lineRule="auto"/>
        <w:ind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12.2供应商进行电子投标应安装客户端软件—“政采云电子交易客户端”，并按照采购文件和电子交易平台的要求编制并加密采购文件。供应商未按规定加密的采购文件，电子交易平台将拒收并提示。</w:t>
      </w:r>
    </w:p>
    <w:p>
      <w:pPr>
        <w:spacing w:line="360" w:lineRule="auto"/>
        <w:ind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13.采购文件的签署、盖章</w:t>
      </w:r>
    </w:p>
    <w:p>
      <w:pPr>
        <w:pStyle w:val="131"/>
        <w:snapToGrid w:val="0"/>
        <w:spacing w:before="0"/>
        <w:ind w:firstLine="480"/>
        <w:rPr>
          <w:rFonts w:ascii="宋体" w:hAnsi="宋体" w:cs="宋体"/>
          <w:b/>
          <w:color w:val="000000" w:themeColor="text1"/>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13.1采购文件按照采购文件第六部分格式要</w:t>
      </w:r>
      <w:r>
        <w:rPr>
          <w:rFonts w:hint="eastAsia" w:ascii="宋体" w:hAnsi="宋体" w:cs="宋体"/>
          <w:color w:val="000000" w:themeColor="text1"/>
          <w:highlight w:val="none"/>
          <w14:textFill>
            <w14:solidFill>
              <w14:schemeClr w14:val="tx1"/>
            </w14:solidFill>
          </w14:textFill>
        </w:rPr>
        <w:t>求进行签署、盖章。</w:t>
      </w:r>
      <w:r>
        <w:rPr>
          <w:rFonts w:hint="eastAsia" w:ascii="宋体" w:hAnsi="宋体" w:cs="宋体"/>
          <w:b/>
          <w:color w:val="000000" w:themeColor="text1"/>
          <w:highlight w:val="none"/>
          <w14:textFill>
            <w14:solidFill>
              <w14:schemeClr w14:val="tx1"/>
            </w14:solidFill>
          </w14:textFill>
        </w:rPr>
        <w:t>▲供应商的采购文件未按照采购文件要求签署、盖章的，其投标无效</w:t>
      </w:r>
      <w:r>
        <w:rPr>
          <w:rFonts w:hint="eastAsia" w:ascii="宋体" w:hAnsi="宋体" w:cs="宋体"/>
          <w:color w:val="000000" w:themeColor="text1"/>
          <w:szCs w:val="24"/>
          <w:highlight w:val="none"/>
          <w14:textFill>
            <w14:solidFill>
              <w14:schemeClr w14:val="tx1"/>
            </w14:solidFill>
          </w14:textFill>
        </w:rPr>
        <w:t>。</w:t>
      </w:r>
    </w:p>
    <w:p>
      <w:pPr>
        <w:pStyle w:val="131"/>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13.2为确保网上操作合法、有效和安全，供应商应当在投标截止时间前完成在“政府采购云平台”的身份认证，确保在电子投标过程中能够对相关数据电文进行加密和使用电子签名。</w:t>
      </w:r>
    </w:p>
    <w:p>
      <w:pPr>
        <w:pStyle w:val="131"/>
        <w:snapToGrid w:val="0"/>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13.3采购文件对采购文件签署、盖章的要求适用于电子签名。</w:t>
      </w:r>
    </w:p>
    <w:p>
      <w:pPr>
        <w:pStyle w:val="131"/>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14. 采购文件的提交、补充、修改、撤回</w:t>
      </w:r>
    </w:p>
    <w:p>
      <w:pPr>
        <w:pStyle w:val="131"/>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14.1 供应商应当在投标截止时间前完成采购文件的传输递交，并可以补充、修改或者撤回采购文件。补充或者修改采购文件的，应当先行撤回原文件，补充、修改后重新传输递交。投标截止时间前未完成传输的，视为撤回采购文件。投标截止时间后递交的采购文件，电子交易平台将拒收。</w:t>
      </w:r>
    </w:p>
    <w:p>
      <w:pPr>
        <w:pStyle w:val="131"/>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14.2电子交易平台收到采购文件，将妥善保存并即时向供应商发出确认回执通知。在投标截止时间前，除供应商补充、修改或者撤回采购文件外，任何单位和个人不得解密或提取采购文件。</w:t>
      </w:r>
    </w:p>
    <w:p>
      <w:pPr>
        <w:pStyle w:val="131"/>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14.3采购人、采购机构可以视情况延长采购文件提交的截止时间。在上述情况下，采购机构与供应商以前在投标截止期方面的全部权利、责任和义务，将适用于延长至新的投标截止期。</w:t>
      </w:r>
    </w:p>
    <w:p>
      <w:pPr>
        <w:pStyle w:val="35"/>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15.备份采购文件</w:t>
      </w:r>
    </w:p>
    <w:p>
      <w:pPr>
        <w:pStyle w:val="35"/>
        <w:spacing w:line="360" w:lineRule="auto"/>
        <w:ind w:firstLine="360" w:firstLineChars="150"/>
        <w:rPr>
          <w:rFonts w:hAnsi="宋体" w:cs="宋体"/>
          <w:b/>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 xml:space="preserve"> 15.1供应商在电子交易平台传输递交采购文件后，还可以在投标截止时间前直接提交或者以邮政快递方式递交备份采购文件1份，</w:t>
      </w:r>
      <w:r>
        <w:rPr>
          <w:rFonts w:hint="eastAsia" w:hAnsi="宋体" w:cs="宋体"/>
          <w:b/>
          <w:color w:val="000000" w:themeColor="text1"/>
          <w:sz w:val="24"/>
          <w:szCs w:val="24"/>
          <w:highlight w:val="none"/>
          <w14:textFill>
            <w14:solidFill>
              <w14:schemeClr w14:val="tx1"/>
            </w14:solidFill>
          </w14:textFill>
        </w:rPr>
        <w:t>但采购人、采购机构不强制或变相强制供应商提交备份采购文件。</w:t>
      </w:r>
    </w:p>
    <w:p>
      <w:pPr>
        <w:pStyle w:val="35"/>
        <w:spacing w:line="360" w:lineRule="auto"/>
        <w:ind w:firstLine="480" w:firstLineChars="200"/>
        <w:rPr>
          <w:rFonts w:hAnsi="宋体" w:cs="宋体"/>
          <w:b/>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15.2备份采购文件须在“政采云投标客户端”制作生成，并储存在</w:t>
      </w:r>
      <w:r>
        <w:rPr>
          <w:rFonts w:hint="eastAsia" w:hAnsi="宋体" w:cs="宋体"/>
          <w:color w:val="000000" w:themeColor="text1"/>
          <w:sz w:val="24"/>
          <w:highlight w:val="none"/>
          <w14:textFill>
            <w14:solidFill>
              <w14:schemeClr w14:val="tx1"/>
            </w14:solidFill>
          </w14:textFill>
        </w:rPr>
        <w:t>DVD光盘</w:t>
      </w:r>
      <w:r>
        <w:rPr>
          <w:rFonts w:hint="eastAsia" w:hAnsi="宋体" w:cs="宋体"/>
          <w:color w:val="000000" w:themeColor="text1"/>
          <w:sz w:val="24"/>
          <w:szCs w:val="24"/>
          <w:highlight w:val="none"/>
          <w14:textFill>
            <w14:solidFill>
              <w14:schemeClr w14:val="tx1"/>
            </w14:solidFill>
          </w14:textFill>
        </w:rPr>
        <w:t>中。备份采购文件应当密封包装并在包装上加盖公章并注明投标项目名称，供应商名称(联合体投标的，包装物封面需注明联合体投标，并注明联合体成员各方的名称和联合协议中约定的牵头人的名称)。</w:t>
      </w:r>
      <w:r>
        <w:rPr>
          <w:rFonts w:hint="eastAsia" w:hAnsi="宋体" w:cs="宋体"/>
          <w:b/>
          <w:color w:val="000000" w:themeColor="text1"/>
          <w:sz w:val="24"/>
          <w:highlight w:val="none"/>
          <w14:textFill>
            <w14:solidFill>
              <w14:schemeClr w14:val="tx1"/>
            </w14:solidFill>
          </w14:textFill>
        </w:rPr>
        <w:t>不符合上述制作、</w:t>
      </w:r>
      <w:r>
        <w:rPr>
          <w:rFonts w:hint="eastAsia" w:hAnsi="宋体" w:cs="宋体"/>
          <w:b/>
          <w:color w:val="000000" w:themeColor="text1"/>
          <w:sz w:val="24"/>
          <w:szCs w:val="24"/>
          <w:highlight w:val="none"/>
          <w14:textFill>
            <w14:solidFill>
              <w14:schemeClr w14:val="tx1"/>
            </w14:solidFill>
          </w14:textFill>
        </w:rPr>
        <w:t>存储、密封规定的备份采购文件将被视为无效或者被拒绝接收。</w:t>
      </w:r>
    </w:p>
    <w:p>
      <w:pPr>
        <w:pStyle w:val="3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15.3直接提交备份采购文件的，供应商应于投标截止时间前在招标公告中载明的开标地点将备份采购文件提交给采购机构，采购机构将拒绝接受逾期送达的备份采购文件。</w:t>
      </w:r>
    </w:p>
    <w:p>
      <w:pPr>
        <w:pStyle w:val="35"/>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15.4以邮政快递方式递交备份采购文件的，供应商应先将备份采购文件按要求密封和标记，再进行邮政快递包装后邮寄。备份采购文件须在投标截止时间之前送达</w:t>
      </w:r>
      <w:r>
        <w:rPr>
          <w:rFonts w:hint="eastAsia" w:hAnsi="宋体" w:cs="宋体"/>
          <w:snapToGrid/>
          <w:color w:val="000000" w:themeColor="text1"/>
          <w:sz w:val="24"/>
          <w:szCs w:val="24"/>
          <w:highlight w:val="none"/>
          <w14:textFill>
            <w14:solidFill>
              <w14:schemeClr w14:val="tx1"/>
            </w14:solidFill>
          </w14:textFill>
        </w:rPr>
        <w:t>采购文件第二部分供应商须知前附表规定的备份采购文件送达地点；</w:t>
      </w:r>
      <w:r>
        <w:rPr>
          <w:rFonts w:hint="eastAsia" w:hAnsi="宋体" w:cs="宋体"/>
          <w:color w:val="000000" w:themeColor="text1"/>
          <w:sz w:val="24"/>
          <w:szCs w:val="24"/>
          <w:highlight w:val="none"/>
          <w14:textFill>
            <w14:solidFill>
              <w14:schemeClr w14:val="tx1"/>
            </w14:solidFill>
          </w14:textFill>
        </w:rPr>
        <w:t>送达时间以签收人签收时间为准。采购机构将拒绝接受逾期送达的备份采购文件。邮寄过程中，电子备份采购文件发生泄露、遗失、损坏或延期送达等情况的，由供应商自行负责。</w:t>
      </w:r>
    </w:p>
    <w:p>
      <w:pPr>
        <w:pStyle w:val="35"/>
        <w:spacing w:line="360" w:lineRule="auto"/>
        <w:ind w:firstLine="479" w:firstLineChars="199"/>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15.5供应商仅提交备份采购文件，未在电子交易平台传输递交采购文件的，投标无效。</w:t>
      </w:r>
    </w:p>
    <w:p>
      <w:pPr>
        <w:pStyle w:val="131"/>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16.采购文件的无效处理</w:t>
      </w:r>
    </w:p>
    <w:p>
      <w:pPr>
        <w:pStyle w:val="26"/>
        <w:spacing w:line="360" w:lineRule="auto"/>
        <w:ind w:firstLine="360" w:firstLineChars="150"/>
        <w:rPr>
          <w:rFonts w:cs="宋体"/>
          <w:color w:val="000000" w:themeColor="text1"/>
          <w:szCs w:val="21"/>
          <w:highlight w:val="none"/>
          <w14:textFill>
            <w14:solidFill>
              <w14:schemeClr w14:val="tx1"/>
            </w14:solidFill>
          </w14:textFill>
        </w:rPr>
      </w:pPr>
      <w:r>
        <w:rPr>
          <w:rFonts w:hint="eastAsia" w:cs="宋体"/>
          <w:color w:val="000000" w:themeColor="text1"/>
          <w:szCs w:val="21"/>
          <w:highlight w:val="none"/>
          <w14:textFill>
            <w14:solidFill>
              <w14:schemeClr w14:val="tx1"/>
            </w14:solidFill>
          </w14:textFill>
        </w:rPr>
        <w:t>有采购文件第四部分</w:t>
      </w:r>
      <w:r>
        <w:rPr>
          <w:rFonts w:hint="eastAsia" w:cs="宋体"/>
          <w:color w:val="000000" w:themeColor="text1"/>
          <w:highlight w:val="none"/>
          <w14:textFill>
            <w14:solidFill>
              <w14:schemeClr w14:val="tx1"/>
            </w14:solidFill>
          </w14:textFill>
        </w:rPr>
        <w:t>4.2规定</w:t>
      </w:r>
      <w:r>
        <w:rPr>
          <w:rFonts w:hint="eastAsia" w:cs="宋体"/>
          <w:color w:val="000000" w:themeColor="text1"/>
          <w:szCs w:val="21"/>
          <w:highlight w:val="none"/>
          <w14:textFill>
            <w14:solidFill>
              <w14:schemeClr w14:val="tx1"/>
            </w14:solidFill>
          </w14:textFill>
        </w:rPr>
        <w:t>的情形之一的，投标无效：</w:t>
      </w:r>
    </w:p>
    <w:p>
      <w:pPr>
        <w:pStyle w:val="131"/>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17.投标有效期</w:t>
      </w:r>
    </w:p>
    <w:p>
      <w:pPr>
        <w:spacing w:line="360" w:lineRule="auto"/>
        <w:ind w:firstLine="480" w:firstLineChars="200"/>
        <w:rPr>
          <w:rFonts w:ascii="宋体" w:hAnsi="宋体" w:cs="宋体"/>
          <w:b/>
          <w:color w:val="000000" w:themeColor="text1"/>
          <w:sz w:val="24"/>
          <w:szCs w:val="21"/>
          <w:highlight w:val="none"/>
          <w14:textFill>
            <w14:solidFill>
              <w14:schemeClr w14:val="tx1"/>
            </w14:solidFill>
          </w14:textFill>
        </w:rPr>
      </w:pPr>
      <w:r>
        <w:rPr>
          <w:rFonts w:hint="eastAsia" w:ascii="宋体" w:hAnsi="宋体" w:cs="宋体"/>
          <w:color w:val="000000" w:themeColor="text1"/>
          <w:sz w:val="24"/>
          <w:szCs w:val="20"/>
          <w:highlight w:val="none"/>
          <w14:textFill>
            <w14:solidFill>
              <w14:schemeClr w14:val="tx1"/>
            </w14:solidFill>
          </w14:textFill>
        </w:rPr>
        <w:t>17.1投标有效期为从提交采购文件的截止之日起90天。▲</w:t>
      </w:r>
      <w:r>
        <w:rPr>
          <w:rFonts w:hint="eastAsia" w:ascii="宋体" w:hAnsi="宋体" w:cs="宋体"/>
          <w:b/>
          <w:color w:val="000000" w:themeColor="text1"/>
          <w:sz w:val="24"/>
          <w:szCs w:val="20"/>
          <w:highlight w:val="none"/>
          <w14:textFill>
            <w14:solidFill>
              <w14:schemeClr w14:val="tx1"/>
            </w14:solidFill>
          </w14:textFill>
        </w:rPr>
        <w:t>供应商的采购文件中承</w:t>
      </w:r>
      <w:r>
        <w:rPr>
          <w:rFonts w:hint="eastAsia" w:ascii="宋体" w:hAnsi="宋体" w:cs="宋体"/>
          <w:b/>
          <w:color w:val="000000" w:themeColor="text1"/>
          <w:sz w:val="24"/>
          <w:szCs w:val="21"/>
          <w:highlight w:val="none"/>
          <w14:textFill>
            <w14:solidFill>
              <w14:schemeClr w14:val="tx1"/>
            </w14:solidFill>
          </w14:textFill>
        </w:rPr>
        <w:t>诺的投标有效期少于采购文件中载明的投标有效期的，投标无效。</w:t>
      </w:r>
    </w:p>
    <w:p>
      <w:pPr>
        <w:pStyle w:val="131"/>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17.2采购文件合格投递后，自投标截止日期起，在投标有效期内有效。</w:t>
      </w:r>
    </w:p>
    <w:p>
      <w:pPr>
        <w:pStyle w:val="131"/>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17.3在原定投标有效期满之前，如果出现特殊情况，采购机构可以以书面形式通知供应商延长投标有效期。供应商同意延长的，不得要求或被允许修改其采购文件，供应商拒绝延长的，其投标无效。</w:t>
      </w:r>
    </w:p>
    <w:p>
      <w:pPr>
        <w:pStyle w:val="131"/>
        <w:spacing w:before="0"/>
        <w:ind w:firstLine="643"/>
        <w:rPr>
          <w:rFonts w:ascii="宋体" w:hAnsi="宋体" w:cs="宋体"/>
          <w:b/>
          <w:color w:val="000000" w:themeColor="text1"/>
          <w:sz w:val="32"/>
          <w:highlight w:val="none"/>
          <w14:textFill>
            <w14:solidFill>
              <w14:schemeClr w14:val="tx1"/>
            </w14:solidFill>
          </w14:textFill>
        </w:rPr>
      </w:pPr>
    </w:p>
    <w:p>
      <w:pPr>
        <w:pStyle w:val="131"/>
        <w:spacing w:before="0"/>
        <w:ind w:firstLine="1928" w:firstLineChars="600"/>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四、开标、资格审查与信用信息查询</w:t>
      </w:r>
    </w:p>
    <w:p>
      <w:pPr>
        <w:pStyle w:val="555"/>
        <w:spacing w:before="0" w:line="360" w:lineRule="auto"/>
        <w:ind w:left="0" w:firstLine="241" w:firstLineChars="10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szCs w:val="24"/>
          <w:highlight w:val="none"/>
          <w14:textFill>
            <w14:solidFill>
              <w14:schemeClr w14:val="tx1"/>
            </w14:solidFill>
          </w14:textFill>
        </w:rPr>
        <w:t>18.开标</w:t>
      </w:r>
      <w:r>
        <w:rPr>
          <w:rFonts w:hint="eastAsia" w:ascii="宋体" w:hAnsi="宋体" w:cs="宋体"/>
          <w:color w:val="000000" w:themeColor="text1"/>
          <w:sz w:val="24"/>
          <w:highlight w:val="none"/>
          <w14:textFill>
            <w14:solidFill>
              <w14:schemeClr w14:val="tx1"/>
            </w14:solidFill>
          </w14:textFill>
        </w:rPr>
        <w:t xml:space="preserve"> </w:t>
      </w:r>
    </w:p>
    <w:p>
      <w:pPr>
        <w:pStyle w:val="555"/>
        <w:spacing w:before="0" w:line="360" w:lineRule="auto"/>
        <w:ind w:left="0" w:firstLine="480" w:firstLineChars="20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18.1采购机构按照采购文件规定的时间通过电子交易平台组织开标，所有供应商均应当准时在线参加。供应商不足3家的，不得开标。</w:t>
      </w:r>
    </w:p>
    <w:p>
      <w:pPr>
        <w:pStyle w:val="555"/>
        <w:spacing w:before="0" w:line="360" w:lineRule="auto"/>
        <w:ind w:left="0" w:firstLine="240" w:firstLineChars="10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18.2开标时，电子交易平台按开标时间自动提取所有采购文件。采购机构依托电子交易平台发起开始解密指令，供应商按照平台提示和采购文件的规定在半小时内完成在线解密。</w:t>
      </w:r>
    </w:p>
    <w:p>
      <w:pPr>
        <w:pStyle w:val="555"/>
        <w:spacing w:before="0" w:line="360" w:lineRule="auto"/>
        <w:ind w:left="0" w:firstLine="240" w:firstLineChars="100"/>
        <w:contextualSpacing/>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18.3</w:t>
      </w:r>
      <w:r>
        <w:rPr>
          <w:rFonts w:hint="eastAsia" w:ascii="宋体" w:hAnsi="宋体" w:cs="宋体"/>
          <w:b/>
          <w:color w:val="000000" w:themeColor="text1"/>
          <w:sz w:val="24"/>
          <w:highlight w:val="none"/>
          <w14:textFill>
            <w14:solidFill>
              <w14:schemeClr w14:val="tx1"/>
            </w14:solidFill>
          </w14:textFill>
        </w:rPr>
        <w:t>采购文件未按时解密，供应商提供了备份采购文件的，以备份采购文件作为依据，否则视为采购文件撤回。采购文件已按时解密的，备份采购文件自动失效。</w:t>
      </w:r>
    </w:p>
    <w:p>
      <w:pPr>
        <w:widowControl/>
        <w:spacing w:before="100" w:beforeAutospacing="1" w:after="240" w:line="360" w:lineRule="auto"/>
        <w:jc w:val="left"/>
        <w:rPr>
          <w:rFonts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szCs w:val="20"/>
          <w:highlight w:val="none"/>
          <w14:textFill>
            <w14:solidFill>
              <w14:schemeClr w14:val="tx1"/>
            </w14:solidFill>
          </w14:textFill>
        </w:rPr>
        <w:t>　19、资格审查</w:t>
      </w:r>
    </w:p>
    <w:p>
      <w:pPr>
        <w:pStyle w:val="131"/>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19.1开标后，采购人或采购机构将依法对供应商的资格进行审查。</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19.2</w:t>
      </w:r>
      <w:r>
        <w:rPr>
          <w:rFonts w:hint="eastAsia" w:ascii="宋体" w:hAnsi="宋体" w:cs="宋体"/>
          <w:color w:val="000000" w:themeColor="text1"/>
          <w:sz w:val="24"/>
          <w:highlight w:val="none"/>
          <w14:textFill>
            <w14:solidFill>
              <w14:schemeClr w14:val="tx1"/>
            </w14:solidFill>
          </w14:textFill>
        </w:rPr>
        <w:t>采购人或采购机构依据法律法规和采购文件的规定，对供应商的基本资格条件、特定资格条件进行审查。</w:t>
      </w:r>
    </w:p>
    <w:p>
      <w:pPr>
        <w:pStyle w:val="131"/>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19.3供应商未按照采购文件要求提供与</w:t>
      </w:r>
      <w:r>
        <w:rPr>
          <w:rFonts w:hint="eastAsia" w:ascii="宋体" w:hAnsi="宋体" w:cs="宋体"/>
          <w:color w:val="000000" w:themeColor="text1"/>
          <w:highlight w:val="none"/>
          <w14:textFill>
            <w14:solidFill>
              <w14:schemeClr w14:val="tx1"/>
            </w14:solidFill>
          </w14:textFill>
        </w:rPr>
        <w:t>基本资格条件、特定资格条件相应的</w:t>
      </w:r>
      <w:r>
        <w:rPr>
          <w:rFonts w:hint="eastAsia" w:ascii="宋体" w:hAnsi="宋体" w:cs="宋体"/>
          <w:color w:val="000000" w:themeColor="text1"/>
          <w:kern w:val="0"/>
          <w:szCs w:val="24"/>
          <w:highlight w:val="none"/>
          <w14:textFill>
            <w14:solidFill>
              <w14:schemeClr w14:val="tx1"/>
            </w14:solidFill>
          </w14:textFill>
        </w:rPr>
        <w:t>有效资格证明材料的，视为</w:t>
      </w:r>
      <w:r>
        <w:rPr>
          <w:rFonts w:hint="eastAsia" w:ascii="宋体" w:hAnsi="宋体" w:cs="宋体"/>
          <w:color w:val="000000" w:themeColor="text1"/>
          <w:highlight w:val="none"/>
          <w14:textFill>
            <w14:solidFill>
              <w14:schemeClr w14:val="tx1"/>
            </w14:solidFill>
          </w14:textFill>
        </w:rPr>
        <w:t>供应商不具备采购文件中规定的资格要求，其投标无效。</w:t>
      </w:r>
    </w:p>
    <w:p>
      <w:pPr>
        <w:pStyle w:val="131"/>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w:t>
      </w:r>
      <w:r>
        <w:rPr>
          <w:rFonts w:hint="eastAsia" w:ascii="宋体" w:hAnsi="宋体" w:cs="宋体"/>
          <w:color w:val="000000" w:themeColor="text1"/>
          <w:highlight w:val="none"/>
          <w14:textFill>
            <w14:solidFill>
              <w14:schemeClr w14:val="tx1"/>
            </w14:solidFill>
          </w14:textFill>
        </w:rPr>
        <w:t>4对未通过资格审查的供应商，采购人或采购机构告知其未通过的原因。</w:t>
      </w:r>
    </w:p>
    <w:p>
      <w:pPr>
        <w:pStyle w:val="131"/>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w:t>
      </w:r>
      <w:r>
        <w:rPr>
          <w:rFonts w:hint="eastAsia" w:ascii="宋体" w:hAnsi="宋体" w:cs="宋体"/>
          <w:color w:val="000000" w:themeColor="text1"/>
          <w:highlight w:val="none"/>
          <w14:textFill>
            <w14:solidFill>
              <w14:schemeClr w14:val="tx1"/>
            </w14:solidFill>
          </w14:textFill>
        </w:rPr>
        <w:t>5合格供应商不足3家的，不再评标。</w:t>
      </w:r>
    </w:p>
    <w:p>
      <w:pPr>
        <w:pStyle w:val="131"/>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20、信用信息查询</w:t>
      </w:r>
    </w:p>
    <w:p>
      <w:pPr>
        <w:pStyle w:val="131"/>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20.1信用信息查询渠道及截止时间：采购机构将通过“信用中国”网站(www.creditchina.gov.cn)、中国政府采购网(www.ccgp.gov.cn)渠道查询供应商投标截止时间当天的信用记录。</w:t>
      </w:r>
    </w:p>
    <w:p>
      <w:pPr>
        <w:pStyle w:val="131"/>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20.2信用信息查询记录和证据留存的具体方式：现场查询的供应商的信用记录、查询结果经确认后将与采购文件一起存档。</w:t>
      </w:r>
    </w:p>
    <w:p>
      <w:pPr>
        <w:pStyle w:val="131"/>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20.3信用信息的使用规则：经查询列入失信被执行人名单、重大税收违法案件当事人名单、政府采购严重违法失信行为记录名单的供应商将被拒绝参与政府采购活动。</w:t>
      </w:r>
    </w:p>
    <w:p>
      <w:pPr>
        <w:pStyle w:val="131"/>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000000" w:themeColor="text1"/>
          <w:highlight w:val="none"/>
          <w14:textFill>
            <w14:solidFill>
              <w14:schemeClr w14:val="tx1"/>
            </w14:solidFill>
          </w14:textFill>
        </w:rPr>
        <w:t>。</w:t>
      </w:r>
    </w:p>
    <w:p>
      <w:pPr>
        <w:pStyle w:val="131"/>
        <w:spacing w:before="0"/>
        <w:ind w:firstLine="0" w:firstLineChars="0"/>
        <w:rPr>
          <w:rFonts w:ascii="宋体" w:hAnsi="宋体" w:cs="宋体"/>
          <w:color w:val="000000" w:themeColor="text1"/>
          <w:kern w:val="0"/>
          <w:szCs w:val="24"/>
          <w:highlight w:val="none"/>
          <w14:textFill>
            <w14:solidFill>
              <w14:schemeClr w14:val="tx1"/>
            </w14:solidFill>
          </w14:textFill>
        </w:rPr>
      </w:pPr>
    </w:p>
    <w:p>
      <w:pPr>
        <w:snapToGrid w:val="0"/>
        <w:spacing w:line="360" w:lineRule="auto"/>
        <w:jc w:val="center"/>
        <w:outlineLvl w:val="0"/>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五、评标</w:t>
      </w:r>
    </w:p>
    <w:p>
      <w:pPr>
        <w:spacing w:line="360" w:lineRule="auto"/>
        <w:rPr>
          <w:rFonts w:ascii="宋体" w:hAnsi="宋体" w:cs="宋体"/>
          <w:b/>
          <w:color w:val="000000" w:themeColor="text1"/>
          <w:sz w:val="24"/>
          <w:highlight w:val="none"/>
          <w14:textFill>
            <w14:solidFill>
              <w14:schemeClr w14:val="tx1"/>
            </w14:solidFill>
          </w14:textFill>
        </w:rPr>
      </w:pPr>
      <w:bookmarkStart w:id="13" w:name="_Toc91899903"/>
      <w:r>
        <w:rPr>
          <w:rFonts w:hint="eastAsia" w:ascii="宋体" w:hAnsi="宋体" w:cs="宋体"/>
          <w:b/>
          <w:color w:val="000000" w:themeColor="text1"/>
          <w:sz w:val="24"/>
          <w:highlight w:val="none"/>
          <w14:textFill>
            <w14:solidFill>
              <w14:schemeClr w14:val="tx1"/>
            </w14:solidFill>
          </w14:textFill>
        </w:rPr>
        <w:t>21.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评标委员会将根据采购文件和有关规定，履行评标工作职责，并按照评标方法及评分标准，全面衡量各供应商对采购文件的响应情况。对实质上响应采购文件的供应商，按照评审因素的量化指标排出推荐中标的供应商的先后顺序，并按顺序提出授标建议。</w:t>
      </w:r>
      <w:r>
        <w:rPr>
          <w:rFonts w:hint="eastAsia" w:ascii="宋体" w:hAnsi="宋体" w:cs="宋体"/>
          <w:b/>
          <w:color w:val="000000" w:themeColor="text1"/>
          <w:sz w:val="24"/>
          <w:highlight w:val="none"/>
          <w14:textFill>
            <w14:solidFill>
              <w14:schemeClr w14:val="tx1"/>
            </w14:solidFill>
          </w14:textFill>
        </w:rPr>
        <w:t>详见采购文件第四部分评标办法。</w:t>
      </w:r>
    </w:p>
    <w:p>
      <w:pPr>
        <w:spacing w:line="360" w:lineRule="auto"/>
        <w:rPr>
          <w:rFonts w:ascii="宋体" w:hAnsi="宋体" w:cs="宋体"/>
          <w:b/>
          <w:color w:val="000000" w:themeColor="text1"/>
          <w:sz w:val="24"/>
          <w:highlight w:val="none"/>
          <w14:textFill>
            <w14:solidFill>
              <w14:schemeClr w14:val="tx1"/>
            </w14:solidFill>
          </w14:textFill>
        </w:rPr>
      </w:pPr>
    </w:p>
    <w:p>
      <w:pPr>
        <w:snapToGrid w:val="0"/>
        <w:spacing w:line="360" w:lineRule="auto"/>
        <w:jc w:val="center"/>
        <w:outlineLvl w:val="0"/>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六、定 标</w:t>
      </w:r>
    </w:p>
    <w:p>
      <w:pPr>
        <w:pStyle w:val="26"/>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22. 确定中标供应商</w:t>
      </w:r>
    </w:p>
    <w:p>
      <w:pPr>
        <w:pStyle w:val="131"/>
        <w:snapToGrid w:val="0"/>
        <w:spacing w:before="0"/>
        <w:ind w:firstLine="480"/>
        <w:rPr>
          <w:rFonts w:ascii="宋体" w:hAnsi="宋体" w:cs="宋体"/>
          <w:b/>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31"/>
        <w:snapToGrid w:val="0"/>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23. 中标通知与中标结果公告</w:t>
      </w:r>
    </w:p>
    <w:p>
      <w:pPr>
        <w:widowControl/>
        <w:spacing w:line="360" w:lineRule="auto"/>
        <w:ind w:firstLine="48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23.1自中标人确定之日起2个工作日内，采购机构通过电子交易平台向中标人发出中标通知书，同时编制发布采购结果公告。采购机构也可以以纸质形式进行中标通知。</w:t>
      </w:r>
    </w:p>
    <w:p>
      <w:pPr>
        <w:widowControl/>
        <w:spacing w:line="360" w:lineRule="auto"/>
        <w:ind w:firstLine="48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pPr>
        <w:widowControl/>
        <w:spacing w:line="360" w:lineRule="auto"/>
        <w:ind w:firstLine="48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23.3公告期限为1个工作日。</w:t>
      </w:r>
    </w:p>
    <w:p>
      <w:pPr>
        <w:snapToGrid w:val="0"/>
        <w:spacing w:line="360" w:lineRule="auto"/>
        <w:ind w:left="120" w:leftChars="57" w:firstLine="482" w:firstLineChars="150"/>
        <w:jc w:val="center"/>
        <w:rPr>
          <w:rFonts w:ascii="宋体" w:hAnsi="宋体" w:cs="宋体"/>
          <w:b/>
          <w:color w:val="000000" w:themeColor="text1"/>
          <w:sz w:val="32"/>
          <w:highlight w:val="none"/>
          <w14:textFill>
            <w14:solidFill>
              <w14:schemeClr w14:val="tx1"/>
            </w14:solidFill>
          </w14:textFill>
        </w:rPr>
      </w:pPr>
    </w:p>
    <w:p>
      <w:pPr>
        <w:snapToGrid w:val="0"/>
        <w:spacing w:line="360" w:lineRule="auto"/>
        <w:ind w:left="120" w:leftChars="57" w:firstLine="482" w:firstLineChars="150"/>
        <w:jc w:val="center"/>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七、合同授予</w:t>
      </w:r>
    </w:p>
    <w:p>
      <w:pPr>
        <w:pStyle w:val="26"/>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 xml:space="preserve">24. </w:t>
      </w:r>
      <w:r>
        <w:rPr>
          <w:rFonts w:hint="eastAsia" w:cs="宋体"/>
          <w:color w:val="000000" w:themeColor="text1"/>
          <w:highlight w:val="none"/>
          <w14:textFill>
            <w14:solidFill>
              <w14:schemeClr w14:val="tx1"/>
            </w14:solidFill>
          </w14:textFill>
        </w:rPr>
        <w:t>合同主要条款详见第五部分拟签订的合同文本。</w:t>
      </w:r>
    </w:p>
    <w:p>
      <w:pPr>
        <w:pStyle w:val="26"/>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25. 合同的签订</w:t>
      </w:r>
    </w:p>
    <w:p>
      <w:pPr>
        <w:widowControl/>
        <w:spacing w:line="360" w:lineRule="auto"/>
        <w:ind w:firstLine="48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25.1</w:t>
      </w:r>
      <w:r>
        <w:rPr>
          <w:rFonts w:hint="eastAsia" w:ascii="宋体" w:hAnsi="宋体" w:cs="宋体"/>
          <w:color w:val="000000" w:themeColor="text1"/>
          <w:kern w:val="0"/>
          <w:sz w:val="24"/>
          <w:highlight w:val="none"/>
          <w14:textFill>
            <w14:solidFill>
              <w14:schemeClr w14:val="tx1"/>
            </w14:solidFill>
          </w14:textFill>
        </w:rPr>
        <w:t xml:space="preserve"> 采购人与中标人应当通过电子交易平台在中标通知书发出之日起三十日内，按照采购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31"/>
        <w:snapToGrid w:val="0"/>
        <w:spacing w:before="0"/>
        <w:ind w:firstLine="480"/>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lang w:val="zh-CN"/>
          <w14:textFill>
            <w14:solidFill>
              <w14:schemeClr w14:val="tx1"/>
            </w14:solidFill>
          </w14:textFill>
        </w:rPr>
        <w:t>25.2中标人按规定的日期、时间、地点，由法定代表人或其授权代表与采购人代表签订合同。如中标人为联合体的，由联合体成员各方法定代表人或其授权代表与采购人代表签订合同。</w:t>
      </w:r>
    </w:p>
    <w:p>
      <w:pPr>
        <w:pStyle w:val="131"/>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25.3如签订合同并生效后，供应商无故拒绝或延期，除按照合同条款处理外，列入不良行为记录一次，并给予通报。</w:t>
      </w:r>
    </w:p>
    <w:p>
      <w:pPr>
        <w:pStyle w:val="131"/>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25.4中标供应商拒绝与采购人签订合同的，采购人可以按照评审报告推荐的中标或者成交候选人名单排序，确定下一候选人为中标供应商，也可以重新开展政府采购活动。</w:t>
      </w:r>
    </w:p>
    <w:p>
      <w:pPr>
        <w:pStyle w:val="131"/>
        <w:snapToGrid w:val="0"/>
        <w:spacing w:before="0" w:after="12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25.5采购合同由采购人与中标供应商根据采购文件、采购文件等内容通过政府采购电子交易平台在线签订，自动备案。</w:t>
      </w:r>
    </w:p>
    <w:p>
      <w:pPr>
        <w:pStyle w:val="26"/>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26. 履约保证金</w:t>
      </w:r>
    </w:p>
    <w:p>
      <w:pPr>
        <w:tabs>
          <w:tab w:val="left" w:pos="0"/>
        </w:tabs>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拟签订的合同文本要求中标供应商提交履约保证金的，供应商应当以支票、汇票、本票或者金融机构、担保机构出具的保函等非现金形式提交</w:t>
      </w:r>
      <w:r>
        <w:rPr>
          <w:rFonts w:hint="eastAsia" w:ascii="宋体" w:hAnsi="宋体" w:cs="宋体"/>
          <w:color w:val="000000" w:themeColor="text1"/>
          <w:sz w:val="24"/>
          <w:highlight w:val="none"/>
          <w14:textFill>
            <w14:solidFill>
              <w14:schemeClr w14:val="tx1"/>
            </w14:solidFill>
          </w14:textFill>
        </w:rPr>
        <w:t>。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pPr>
        <w:tabs>
          <w:tab w:val="left" w:pos="0"/>
        </w:tabs>
        <w:spacing w:line="360" w:lineRule="auto"/>
        <w:ind w:firstLine="482"/>
        <w:rPr>
          <w:rFonts w:ascii="宋体" w:hAnsi="宋体" w:cs="宋体"/>
          <w:color w:val="000000" w:themeColor="text1"/>
          <w:sz w:val="24"/>
          <w:szCs w:val="20"/>
          <w:highlight w:val="none"/>
          <w14:textFill>
            <w14:solidFill>
              <w14:schemeClr w14:val="tx1"/>
            </w14:solidFill>
          </w14:textFill>
        </w:rPr>
      </w:pPr>
      <w:r>
        <w:rPr>
          <w:rFonts w:hint="eastAsia" w:ascii="宋体" w:hAnsi="宋体" w:cs="宋体"/>
          <w:color w:val="000000" w:themeColor="text1"/>
          <w:sz w:val="24"/>
          <w:szCs w:val="20"/>
          <w:highlight w:val="none"/>
          <w14:textFill>
            <w14:solidFill>
              <w14:schemeClr w14:val="tx1"/>
            </w14:solidFill>
          </w14:textFill>
        </w:rPr>
        <w:t>政府采购货物和服务项目中，采购单位可根据杭州市政府采购网公布的供应商履约评价情况减免履约保证金。供应商履约验收评价总分为100分的，采购单位应当免收履约保证金；评价总分在90分以上的，收取履约保证金不得高于合同金额2%；评价总分在90分以下或者暂无评分的，收取履约保证金不得高于合同金额2.5%。</w:t>
      </w:r>
    </w:p>
    <w:p>
      <w:pPr>
        <w:pStyle w:val="6"/>
        <w:ind w:left="0" w:firstLine="480" w:firstLineChars="200"/>
        <w:rPr>
          <w:rFonts w:ascii="宋体" w:hAnsi="宋体" w:eastAsia="宋体" w:cs="宋体"/>
          <w:color w:val="000000" w:themeColor="text1"/>
          <w:highlight w:val="none"/>
          <w:lang w:val="en-US"/>
          <w14:textFill>
            <w14:solidFill>
              <w14:schemeClr w14:val="tx1"/>
            </w14:solidFill>
          </w14:textFill>
        </w:rPr>
      </w:pPr>
      <w:r>
        <w:rPr>
          <w:rFonts w:hint="eastAsia" w:ascii="宋体" w:hAnsi="宋体" w:eastAsia="宋体" w:cs="宋体"/>
          <w:b w:val="0"/>
          <w:bCs w:val="0"/>
          <w:snapToGrid w:val="0"/>
          <w:color w:val="000000" w:themeColor="text1"/>
          <w:kern w:val="28"/>
          <w:sz w:val="24"/>
          <w:highlight w:val="none"/>
          <w14:textFill>
            <w14:solidFill>
              <w14:schemeClr w14:val="tx1"/>
            </w14:solidFill>
          </w14:textFill>
        </w:rPr>
        <w:t>供应商</w:t>
      </w:r>
      <w:r>
        <w:rPr>
          <w:rFonts w:hint="eastAsia" w:ascii="宋体" w:hAnsi="宋体" w:eastAsia="宋体" w:cs="宋体"/>
          <w:b w:val="0"/>
          <w:bCs w:val="0"/>
          <w:snapToGrid w:val="0"/>
          <w:color w:val="000000" w:themeColor="text1"/>
          <w:kern w:val="28"/>
          <w:sz w:val="24"/>
          <w:highlight w:val="none"/>
          <w:lang w:val="en-US"/>
          <w14:textFill>
            <w14:solidFill>
              <w14:schemeClr w14:val="tx1"/>
            </w14:solidFill>
          </w14:textFill>
        </w:rPr>
        <w:t>可</w:t>
      </w:r>
      <w:r>
        <w:rPr>
          <w:rFonts w:hint="eastAsia" w:ascii="宋体" w:hAnsi="宋体" w:eastAsia="宋体" w:cs="宋体"/>
          <w:b w:val="0"/>
          <w:bCs w:val="0"/>
          <w:snapToGrid w:val="0"/>
          <w:color w:val="000000" w:themeColor="text1"/>
          <w:kern w:val="28"/>
          <w:sz w:val="24"/>
          <w:highlight w:val="none"/>
          <w14:textFill>
            <w14:solidFill>
              <w14:schemeClr w14:val="tx1"/>
            </w14:solidFill>
          </w14:textFill>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ascii="宋体" w:hAnsi="宋体" w:cs="宋体"/>
          <w:b/>
          <w:color w:val="000000" w:themeColor="text1"/>
          <w:sz w:val="32"/>
          <w:highlight w:val="none"/>
          <w14:textFill>
            <w14:solidFill>
              <w14:schemeClr w14:val="tx1"/>
            </w14:solidFill>
          </w14:textFill>
        </w:rPr>
      </w:pPr>
    </w:p>
    <w:p>
      <w:pPr>
        <w:snapToGrid w:val="0"/>
        <w:spacing w:line="360" w:lineRule="auto"/>
        <w:ind w:firstLine="3357" w:firstLineChars="1045"/>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八、电子交易活动的中止</w:t>
      </w:r>
    </w:p>
    <w:p>
      <w:pPr>
        <w:pStyle w:val="131"/>
        <w:snapToGrid w:val="0"/>
        <w:spacing w:before="0"/>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w:t>
      </w:r>
      <w:r>
        <w:rPr>
          <w:rFonts w:hint="eastAsia" w:ascii="宋体" w:hAnsi="宋体" w:cs="宋体"/>
          <w:b/>
          <w:color w:val="000000" w:themeColor="text1"/>
          <w:szCs w:val="24"/>
          <w:highlight w:val="none"/>
          <w14:textFill>
            <w14:solidFill>
              <w14:schemeClr w14:val="tx1"/>
            </w14:solidFill>
          </w14:textFill>
        </w:rPr>
        <w:t>7. 电子交易活动的中止。</w:t>
      </w:r>
      <w:r>
        <w:rPr>
          <w:rFonts w:hint="eastAsia" w:ascii="宋体" w:hAnsi="宋体" w:cs="宋体"/>
          <w:color w:val="000000" w:themeColor="text1"/>
          <w:highlight w:val="none"/>
          <w14:textFill>
            <w14:solidFill>
              <w14:schemeClr w14:val="tx1"/>
            </w14:solidFill>
          </w14:textFill>
        </w:rPr>
        <w:t>采购过程中出现以下情形，导致电子交易平台无法正常运行，或者无法保证电子交易的公平、公正和安全时，采购机构可中止电子交易活动：</w:t>
      </w:r>
    </w:p>
    <w:p>
      <w:pPr>
        <w:pStyle w:val="131"/>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27.1电子交易平台发生故障而无法登录访问的； </w:t>
      </w:r>
    </w:p>
    <w:p>
      <w:pPr>
        <w:pStyle w:val="131"/>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27.2电子交易平台应用或数据库出现错误，不能进行正常操作的；</w:t>
      </w:r>
    </w:p>
    <w:p>
      <w:pPr>
        <w:pStyle w:val="131"/>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27.3电子交易平台发现严重安全漏洞，有潜在泄密危险的；</w:t>
      </w:r>
    </w:p>
    <w:p>
      <w:pPr>
        <w:pStyle w:val="131"/>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27.4病毒发作导致不能进行正常操作的； </w:t>
      </w:r>
    </w:p>
    <w:p>
      <w:pPr>
        <w:pStyle w:val="131"/>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27.5其他无法保证电子交易的公平、公正和安全的情况。</w:t>
      </w:r>
    </w:p>
    <w:p>
      <w:pPr>
        <w:pStyle w:val="131"/>
        <w:snapToGrid w:val="0"/>
        <w:spacing w:before="0"/>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color w:val="000000" w:themeColor="text1"/>
          <w:sz w:val="24"/>
          <w:highlight w:val="none"/>
          <w14:textFill>
            <w14:solidFill>
              <w14:schemeClr w14:val="tx1"/>
            </w14:solidFill>
          </w14:textFill>
        </w:rPr>
      </w:pPr>
    </w:p>
    <w:p>
      <w:pPr>
        <w:snapToGrid w:val="0"/>
        <w:spacing w:line="360" w:lineRule="auto"/>
        <w:ind w:left="120" w:leftChars="57" w:firstLine="482" w:firstLineChars="150"/>
        <w:jc w:val="center"/>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九、验收</w:t>
      </w:r>
    </w:p>
    <w:p>
      <w:pPr>
        <w:pStyle w:val="26"/>
        <w:spacing w:line="360" w:lineRule="auto"/>
        <w:ind w:firstLine="0" w:firstLineChars="0"/>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29.验收</w:t>
      </w:r>
    </w:p>
    <w:p>
      <w:pP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29.2采购人可以邀请参加本项目的其他供应商或者第三方机构参与验收。参与验收的供应商或者第三方机构的意见作为验收书的参考资料一并存档。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sectPr>
          <w:headerReference r:id="rId4" w:type="first"/>
          <w:footerReference r:id="rId7" w:type="first"/>
          <w:headerReference r:id="rId3" w:type="default"/>
          <w:footerReference r:id="rId5" w:type="default"/>
          <w:footerReference r:id="rId6" w:type="even"/>
          <w:pgSz w:w="11906" w:h="16838"/>
          <w:pgMar w:top="1361" w:right="1361" w:bottom="1361" w:left="1361" w:header="851" w:footer="992" w:gutter="0"/>
          <w:cols w:space="720" w:num="1"/>
          <w:titlePg/>
          <w:docGrid w:linePitch="312" w:charSpace="0"/>
        </w:sectPr>
      </w:pPr>
      <w:bookmarkStart w:id="14" w:name="_Hlt75236101"/>
      <w:bookmarkEnd w:id="14"/>
      <w:bookmarkStart w:id="15" w:name="_Hlt74729768"/>
      <w:bookmarkEnd w:id="15"/>
      <w:bookmarkStart w:id="16" w:name="_Hlt68072998"/>
      <w:bookmarkEnd w:id="16"/>
      <w:bookmarkStart w:id="17" w:name="_Hlt68073093"/>
      <w:bookmarkEnd w:id="17"/>
      <w:bookmarkStart w:id="18" w:name="_Hlt75236011"/>
      <w:bookmarkEnd w:id="18"/>
      <w:bookmarkStart w:id="19" w:name="_Hlt68072990"/>
      <w:bookmarkEnd w:id="19"/>
      <w:bookmarkStart w:id="20" w:name="_Hlt74707468"/>
      <w:bookmarkEnd w:id="20"/>
      <w:bookmarkStart w:id="21" w:name="_Hlt75236290"/>
      <w:bookmarkEnd w:id="21"/>
      <w:bookmarkStart w:id="22" w:name="_Hlt68057669"/>
      <w:bookmarkEnd w:id="22"/>
      <w:bookmarkStart w:id="23" w:name="_Hlt68403820"/>
      <w:bookmarkEnd w:id="23"/>
      <w:bookmarkStart w:id="24" w:name="_Hlt74730295"/>
      <w:bookmarkEnd w:id="24"/>
      <w:bookmarkStart w:id="25" w:name="_Hlt74714665"/>
      <w:bookmarkEnd w:id="25"/>
    </w:p>
    <w:bookmarkEnd w:id="11"/>
    <w:bookmarkEnd w:id="12"/>
    <w:p>
      <w:pPr>
        <w:spacing w:line="360" w:lineRule="auto"/>
        <w:jc w:val="center"/>
        <w:outlineLvl w:val="0"/>
        <w:rPr>
          <w:rFonts w:ascii="宋体" w:hAnsi="宋体" w:cs="宋体"/>
          <w:b/>
          <w:color w:val="000000" w:themeColor="text1"/>
          <w:sz w:val="36"/>
          <w:szCs w:val="36"/>
          <w:highlight w:val="none"/>
          <w14:textFill>
            <w14:solidFill>
              <w14:schemeClr w14:val="tx1"/>
            </w14:solidFill>
          </w14:textFill>
        </w:rPr>
      </w:pPr>
      <w:bookmarkStart w:id="26" w:name="第四部分"/>
      <w:r>
        <w:rPr>
          <w:rFonts w:hint="eastAsia" w:ascii="宋体" w:hAnsi="宋体" w:cs="宋体"/>
          <w:b/>
          <w:color w:val="000000" w:themeColor="text1"/>
          <w:sz w:val="36"/>
          <w:szCs w:val="36"/>
          <w:highlight w:val="none"/>
          <w14:textFill>
            <w14:solidFill>
              <w14:schemeClr w14:val="tx1"/>
            </w14:solidFill>
          </w14:textFill>
        </w:rPr>
        <w:t>第三部分   采购需求</w:t>
      </w:r>
    </w:p>
    <w:p>
      <w:pPr>
        <w:tabs>
          <w:tab w:val="left" w:pos="8280"/>
        </w:tabs>
        <w:autoSpaceDE w:val="0"/>
        <w:autoSpaceDN w:val="0"/>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一、项目概况</w:t>
      </w:r>
    </w:p>
    <w:p>
      <w:pPr>
        <w:widowControl/>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1、项目名称：中国伞博物馆多媒体提升改造项目</w:t>
      </w:r>
    </w:p>
    <w:p>
      <w:pPr>
        <w:widowControl/>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2、预算金额：</w:t>
      </w:r>
      <w:r>
        <w:rPr>
          <w:rFonts w:hint="eastAsia" w:ascii="宋体" w:hAnsi="宋体" w:cs="宋体"/>
          <w:color w:val="000000" w:themeColor="text1"/>
          <w:sz w:val="24"/>
          <w:highlight w:val="none"/>
          <w:lang w:eastAsia="zh-CN"/>
          <w14:textFill>
            <w14:solidFill>
              <w14:schemeClr w14:val="tx1"/>
            </w14:solidFill>
          </w14:textFill>
        </w:rPr>
        <w:t>4376000</w:t>
      </w:r>
      <w:r>
        <w:rPr>
          <w:rFonts w:hint="eastAsia" w:ascii="宋体" w:hAnsi="宋体" w:cs="宋体"/>
          <w:color w:val="000000" w:themeColor="text1"/>
          <w:sz w:val="24"/>
          <w:highlight w:val="none"/>
          <w14:textFill>
            <w14:solidFill>
              <w14:schemeClr w14:val="tx1"/>
            </w14:solidFill>
          </w14:textFill>
        </w:rPr>
        <w:t>.00元</w:t>
      </w:r>
    </w:p>
    <w:p>
      <w:pPr>
        <w:widowControl/>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3、项目简要描述：本项目为中国伞博物馆多媒体项目提升改造，位于拱宸桥桥西历史文化街区。本次多媒体改造为中国伞博物馆1层和2层，主要功能包括一层序厅 、古画中的伞区域、杨常利伞铺、伞与文化区域、伞舞剧场、雨巷场景；二层英国伞街。</w:t>
      </w:r>
    </w:p>
    <w:p>
      <w:pPr>
        <w:tabs>
          <w:tab w:val="left" w:pos="8280"/>
        </w:tabs>
        <w:autoSpaceDE w:val="0"/>
        <w:autoSpaceDN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4、采购内容：多媒体设备采购及配套内容的设计及制作、设备安装（含基础设施）等，场景部分改造（含基础设备）。</w:t>
      </w:r>
    </w:p>
    <w:p>
      <w:pPr>
        <w:tabs>
          <w:tab w:val="left" w:pos="8280"/>
        </w:tabs>
        <w:autoSpaceDE w:val="0"/>
        <w:autoSpaceDN w:val="0"/>
        <w:spacing w:line="360" w:lineRule="auto"/>
        <w:ind w:firstLine="482" w:firstLineChars="200"/>
        <w:rPr>
          <w:rFonts w:ascii="宋体" w:hAnsi="宋体" w:cs="宋体"/>
          <w:b/>
          <w:bCs/>
          <w:color w:val="000000" w:themeColor="text1"/>
          <w:sz w:val="24"/>
          <w:highlight w:val="none"/>
          <w14:textFill>
            <w14:solidFill>
              <w14:schemeClr w14:val="tx1"/>
            </w14:solidFill>
          </w14:textFill>
        </w:rPr>
        <w:sectPr>
          <w:headerReference r:id="rId9" w:type="first"/>
          <w:footerReference r:id="rId11" w:type="first"/>
          <w:headerReference r:id="rId8" w:type="default"/>
          <w:footerReference r:id="rId10" w:type="default"/>
          <w:pgSz w:w="11906" w:h="16838"/>
          <w:pgMar w:top="1361" w:right="1361" w:bottom="1361" w:left="1361" w:header="851" w:footer="850" w:gutter="0"/>
          <w:cols w:space="720" w:num="1"/>
          <w:titlePg/>
          <w:docGrid w:type="lines" w:linePitch="361" w:charSpace="0"/>
        </w:sectPr>
      </w:pPr>
      <w:r>
        <w:rPr>
          <w:rFonts w:hint="eastAsia" w:ascii="宋体" w:hAnsi="宋体" w:cs="宋体"/>
          <w:b/>
          <w:bCs/>
          <w:color w:val="000000" w:themeColor="text1"/>
          <w:sz w:val="24"/>
          <w:highlight w:val="none"/>
          <w14:textFill>
            <w14:solidFill>
              <w14:schemeClr w14:val="tx1"/>
            </w14:solidFill>
          </w14:textFill>
        </w:rPr>
        <w:t>二、项目建设清单</w:t>
      </w:r>
    </w:p>
    <w:tbl>
      <w:tblPr>
        <w:tblStyle w:val="63"/>
        <w:tblW w:w="15261" w:type="dxa"/>
        <w:tblInd w:w="93" w:type="dxa"/>
        <w:tblLayout w:type="fixed"/>
        <w:tblCellMar>
          <w:top w:w="0" w:type="dxa"/>
          <w:left w:w="108" w:type="dxa"/>
          <w:bottom w:w="0" w:type="dxa"/>
          <w:right w:w="108" w:type="dxa"/>
        </w:tblCellMar>
      </w:tblPr>
      <w:tblGrid>
        <w:gridCol w:w="479"/>
        <w:gridCol w:w="1698"/>
        <w:gridCol w:w="11092"/>
        <w:gridCol w:w="618"/>
        <w:gridCol w:w="756"/>
        <w:gridCol w:w="618"/>
      </w:tblGrid>
      <w:tr>
        <w:tblPrEx>
          <w:tblCellMar>
            <w:top w:w="0" w:type="dxa"/>
            <w:left w:w="108" w:type="dxa"/>
            <w:bottom w:w="0" w:type="dxa"/>
            <w:right w:w="108" w:type="dxa"/>
          </w:tblCellMar>
        </w:tblPrEx>
        <w:trPr>
          <w:trHeight w:val="840" w:hRule="atLeast"/>
        </w:trPr>
        <w:tc>
          <w:tcPr>
            <w:tcW w:w="479"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序号</w:t>
            </w:r>
          </w:p>
        </w:tc>
        <w:tc>
          <w:tcPr>
            <w:tcW w:w="1698"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项目名称</w:t>
            </w:r>
          </w:p>
        </w:tc>
        <w:tc>
          <w:tcPr>
            <w:tcW w:w="11092"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功能或技术参数要求</w:t>
            </w:r>
          </w:p>
        </w:tc>
        <w:tc>
          <w:tcPr>
            <w:tcW w:w="61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单位</w:t>
            </w:r>
          </w:p>
        </w:tc>
        <w:tc>
          <w:tcPr>
            <w:tcW w:w="75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数量</w:t>
            </w:r>
          </w:p>
        </w:tc>
        <w:tc>
          <w:tcPr>
            <w:tcW w:w="61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备注</w:t>
            </w:r>
          </w:p>
        </w:tc>
      </w:tr>
      <w:tr>
        <w:tblPrEx>
          <w:tblCellMar>
            <w:top w:w="0" w:type="dxa"/>
            <w:left w:w="108" w:type="dxa"/>
            <w:bottom w:w="0" w:type="dxa"/>
            <w:right w:w="108" w:type="dxa"/>
          </w:tblCellMar>
        </w:tblPrEx>
        <w:trPr>
          <w:trHeight w:val="640" w:hRule="atLeast"/>
        </w:trPr>
        <w:tc>
          <w:tcPr>
            <w:tcW w:w="4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themeColor="text1"/>
                <w:sz w:val="18"/>
                <w:szCs w:val="18"/>
                <w:highlight w:val="none"/>
                <w14:textFill>
                  <w14:solidFill>
                    <w14:schemeClr w14:val="tx1"/>
                  </w14:solidFill>
                </w14:textFill>
              </w:rPr>
            </w:pPr>
            <w:r>
              <w:rPr>
                <w:rFonts w:hint="eastAsia" w:ascii="宋体" w:hAnsi="宋体" w:cs="宋体"/>
                <w:b/>
                <w:bCs/>
                <w:color w:val="000000" w:themeColor="text1"/>
                <w:kern w:val="0"/>
                <w:sz w:val="18"/>
                <w:szCs w:val="18"/>
                <w:highlight w:val="none"/>
                <w:lang w:bidi="ar"/>
                <w14:textFill>
                  <w14:solidFill>
                    <w14:schemeClr w14:val="tx1"/>
                  </w14:solidFill>
                </w14:textFill>
              </w:rPr>
              <w:t>一</w:t>
            </w:r>
          </w:p>
        </w:tc>
        <w:tc>
          <w:tcPr>
            <w:tcW w:w="12790" w:type="dxa"/>
            <w:gridSpan w:val="2"/>
            <w:tcBorders>
              <w:top w:val="single" w:color="000000" w:sz="4" w:space="0"/>
              <w:left w:val="single" w:color="000000" w:sz="4" w:space="0"/>
              <w:bottom w:val="single" w:color="000000" w:sz="4" w:space="0"/>
              <w:right w:val="single" w:color="000000" w:sz="4" w:space="0"/>
            </w:tcBorders>
            <w:shd w:val="clear" w:color="auto" w:fill="D0CECE"/>
            <w:vAlign w:val="center"/>
          </w:tcPr>
          <w:p>
            <w:pPr>
              <w:widowControl/>
              <w:jc w:val="left"/>
              <w:textAlignment w:val="center"/>
              <w:rPr>
                <w:rFonts w:ascii="宋体" w:hAnsi="宋体" w:cs="宋体"/>
                <w:b/>
                <w:bCs/>
                <w:color w:val="000000" w:themeColor="text1"/>
                <w:sz w:val="18"/>
                <w:szCs w:val="18"/>
                <w:highlight w:val="none"/>
                <w14:textFill>
                  <w14:solidFill>
                    <w14:schemeClr w14:val="tx1"/>
                  </w14:solidFill>
                </w14:textFill>
              </w:rPr>
            </w:pPr>
            <w:r>
              <w:rPr>
                <w:rFonts w:hint="eastAsia" w:ascii="宋体" w:hAnsi="宋体" w:cs="宋体"/>
                <w:b/>
                <w:bCs/>
                <w:color w:val="000000" w:themeColor="text1"/>
                <w:kern w:val="0"/>
                <w:sz w:val="18"/>
                <w:szCs w:val="18"/>
                <w:highlight w:val="none"/>
                <w:lang w:bidi="ar"/>
                <w14:textFill>
                  <w14:solidFill>
                    <w14:schemeClr w14:val="tx1"/>
                  </w14:solidFill>
                </w14:textFill>
              </w:rPr>
              <w:t>伞博物馆序厅沉浸式投影</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themeColor="text1"/>
                <w:sz w:val="18"/>
                <w:szCs w:val="18"/>
                <w:highlight w:val="none"/>
                <w14:textFill>
                  <w14:solidFill>
                    <w14:schemeClr w14:val="tx1"/>
                  </w14:solidFill>
                </w14:textFill>
              </w:rPr>
            </w:pPr>
          </w:p>
        </w:tc>
        <w:tc>
          <w:tcPr>
            <w:tcW w:w="75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186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投影机</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1、★DLP投影技术，高效蓝色激光荧光体，DMD尺寸≥0.67”</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2、★亮度≥6800lm（中心亮度），≥6200（ISO21118标准），分辨率≥1920X1200，兼容1920X1080，1024X768，对比度≥1,800:1静态;10,0000:1动态;300,0000:1极致黑，显示比例16:10兼容16:9,4:3。</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3、★支持电动镜头位移功能</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4、整机功率：标准模式：350W+/-15%,节能模式230W+/-15%；待机功率：正常模式：≤0.2W，网络待机：≤0.5W；整机重量≥12.7kg。</w:t>
            </w:r>
          </w:p>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5、★支持7*24小时不间断连续工作，光源使用寿命≥20000小时（正常模式）。</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16.00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投影机钢结构</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精密冲压组合结构架，专用结构，钢架</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16.00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高清网传</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HDBASE传输</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16.00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原厂短焦镜头</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0.8-1.0</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16.00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9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环绕式音响系统</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立体声功率: 两声道每声道300W功率，确保THD为5%时1kHz功率。</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·音乐信号输入灵敏度(最大额定功率8欧姆):260 mV</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·音乐频率响应：(20Hz - 20kHz):+3dB ；-1dB</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·话筒信号输入灵敏度：22mV</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·话筒频率响应：(80Hz - 16kHz):+3dB ；-1dB</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 xml:space="preserve">·信噪比(低于额定功率20Hz 至20kHz, A记权): &gt; 80 dB                                </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供电方式    电源：220V/50Hz</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额定功率    100W</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频率响应    30Hz-20KHz</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扬声器单元  6-1/2Polyplas低音+轴转CMMD Lite高音扬声器</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灵敏度      86dBmV</w:t>
            </w:r>
          </w:p>
          <w:p>
            <w:pPr>
              <w:widowControl/>
              <w:jc w:val="left"/>
              <w:textAlignment w:val="top"/>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 xml:space="preserve">阻抗        8Ω  </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6</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图形计算机</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主机:CPU: Intel 酷睿I7；内存:8GB；硬盘:120G固态硬盘；显卡：3G独显；电源:650w；机箱：工控机箱</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445"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7</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智能液晶调光膜</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光学参数：</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·可见光通光率：通电（ON）≥82％，断电（OFF）≤70％</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·平行光透光率：通电（ON）＞79％，断电（OFF）＜1.5％</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·雾度：通电（ON）≤3％，断电（OFF）≥94％</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·可视角度：通电（ON）140°</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电学参数：</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·工作电压：通电（ON）35V-75V</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·饱和电压：通电（ON）＜25V</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·响应时间：断电-通电（OFF-ON）＜45ms，通电-断电（ON-OFF）＜45ms</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·功耗：通电（ON）＜4W/㎡</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物理参数：</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·厚度：0.4mm</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·最大尺寸：1800*3500mm</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·粘结力：通电（ON)＜4W/㎡</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节能参数：</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·隔热温差：8-12摄氏度</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·遮阳系数：0.2-0.8（自由调控）</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环境参数：</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·工作温度：-30℃-70℃</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·储存温度：-30℃-70℃</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·使用寿命：通电（ON）≥80000h</w:t>
            </w:r>
          </w:p>
          <w:p>
            <w:pPr>
              <w:widowControl/>
              <w:jc w:val="left"/>
              <w:textAlignment w:val="top"/>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·开关次数：＞200万次</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平米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128.00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8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8</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沉浸式融合程序</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边缘重叠的图像处理技术，可通过融合图像技术将融合亮带进行几何矫正、色彩处理，最终显示出一个没有物理缝隙，并更加明亮、超大、高分辨率。</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通道</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16.00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9</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墙面沉浸式影片定制</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定制沉浸式影片</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秒</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120.00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88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地面影片制作</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高清内容三维制作，实现定制超大分辨率，高清像素影片,视频资料及数据处理图片处理及优化,制作场景融合,贴图及纹理处理,模型及材质优化,贴图及模型的场景精简,高清拍摄剪辑,效果及优化,后期编辑,数字特效,过场动画制作,动效,片头、片尾制作,配音.沉浸式体验影片。</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秒</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120.00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96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11</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深化设计</w:t>
            </w:r>
          </w:p>
          <w:p>
            <w:pPr>
              <w:pStyle w:val="2"/>
              <w:keepNext w:val="0"/>
              <w:keepLines w:val="0"/>
              <w:pageBreakBefore w:val="0"/>
              <w:widowControl w:val="0"/>
              <w:kinsoku/>
              <w:wordWrap/>
              <w:overflowPunct/>
              <w:topLinePunct w:val="0"/>
              <w:autoSpaceDE w:val="0"/>
              <w:autoSpaceDN w:val="0"/>
              <w:bidi w:val="0"/>
              <w:adjustRightInd/>
              <w:snapToGrid/>
              <w:spacing w:line="240" w:lineRule="auto"/>
              <w:jc w:val="center"/>
              <w:textAlignment w:val="auto"/>
              <w:rPr>
                <w:rFonts w:hint="eastAsia" w:eastAsia="宋体"/>
                <w:color w:val="000000" w:themeColor="text1"/>
                <w:highlight w:val="none"/>
                <w:lang w:eastAsia="zh-CN"/>
                <w14:textFill>
                  <w14:solidFill>
                    <w14:schemeClr w14:val="tx1"/>
                  </w14:solidFill>
                </w14:textFill>
              </w:rPr>
            </w:pP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展项深化设计：序厅长廊设计保留了原有顶部红伞部分，同时两侧玻璃新型的雾化技术，通电时玻璃变透明可保留原有光纤灯的雨滴场景氛围，整体长廊空间仍保留伞道意境美。断电后玻璃雾化，运用多媒体视频内容展现江南水乡烟雨画桥的朦胧意象，当游客走入长廊既能感受原有空间意境美，又能感受到剪影创意手法，动静结合影像创意美。让参观游客享有多样的视觉感官。</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6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二</w:t>
            </w:r>
          </w:p>
        </w:tc>
        <w:tc>
          <w:tcPr>
            <w:tcW w:w="12790" w:type="dxa"/>
            <w:gridSpan w:val="2"/>
            <w:tcBorders>
              <w:top w:val="single" w:color="000000" w:sz="4" w:space="0"/>
              <w:left w:val="single" w:color="000000" w:sz="4" w:space="0"/>
              <w:bottom w:val="single" w:color="000000" w:sz="4" w:space="0"/>
              <w:right w:val="single" w:color="000000" w:sz="4" w:space="0"/>
            </w:tcBorders>
            <w:shd w:val="clear" w:color="auto" w:fill="D0CECE"/>
            <w:vAlign w:val="center"/>
          </w:tcPr>
          <w:p>
            <w:pPr>
              <w:widowControl/>
              <w:jc w:val="left"/>
              <w:textAlignment w:val="center"/>
              <w:rPr>
                <w:rFonts w:ascii="宋体" w:hAnsi="宋体" w:cs="宋体"/>
                <w:b/>
                <w:bCs/>
                <w:color w:val="000000" w:themeColor="text1"/>
                <w:sz w:val="18"/>
                <w:szCs w:val="18"/>
                <w:highlight w:val="none"/>
                <w14:textFill>
                  <w14:solidFill>
                    <w14:schemeClr w14:val="tx1"/>
                  </w14:solidFill>
                </w14:textFill>
              </w:rPr>
            </w:pPr>
            <w:r>
              <w:rPr>
                <w:rFonts w:hint="eastAsia" w:ascii="宋体" w:hAnsi="宋体" w:cs="宋体"/>
                <w:b/>
                <w:bCs/>
                <w:color w:val="000000" w:themeColor="text1"/>
                <w:kern w:val="0"/>
                <w:sz w:val="18"/>
                <w:szCs w:val="18"/>
                <w:highlight w:val="none"/>
                <w:lang w:bidi="ar"/>
                <w14:textFill>
                  <w14:solidFill>
                    <w14:schemeClr w14:val="tx1"/>
                  </w14:solidFill>
                </w14:textFill>
              </w:rPr>
              <w:t>古画中的伞</w:t>
            </w:r>
          </w:p>
        </w:tc>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themeColor="text1"/>
                <w:sz w:val="18"/>
                <w:szCs w:val="18"/>
                <w:highlight w:val="none"/>
                <w14:textFill>
                  <w14:solidFill>
                    <w14:schemeClr w14:val="tx1"/>
                  </w14:solidFill>
                </w14:textFill>
              </w:rPr>
            </w:pP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color w:val="000000" w:themeColor="text1"/>
                <w:sz w:val="18"/>
                <w:szCs w:val="18"/>
                <w:highlight w:val="none"/>
                <w14:textFill>
                  <w14:solidFill>
                    <w14:schemeClr w14:val="tx1"/>
                  </w14:solidFill>
                </w14:textFill>
              </w:rPr>
            </w:pP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12</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投影机</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1、★亮度≥5200lm（中心亮度），≥5000（ISO21118标准），分辨率≥1920X1200，兼容1920X1080，1024X768，对比度≥1,800:1静态;10,0000:1动态;300,0000:1，显示比例16:10兼容16:9,4:3。</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2、★支持电动镜头位移功能</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3、整机功率：标准模式：350W+/-15%,节能模式230W+/-15%；待机功率：正常模式：≤0.2W，网络待机：≤0.5W；</w:t>
            </w:r>
          </w:p>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5、★支持7*24小时不间断连续工作，光源使用寿命≥20000小时（正常模式）。</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13</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原厂短焦镜头</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0.8-1.0</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14</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投影机钢结构</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精密冲压组合结构架，专用结构，钢架</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15</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环绕式音响系统</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立体声功率: 两声道每声道300W功率，确保THD为5%时1kHz功率。</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·音乐信号输入灵敏度(最大额定功率8欧姆):260 mV</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·音乐频率响应：(20Hz - 20kHz):+3dB ；-1dB</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·话筒信号输入灵敏度：22mV</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·话筒频率响应：(80Hz - 16kHz):+3dB ；-1dB</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 xml:space="preserve">·信噪比(低于额定功率20Hz 至20kHz, A记权): &gt; 80 dB                                </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供电方式    电源：220V/50Hz</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额定功率    100W</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频率响应    30Hz-20KHz</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扬声器单元  6-1/2Polyplas低音+轴转CMMD Lite高音扬声器</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灵敏度      86dBmV</w:t>
            </w:r>
          </w:p>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阻抗        8Ω</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16</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触摸一体机</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43寸触摸一体机 I5/8G/120g</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17</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图形计算机</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主机:CPU: Intel 酷睿I7；内存:8GB；硬盘:120G固态硬盘；显卡：3G独显；电源:650w；机箱：工控机箱</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45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18</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沉浸式融合程序</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边缘重叠的图像处理技术，可通过融合图像技术将融合亮带进行几何矫正、色彩处理，最终显示出一个没有物理缝隙，并更加明亮、超大、高分辨率。</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通道</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19</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互动感应程序</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互动程序</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108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20</w:t>
            </w:r>
          </w:p>
        </w:tc>
        <w:tc>
          <w:tcPr>
            <w:tcW w:w="1698" w:type="dxa"/>
            <w:tcBorders>
              <w:top w:val="single" w:color="000000" w:sz="4" w:space="0"/>
              <w:left w:val="single" w:color="000000" w:sz="4" w:space="0"/>
              <w:bottom w:val="nil"/>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清明上河图局部互动定制</w:t>
            </w:r>
          </w:p>
        </w:tc>
        <w:tc>
          <w:tcPr>
            <w:tcW w:w="11092" w:type="dxa"/>
            <w:tcBorders>
              <w:top w:val="single" w:color="000000" w:sz="4" w:space="0"/>
              <w:left w:val="single" w:color="000000" w:sz="4" w:space="0"/>
              <w:bottom w:val="nil"/>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高清内容三维制作，实现定制超大分辨率，高清像素影片,视频资料及数据处理图片处理及优化,制作场景融合,贴图及纹理处理,模型及材质优化,贴图及模型的场景精简,高清拍摄剪辑,效果及优化,后期编辑,数字特效,过场动画制作,动效,片头、片尾制作,配音.</w:t>
            </w:r>
          </w:p>
        </w:tc>
        <w:tc>
          <w:tcPr>
            <w:tcW w:w="618" w:type="dxa"/>
            <w:tcBorders>
              <w:top w:val="single" w:color="000000" w:sz="4" w:space="0"/>
              <w:left w:val="single" w:color="000000" w:sz="4" w:space="0"/>
              <w:bottom w:val="nil"/>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114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21</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ascii="宋体" w:hAnsi="宋体" w:eastAsia="宋体" w:cs="宋体"/>
                <w:color w:val="000000" w:themeColor="text1"/>
                <w:sz w:val="18"/>
                <w:szCs w:val="18"/>
                <w:highlight w:val="none"/>
                <w:lang w:eastAsia="zh-CN"/>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深化设计</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展项深化设计：</w:t>
            </w:r>
            <w:r>
              <w:rPr>
                <w:rStyle w:val="963"/>
                <w:rFonts w:hint="default"/>
                <w:color w:val="000000" w:themeColor="text1"/>
                <w:highlight w:val="none"/>
                <w:lang w:bidi="ar"/>
                <w14:textFill>
                  <w14:solidFill>
                    <w14:schemeClr w14:val="tx1"/>
                  </w14:solidFill>
                </w14:textFill>
              </w:rPr>
              <w:t>在此区域内去掉中心原有的互动屏，使空间视觉上变得更加开阔。将原有中心古画更新为多媒体展示形式，用多媒体视频影像更直观的展现古画中油纸伞的数量以及在古代生活的使用场景，以此来说明油纸伞在古人的生活中已经十分普遍。两侧更换铝塑灯箱和左右各新增一块触摸查询屏介绍其它年代古画中油纸伞的出现及应用场景。</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6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b/>
                <w:bCs/>
                <w:color w:val="000000" w:themeColor="text1"/>
                <w:sz w:val="18"/>
                <w:szCs w:val="18"/>
                <w:highlight w:val="none"/>
                <w14:textFill>
                  <w14:solidFill>
                    <w14:schemeClr w14:val="tx1"/>
                  </w14:solidFill>
                </w14:textFill>
              </w:rPr>
            </w:pPr>
            <w:r>
              <w:rPr>
                <w:rFonts w:hint="eastAsia" w:ascii="宋体" w:hAnsi="宋体" w:cs="宋体"/>
                <w:b/>
                <w:bCs/>
                <w:color w:val="000000" w:themeColor="text1"/>
                <w:kern w:val="0"/>
                <w:sz w:val="18"/>
                <w:szCs w:val="18"/>
                <w:highlight w:val="none"/>
                <w:lang w:bidi="ar"/>
                <w14:textFill>
                  <w14:solidFill>
                    <w14:schemeClr w14:val="tx1"/>
                  </w14:solidFill>
                </w14:textFill>
              </w:rPr>
              <w:t>三</w:t>
            </w:r>
          </w:p>
        </w:tc>
        <w:tc>
          <w:tcPr>
            <w:tcW w:w="12790" w:type="dxa"/>
            <w:gridSpan w:val="2"/>
            <w:tcBorders>
              <w:top w:val="single" w:color="000000" w:sz="4" w:space="0"/>
              <w:left w:val="single" w:color="000000" w:sz="4" w:space="0"/>
              <w:bottom w:val="single" w:color="000000" w:sz="4" w:space="0"/>
              <w:right w:val="single" w:color="000000" w:sz="4" w:space="0"/>
            </w:tcBorders>
            <w:shd w:val="clear" w:color="auto" w:fill="D0CECE"/>
            <w:vAlign w:val="center"/>
          </w:tcPr>
          <w:p>
            <w:pPr>
              <w:widowControl/>
              <w:jc w:val="left"/>
              <w:textAlignment w:val="center"/>
              <w:rPr>
                <w:rFonts w:ascii="宋体" w:hAnsi="宋体" w:cs="宋体"/>
                <w:b/>
                <w:bCs/>
                <w:color w:val="000000" w:themeColor="text1"/>
                <w:sz w:val="18"/>
                <w:szCs w:val="18"/>
                <w:highlight w:val="none"/>
                <w14:textFill>
                  <w14:solidFill>
                    <w14:schemeClr w14:val="tx1"/>
                  </w14:solidFill>
                </w14:textFill>
              </w:rPr>
            </w:pPr>
            <w:r>
              <w:rPr>
                <w:rFonts w:hint="eastAsia" w:ascii="宋体" w:hAnsi="宋体" w:cs="宋体"/>
                <w:b/>
                <w:bCs/>
                <w:color w:val="000000" w:themeColor="text1"/>
                <w:kern w:val="0"/>
                <w:sz w:val="18"/>
                <w:szCs w:val="18"/>
                <w:highlight w:val="none"/>
                <w:lang w:bidi="ar"/>
                <w14:textFill>
                  <w14:solidFill>
                    <w14:schemeClr w14:val="tx1"/>
                  </w14:solidFill>
                </w14:textFill>
              </w:rPr>
              <w:t>杨常利雨伞</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color w:val="000000" w:themeColor="text1"/>
                <w:sz w:val="18"/>
                <w:szCs w:val="18"/>
                <w:highlight w:val="none"/>
                <w14:textFill>
                  <w14:solidFill>
                    <w14:schemeClr w14:val="tx1"/>
                  </w14:solidFill>
                </w14:textFill>
              </w:rPr>
            </w:pP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color w:val="000000" w:themeColor="text1"/>
                <w:sz w:val="18"/>
                <w:szCs w:val="18"/>
                <w:highlight w:val="none"/>
                <w14:textFill>
                  <w14:solidFill>
                    <w14:schemeClr w14:val="tx1"/>
                  </w14:solidFill>
                </w14:textFill>
              </w:rPr>
            </w:pP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176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22</w:t>
            </w:r>
          </w:p>
        </w:tc>
        <w:tc>
          <w:tcPr>
            <w:tcW w:w="1698" w:type="dxa"/>
            <w:tcBorders>
              <w:top w:val="single" w:color="000000" w:sz="4" w:space="0"/>
              <w:left w:val="single" w:color="000000" w:sz="4" w:space="0"/>
              <w:bottom w:val="nil"/>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触摸互动屏</w:t>
            </w:r>
          </w:p>
        </w:tc>
        <w:tc>
          <w:tcPr>
            <w:tcW w:w="11092" w:type="dxa"/>
            <w:tcBorders>
              <w:top w:val="single" w:color="000000" w:sz="4" w:space="0"/>
              <w:left w:val="single" w:color="000000" w:sz="4" w:space="0"/>
              <w:bottom w:val="nil"/>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触控方式：红外多点                                                                                                                                                 安装方式：壁挂式                                                                                       分辨率：1920*1080                                                                                        显示尺寸：86英寸                                                                                       亮度：400cd/m2                                                                                         响应时间：4ms                                                                                          声音：内置2个8∩10W中音喇叭</w:t>
            </w:r>
          </w:p>
        </w:tc>
        <w:tc>
          <w:tcPr>
            <w:tcW w:w="618" w:type="dxa"/>
            <w:tcBorders>
              <w:top w:val="single" w:color="000000" w:sz="4" w:space="0"/>
              <w:left w:val="single" w:color="000000" w:sz="4" w:space="0"/>
              <w:bottom w:val="nil"/>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23</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LED显示屏</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P1.8LED显示屏</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24</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图形计算机</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主机:CPU: Intel 酷睿I7；内存:8GB；硬盘:120G固态硬盘；显卡：3G独显；电源:650w；机箱：工控机箱</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25</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视频拍摄制作</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高清拍摄剪辑,效果及优化,后期编辑，特效制作</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26</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ui界面设计</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UI界面设计 含脚本创作深化</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66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27</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内容制作</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根据展陈相关（图文、视频）资料进行收集整理细化，根据古街故事构相关内容进行，排版，制作古建筑结构互动答题，制作触摸屏内容</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98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28</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hint="eastAsia" w:ascii="宋体" w:hAnsi="宋体" w:eastAsia="宋体" w:cs="宋体"/>
                <w:color w:val="000000" w:themeColor="text1"/>
                <w:sz w:val="18"/>
                <w:szCs w:val="18"/>
                <w:highlight w:val="none"/>
                <w:lang w:eastAsia="zh-CN"/>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深化设计</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展项深化设计：</w:t>
            </w:r>
            <w:r>
              <w:rPr>
                <w:rStyle w:val="963"/>
                <w:rFonts w:hint="default"/>
                <w:color w:val="000000" w:themeColor="text1"/>
                <w:highlight w:val="none"/>
                <w:lang w:bidi="ar"/>
                <w14:textFill>
                  <w14:solidFill>
                    <w14:schemeClr w14:val="tx1"/>
                  </w14:solidFill>
                </w14:textFill>
              </w:rPr>
              <w:t>在保留原有店铺造型基础上，在柜台处增设多媒体触摸屏，led屏幕呈现虚拟数字人影像，游客在使用触摸屏时可与虚拟数字人进行微信问答形式的“互动交流”，于寓教于乐中向大众传播有关“杨常利”伞的制作、售卖、店铺的情况等特色内容，增强了游客与伞铺之间的互动性。</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2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四</w:t>
            </w:r>
          </w:p>
        </w:tc>
        <w:tc>
          <w:tcPr>
            <w:tcW w:w="12790" w:type="dxa"/>
            <w:gridSpan w:val="2"/>
            <w:tcBorders>
              <w:top w:val="single" w:color="000000" w:sz="4" w:space="0"/>
              <w:left w:val="single" w:color="000000" w:sz="4" w:space="0"/>
              <w:bottom w:val="single" w:color="000000" w:sz="4" w:space="0"/>
              <w:right w:val="single" w:color="000000" w:sz="4" w:space="0"/>
            </w:tcBorders>
            <w:shd w:val="clear" w:color="auto" w:fill="D0CECE"/>
            <w:vAlign w:val="center"/>
          </w:tcPr>
          <w:p>
            <w:pPr>
              <w:widowControl/>
              <w:jc w:val="left"/>
              <w:textAlignment w:val="center"/>
              <w:rPr>
                <w:rFonts w:ascii="宋体" w:hAnsi="宋体" w:cs="宋体"/>
                <w:b/>
                <w:bCs/>
                <w:color w:val="000000" w:themeColor="text1"/>
                <w:sz w:val="18"/>
                <w:szCs w:val="18"/>
                <w:highlight w:val="none"/>
                <w14:textFill>
                  <w14:solidFill>
                    <w14:schemeClr w14:val="tx1"/>
                  </w14:solidFill>
                </w14:textFill>
              </w:rPr>
            </w:pPr>
            <w:r>
              <w:rPr>
                <w:rFonts w:hint="eastAsia" w:ascii="宋体" w:hAnsi="宋体" w:cs="宋体"/>
                <w:b/>
                <w:bCs/>
                <w:color w:val="000000" w:themeColor="text1"/>
                <w:kern w:val="0"/>
                <w:sz w:val="18"/>
                <w:szCs w:val="18"/>
                <w:highlight w:val="none"/>
                <w:lang w:bidi="ar"/>
                <w14:textFill>
                  <w14:solidFill>
                    <w14:schemeClr w14:val="tx1"/>
                  </w14:solidFill>
                </w14:textFill>
              </w:rPr>
              <w:t>伞与文化：二十八星宿</w:t>
            </w:r>
          </w:p>
        </w:tc>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themeColor="text1"/>
                <w:sz w:val="18"/>
                <w:szCs w:val="18"/>
                <w:highlight w:val="none"/>
                <w14:textFill>
                  <w14:solidFill>
                    <w14:schemeClr w14:val="tx1"/>
                  </w14:solidFill>
                </w14:textFill>
              </w:rPr>
            </w:pP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color w:val="000000" w:themeColor="text1"/>
                <w:sz w:val="18"/>
                <w:szCs w:val="18"/>
                <w:highlight w:val="none"/>
                <w14:textFill>
                  <w14:solidFill>
                    <w14:schemeClr w14:val="tx1"/>
                  </w14:solidFill>
                </w14:textFill>
              </w:rPr>
            </w:pP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174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29</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投影机</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1、★DLP投影技术，高效蓝色激光荧光体，DMD尺寸≥0.67”</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2、★亮度≥6800lm（中心亮度），≥6200（ISO21118标准），分辨率≥1920X1200，兼容1920X1080，1024X768，对比度≥1,800:1静态;10,0000:1动态;300,0000:1极致黑，显示比例16:10兼容16:9,4:3</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3、★支持电动镜头位移功能</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4、整机功率：标准模式：350W+/-15%,节能模式230W+/-15%；待机功率：正常模式：≤0.2W，网络待机：≤0.5W；整机重量≥12.7kg</w:t>
            </w:r>
          </w:p>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5、★支持7*24小时不间断连续工作，光源使用寿命≥20000小时（正常模式）。</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30</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原厂短焦镜头</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0.8-1.0</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31</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投影机钢结构</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精密冲压组合结构架，专用结构，钢架</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32</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控制计算机</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Intel 酷睿I7；内存:16GB；硬盘:120G固态硬盘；显卡:高清多图像输出接口显卡2G，键鼠1套</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33</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音响系统</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专用音箱系统设备，音箱50W-2台，功放150W-1台</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34</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人体互动系统</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人体互动装置+配套系统</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35</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星空灯光模拟系统</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ascii="宋体" w:hAnsi="宋体" w:cs="宋体"/>
                <w:color w:val="000000" w:themeColor="text1"/>
                <w:sz w:val="18"/>
                <w:szCs w:val="18"/>
                <w:highlight w:val="none"/>
                <w14:textFill>
                  <w14:solidFill>
                    <w14:schemeClr w14:val="tx1"/>
                  </w14:solidFill>
                </w14:textFill>
              </w:rPr>
            </w:pP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36</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线材及附件</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网线、音频线、音响线、高清线、插线板、电源线、控制信号线及其辅材</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37</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资料整理及文案策划</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前期图片文字资料收集整理，视频资料及数据整理收集根据展陈相关（图文、视频）资料进行前期方案策划，</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38</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互动体感程序</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感应墙面根据人走的位置，产生各种互动的特效。</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39</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融合系统</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边缘重叠的图像处理技术，可通过融合图像技术将融合亮带进行几何矫正、色彩处理，最终显示出一个没有物理缝隙，并更加明亮、超大、高分辨率</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通道</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40</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脚本制作</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剧本创作、脚本导演编辑等</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66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41</w:t>
            </w:r>
          </w:p>
        </w:tc>
        <w:tc>
          <w:tcPr>
            <w:tcW w:w="1698" w:type="dxa"/>
            <w:tcBorders>
              <w:top w:val="single" w:color="000000" w:sz="4" w:space="0"/>
              <w:left w:val="single" w:color="000000" w:sz="4" w:space="0"/>
              <w:bottom w:val="nil"/>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3D制作及特效制作</w:t>
            </w:r>
          </w:p>
        </w:tc>
        <w:tc>
          <w:tcPr>
            <w:tcW w:w="11092" w:type="dxa"/>
            <w:tcBorders>
              <w:top w:val="single" w:color="000000" w:sz="4" w:space="0"/>
              <w:left w:val="single" w:color="000000" w:sz="4" w:space="0"/>
              <w:bottom w:val="nil"/>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图片处理及优化 场景建模  三维角色模型制作 场景融合 贴图及纹理处理 模型及材质优化 贴图及模型的场景精简 效果及优化  数字特效</w:t>
            </w:r>
          </w:p>
        </w:tc>
        <w:tc>
          <w:tcPr>
            <w:tcW w:w="618" w:type="dxa"/>
            <w:tcBorders>
              <w:top w:val="single" w:color="000000" w:sz="4" w:space="0"/>
              <w:left w:val="single" w:color="000000" w:sz="4" w:space="0"/>
              <w:bottom w:val="nil"/>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秒</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60.00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176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42</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深化设计</w:t>
            </w:r>
          </w:p>
          <w:p>
            <w:pPr>
              <w:pStyle w:val="2"/>
              <w:keepNext w:val="0"/>
              <w:keepLines w:val="0"/>
              <w:pageBreakBefore w:val="0"/>
              <w:widowControl w:val="0"/>
              <w:kinsoku/>
              <w:wordWrap/>
              <w:overflowPunct/>
              <w:topLinePunct w:val="0"/>
              <w:autoSpaceDE w:val="0"/>
              <w:autoSpaceDN w:val="0"/>
              <w:bidi w:val="0"/>
              <w:adjustRightInd/>
              <w:snapToGrid/>
              <w:spacing w:line="240" w:lineRule="auto"/>
              <w:jc w:val="center"/>
              <w:textAlignment w:val="auto"/>
              <w:rPr>
                <w:rFonts w:hint="eastAsia" w:eastAsia="宋体"/>
                <w:color w:val="000000" w:themeColor="text1"/>
                <w:highlight w:val="none"/>
                <w:lang w:eastAsia="zh-CN"/>
                <w14:textFill>
                  <w14:solidFill>
                    <w14:schemeClr w14:val="tx1"/>
                  </w14:solidFill>
                </w14:textFill>
              </w:rPr>
            </w:pP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展项深化设计：</w:t>
            </w:r>
            <w:r>
              <w:rPr>
                <w:rStyle w:val="963"/>
                <w:rFonts w:hint="default"/>
                <w:color w:val="000000" w:themeColor="text1"/>
                <w:highlight w:val="none"/>
                <w:lang w:bidi="ar"/>
                <w14:textFill>
                  <w14:solidFill>
                    <w14:schemeClr w14:val="tx1"/>
                  </w14:solidFill>
                </w14:textFill>
              </w:rPr>
              <w:t>保持原有的立面展示墙，针对28星宿与伞的主题内容，通过对顶面和地面的改造，让观众游览至此产生一种新奇的互动体验感。将顶部造型设计为一把抽象的撑开的油纸伞面，28根伞骨正好对应28星宿，以镂空板与光纤灯两种材料来实现这一互动效果。地面上则投影东西南北方向的“四兽”，采用人体感应系统，当游客踏到地面的四象区域，伞顶部相应的星宿会亮起。在顶部与地面的中间的过渡空间设计了一束光，象征伞柄，也使这把意象的大伞变得更加立体生动，观众仰望星空犹如古人“夜观天象”，仿佛时空穿越一般，带领人们感受伞与天地、与星空、与宇宙的文化关系。</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66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五</w:t>
            </w:r>
          </w:p>
        </w:tc>
        <w:tc>
          <w:tcPr>
            <w:tcW w:w="12790" w:type="dxa"/>
            <w:gridSpan w:val="2"/>
            <w:tcBorders>
              <w:top w:val="single" w:color="000000" w:sz="4" w:space="0"/>
              <w:left w:val="single" w:color="000000" w:sz="4" w:space="0"/>
              <w:bottom w:val="single" w:color="000000" w:sz="4" w:space="0"/>
              <w:right w:val="single" w:color="000000" w:sz="4" w:space="0"/>
            </w:tcBorders>
            <w:shd w:val="clear" w:color="auto" w:fill="D0CECE"/>
            <w:vAlign w:val="center"/>
          </w:tcPr>
          <w:p>
            <w:pPr>
              <w:widowControl/>
              <w:jc w:val="left"/>
              <w:textAlignment w:val="center"/>
              <w:rPr>
                <w:rFonts w:ascii="宋体" w:hAnsi="宋体" w:cs="宋体"/>
                <w:b/>
                <w:bCs/>
                <w:color w:val="000000" w:themeColor="text1"/>
                <w:sz w:val="18"/>
                <w:szCs w:val="18"/>
                <w:highlight w:val="none"/>
                <w14:textFill>
                  <w14:solidFill>
                    <w14:schemeClr w14:val="tx1"/>
                  </w14:solidFill>
                </w14:textFill>
              </w:rPr>
            </w:pPr>
            <w:r>
              <w:rPr>
                <w:rFonts w:hint="eastAsia" w:ascii="宋体" w:hAnsi="宋体" w:cs="宋体"/>
                <w:b/>
                <w:bCs/>
                <w:color w:val="000000" w:themeColor="text1"/>
                <w:kern w:val="0"/>
                <w:sz w:val="18"/>
                <w:szCs w:val="18"/>
                <w:highlight w:val="none"/>
                <w:lang w:bidi="ar"/>
                <w14:textFill>
                  <w14:solidFill>
                    <w14:schemeClr w14:val="tx1"/>
                  </w14:solidFill>
                </w14:textFill>
              </w:rPr>
              <w:t>伞剧场</w:t>
            </w:r>
          </w:p>
        </w:tc>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themeColor="text1"/>
                <w:sz w:val="18"/>
                <w:szCs w:val="18"/>
                <w:highlight w:val="none"/>
                <w14:textFill>
                  <w14:solidFill>
                    <w14:schemeClr w14:val="tx1"/>
                  </w14:solidFill>
                </w14:textFill>
              </w:rPr>
            </w:pP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color w:val="000000" w:themeColor="text1"/>
                <w:sz w:val="18"/>
                <w:szCs w:val="18"/>
                <w:highlight w:val="none"/>
                <w14:textFill>
                  <w14:solidFill>
                    <w14:schemeClr w14:val="tx1"/>
                  </w14:solidFill>
                </w14:textFill>
              </w:rPr>
            </w:pP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182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43</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投影机</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1、★DLP投影技术，高效蓝色激光荧光体，DMD尺寸≥0.67”</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2、★亮度≥6800lm（中心亮度），≥6200（ISO21118标准），分辨率≥1920X1200，兼容1920X1080，1024X768，对比度≥1,800:1静态;10,0000:1动态;300,0000:1极致黑，显示比例16:10兼容16:9,4:3</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3、★支持电动镜头位移功能</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4、整机功率：标准模式：350W+/-15%,节能模式230W+/-15%；待机功率：正常模式：≤0.2W，网络待机：≤0.5W；整机重量≥12.7kg</w:t>
            </w:r>
          </w:p>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5、★支持7*24小时不间断连续工作，光源使用寿命≥20000小时（正常模式）。</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6.00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44</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原厂短焦镜头</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0.8-1.0</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6.00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45</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投影机钢结构</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精密冲压组合结构架，专用结构，钢架</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6.00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46</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控制计算机</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Intel 酷睿I7；内存:16GB；硬盘:120G固态硬盘；显卡:高清多图像输出接口显卡2G，键鼠1套</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47</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音响系统</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专用音箱系统设备，音箱50W-2台，功放150W-1台</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48</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线材及附件</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网线、音频线、音响线、高清线、插线板、电源线、控制信号线及其辅材</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6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49</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资料整理及文案策划</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前期图片文字资料收集整理，视频资料及数据整理收集根据展陈相关（图文、视频）资料进行前期方案策划，</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66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50</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融合系统</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边缘重叠的图像处理技术，可通过融合图像技术将融合亮带进行几何矫正、色彩处理，最终显示出一个没有物理缝隙，并更加明亮、超大、高分辨率</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通道</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6.00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6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51</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脚本制作</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剧本创作、脚本导演编辑等</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6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52</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3D制作及特效制作</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 xml:space="preserve">图片处理及优化 场景建模  三维角色模型制作 场景融合 贴图及纹理处理 模型及材质优化 贴图及模型的场景精简 效果及优化  数字特效 </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秒</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120.00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6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53</w:t>
            </w:r>
          </w:p>
        </w:tc>
        <w:tc>
          <w:tcPr>
            <w:tcW w:w="1698" w:type="dxa"/>
            <w:tcBorders>
              <w:top w:val="single" w:color="000000" w:sz="4" w:space="0"/>
              <w:left w:val="single" w:color="000000" w:sz="4" w:space="0"/>
              <w:bottom w:val="nil"/>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后期特效合成包装</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镜头过场动画制作,动效包装,片头、片尾定制制作,背景音乐，配音</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秒</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120.00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11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54</w:t>
            </w:r>
          </w:p>
        </w:tc>
        <w:tc>
          <w:tcPr>
            <w:tcW w:w="1698" w:type="dxa"/>
            <w:tcBorders>
              <w:top w:val="single" w:color="000000" w:sz="4" w:space="0"/>
              <w:left w:val="single" w:color="000000" w:sz="4" w:space="0"/>
              <w:bottom w:val="nil"/>
              <w:right w:val="nil"/>
            </w:tcBorders>
            <w:shd w:val="clear" w:color="auto" w:fill="FFFFFF"/>
            <w:vAlign w:val="center"/>
          </w:tcPr>
          <w:p>
            <w:pPr>
              <w:widowControl/>
              <w:jc w:val="left"/>
              <w:textAlignment w:val="center"/>
              <w:rPr>
                <w:rFonts w:hint="eastAsia" w:ascii="宋体" w:hAnsi="宋体" w:eastAsia="宋体" w:cs="宋体"/>
                <w:color w:val="000000" w:themeColor="text1"/>
                <w:sz w:val="18"/>
                <w:szCs w:val="18"/>
                <w:highlight w:val="none"/>
                <w:lang w:eastAsia="zh-CN"/>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深化设计</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展项深化设计：</w:t>
            </w:r>
            <w:r>
              <w:rPr>
                <w:rStyle w:val="963"/>
                <w:rFonts w:hint="default"/>
                <w:color w:val="000000" w:themeColor="text1"/>
                <w:highlight w:val="none"/>
                <w:lang w:bidi="ar"/>
                <w14:textFill>
                  <w14:solidFill>
                    <w14:schemeClr w14:val="tx1"/>
                  </w14:solidFill>
                </w14:textFill>
              </w:rPr>
              <w:t>墙面空间设计结合多媒体投影与创作画手法让游客感受伞与舞蹈的“舞美”、伞与江南水乡风景的“画美”。多媒体影像部分引用张艺谋导演《印象西湖》伞舞部分，关闭多媒体墙面的创作画还原江南建筑、风貌、特色，展现江南水乡细雨朦胧的秀美景色。</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6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b/>
                <w:bCs/>
                <w:color w:val="000000" w:themeColor="text1"/>
                <w:sz w:val="18"/>
                <w:szCs w:val="18"/>
                <w:highlight w:val="none"/>
                <w14:textFill>
                  <w14:solidFill>
                    <w14:schemeClr w14:val="tx1"/>
                  </w14:solidFill>
                </w14:textFill>
              </w:rPr>
            </w:pPr>
            <w:r>
              <w:rPr>
                <w:rFonts w:hint="eastAsia" w:ascii="宋体" w:hAnsi="宋体" w:cs="宋体"/>
                <w:b/>
                <w:bCs/>
                <w:color w:val="000000" w:themeColor="text1"/>
                <w:kern w:val="0"/>
                <w:sz w:val="18"/>
                <w:szCs w:val="18"/>
                <w:highlight w:val="none"/>
                <w:lang w:bidi="ar"/>
                <w14:textFill>
                  <w14:solidFill>
                    <w14:schemeClr w14:val="tx1"/>
                  </w14:solidFill>
                </w14:textFill>
              </w:rPr>
              <w:t>六</w:t>
            </w:r>
          </w:p>
        </w:tc>
        <w:tc>
          <w:tcPr>
            <w:tcW w:w="12790" w:type="dxa"/>
            <w:gridSpan w:val="2"/>
            <w:tcBorders>
              <w:top w:val="single" w:color="000000" w:sz="4" w:space="0"/>
              <w:left w:val="single" w:color="000000" w:sz="4" w:space="0"/>
              <w:bottom w:val="single" w:color="000000" w:sz="4" w:space="0"/>
              <w:right w:val="single" w:color="000000" w:sz="4" w:space="0"/>
            </w:tcBorders>
            <w:shd w:val="clear" w:color="auto" w:fill="D0CECE"/>
            <w:vAlign w:val="center"/>
          </w:tcPr>
          <w:p>
            <w:pPr>
              <w:widowControl/>
              <w:jc w:val="left"/>
              <w:textAlignment w:val="center"/>
              <w:rPr>
                <w:rFonts w:ascii="宋体" w:hAnsi="宋体" w:cs="宋体"/>
                <w:b/>
                <w:bCs/>
                <w:color w:val="000000" w:themeColor="text1"/>
                <w:sz w:val="18"/>
                <w:szCs w:val="18"/>
                <w:highlight w:val="none"/>
                <w14:textFill>
                  <w14:solidFill>
                    <w14:schemeClr w14:val="tx1"/>
                  </w14:solidFill>
                </w14:textFill>
              </w:rPr>
            </w:pPr>
            <w:r>
              <w:rPr>
                <w:rFonts w:hint="eastAsia" w:ascii="宋体" w:hAnsi="宋体" w:cs="宋体"/>
                <w:b/>
                <w:bCs/>
                <w:color w:val="000000" w:themeColor="text1"/>
                <w:kern w:val="0"/>
                <w:sz w:val="18"/>
                <w:szCs w:val="18"/>
                <w:highlight w:val="none"/>
                <w:lang w:bidi="ar"/>
                <w14:textFill>
                  <w14:solidFill>
                    <w14:schemeClr w14:val="tx1"/>
                  </w14:solidFill>
                </w14:textFill>
              </w:rPr>
              <w:t>雨巷</w:t>
            </w:r>
          </w:p>
        </w:tc>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themeColor="text1"/>
                <w:sz w:val="18"/>
                <w:szCs w:val="18"/>
                <w:highlight w:val="none"/>
                <w14:textFill>
                  <w14:solidFill>
                    <w14:schemeClr w14:val="tx1"/>
                  </w14:solidFill>
                </w14:textFill>
              </w:rPr>
            </w:pP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color w:val="000000" w:themeColor="text1"/>
                <w:sz w:val="18"/>
                <w:szCs w:val="18"/>
                <w:highlight w:val="none"/>
                <w14:textFill>
                  <w14:solidFill>
                    <w14:schemeClr w14:val="tx1"/>
                  </w14:solidFill>
                </w14:textFill>
              </w:rPr>
            </w:pP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675"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55</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P2RGB高效节能LED屏幕</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国产LED发光管2121共阴节能设计，国星铜线，点间距2mm，像素密度200000点/平米，白平衡亮度600nit，水平视角160°，垂直视角160°，2053驱动，颜色处理16bit，PFC高效超静音电源，模组像素点：128点列，64点行  4800*2400</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平方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14.95</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56</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视频拼接器</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四进二出，HDMI*3,DVI*1,VGA*1,AV*2</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9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57</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LED屏支架</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焊接定制LED支架</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平方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14.95</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58</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控制计算机</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Intel 酷睿I7；内存:16GB；硬盘:120G固态硬盘；显卡:高清多图像输出接口显卡2G，键鼠1套</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59</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音响系统</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专用音箱系统设备，音箱50W-2台，功放150W-1台</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60</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线材及附件</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网线、音频线、音响线、高清线、插线板、电源线、控制信号线及其辅材</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61</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资料整理及文案策划</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前期图片文字资料收集整理，视频资料及数据整理收集根据展陈相关（图文、视频）资料进行前期方案策划，</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62</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脚本制作</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剧本创作、脚本导演编辑等</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6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63</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3D制作及特效制作</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 xml:space="preserve">图片处理及优化 场景建模  三维角色模型制作 场景融合 贴图及纹理处理 模型及材质优化 贴图及模型的场景精简 效果及优化  数字特效 </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秒</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60.00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6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64</w:t>
            </w:r>
          </w:p>
        </w:tc>
        <w:tc>
          <w:tcPr>
            <w:tcW w:w="1698" w:type="dxa"/>
            <w:tcBorders>
              <w:top w:val="single" w:color="000000" w:sz="4" w:space="0"/>
              <w:left w:val="single" w:color="000000" w:sz="4" w:space="0"/>
              <w:bottom w:val="nil"/>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后期特效合成包装</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镜头过场动画制作,动效包装,片头、片尾定制制作,背景音乐，配音</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秒</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120.00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48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65</w:t>
            </w:r>
          </w:p>
        </w:tc>
        <w:tc>
          <w:tcPr>
            <w:tcW w:w="1698" w:type="dxa"/>
            <w:tcBorders>
              <w:top w:val="single" w:color="000000" w:sz="4" w:space="0"/>
              <w:left w:val="single" w:color="000000" w:sz="4" w:space="0"/>
              <w:bottom w:val="nil"/>
              <w:right w:val="nil"/>
            </w:tcBorders>
            <w:shd w:val="clear" w:color="auto" w:fill="FFFFFF"/>
            <w:vAlign w:val="center"/>
          </w:tcPr>
          <w:p>
            <w:pPr>
              <w:widowControl/>
              <w:jc w:val="left"/>
              <w:textAlignment w:val="center"/>
              <w:rPr>
                <w:rFonts w:hint="eastAsia" w:ascii="宋体" w:hAnsi="宋体" w:eastAsia="宋体" w:cs="宋体"/>
                <w:color w:val="000000" w:themeColor="text1"/>
                <w:sz w:val="18"/>
                <w:szCs w:val="18"/>
                <w:highlight w:val="none"/>
                <w:lang w:eastAsia="zh-CN"/>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深化设计</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展项深化设计：</w:t>
            </w:r>
            <w:r>
              <w:rPr>
                <w:rStyle w:val="963"/>
                <w:rFonts w:hint="default"/>
                <w:color w:val="000000" w:themeColor="text1"/>
                <w:highlight w:val="none"/>
                <w:lang w:bidi="ar"/>
                <w14:textFill>
                  <w14:solidFill>
                    <w14:schemeClr w14:val="tx1"/>
                  </w14:solidFill>
                </w14:textFill>
              </w:rPr>
              <w:t>将原本已有的“丁香姑娘”模型去掉，将雨巷留给大家，让观众成为“丁香姑娘”。空间设计上利用原有的雨巷场景，结合多媒体影像延申巷子进深，顶部增设天幕以增强场景的代入感，游客可以沉浸感受江南雨巷晴雨天的变换，两侧墙面增设智能感光灯，当天色暗下来灯光就会自然亮起，不会影响观众拍照。巷内为大家预留打卡拍照用的伞，观众可在此打卡拍照，亲身体验江南雨巷的诗意美，感受伞带给这个地域的浓厚的文化气息。</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6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七</w:t>
            </w:r>
          </w:p>
        </w:tc>
        <w:tc>
          <w:tcPr>
            <w:tcW w:w="12790" w:type="dxa"/>
            <w:gridSpan w:val="2"/>
            <w:tcBorders>
              <w:top w:val="single" w:color="000000" w:sz="4" w:space="0"/>
              <w:left w:val="single" w:color="000000" w:sz="4" w:space="0"/>
              <w:bottom w:val="single" w:color="000000" w:sz="4" w:space="0"/>
              <w:right w:val="single" w:color="000000" w:sz="4" w:space="0"/>
            </w:tcBorders>
            <w:shd w:val="clear" w:color="auto" w:fill="D0CECE"/>
            <w:vAlign w:val="center"/>
          </w:tcPr>
          <w:p>
            <w:pPr>
              <w:widowControl/>
              <w:jc w:val="left"/>
              <w:textAlignment w:val="center"/>
              <w:rPr>
                <w:rFonts w:ascii="宋体" w:hAnsi="宋体" w:cs="宋体"/>
                <w:b/>
                <w:bCs/>
                <w:color w:val="000000" w:themeColor="text1"/>
                <w:sz w:val="18"/>
                <w:szCs w:val="18"/>
                <w:highlight w:val="none"/>
                <w14:textFill>
                  <w14:solidFill>
                    <w14:schemeClr w14:val="tx1"/>
                  </w14:solidFill>
                </w14:textFill>
              </w:rPr>
            </w:pPr>
            <w:r>
              <w:rPr>
                <w:rFonts w:hint="eastAsia" w:ascii="宋体" w:hAnsi="宋体" w:cs="宋体"/>
                <w:b/>
                <w:bCs/>
                <w:color w:val="000000" w:themeColor="text1"/>
                <w:kern w:val="0"/>
                <w:sz w:val="18"/>
                <w:szCs w:val="18"/>
                <w:highlight w:val="none"/>
                <w:lang w:bidi="ar"/>
                <w14:textFill>
                  <w14:solidFill>
                    <w14:schemeClr w14:val="tx1"/>
                  </w14:solidFill>
                </w14:textFill>
              </w:rPr>
              <w:t>英国伞街</w:t>
            </w:r>
          </w:p>
        </w:tc>
        <w:tc>
          <w:tcPr>
            <w:tcW w:w="6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color w:val="000000" w:themeColor="text1"/>
                <w:sz w:val="18"/>
                <w:szCs w:val="18"/>
                <w:highlight w:val="none"/>
                <w14:textFill>
                  <w14:solidFill>
                    <w14:schemeClr w14:val="tx1"/>
                  </w14:solidFill>
                </w14:textFill>
              </w:rPr>
            </w:pP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color w:val="000000" w:themeColor="text1"/>
                <w:sz w:val="18"/>
                <w:szCs w:val="18"/>
                <w:highlight w:val="none"/>
                <w14:textFill>
                  <w14:solidFill>
                    <w14:schemeClr w14:val="tx1"/>
                  </w14:solidFill>
                </w14:textFill>
              </w:rPr>
            </w:pP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1575"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66</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投影机</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1、★DLP投影技术，高效蓝色激光荧光体，DMD尺寸≥0.67”</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2、★亮度≥6800lm（中心亮度），≥6200（ISO21118标准），分辨率≥1920X1200，兼容1920X1080，1024X768，对比度≥1,800:1静态;10,0000:1动态;300,0000:1极致黑，显示比例16:10兼容16:9,4:3。</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3、★支持电动镜头位移功能</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4、整机功率：标准模式：350W+/-15%,节能模式230W+/-15%；待机功率：正常模式：≤0.2W，网络待机：≤0.5W；整机重量≥12.7kg。</w:t>
            </w:r>
          </w:p>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5、★支持7*24小时不间断连续工作，光源使用寿命≥20000小时（正常模式）。</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67</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原厂短焦镜头</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0.8-1.0</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68</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投影机钢结构</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精密冲压组合结构架，专用结构，钢架</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69</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音响系统</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RMA150 Control25 专用音箱系统设备，音箱50W-2台，功放150W-1台</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70</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线材及附件</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网线、音频线、音响线、高清线、插线板、电源线、控制信号线及其辅材</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71</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图形计算机</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主机:CPU: Intel 酷睿I7；内存:8GB；硬盘:120G固态硬盘；显卡：3G独显；电源:650w；机箱：工控机箱</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72</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资料整理及文案策划</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前期图片文字资料收集整理，视频资料及数据整理收集根据展陈相关（图文、视频）资料进行前期方案策划，</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73</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 xml:space="preserve">视频剪辑制作 </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高清剪辑,效果及优化,后期编辑</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74</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后期特效合成包装</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镜头过场动画制作,动效包装,片头、片尾定制制作,背景音乐，配音</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秒</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120.00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114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75</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深化设计</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展项深化设计：</w:t>
            </w:r>
            <w:r>
              <w:rPr>
                <w:rStyle w:val="963"/>
                <w:rFonts w:hint="default"/>
                <w:color w:val="000000" w:themeColor="text1"/>
                <w:highlight w:val="none"/>
                <w:lang w:bidi="ar"/>
                <w14:textFill>
                  <w14:solidFill>
                    <w14:schemeClr w14:val="tx1"/>
                  </w14:solidFill>
                </w14:textFill>
              </w:rPr>
              <w:t>利用原有伞街场景复原18世纪英国街区人们撑伞出行的场景，雨伞是人们日常出行必需品，在设计上采用多媒体影像展现英国多雨又多变的天气，传达近代英国的伞文化、雨伞的种类以及英国人对雨伞的喜爱。两侧街铺场景增设咖啡厅半场景，场景复原增设桌椅、邮筒、伞桶等道具，可供游客留念打卡。</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600" w:hRule="atLeast"/>
        </w:trPr>
        <w:tc>
          <w:tcPr>
            <w:tcW w:w="479" w:type="dxa"/>
            <w:tcBorders>
              <w:top w:val="single" w:color="000000" w:sz="4" w:space="0"/>
              <w:left w:val="single" w:color="000000" w:sz="4" w:space="0"/>
              <w:bottom w:val="single" w:color="000000" w:sz="4" w:space="0"/>
              <w:right w:val="nil"/>
            </w:tcBorders>
            <w:shd w:val="clear" w:color="auto" w:fill="FFFFFF"/>
            <w:vAlign w:val="center"/>
          </w:tcPr>
          <w:p>
            <w:pPr>
              <w:widowControl/>
              <w:jc w:val="center"/>
              <w:textAlignment w:val="center"/>
              <w:rPr>
                <w:rFonts w:ascii="宋体" w:hAnsi="宋体" w:cs="宋体"/>
                <w:b/>
                <w:bCs/>
                <w:color w:val="000000" w:themeColor="text1"/>
                <w:sz w:val="18"/>
                <w:szCs w:val="18"/>
                <w:highlight w:val="none"/>
                <w14:textFill>
                  <w14:solidFill>
                    <w14:schemeClr w14:val="tx1"/>
                  </w14:solidFill>
                </w14:textFill>
              </w:rPr>
            </w:pPr>
            <w:r>
              <w:rPr>
                <w:rFonts w:hint="eastAsia" w:ascii="宋体" w:hAnsi="宋体" w:cs="宋体"/>
                <w:b/>
                <w:bCs/>
                <w:color w:val="000000" w:themeColor="text1"/>
                <w:kern w:val="0"/>
                <w:sz w:val="18"/>
                <w:szCs w:val="18"/>
                <w:highlight w:val="none"/>
                <w:lang w:bidi="ar"/>
                <w14:textFill>
                  <w14:solidFill>
                    <w14:schemeClr w14:val="tx1"/>
                  </w14:solidFill>
                </w14:textFill>
              </w:rPr>
              <w:t>八</w:t>
            </w:r>
          </w:p>
        </w:tc>
        <w:tc>
          <w:tcPr>
            <w:tcW w:w="12790" w:type="dxa"/>
            <w:gridSpan w:val="2"/>
            <w:tcBorders>
              <w:top w:val="single" w:color="000000" w:sz="4" w:space="0"/>
              <w:left w:val="single" w:color="000000" w:sz="4" w:space="0"/>
              <w:bottom w:val="single" w:color="000000" w:sz="4" w:space="0"/>
              <w:right w:val="single" w:color="000000" w:sz="4" w:space="0"/>
            </w:tcBorders>
            <w:shd w:val="clear" w:color="auto" w:fill="D0CECE"/>
            <w:vAlign w:val="center"/>
          </w:tcPr>
          <w:p>
            <w:pPr>
              <w:widowControl/>
              <w:jc w:val="left"/>
              <w:textAlignment w:val="center"/>
              <w:rPr>
                <w:rFonts w:ascii="宋体" w:hAnsi="宋体" w:cs="宋体"/>
                <w:b/>
                <w:bCs/>
                <w:color w:val="000000" w:themeColor="text1"/>
                <w:sz w:val="18"/>
                <w:szCs w:val="18"/>
                <w:highlight w:val="none"/>
                <w14:textFill>
                  <w14:solidFill>
                    <w14:schemeClr w14:val="tx1"/>
                  </w14:solidFill>
                </w14:textFill>
              </w:rPr>
            </w:pPr>
            <w:r>
              <w:rPr>
                <w:rFonts w:hint="eastAsia" w:ascii="宋体" w:hAnsi="宋体" w:cs="宋体"/>
                <w:b/>
                <w:bCs/>
                <w:color w:val="000000" w:themeColor="text1"/>
                <w:kern w:val="0"/>
                <w:sz w:val="18"/>
                <w:szCs w:val="18"/>
                <w:highlight w:val="none"/>
                <w:lang w:bidi="ar"/>
                <w14:textFill>
                  <w14:solidFill>
                    <w14:schemeClr w14:val="tx1"/>
                  </w14:solidFill>
                </w14:textFill>
              </w:rPr>
              <w:t>中控系统</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color w:val="000000" w:themeColor="text1"/>
                <w:sz w:val="18"/>
                <w:szCs w:val="18"/>
                <w:highlight w:val="none"/>
                <w14:textFill>
                  <w14:solidFill>
                    <w14:schemeClr w14:val="tx1"/>
                  </w14:solidFill>
                </w14:textFill>
              </w:rPr>
            </w:pP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color w:val="000000" w:themeColor="text1"/>
                <w:sz w:val="18"/>
                <w:szCs w:val="18"/>
                <w:highlight w:val="none"/>
                <w14:textFill>
                  <w14:solidFill>
                    <w14:schemeClr w14:val="tx1"/>
                  </w14:solidFill>
                </w14:textFill>
              </w:rPr>
            </w:pP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76</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交换机</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TP-LINK 24*10/100/1000Base-T以太网端口4*100/1000 Base-X SFP光口。</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77</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配线架，理线架</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山泽，24口配线架。</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78</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AC管理器</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TP-LINK 千兆无线控制器，集中转发模式最大支持50个AP。</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79</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POE交换机</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TP-LINK  16口千兆非网管POE供电以太网交换机。</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86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80</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无线AP</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TP-LINK 企业无线系列室内放装型无线，最大接入用户120个，推荐并发用户数60；简单，外观精美，即插即用。·支持多SSID及隐藏，VLAN隔离无缝漫游自动切换 ·支持负载均衡技术，5G优先接入 发射功率可调 ·搭配网关轻松实现广告认证，计费运营 ·支持手机免AC管理（胖AP）·支持绑定云平台管理（胖AP直接接入，瘦AP绑定AC）。</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81</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平板电脑</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华为，平板电脑。</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82</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机柜</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图腾42U，国际标准机柜,600*800机柜42U加厚19英寸2米机柜。</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83</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中控成套控制柜</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普通控制单路最大瞬间电流：20A通道数：16通道（单路最大可承载2000W功率）通信协议：TCP/IP通信方式：全双工。</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84</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中控显示器</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飞利浦，221V8，21寸显示器。</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85</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中控主机</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中控主机:CPU: Intel 酷睿I5；内存:4GB；硬盘:120G固态硬盘；电源:350w；机箱：定制机箱</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台</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0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86</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平板电脑集成控制</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主要功能：接收IPAD发送的控制指令并将其转换成播放器能识别的命令发给播放器</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授权</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1440" w:hRule="atLeast"/>
        </w:trPr>
        <w:tc>
          <w:tcPr>
            <w:tcW w:w="4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87</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智能展馆控制</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统一的操作界面，界面友好、直观， 通过按键可进行音频信号的分区和信号处理、灯光的开关、投影机和控制电脑等设备的开关机等操作，也可对各展区的多媒体演示资料进行增加、删除等编辑操作。整体功能支持：所有电脑集中状态管理，各路电脑集中分控开关、强制开关，各组投影仪集中分控开关，各路电脑与关联投影仪同步开关控制，所有电脑一键开关、一键状态查询，所有电脑投影设备展厅平面图图形化设备展现、状态显现远程电脑内容管理系统。其中内容管理系统包括：远程电脑桌面管理、远程文件传输（资料与软件更新）、操作系统远程管理。</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授权</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320" w:hRule="atLeast"/>
        </w:trPr>
        <w:tc>
          <w:tcPr>
            <w:tcW w:w="4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themeColor="text1"/>
                <w:sz w:val="18"/>
                <w:szCs w:val="18"/>
                <w:highlight w:val="none"/>
                <w14:textFill>
                  <w14:solidFill>
                    <w14:schemeClr w14:val="tx1"/>
                  </w14:solidFill>
                </w14:textFill>
              </w:rPr>
            </w:pPr>
            <w:r>
              <w:rPr>
                <w:rFonts w:hint="eastAsia" w:ascii="宋体" w:hAnsi="宋体" w:cs="宋体"/>
                <w:b/>
                <w:bCs/>
                <w:color w:val="000000" w:themeColor="text1"/>
                <w:kern w:val="0"/>
                <w:sz w:val="18"/>
                <w:szCs w:val="18"/>
                <w:highlight w:val="none"/>
                <w:lang w:bidi="ar"/>
                <w14:textFill>
                  <w14:solidFill>
                    <w14:schemeClr w14:val="tx1"/>
                  </w14:solidFill>
                </w14:textFill>
              </w:rPr>
              <w:t>九</w:t>
            </w:r>
          </w:p>
        </w:tc>
        <w:tc>
          <w:tcPr>
            <w:tcW w:w="1279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b/>
                <w:bCs/>
                <w:color w:val="000000" w:themeColor="text1"/>
                <w:sz w:val="18"/>
                <w:szCs w:val="18"/>
                <w:highlight w:val="none"/>
                <w14:textFill>
                  <w14:solidFill>
                    <w14:schemeClr w14:val="tx1"/>
                  </w14:solidFill>
                </w14:textFill>
              </w:rPr>
            </w:pPr>
            <w:r>
              <w:rPr>
                <w:rFonts w:hint="eastAsia" w:ascii="宋体" w:hAnsi="宋体" w:cs="宋体"/>
                <w:b/>
                <w:bCs/>
                <w:color w:val="000000" w:themeColor="text1"/>
                <w:kern w:val="0"/>
                <w:sz w:val="18"/>
                <w:szCs w:val="18"/>
                <w:highlight w:val="none"/>
                <w:lang w:bidi="ar"/>
                <w14:textFill>
                  <w14:solidFill>
                    <w14:schemeClr w14:val="tx1"/>
                  </w14:solidFill>
                </w14:textFill>
              </w:rPr>
              <w:t>基础设施装修</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color w:val="000000" w:themeColor="text1"/>
                <w:sz w:val="18"/>
                <w:szCs w:val="18"/>
                <w:highlight w:val="none"/>
                <w14:textFill>
                  <w14:solidFill>
                    <w14:schemeClr w14:val="tx1"/>
                  </w14:solidFill>
                </w14:textFill>
              </w:rPr>
            </w:pP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宋体" w:hAnsi="宋体" w:cs="宋体"/>
                <w:color w:val="000000" w:themeColor="text1"/>
                <w:sz w:val="18"/>
                <w:szCs w:val="18"/>
                <w:highlight w:val="none"/>
                <w14:textFill>
                  <w14:solidFill>
                    <w14:schemeClr w14:val="tx1"/>
                  </w14:solidFill>
                </w14:textFill>
              </w:rPr>
            </w:pP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56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88</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拆墙，搬运，清理。</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对原装修进行拆卸，搬运，垃圾清理。</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62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90</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钢结构工程</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1.大厅屏幕基础安装结构。</w:t>
            </w:r>
          </w:p>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2.伞博物馆序厅地砖屏，地面钢架烧制以及其他地方钢结构制作。</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84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91</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墙面装饰板基层，</w:t>
            </w:r>
          </w:p>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异性造型</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1.龙骨材料种类、规格、中距:75系列轻钢龙骨。</w:t>
            </w:r>
          </w:p>
          <w:p>
            <w:pPr>
              <w:widowControl/>
              <w:jc w:val="left"/>
              <w:textAlignment w:val="top"/>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2.基层材料种类、规格:9mm阻燃胶合板。</w:t>
            </w:r>
          </w:p>
          <w:p>
            <w:pPr>
              <w:widowControl/>
              <w:jc w:val="left"/>
              <w:textAlignment w:val="top"/>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3.泰山牌装饰石膏板。</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m2</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160.32</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86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92</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金属踢脚线</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1.踢脚线高度:100mm。</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2.基层材料种类、规格:9mm厚阻燃胶合板。</w:t>
            </w:r>
          </w:p>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3.面层材料品种、规格、 颜色:黑钛金拉丝不锈钢踢脚线。</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m</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57.50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88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93</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墙面乳胶漆</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1.基层类型:石膏板面或其他面。</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2.喷刷涂料部位:墙面。</w:t>
            </w:r>
          </w:p>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3.刮腻子要求:腻子三遍。</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m2</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185.60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138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94</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天棚吊顶</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1.涂料品种、喷刷遍数:黑色乳胶漆三遍。</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2.龙骨材料种类、规格、中距:轻钢龙骨 (U50型)。</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3.专业桥架安装制作。</w:t>
            </w:r>
          </w:p>
          <w:p>
            <w:pPr>
              <w:widowControl/>
              <w:jc w:val="left"/>
              <w:textAlignment w:val="center"/>
              <w:rPr>
                <w:rFonts w:ascii="宋体" w:hAnsi="宋体" w:cs="宋体"/>
                <w:color w:val="000000" w:themeColor="text1"/>
                <w:kern w:val="0"/>
                <w:sz w:val="18"/>
                <w:szCs w:val="18"/>
                <w:highlight w:val="none"/>
                <w:lang w:bidi="ar"/>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4.基层类型:石膏板面或其他面。</w:t>
            </w:r>
          </w:p>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5.喷刷白色乳胶漆。</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m2</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132.50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42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95</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综合布线</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穿线、布线、配管、配线、网线、配电箱、开关插座等制作安装。</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r>
        <w:tblPrEx>
          <w:tblCellMar>
            <w:top w:w="0" w:type="dxa"/>
            <w:left w:w="108" w:type="dxa"/>
            <w:bottom w:w="0" w:type="dxa"/>
            <w:right w:w="108" w:type="dxa"/>
          </w:tblCellMar>
        </w:tblPrEx>
        <w:trPr>
          <w:trHeight w:val="420" w:hRule="atLeast"/>
        </w:trPr>
        <w:tc>
          <w:tcPr>
            <w:tcW w:w="479" w:type="dxa"/>
            <w:tcBorders>
              <w:top w:val="single" w:color="000000" w:sz="4" w:space="0"/>
              <w:left w:val="single" w:color="000000" w:sz="4" w:space="0"/>
              <w:bottom w:val="single" w:color="000000" w:sz="4" w:space="0"/>
              <w:right w:val="nil"/>
            </w:tcBorders>
            <w:shd w:val="clear" w:color="auto" w:fill="auto"/>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96</w:t>
            </w:r>
          </w:p>
        </w:tc>
        <w:tc>
          <w:tcPr>
            <w:tcW w:w="169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专业灯具</w:t>
            </w:r>
          </w:p>
        </w:tc>
        <w:tc>
          <w:tcPr>
            <w:tcW w:w="1109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筒灯、安全指示灯、工作灯、其他辅助灯安装调试。</w:t>
            </w:r>
          </w:p>
        </w:tc>
        <w:tc>
          <w:tcPr>
            <w:tcW w:w="61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18"/>
                <w:szCs w:val="18"/>
                <w:highlight w:val="none"/>
                <w:lang w:bidi="ar"/>
                <w14:textFill>
                  <w14:solidFill>
                    <w14:schemeClr w14:val="tx1"/>
                  </w14:solidFill>
                </w14:textFill>
              </w:rPr>
              <w:t>1.00</w:t>
            </w:r>
          </w:p>
        </w:tc>
        <w:tc>
          <w:tcPr>
            <w:tcW w:w="61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themeColor="text1"/>
                <w:sz w:val="18"/>
                <w:szCs w:val="18"/>
                <w:highlight w:val="none"/>
                <w14:textFill>
                  <w14:solidFill>
                    <w14:schemeClr w14:val="tx1"/>
                  </w14:solidFill>
                </w14:textFill>
              </w:rPr>
            </w:pPr>
          </w:p>
        </w:tc>
      </w:tr>
    </w:tbl>
    <w:p>
      <w:pPr>
        <w:spacing w:line="360" w:lineRule="auto"/>
        <w:ind w:firstLine="482" w:firstLineChars="200"/>
        <w:rPr>
          <w:rFonts w:hint="default" w:ascii="宋体" w:hAnsi="宋体" w:eastAsia="宋体" w:cs="宋体"/>
          <w:color w:val="000000" w:themeColor="text1"/>
          <w:szCs w:val="21"/>
          <w:highlight w:val="none"/>
          <w:lang w:val="en-US" w:eastAsia="zh-CN"/>
          <w14:textFill>
            <w14:solidFill>
              <w14:schemeClr w14:val="tx1"/>
            </w14:solidFill>
          </w14:textFill>
        </w:rPr>
        <w:sectPr>
          <w:pgSz w:w="16838" w:h="11906" w:orient="landscape"/>
          <w:pgMar w:top="1417" w:right="850" w:bottom="1417" w:left="850" w:header="851" w:footer="850" w:gutter="0"/>
          <w:cols w:space="720" w:num="1"/>
          <w:titlePg/>
          <w:docGrid w:type="lines" w:linePitch="361" w:charSpace="0"/>
        </w:sectPr>
      </w:pPr>
      <w:r>
        <w:rPr>
          <w:rFonts w:hint="eastAsia" w:ascii="仿宋_GB2312" w:hAnsi="仿宋" w:eastAsia="仿宋_GB2312" w:cs="仿宋"/>
          <w:b/>
          <w:bCs/>
          <w:color w:val="000000" w:themeColor="text1"/>
          <w:sz w:val="24"/>
          <w:highlight w:val="none"/>
          <w14:textFill>
            <w14:solidFill>
              <w14:schemeClr w14:val="tx1"/>
            </w14:solidFill>
          </w14:textFill>
        </w:rPr>
        <w:t>注：本项目为“交钥匙”工程，包含一切费用，中标后费用不作调整。投标产品要求是现阶段主流的技术参数，符合现阶段以及未来5年内主流的技术需求。</w:t>
      </w:r>
      <w:r>
        <w:rPr>
          <w:rFonts w:hint="eastAsia" w:ascii="仿宋_GB2312" w:hAnsi="仿宋" w:eastAsia="仿宋_GB2312" w:cs="仿宋"/>
          <w:b/>
          <w:bCs/>
          <w:color w:val="000000" w:themeColor="text1"/>
          <w:sz w:val="24"/>
          <w:highlight w:val="none"/>
          <w:lang w:eastAsia="zh-CN"/>
          <w14:textFill>
            <w14:solidFill>
              <w14:schemeClr w14:val="tx1"/>
            </w14:solidFill>
          </w14:textFill>
        </w:rPr>
        <w:t>深化设计请根据初步方案的基础上深化（初步方案详见采购文件附件</w:t>
      </w:r>
      <w:r>
        <w:rPr>
          <w:rFonts w:hint="eastAsia" w:ascii="仿宋_GB2312" w:hAnsi="仿宋" w:eastAsia="仿宋_GB2312" w:cs="仿宋"/>
          <w:b/>
          <w:bCs/>
          <w:color w:val="000000" w:themeColor="text1"/>
          <w:sz w:val="24"/>
          <w:highlight w:val="none"/>
          <w:lang w:val="en-US" w:eastAsia="zh-CN"/>
          <w14:textFill>
            <w14:solidFill>
              <w14:schemeClr w14:val="tx1"/>
            </w14:solidFill>
          </w14:textFill>
        </w:rPr>
        <w:t>1</w:t>
      </w:r>
      <w:r>
        <w:rPr>
          <w:rFonts w:hint="eastAsia" w:ascii="仿宋_GB2312" w:hAnsi="仿宋" w:eastAsia="仿宋_GB2312" w:cs="仿宋"/>
          <w:b/>
          <w:bCs/>
          <w:color w:val="000000" w:themeColor="text1"/>
          <w:sz w:val="24"/>
          <w:highlight w:val="none"/>
          <w:lang w:eastAsia="zh-CN"/>
          <w14:textFill>
            <w14:solidFill>
              <w14:schemeClr w14:val="tx1"/>
            </w14:solidFill>
          </w14:textFill>
        </w:rPr>
        <w:t>）。</w:t>
      </w:r>
    </w:p>
    <w:p>
      <w:pPr>
        <w:tabs>
          <w:tab w:val="left" w:pos="8280"/>
        </w:tabs>
        <w:autoSpaceDE w:val="0"/>
        <w:autoSpaceDN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三、详细技术规格要求</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1、本项目产品的详细指标详见各部分的“技术规格要求”，供应商必须对指标要求有明确的响应，针对采购要求如实描述是否偏离。</w:t>
      </w:r>
    </w:p>
    <w:p>
      <w:pPr>
        <w:spacing w:line="360" w:lineRule="auto"/>
        <w:ind w:firstLine="480" w:firstLineChars="200"/>
        <w:rPr>
          <w:rFonts w:hint="eastAsia" w:ascii="宋体" w:hAnsi="宋体" w:cs="宋体"/>
          <w:color w:val="0000FF"/>
          <w:sz w:val="24"/>
          <w:highlight w:val="none"/>
        </w:rPr>
      </w:pPr>
      <w:r>
        <w:rPr>
          <w:rFonts w:hint="eastAsia" w:ascii="宋体" w:hAnsi="宋体" w:cs="宋体"/>
          <w:color w:val="000000" w:themeColor="text1"/>
          <w:sz w:val="24"/>
          <w:highlight w:val="none"/>
          <w14:textFill>
            <w14:solidFill>
              <w14:schemeClr w14:val="tx1"/>
            </w14:solidFill>
          </w14:textFill>
        </w:rPr>
        <w:t>2、以上</w:t>
      </w:r>
      <w:r>
        <w:rPr>
          <w:rFonts w:hint="eastAsia" w:ascii="宋体" w:hAnsi="宋体" w:cs="宋体"/>
          <w:color w:val="0000FF"/>
          <w:sz w:val="24"/>
          <w:highlight w:val="none"/>
        </w:rPr>
        <w:t>除需要深化设计的</w:t>
      </w:r>
      <w:r>
        <w:rPr>
          <w:rFonts w:hint="eastAsia" w:ascii="宋体" w:hAnsi="宋体" w:cs="宋体"/>
          <w:color w:val="000000" w:themeColor="text1"/>
          <w:sz w:val="24"/>
          <w:highlight w:val="none"/>
          <w14:textFill>
            <w14:solidFill>
              <w14:schemeClr w14:val="tx1"/>
            </w14:solidFill>
          </w14:textFill>
        </w:rPr>
        <w:t>清单数量为预估数量，供应商可根据实地勘探情况，合理确定设计方案和相应数量。</w:t>
      </w:r>
      <w:r>
        <w:rPr>
          <w:rFonts w:hint="eastAsia" w:ascii="宋体" w:hAnsi="宋体" w:cs="宋体"/>
          <w:color w:val="0000FF"/>
          <w:sz w:val="24"/>
          <w:highlight w:val="none"/>
        </w:rPr>
        <w:t>其他的清单数量不能改变。</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供应商需对现场进行实地踏勘设计，为完成本项目而配置的各类软硬件设备、附件、配件的品牌、规格、数量、报价均应在附表中予以明确填报，计算务必完整，准确。采购方不因供应商对此项的计算遗漏或其他因素而支付任何额外费用。</w:t>
      </w:r>
    </w:p>
    <w:p>
      <w:pPr>
        <w:pStyle w:val="722"/>
        <w:spacing w:line="360" w:lineRule="auto"/>
        <w:ind w:firstLine="482"/>
        <w:rPr>
          <w:rFonts w:hint="eastAsia" w:cs="宋体"/>
          <w:color w:val="000000" w:themeColor="text1"/>
          <w:kern w:val="2"/>
          <w:szCs w:val="24"/>
          <w:highlight w:val="none"/>
          <w14:textFill>
            <w14:solidFill>
              <w14:schemeClr w14:val="tx1"/>
            </w14:solidFill>
          </w14:textFill>
        </w:rPr>
      </w:pPr>
      <w:r>
        <w:rPr>
          <w:rFonts w:hint="eastAsia" w:cs="宋体"/>
          <w:color w:val="000000" w:themeColor="text1"/>
          <w:kern w:val="2"/>
          <w:szCs w:val="24"/>
          <w:highlight w:val="none"/>
          <w14:textFill>
            <w14:solidFill>
              <w14:schemeClr w14:val="tx1"/>
            </w14:solidFill>
          </w14:textFill>
        </w:rPr>
        <w:t>4、项目中除多媒体设备、影片内容制作，LED屏幕、触摸查屏之外额外需供应商提供的内容：</w:t>
      </w:r>
    </w:p>
    <w:p>
      <w:pPr>
        <w:pStyle w:val="722"/>
        <w:spacing w:line="360" w:lineRule="auto"/>
        <w:ind w:firstLine="482"/>
        <w:rPr>
          <w:rFonts w:hint="eastAsia" w:cs="宋体"/>
          <w:color w:val="000000" w:themeColor="text1"/>
          <w:kern w:val="2"/>
          <w:szCs w:val="24"/>
          <w:highlight w:val="none"/>
          <w14:textFill>
            <w14:solidFill>
              <w14:schemeClr w14:val="tx1"/>
            </w14:solidFill>
          </w14:textFill>
        </w:rPr>
      </w:pPr>
      <w:r>
        <w:rPr>
          <w:rFonts w:hint="eastAsia" w:cs="宋体"/>
          <w:color w:val="000000" w:themeColor="text1"/>
          <w:kern w:val="2"/>
          <w:szCs w:val="24"/>
          <w:highlight w:val="none"/>
          <w14:textFill>
            <w14:solidFill>
              <w14:schemeClr w14:val="tx1"/>
            </w14:solidFill>
          </w14:textFill>
        </w:rPr>
        <w:t>（1）古画中的伞区域：拆除原有《清明上河图》内投灯箱，新作投影墙。两侧需施工改造，更换铝塑灯箱及新增触摸查询屏；</w:t>
      </w:r>
    </w:p>
    <w:p>
      <w:pPr>
        <w:pStyle w:val="722"/>
        <w:spacing w:line="360" w:lineRule="auto"/>
        <w:ind w:firstLine="482"/>
        <w:rPr>
          <w:rFonts w:hint="eastAsia" w:cs="宋体"/>
          <w:color w:val="000000" w:themeColor="text1"/>
          <w:kern w:val="2"/>
          <w:szCs w:val="24"/>
          <w:highlight w:val="none"/>
          <w14:textFill>
            <w14:solidFill>
              <w14:schemeClr w14:val="tx1"/>
            </w14:solidFill>
          </w14:textFill>
        </w:rPr>
      </w:pPr>
      <w:r>
        <w:rPr>
          <w:rFonts w:hint="eastAsia" w:cs="宋体"/>
          <w:color w:val="000000" w:themeColor="text1"/>
          <w:kern w:val="2"/>
          <w:szCs w:val="24"/>
          <w:highlight w:val="none"/>
          <w14:textFill>
            <w14:solidFill>
              <w14:schemeClr w14:val="tx1"/>
            </w14:solidFill>
          </w14:textFill>
        </w:rPr>
        <w:t>（2）伞与文化区域：顶部基础改造；</w:t>
      </w:r>
    </w:p>
    <w:p>
      <w:pPr>
        <w:pStyle w:val="722"/>
        <w:spacing w:line="360" w:lineRule="auto"/>
        <w:ind w:firstLine="482"/>
        <w:rPr>
          <w:rFonts w:hint="eastAsia" w:cs="宋体"/>
          <w:color w:val="000000" w:themeColor="text1"/>
          <w:kern w:val="2"/>
          <w:szCs w:val="24"/>
          <w:highlight w:val="none"/>
          <w14:textFill>
            <w14:solidFill>
              <w14:schemeClr w14:val="tx1"/>
            </w14:solidFill>
          </w14:textFill>
        </w:rPr>
      </w:pPr>
      <w:r>
        <w:rPr>
          <w:rFonts w:hint="eastAsia" w:cs="宋体"/>
          <w:color w:val="000000" w:themeColor="text1"/>
          <w:kern w:val="2"/>
          <w:szCs w:val="24"/>
          <w:highlight w:val="none"/>
          <w14:textFill>
            <w14:solidFill>
              <w14:schemeClr w14:val="tx1"/>
            </w14:solidFill>
          </w14:textFill>
        </w:rPr>
        <w:t>（3）伞舞剧场：三面墙面创作画及墙体改造；</w:t>
      </w:r>
    </w:p>
    <w:p>
      <w:pPr>
        <w:pStyle w:val="722"/>
        <w:spacing w:line="360" w:lineRule="auto"/>
        <w:ind w:firstLine="482"/>
        <w:rPr>
          <w:rFonts w:hint="eastAsia" w:cs="宋体"/>
          <w:color w:val="000000" w:themeColor="text1"/>
          <w:kern w:val="2"/>
          <w:szCs w:val="24"/>
          <w:highlight w:val="none"/>
          <w14:textFill>
            <w14:solidFill>
              <w14:schemeClr w14:val="tx1"/>
            </w14:solidFill>
          </w14:textFill>
        </w:rPr>
      </w:pPr>
      <w:r>
        <w:rPr>
          <w:rFonts w:hint="eastAsia" w:cs="宋体"/>
          <w:color w:val="000000" w:themeColor="text1"/>
          <w:kern w:val="2"/>
          <w:szCs w:val="24"/>
          <w:highlight w:val="none"/>
          <w14:textFill>
            <w14:solidFill>
              <w14:schemeClr w14:val="tx1"/>
            </w14:solidFill>
          </w14:textFill>
        </w:rPr>
        <w:t>（4）雨巷；场景所需道具；</w:t>
      </w:r>
    </w:p>
    <w:p>
      <w:pPr>
        <w:pStyle w:val="722"/>
        <w:spacing w:line="360" w:lineRule="auto"/>
        <w:ind w:firstLine="482"/>
        <w:rPr>
          <w:rFonts w:cs="宋体"/>
          <w:color w:val="000000" w:themeColor="text1"/>
          <w:kern w:val="2"/>
          <w:szCs w:val="24"/>
          <w:highlight w:val="none"/>
          <w14:textFill>
            <w14:solidFill>
              <w14:schemeClr w14:val="tx1"/>
            </w14:solidFill>
          </w14:textFill>
        </w:rPr>
      </w:pPr>
      <w:r>
        <w:rPr>
          <w:rFonts w:hint="eastAsia" w:cs="宋体"/>
          <w:color w:val="000000" w:themeColor="text1"/>
          <w:kern w:val="2"/>
          <w:szCs w:val="24"/>
          <w:highlight w:val="none"/>
          <w14:textFill>
            <w14:solidFill>
              <w14:schemeClr w14:val="tx1"/>
            </w14:solidFill>
          </w14:textFill>
        </w:rPr>
        <w:t>（5）英国伞街：场景所需到道具，包括但不限于桌椅、伞筒、邮筒、立体板、投影灯等。</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、对设备服务要求的有效响应将被视为供应商对其所投标设备的服务承诺，如果中标，须将服务承诺列入合同的设备服务条款。</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、供应商具有完备的管理组织、项目实施规范和管理制度、质量管理体系，并能有效实施。</w:t>
      </w:r>
    </w:p>
    <w:p>
      <w:pPr>
        <w:pStyle w:val="722"/>
        <w:spacing w:line="360" w:lineRule="auto"/>
        <w:ind w:firstLine="482"/>
        <w:rPr>
          <w:rFonts w:cs="宋体"/>
          <w:color w:val="000000" w:themeColor="text1"/>
          <w:kern w:val="2"/>
          <w:szCs w:val="24"/>
          <w:highlight w:val="none"/>
          <w14:textFill>
            <w14:solidFill>
              <w14:schemeClr w14:val="tx1"/>
            </w14:solidFill>
          </w14:textFill>
        </w:rPr>
      </w:pPr>
      <w:r>
        <w:rPr>
          <w:rFonts w:hint="eastAsia" w:cs="宋体"/>
          <w:color w:val="000000" w:themeColor="text1"/>
          <w:kern w:val="2"/>
          <w:szCs w:val="24"/>
          <w:highlight w:val="none"/>
          <w:lang w:val="en-US" w:eastAsia="zh-CN"/>
          <w14:textFill>
            <w14:solidFill>
              <w14:schemeClr w14:val="tx1"/>
            </w14:solidFill>
          </w14:textFill>
        </w:rPr>
        <w:t>7</w:t>
      </w:r>
      <w:r>
        <w:rPr>
          <w:rFonts w:hint="eastAsia" w:cs="宋体"/>
          <w:color w:val="000000" w:themeColor="text1"/>
          <w:kern w:val="2"/>
          <w:szCs w:val="24"/>
          <w:highlight w:val="none"/>
          <w14:textFill>
            <w14:solidFill>
              <w14:schemeClr w14:val="tx1"/>
            </w14:solidFill>
          </w14:textFill>
        </w:rPr>
        <w:t>、项目组人员要求。项目管理团队成员具有高级工程师证书等；</w:t>
      </w:r>
    </w:p>
    <w:p>
      <w:pPr>
        <w:pStyle w:val="722"/>
        <w:spacing w:line="360" w:lineRule="auto"/>
        <w:ind w:firstLine="482"/>
        <w:rPr>
          <w:rFonts w:cs="宋体"/>
          <w:color w:val="000000" w:themeColor="text1"/>
          <w:kern w:val="2"/>
          <w:szCs w:val="24"/>
          <w:highlight w:val="none"/>
          <w14:textFill>
            <w14:solidFill>
              <w14:schemeClr w14:val="tx1"/>
            </w14:solidFill>
          </w14:textFill>
        </w:rPr>
      </w:pPr>
      <w:r>
        <w:rPr>
          <w:rFonts w:hint="eastAsia" w:cs="宋体"/>
          <w:color w:val="000000" w:themeColor="text1"/>
          <w:kern w:val="2"/>
          <w:szCs w:val="24"/>
          <w:highlight w:val="none"/>
          <w:lang w:val="en-US" w:eastAsia="zh-CN"/>
          <w14:textFill>
            <w14:solidFill>
              <w14:schemeClr w14:val="tx1"/>
            </w14:solidFill>
          </w14:textFill>
        </w:rPr>
        <w:t>8</w:t>
      </w:r>
      <w:r>
        <w:rPr>
          <w:rFonts w:hint="eastAsia" w:cs="宋体"/>
          <w:color w:val="000000" w:themeColor="text1"/>
          <w:kern w:val="2"/>
          <w:szCs w:val="24"/>
          <w:highlight w:val="none"/>
          <w14:textFill>
            <w14:solidFill>
              <w14:schemeClr w14:val="tx1"/>
            </w14:solidFill>
          </w14:textFill>
        </w:rPr>
        <w:t>、中标供应商的投标报价是履行合同的最终价格，投标报价应包括完成合同所涉及的全部费用；原材料价格浮动等原因概不补差。如遇部分清单设备增减，则按投标价格按实结算。本项目涉及设备及配套设施装修的配合费用，供应商须自行充分考虑此项费用，并包含在投标报价中。</w:t>
      </w:r>
    </w:p>
    <w:p>
      <w:pPr>
        <w:pStyle w:val="722"/>
        <w:spacing w:line="360" w:lineRule="auto"/>
        <w:ind w:firstLine="482"/>
        <w:rPr>
          <w:rFonts w:cs="宋体"/>
          <w:b/>
          <w:bCs/>
          <w:color w:val="000000" w:themeColor="text1"/>
          <w:highlight w:val="none"/>
          <w14:textFill>
            <w14:solidFill>
              <w14:schemeClr w14:val="tx1"/>
            </w14:solidFill>
          </w14:textFill>
        </w:rPr>
      </w:pPr>
      <w:r>
        <w:rPr>
          <w:rFonts w:hint="eastAsia" w:cs="宋体"/>
          <w:b/>
          <w:bCs/>
          <w:color w:val="000000" w:themeColor="text1"/>
          <w:highlight w:val="none"/>
          <w14:textFill>
            <w14:solidFill>
              <w14:schemeClr w14:val="tx1"/>
            </w14:solidFill>
          </w14:textFill>
        </w:rPr>
        <w:t>四、质量要求</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1、质量标准：投标产品必须是符合国家技术规范和质量标准的合格产品，满足采购人的使用需求，并具有可靠的售后服务体系，质量可靠、使用安全。</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1.1供应商保证提供的产品是全新的、从未使用过的、采用优质材质制造。</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1.2供应商保证提供的产品符合国家相关标准</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1.3供应商保证提供的产品符合采购人提供的本合同的产品技术规格要求。</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2、供应商保证其提供的产品中所有预装和为本项目安装的软件均为具有合法版权或使用权的正版软件且无质量瑕疵。</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3、在质保期内，如遇产品升级、改版，应免费提供更新、升级服务。</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4、供应商必须对本项目的完整性负责，根据项目的实际需求，如有实现完善需求方案的配置，而在招标文件中未体现的请补充。</w:t>
      </w:r>
    </w:p>
    <w:p>
      <w:pPr>
        <w:spacing w:line="360" w:lineRule="auto"/>
        <w:ind w:firstLine="480"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5、作为完整的配置方案，必须不遗漏、不重复，包括所有必须的软件、配件、接口。</w:t>
      </w:r>
    </w:p>
    <w:p>
      <w:pPr>
        <w:pStyle w:val="722"/>
        <w:spacing w:line="360" w:lineRule="auto"/>
        <w:ind w:firstLine="482"/>
        <w:rPr>
          <w:rFonts w:cs="宋体"/>
          <w:b/>
          <w:bCs/>
          <w:color w:val="000000" w:themeColor="text1"/>
          <w:highlight w:val="none"/>
          <w:u w:val="single"/>
          <w14:textFill>
            <w14:solidFill>
              <w14:schemeClr w14:val="tx1"/>
            </w14:solidFill>
          </w14:textFill>
        </w:rPr>
      </w:pPr>
      <w:r>
        <w:rPr>
          <w:rFonts w:hint="eastAsia" w:cs="宋体"/>
          <w:b/>
          <w:bCs/>
          <w:color w:val="000000" w:themeColor="text1"/>
          <w:highlight w:val="none"/>
          <w14:textFill>
            <w14:solidFill>
              <w14:schemeClr w14:val="tx1"/>
            </w14:solidFill>
          </w14:textFill>
        </w:rPr>
        <w:t>五、实施进度要求</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本项目实施计划分三个阶段进行，请供应商根据阶段划分进一步细化成工作计划，确定项目实施方案（含设备供货安装、内容设计及制作）、项目管理、项目测试、验收的方案，向采购人提供上述文档并需经采购人审查通过；</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2、第一阶段：合同签订后</w:t>
      </w:r>
      <w:r>
        <w:rPr>
          <w:rFonts w:hint="eastAsia" w:ascii="宋体" w:hAnsi="宋体" w:cs="宋体"/>
          <w:color w:val="000000" w:themeColor="text1"/>
          <w:sz w:val="24"/>
          <w:highlight w:val="none"/>
          <w:u w:val="single"/>
          <w:lang w:val="en-US" w:eastAsia="zh-CN"/>
          <w14:textFill>
            <w14:solidFill>
              <w14:schemeClr w14:val="tx1"/>
            </w14:solidFill>
          </w14:textFill>
        </w:rPr>
        <w:t>60</w:t>
      </w:r>
      <w:r>
        <w:rPr>
          <w:rFonts w:hint="eastAsia" w:ascii="宋体" w:hAnsi="宋体" w:cs="宋体"/>
          <w:color w:val="000000" w:themeColor="text1"/>
          <w:sz w:val="24"/>
          <w:highlight w:val="none"/>
          <w14:textFill>
            <w14:solidFill>
              <w14:schemeClr w14:val="tx1"/>
            </w14:solidFill>
          </w14:textFill>
        </w:rPr>
        <w:t>日历天内完成多媒体设备供货并安装完成。</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3、第二阶段：合同签订后</w:t>
      </w:r>
      <w:r>
        <w:rPr>
          <w:rFonts w:hint="eastAsia" w:ascii="宋体" w:hAnsi="宋体" w:cs="宋体"/>
          <w:color w:val="000000" w:themeColor="text1"/>
          <w:sz w:val="24"/>
          <w:highlight w:val="none"/>
          <w:lang w:val="en-US" w:eastAsia="zh-CN"/>
          <w14:textFill>
            <w14:solidFill>
              <w14:schemeClr w14:val="tx1"/>
            </w14:solidFill>
          </w14:textFill>
        </w:rPr>
        <w:t>30</w:t>
      </w:r>
      <w:r>
        <w:rPr>
          <w:rFonts w:hint="eastAsia" w:ascii="宋体" w:hAnsi="宋体" w:cs="宋体"/>
          <w:color w:val="000000" w:themeColor="text1"/>
          <w:sz w:val="24"/>
          <w:highlight w:val="none"/>
          <w14:textFill>
            <w14:solidFill>
              <w14:schemeClr w14:val="tx1"/>
            </w14:solidFill>
          </w14:textFill>
        </w:rPr>
        <w:t>日历天内完成内容系统的部署，配套基础装饰等，经测试运行。并通过采购人组织的项目初步验收确认合格，投入正常运行；</w:t>
      </w:r>
    </w:p>
    <w:p>
      <w:pPr>
        <w:snapToGrid w:val="0"/>
        <w:spacing w:line="360" w:lineRule="auto"/>
        <w:ind w:firstLine="480" w:firstLineChars="200"/>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4、第三阶段：投入正常运行30天内，并完成本项目的培训任务，建立完善的系统运维体系，经正式验收合格，正式交付使用。</w:t>
      </w:r>
    </w:p>
    <w:p>
      <w:pPr>
        <w:pStyle w:val="722"/>
        <w:spacing w:line="360" w:lineRule="auto"/>
        <w:ind w:firstLine="482"/>
        <w:rPr>
          <w:rFonts w:cs="宋体"/>
          <w:b/>
          <w:bCs/>
          <w:color w:val="000000" w:themeColor="text1"/>
          <w:highlight w:val="none"/>
          <w14:textFill>
            <w14:solidFill>
              <w14:schemeClr w14:val="tx1"/>
            </w14:solidFill>
          </w14:textFill>
        </w:rPr>
      </w:pPr>
      <w:r>
        <w:rPr>
          <w:rFonts w:hint="eastAsia" w:cs="宋体"/>
          <w:b/>
          <w:bCs/>
          <w:color w:val="000000" w:themeColor="text1"/>
          <w:highlight w:val="none"/>
          <w14:textFill>
            <w14:solidFill>
              <w14:schemeClr w14:val="tx1"/>
            </w14:solidFill>
          </w14:textFill>
        </w:rPr>
        <w:t>六、培训要求</w:t>
      </w:r>
    </w:p>
    <w:p>
      <w:pPr>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为保证设备正常工作，供应商应负责培训用户维护人员，使维护工作人员能完全熟悉并掌握设备使用、配置、软件维护技能，具备排除一般的设备故障的能力。用户有权复制供应商提供的各种技术资料，作为维护管理用。培训所需一切资料由中标人免费提供。负责免费提供操作人员培训，培训人数不少于两人。</w:t>
      </w:r>
    </w:p>
    <w:p>
      <w:pPr>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2、提供完整详尽的技术培训方案，项目验收前必须完成相关技术培训。</w:t>
      </w:r>
    </w:p>
    <w:p>
      <w:pPr>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3、培训内容：确保用户能够对设备、系统有足够的了解和熟悉，能够独立进行设备、系统的日常运营、管理和维护，培训所需一切资料由供应商免费提供。</w:t>
      </w:r>
    </w:p>
    <w:p>
      <w:pPr>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4、培训地点：在使用单位内。</w:t>
      </w:r>
    </w:p>
    <w:p>
      <w:pPr>
        <w:pStyle w:val="722"/>
        <w:spacing w:line="360" w:lineRule="auto"/>
        <w:ind w:firstLine="482"/>
        <w:rPr>
          <w:rFonts w:cs="宋体"/>
          <w:b/>
          <w:bCs/>
          <w:color w:val="000000" w:themeColor="text1"/>
          <w:highlight w:val="none"/>
          <w14:textFill>
            <w14:solidFill>
              <w14:schemeClr w14:val="tx1"/>
            </w14:solidFill>
          </w14:textFill>
        </w:rPr>
      </w:pPr>
      <w:r>
        <w:rPr>
          <w:rFonts w:hint="eastAsia" w:cs="宋体"/>
          <w:b/>
          <w:bCs/>
          <w:color w:val="000000" w:themeColor="text1"/>
          <w:highlight w:val="none"/>
          <w14:textFill>
            <w14:solidFill>
              <w14:schemeClr w14:val="tx1"/>
            </w14:solidFill>
          </w14:textFill>
        </w:rPr>
        <w:t>七、售后服务要求</w:t>
      </w:r>
    </w:p>
    <w:p>
      <w:pPr>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1、供应商须对合同中规定的主要设备提供至少硬件、软件</w:t>
      </w: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年（如厂家出厂质保期超过</w:t>
      </w:r>
      <w:r>
        <w:rPr>
          <w:rFonts w:hint="eastAsia" w:ascii="宋体" w:hAnsi="宋体" w:cs="宋体"/>
          <w:color w:val="000000" w:themeColor="text1"/>
          <w:sz w:val="24"/>
          <w:highlight w:val="none"/>
          <w:lang w:eastAsia="zh-CN"/>
          <w14:textFill>
            <w14:solidFill>
              <w14:schemeClr w14:val="tx1"/>
            </w14:solidFill>
          </w14:textFill>
        </w:rPr>
        <w:t>二</w:t>
      </w:r>
      <w:r>
        <w:rPr>
          <w:rFonts w:hint="eastAsia" w:ascii="宋体" w:hAnsi="宋体" w:cs="宋体"/>
          <w:color w:val="000000" w:themeColor="text1"/>
          <w:sz w:val="24"/>
          <w:highlight w:val="none"/>
          <w14:textFill>
            <w14:solidFill>
              <w14:schemeClr w14:val="tx1"/>
            </w14:solidFill>
          </w14:textFill>
        </w:rPr>
        <w:t>年的，以厂家出厂质保期为准）。中标后提供厂商授权或者售后服务承诺的免费质保期。</w:t>
      </w:r>
    </w:p>
    <w:p>
      <w:pPr>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2、免费质保期起算节点为项目初步验收确认合格后之日起，质保期内承诺均提供上门维护、系统做好免费升级服务； 供应商针对本项目具有完善的售后服务方案，有较强的本地化服务能力。对于各类故障必须提供7*24小时立即响应服务，在4小时内提出解决方案并做出明确安排，若远程不能解决问题，须在8小时内派人到现场上门服务，排除故障，并分析故障原因，提出书面故障分析报告及防范措施，不间断服务直至故障解除。不能修复的，必须采取无偿提供备品、备件或备机等措施，以保证采购人的正常使用。</w:t>
      </w:r>
    </w:p>
    <w:p>
      <w:pPr>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3、在质保期内，供应商有责任解决所提供的投标设备和软件系统的任何问题，在质保期满后，当需要时，供应商仍须对因投标设备本身的固有缺陷和瑕疵承担相应责任。</w:t>
      </w:r>
    </w:p>
    <w:p>
      <w:pPr>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4、在质保期内的工作应包括对所有设备常规检查和维护，具体的操作程序和内容须在投标时说明。</w:t>
      </w:r>
    </w:p>
    <w:p>
      <w:pPr>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5、质保期内，为更好的做好项目的服务工作，供应商提供专门的技术工程师，负责项目的运行维护，具体人员由采购人在中标人项目实施人员中指定。</w:t>
      </w:r>
    </w:p>
    <w:p>
      <w:pPr>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6、维护期内应用系统的任何更新（包括升级和调整）都需提供最新的需求说明、业务流程图、数据流程图，并在原有基础上及时更新。</w:t>
      </w:r>
    </w:p>
    <w:p>
      <w:pPr>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7、远程服务：使用系统过程中遇到的技术问题，提供远程技术管理、电话、传真、电子邮件方式给予技术支持及咨询与服务。</w:t>
      </w:r>
    </w:p>
    <w:p>
      <w:pPr>
        <w:snapToGrid w:val="0"/>
        <w:spacing w:line="360" w:lineRule="auto"/>
        <w:ind w:firstLine="482" w:firstLineChars="200"/>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八、验收要求</w:t>
      </w:r>
    </w:p>
    <w:p>
      <w:pPr>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1、项目提交的文档成果包括但不限于：系统实施报告、培训资料、产品使用操作手册、项目验收报告等。（包括纸质和电子文件）</w:t>
      </w:r>
    </w:p>
    <w:p>
      <w:pPr>
        <w:snapToGrid w:val="0"/>
        <w:spacing w:line="360" w:lineRule="auto"/>
        <w:ind w:firstLine="482" w:firstLineChars="200"/>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九、备品备件、易损件及特殊专用工具</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1、供应商应按产品出厂规定提供随机易损件、专用工具及附件，并提供清单及其报价。供应商应向采购人提供安装必须的特殊工具，并保障零、配件的5年内货源充足供应。其费用已包括在投标价内。</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2、供应商须在投标文件中提供备品备件清单，并承诺此份清单价格在5年内有效，以不高于清单所列价格或不低于清单所列优惠率供货。</w:t>
      </w:r>
    </w:p>
    <w:p>
      <w:pPr>
        <w:snapToGrid w:val="0"/>
        <w:spacing w:line="360" w:lineRule="auto"/>
        <w:ind w:firstLine="482" w:firstLineChars="200"/>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十二、付款方式和条件</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1、付款方式：</w:t>
      </w:r>
    </w:p>
    <w:p>
      <w:pPr>
        <w:pStyle w:val="131"/>
        <w:keepNext w:val="0"/>
        <w:keepLines w:val="0"/>
        <w:pageBreakBefore w:val="0"/>
        <w:widowControl w:val="0"/>
        <w:tabs>
          <w:tab w:val="left" w:pos="0"/>
        </w:tabs>
        <w:kinsoku/>
        <w:wordWrap/>
        <w:overflowPunct/>
        <w:topLinePunct w:val="0"/>
        <w:autoSpaceDE/>
        <w:autoSpaceDN/>
        <w:bidi w:val="0"/>
        <w:adjustRightInd w:val="0"/>
        <w:snapToGrid/>
        <w:spacing w:before="0" w:line="360" w:lineRule="auto"/>
        <w:ind w:left="0" w:leftChars="0" w:right="0" w:rightChars="0" w:firstLine="480" w:firstLineChars="200"/>
        <w:jc w:val="left"/>
        <w:textAlignment w:val="auto"/>
        <w:outlineLvl w:val="9"/>
        <w:rPr>
          <w:rFonts w:ascii="宋体" w:hAnsi="宋体" w:cs="宋体"/>
          <w:color w:val="000000" w:themeColor="text1"/>
          <w:szCs w:val="24"/>
          <w:highlight w:val="none"/>
          <w:lang w:val="zh-CN"/>
          <w14:textFill>
            <w14:solidFill>
              <w14:schemeClr w14:val="tx1"/>
            </w14:solidFill>
          </w14:textFill>
        </w:rPr>
      </w:pPr>
      <w:r>
        <w:rPr>
          <w:rFonts w:hint="eastAsia" w:ascii="宋体" w:hAnsi="宋体" w:cs="宋体"/>
          <w:color w:val="000000" w:themeColor="text1"/>
          <w:szCs w:val="24"/>
          <w:highlight w:val="none"/>
          <w:lang w:val="zh-CN"/>
          <w14:textFill>
            <w14:solidFill>
              <w14:schemeClr w14:val="tx1"/>
            </w14:solidFill>
          </w14:textFill>
        </w:rPr>
        <w:t>（1）预付款：</w:t>
      </w:r>
      <w:r>
        <w:rPr>
          <w:rFonts w:hint="eastAsia" w:ascii="宋体" w:hAnsi="宋体" w:cs="宋体"/>
          <w:color w:val="000000" w:themeColor="text1"/>
          <w:szCs w:val="24"/>
          <w:highlight w:val="none"/>
          <w14:textFill>
            <w14:solidFill>
              <w14:schemeClr w14:val="tx1"/>
            </w14:solidFill>
          </w14:textFill>
        </w:rPr>
        <w:t>合同签订生效且具备实施条件7个工作日内支付合同金额的40%预付款</w:t>
      </w:r>
      <w:r>
        <w:rPr>
          <w:rFonts w:hint="eastAsia" w:ascii="宋体" w:hAnsi="宋体" w:cs="宋体"/>
          <w:color w:val="000000" w:themeColor="text1"/>
          <w:szCs w:val="24"/>
          <w:highlight w:val="none"/>
          <w:lang w:val="zh-CN"/>
          <w14:textFill>
            <w14:solidFill>
              <w14:schemeClr w14:val="tx1"/>
            </w14:solidFill>
          </w14:textFill>
        </w:rPr>
        <w:t>；</w:t>
      </w:r>
    </w:p>
    <w:p>
      <w:pPr>
        <w:pStyle w:val="131"/>
        <w:keepNext w:val="0"/>
        <w:keepLines w:val="0"/>
        <w:pageBreakBefore w:val="0"/>
        <w:widowControl w:val="0"/>
        <w:tabs>
          <w:tab w:val="left" w:pos="0"/>
        </w:tabs>
        <w:kinsoku/>
        <w:wordWrap/>
        <w:overflowPunct/>
        <w:topLinePunct w:val="0"/>
        <w:autoSpaceDE/>
        <w:autoSpaceDN/>
        <w:bidi w:val="0"/>
        <w:adjustRightInd w:val="0"/>
        <w:snapToGrid/>
        <w:spacing w:before="0" w:line="360" w:lineRule="auto"/>
        <w:ind w:left="0" w:leftChars="0" w:right="0" w:rightChars="0" w:firstLine="480" w:firstLineChars="200"/>
        <w:jc w:val="left"/>
        <w:textAlignment w:val="auto"/>
        <w:outlineLvl w:val="9"/>
        <w:rPr>
          <w:rFonts w:ascii="宋体" w:hAnsi="宋体" w:cs="宋体"/>
          <w:color w:val="000000" w:themeColor="text1"/>
          <w:szCs w:val="24"/>
          <w:highlight w:val="none"/>
          <w:lang w:val="zh-CN"/>
          <w14:textFill>
            <w14:solidFill>
              <w14:schemeClr w14:val="tx1"/>
            </w14:solidFill>
          </w14:textFill>
        </w:rPr>
      </w:pPr>
      <w:r>
        <w:rPr>
          <w:rFonts w:hint="eastAsia" w:ascii="宋体" w:hAnsi="宋体" w:cs="宋体"/>
          <w:color w:val="000000" w:themeColor="text1"/>
          <w:szCs w:val="24"/>
          <w:highlight w:val="none"/>
          <w:lang w:val="zh-CN"/>
          <w14:textFill>
            <w14:solidFill>
              <w14:schemeClr w14:val="tx1"/>
            </w14:solidFill>
          </w14:textFill>
        </w:rPr>
        <w:t>（2）到货款：项目供货设备到场验收，设备及内容安装调试完成后</w:t>
      </w:r>
      <w:r>
        <w:rPr>
          <w:rFonts w:hint="eastAsia" w:ascii="宋体" w:hAnsi="宋体" w:cs="宋体"/>
          <w:color w:val="000000" w:themeColor="text1"/>
          <w:szCs w:val="24"/>
          <w:highlight w:val="none"/>
          <w14:textFill>
            <w14:solidFill>
              <w14:schemeClr w14:val="tx1"/>
            </w14:solidFill>
          </w14:textFill>
        </w:rPr>
        <w:t>15个工作日</w:t>
      </w:r>
      <w:r>
        <w:rPr>
          <w:rFonts w:hint="eastAsia" w:ascii="宋体" w:hAnsi="宋体" w:cs="宋体"/>
          <w:color w:val="000000" w:themeColor="text1"/>
          <w:szCs w:val="24"/>
          <w:highlight w:val="none"/>
          <w:lang w:val="zh-CN"/>
          <w14:textFill>
            <w14:solidFill>
              <w14:schemeClr w14:val="tx1"/>
            </w14:solidFill>
          </w14:textFill>
        </w:rPr>
        <w:t>内，甲方向乙方支付合同总价的</w:t>
      </w:r>
      <w:r>
        <w:rPr>
          <w:rFonts w:hint="eastAsia" w:ascii="宋体" w:hAnsi="宋体" w:cs="宋体"/>
          <w:color w:val="000000" w:themeColor="text1"/>
          <w:szCs w:val="24"/>
          <w:highlight w:val="none"/>
          <w:lang w:val="en-US" w:eastAsia="zh-CN"/>
          <w14:textFill>
            <w14:solidFill>
              <w14:schemeClr w14:val="tx1"/>
            </w14:solidFill>
          </w14:textFill>
        </w:rPr>
        <w:t>3</w:t>
      </w:r>
      <w:r>
        <w:rPr>
          <w:rFonts w:ascii="宋体" w:hAnsi="宋体" w:cs="宋体"/>
          <w:color w:val="000000" w:themeColor="text1"/>
          <w:szCs w:val="24"/>
          <w:highlight w:val="none"/>
          <w:lang w:val="zh-CN"/>
          <w14:textFill>
            <w14:solidFill>
              <w14:schemeClr w14:val="tx1"/>
            </w14:solidFill>
          </w14:textFill>
        </w:rPr>
        <w:t>0</w:t>
      </w:r>
      <w:r>
        <w:rPr>
          <w:rFonts w:hint="eastAsia" w:ascii="宋体" w:hAnsi="宋体" w:cs="宋体"/>
          <w:color w:val="000000" w:themeColor="text1"/>
          <w:szCs w:val="24"/>
          <w:highlight w:val="none"/>
          <w:lang w:val="zh-CN"/>
          <w14:textFill>
            <w14:solidFill>
              <w14:schemeClr w14:val="tx1"/>
            </w14:solidFill>
          </w14:textFill>
        </w:rPr>
        <w:t>%；</w:t>
      </w:r>
    </w:p>
    <w:p>
      <w:pPr>
        <w:pStyle w:val="131"/>
        <w:keepNext w:val="0"/>
        <w:keepLines w:val="0"/>
        <w:pageBreakBefore w:val="0"/>
        <w:widowControl w:val="0"/>
        <w:tabs>
          <w:tab w:val="left" w:pos="0"/>
        </w:tabs>
        <w:kinsoku/>
        <w:wordWrap/>
        <w:overflowPunct/>
        <w:topLinePunct w:val="0"/>
        <w:autoSpaceDE/>
        <w:autoSpaceDN/>
        <w:bidi w:val="0"/>
        <w:adjustRightInd w:val="0"/>
        <w:snapToGrid/>
        <w:spacing w:before="0" w:line="360" w:lineRule="auto"/>
        <w:ind w:left="0" w:leftChars="0" w:right="0" w:rightChars="0" w:firstLine="480" w:firstLineChars="200"/>
        <w:jc w:val="left"/>
        <w:textAlignment w:val="auto"/>
        <w:outlineLvl w:val="9"/>
        <w:rPr>
          <w:rFonts w:hint="eastAsia" w:ascii="宋体" w:hAnsi="宋体" w:cs="宋体"/>
          <w:color w:val="000000" w:themeColor="text1"/>
          <w:szCs w:val="24"/>
          <w:highlight w:val="none"/>
          <w:lang w:val="en-US" w:eastAsia="zh-CN"/>
          <w14:textFill>
            <w14:solidFill>
              <w14:schemeClr w14:val="tx1"/>
            </w14:solidFill>
          </w14:textFill>
        </w:rPr>
      </w:pPr>
      <w:r>
        <w:rPr>
          <w:rFonts w:hint="eastAsia" w:ascii="宋体" w:hAnsi="宋体" w:cs="宋体"/>
          <w:color w:val="000000" w:themeColor="text1"/>
          <w:szCs w:val="24"/>
          <w:highlight w:val="none"/>
          <w:lang w:val="zh-CN"/>
          <w14:textFill>
            <w14:solidFill>
              <w14:schemeClr w14:val="tx1"/>
            </w14:solidFill>
          </w14:textFill>
        </w:rPr>
        <w:t>（3）验收款：</w:t>
      </w:r>
      <w:r>
        <w:rPr>
          <w:rFonts w:hint="eastAsia" w:ascii="宋体" w:hAnsi="宋体" w:cs="宋体"/>
          <w:color w:val="000000" w:themeColor="text1"/>
          <w:szCs w:val="24"/>
          <w:highlight w:val="none"/>
          <w14:textFill>
            <w14:solidFill>
              <w14:schemeClr w14:val="tx1"/>
            </w14:solidFill>
          </w14:textFill>
        </w:rPr>
        <w:t>项目验收合格后（指履约验收完成），甲方在15日内向乙方支付合同总额的</w:t>
      </w:r>
      <w:r>
        <w:rPr>
          <w:rFonts w:hint="eastAsia" w:ascii="宋体" w:hAnsi="宋体" w:cs="宋体"/>
          <w:color w:val="000000" w:themeColor="text1"/>
          <w:szCs w:val="24"/>
          <w:highlight w:val="none"/>
          <w:lang w:val="en-US" w:eastAsia="zh-CN"/>
          <w14:textFill>
            <w14:solidFill>
              <w14:schemeClr w14:val="tx1"/>
            </w14:solidFill>
          </w14:textFill>
        </w:rPr>
        <w:t>15%</w:t>
      </w:r>
      <w:r>
        <w:rPr>
          <w:rFonts w:hint="eastAsia" w:ascii="宋体" w:hAnsi="宋体" w:cs="宋体"/>
          <w:color w:val="000000" w:themeColor="text1"/>
          <w:szCs w:val="24"/>
          <w:highlight w:val="none"/>
          <w:lang w:val="zh-CN"/>
          <w14:textFill>
            <w14:solidFill>
              <w14:schemeClr w14:val="tx1"/>
            </w14:solidFill>
          </w14:textFill>
        </w:rPr>
        <w:t>。</w:t>
      </w:r>
      <w:r>
        <w:rPr>
          <w:rFonts w:hint="eastAsia" w:ascii="宋体" w:hAnsi="宋体" w:cs="宋体"/>
          <w:color w:val="000000" w:themeColor="text1"/>
          <w:szCs w:val="24"/>
          <w:highlight w:val="none"/>
          <w14:textFill>
            <w14:solidFill>
              <w14:schemeClr w14:val="tx1"/>
            </w14:solidFill>
          </w14:textFill>
        </w:rPr>
        <w:t>并10日历天内无息退回履约保证金。</w:t>
      </w:r>
      <w:r>
        <w:rPr>
          <w:rFonts w:hint="eastAsia" w:ascii="宋体" w:hAnsi="宋体" w:cs="宋体"/>
          <w:color w:val="000000" w:themeColor="text1"/>
          <w:szCs w:val="24"/>
          <w:highlight w:val="none"/>
          <w:lang w:val="en-US" w:eastAsia="zh-CN"/>
          <w14:textFill>
            <w14:solidFill>
              <w14:schemeClr w14:val="tx1"/>
            </w14:solidFill>
          </w14:textFill>
        </w:rPr>
        <w:t xml:space="preserve"> </w:t>
      </w:r>
    </w:p>
    <w:p>
      <w:pPr>
        <w:pStyle w:val="131"/>
        <w:keepNext w:val="0"/>
        <w:keepLines w:val="0"/>
        <w:pageBreakBefore w:val="0"/>
        <w:widowControl w:val="0"/>
        <w:tabs>
          <w:tab w:val="left" w:pos="0"/>
        </w:tabs>
        <w:kinsoku/>
        <w:wordWrap/>
        <w:overflowPunct/>
        <w:topLinePunct w:val="0"/>
        <w:autoSpaceDE/>
        <w:autoSpaceDN/>
        <w:bidi w:val="0"/>
        <w:adjustRightInd w:val="0"/>
        <w:snapToGrid/>
        <w:spacing w:before="0" w:line="360" w:lineRule="auto"/>
        <w:ind w:left="0" w:leftChars="0" w:right="0" w:rightChars="0" w:firstLine="480" w:firstLineChars="200"/>
        <w:jc w:val="left"/>
        <w:textAlignment w:val="auto"/>
        <w:outlineLvl w:val="9"/>
        <w:rPr>
          <w:rFonts w:hint="eastAsia"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lang w:val="en-US" w:eastAsia="zh-CN"/>
          <w14:textFill>
            <w14:solidFill>
              <w14:schemeClr w14:val="tx1"/>
            </w14:solidFill>
          </w14:textFill>
        </w:rPr>
        <w:t>（4）</w:t>
      </w:r>
      <w:r>
        <w:rPr>
          <w:rFonts w:hint="eastAsia" w:ascii="宋体" w:hAnsi="宋体" w:cs="宋体"/>
          <w:color w:val="000000" w:themeColor="text1"/>
          <w:szCs w:val="24"/>
          <w:highlight w:val="none"/>
          <w:lang w:val="zh-CN" w:eastAsia="zh-CN"/>
          <w14:textFill>
            <w14:solidFill>
              <w14:schemeClr w14:val="tx1"/>
            </w14:solidFill>
          </w14:textFill>
        </w:rPr>
        <w:t>结算款：</w:t>
      </w:r>
      <w:r>
        <w:rPr>
          <w:rFonts w:hint="eastAsia" w:ascii="宋体" w:hAnsi="宋体" w:cs="宋体"/>
          <w:color w:val="000000" w:themeColor="text1"/>
          <w:szCs w:val="24"/>
          <w:highlight w:val="none"/>
          <w:lang w:val="zh-CN"/>
          <w14:textFill>
            <w14:solidFill>
              <w14:schemeClr w14:val="tx1"/>
            </w14:solidFill>
          </w14:textFill>
        </w:rPr>
        <w:t>项目结算审核完成后，按审核后的结算</w:t>
      </w:r>
      <w:r>
        <w:rPr>
          <w:rFonts w:hint="eastAsia" w:asciiTheme="minorEastAsia" w:hAnsiTheme="minorEastAsia" w:eastAsiaTheme="minorEastAsia" w:cstheme="minorEastAsia"/>
          <w:i w:val="0"/>
          <w:caps w:val="0"/>
          <w:color w:val="000000" w:themeColor="text1"/>
          <w:spacing w:val="0"/>
          <w:sz w:val="24"/>
          <w:szCs w:val="24"/>
          <w:highlight w:val="none"/>
          <w:shd w:val="clear" w:fill="EFFAFC"/>
          <w14:textFill>
            <w14:solidFill>
              <w14:schemeClr w14:val="tx1"/>
            </w14:solidFill>
          </w14:textFill>
        </w:rPr>
        <w:t>价支付剩余尾款</w:t>
      </w:r>
      <w:r>
        <w:rPr>
          <w:rFonts w:hint="eastAsia" w:asciiTheme="minorEastAsia" w:hAnsiTheme="minorEastAsia" w:eastAsiaTheme="minorEastAsia" w:cstheme="minorEastAsia"/>
          <w:i w:val="0"/>
          <w:caps w:val="0"/>
          <w:color w:val="000000" w:themeColor="text1"/>
          <w:spacing w:val="0"/>
          <w:sz w:val="24"/>
          <w:szCs w:val="24"/>
          <w:highlight w:val="none"/>
          <w:shd w:val="clear" w:fill="EFFAFC"/>
          <w:lang w:eastAsia="zh-CN"/>
          <w14:textFill>
            <w14:solidFill>
              <w14:schemeClr w14:val="tx1"/>
            </w14:solidFill>
          </w14:textFill>
        </w:rPr>
        <w:t>。</w:t>
      </w:r>
      <w:r>
        <w:rPr>
          <w:rFonts w:hint="eastAsia" w:ascii="宋体" w:hAnsi="宋体" w:cs="宋体"/>
          <w:color w:val="000000" w:themeColor="text1"/>
          <w:szCs w:val="24"/>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Cs w:val="24"/>
          <w:highlight w:val="none"/>
          <w:lang w:val="en-US" w:eastAsia="zh-CN"/>
          <w14:textFill>
            <w14:solidFill>
              <w14:schemeClr w14:val="tx1"/>
            </w14:solidFill>
          </w14:textFill>
        </w:rPr>
        <w:t xml:space="preserve">                        </w:t>
      </w:r>
    </w:p>
    <w:p>
      <w:pPr>
        <w:pStyle w:val="131"/>
        <w:tabs>
          <w:tab w:val="left" w:pos="0"/>
        </w:tabs>
        <w:snapToGrid w:val="0"/>
        <w:spacing w:before="0"/>
        <w:ind w:firstLine="480"/>
        <w:jc w:val="left"/>
        <w:rPr>
          <w:rFonts w:ascii="宋体" w:hAnsi="宋体" w:cs="宋体"/>
          <w:color w:val="000000" w:themeColor="text1"/>
          <w:szCs w:val="24"/>
          <w:highlight w:val="none"/>
          <w:lang w:val="zh-CN"/>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2、</w:t>
      </w:r>
      <w:r>
        <w:rPr>
          <w:rFonts w:hint="eastAsia" w:ascii="宋体" w:hAnsi="宋体" w:cs="宋体"/>
          <w:color w:val="000000" w:themeColor="text1"/>
          <w:szCs w:val="24"/>
          <w:highlight w:val="none"/>
          <w:lang w:val="zh-CN"/>
          <w14:textFill>
            <w14:solidFill>
              <w14:schemeClr w14:val="tx1"/>
            </w14:solidFill>
          </w14:textFill>
        </w:rPr>
        <w:t>货物在通过验收并交付</w:t>
      </w:r>
      <w:r>
        <w:rPr>
          <w:rFonts w:hint="eastAsia" w:ascii="宋体" w:hAnsi="宋体" w:cs="宋体"/>
          <w:color w:val="000000" w:themeColor="text1"/>
          <w:szCs w:val="24"/>
          <w:highlight w:val="none"/>
          <w14:textFill>
            <w14:solidFill>
              <w14:schemeClr w14:val="tx1"/>
            </w14:solidFill>
          </w14:textFill>
        </w:rPr>
        <w:t>采购人</w:t>
      </w:r>
      <w:r>
        <w:rPr>
          <w:rFonts w:hint="eastAsia" w:ascii="宋体" w:hAnsi="宋体" w:cs="宋体"/>
          <w:color w:val="000000" w:themeColor="text1"/>
          <w:szCs w:val="24"/>
          <w:highlight w:val="none"/>
          <w:lang w:val="zh-CN"/>
          <w14:textFill>
            <w14:solidFill>
              <w14:schemeClr w14:val="tx1"/>
            </w14:solidFill>
          </w14:textFill>
        </w:rPr>
        <w:t>前发生的风险均由</w:t>
      </w:r>
      <w:r>
        <w:rPr>
          <w:rFonts w:hint="eastAsia" w:ascii="宋体" w:hAnsi="宋体" w:cs="宋体"/>
          <w:color w:val="000000" w:themeColor="text1"/>
          <w:szCs w:val="24"/>
          <w:highlight w:val="none"/>
          <w14:textFill>
            <w14:solidFill>
              <w14:schemeClr w14:val="tx1"/>
            </w14:solidFill>
          </w14:textFill>
        </w:rPr>
        <w:t>供应商</w:t>
      </w:r>
      <w:r>
        <w:rPr>
          <w:rFonts w:hint="eastAsia" w:ascii="宋体" w:hAnsi="宋体" w:cs="宋体"/>
          <w:color w:val="000000" w:themeColor="text1"/>
          <w:szCs w:val="24"/>
          <w:highlight w:val="none"/>
          <w:lang w:val="zh-CN"/>
          <w14:textFill>
            <w14:solidFill>
              <w14:schemeClr w14:val="tx1"/>
            </w14:solidFill>
          </w14:textFill>
        </w:rPr>
        <w:t>负责。</w:t>
      </w:r>
    </w:p>
    <w:p>
      <w:pPr>
        <w:pStyle w:val="131"/>
        <w:tabs>
          <w:tab w:val="left" w:pos="0"/>
        </w:tabs>
        <w:snapToGrid w:val="0"/>
        <w:spacing w:before="0"/>
        <w:ind w:firstLine="480"/>
        <w:jc w:val="left"/>
        <w:rPr>
          <w:rFonts w:ascii="宋体" w:hAnsi="宋体" w:cs="宋体"/>
          <w:color w:val="000000" w:themeColor="text1"/>
          <w:szCs w:val="24"/>
          <w:highlight w:val="none"/>
          <w:lang w:val="zh-CN"/>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3、</w:t>
      </w:r>
      <w:r>
        <w:rPr>
          <w:rFonts w:hint="eastAsia" w:ascii="宋体" w:hAnsi="宋体" w:cs="宋体"/>
          <w:color w:val="000000" w:themeColor="text1"/>
          <w:szCs w:val="24"/>
          <w:highlight w:val="none"/>
          <w:lang w:val="zh-CN"/>
          <w14:textFill>
            <w14:solidFill>
              <w14:schemeClr w14:val="tx1"/>
            </w14:solidFill>
          </w14:textFill>
        </w:rPr>
        <w:t>安全责任：</w:t>
      </w:r>
      <w:r>
        <w:rPr>
          <w:rFonts w:hint="eastAsia" w:ascii="宋体" w:hAnsi="宋体" w:cs="宋体"/>
          <w:color w:val="000000" w:themeColor="text1"/>
          <w:szCs w:val="24"/>
          <w:highlight w:val="none"/>
          <w14:textFill>
            <w14:solidFill>
              <w14:schemeClr w14:val="tx1"/>
            </w14:solidFill>
          </w14:textFill>
        </w:rPr>
        <w:t>供应商</w:t>
      </w:r>
      <w:r>
        <w:rPr>
          <w:rFonts w:hint="eastAsia" w:ascii="宋体" w:hAnsi="宋体" w:cs="宋体"/>
          <w:color w:val="000000" w:themeColor="text1"/>
          <w:szCs w:val="24"/>
          <w:highlight w:val="none"/>
          <w:lang w:val="zh-CN"/>
          <w14:textFill>
            <w14:solidFill>
              <w14:schemeClr w14:val="tx1"/>
            </w14:solidFill>
          </w14:textFill>
        </w:rPr>
        <w:t>承担货物在送达指定地点前及运输和保存、安装过程（包括堆放和卸装期间）中货物的毁损、灭失等和发生人身伤亡事故等风险和安全责任，并承担一切经济损失和法律责任。</w:t>
      </w:r>
    </w:p>
    <w:p>
      <w:pPr>
        <w:pStyle w:val="131"/>
        <w:tabs>
          <w:tab w:val="left" w:pos="0"/>
        </w:tabs>
        <w:snapToGrid w:val="0"/>
        <w:spacing w:line="360" w:lineRule="auto"/>
        <w:ind w:firstLine="480" w:firstLineChars="200"/>
        <w:jc w:val="left"/>
        <w:rPr>
          <w:rFonts w:hint="eastAsia" w:ascii="宋体" w:hAnsi="宋体" w:eastAsia="宋体" w:cs="宋体"/>
          <w:b/>
          <w:color w:val="000000" w:themeColor="text1"/>
          <w:sz w:val="24"/>
          <w:highlight w:val="none"/>
          <w:lang w:eastAsia="zh-CN"/>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4、付款条件:采购人凭中标人开具的开具增值税普通发票和采购人认可的各项记录复印件向供应商支付服务费。由于供应商上报或者开票不及时引起的延迟支付，责任由供应商自负。</w:t>
      </w:r>
    </w:p>
    <w:p>
      <w:pPr>
        <w:snapToGrid w:val="0"/>
        <w:spacing w:line="360" w:lineRule="auto"/>
        <w:ind w:firstLine="482" w:firstLineChars="200"/>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十三、履行合同的时间、</w:t>
      </w:r>
      <w:r>
        <w:rPr>
          <w:rFonts w:hint="eastAsia" w:ascii="宋体" w:hAnsi="宋体" w:cs="宋体"/>
          <w:b/>
          <w:bCs/>
          <w:color w:val="000000" w:themeColor="text1"/>
          <w:sz w:val="24"/>
          <w:highlight w:val="none"/>
          <w14:textFill>
            <w14:solidFill>
              <w14:schemeClr w14:val="tx1"/>
            </w14:solidFill>
          </w14:textFill>
        </w:rPr>
        <w:t>地点、违约责任、解决争议的方式</w:t>
      </w:r>
    </w:p>
    <w:p>
      <w:pPr>
        <w:pStyle w:val="722"/>
        <w:spacing w:line="360" w:lineRule="auto"/>
        <w:ind w:firstLine="480"/>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1、本项目履约期限：</w:t>
      </w:r>
      <w:r>
        <w:rPr>
          <w:rFonts w:hint="eastAsia" w:cs="宋体"/>
          <w:color w:val="000000" w:themeColor="text1"/>
          <w:highlight w:val="none"/>
          <w:u w:val="single"/>
          <w:lang w:val="en-US" w:eastAsia="zh-CN"/>
          <w14:textFill>
            <w14:solidFill>
              <w14:schemeClr w14:val="tx1"/>
            </w14:solidFill>
          </w14:textFill>
        </w:rPr>
        <w:t>90</w:t>
      </w:r>
      <w:r>
        <w:rPr>
          <w:rFonts w:hint="eastAsia" w:cs="宋体"/>
          <w:color w:val="000000" w:themeColor="text1"/>
          <w:highlight w:val="none"/>
          <w14:textFill>
            <w14:solidFill>
              <w14:schemeClr w14:val="tx1"/>
            </w14:solidFill>
          </w14:textFill>
        </w:rPr>
        <w:t>日历天（具体以合同签订时间为准，含完成设备供货安装及系统的部署、配套装饰等，经测试运行及培训，并通过采购人组织初步验收确认合格，投入运行）。</w:t>
      </w:r>
    </w:p>
    <w:p>
      <w:pPr>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2、履行合同的地点：杭州市拱墅区拱宸桥桥西历史文化街区</w:t>
      </w:r>
      <w:r>
        <w:rPr>
          <w:rFonts w:hint="eastAsia" w:ascii="宋体" w:hAnsi="宋体" w:cs="宋体"/>
          <w:color w:val="000000" w:themeColor="text1"/>
          <w:sz w:val="24"/>
          <w:highlight w:val="none"/>
          <w:lang w:eastAsia="zh-CN"/>
          <w14:textFill>
            <w14:solidFill>
              <w14:schemeClr w14:val="tx1"/>
            </w14:solidFill>
          </w14:textFill>
        </w:rPr>
        <w:t>杭州伞博物馆</w:t>
      </w:r>
      <w:r>
        <w:rPr>
          <w:rFonts w:hint="eastAsia" w:ascii="宋体" w:hAnsi="宋体" w:cs="宋体"/>
          <w:color w:val="000000" w:themeColor="text1"/>
          <w:sz w:val="24"/>
          <w:highlight w:val="none"/>
          <w14:textFill>
            <w14:solidFill>
              <w14:schemeClr w14:val="tx1"/>
            </w14:solidFill>
          </w14:textFill>
        </w:rPr>
        <w:t>。</w:t>
      </w:r>
    </w:p>
    <w:p>
      <w:pPr>
        <w:autoSpaceDE w:val="0"/>
        <w:autoSpaceDN w:val="0"/>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3、履约保证金：</w:t>
      </w:r>
    </w:p>
    <w:p>
      <w:pPr>
        <w:autoSpaceDE w:val="0"/>
        <w:autoSpaceDN w:val="0"/>
        <w:snapToGrid w:val="0"/>
        <w:spacing w:line="360" w:lineRule="auto"/>
        <w:ind w:firstLine="480" w:firstLineChars="200"/>
        <w:jc w:val="left"/>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（1）合同签订并生效后供应商向采购人支付合同总价</w:t>
      </w: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zh-CN"/>
          <w14:textFill>
            <w14:solidFill>
              <w14:schemeClr w14:val="tx1"/>
            </w14:solidFill>
          </w14:textFill>
        </w:rPr>
        <w:t>%的履约保证金,完成供货、安装调试，并通过验收后，经采购人验收合格签字，</w:t>
      </w:r>
      <w:r>
        <w:rPr>
          <w:rFonts w:hint="eastAsia" w:ascii="宋体" w:hAnsi="宋体" w:cs="宋体"/>
          <w:color w:val="000000" w:themeColor="text1"/>
          <w:sz w:val="24"/>
          <w:highlight w:val="none"/>
          <w14:textFill>
            <w14:solidFill>
              <w14:schemeClr w14:val="tx1"/>
            </w14:solidFill>
          </w14:textFill>
        </w:rPr>
        <w:t>10日历天内</w:t>
      </w:r>
      <w:r>
        <w:rPr>
          <w:rFonts w:hint="eastAsia" w:ascii="宋体" w:hAnsi="宋体" w:cs="宋体"/>
          <w:color w:val="000000" w:themeColor="text1"/>
          <w:sz w:val="24"/>
          <w:highlight w:val="none"/>
          <w:lang w:val="zh-CN"/>
          <w14:textFill>
            <w14:solidFill>
              <w14:schemeClr w14:val="tx1"/>
            </w14:solidFill>
          </w14:textFill>
        </w:rPr>
        <w:t>无息退回质量保证金；</w:t>
      </w:r>
    </w:p>
    <w:p>
      <w:pPr>
        <w:autoSpaceDE w:val="0"/>
        <w:autoSpaceDN w:val="0"/>
        <w:snapToGrid w:val="0"/>
        <w:spacing w:line="360" w:lineRule="auto"/>
        <w:ind w:firstLine="480" w:firstLineChars="200"/>
        <w:jc w:val="left"/>
        <w:rPr>
          <w:rFonts w:ascii="宋体" w:hAnsi="宋体" w:cs="宋体"/>
          <w:color w:val="000000" w:themeColor="text1"/>
          <w:sz w:val="24"/>
          <w:highlight w:val="none"/>
          <w:cs/>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（2</w:t>
      </w:r>
      <w:r>
        <w:rPr>
          <w:rFonts w:hint="eastAsia" w:ascii="宋体" w:hAnsi="宋体" w:cs="宋体"/>
          <w:color w:val="000000" w:themeColor="text1"/>
          <w:sz w:val="24"/>
          <w:highlight w:val="none"/>
          <w:cs/>
          <w:lang w:val="zh-CN"/>
          <w14:textFill>
            <w14:solidFill>
              <w14:schemeClr w14:val="tx1"/>
            </w14:solidFill>
          </w14:textFill>
        </w:rPr>
        <w:t>）如果在安装期间发生质量问题，按规定没收履约保证金，以及追究由此带来的其它经济损失；</w:t>
      </w:r>
    </w:p>
    <w:p>
      <w:pPr>
        <w:autoSpaceDE w:val="0"/>
        <w:autoSpaceDN w:val="0"/>
        <w:snapToGrid w:val="0"/>
        <w:spacing w:line="360" w:lineRule="auto"/>
        <w:ind w:firstLine="480" w:firstLineChars="200"/>
        <w:jc w:val="left"/>
        <w:rPr>
          <w:rFonts w:ascii="宋体" w:hAnsi="宋体" w:cs="宋体"/>
          <w:color w:val="000000" w:themeColor="text1"/>
          <w:sz w:val="24"/>
          <w:highlight w:val="none"/>
          <w:cs/>
          <w14:textFill>
            <w14:solidFill>
              <w14:schemeClr w14:val="tx1"/>
            </w14:solidFill>
          </w14:textFill>
        </w:rPr>
      </w:pPr>
      <w:r>
        <w:rPr>
          <w:rFonts w:hint="eastAsia" w:ascii="宋体" w:hAnsi="宋体" w:cs="宋体"/>
          <w:color w:val="000000" w:themeColor="text1"/>
          <w:sz w:val="24"/>
          <w:highlight w:val="none"/>
          <w:cs/>
          <w:lang w:val="zh-CN"/>
          <w14:textFill>
            <w14:solidFill>
              <w14:schemeClr w14:val="tx1"/>
            </w14:solidFill>
          </w14:textFill>
        </w:rPr>
        <w:t>（3）</w:t>
      </w:r>
      <w:r>
        <w:rPr>
          <w:rFonts w:hint="eastAsia" w:ascii="宋体" w:hAnsi="宋体" w:cs="宋体"/>
          <w:color w:val="000000" w:themeColor="text1"/>
          <w:sz w:val="24"/>
          <w:highlight w:val="none"/>
          <w:cs/>
          <w14:textFill>
            <w14:solidFill>
              <w14:schemeClr w14:val="tx1"/>
            </w14:solidFill>
          </w14:textFill>
        </w:rPr>
        <w:t>履约保证金可以用保函、支票、银行汇票、转账的形式交纳。</w:t>
      </w:r>
    </w:p>
    <w:p>
      <w:pPr>
        <w:autoSpaceDE w:val="0"/>
        <w:autoSpaceDN w:val="0"/>
        <w:snapToGrid w:val="0"/>
        <w:spacing w:line="360" w:lineRule="auto"/>
        <w:ind w:firstLine="480" w:firstLineChars="200"/>
        <w:jc w:val="left"/>
        <w:rPr>
          <w:rFonts w:ascii="宋体" w:hAnsi="宋体" w:cs="宋体"/>
          <w:color w:val="000000" w:themeColor="text1"/>
          <w:sz w:val="24"/>
          <w:highlight w:val="none"/>
          <w:cs/>
          <w:lang w:val="zh-CN"/>
          <w14:textFill>
            <w14:solidFill>
              <w14:schemeClr w14:val="tx1"/>
            </w14:solidFill>
          </w14:textFill>
        </w:rPr>
      </w:pPr>
      <w:r>
        <w:rPr>
          <w:rFonts w:hint="eastAsia" w:ascii="宋体" w:hAnsi="宋体" w:cs="宋体"/>
          <w:color w:val="000000" w:themeColor="text1"/>
          <w:sz w:val="24"/>
          <w:highlight w:val="none"/>
          <w:cs/>
          <w14:textFill>
            <w14:solidFill>
              <w14:schemeClr w14:val="tx1"/>
            </w14:solidFill>
          </w14:textFill>
        </w:rPr>
        <w:t>4</w:t>
      </w:r>
      <w:r>
        <w:rPr>
          <w:rFonts w:hint="eastAsia" w:ascii="宋体" w:hAnsi="宋体" w:cs="宋体"/>
          <w:color w:val="000000" w:themeColor="text1"/>
          <w:sz w:val="24"/>
          <w:highlight w:val="none"/>
          <w:cs/>
          <w:lang w:val="zh-CN"/>
          <w14:textFill>
            <w14:solidFill>
              <w14:schemeClr w14:val="tx1"/>
            </w14:solidFill>
          </w14:textFill>
        </w:rPr>
        <w:t>、履行合同的违约责任</w:t>
      </w:r>
    </w:p>
    <w:p>
      <w:pPr>
        <w:autoSpaceDE w:val="0"/>
        <w:autoSpaceDN w:val="0"/>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1</w:t>
      </w:r>
      <w:r>
        <w:rPr>
          <w:rFonts w:hint="eastAsia" w:ascii="宋体" w:hAnsi="宋体" w:cs="宋体"/>
          <w:color w:val="000000" w:themeColor="text1"/>
          <w:kern w:val="0"/>
          <w:sz w:val="24"/>
          <w:highlight w:val="none"/>
          <w:lang w:val="zh-CN"/>
          <w14:textFill>
            <w14:solidFill>
              <w14:schemeClr w14:val="tx1"/>
            </w14:solidFill>
          </w14:textFill>
        </w:rPr>
        <w:t>）合同签订后，任何一方不履行或不完全履行本合同约定条款的，即构成违约。任何一方违约时，守约方有权要求违约方继续履行本合同，同时有权要求违约方支付违约金。</w:t>
      </w:r>
    </w:p>
    <w:p>
      <w:pPr>
        <w:autoSpaceDE w:val="0"/>
        <w:autoSpaceDN w:val="0"/>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2</w:t>
      </w:r>
      <w:r>
        <w:rPr>
          <w:rFonts w:hint="eastAsia" w:ascii="宋体" w:hAnsi="宋体" w:cs="宋体"/>
          <w:color w:val="000000" w:themeColor="text1"/>
          <w:kern w:val="0"/>
          <w:sz w:val="24"/>
          <w:highlight w:val="none"/>
          <w:lang w:val="zh-CN"/>
          <w14:textFill>
            <w14:solidFill>
              <w14:schemeClr w14:val="tx1"/>
            </w14:solidFill>
          </w14:textFill>
        </w:rPr>
        <w:t>）如果甲方未按照合同约定支付价款，乙方有权要求其每天承担应付未付金额千分之零点五（0.5‰）的违约金，但违约金总额不超过合同总金额的百分之十（10%）；除合同另有约定外，如果乙方未能按照本合同约定履行义务或无正当理由擅自解除本合同，甲方有权要求其承担合同总金额百分之十（10%）的违约金。</w:t>
      </w:r>
    </w:p>
    <w:p>
      <w:pPr>
        <w:autoSpaceDE w:val="0"/>
        <w:autoSpaceDN w:val="0"/>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3</w:t>
      </w:r>
      <w:r>
        <w:rPr>
          <w:rFonts w:hint="eastAsia" w:ascii="宋体" w:hAnsi="宋体" w:cs="宋体"/>
          <w:color w:val="000000" w:themeColor="text1"/>
          <w:kern w:val="0"/>
          <w:sz w:val="24"/>
          <w:highlight w:val="none"/>
          <w:lang w:val="zh-CN"/>
          <w14:textFill>
            <w14:solidFill>
              <w14:schemeClr w14:val="tx1"/>
            </w14:solidFill>
          </w14:textFill>
        </w:rPr>
        <w:t>）如因乙方未经甲方事先书面同意，乙方将合同的权利或义务全部或部分转让或分包给第三人或违反相关法律规定或侵犯第三方合法权利而使甲方遭受损失的，乙方应承担全部责任，甲方有权解除本合同并要求乙方返还全部已收款项，按合同价款的10%承担违约金并赔偿甲方由此所遭受全部经济损失。</w:t>
      </w:r>
    </w:p>
    <w:p>
      <w:pPr>
        <w:autoSpaceDE w:val="0"/>
        <w:autoSpaceDN w:val="0"/>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4</w:t>
      </w:r>
      <w:r>
        <w:rPr>
          <w:rFonts w:hint="eastAsia" w:ascii="宋体" w:hAnsi="宋体" w:cs="宋体"/>
          <w:color w:val="000000" w:themeColor="text1"/>
          <w:kern w:val="0"/>
          <w:sz w:val="24"/>
          <w:highlight w:val="none"/>
          <w:lang w:val="zh-CN"/>
          <w14:textFill>
            <w14:solidFill>
              <w14:schemeClr w14:val="tx1"/>
            </w14:solidFill>
          </w14:textFill>
        </w:rPr>
        <w:t>）乙方逾期履行合同的，自逾期之日起，向甲方每日偿付合同总价万分之五的违约金。</w:t>
      </w:r>
    </w:p>
    <w:p>
      <w:pPr>
        <w:autoSpaceDE w:val="0"/>
        <w:autoSpaceDN w:val="0"/>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5</w:t>
      </w:r>
      <w:r>
        <w:rPr>
          <w:rFonts w:hint="eastAsia" w:ascii="宋体" w:hAnsi="宋体" w:cs="宋体"/>
          <w:color w:val="000000" w:themeColor="text1"/>
          <w:kern w:val="0"/>
          <w:sz w:val="24"/>
          <w:highlight w:val="none"/>
          <w:lang w:val="zh-CN"/>
          <w14:textFill>
            <w14:solidFill>
              <w14:schemeClr w14:val="tx1"/>
            </w14:solidFill>
          </w14:textFill>
        </w:rPr>
        <w:t>）甲方逾期支付货款或逾期退还履约保证金的，自逾期之日起，向乙方每日偿付未付价款或未退还履约保证金万分之五的违约金。</w:t>
      </w:r>
    </w:p>
    <w:p>
      <w:pPr>
        <w:autoSpaceDE w:val="0"/>
        <w:autoSpaceDN w:val="0"/>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6</w:t>
      </w:r>
      <w:r>
        <w:rPr>
          <w:rFonts w:hint="eastAsia" w:ascii="宋体" w:hAnsi="宋体" w:cs="宋体"/>
          <w:color w:val="000000" w:themeColor="text1"/>
          <w:kern w:val="0"/>
          <w:sz w:val="24"/>
          <w:highlight w:val="none"/>
          <w:lang w:val="zh-CN"/>
          <w14:textFill>
            <w14:solidFill>
              <w14:schemeClr w14:val="tx1"/>
            </w14:solidFill>
          </w14:textFill>
        </w:rPr>
        <w:t>）乙方所交的货物品种、型号、规格、技术参数、质量不符合合同规定及招投标文件规定标准的，或经验收不合格的，甲方有权拒收该货物，乙方愿意更换货物但逾期交货的，按乙方逾期交货处理。乙方拒绝更换货物的，甲方可单方面解除合同，同时乙方应按合同价款的10%承担违约金，并退还全部已收款项。</w:t>
      </w:r>
    </w:p>
    <w:p>
      <w:pPr>
        <w:autoSpaceDE w:val="0"/>
        <w:autoSpaceDN w:val="0"/>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7</w:t>
      </w:r>
      <w:r>
        <w:rPr>
          <w:rFonts w:hint="eastAsia" w:ascii="宋体" w:hAnsi="宋体" w:cs="宋体"/>
          <w:color w:val="000000" w:themeColor="text1"/>
          <w:kern w:val="0"/>
          <w:sz w:val="24"/>
          <w:highlight w:val="none"/>
          <w:lang w:val="zh-CN"/>
          <w14:textFill>
            <w14:solidFill>
              <w14:schemeClr w14:val="tx1"/>
            </w14:solidFill>
          </w14:textFill>
        </w:rPr>
        <w:t>）上述第6项应退回或更换的货物，由乙方在验收后一周内运离安装地点，所需费用由乙方承担。如乙方在二周内不处理（搬走）的，视为乙方放弃，甲方有权自行处置（包括废物处理）。</w:t>
      </w:r>
    </w:p>
    <w:p>
      <w:pPr>
        <w:autoSpaceDE w:val="0"/>
        <w:autoSpaceDN w:val="0"/>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8</w:t>
      </w:r>
      <w:r>
        <w:rPr>
          <w:rFonts w:hint="eastAsia" w:ascii="宋体" w:hAnsi="宋体" w:cs="宋体"/>
          <w:color w:val="000000" w:themeColor="text1"/>
          <w:kern w:val="0"/>
          <w:sz w:val="24"/>
          <w:highlight w:val="none"/>
          <w:lang w:val="zh-CN"/>
          <w14:textFill>
            <w14:solidFill>
              <w14:schemeClr w14:val="tx1"/>
            </w14:solidFill>
          </w14:textFill>
        </w:rPr>
        <w:t>）乙方未按招标文件及合同约定履行质保义务的，每次应向甲方承担 2000 元的违约金，并赔偿甲方的损失；同时，乙方应继续履行质保义务。</w:t>
      </w:r>
    </w:p>
    <w:p>
      <w:pPr>
        <w:autoSpaceDE w:val="0"/>
        <w:autoSpaceDN w:val="0"/>
        <w:snapToGrid w:val="0"/>
        <w:spacing w:line="360" w:lineRule="auto"/>
        <w:ind w:firstLine="480" w:firstLineChars="200"/>
        <w:jc w:val="left"/>
        <w:rPr>
          <w:rFonts w:ascii="宋体" w:hAnsi="宋体" w:cs="宋体"/>
          <w:bCs/>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9</w:t>
      </w:r>
      <w:r>
        <w:rPr>
          <w:rFonts w:hint="eastAsia" w:ascii="宋体" w:hAnsi="宋体" w:cs="宋体"/>
          <w:color w:val="000000" w:themeColor="text1"/>
          <w:kern w:val="0"/>
          <w:sz w:val="24"/>
          <w:highlight w:val="none"/>
          <w:lang w:val="zh-CN"/>
          <w14:textFill>
            <w14:solidFill>
              <w14:schemeClr w14:val="tx1"/>
            </w14:solidFill>
          </w14:textFill>
        </w:rPr>
        <w:t>）因乙方违约行为给甲方造成损失的，如果违约金不足以弥补甲方经济损失，乙方还应当赔偿甲方其余经济损失，包括直接经济损失及可预见的间接经济损失。间接经济损失包括但不限于：因违约方违约事项致使守约方损失的可期待利益及守约方为此支出的诉讼费、仲裁费、律师费、差旅费、公证费、鉴定费、评估费、保全费、执行费等费用以及其它可预见的间接经济损失。</w:t>
      </w:r>
    </w:p>
    <w:p>
      <w:pPr>
        <w:snapToGrid w:val="0"/>
        <w:spacing w:line="360" w:lineRule="auto"/>
        <w:jc w:val="center"/>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br w:type="page"/>
      </w:r>
      <w:r>
        <w:rPr>
          <w:rFonts w:hint="eastAsia" w:ascii="宋体" w:hAnsi="宋体" w:cs="宋体"/>
          <w:b/>
          <w:color w:val="000000" w:themeColor="text1"/>
          <w:sz w:val="36"/>
          <w:szCs w:val="36"/>
          <w:highlight w:val="none"/>
          <w14:textFill>
            <w14:solidFill>
              <w14:schemeClr w14:val="tx1"/>
            </w14:solidFill>
          </w14:textFill>
        </w:rPr>
        <w:t xml:space="preserve">第四部分   </w:t>
      </w:r>
      <w:bookmarkStart w:id="27" w:name="_Toc184312086"/>
      <w:bookmarkEnd w:id="27"/>
      <w:bookmarkStart w:id="28" w:name="_Toc184308059"/>
      <w:bookmarkEnd w:id="28"/>
      <w:bookmarkStart w:id="29" w:name="_Toc184312127"/>
      <w:bookmarkEnd w:id="29"/>
      <w:bookmarkStart w:id="30" w:name="_Toc184314431"/>
      <w:bookmarkEnd w:id="30"/>
      <w:bookmarkStart w:id="31" w:name="_Toc184313245"/>
      <w:bookmarkEnd w:id="31"/>
      <w:bookmarkStart w:id="32" w:name="_Toc184310333"/>
      <w:bookmarkEnd w:id="32"/>
      <w:bookmarkStart w:id="33" w:name="_Toc184313260"/>
      <w:bookmarkEnd w:id="33"/>
      <w:bookmarkStart w:id="34" w:name="_Toc184313261"/>
      <w:bookmarkEnd w:id="34"/>
      <w:bookmarkStart w:id="35" w:name="_Toc184310316"/>
      <w:bookmarkEnd w:id="35"/>
      <w:bookmarkStart w:id="36" w:name="_Toc184310328"/>
      <w:bookmarkEnd w:id="36"/>
      <w:bookmarkStart w:id="37" w:name="_Toc184310318"/>
      <w:bookmarkEnd w:id="37"/>
      <w:bookmarkStart w:id="38" w:name="_Toc184314473"/>
      <w:bookmarkEnd w:id="38"/>
      <w:bookmarkStart w:id="39" w:name="_Toc184314418"/>
      <w:bookmarkEnd w:id="39"/>
      <w:bookmarkStart w:id="40" w:name="_Toc184310297"/>
      <w:bookmarkEnd w:id="40"/>
      <w:bookmarkStart w:id="41" w:name="_Toc184308039"/>
      <w:bookmarkEnd w:id="41"/>
      <w:bookmarkStart w:id="42" w:name="_Toc184310311"/>
      <w:bookmarkEnd w:id="42"/>
      <w:bookmarkStart w:id="43" w:name="_Toc184313265"/>
      <w:bookmarkEnd w:id="43"/>
      <w:bookmarkStart w:id="44" w:name="_Toc184312093"/>
      <w:bookmarkEnd w:id="44"/>
      <w:bookmarkStart w:id="45" w:name="_Toc184308086"/>
      <w:bookmarkEnd w:id="45"/>
      <w:bookmarkStart w:id="46" w:name="_Toc184308044"/>
      <w:bookmarkEnd w:id="46"/>
      <w:bookmarkStart w:id="47" w:name="_Toc184312102"/>
      <w:bookmarkEnd w:id="47"/>
      <w:bookmarkStart w:id="48" w:name="_Toc184308041"/>
      <w:bookmarkEnd w:id="48"/>
      <w:bookmarkStart w:id="49" w:name="_Toc184313264"/>
      <w:bookmarkEnd w:id="49"/>
      <w:bookmarkStart w:id="50" w:name="_Toc184313301"/>
      <w:bookmarkEnd w:id="50"/>
      <w:bookmarkStart w:id="51" w:name="_Toc184314478"/>
      <w:bookmarkEnd w:id="51"/>
      <w:bookmarkStart w:id="52" w:name="_Toc184308096"/>
      <w:bookmarkEnd w:id="52"/>
      <w:bookmarkStart w:id="53" w:name="_Toc184314462"/>
      <w:bookmarkEnd w:id="53"/>
      <w:bookmarkStart w:id="54" w:name="_Toc184308066"/>
      <w:bookmarkEnd w:id="54"/>
      <w:bookmarkStart w:id="55" w:name="_Toc184312073"/>
      <w:bookmarkEnd w:id="55"/>
      <w:bookmarkStart w:id="56" w:name="_Toc184310285"/>
      <w:bookmarkEnd w:id="56"/>
      <w:bookmarkStart w:id="57" w:name="_Toc184314432"/>
      <w:bookmarkEnd w:id="57"/>
      <w:bookmarkStart w:id="58" w:name="_Toc184313246"/>
      <w:bookmarkEnd w:id="58"/>
      <w:bookmarkStart w:id="59" w:name="_Toc184312089"/>
      <w:bookmarkEnd w:id="59"/>
      <w:bookmarkStart w:id="60" w:name="_Toc184314411"/>
      <w:bookmarkEnd w:id="60"/>
      <w:bookmarkStart w:id="61" w:name="_Toc184310324"/>
      <w:bookmarkEnd w:id="61"/>
      <w:bookmarkStart w:id="62" w:name="_Toc184312081"/>
      <w:bookmarkEnd w:id="62"/>
      <w:bookmarkStart w:id="63" w:name="_Toc184312129"/>
      <w:bookmarkEnd w:id="63"/>
      <w:bookmarkStart w:id="64" w:name="_Toc184312078"/>
      <w:bookmarkEnd w:id="64"/>
      <w:bookmarkStart w:id="65" w:name="_Toc184310287"/>
      <w:bookmarkEnd w:id="65"/>
      <w:bookmarkStart w:id="66" w:name="_Toc184313256"/>
      <w:bookmarkEnd w:id="66"/>
      <w:bookmarkStart w:id="67" w:name="_Toc184308108"/>
      <w:bookmarkEnd w:id="67"/>
      <w:bookmarkStart w:id="68" w:name="_Toc184310312"/>
      <w:bookmarkEnd w:id="68"/>
      <w:bookmarkStart w:id="69" w:name="_Toc184308100"/>
      <w:bookmarkEnd w:id="69"/>
      <w:bookmarkStart w:id="70" w:name="_Toc184310319"/>
      <w:bookmarkEnd w:id="70"/>
      <w:bookmarkStart w:id="71" w:name="_Toc184314415"/>
      <w:bookmarkEnd w:id="71"/>
      <w:bookmarkStart w:id="72" w:name="_Toc184308079"/>
      <w:bookmarkEnd w:id="72"/>
      <w:bookmarkStart w:id="73" w:name="_Toc184312079"/>
      <w:bookmarkEnd w:id="73"/>
      <w:bookmarkStart w:id="74" w:name="_Toc184313274"/>
      <w:bookmarkEnd w:id="74"/>
      <w:bookmarkStart w:id="75" w:name="_Toc184310272"/>
      <w:bookmarkEnd w:id="75"/>
      <w:bookmarkStart w:id="76" w:name="_Toc184312099"/>
      <w:bookmarkEnd w:id="76"/>
      <w:bookmarkStart w:id="77" w:name="_Toc184312074"/>
      <w:bookmarkEnd w:id="77"/>
      <w:bookmarkStart w:id="78" w:name="_Toc184314482"/>
      <w:bookmarkEnd w:id="78"/>
      <w:bookmarkStart w:id="79" w:name="_Toc184313282"/>
      <w:bookmarkEnd w:id="79"/>
      <w:bookmarkStart w:id="80" w:name="_Toc184312138"/>
      <w:bookmarkEnd w:id="80"/>
      <w:bookmarkStart w:id="81" w:name="_Toc184313238"/>
      <w:bookmarkEnd w:id="81"/>
      <w:bookmarkStart w:id="82" w:name="_Toc184312085"/>
      <w:bookmarkEnd w:id="82"/>
      <w:bookmarkStart w:id="83" w:name="_Toc184314444"/>
      <w:bookmarkEnd w:id="83"/>
      <w:bookmarkStart w:id="84" w:name="_Toc184310289"/>
      <w:bookmarkEnd w:id="84"/>
      <w:bookmarkStart w:id="85" w:name="_Toc184313295"/>
      <w:bookmarkEnd w:id="85"/>
      <w:bookmarkStart w:id="86" w:name="_Toc184312067"/>
      <w:bookmarkEnd w:id="86"/>
      <w:bookmarkStart w:id="87" w:name="_Toc184313306"/>
      <w:bookmarkEnd w:id="87"/>
      <w:bookmarkStart w:id="88" w:name="_Toc184312104"/>
      <w:bookmarkEnd w:id="88"/>
      <w:bookmarkStart w:id="89" w:name="_Toc184314420"/>
      <w:bookmarkEnd w:id="89"/>
      <w:bookmarkStart w:id="90" w:name="_Toc184312075"/>
      <w:bookmarkEnd w:id="90"/>
      <w:bookmarkStart w:id="91" w:name="_Toc184314449"/>
      <w:bookmarkEnd w:id="91"/>
      <w:bookmarkStart w:id="92" w:name="_Toc184313262"/>
      <w:bookmarkEnd w:id="92"/>
      <w:bookmarkStart w:id="93" w:name="_Toc184312139"/>
      <w:bookmarkEnd w:id="93"/>
      <w:bookmarkStart w:id="94" w:name="_Toc184313244"/>
      <w:bookmarkEnd w:id="94"/>
      <w:bookmarkStart w:id="95" w:name="_Toc184310284"/>
      <w:bookmarkEnd w:id="95"/>
      <w:bookmarkStart w:id="96" w:name="_Toc184314460"/>
      <w:bookmarkEnd w:id="96"/>
      <w:bookmarkStart w:id="97" w:name="_Toc184310323"/>
      <w:bookmarkEnd w:id="97"/>
      <w:bookmarkStart w:id="98" w:name="_Toc184314445"/>
      <w:bookmarkEnd w:id="98"/>
      <w:bookmarkStart w:id="99" w:name="_Toc184314472"/>
      <w:bookmarkEnd w:id="99"/>
      <w:bookmarkStart w:id="100" w:name="_Toc184310296"/>
      <w:bookmarkEnd w:id="100"/>
      <w:bookmarkStart w:id="101" w:name="_Toc184314421"/>
      <w:bookmarkEnd w:id="101"/>
      <w:bookmarkStart w:id="102" w:name="_Toc184313277"/>
      <w:bookmarkEnd w:id="102"/>
      <w:bookmarkStart w:id="103" w:name="_Toc184314428"/>
      <w:bookmarkEnd w:id="103"/>
      <w:bookmarkStart w:id="104" w:name="_Toc184314450"/>
      <w:bookmarkEnd w:id="104"/>
      <w:bookmarkStart w:id="105" w:name="_Toc184310299"/>
      <w:bookmarkEnd w:id="105"/>
      <w:bookmarkStart w:id="106" w:name="_Toc184314414"/>
      <w:bookmarkEnd w:id="106"/>
      <w:bookmarkStart w:id="107" w:name="_Toc184310283"/>
      <w:bookmarkEnd w:id="107"/>
      <w:bookmarkStart w:id="108" w:name="_Toc184310276"/>
      <w:bookmarkEnd w:id="108"/>
      <w:bookmarkStart w:id="109" w:name="_Toc184312095"/>
      <w:bookmarkEnd w:id="109"/>
      <w:bookmarkStart w:id="110" w:name="_Toc184314434"/>
      <w:bookmarkEnd w:id="110"/>
      <w:bookmarkStart w:id="111" w:name="_Toc184313308"/>
      <w:bookmarkEnd w:id="111"/>
      <w:bookmarkStart w:id="112" w:name="_Toc184310341"/>
      <w:bookmarkEnd w:id="112"/>
      <w:bookmarkStart w:id="113" w:name="_Toc184313270"/>
      <w:bookmarkEnd w:id="113"/>
      <w:bookmarkStart w:id="114" w:name="_Toc184308094"/>
      <w:bookmarkEnd w:id="114"/>
      <w:bookmarkStart w:id="115" w:name="_Toc184314474"/>
      <w:bookmarkEnd w:id="115"/>
      <w:bookmarkStart w:id="116" w:name="_Toc184314477"/>
      <w:bookmarkEnd w:id="116"/>
      <w:bookmarkStart w:id="117" w:name="_Toc184310301"/>
      <w:bookmarkEnd w:id="117"/>
      <w:bookmarkStart w:id="118" w:name="_Toc184308038"/>
      <w:bookmarkEnd w:id="118"/>
      <w:bookmarkStart w:id="119" w:name="_Toc184308061"/>
      <w:bookmarkEnd w:id="119"/>
      <w:bookmarkStart w:id="120" w:name="_Toc184308089"/>
      <w:bookmarkEnd w:id="120"/>
      <w:bookmarkStart w:id="121" w:name="_Toc184312106"/>
      <w:bookmarkEnd w:id="121"/>
      <w:bookmarkStart w:id="122" w:name="_Toc184308062"/>
      <w:bookmarkEnd w:id="122"/>
      <w:bookmarkStart w:id="123" w:name="_Toc184310326"/>
      <w:bookmarkEnd w:id="123"/>
      <w:bookmarkStart w:id="124" w:name="_Toc184312082"/>
      <w:bookmarkEnd w:id="124"/>
      <w:bookmarkStart w:id="125" w:name="_Toc184310290"/>
      <w:bookmarkEnd w:id="125"/>
      <w:bookmarkStart w:id="126" w:name="_Toc184308105"/>
      <w:bookmarkEnd w:id="126"/>
      <w:bookmarkStart w:id="127" w:name="_Toc184314463"/>
      <w:bookmarkEnd w:id="127"/>
      <w:bookmarkStart w:id="128" w:name="_Toc184313267"/>
      <w:bookmarkEnd w:id="128"/>
      <w:bookmarkStart w:id="129" w:name="_Toc184314417"/>
      <w:bookmarkEnd w:id="129"/>
      <w:bookmarkStart w:id="130" w:name="_Toc184308091"/>
      <w:bookmarkEnd w:id="130"/>
      <w:bookmarkStart w:id="131" w:name="_Toc184310274"/>
      <w:bookmarkEnd w:id="131"/>
      <w:bookmarkStart w:id="132" w:name="_Toc184314470"/>
      <w:bookmarkEnd w:id="132"/>
      <w:bookmarkStart w:id="133" w:name="_Toc184314443"/>
      <w:bookmarkEnd w:id="133"/>
      <w:bookmarkStart w:id="134" w:name="_Toc184308087"/>
      <w:bookmarkEnd w:id="134"/>
      <w:bookmarkStart w:id="135" w:name="_Toc184313294"/>
      <w:bookmarkEnd w:id="135"/>
      <w:bookmarkStart w:id="136" w:name="_Toc184314458"/>
      <w:bookmarkEnd w:id="136"/>
      <w:bookmarkStart w:id="137" w:name="_Toc184310335"/>
      <w:bookmarkEnd w:id="137"/>
      <w:bookmarkStart w:id="138" w:name="_Toc184312120"/>
      <w:bookmarkEnd w:id="138"/>
      <w:bookmarkStart w:id="139" w:name="_Toc184308057"/>
      <w:bookmarkEnd w:id="139"/>
      <w:bookmarkStart w:id="140" w:name="_Toc184312123"/>
      <w:bookmarkEnd w:id="140"/>
      <w:bookmarkStart w:id="141" w:name="_Toc184314425"/>
      <w:bookmarkEnd w:id="141"/>
      <w:bookmarkStart w:id="142" w:name="_Toc184313300"/>
      <w:bookmarkEnd w:id="142"/>
      <w:bookmarkStart w:id="143" w:name="_Toc184314419"/>
      <w:bookmarkEnd w:id="143"/>
      <w:bookmarkStart w:id="144" w:name="_Toc184312084"/>
      <w:bookmarkEnd w:id="144"/>
      <w:bookmarkStart w:id="145" w:name="_Toc184310337"/>
      <w:bookmarkEnd w:id="145"/>
      <w:bookmarkStart w:id="146" w:name="_Toc184314440"/>
      <w:bookmarkEnd w:id="146"/>
      <w:bookmarkStart w:id="147" w:name="_Toc184313299"/>
      <w:bookmarkEnd w:id="147"/>
      <w:bookmarkStart w:id="148" w:name="_Toc184308043"/>
      <w:bookmarkEnd w:id="148"/>
      <w:bookmarkStart w:id="149" w:name="_Toc184314438"/>
      <w:bookmarkEnd w:id="149"/>
      <w:bookmarkStart w:id="150" w:name="_Toc184313257"/>
      <w:bookmarkEnd w:id="150"/>
      <w:bookmarkStart w:id="151" w:name="_Toc184310291"/>
      <w:bookmarkEnd w:id="151"/>
      <w:bookmarkStart w:id="152" w:name="_Toc184308081"/>
      <w:bookmarkEnd w:id="152"/>
      <w:bookmarkStart w:id="153" w:name="_Toc184308090"/>
      <w:bookmarkEnd w:id="153"/>
      <w:bookmarkStart w:id="154" w:name="_Toc184312076"/>
      <w:bookmarkEnd w:id="154"/>
      <w:bookmarkStart w:id="155" w:name="_Toc184310275"/>
      <w:bookmarkEnd w:id="155"/>
      <w:bookmarkStart w:id="156" w:name="_Toc184308075"/>
      <w:bookmarkEnd w:id="156"/>
      <w:bookmarkStart w:id="157" w:name="_Toc184310278"/>
      <w:bookmarkEnd w:id="157"/>
      <w:bookmarkStart w:id="158" w:name="_Toc184314453"/>
      <w:bookmarkEnd w:id="158"/>
      <w:bookmarkStart w:id="159" w:name="_Toc184308065"/>
      <w:bookmarkEnd w:id="159"/>
      <w:bookmarkStart w:id="160" w:name="_Toc184308048"/>
      <w:bookmarkEnd w:id="160"/>
      <w:bookmarkStart w:id="161" w:name="_Toc184312068"/>
      <w:bookmarkEnd w:id="161"/>
      <w:bookmarkStart w:id="162" w:name="_Toc184310331"/>
      <w:bookmarkEnd w:id="162"/>
      <w:bookmarkStart w:id="163" w:name="_Toc184313304"/>
      <w:bookmarkEnd w:id="163"/>
      <w:bookmarkStart w:id="164" w:name="_Toc184312077"/>
      <w:bookmarkEnd w:id="164"/>
      <w:bookmarkStart w:id="165" w:name="_Toc184314439"/>
      <w:bookmarkEnd w:id="165"/>
      <w:bookmarkStart w:id="166" w:name="_Toc184310286"/>
      <w:bookmarkEnd w:id="166"/>
      <w:bookmarkStart w:id="167" w:name="_Toc184312132"/>
      <w:bookmarkEnd w:id="167"/>
      <w:bookmarkStart w:id="168" w:name="_Toc184312108"/>
      <w:bookmarkEnd w:id="168"/>
      <w:bookmarkStart w:id="169" w:name="_Toc184314476"/>
      <w:bookmarkEnd w:id="169"/>
      <w:bookmarkStart w:id="170" w:name="_Toc184312109"/>
      <w:bookmarkEnd w:id="170"/>
      <w:bookmarkStart w:id="171" w:name="_Toc184314459"/>
      <w:bookmarkEnd w:id="171"/>
      <w:bookmarkStart w:id="172" w:name="_Toc184308037"/>
      <w:bookmarkEnd w:id="172"/>
      <w:bookmarkStart w:id="173" w:name="_Toc184308040"/>
      <w:bookmarkEnd w:id="173"/>
      <w:bookmarkStart w:id="174" w:name="_Toc184312119"/>
      <w:bookmarkEnd w:id="174"/>
      <w:bookmarkStart w:id="175" w:name="_Toc184312137"/>
      <w:bookmarkEnd w:id="175"/>
      <w:bookmarkStart w:id="176" w:name="_Toc184314468"/>
      <w:bookmarkEnd w:id="176"/>
      <w:bookmarkStart w:id="177" w:name="_Toc184312112"/>
      <w:bookmarkEnd w:id="177"/>
      <w:bookmarkStart w:id="178" w:name="_Toc184308085"/>
      <w:bookmarkEnd w:id="178"/>
      <w:bookmarkStart w:id="179" w:name="_Toc184314412"/>
      <w:bookmarkEnd w:id="179"/>
      <w:bookmarkStart w:id="180" w:name="_Toc184310304"/>
      <w:bookmarkEnd w:id="180"/>
      <w:bookmarkStart w:id="181" w:name="_Toc184310273"/>
      <w:bookmarkEnd w:id="181"/>
      <w:bookmarkStart w:id="182" w:name="_Toc184312134"/>
      <w:bookmarkEnd w:id="182"/>
      <w:bookmarkStart w:id="183" w:name="_Toc184314465"/>
      <w:bookmarkEnd w:id="183"/>
      <w:bookmarkStart w:id="184" w:name="_Toc184308103"/>
      <w:bookmarkEnd w:id="184"/>
      <w:bookmarkStart w:id="185" w:name="_Toc184312121"/>
      <w:bookmarkEnd w:id="185"/>
      <w:bookmarkStart w:id="186" w:name="_Toc184308046"/>
      <w:bookmarkEnd w:id="186"/>
      <w:bookmarkStart w:id="187" w:name="_Toc184313310"/>
      <w:bookmarkEnd w:id="187"/>
      <w:bookmarkStart w:id="188" w:name="_Toc184312114"/>
      <w:bookmarkEnd w:id="188"/>
      <w:bookmarkStart w:id="189" w:name="_Toc184313273"/>
      <w:bookmarkEnd w:id="189"/>
      <w:bookmarkStart w:id="190" w:name="_Toc184314475"/>
      <w:bookmarkEnd w:id="190"/>
      <w:bookmarkStart w:id="191" w:name="_Toc184308084"/>
      <w:bookmarkEnd w:id="191"/>
      <w:bookmarkStart w:id="192" w:name="_Toc184308049"/>
      <w:bookmarkEnd w:id="192"/>
      <w:bookmarkStart w:id="193" w:name="_Toc184308055"/>
      <w:bookmarkEnd w:id="193"/>
      <w:bookmarkStart w:id="194" w:name="_Toc184312117"/>
      <w:bookmarkEnd w:id="194"/>
      <w:bookmarkStart w:id="195" w:name="_Toc184313241"/>
      <w:bookmarkEnd w:id="195"/>
      <w:bookmarkStart w:id="196" w:name="_Toc184308064"/>
      <w:bookmarkEnd w:id="196"/>
      <w:bookmarkStart w:id="197" w:name="_Toc184310317"/>
      <w:bookmarkEnd w:id="197"/>
      <w:bookmarkStart w:id="198" w:name="_Toc184308102"/>
      <w:bookmarkEnd w:id="198"/>
      <w:bookmarkStart w:id="199" w:name="_Toc184312091"/>
      <w:bookmarkEnd w:id="199"/>
      <w:bookmarkStart w:id="200" w:name="_Toc184314423"/>
      <w:bookmarkEnd w:id="200"/>
      <w:bookmarkStart w:id="201" w:name="_Toc184312072"/>
      <w:bookmarkEnd w:id="201"/>
      <w:bookmarkStart w:id="202" w:name="_Toc184313281"/>
      <w:bookmarkEnd w:id="202"/>
      <w:bookmarkStart w:id="203" w:name="_Toc184314466"/>
      <w:bookmarkEnd w:id="203"/>
      <w:bookmarkStart w:id="204" w:name="_Toc184313298"/>
      <w:bookmarkEnd w:id="204"/>
      <w:bookmarkStart w:id="205" w:name="_Toc184312087"/>
      <w:bookmarkEnd w:id="205"/>
      <w:bookmarkStart w:id="206" w:name="_Toc184312083"/>
      <w:bookmarkEnd w:id="206"/>
      <w:bookmarkStart w:id="207" w:name="_Toc184312088"/>
      <w:bookmarkEnd w:id="207"/>
      <w:bookmarkStart w:id="208" w:name="_Toc184308068"/>
      <w:bookmarkEnd w:id="208"/>
      <w:bookmarkStart w:id="209" w:name="_Toc184310308"/>
      <w:bookmarkEnd w:id="209"/>
      <w:bookmarkStart w:id="210" w:name="_Toc184314413"/>
      <w:bookmarkEnd w:id="210"/>
      <w:bookmarkStart w:id="211" w:name="_Toc184310334"/>
      <w:bookmarkEnd w:id="211"/>
      <w:bookmarkStart w:id="212" w:name="_Toc184314436"/>
      <w:bookmarkEnd w:id="212"/>
      <w:bookmarkStart w:id="213" w:name="_Toc184310321"/>
      <w:bookmarkEnd w:id="213"/>
      <w:bookmarkStart w:id="214" w:name="_Toc184313242"/>
      <w:bookmarkEnd w:id="214"/>
      <w:bookmarkStart w:id="215" w:name="_Toc184310305"/>
      <w:bookmarkEnd w:id="215"/>
      <w:bookmarkStart w:id="216" w:name="_Toc184312096"/>
      <w:bookmarkEnd w:id="216"/>
      <w:bookmarkStart w:id="217" w:name="_Toc184308104"/>
      <w:bookmarkEnd w:id="217"/>
      <w:bookmarkStart w:id="218" w:name="_Toc184310325"/>
      <w:bookmarkEnd w:id="218"/>
      <w:bookmarkStart w:id="219" w:name="_Toc184312130"/>
      <w:bookmarkEnd w:id="219"/>
      <w:bookmarkStart w:id="220" w:name="_Toc184312113"/>
      <w:bookmarkEnd w:id="220"/>
      <w:bookmarkStart w:id="221" w:name="_Toc184312094"/>
      <w:bookmarkEnd w:id="221"/>
      <w:bookmarkStart w:id="222" w:name="_Toc184313303"/>
      <w:bookmarkEnd w:id="222"/>
      <w:bookmarkStart w:id="223" w:name="_Toc184308088"/>
      <w:bookmarkEnd w:id="223"/>
      <w:bookmarkStart w:id="224" w:name="_Toc184313288"/>
      <w:bookmarkEnd w:id="224"/>
      <w:bookmarkStart w:id="225" w:name="_Toc184312135"/>
      <w:bookmarkEnd w:id="225"/>
      <w:bookmarkStart w:id="226" w:name="_Toc184312116"/>
      <w:bookmarkEnd w:id="226"/>
      <w:bookmarkStart w:id="227" w:name="_Toc184313248"/>
      <w:bookmarkEnd w:id="227"/>
      <w:bookmarkStart w:id="228" w:name="_Toc184313287"/>
      <w:bookmarkEnd w:id="228"/>
      <w:bookmarkStart w:id="229" w:name="_Toc184314481"/>
      <w:bookmarkEnd w:id="229"/>
      <w:bookmarkStart w:id="230" w:name="_Toc184313280"/>
      <w:bookmarkEnd w:id="230"/>
      <w:bookmarkStart w:id="231" w:name="_Toc184308098"/>
      <w:bookmarkEnd w:id="231"/>
      <w:bookmarkStart w:id="232" w:name="_Toc184314441"/>
      <w:bookmarkEnd w:id="232"/>
      <w:bookmarkStart w:id="233" w:name="_Toc184310329"/>
      <w:bookmarkEnd w:id="233"/>
      <w:bookmarkStart w:id="234" w:name="_Toc184314424"/>
      <w:bookmarkEnd w:id="234"/>
      <w:bookmarkStart w:id="235" w:name="_Toc184313263"/>
      <w:bookmarkEnd w:id="235"/>
      <w:bookmarkStart w:id="236" w:name="_Toc184310288"/>
      <w:bookmarkEnd w:id="236"/>
      <w:bookmarkStart w:id="237" w:name="_Toc184313285"/>
      <w:bookmarkEnd w:id="237"/>
      <w:bookmarkStart w:id="238" w:name="_Toc184312126"/>
      <w:bookmarkEnd w:id="238"/>
      <w:bookmarkStart w:id="239" w:name="_Toc184314435"/>
      <w:bookmarkEnd w:id="239"/>
      <w:bookmarkStart w:id="240" w:name="_Toc184308051"/>
      <w:bookmarkEnd w:id="240"/>
      <w:bookmarkStart w:id="241" w:name="_Toc184308099"/>
      <w:bookmarkEnd w:id="241"/>
      <w:bookmarkStart w:id="242" w:name="_Toc184313251"/>
      <w:bookmarkEnd w:id="242"/>
      <w:bookmarkStart w:id="243" w:name="_Toc184312136"/>
      <w:bookmarkEnd w:id="243"/>
      <w:bookmarkStart w:id="244" w:name="_Toc184312069"/>
      <w:bookmarkEnd w:id="244"/>
      <w:bookmarkStart w:id="245" w:name="_Toc184310340"/>
      <w:bookmarkEnd w:id="245"/>
      <w:bookmarkStart w:id="246" w:name="_Toc184310322"/>
      <w:bookmarkEnd w:id="246"/>
      <w:bookmarkStart w:id="247" w:name="_Toc184314452"/>
      <w:bookmarkEnd w:id="247"/>
      <w:bookmarkStart w:id="248" w:name="_Toc184313258"/>
      <w:bookmarkEnd w:id="248"/>
      <w:bookmarkStart w:id="249" w:name="_Toc184312125"/>
      <w:bookmarkEnd w:id="249"/>
      <w:bookmarkStart w:id="250" w:name="_Toc184312098"/>
      <w:bookmarkEnd w:id="250"/>
      <w:bookmarkStart w:id="251" w:name="_Toc184308054"/>
      <w:bookmarkEnd w:id="251"/>
      <w:bookmarkStart w:id="252" w:name="_Toc184308077"/>
      <w:bookmarkEnd w:id="252"/>
      <w:bookmarkStart w:id="253" w:name="_Toc184308056"/>
      <w:bookmarkEnd w:id="253"/>
      <w:bookmarkStart w:id="254" w:name="_Toc184308073"/>
      <w:bookmarkEnd w:id="254"/>
      <w:bookmarkStart w:id="255" w:name="_Toc184314454"/>
      <w:bookmarkEnd w:id="255"/>
      <w:bookmarkStart w:id="256" w:name="_Toc184314446"/>
      <w:bookmarkEnd w:id="256"/>
      <w:bookmarkStart w:id="257" w:name="_Toc184314456"/>
      <w:bookmarkEnd w:id="257"/>
      <w:bookmarkStart w:id="258" w:name="_Toc184312122"/>
      <w:bookmarkEnd w:id="258"/>
      <w:bookmarkStart w:id="259" w:name="_Toc184310315"/>
      <w:bookmarkEnd w:id="259"/>
      <w:bookmarkStart w:id="260" w:name="_Toc184310330"/>
      <w:bookmarkEnd w:id="260"/>
      <w:bookmarkStart w:id="261" w:name="_Toc184308072"/>
      <w:bookmarkEnd w:id="261"/>
      <w:bookmarkStart w:id="262" w:name="_Toc184313307"/>
      <w:bookmarkEnd w:id="262"/>
      <w:bookmarkStart w:id="263" w:name="_Toc184308047"/>
      <w:bookmarkEnd w:id="263"/>
      <w:bookmarkStart w:id="264" w:name="_Toc184313286"/>
      <w:bookmarkEnd w:id="264"/>
      <w:bookmarkStart w:id="265" w:name="_Toc184312128"/>
      <w:bookmarkEnd w:id="265"/>
      <w:bookmarkStart w:id="266" w:name="_Toc184308080"/>
      <w:bookmarkEnd w:id="266"/>
      <w:bookmarkStart w:id="267" w:name="_Toc184314427"/>
      <w:bookmarkEnd w:id="267"/>
      <w:bookmarkStart w:id="268" w:name="_Toc184313278"/>
      <w:bookmarkEnd w:id="268"/>
      <w:bookmarkStart w:id="269" w:name="_Toc184313293"/>
      <w:bookmarkEnd w:id="269"/>
      <w:bookmarkStart w:id="270" w:name="_Toc184308095"/>
      <w:bookmarkEnd w:id="270"/>
      <w:bookmarkStart w:id="271" w:name="_Toc184314437"/>
      <w:bookmarkEnd w:id="271"/>
      <w:bookmarkStart w:id="272" w:name="_Toc184310309"/>
      <w:bookmarkEnd w:id="272"/>
      <w:bookmarkStart w:id="273" w:name="_Toc184312118"/>
      <w:bookmarkEnd w:id="273"/>
      <w:bookmarkStart w:id="274" w:name="_Toc184310307"/>
      <w:bookmarkEnd w:id="274"/>
      <w:bookmarkStart w:id="275" w:name="_Toc184310338"/>
      <w:bookmarkEnd w:id="275"/>
      <w:bookmarkStart w:id="276" w:name="_Toc184313279"/>
      <w:bookmarkEnd w:id="276"/>
      <w:bookmarkStart w:id="277" w:name="_Toc184308076"/>
      <w:bookmarkEnd w:id="277"/>
      <w:bookmarkStart w:id="278" w:name="_Toc184313253"/>
      <w:bookmarkEnd w:id="278"/>
      <w:bookmarkStart w:id="279" w:name="_Toc184308107"/>
      <w:bookmarkEnd w:id="279"/>
      <w:bookmarkStart w:id="280" w:name="_Toc184310280"/>
      <w:bookmarkEnd w:id="280"/>
      <w:bookmarkStart w:id="281" w:name="_Toc184313247"/>
      <w:bookmarkEnd w:id="281"/>
      <w:bookmarkStart w:id="282" w:name="_Toc184308074"/>
      <w:bookmarkEnd w:id="282"/>
      <w:bookmarkStart w:id="283" w:name="_Toc184313297"/>
      <w:bookmarkEnd w:id="283"/>
      <w:bookmarkStart w:id="284" w:name="_Toc184313290"/>
      <w:bookmarkEnd w:id="284"/>
      <w:bookmarkStart w:id="285" w:name="_Toc184310294"/>
      <w:bookmarkEnd w:id="285"/>
      <w:bookmarkStart w:id="286" w:name="_Toc184310336"/>
      <w:bookmarkEnd w:id="286"/>
      <w:bookmarkStart w:id="287" w:name="_Toc184312090"/>
      <w:bookmarkEnd w:id="287"/>
      <w:bookmarkStart w:id="288" w:name="_Toc184308058"/>
      <w:bookmarkEnd w:id="288"/>
      <w:bookmarkStart w:id="289" w:name="_Toc184308101"/>
      <w:bookmarkEnd w:id="289"/>
      <w:bookmarkStart w:id="290" w:name="_Toc184308078"/>
      <w:bookmarkEnd w:id="290"/>
      <w:bookmarkStart w:id="291" w:name="_Toc184312133"/>
      <w:bookmarkEnd w:id="291"/>
      <w:bookmarkStart w:id="292" w:name="_Toc184312131"/>
      <w:bookmarkEnd w:id="292"/>
      <w:bookmarkStart w:id="293" w:name="_Toc184314455"/>
      <w:bookmarkEnd w:id="293"/>
      <w:bookmarkStart w:id="294" w:name="_Toc184310310"/>
      <w:bookmarkEnd w:id="294"/>
      <w:bookmarkStart w:id="295" w:name="_Toc184313289"/>
      <w:bookmarkEnd w:id="295"/>
      <w:bookmarkStart w:id="296" w:name="_Toc184310327"/>
      <w:bookmarkEnd w:id="296"/>
      <w:bookmarkStart w:id="297" w:name="_Toc184314448"/>
      <w:bookmarkEnd w:id="297"/>
      <w:bookmarkStart w:id="298" w:name="_Toc184310306"/>
      <w:bookmarkEnd w:id="298"/>
      <w:bookmarkStart w:id="299" w:name="_Toc184313291"/>
      <w:bookmarkEnd w:id="299"/>
      <w:bookmarkStart w:id="300" w:name="_Toc184308093"/>
      <w:bookmarkEnd w:id="300"/>
      <w:bookmarkStart w:id="301" w:name="_Toc184313240"/>
      <w:bookmarkEnd w:id="301"/>
      <w:bookmarkStart w:id="302" w:name="_Toc184314469"/>
      <w:bookmarkEnd w:id="302"/>
      <w:bookmarkStart w:id="303" w:name="_Toc184308092"/>
      <w:bookmarkEnd w:id="303"/>
      <w:bookmarkStart w:id="304" w:name="_Toc184314430"/>
      <w:bookmarkEnd w:id="304"/>
      <w:bookmarkStart w:id="305" w:name="_Toc184308060"/>
      <w:bookmarkEnd w:id="305"/>
      <w:bookmarkStart w:id="306" w:name="_Toc184308097"/>
      <w:bookmarkEnd w:id="306"/>
      <w:bookmarkStart w:id="307" w:name="_Toc184310298"/>
      <w:bookmarkEnd w:id="307"/>
      <w:bookmarkStart w:id="308" w:name="_Toc184314464"/>
      <w:bookmarkEnd w:id="308"/>
      <w:bookmarkStart w:id="309" w:name="_Toc184308070"/>
      <w:bookmarkEnd w:id="309"/>
      <w:bookmarkStart w:id="310" w:name="_Toc184313305"/>
      <w:bookmarkEnd w:id="310"/>
      <w:bookmarkStart w:id="311" w:name="_Toc184313296"/>
      <w:bookmarkEnd w:id="311"/>
      <w:bookmarkStart w:id="312" w:name="_Toc184313249"/>
      <w:bookmarkEnd w:id="312"/>
      <w:bookmarkStart w:id="313" w:name="_Toc184310313"/>
      <w:bookmarkEnd w:id="313"/>
      <w:bookmarkStart w:id="314" w:name="_Toc184313250"/>
      <w:bookmarkEnd w:id="314"/>
      <w:bookmarkStart w:id="315" w:name="_Toc184312124"/>
      <w:bookmarkEnd w:id="315"/>
      <w:bookmarkStart w:id="316" w:name="_Toc184313302"/>
      <w:bookmarkEnd w:id="316"/>
      <w:bookmarkStart w:id="317" w:name="_Toc184310302"/>
      <w:bookmarkEnd w:id="317"/>
      <w:bookmarkStart w:id="318" w:name="_Toc184310300"/>
      <w:bookmarkEnd w:id="318"/>
      <w:bookmarkStart w:id="319" w:name="_Toc184314422"/>
      <w:bookmarkEnd w:id="319"/>
      <w:bookmarkStart w:id="320" w:name="_Toc184308069"/>
      <w:bookmarkEnd w:id="320"/>
      <w:bookmarkStart w:id="321" w:name="_Toc184313276"/>
      <w:bookmarkEnd w:id="321"/>
      <w:bookmarkStart w:id="322" w:name="_Toc184314410"/>
      <w:bookmarkEnd w:id="322"/>
      <w:bookmarkStart w:id="323" w:name="_Toc184313284"/>
      <w:bookmarkEnd w:id="323"/>
      <w:bookmarkStart w:id="324" w:name="_Toc184308036"/>
      <w:bookmarkEnd w:id="324"/>
      <w:bookmarkStart w:id="325" w:name="_Toc184308082"/>
      <w:bookmarkEnd w:id="325"/>
      <w:bookmarkStart w:id="326" w:name="_Toc184312103"/>
      <w:bookmarkEnd w:id="326"/>
      <w:bookmarkStart w:id="327" w:name="_Toc184308052"/>
      <w:bookmarkEnd w:id="327"/>
      <w:bookmarkStart w:id="328" w:name="_Toc184312110"/>
      <w:bookmarkEnd w:id="328"/>
      <w:bookmarkStart w:id="329" w:name="_Toc184313269"/>
      <w:bookmarkEnd w:id="329"/>
      <w:bookmarkStart w:id="330" w:name="_Toc184310332"/>
      <w:bookmarkEnd w:id="330"/>
      <w:bookmarkStart w:id="331" w:name="_Toc184312115"/>
      <w:bookmarkEnd w:id="331"/>
      <w:bookmarkStart w:id="332" w:name="_Toc184312107"/>
      <w:bookmarkEnd w:id="332"/>
      <w:bookmarkStart w:id="333" w:name="_Toc184312080"/>
      <w:bookmarkEnd w:id="333"/>
      <w:bookmarkStart w:id="334" w:name="_Toc184308050"/>
      <w:bookmarkEnd w:id="334"/>
      <w:bookmarkStart w:id="335" w:name="_Toc184310293"/>
      <w:bookmarkEnd w:id="335"/>
      <w:bookmarkStart w:id="336" w:name="_Toc184310295"/>
      <w:bookmarkEnd w:id="336"/>
      <w:bookmarkStart w:id="337" w:name="_Toc184310320"/>
      <w:bookmarkEnd w:id="337"/>
      <w:bookmarkStart w:id="338" w:name="_Toc184313252"/>
      <w:bookmarkEnd w:id="338"/>
      <w:bookmarkStart w:id="339" w:name="_Toc184312101"/>
      <w:bookmarkEnd w:id="339"/>
      <w:bookmarkStart w:id="340" w:name="_Toc184310343"/>
      <w:bookmarkEnd w:id="340"/>
      <w:bookmarkStart w:id="341" w:name="_Toc184308063"/>
      <w:bookmarkEnd w:id="341"/>
      <w:bookmarkStart w:id="342" w:name="_Toc184314471"/>
      <w:bookmarkEnd w:id="342"/>
      <w:bookmarkStart w:id="343" w:name="_Toc184312105"/>
      <w:bookmarkEnd w:id="343"/>
      <w:bookmarkStart w:id="344" w:name="_Toc184308053"/>
      <w:bookmarkEnd w:id="344"/>
      <w:bookmarkStart w:id="345" w:name="_Toc184310281"/>
      <w:bookmarkEnd w:id="345"/>
      <w:bookmarkStart w:id="346" w:name="_Toc184313268"/>
      <w:bookmarkEnd w:id="346"/>
      <w:bookmarkStart w:id="347" w:name="_Toc184314426"/>
      <w:bookmarkEnd w:id="347"/>
      <w:bookmarkStart w:id="348" w:name="_Toc184312070"/>
      <w:bookmarkEnd w:id="348"/>
      <w:bookmarkStart w:id="349" w:name="_Toc184314429"/>
      <w:bookmarkEnd w:id="349"/>
      <w:bookmarkStart w:id="350" w:name="_Toc184313292"/>
      <w:bookmarkEnd w:id="350"/>
      <w:bookmarkStart w:id="351" w:name="_Toc184313283"/>
      <w:bookmarkEnd w:id="351"/>
      <w:bookmarkStart w:id="352" w:name="_Toc184313271"/>
      <w:bookmarkEnd w:id="352"/>
      <w:bookmarkStart w:id="353" w:name="_Toc184313275"/>
      <w:bookmarkEnd w:id="353"/>
      <w:bookmarkStart w:id="354" w:name="_Toc184313255"/>
      <w:bookmarkEnd w:id="354"/>
      <w:bookmarkStart w:id="355" w:name="_Toc184313309"/>
      <w:bookmarkEnd w:id="355"/>
      <w:bookmarkStart w:id="356" w:name="_Toc184308045"/>
      <w:bookmarkEnd w:id="356"/>
      <w:bookmarkStart w:id="357" w:name="_Toc184310292"/>
      <w:bookmarkEnd w:id="357"/>
      <w:bookmarkStart w:id="358" w:name="_Toc184314451"/>
      <w:bookmarkEnd w:id="358"/>
      <w:bookmarkStart w:id="359" w:name="_Toc184310282"/>
      <w:bookmarkEnd w:id="359"/>
      <w:bookmarkStart w:id="360" w:name="_Toc184310303"/>
      <w:bookmarkEnd w:id="360"/>
      <w:bookmarkStart w:id="361" w:name="_Toc184314416"/>
      <w:bookmarkEnd w:id="361"/>
      <w:bookmarkStart w:id="362" w:name="_Toc184308042"/>
      <w:bookmarkEnd w:id="362"/>
      <w:bookmarkStart w:id="363" w:name="_Toc184314433"/>
      <w:bookmarkEnd w:id="363"/>
      <w:bookmarkStart w:id="364" w:name="_Toc184312097"/>
      <w:bookmarkEnd w:id="364"/>
      <w:bookmarkStart w:id="365" w:name="_Toc184312100"/>
      <w:bookmarkEnd w:id="365"/>
      <w:bookmarkStart w:id="366" w:name="_Toc184308083"/>
      <w:bookmarkEnd w:id="366"/>
      <w:bookmarkStart w:id="367" w:name="_Toc184308106"/>
      <w:bookmarkEnd w:id="367"/>
      <w:bookmarkStart w:id="368" w:name="_Toc184314479"/>
      <w:bookmarkEnd w:id="368"/>
      <w:bookmarkStart w:id="369" w:name="_Toc184310314"/>
      <w:bookmarkEnd w:id="369"/>
      <w:bookmarkStart w:id="370" w:name="_Toc184308067"/>
      <w:bookmarkEnd w:id="370"/>
      <w:bookmarkStart w:id="371" w:name="_Toc184312111"/>
      <w:bookmarkEnd w:id="371"/>
      <w:bookmarkStart w:id="372" w:name="_Toc184310279"/>
      <w:bookmarkEnd w:id="372"/>
      <w:bookmarkStart w:id="373" w:name="_Toc184308071"/>
      <w:bookmarkEnd w:id="373"/>
      <w:bookmarkStart w:id="374" w:name="_Toc184312071"/>
      <w:bookmarkEnd w:id="374"/>
      <w:bookmarkStart w:id="375" w:name="_Toc184310342"/>
      <w:bookmarkEnd w:id="375"/>
      <w:bookmarkStart w:id="376" w:name="_Toc184310344"/>
      <w:bookmarkEnd w:id="376"/>
      <w:bookmarkStart w:id="377" w:name="_Toc184313254"/>
      <w:bookmarkEnd w:id="377"/>
      <w:bookmarkStart w:id="378" w:name="_Toc184310277"/>
      <w:bookmarkEnd w:id="378"/>
      <w:bookmarkStart w:id="379" w:name="_Toc184314461"/>
      <w:bookmarkEnd w:id="379"/>
      <w:bookmarkStart w:id="380" w:name="_Toc184314447"/>
      <w:bookmarkEnd w:id="380"/>
      <w:bookmarkStart w:id="381" w:name="_Toc184313259"/>
      <w:bookmarkEnd w:id="381"/>
      <w:bookmarkStart w:id="382" w:name="_Toc184313266"/>
      <w:bookmarkEnd w:id="382"/>
      <w:bookmarkStart w:id="383" w:name="_Toc184312092"/>
      <w:bookmarkEnd w:id="383"/>
      <w:bookmarkStart w:id="384" w:name="_Toc184314467"/>
      <w:bookmarkEnd w:id="384"/>
      <w:bookmarkStart w:id="385" w:name="_Toc184314442"/>
      <w:bookmarkEnd w:id="385"/>
      <w:bookmarkStart w:id="386" w:name="_Toc184313272"/>
      <w:bookmarkEnd w:id="386"/>
      <w:bookmarkStart w:id="387" w:name="_Toc184314457"/>
      <w:bookmarkEnd w:id="387"/>
      <w:bookmarkStart w:id="388" w:name="_Toc184313239"/>
      <w:bookmarkEnd w:id="388"/>
      <w:bookmarkStart w:id="389" w:name="_Toc184313243"/>
      <w:bookmarkEnd w:id="389"/>
      <w:bookmarkStart w:id="390" w:name="_Toc184310339"/>
      <w:bookmarkEnd w:id="390"/>
      <w:bookmarkStart w:id="391" w:name="_Toc184314480"/>
      <w:bookmarkEnd w:id="391"/>
      <w:r>
        <w:rPr>
          <w:rFonts w:hint="eastAsia" w:ascii="宋体" w:hAnsi="宋体" w:cs="宋体"/>
          <w:b/>
          <w:color w:val="000000" w:themeColor="text1"/>
          <w:sz w:val="36"/>
          <w:szCs w:val="36"/>
          <w:highlight w:val="none"/>
          <w14:textFill>
            <w14:solidFill>
              <w14:schemeClr w14:val="tx1"/>
            </w14:solidFill>
          </w14:textFill>
        </w:rPr>
        <w:t>评标办法</w:t>
      </w:r>
    </w:p>
    <w:p>
      <w:pPr>
        <w:snapToGrid w:val="0"/>
        <w:jc w:val="center"/>
        <w:rPr>
          <w:rFonts w:ascii="宋体" w:hAnsi="宋体" w:cs="宋体"/>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评标办法前附表</w:t>
      </w:r>
    </w:p>
    <w:tbl>
      <w:tblPr>
        <w:tblStyle w:val="63"/>
        <w:tblpPr w:leftFromText="180" w:rightFromText="180" w:vertAnchor="text" w:horzAnchor="page" w:tblpX="764" w:tblpY="126"/>
        <w:tblW w:w="106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0"/>
        <w:gridCol w:w="7160"/>
        <w:gridCol w:w="1050"/>
        <w:gridCol w:w="14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940" w:type="dxa"/>
            <w:vAlign w:val="center"/>
          </w:tcPr>
          <w:p>
            <w:pPr>
              <w:adjustRightInd/>
              <w:spacing w:line="312" w:lineRule="auto"/>
              <w:jc w:val="center"/>
              <w:outlineLvl w:val="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7160" w:type="dxa"/>
            <w:vAlign w:val="center"/>
          </w:tcPr>
          <w:p>
            <w:pPr>
              <w:adjustRightInd/>
              <w:spacing w:line="312" w:lineRule="auto"/>
              <w:ind w:firstLine="1566" w:firstLineChars="650"/>
              <w:outlineLvl w:val="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评标标准</w:t>
            </w:r>
          </w:p>
        </w:tc>
        <w:tc>
          <w:tcPr>
            <w:tcW w:w="1050" w:type="dxa"/>
            <w:vAlign w:val="center"/>
          </w:tcPr>
          <w:p>
            <w:pPr>
              <w:adjustRightInd/>
              <w:spacing w:line="312" w:lineRule="auto"/>
              <w:jc w:val="center"/>
              <w:outlineLvl w:val="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权重</w:t>
            </w:r>
          </w:p>
        </w:tc>
        <w:tc>
          <w:tcPr>
            <w:tcW w:w="1486" w:type="dxa"/>
          </w:tcPr>
          <w:p>
            <w:pPr>
              <w:adjustRightInd/>
              <w:jc w:val="center"/>
              <w:outlineLvl w:val="0"/>
              <w:rPr>
                <w:rFonts w:ascii="宋体" w:hAnsi="宋体" w:cs="宋体"/>
                <w:b/>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采购文件中评标标准相应的商务技术资料目录</w:t>
            </w:r>
            <w:r>
              <w:rPr>
                <w:rFonts w:hint="eastAsia" w:ascii="宋体" w:hAnsi="宋体" w:cs="宋体"/>
                <w:bCs/>
                <w:color w:val="000000" w:themeColor="text1"/>
                <w:sz w:val="24"/>
                <w:highlight w:val="none"/>
                <w:shd w:val="clear" w:color="auto" w:fill="FFFFFF"/>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7" w:hRule="atLeast"/>
        </w:trPr>
        <w:tc>
          <w:tcPr>
            <w:tcW w:w="940" w:type="dxa"/>
            <w:vAlign w:val="center"/>
          </w:tcPr>
          <w:p>
            <w:pPr>
              <w:adjustRightInd/>
              <w:spacing w:line="312" w:lineRule="auto"/>
              <w:ind w:firstLine="360" w:firstLineChars="150"/>
              <w:jc w:val="left"/>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7160" w:type="dxa"/>
            <w:vAlign w:val="center"/>
          </w:tcPr>
          <w:p>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类似项目业绩：供应商自2019年1月1日以来具有博物馆、展示馆类似项目业绩的，每个得1分；最高得3分。</w:t>
            </w:r>
          </w:p>
          <w:p>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证明材料：提供与政府签订（出具）的合同或委托协议书或业绩证明。采购人在项目评审至合同签订、履约期间，有权要求供应商出具采购文件中的合同原件，予以确认其案例的真实性和有效性，如出现与事实不符等情况，将根据有关规定以“提供虚假材料谋取中标（成交）”予以处理。</w:t>
            </w:r>
          </w:p>
        </w:tc>
        <w:tc>
          <w:tcPr>
            <w:tcW w:w="1050" w:type="dxa"/>
            <w:vAlign w:val="center"/>
          </w:tcPr>
          <w:p>
            <w:pPr>
              <w:pStyle w:val="35"/>
              <w:adjustRightInd/>
              <w:spacing w:line="312" w:lineRule="auto"/>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0-3分</w:t>
            </w:r>
          </w:p>
        </w:tc>
        <w:tc>
          <w:tcPr>
            <w:tcW w:w="1486" w:type="dxa"/>
            <w:vAlign w:val="center"/>
          </w:tcPr>
          <w:p>
            <w:pPr>
              <w:adjustRightInd/>
              <w:spacing w:line="312" w:lineRule="auto"/>
              <w:jc w:val="center"/>
              <w:outlineLvl w:val="0"/>
              <w:rPr>
                <w:rFonts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trPr>
        <w:tc>
          <w:tcPr>
            <w:tcW w:w="940" w:type="dxa"/>
            <w:vAlign w:val="center"/>
          </w:tcPr>
          <w:p>
            <w:pPr>
              <w:adjustRightInd/>
              <w:spacing w:line="312" w:lineRule="auto"/>
              <w:ind w:firstLine="360" w:firstLineChars="150"/>
              <w:jc w:val="left"/>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7160" w:type="dxa"/>
            <w:vAlign w:val="center"/>
          </w:tcPr>
          <w:p>
            <w:pPr>
              <w:adjustRightInd/>
              <w:spacing w:line="312" w:lineRule="auto"/>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设计方案深化</w:t>
            </w:r>
          </w:p>
          <w:p>
            <w:pPr>
              <w:adjustRightInd/>
              <w:spacing w:line="312" w:lineRule="auto"/>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以序厅伞道</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伞与文化区域</w:t>
            </w:r>
            <w:r>
              <w:rPr>
                <w:rFonts w:hint="eastAsia" w:ascii="宋体" w:hAnsi="宋体" w:cs="宋体"/>
                <w:color w:val="000000" w:themeColor="text1"/>
                <w:sz w:val="24"/>
                <w:highlight w:val="none"/>
                <w:lang w:eastAsia="zh-CN"/>
                <w14:textFill>
                  <w14:solidFill>
                    <w14:schemeClr w14:val="tx1"/>
                  </w14:solidFill>
                </w14:textFill>
              </w:rPr>
              <w:t>两处</w:t>
            </w:r>
            <w:r>
              <w:rPr>
                <w:rFonts w:hint="eastAsia" w:ascii="宋体" w:hAnsi="宋体" w:cs="宋体"/>
                <w:color w:val="000000" w:themeColor="text1"/>
                <w:sz w:val="24"/>
                <w:highlight w:val="none"/>
                <w14:textFill>
                  <w14:solidFill>
                    <w14:schemeClr w14:val="tx1"/>
                  </w14:solidFill>
                </w14:textFill>
              </w:rPr>
              <w:t>为例，在原有的初步设计方案基础上深化设计，整体思路是否有针对性考虑的评审；</w:t>
            </w:r>
          </w:p>
          <w:p>
            <w:pPr>
              <w:adjustRightInd/>
              <w:spacing w:line="312" w:lineRule="auto"/>
              <w:jc w:val="left"/>
              <w:rPr>
                <w:rFonts w:hint="default"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该两处多媒体内容及特效样片的审美、与</w:t>
            </w:r>
            <w:r>
              <w:rPr>
                <w:rFonts w:hint="eastAsia" w:ascii="宋体" w:hAnsi="宋体" w:cs="宋体"/>
                <w:color w:val="000000" w:themeColor="text1"/>
                <w:sz w:val="24"/>
                <w:highlight w:val="none"/>
                <w14:textFill>
                  <w14:solidFill>
                    <w14:schemeClr w14:val="tx1"/>
                  </w14:solidFill>
                </w14:textFill>
              </w:rPr>
              <w:t>效果图</w:t>
            </w:r>
            <w:r>
              <w:rPr>
                <w:rFonts w:hint="eastAsia" w:ascii="宋体" w:hAnsi="宋体" w:cs="宋体"/>
                <w:color w:val="000000" w:themeColor="text1"/>
                <w:sz w:val="24"/>
                <w:highlight w:val="none"/>
                <w:lang w:eastAsia="zh-CN"/>
                <w14:textFill>
                  <w14:solidFill>
                    <w14:schemeClr w14:val="tx1"/>
                  </w14:solidFill>
                </w14:textFill>
              </w:rPr>
              <w:t>契合度</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与博物馆的风格定位是否一致</w:t>
            </w:r>
            <w:r>
              <w:rPr>
                <w:rFonts w:hint="eastAsia" w:ascii="宋体" w:hAnsi="宋体" w:cs="宋体"/>
                <w:color w:val="000000" w:themeColor="text1"/>
                <w:sz w:val="24"/>
                <w:highlight w:val="none"/>
                <w14:textFill>
                  <w14:solidFill>
                    <w14:schemeClr w14:val="tx1"/>
                  </w14:solidFill>
                </w14:textFill>
              </w:rPr>
              <w:t>评审</w:t>
            </w:r>
            <w:r>
              <w:rPr>
                <w:rFonts w:hint="eastAsia" w:ascii="宋体" w:hAnsi="宋体" w:cs="宋体"/>
                <w:color w:val="000000" w:themeColor="text1"/>
                <w:sz w:val="24"/>
                <w:highlight w:val="none"/>
                <w:lang w:eastAsia="zh-CN"/>
                <w14:textFill>
                  <w14:solidFill>
                    <w14:schemeClr w14:val="tx1"/>
                  </w14:solidFill>
                </w14:textFill>
              </w:rPr>
              <w:t>，每项</w:t>
            </w:r>
            <w:r>
              <w:rPr>
                <w:rFonts w:hint="eastAsia" w:ascii="宋体" w:hAnsi="宋体" w:cs="宋体"/>
                <w:color w:val="000000" w:themeColor="text1"/>
                <w:sz w:val="24"/>
                <w:highlight w:val="none"/>
                <w:lang w:val="en-US" w:eastAsia="zh-CN"/>
                <w14:textFill>
                  <w14:solidFill>
                    <w14:schemeClr w14:val="tx1"/>
                  </w14:solidFill>
                </w14:textFill>
              </w:rPr>
              <w:t>3分，最高6分，缺少任意一处设计均不的分。</w:t>
            </w:r>
          </w:p>
          <w:p>
            <w:pPr>
              <w:adjustRightInd/>
              <w:spacing w:line="312" w:lineRule="auto"/>
              <w:jc w:val="left"/>
              <w:rPr>
                <w:rFonts w:ascii="Times New Roman" w:hAnsi="Times New Roman" w:cs="Times New Roman"/>
                <w:color w:val="000000" w:themeColor="text1"/>
                <w:sz w:val="2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eastAsia="zh-CN"/>
                <w14:textFill>
                  <w14:solidFill>
                    <w14:schemeClr w14:val="tx1"/>
                  </w14:solidFill>
                </w14:textFill>
              </w:rPr>
              <w:t>根据该两处基础设施装修</w:t>
            </w:r>
            <w:r>
              <w:rPr>
                <w:rFonts w:hint="eastAsia" w:ascii="宋体" w:hAnsi="宋体" w:cs="宋体"/>
                <w:color w:val="000000" w:themeColor="text1"/>
                <w:sz w:val="24"/>
                <w:highlight w:val="none"/>
                <w14:textFill>
                  <w14:solidFill>
                    <w14:schemeClr w14:val="tx1"/>
                  </w14:solidFill>
                </w14:textFill>
              </w:rPr>
              <w:t>出具施工图，展陈搭建比例尺度、材料搭配是否与效果图相契合评审，</w:t>
            </w:r>
            <w:r>
              <w:rPr>
                <w:rFonts w:hint="eastAsia" w:ascii="宋体" w:hAnsi="宋体" w:cs="宋体"/>
                <w:color w:val="000000" w:themeColor="text1"/>
                <w:sz w:val="24"/>
                <w:highlight w:val="none"/>
                <w:lang w:eastAsia="zh-CN"/>
                <w14:textFill>
                  <w14:solidFill>
                    <w14:schemeClr w14:val="tx1"/>
                  </w14:solidFill>
                </w14:textFill>
              </w:rPr>
              <w:t>每项</w:t>
            </w:r>
            <w:r>
              <w:rPr>
                <w:rFonts w:hint="eastAsia" w:ascii="宋体" w:hAnsi="宋体" w:cs="宋体"/>
                <w:color w:val="000000" w:themeColor="text1"/>
                <w:sz w:val="24"/>
                <w:highlight w:val="none"/>
                <w:lang w:val="en-US" w:eastAsia="zh-CN"/>
                <w14:textFill>
                  <w14:solidFill>
                    <w14:schemeClr w14:val="tx1"/>
                  </w14:solidFill>
                </w14:textFill>
              </w:rPr>
              <w:t>2分，最高4分，缺少任意一处设计均不的分</w:t>
            </w:r>
            <w:r>
              <w:rPr>
                <w:rFonts w:hint="eastAsia" w:ascii="宋体" w:hAnsi="宋体" w:cs="宋体"/>
                <w:color w:val="000000" w:themeColor="text1"/>
                <w:sz w:val="24"/>
                <w:highlight w:val="none"/>
                <w14:textFill>
                  <w14:solidFill>
                    <w14:schemeClr w14:val="tx1"/>
                  </w14:solidFill>
                </w14:textFill>
              </w:rPr>
              <w:t>；</w:t>
            </w:r>
          </w:p>
        </w:tc>
        <w:tc>
          <w:tcPr>
            <w:tcW w:w="1050" w:type="dxa"/>
            <w:vAlign w:val="center"/>
          </w:tcPr>
          <w:p>
            <w:pPr>
              <w:pStyle w:val="35"/>
              <w:adjustRightInd/>
              <w:spacing w:line="312" w:lineRule="auto"/>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0～</w:t>
            </w:r>
            <w:r>
              <w:rPr>
                <w:rFonts w:hint="eastAsia" w:hAnsi="宋体" w:cs="宋体"/>
                <w:color w:val="000000" w:themeColor="text1"/>
                <w:sz w:val="24"/>
                <w:szCs w:val="24"/>
                <w:highlight w:val="none"/>
                <w:lang w:val="en-US" w:eastAsia="zh-CN"/>
                <w14:textFill>
                  <w14:solidFill>
                    <w14:schemeClr w14:val="tx1"/>
                  </w14:solidFill>
                </w14:textFill>
              </w:rPr>
              <w:t>10</w:t>
            </w:r>
            <w:r>
              <w:rPr>
                <w:rFonts w:hint="eastAsia" w:hAnsi="宋体" w:cs="宋体"/>
                <w:color w:val="000000" w:themeColor="text1"/>
                <w:sz w:val="24"/>
                <w:szCs w:val="24"/>
                <w:highlight w:val="none"/>
                <w14:textFill>
                  <w14:solidFill>
                    <w14:schemeClr w14:val="tx1"/>
                  </w14:solidFill>
                </w14:textFill>
              </w:rPr>
              <w:t>分</w:t>
            </w:r>
          </w:p>
        </w:tc>
        <w:tc>
          <w:tcPr>
            <w:tcW w:w="1486" w:type="dxa"/>
            <w:vAlign w:val="center"/>
          </w:tcPr>
          <w:p>
            <w:pPr>
              <w:adjustRightInd/>
              <w:spacing w:line="312" w:lineRule="auto"/>
              <w:jc w:val="center"/>
              <w:outlineLvl w:val="0"/>
              <w:rPr>
                <w:rFonts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trPr>
        <w:tc>
          <w:tcPr>
            <w:tcW w:w="940" w:type="dxa"/>
            <w:vAlign w:val="center"/>
          </w:tcPr>
          <w:p>
            <w:pPr>
              <w:adjustRightInd/>
              <w:spacing w:line="312" w:lineRule="auto"/>
              <w:ind w:firstLine="360" w:firstLineChars="150"/>
              <w:jc w:val="left"/>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7160" w:type="dxa"/>
            <w:vAlign w:val="center"/>
          </w:tcPr>
          <w:p>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产品与需求的吻合程度：（1）投标产品的基本功能、技术指标与需求的吻合程度和偏差情况（包括所投标产品的详细配置、主要技术参数、随机软件、证明材料等），是否能够满足招标文件中带“★”的技术指标要求；技术指标中带“★”有负偏离的每项扣15分，扣完为止（注：采购需求中要求提供设备参数证明材料的，缺少证明材料或承诺函，视为负偏离），满分15分；</w:t>
            </w:r>
          </w:p>
        </w:tc>
        <w:tc>
          <w:tcPr>
            <w:tcW w:w="1050" w:type="dxa"/>
            <w:vAlign w:val="center"/>
          </w:tcPr>
          <w:p>
            <w:pPr>
              <w:pStyle w:val="35"/>
              <w:adjustRightInd/>
              <w:spacing w:line="312" w:lineRule="auto"/>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0～15</w:t>
            </w:r>
            <w:r>
              <w:rPr>
                <w:rFonts w:hint="eastAsia" w:hAnsi="宋体" w:cs="宋体"/>
                <w:color w:val="000000" w:themeColor="text1"/>
                <w:sz w:val="24"/>
                <w:szCs w:val="24"/>
                <w:highlight w:val="none"/>
                <w:lang w:val="zh-CN"/>
                <w14:textFill>
                  <w14:solidFill>
                    <w14:schemeClr w14:val="tx1"/>
                  </w14:solidFill>
                </w14:textFill>
              </w:rPr>
              <w:t>分</w:t>
            </w:r>
          </w:p>
        </w:tc>
        <w:tc>
          <w:tcPr>
            <w:tcW w:w="1486" w:type="dxa"/>
            <w:vAlign w:val="center"/>
          </w:tcPr>
          <w:p>
            <w:pPr>
              <w:adjustRightInd/>
              <w:spacing w:line="312" w:lineRule="auto"/>
              <w:jc w:val="center"/>
              <w:outlineLvl w:val="0"/>
              <w:rPr>
                <w:rFonts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trPr>
        <w:tc>
          <w:tcPr>
            <w:tcW w:w="940" w:type="dxa"/>
            <w:vAlign w:val="center"/>
          </w:tcPr>
          <w:p>
            <w:pPr>
              <w:adjustRightInd/>
              <w:spacing w:line="312" w:lineRule="auto"/>
              <w:ind w:firstLine="360" w:firstLineChars="150"/>
              <w:jc w:val="left"/>
              <w:outlineLvl w:val="0"/>
              <w:rPr>
                <w:rFonts w:ascii="宋体" w:hAnsi="宋体" w:cs="宋体"/>
                <w:color w:val="000000" w:themeColor="text1"/>
                <w:sz w:val="24"/>
                <w:highlight w:val="none"/>
                <w14:textFill>
                  <w14:solidFill>
                    <w14:schemeClr w14:val="tx1"/>
                  </w14:solidFill>
                </w14:textFill>
              </w:rPr>
            </w:pPr>
          </w:p>
        </w:tc>
        <w:tc>
          <w:tcPr>
            <w:tcW w:w="7160" w:type="dxa"/>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供应商需根据本次招标需求的理解程度、针对</w:t>
            </w:r>
            <w:r>
              <w:rPr>
                <w:rFonts w:hint="eastAsia" w:ascii="宋体" w:hAnsi="宋体" w:cs="宋体"/>
                <w:color w:val="000000" w:themeColor="text1"/>
                <w:sz w:val="24"/>
                <w:highlight w:val="none"/>
                <w14:textFill>
                  <w14:solidFill>
                    <w14:schemeClr w14:val="tx1"/>
                  </w14:solidFill>
                </w14:textFill>
              </w:rPr>
              <w:t>①一层伞博物馆序厅；②古画中的伞区域；③杨常利伞铺；④伞与文化区域；⑤伞剧场；⑥雨巷；⑦英国伞街的使用需求提供优化建议及方案</w:t>
            </w:r>
            <w:r>
              <w:rPr>
                <w:rFonts w:ascii="宋体" w:hAnsi="宋体" w:cs="宋体"/>
                <w:color w:val="000000" w:themeColor="text1"/>
                <w:sz w:val="24"/>
                <w:highlight w:val="none"/>
                <w14:textFill>
                  <w14:solidFill>
                    <w14:schemeClr w14:val="tx1"/>
                  </w14:solidFill>
                </w14:textFill>
              </w:rPr>
              <w:t>。评委会根据供应商所提供方案进行评分。</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所提供方案完全贴合采购人实际需要</w:t>
            </w:r>
            <w:r>
              <w:rPr>
                <w:rFonts w:hint="eastAsia" w:ascii="宋体" w:hAnsi="宋体" w:cs="宋体"/>
                <w:color w:val="000000" w:themeColor="text1"/>
                <w:sz w:val="24"/>
                <w:highlight w:val="none"/>
                <w14:textFill>
                  <w14:solidFill>
                    <w14:schemeClr w14:val="tx1"/>
                  </w14:solidFill>
                </w14:textFill>
              </w:rPr>
              <w:t>和项目特点</w:t>
            </w:r>
            <w:r>
              <w:rPr>
                <w:rFonts w:ascii="宋体" w:hAnsi="宋体" w:cs="宋体"/>
                <w:color w:val="000000" w:themeColor="text1"/>
                <w:sz w:val="24"/>
                <w:highlight w:val="none"/>
                <w14:textFill>
                  <w14:solidFill>
                    <w14:schemeClr w14:val="tx1"/>
                  </w14:solidFill>
                </w14:textFill>
              </w:rPr>
              <w:t>，设计标准符合规范、内容完整详实可操作性强， 有针对性及技术亮点的特色方案得</w:t>
            </w:r>
            <w:r>
              <w:rPr>
                <w:rFonts w:hint="eastAsia" w:ascii="宋体" w:hAnsi="宋体" w:cs="宋体"/>
                <w:color w:val="000000" w:themeColor="text1"/>
                <w:sz w:val="24"/>
                <w:highlight w:val="none"/>
                <w14:textFill>
                  <w14:solidFill>
                    <w14:schemeClr w14:val="tx1"/>
                  </w14:solidFill>
                </w14:textFill>
              </w:rPr>
              <w:t>每项得2分，最高得14分</w:t>
            </w:r>
            <w:r>
              <w:rPr>
                <w:rFonts w:ascii="宋体" w:hAnsi="宋体" w:cs="宋体"/>
                <w:color w:val="000000" w:themeColor="text1"/>
                <w:sz w:val="24"/>
                <w:highlight w:val="none"/>
                <w14:textFill>
                  <w14:solidFill>
                    <w14:schemeClr w14:val="tx1"/>
                  </w14:solidFill>
                </w14:textFill>
              </w:rPr>
              <w:t>。</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所提供方案符合项目需要，内容</w:t>
            </w:r>
            <w:r>
              <w:rPr>
                <w:rFonts w:hint="eastAsia" w:ascii="宋体" w:hAnsi="宋体" w:cs="宋体"/>
                <w:color w:val="000000" w:themeColor="text1"/>
                <w:sz w:val="24"/>
                <w:highlight w:val="none"/>
                <w:lang w:eastAsia="zh-CN"/>
                <w14:textFill>
                  <w14:solidFill>
                    <w14:schemeClr w14:val="tx1"/>
                  </w14:solidFill>
                </w14:textFill>
              </w:rPr>
              <w:t>有</w:t>
            </w:r>
            <w:r>
              <w:rPr>
                <w:rFonts w:hint="eastAsia" w:ascii="宋体" w:hAnsi="宋体" w:cs="宋体"/>
                <w:color w:val="000000" w:themeColor="text1"/>
                <w:sz w:val="24"/>
                <w:highlight w:val="none"/>
                <w14:textFill>
                  <w14:solidFill>
                    <w14:schemeClr w14:val="tx1"/>
                  </w14:solidFill>
                </w14:textFill>
              </w:rPr>
              <w:t>亮点</w:t>
            </w:r>
            <w:r>
              <w:rPr>
                <w:rFonts w:ascii="宋体" w:hAnsi="宋体" w:cs="宋体"/>
                <w:color w:val="000000" w:themeColor="text1"/>
                <w:sz w:val="24"/>
                <w:highlight w:val="none"/>
                <w14:textFill>
                  <w14:solidFill>
                    <w14:schemeClr w14:val="tx1"/>
                  </w14:solidFill>
                </w14:textFill>
              </w:rPr>
              <w:t>，且所提供的深化</w:t>
            </w:r>
            <w:r>
              <w:rPr>
                <w:rFonts w:hint="eastAsia" w:ascii="宋体" w:hAnsi="宋体" w:cs="宋体"/>
                <w:color w:val="000000" w:themeColor="text1"/>
                <w:sz w:val="24"/>
                <w:highlight w:val="none"/>
                <w14:textFill>
                  <w14:solidFill>
                    <w14:schemeClr w14:val="tx1"/>
                  </w14:solidFill>
                </w14:textFill>
              </w:rPr>
              <w:t>方案</w:t>
            </w:r>
            <w:r>
              <w:rPr>
                <w:rFonts w:ascii="宋体" w:hAnsi="宋体" w:cs="宋体"/>
                <w:color w:val="000000" w:themeColor="text1"/>
                <w:sz w:val="24"/>
                <w:highlight w:val="none"/>
                <w14:textFill>
                  <w14:solidFill>
                    <w14:schemeClr w14:val="tx1"/>
                  </w14:solidFill>
                </w14:textFill>
              </w:rPr>
              <w:t>完整，基本满足采购人需要的得</w:t>
            </w:r>
            <w:r>
              <w:rPr>
                <w:rFonts w:hint="eastAsia" w:ascii="宋体" w:hAnsi="宋体" w:cs="宋体"/>
                <w:color w:val="000000" w:themeColor="text1"/>
                <w:sz w:val="24"/>
                <w:highlight w:val="none"/>
                <w:lang w:eastAsia="zh-CN"/>
                <w14:textFill>
                  <w14:solidFill>
                    <w14:schemeClr w14:val="tx1"/>
                  </w14:solidFill>
                </w14:textFill>
              </w:rPr>
              <w:t>，每处得</w:t>
            </w:r>
            <w:r>
              <w:rPr>
                <w:rFonts w:hint="eastAsia" w:ascii="宋体" w:hAnsi="宋体" w:cs="宋体"/>
                <w:color w:val="000000" w:themeColor="text1"/>
                <w:sz w:val="24"/>
                <w:highlight w:val="none"/>
                <w14:textFill>
                  <w14:solidFill>
                    <w14:schemeClr w14:val="tx1"/>
                  </w14:solidFill>
                </w14:textFill>
              </w:rPr>
              <w:t>1</w:t>
            </w:r>
            <w:r>
              <w:rPr>
                <w:rFonts w:ascii="宋体" w:hAnsi="宋体" w:cs="宋体"/>
                <w:color w:val="000000" w:themeColor="text1"/>
                <w:sz w:val="24"/>
                <w:highlight w:val="none"/>
                <w14:textFill>
                  <w14:solidFill>
                    <w14:schemeClr w14:val="tx1"/>
                  </w14:solidFill>
                </w14:textFill>
              </w:rPr>
              <w:t>分</w:t>
            </w:r>
            <w:r>
              <w:rPr>
                <w:rFonts w:hint="eastAsia" w:ascii="宋体" w:hAnsi="宋体" w:cs="宋体"/>
                <w:color w:val="000000" w:themeColor="text1"/>
                <w:sz w:val="24"/>
                <w:highlight w:val="none"/>
                <w14:textFill>
                  <w14:solidFill>
                    <w14:schemeClr w14:val="tx1"/>
                  </w14:solidFill>
                </w14:textFill>
              </w:rPr>
              <w:t>，最高得7分；</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r>
              <w:rPr>
                <w:rFonts w:ascii="宋体" w:hAnsi="宋体" w:cs="宋体"/>
                <w:color w:val="000000" w:themeColor="text1"/>
                <w:sz w:val="24"/>
                <w:highlight w:val="none"/>
                <w14:textFill>
                  <w14:solidFill>
                    <w14:schemeClr w14:val="tx1"/>
                  </w14:solidFill>
                </w14:textFill>
              </w:rPr>
              <w:t>所提供方案与采购人实际需要有一定距离且提供的深化</w:t>
            </w:r>
            <w:r>
              <w:rPr>
                <w:rFonts w:hint="eastAsia" w:ascii="宋体" w:hAnsi="宋体" w:cs="宋体"/>
                <w:color w:val="000000" w:themeColor="text1"/>
                <w:sz w:val="24"/>
                <w:highlight w:val="none"/>
                <w14:textFill>
                  <w14:solidFill>
                    <w14:schemeClr w14:val="tx1"/>
                  </w14:solidFill>
                </w14:textFill>
              </w:rPr>
              <w:t>方案不完整的</w:t>
            </w:r>
            <w:r>
              <w:rPr>
                <w:rFonts w:ascii="宋体" w:hAnsi="宋体" w:cs="宋体"/>
                <w:color w:val="000000" w:themeColor="text1"/>
                <w:sz w:val="24"/>
                <w:highlight w:val="none"/>
                <w14:textFill>
                  <w14:solidFill>
                    <w14:schemeClr w14:val="tx1"/>
                  </w14:solidFill>
                </w14:textFill>
              </w:rPr>
              <w:t>，得</w:t>
            </w:r>
            <w:r>
              <w:rPr>
                <w:rFonts w:hint="eastAsia" w:ascii="宋体" w:hAnsi="宋体" w:cs="宋体"/>
                <w:color w:val="000000" w:themeColor="text1"/>
                <w:sz w:val="24"/>
                <w:highlight w:val="none"/>
                <w14:textFill>
                  <w14:solidFill>
                    <w14:schemeClr w14:val="tx1"/>
                  </w14:solidFill>
                </w14:textFill>
              </w:rPr>
              <w:t>0.5</w:t>
            </w:r>
            <w:r>
              <w:rPr>
                <w:rFonts w:ascii="宋体" w:hAnsi="宋体" w:cs="宋体"/>
                <w:color w:val="000000" w:themeColor="text1"/>
                <w:sz w:val="24"/>
                <w:highlight w:val="none"/>
                <w14:textFill>
                  <w14:solidFill>
                    <w14:schemeClr w14:val="tx1"/>
                  </w14:solidFill>
                </w14:textFill>
              </w:rPr>
              <w:t>分</w:t>
            </w:r>
            <w:r>
              <w:rPr>
                <w:rFonts w:hint="eastAsia" w:ascii="宋体" w:hAnsi="宋体" w:cs="宋体"/>
                <w:color w:val="000000" w:themeColor="text1"/>
                <w:sz w:val="24"/>
                <w:highlight w:val="none"/>
                <w14:textFill>
                  <w14:solidFill>
                    <w14:schemeClr w14:val="tx1"/>
                  </w14:solidFill>
                </w14:textFill>
              </w:rPr>
              <w:t>，最高得3.5分。</w:t>
            </w:r>
          </w:p>
          <w:p>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r>
              <w:rPr>
                <w:rFonts w:ascii="宋体" w:hAnsi="宋体" w:cs="宋体"/>
                <w:color w:val="000000" w:themeColor="text1"/>
                <w:sz w:val="24"/>
                <w:highlight w:val="none"/>
                <w14:textFill>
                  <w14:solidFill>
                    <w14:schemeClr w14:val="tx1"/>
                  </w14:solidFill>
                </w14:textFill>
              </w:rPr>
              <w:t>未提供或所提交方案不匹配项目实际情况且不具备可操作性，不得分。</w:t>
            </w:r>
          </w:p>
        </w:tc>
        <w:tc>
          <w:tcPr>
            <w:tcW w:w="1050" w:type="dxa"/>
            <w:vAlign w:val="center"/>
          </w:tcPr>
          <w:p>
            <w:pPr>
              <w:pStyle w:val="35"/>
              <w:adjustRightInd/>
              <w:spacing w:line="312" w:lineRule="auto"/>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0～14</w:t>
            </w:r>
            <w:r>
              <w:rPr>
                <w:rFonts w:hint="eastAsia" w:hAnsi="宋体" w:cs="宋体"/>
                <w:color w:val="000000" w:themeColor="text1"/>
                <w:sz w:val="24"/>
                <w:szCs w:val="24"/>
                <w:highlight w:val="none"/>
                <w:lang w:val="zh-CN"/>
                <w14:textFill>
                  <w14:solidFill>
                    <w14:schemeClr w14:val="tx1"/>
                  </w14:solidFill>
                </w14:textFill>
              </w:rPr>
              <w:t>分</w:t>
            </w:r>
          </w:p>
        </w:tc>
        <w:tc>
          <w:tcPr>
            <w:tcW w:w="1486" w:type="dxa"/>
            <w:vAlign w:val="center"/>
          </w:tcPr>
          <w:p>
            <w:pPr>
              <w:adjustRightInd/>
              <w:spacing w:line="312" w:lineRule="auto"/>
              <w:jc w:val="center"/>
              <w:outlineLvl w:val="0"/>
              <w:rPr>
                <w:rFonts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trPr>
        <w:tc>
          <w:tcPr>
            <w:tcW w:w="940" w:type="dxa"/>
            <w:vAlign w:val="center"/>
          </w:tcPr>
          <w:p>
            <w:pPr>
              <w:adjustRightInd/>
              <w:spacing w:line="312" w:lineRule="auto"/>
              <w:ind w:firstLine="360" w:firstLineChars="150"/>
              <w:jc w:val="left"/>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p>
        </w:tc>
        <w:tc>
          <w:tcPr>
            <w:tcW w:w="7160" w:type="dxa"/>
            <w:vAlign w:val="center"/>
          </w:tcPr>
          <w:p>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投标产品要求是现阶段主流的技术参数，符合现阶段以及未来5年内主流的技术需求。满足得3分，部分满足得1.5分，不满足不得分。</w:t>
            </w:r>
          </w:p>
        </w:tc>
        <w:tc>
          <w:tcPr>
            <w:tcW w:w="1050" w:type="dxa"/>
            <w:vAlign w:val="center"/>
          </w:tcPr>
          <w:p>
            <w:pPr>
              <w:adjustRightInd/>
              <w:spacing w:line="312" w:lineRule="auto"/>
              <w:jc w:val="center"/>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0～3</w:t>
            </w:r>
            <w:r>
              <w:rPr>
                <w:rFonts w:hint="eastAsia" w:ascii="宋体" w:hAnsi="宋体" w:cs="宋体"/>
                <w:color w:val="000000" w:themeColor="text1"/>
                <w:sz w:val="24"/>
                <w:highlight w:val="none"/>
                <w:lang w:val="zh-CN"/>
                <w14:textFill>
                  <w14:solidFill>
                    <w14:schemeClr w14:val="tx1"/>
                  </w14:solidFill>
                </w14:textFill>
              </w:rPr>
              <w:t>分</w:t>
            </w:r>
          </w:p>
        </w:tc>
        <w:tc>
          <w:tcPr>
            <w:tcW w:w="1486" w:type="dxa"/>
            <w:vAlign w:val="center"/>
          </w:tcPr>
          <w:p>
            <w:pPr>
              <w:adjustRightInd/>
              <w:spacing w:line="312" w:lineRule="auto"/>
              <w:jc w:val="center"/>
              <w:outlineLvl w:val="0"/>
              <w:rPr>
                <w:rFonts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trPr>
        <w:tc>
          <w:tcPr>
            <w:tcW w:w="940" w:type="dxa"/>
            <w:vAlign w:val="center"/>
          </w:tcPr>
          <w:p>
            <w:pPr>
              <w:adjustRightInd/>
              <w:spacing w:line="312" w:lineRule="auto"/>
              <w:ind w:firstLine="360" w:firstLineChars="150"/>
              <w:jc w:val="left"/>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7160" w:type="dxa"/>
            <w:vAlign w:val="center"/>
          </w:tcPr>
          <w:p>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售后服务方案及项目组人员素质情况（26分）：</w:t>
            </w:r>
          </w:p>
          <w:p>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（1）供应商①是否具有完备的管理组织、项目实施规范和管理制度，是否有完善的质量管理体系，并能有效实施；②拟投入本项目的管理与作业人员总数、作业设备是否满足采购需求。每一项满足得</w:t>
            </w:r>
            <w:r>
              <w:rPr>
                <w:rFonts w:hint="eastAsia" w:ascii="宋体" w:hAnsi="宋体" w:cs="宋体"/>
                <w:color w:val="000000" w:themeColor="text1"/>
                <w:sz w:val="24"/>
                <w:highlight w:val="none"/>
                <w:lang w:val="en-US" w:eastAsia="zh-CN"/>
                <w14:textFill>
                  <w14:solidFill>
                    <w14:schemeClr w14:val="tx1"/>
                  </w14:solidFill>
                </w14:textFill>
              </w:rPr>
              <w:t>2.5</w:t>
            </w:r>
            <w:r>
              <w:rPr>
                <w:rFonts w:hint="eastAsia" w:ascii="宋体" w:hAnsi="宋体" w:cs="宋体"/>
                <w:color w:val="000000" w:themeColor="text1"/>
                <w:sz w:val="24"/>
                <w:highlight w:val="none"/>
                <w14:textFill>
                  <w14:solidFill>
                    <w14:schemeClr w14:val="tx1"/>
                  </w14:solidFill>
                </w14:textFill>
              </w:rPr>
              <w:t>分，部门满足的得1.5分；不满足的不得分。满分</w:t>
            </w:r>
            <w:r>
              <w:rPr>
                <w:rFonts w:hint="eastAsia" w:ascii="宋体" w:hAnsi="宋体" w:cs="宋体"/>
                <w:color w:val="000000" w:themeColor="text1"/>
                <w:sz w:val="24"/>
                <w:highlight w:val="none"/>
                <w:lang w:val="en-US" w:eastAsia="zh-CN"/>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分；</w:t>
            </w:r>
          </w:p>
          <w:p>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（2）供应商是否为本项目制定完善的售后服务方案，是否有较强的本</w:t>
            </w:r>
            <w:r>
              <w:rPr>
                <w:rFonts w:hint="eastAsia" w:ascii="宋体" w:hAnsi="宋体" w:cs="宋体"/>
                <w:color w:val="000000" w:themeColor="text1"/>
                <w:sz w:val="24"/>
                <w:highlight w:val="none"/>
                <w:lang w:eastAsia="zh-CN"/>
                <w14:textFill>
                  <w14:solidFill>
                    <w14:schemeClr w14:val="tx1"/>
                  </w14:solidFill>
                </w14:textFill>
              </w:rPr>
              <w:t>区域</w:t>
            </w:r>
            <w:bookmarkStart w:id="558" w:name="_GoBack"/>
            <w:bookmarkEnd w:id="558"/>
            <w:r>
              <w:rPr>
                <w:rFonts w:hint="eastAsia" w:ascii="宋体" w:hAnsi="宋体" w:cs="宋体"/>
                <w:color w:val="000000" w:themeColor="text1"/>
                <w:sz w:val="24"/>
                <w:highlight w:val="none"/>
                <w14:textFill>
                  <w14:solidFill>
                    <w14:schemeClr w14:val="tx1"/>
                  </w14:solidFill>
                </w14:textFill>
              </w:rPr>
              <w:t>服务能力，在本地是否拥有常驻服务和技术支持机构以及较强的专业技术队伍，能提供快速的售后服务响应。满足得3分，不满足不得分；</w:t>
            </w:r>
          </w:p>
          <w:p>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（3）供应商为本项目制定的培训计划包括①培训内容、②培训时间地点、③培训对象，④培训师资力量等；根据投标方案内容进行评分，每一项符合采购人要求得1分，满分4分；</w:t>
            </w:r>
          </w:p>
          <w:p>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（4）供应商为本项目编制的①质量保证措施、②应急预案情况，③应急预案是否能满足用户对于中国伞博物馆多媒体提升改造保障的需求，包括中国伞博物馆1层和2层，主要功能包括一层序厅 、古画中的伞区域、杨常利伞铺、伞与文化区域、伞舞剧场、雨巷场景；二层英国伞街等阶段的多媒体设备安装、内容制作及基础设施设备的改造。每满足1项的得2分，部分满足得1分，不满足不得分；最高满分得6分。</w:t>
            </w:r>
          </w:p>
          <w:p>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（5）拟担任本项目经理和团队技术负责人的专业素质、技术能力、经验等情况：</w:t>
            </w:r>
          </w:p>
          <w:p>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①拟派项目负责人具有高级工程师的3分，且具有专业素质、技术能力、经验等。（证明材料：同时附职称证书、和身份证复印件、工作履历、工程实践证明资料、近二个月任意一个月的社保缴纳证明并加盖公章）；</w:t>
            </w:r>
          </w:p>
          <w:p>
            <w:pPr>
              <w:adjustRightInd/>
              <w:spacing w:line="312" w:lineRule="auto"/>
              <w:jc w:val="left"/>
              <w:rPr>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②拟派项目团队技术负责人中具有高级工程师且具有专业素质、技术能力、经验等，每具有一人，得2分，最高得4分。（证明材料：同时附职称证书、和身份证复印件、工作履历、工程实践证明资料、近二个月任意一个月的社保缴纳证明并加盖公章）；</w:t>
            </w:r>
          </w:p>
        </w:tc>
        <w:tc>
          <w:tcPr>
            <w:tcW w:w="1050" w:type="dxa"/>
            <w:vAlign w:val="center"/>
          </w:tcPr>
          <w:p>
            <w:pPr>
              <w:pStyle w:val="35"/>
              <w:adjustRightInd/>
              <w:spacing w:line="312" w:lineRule="auto"/>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0～2</w:t>
            </w:r>
            <w:r>
              <w:rPr>
                <w:rFonts w:hint="eastAsia" w:hAnsi="宋体" w:cs="宋体"/>
                <w:color w:val="000000" w:themeColor="text1"/>
                <w:sz w:val="24"/>
                <w:szCs w:val="24"/>
                <w:highlight w:val="none"/>
                <w:lang w:val="en-US" w:eastAsia="zh-CN"/>
                <w14:textFill>
                  <w14:solidFill>
                    <w14:schemeClr w14:val="tx1"/>
                  </w14:solidFill>
                </w14:textFill>
              </w:rPr>
              <w:t>5</w:t>
            </w:r>
            <w:r>
              <w:rPr>
                <w:rFonts w:hint="eastAsia" w:hAnsi="宋体" w:cs="宋体"/>
                <w:color w:val="000000" w:themeColor="text1"/>
                <w:sz w:val="24"/>
                <w:szCs w:val="24"/>
                <w:highlight w:val="none"/>
                <w14:textFill>
                  <w14:solidFill>
                    <w14:schemeClr w14:val="tx1"/>
                  </w14:solidFill>
                </w14:textFill>
              </w:rPr>
              <w:t>分</w:t>
            </w:r>
          </w:p>
        </w:tc>
        <w:tc>
          <w:tcPr>
            <w:tcW w:w="1486" w:type="dxa"/>
            <w:vAlign w:val="center"/>
          </w:tcPr>
          <w:p>
            <w:pPr>
              <w:adjustRightInd/>
              <w:spacing w:line="312" w:lineRule="auto"/>
              <w:jc w:val="center"/>
              <w:outlineLvl w:val="0"/>
              <w:rPr>
                <w:rFonts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0" w:hRule="atLeast"/>
        </w:trPr>
        <w:tc>
          <w:tcPr>
            <w:tcW w:w="940" w:type="dxa"/>
            <w:vAlign w:val="center"/>
          </w:tcPr>
          <w:p>
            <w:pPr>
              <w:adjustRightInd/>
              <w:spacing w:line="312" w:lineRule="auto"/>
              <w:ind w:firstLine="240" w:firstLineChars="100"/>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11</w:t>
            </w:r>
          </w:p>
        </w:tc>
        <w:tc>
          <w:tcPr>
            <w:tcW w:w="7160" w:type="dxa"/>
          </w:tcPr>
          <w:p>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有效投标报价的最低价作为评标基准价，其最低报价为满分；按［投标报价得分=（评标基准价/投标报价）*30］的计算公式计算。</w:t>
            </w:r>
          </w:p>
          <w:p>
            <w:pPr>
              <w:adjustRightInd/>
              <w:spacing w:line="312"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评标过程中，不得去掉报价中的最高报价和最低报价。因落实政府采购政策需要进行价格调整的，以调整后的价格计算评标基准价和投标报价。</w:t>
            </w:r>
          </w:p>
        </w:tc>
        <w:tc>
          <w:tcPr>
            <w:tcW w:w="1050" w:type="dxa"/>
            <w:vAlign w:val="center"/>
          </w:tcPr>
          <w:p>
            <w:pPr>
              <w:adjustRightInd/>
              <w:spacing w:line="312" w:lineRule="auto"/>
              <w:ind w:firstLine="120" w:firstLineChars="50"/>
              <w:jc w:val="center"/>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0～30分</w:t>
            </w:r>
          </w:p>
        </w:tc>
        <w:tc>
          <w:tcPr>
            <w:tcW w:w="1486" w:type="dxa"/>
            <w:vAlign w:val="center"/>
          </w:tcPr>
          <w:p>
            <w:pPr>
              <w:adjustRightInd/>
              <w:spacing w:line="312" w:lineRule="auto"/>
              <w:jc w:val="center"/>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trPr>
        <w:tc>
          <w:tcPr>
            <w:tcW w:w="10636" w:type="dxa"/>
            <w:gridSpan w:val="4"/>
            <w:vAlign w:val="center"/>
          </w:tcPr>
          <w:p>
            <w:pPr>
              <w:adjustRightInd/>
              <w:spacing w:line="312" w:lineRule="auto"/>
              <w:jc w:val="center"/>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注意：不得以特定金额的业绩作为评审因素，政府采购货物和服务项目业绩分不得高于价格分的10%。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trPr>
        <w:tc>
          <w:tcPr>
            <w:tcW w:w="10636" w:type="dxa"/>
            <w:gridSpan w:val="4"/>
            <w:vAlign w:val="center"/>
          </w:tcPr>
          <w:p>
            <w:pPr>
              <w:adjustRightInd/>
              <w:spacing w:line="312" w:lineRule="auto"/>
              <w:jc w:val="center"/>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各供应商的综合得分为：投标价格得分+商务技术得分(评标委员会各成员评分的算术平均值)，总和为100分，其中：投标价格得分30分，商务技术得分70分。</w:t>
            </w:r>
          </w:p>
        </w:tc>
      </w:tr>
    </w:tbl>
    <w:p>
      <w:pPr>
        <w:pStyle w:val="18"/>
        <w:rPr>
          <w:color w:val="000000" w:themeColor="text1"/>
          <w:highlight w:val="none"/>
          <w14:textFill>
            <w14:solidFill>
              <w14:schemeClr w14:val="tx1"/>
            </w14:solidFill>
          </w14:textFill>
        </w:rPr>
      </w:pPr>
    </w:p>
    <w:p>
      <w:pPr>
        <w:snapToGrid w:val="0"/>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0"/>
          <w:szCs w:val="20"/>
          <w:highlight w:val="none"/>
          <w:shd w:val="clear" w:color="auto" w:fill="FFFFFF"/>
          <w14:textFill>
            <w14:solidFill>
              <w14:schemeClr w14:val="tx1"/>
            </w14:solidFill>
          </w14:textFill>
        </w:rPr>
        <w:t> *</w:t>
      </w:r>
      <w:r>
        <w:rPr>
          <w:rFonts w:hint="eastAsia" w:ascii="宋体" w:hAnsi="宋体" w:cs="宋体"/>
          <w:b/>
          <w:color w:val="000000" w:themeColor="text1"/>
          <w:sz w:val="24"/>
          <w:highlight w:val="none"/>
          <w14:textFill>
            <w14:solidFill>
              <w14:schemeClr w14:val="tx1"/>
            </w14:solidFill>
          </w14:textFill>
        </w:rPr>
        <w:t>备注：</w:t>
      </w:r>
      <w:r>
        <w:rPr>
          <w:rFonts w:hint="eastAsia" w:ascii="宋体" w:hAnsi="宋体" w:cs="宋体"/>
          <w:color w:val="000000" w:themeColor="text1"/>
          <w:sz w:val="24"/>
          <w:highlight w:val="none"/>
          <w14:textFill>
            <w14:solidFill>
              <w14:schemeClr w14:val="tx1"/>
            </w14:solidFill>
          </w14:textFill>
        </w:rPr>
        <w:t>供应商编制采购文件（商务技术文件部分）时，建议按此目录（序号和内容）提供评标标准相应的商务技术资料。 </w:t>
      </w:r>
    </w:p>
    <w:p>
      <w:pPr>
        <w:snapToGrid w:val="0"/>
        <w:spacing w:line="360" w:lineRule="auto"/>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一、评标方法</w:t>
      </w:r>
    </w:p>
    <w:p>
      <w:pPr>
        <w:adjustRightInd/>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1.本项目采用综合评分法。</w:t>
      </w:r>
      <w:r>
        <w:rPr>
          <w:rFonts w:hint="eastAsia" w:ascii="宋体" w:hAnsi="宋体" w:cs="宋体"/>
          <w:color w:val="000000" w:themeColor="text1"/>
          <w:kern w:val="0"/>
          <w:sz w:val="24"/>
          <w:highlight w:val="none"/>
          <w14:textFill>
            <w14:solidFill>
              <w14:schemeClr w14:val="tx1"/>
            </w14:solidFill>
          </w14:textFill>
        </w:rPr>
        <w:t>综合评分法，是指采购文件满足采购文件全部实质性要求，且按照评审因素的量化指标评审得分最高的供应商为中标候选人的评标方法。</w:t>
      </w:r>
    </w:p>
    <w:p>
      <w:pPr>
        <w:adjustRightInd/>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二、评标标准</w:t>
      </w:r>
    </w:p>
    <w:p>
      <w:pPr>
        <w:spacing w:line="360" w:lineRule="auto"/>
        <w:ind w:firstLine="472" w:firstLineChars="196"/>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2.</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评标标准：</w:t>
      </w:r>
      <w:r>
        <w:rPr>
          <w:rFonts w:hint="eastAsia" w:ascii="宋体" w:hAnsi="宋体" w:cs="宋体"/>
          <w:color w:val="000000" w:themeColor="text1"/>
          <w:kern w:val="0"/>
          <w:sz w:val="24"/>
          <w:highlight w:val="none"/>
          <w14:textFill>
            <w14:solidFill>
              <w14:schemeClr w14:val="tx1"/>
            </w14:solidFill>
          </w14:textFill>
        </w:rPr>
        <w:t>见评标办法前附表。</w:t>
      </w:r>
    </w:p>
    <w:p>
      <w:pPr>
        <w:spacing w:line="360" w:lineRule="auto"/>
        <w:outlineLvl w:val="0"/>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三、评标程序</w:t>
      </w:r>
    </w:p>
    <w:p>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3.1符合性审查。</w:t>
      </w:r>
      <w:r>
        <w:rPr>
          <w:rFonts w:hint="eastAsia" w:ascii="宋体" w:hAnsi="宋体" w:cs="宋体"/>
          <w:color w:val="000000" w:themeColor="text1"/>
          <w:kern w:val="0"/>
          <w:sz w:val="24"/>
          <w:highlight w:val="none"/>
          <w14:textFill>
            <w14:solidFill>
              <w14:schemeClr w14:val="tx1"/>
            </w14:solidFill>
          </w14:textFill>
        </w:rPr>
        <w:t>评标委员会应当对符合资格的供应商的采购文件进行符合性审查，以确定其是否满足采购文件的实质性要求。不满足采购文件的实质性要求的，投标无效。</w:t>
      </w:r>
    </w:p>
    <w:p>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3.2 比较与评价。</w:t>
      </w:r>
      <w:r>
        <w:rPr>
          <w:rFonts w:hint="eastAsia" w:ascii="宋体" w:hAnsi="宋体" w:cs="宋体"/>
          <w:color w:val="000000" w:themeColor="text1"/>
          <w:kern w:val="0"/>
          <w:sz w:val="24"/>
          <w:highlight w:val="none"/>
          <w14:textFill>
            <w14:solidFill>
              <w14:schemeClr w14:val="tx1"/>
            </w14:solidFill>
          </w14:textFill>
        </w:rPr>
        <w:t>评标委员会应当按照采购文件中规定的评标方法和标准，对符合性审查合格的采购文件进行商务和技术评估，综合比较与评价。</w:t>
      </w:r>
    </w:p>
    <w:p>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3.3汇总商务技术得分。</w:t>
      </w:r>
      <w:r>
        <w:rPr>
          <w:rFonts w:hint="eastAsia" w:ascii="宋体" w:hAnsi="宋体" w:cs="宋体"/>
          <w:color w:val="000000" w:themeColor="text1"/>
          <w:kern w:val="0"/>
          <w:sz w:val="24"/>
          <w:highlight w:val="none"/>
          <w14:textFill>
            <w14:solidFill>
              <w14:schemeClr w14:val="tx1"/>
            </w14:solidFill>
          </w14:textFill>
        </w:rPr>
        <w:t>评标委员会各成员应当独立对每个供应商的商务和技术文件进行评价，并汇总商务技术得分情况。</w:t>
      </w:r>
    </w:p>
    <w:p>
      <w:pPr>
        <w:spacing w:line="360" w:lineRule="auto"/>
        <w:ind w:firstLine="472" w:firstLineChars="196"/>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3.4报价评审。</w:t>
      </w:r>
    </w:p>
    <w:p>
      <w:pPr>
        <w:pStyle w:val="131"/>
        <w:spacing w:before="0"/>
        <w:ind w:firstLine="508" w:firstLineChars="212"/>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3.4.1采购文件报价出现前后不一致的，按照下列规定修正：</w:t>
      </w:r>
    </w:p>
    <w:p>
      <w:pPr>
        <w:pStyle w:val="131"/>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3.4.1.1采购文件中开标一览表(报价表)内容与采购文件中相应内容不一致的，以开标一览表(报价表)为准;</w:t>
      </w:r>
    </w:p>
    <w:p>
      <w:pPr>
        <w:pStyle w:val="131"/>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3.4.1.2大写金额和小写金额不一致的，以大写金额为准;</w:t>
      </w:r>
    </w:p>
    <w:p>
      <w:pPr>
        <w:pStyle w:val="131"/>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3.4.1.3单价金额小数点或者百分比有明显错位的，以开标一览表的总价为准，并修改单价;</w:t>
      </w:r>
    </w:p>
    <w:p>
      <w:pPr>
        <w:pStyle w:val="131"/>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3.4.1.4总价金额与按单价汇总金额不一致的，以单价金额计算结果为准。</w:t>
      </w:r>
    </w:p>
    <w:p>
      <w:pPr>
        <w:pStyle w:val="131"/>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《政府采购货物和服务招标投标管理办法》第五十一条第二款的规定经供应商确认后产生约束力。</w:t>
      </w:r>
    </w:p>
    <w:p>
      <w:pPr>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3.4.2采购文件出现不是唯一的、有选择性投标报价的，投标无效。</w:t>
      </w:r>
    </w:p>
    <w:p>
      <w:pPr>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3.4.3投标报价超过采购文件中规定的预算金额或者最高限价的，投标无效。</w:t>
      </w:r>
    </w:p>
    <w:p>
      <w:pPr>
        <w:pStyle w:val="131"/>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3.4.4评标委员会认为供应商的报价明显低于其他通过符合性审查供应商的报价，有可能影响产品质量或者不能诚信履约的，应当要求其在合理的时间内提供书面说明，必要时提交相关证明材料;供应商不能证明其报价合理性的，评标委员会应当将其作为无效投标处理。</w:t>
      </w:r>
    </w:p>
    <w:p>
      <w:pPr>
        <w:pStyle w:val="131"/>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3.4.5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3.5排序与推荐。</w:t>
      </w:r>
      <w:r>
        <w:rPr>
          <w:rFonts w:hint="eastAsia" w:ascii="宋体" w:hAnsi="宋体" w:cs="宋体"/>
          <w:color w:val="000000" w:themeColor="text1"/>
          <w:kern w:val="0"/>
          <w:sz w:val="24"/>
          <w:highlight w:val="none"/>
          <w14:textFill>
            <w14:solidFill>
              <w14:schemeClr w14:val="tx1"/>
            </w14:solidFill>
          </w14:textFill>
        </w:rPr>
        <w:t>采用综合评分法的，评标结果按评审后得分由高到低顺序排列。得分相同的，按投标报价由低到高顺序排列。得分且投标报价相同的并列。采购文件满足采购文件全部实质性要求，且按照评审因素的量化指标评审得分最高的供应商为排名第一的中标候选人。</w:t>
      </w:r>
    </w:p>
    <w:p>
      <w:pPr>
        <w:spacing w:line="360" w:lineRule="auto"/>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多家供应商提供相同品牌产品（单一产品采购项目中的该产品或者非单一产品采购项目的核心产品）且通过资格审查、符合性审查的不同供应商参加同一合同项下投标的，按一家供应商计算，评审后得分最高的同品牌供应商获得中标人推荐资格；评审得分相同的，采取随机抽取方式确定，其他同品牌供应商不作为中标候选人。</w:t>
      </w:r>
    </w:p>
    <w:p>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3.6编写评标报告。</w:t>
      </w:r>
      <w:r>
        <w:rPr>
          <w:rFonts w:hint="eastAsia" w:ascii="宋体" w:hAnsi="宋体" w:cs="宋体"/>
          <w:color w:val="000000" w:themeColor="text1"/>
          <w:kern w:val="0"/>
          <w:sz w:val="24"/>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adjustRightInd/>
        <w:spacing w:after="225" w:line="315" w:lineRule="atLeast"/>
        <w:jc w:val="left"/>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四、评标中的其他事项</w:t>
      </w:r>
    </w:p>
    <w:p>
      <w:pPr>
        <w:pStyle w:val="131"/>
        <w:spacing w:before="0"/>
        <w:ind w:firstLine="472" w:firstLineChars="196"/>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b/>
          <w:color w:val="000000" w:themeColor="text1"/>
          <w:kern w:val="0"/>
          <w:szCs w:val="24"/>
          <w:highlight w:val="none"/>
          <w14:textFill>
            <w14:solidFill>
              <w14:schemeClr w14:val="tx1"/>
            </w14:solidFill>
          </w14:textFill>
        </w:rPr>
        <w:t>4.1供应商澄清、说明或者补正。</w:t>
      </w:r>
      <w:r>
        <w:rPr>
          <w:rFonts w:hint="eastAsia" w:ascii="宋体" w:hAnsi="宋体" w:cs="宋体"/>
          <w:color w:val="000000" w:themeColor="text1"/>
          <w:kern w:val="0"/>
          <w:szCs w:val="24"/>
          <w:highlight w:val="none"/>
          <w14:textFill>
            <w14:solidFill>
              <w14:schemeClr w14:val="tx1"/>
            </w14:solidFill>
          </w14:textFill>
        </w:rPr>
        <w:t>对于采购文件中含义不明确、同类问题表述不一致或者有明显文字和计算错误的内容需要供应商作出必要的澄清、说明或者补正的，评标委员会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采购文件的范围或者改变采购文件的实质性内容。</w:t>
      </w:r>
    </w:p>
    <w:p>
      <w:pPr>
        <w:pStyle w:val="26"/>
        <w:spacing w:line="360" w:lineRule="auto"/>
        <w:ind w:left="954" w:leftChars="226" w:hanging="479" w:firstLineChars="0"/>
        <w:rPr>
          <w:rFonts w:cs="宋体"/>
          <w:color w:val="000000" w:themeColor="text1"/>
          <w:szCs w:val="21"/>
          <w:highlight w:val="none"/>
          <w14:textFill>
            <w14:solidFill>
              <w14:schemeClr w14:val="tx1"/>
            </w14:solidFill>
          </w14:textFill>
        </w:rPr>
      </w:pPr>
      <w:r>
        <w:rPr>
          <w:rFonts w:hint="eastAsia" w:cs="宋体"/>
          <w:b/>
          <w:color w:val="000000" w:themeColor="text1"/>
          <w:kern w:val="0"/>
          <w:highlight w:val="none"/>
          <w14:textFill>
            <w14:solidFill>
              <w14:schemeClr w14:val="tx1"/>
            </w14:solidFill>
          </w14:textFill>
        </w:rPr>
        <w:t>4.2投标无效。</w:t>
      </w:r>
      <w:r>
        <w:rPr>
          <w:rFonts w:hint="eastAsia" w:cs="宋体"/>
          <w:color w:val="000000" w:themeColor="text1"/>
          <w:szCs w:val="21"/>
          <w:highlight w:val="none"/>
          <w14:textFill>
            <w14:solidFill>
              <w14:schemeClr w14:val="tx1"/>
            </w14:solidFill>
          </w14:textFill>
        </w:rPr>
        <w:t>有下列情形之一的，投标无效：</w:t>
      </w:r>
    </w:p>
    <w:p>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4.2.1供应商不具备采购文件中规定的资格要求的（供应商未提供有效的资格文件的，视为供应商不具备采购文件中规定的资格要求）；</w:t>
      </w:r>
    </w:p>
    <w:p>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4.2.2采购文件未按照采购文件要求签署、盖章的；</w:t>
      </w:r>
    </w:p>
    <w:p>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4.2.3采购人拟采购的产品属于政府强制采购的节能产品品目清单范围的，供应商未按采购文件要求提供国家确定的认证机构出具的、处于有效期之内的节能产品认证证书的；</w:t>
      </w:r>
    </w:p>
    <w:p>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4.2.4采购文件含有采购人不能接受的附加条件的；</w:t>
      </w:r>
    </w:p>
    <w:p>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4.2.5采购文件中承诺的投标有效期少于采购文件中载明的投标有效期的；</w:t>
      </w:r>
    </w:p>
    <w:p>
      <w:pPr>
        <w:snapToGrid w:val="0"/>
        <w:spacing w:line="360" w:lineRule="auto"/>
        <w:ind w:firstLine="120" w:firstLineChars="5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4.2.6采购文件出现不是唯一的、有选择性投标报价的;</w:t>
      </w:r>
    </w:p>
    <w:p>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4.2.7投标报价超过采购文件中规定的预算金额或者最高限价的;</w:t>
      </w:r>
    </w:p>
    <w:p>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4.2.8报价明显低于其他通过符合性审查供应商的报价，有可能影响产品质量或者不能诚信履约的，未能按要求提供书面说明或者提交相关证明材料，不能证明其报价合理性的;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4.2.9供应商对根据修正原则修正后的报价不确认的；</w:t>
      </w:r>
    </w:p>
    <w:p>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4.2.10供应商提供虚假材料投标的；</w:t>
      </w:r>
    </w:p>
    <w:p>
      <w:pPr>
        <w:spacing w:line="360" w:lineRule="auto"/>
        <w:ind w:firstLine="240" w:firstLineChars="1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4.2.11供应商有恶意串通、妨碍其他供应商的竞争行为、损害采购人或者其他供应商的合法权益情形的；</w:t>
      </w:r>
    </w:p>
    <w:p>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4.2.12供应商仅提交备份采购文件，未在电子交易平台传输递交采购文件的，投标无效；</w:t>
      </w:r>
    </w:p>
    <w:p>
      <w:pPr>
        <w:pStyle w:val="6"/>
        <w:ind w:left="862" w:leftChars="205"/>
        <w:rPr>
          <w:rFonts w:ascii="宋体" w:hAnsi="宋体" w:eastAsia="宋体" w:cs="宋体"/>
          <w:b w:val="0"/>
          <w:bCs w:val="0"/>
          <w:color w:val="000000" w:themeColor="text1"/>
          <w:kern w:val="0"/>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14:textFill>
            <w14:solidFill>
              <w14:schemeClr w14:val="tx1"/>
            </w14:solidFill>
          </w14:textFill>
        </w:rPr>
        <w:t>4.2.13 采购文件不满足采购文件的其它实质性要求的；</w:t>
      </w:r>
    </w:p>
    <w:p>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4.2.14法律、法规、规章（适用本市的）及省级以上规范性文件（适用本市的）规定的其他无效情形。</w:t>
      </w:r>
    </w:p>
    <w:p>
      <w:pPr>
        <w:pStyle w:val="26"/>
        <w:snapToGrid w:val="0"/>
        <w:spacing w:line="360" w:lineRule="auto"/>
        <w:ind w:firstLine="472" w:firstLineChars="196"/>
        <w:rPr>
          <w:rFonts w:cs="宋体"/>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5.废标。</w:t>
      </w:r>
      <w:r>
        <w:rPr>
          <w:rFonts w:hint="eastAsia" w:cs="宋体"/>
          <w:color w:val="000000" w:themeColor="text1"/>
          <w:highlight w:val="none"/>
          <w14:textFill>
            <w14:solidFill>
              <w14:schemeClr w14:val="tx1"/>
            </w14:solidFill>
          </w14:textFill>
        </w:rPr>
        <w:t>根据《中华人民共和国政府采购法》第三十六条之规定，在采购中，出现下列情形之一的，应予废标：</w:t>
      </w:r>
    </w:p>
    <w:p>
      <w:pPr>
        <w:pStyle w:val="26"/>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5.1符合专业条件的供应商或者对采购文件作实质响应的供应商不足3家的；</w:t>
      </w:r>
    </w:p>
    <w:p>
      <w:pPr>
        <w:pStyle w:val="26"/>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5.2出现影响采购公正的违法、违规行为的；</w:t>
      </w:r>
    </w:p>
    <w:p>
      <w:pPr>
        <w:pStyle w:val="26"/>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5.3供应商的报价均超过了采购预算，采购人不能支付的；</w:t>
      </w:r>
    </w:p>
    <w:p>
      <w:pPr>
        <w:pStyle w:val="26"/>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5.4因重大变故，采购任务取消的。</w:t>
      </w:r>
    </w:p>
    <w:p>
      <w:pPr>
        <w:pStyle w:val="26"/>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废标后，采购机构应当将废标理由通知所有供应商。</w:t>
      </w:r>
    </w:p>
    <w:p>
      <w:pPr>
        <w:pStyle w:val="26"/>
        <w:snapToGrid w:val="0"/>
        <w:spacing w:line="360" w:lineRule="auto"/>
        <w:ind w:firstLine="590" w:firstLineChars="245"/>
        <w:rPr>
          <w:rFonts w:cs="宋体"/>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6.修改采购文件，重新组织采购活动。</w:t>
      </w:r>
      <w:r>
        <w:rPr>
          <w:rFonts w:hint="eastAsia" w:cs="宋体"/>
          <w:color w:val="000000" w:themeColor="text1"/>
          <w:highlight w:val="none"/>
          <w14:textFill>
            <w14:solidFill>
              <w14:schemeClr w14:val="tx1"/>
            </w14:solidFill>
          </w14:textFill>
        </w:rPr>
        <w:t>评标委员会发现采购文件存在歧义、重大缺陷导致评标工作无法进行，或者采购文件内容违反国家有关强制性规定的，将停止评标工作，并与采购人、采购机构沟通并作书面记录。采购人、采购机构确认后，将修改采购文件，重新组织采购活动。</w:t>
      </w:r>
    </w:p>
    <w:p>
      <w:pPr>
        <w:pStyle w:val="26"/>
        <w:snapToGrid w:val="0"/>
        <w:spacing w:line="360" w:lineRule="auto"/>
        <w:ind w:firstLine="482"/>
        <w:rPr>
          <w:rFonts w:cs="宋体"/>
          <w:color w:val="000000" w:themeColor="text1"/>
          <w:highlight w:val="none"/>
          <w14:textFill>
            <w14:solidFill>
              <w14:schemeClr w14:val="tx1"/>
            </w14:solidFill>
          </w14:textFill>
        </w:rPr>
      </w:pPr>
      <w:r>
        <w:rPr>
          <w:rFonts w:hint="eastAsia" w:cs="宋体"/>
          <w:b/>
          <w:color w:val="000000" w:themeColor="text1"/>
          <w:kern w:val="0"/>
          <w:highlight w:val="none"/>
          <w14:textFill>
            <w14:solidFill>
              <w14:schemeClr w14:val="tx1"/>
            </w14:solidFill>
          </w14:textFill>
        </w:rPr>
        <w:t>7.重新开展采购。</w:t>
      </w:r>
      <w:r>
        <w:rPr>
          <w:rFonts w:hint="eastAsia" w:cs="宋体"/>
          <w:color w:val="000000" w:themeColor="text1"/>
          <w:highlight w:val="none"/>
          <w14:textFill>
            <w14:solidFill>
              <w14:schemeClr w14:val="tx1"/>
            </w14:solidFill>
          </w14:textFill>
        </w:rPr>
        <w:t>有政府采购法第七十一条、第七十二条规定的违法行为之一，影响或者可能影响中标结果的，依照下列规定处理：</w:t>
      </w:r>
    </w:p>
    <w:p>
      <w:pPr>
        <w:pStyle w:val="26"/>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7.1未确定中标供应商的，终止本次政府采购活动，重新开展政府采购活动。</w:t>
      </w:r>
    </w:p>
    <w:p>
      <w:pPr>
        <w:pStyle w:val="26"/>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7.2已确定中标供应商但尚未签订政府采购合同的，中标结果无效，从合格的中标候选人中另行确定中标供应商；没有合格的中标候选人的，重新开展政府采购活动。</w:t>
      </w:r>
    </w:p>
    <w:p>
      <w:pPr>
        <w:pStyle w:val="26"/>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7.3政府采购合同已签订但尚未履行的，撤销合同，从合格的中标候选人中另行确定中标供应商；没有合格的中标候选人的，重新开展政府采购活动。</w:t>
      </w:r>
    </w:p>
    <w:p>
      <w:pPr>
        <w:pStyle w:val="26"/>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7.4政府采购合同已经履行，给采购人、供应商造成损失的，由责任人承担赔偿责任。</w:t>
      </w:r>
    </w:p>
    <w:p>
      <w:pPr>
        <w:pStyle w:val="26"/>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7.5政府采购当事人有其他违反政府采购法或者政府采购法实施条例等法律法规规定的行为，经改正后仍然影响或者可能影响中标结果或者依法被认定为中标无效的，依照7.1-7.4规定处理。</w:t>
      </w:r>
    </w:p>
    <w:p>
      <w:pPr>
        <w:pStyle w:val="26"/>
        <w:snapToGrid w:val="0"/>
        <w:spacing w:line="360" w:lineRule="auto"/>
        <w:ind w:firstLine="0" w:firstLineChars="0"/>
        <w:rPr>
          <w:rFonts w:cs="宋体"/>
          <w:color w:val="000000" w:themeColor="text1"/>
          <w:highlight w:val="none"/>
          <w14:textFill>
            <w14:solidFill>
              <w14:schemeClr w14:val="tx1"/>
            </w14:solidFill>
          </w14:textFill>
        </w:rPr>
      </w:pPr>
    </w:p>
    <w:bookmarkEnd w:id="26"/>
    <w:p>
      <w:pPr>
        <w:spacing w:line="360" w:lineRule="auto"/>
        <w:ind w:left="720" w:leftChars="343" w:firstLine="1084" w:firstLineChars="300"/>
        <w:outlineLvl w:val="0"/>
        <w:rPr>
          <w:rFonts w:ascii="宋体" w:hAnsi="宋体" w:cs="宋体"/>
          <w:b/>
          <w:color w:val="000000" w:themeColor="text1"/>
          <w:sz w:val="36"/>
          <w:szCs w:val="36"/>
          <w:highlight w:val="none"/>
          <w14:textFill>
            <w14:solidFill>
              <w14:schemeClr w14:val="tx1"/>
            </w14:solidFill>
          </w14:textFill>
        </w:rPr>
      </w:pPr>
      <w:bookmarkStart w:id="392" w:name="第五部分"/>
      <w:bookmarkStart w:id="393" w:name="_Toc86217003"/>
    </w:p>
    <w:p>
      <w:pPr>
        <w:spacing w:line="360" w:lineRule="auto"/>
        <w:ind w:left="720" w:leftChars="343" w:firstLine="1084" w:firstLineChars="300"/>
        <w:outlineLvl w:val="0"/>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第五部分 拟签订的合同文本</w:t>
      </w:r>
    </w:p>
    <w:p>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说明：合同将由采购人（以下简称甲方）与经评审最终确定的中标人（以下简称乙方）结合本项目具体情况协商后签订，本合同为样稿。</w:t>
      </w:r>
    </w:p>
    <w:p>
      <w:pPr>
        <w:spacing w:line="360" w:lineRule="auto"/>
        <w:rPr>
          <w:rFonts w:ascii="宋体" w:hAnsi="宋体" w:cs="宋体"/>
          <w:color w:val="000000" w:themeColor="text1"/>
          <w:sz w:val="24"/>
          <w:highlight w:val="none"/>
          <w14:textFill>
            <w14:solidFill>
              <w14:schemeClr w14:val="tx1"/>
            </w14:solidFill>
          </w14:textFill>
        </w:rPr>
      </w:pPr>
    </w:p>
    <w:p>
      <w:pPr>
        <w:rPr>
          <w:rFonts w:ascii="宋体" w:hAnsi="宋体" w:cs="宋体"/>
          <w:b/>
          <w:color w:val="000000" w:themeColor="text1"/>
          <w:sz w:val="72"/>
          <w:szCs w:val="72"/>
          <w:highlight w:val="none"/>
          <w14:textFill>
            <w14:solidFill>
              <w14:schemeClr w14:val="tx1"/>
            </w14:solidFill>
          </w14:textFill>
        </w:rPr>
      </w:pPr>
      <w:r>
        <w:rPr>
          <w:rFonts w:hint="eastAsia" w:ascii="宋体" w:hAnsi="宋体" w:cs="宋体"/>
          <w:b/>
          <w:color w:val="000000" w:themeColor="text1"/>
          <w:sz w:val="72"/>
          <w:szCs w:val="72"/>
          <w:highlight w:val="none"/>
          <w14:textFill>
            <w14:solidFill>
              <w14:schemeClr w14:val="tx1"/>
            </w14:solidFill>
          </w14:textFill>
        </w:rPr>
        <w:br w:type="page"/>
      </w:r>
    </w:p>
    <w:p>
      <w:pPr>
        <w:pStyle w:val="700"/>
        <w:spacing w:before="240" w:beforeLines="100" w:after="0"/>
        <w:ind w:left="0" w:leftChars="0" w:firstLine="0" w:firstLineChars="0"/>
        <w:jc w:val="center"/>
        <w:rPr>
          <w:rFonts w:ascii="宋体" w:hAnsi="宋体" w:cs="宋体"/>
          <w:b/>
          <w:color w:val="000000" w:themeColor="text1"/>
          <w:sz w:val="72"/>
          <w:szCs w:val="72"/>
          <w:highlight w:val="none"/>
          <w14:textFill>
            <w14:solidFill>
              <w14:schemeClr w14:val="tx1"/>
            </w14:solidFill>
          </w14:textFill>
        </w:rPr>
      </w:pPr>
      <w:r>
        <w:rPr>
          <w:rFonts w:hint="eastAsia" w:ascii="宋体" w:hAnsi="宋体" w:cs="宋体"/>
          <w:b/>
          <w:color w:val="000000" w:themeColor="text1"/>
          <w:sz w:val="72"/>
          <w:szCs w:val="72"/>
          <w:highlight w:val="none"/>
          <w14:textFill>
            <w14:solidFill>
              <w14:schemeClr w14:val="tx1"/>
            </w14:solidFill>
          </w14:textFill>
        </w:rPr>
        <w:t>政府采购合同</w:t>
      </w:r>
    </w:p>
    <w:p>
      <w:pPr>
        <w:pStyle w:val="26"/>
        <w:ind w:left="480"/>
        <w:rPr>
          <w:rFonts w:cs="宋体"/>
          <w:color w:val="000000" w:themeColor="text1"/>
          <w:highlight w:val="none"/>
          <w14:textFill>
            <w14:solidFill>
              <w14:schemeClr w14:val="tx1"/>
            </w14:solidFill>
          </w14:textFill>
        </w:rPr>
      </w:pPr>
    </w:p>
    <w:p>
      <w:pPr>
        <w:spacing w:line="480" w:lineRule="auto"/>
        <w:jc w:val="center"/>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（货物类）</w:t>
      </w:r>
    </w:p>
    <w:p>
      <w:pPr>
        <w:pStyle w:val="700"/>
        <w:ind w:left="0" w:leftChars="0" w:firstLine="0" w:firstLineChars="0"/>
        <w:jc w:val="center"/>
        <w:rPr>
          <w:rFonts w:ascii="宋体" w:hAnsi="宋体" w:cs="宋体"/>
          <w:b/>
          <w:color w:val="000000" w:themeColor="text1"/>
          <w:sz w:val="36"/>
          <w:szCs w:val="36"/>
          <w:highlight w:val="none"/>
          <w14:textFill>
            <w14:solidFill>
              <w14:schemeClr w14:val="tx1"/>
            </w14:solidFill>
          </w14:textFill>
        </w:rPr>
      </w:pPr>
    </w:p>
    <w:p>
      <w:pPr>
        <w:pStyle w:val="700"/>
        <w:ind w:left="0" w:leftChars="0" w:firstLine="0" w:firstLineChars="0"/>
        <w:jc w:val="center"/>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第一部分 合同书</w:t>
      </w:r>
    </w:p>
    <w:p>
      <w:pPr>
        <w:pStyle w:val="700"/>
        <w:rPr>
          <w:rFonts w:ascii="宋体" w:hAnsi="宋体" w:cs="宋体"/>
          <w:color w:val="000000" w:themeColor="text1"/>
          <w:szCs w:val="24"/>
          <w:highlight w:val="none"/>
          <w14:textFill>
            <w14:solidFill>
              <w14:schemeClr w14:val="tx1"/>
            </w14:solidFill>
          </w14:textFill>
        </w:rPr>
      </w:pPr>
    </w:p>
    <w:p>
      <w:pPr>
        <w:pStyle w:val="26"/>
        <w:ind w:left="480"/>
        <w:rPr>
          <w:rFonts w:cs="宋体"/>
          <w:color w:val="000000" w:themeColor="text1"/>
          <w:highlight w:val="none"/>
          <w14:textFill>
            <w14:solidFill>
              <w14:schemeClr w14:val="tx1"/>
            </w14:solidFill>
          </w14:textFill>
        </w:rPr>
      </w:pPr>
    </w:p>
    <w:p>
      <w:pPr>
        <w:pStyle w:val="26"/>
        <w:ind w:left="480"/>
        <w:rPr>
          <w:rFonts w:cs="宋体"/>
          <w:color w:val="000000" w:themeColor="text1"/>
          <w:highlight w:val="none"/>
          <w14:textFill>
            <w14:solidFill>
              <w14:schemeClr w14:val="tx1"/>
            </w14:solidFill>
          </w14:textFill>
        </w:rPr>
      </w:pPr>
    </w:p>
    <w:p>
      <w:pPr>
        <w:spacing w:line="480" w:lineRule="auto"/>
        <w:ind w:right="-298" w:rightChars="-142" w:firstLine="280" w:firstLineChars="100"/>
        <w:jc w:val="left"/>
        <w:rPr>
          <w:rFonts w:ascii="宋体" w:hAnsi="宋体" w:cs="宋体"/>
          <w:color w:val="000000" w:themeColor="text1"/>
          <w:sz w:val="28"/>
          <w:szCs w:val="28"/>
          <w:highlight w:val="none"/>
          <w:u w:val="single"/>
          <w14:textFill>
            <w14:solidFill>
              <w14:schemeClr w14:val="tx1"/>
            </w14:solidFill>
          </w14:textFill>
        </w:rPr>
      </w:pPr>
      <w:r>
        <w:rPr>
          <w:rFonts w:hint="eastAsia" w:ascii="宋体" w:hAnsi="宋体" w:cs="宋体"/>
          <w:bCs/>
          <w:color w:val="000000" w:themeColor="text1"/>
          <w:sz w:val="28"/>
          <w:szCs w:val="28"/>
          <w:highlight w:val="none"/>
          <w14:textFill>
            <w14:solidFill>
              <w14:schemeClr w14:val="tx1"/>
            </w14:solidFill>
          </w14:textFill>
        </w:rPr>
        <w:t>项目名称：</w:t>
      </w:r>
      <w:r>
        <w:rPr>
          <w:rFonts w:hint="eastAsia" w:ascii="宋体" w:hAnsi="宋体" w:cs="宋体"/>
          <w:bCs/>
          <w:color w:val="000000" w:themeColor="text1"/>
          <w:sz w:val="28"/>
          <w:szCs w:val="28"/>
          <w:highlight w:val="none"/>
          <w:u w:val="single"/>
          <w14:textFill>
            <w14:solidFill>
              <w14:schemeClr w14:val="tx1"/>
            </w14:solidFill>
          </w14:textFill>
        </w:rPr>
        <w:t xml:space="preserve">       </w:t>
      </w:r>
      <w:r>
        <w:rPr>
          <w:rFonts w:hint="eastAsia" w:ascii="宋体" w:hAnsi="宋体" w:cs="宋体"/>
          <w:color w:val="000000" w:themeColor="text1"/>
          <w:sz w:val="28"/>
          <w:szCs w:val="28"/>
          <w:highlight w:val="none"/>
          <w:u w:val="single"/>
          <w14:textFill>
            <w14:solidFill>
              <w14:schemeClr w14:val="tx1"/>
            </w14:solidFill>
          </w14:textFill>
        </w:rPr>
        <w:t xml:space="preserve">中国伞博物馆多媒体提升改造项目           </w:t>
      </w:r>
    </w:p>
    <w:p>
      <w:pPr>
        <w:spacing w:line="480" w:lineRule="auto"/>
        <w:ind w:firstLine="280" w:firstLineChars="100"/>
        <w:jc w:val="left"/>
        <w:rPr>
          <w:rFonts w:ascii="宋体" w:hAnsi="宋体" w:cs="宋体"/>
          <w:bCs/>
          <w:color w:val="000000" w:themeColor="text1"/>
          <w:sz w:val="28"/>
          <w:szCs w:val="28"/>
          <w:highlight w:val="none"/>
          <w14:textFill>
            <w14:solidFill>
              <w14:schemeClr w14:val="tx1"/>
            </w14:solidFill>
          </w14:textFill>
        </w:rPr>
      </w:pPr>
      <w:r>
        <w:rPr>
          <w:rFonts w:hint="eastAsia" w:ascii="宋体" w:hAnsi="宋体" w:cs="宋体"/>
          <w:bCs/>
          <w:color w:val="000000" w:themeColor="text1"/>
          <w:sz w:val="28"/>
          <w:szCs w:val="28"/>
          <w:highlight w:val="none"/>
          <w14:textFill>
            <w14:solidFill>
              <w14:schemeClr w14:val="tx1"/>
            </w14:solidFill>
          </w14:textFill>
        </w:rPr>
        <w:t>项目编号：</w:t>
      </w:r>
      <w:r>
        <w:rPr>
          <w:rFonts w:hint="eastAsia" w:ascii="宋体" w:hAnsi="宋体" w:cs="宋体"/>
          <w:bCs/>
          <w:color w:val="000000" w:themeColor="text1"/>
          <w:sz w:val="28"/>
          <w:szCs w:val="28"/>
          <w:highlight w:val="none"/>
          <w:u w:val="single"/>
          <w14:textFill>
            <w14:solidFill>
              <w14:schemeClr w14:val="tx1"/>
            </w14:solidFill>
          </w14:textFill>
        </w:rPr>
        <w:t xml:space="preserve">            LFF-202206-42                       </w:t>
      </w:r>
    </w:p>
    <w:p>
      <w:pPr>
        <w:spacing w:line="480" w:lineRule="auto"/>
        <w:ind w:firstLine="280" w:firstLineChars="100"/>
        <w:jc w:val="left"/>
        <w:rPr>
          <w:rFonts w:ascii="宋体" w:hAnsi="宋体" w:cs="宋体"/>
          <w:color w:val="000000" w:themeColor="text1"/>
          <w:sz w:val="28"/>
          <w:szCs w:val="28"/>
          <w:highlight w:val="none"/>
          <w14:textFill>
            <w14:solidFill>
              <w14:schemeClr w14:val="tx1"/>
            </w14:solidFill>
          </w14:textFill>
        </w:rPr>
      </w:pPr>
      <w:r>
        <w:rPr>
          <w:rFonts w:hint="eastAsia" w:ascii="宋体" w:hAnsi="宋体" w:cs="宋体"/>
          <w:bCs/>
          <w:color w:val="000000" w:themeColor="text1"/>
          <w:sz w:val="28"/>
          <w:szCs w:val="28"/>
          <w:highlight w:val="none"/>
          <w14:textFill>
            <w14:solidFill>
              <w14:schemeClr w14:val="tx1"/>
            </w14:solidFill>
          </w14:textFill>
        </w:rPr>
        <w:t>甲    方</w:t>
      </w:r>
      <w:r>
        <w:rPr>
          <w:rFonts w:hint="eastAsia" w:ascii="宋体" w:hAnsi="宋体" w:cs="宋体"/>
          <w:color w:val="000000" w:themeColor="text1"/>
          <w:sz w:val="28"/>
          <w:szCs w:val="28"/>
          <w:highlight w:val="none"/>
          <w14:textFill>
            <w14:solidFill>
              <w14:schemeClr w14:val="tx1"/>
            </w14:solidFill>
          </w14:textFill>
        </w:rPr>
        <w:t>：</w:t>
      </w:r>
      <w:r>
        <w:rPr>
          <w:rFonts w:hint="eastAsia" w:ascii="宋体" w:hAnsi="宋体" w:cs="宋体"/>
          <w:color w:val="000000" w:themeColor="text1"/>
          <w:sz w:val="28"/>
          <w:szCs w:val="28"/>
          <w:highlight w:val="none"/>
          <w:u w:val="single"/>
          <w14:textFill>
            <w14:solidFill>
              <w14:schemeClr w14:val="tx1"/>
            </w14:solidFill>
          </w14:textFill>
        </w:rPr>
        <w:t xml:space="preserve">杭州工艺美术博物馆(杭州中国刀剪剑、扇业、伞业博物馆）     </w:t>
      </w:r>
    </w:p>
    <w:p>
      <w:pPr>
        <w:spacing w:line="480" w:lineRule="auto"/>
        <w:ind w:firstLine="280" w:firstLineChars="100"/>
        <w:jc w:val="left"/>
        <w:rPr>
          <w:rFonts w:ascii="宋体" w:hAnsi="宋体" w:cs="宋体"/>
          <w:color w:val="000000" w:themeColor="text1"/>
          <w:sz w:val="28"/>
          <w:szCs w:val="28"/>
          <w:highlight w:val="none"/>
          <w14:textFill>
            <w14:solidFill>
              <w14:schemeClr w14:val="tx1"/>
            </w14:solidFill>
          </w14:textFill>
        </w:rPr>
      </w:pPr>
      <w:r>
        <w:rPr>
          <w:rFonts w:hint="eastAsia" w:ascii="宋体" w:hAnsi="宋体" w:cs="宋体"/>
          <w:bCs/>
          <w:color w:val="000000" w:themeColor="text1"/>
          <w:sz w:val="28"/>
          <w:szCs w:val="28"/>
          <w:highlight w:val="none"/>
          <w14:textFill>
            <w14:solidFill>
              <w14:schemeClr w14:val="tx1"/>
            </w14:solidFill>
          </w14:textFill>
        </w:rPr>
        <w:t>乙    方：</w:t>
      </w:r>
      <w:r>
        <w:rPr>
          <w:rFonts w:hint="eastAsia" w:ascii="宋体" w:hAnsi="宋体" w:cs="宋体"/>
          <w:color w:val="000000" w:themeColor="text1"/>
          <w:sz w:val="28"/>
          <w:szCs w:val="28"/>
          <w:highlight w:val="none"/>
          <w:u w:val="single"/>
          <w14:textFill>
            <w14:solidFill>
              <w14:schemeClr w14:val="tx1"/>
            </w14:solidFill>
          </w14:textFill>
        </w:rPr>
        <w:t xml:space="preserve">                                          </w:t>
      </w:r>
      <w:r>
        <w:rPr>
          <w:rFonts w:hint="eastAsia" w:ascii="宋体" w:hAnsi="宋体" w:cs="宋体"/>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cs="宋体"/>
          <w:color w:val="000000" w:themeColor="text1"/>
          <w:sz w:val="28"/>
          <w:szCs w:val="28"/>
          <w:highlight w:val="none"/>
          <w:u w:val="single"/>
          <w14:textFill>
            <w14:solidFill>
              <w14:schemeClr w14:val="tx1"/>
            </w14:solidFill>
          </w14:textFill>
        </w:rPr>
        <w:t xml:space="preserve">      </w:t>
      </w:r>
    </w:p>
    <w:p>
      <w:pPr>
        <w:spacing w:line="480" w:lineRule="auto"/>
        <w:ind w:firstLine="280" w:firstLineChars="100"/>
        <w:jc w:val="left"/>
        <w:rPr>
          <w:rFonts w:ascii="宋体" w:hAnsi="宋体" w:cs="宋体"/>
          <w:bCs/>
          <w:color w:val="000000" w:themeColor="text1"/>
          <w:sz w:val="28"/>
          <w:szCs w:val="28"/>
          <w:highlight w:val="none"/>
          <w14:textFill>
            <w14:solidFill>
              <w14:schemeClr w14:val="tx1"/>
            </w14:solidFill>
          </w14:textFill>
        </w:rPr>
      </w:pPr>
    </w:p>
    <w:p>
      <w:pPr>
        <w:spacing w:line="480" w:lineRule="auto"/>
        <w:ind w:firstLine="280" w:firstLineChars="100"/>
        <w:jc w:val="left"/>
        <w:rPr>
          <w:rFonts w:ascii="宋体" w:hAnsi="宋体" w:cs="宋体"/>
          <w:color w:val="000000" w:themeColor="text1"/>
          <w:sz w:val="28"/>
          <w:szCs w:val="28"/>
          <w:highlight w:val="none"/>
          <w14:textFill>
            <w14:solidFill>
              <w14:schemeClr w14:val="tx1"/>
            </w14:solidFill>
          </w14:textFill>
        </w:rPr>
      </w:pPr>
      <w:r>
        <w:rPr>
          <w:rFonts w:hint="eastAsia" w:ascii="宋体" w:hAnsi="宋体" w:cs="宋体"/>
          <w:bCs/>
          <w:color w:val="000000" w:themeColor="text1"/>
          <w:sz w:val="28"/>
          <w:szCs w:val="28"/>
          <w:highlight w:val="none"/>
          <w14:textFill>
            <w14:solidFill>
              <w14:schemeClr w14:val="tx1"/>
            </w14:solidFill>
          </w14:textFill>
        </w:rPr>
        <w:t>签订地点：</w:t>
      </w:r>
      <w:r>
        <w:rPr>
          <w:rFonts w:hint="eastAsia" w:ascii="宋体" w:hAnsi="宋体" w:cs="宋体"/>
          <w:bCs/>
          <w:color w:val="000000" w:themeColor="text1"/>
          <w:sz w:val="28"/>
          <w:szCs w:val="28"/>
          <w:highlight w:val="none"/>
          <w:u w:val="single"/>
          <w14:textFill>
            <w14:solidFill>
              <w14:schemeClr w14:val="tx1"/>
            </w14:solidFill>
          </w14:textFill>
        </w:rPr>
        <w:t xml:space="preserve">  </w:t>
      </w:r>
      <w:r>
        <w:rPr>
          <w:rFonts w:hint="eastAsia" w:ascii="宋体" w:hAnsi="宋体" w:cs="宋体"/>
          <w:color w:val="000000" w:themeColor="text1"/>
          <w:sz w:val="28"/>
          <w:szCs w:val="28"/>
          <w:highlight w:val="none"/>
          <w:u w:val="single"/>
          <w14:textFill>
            <w14:solidFill>
              <w14:schemeClr w14:val="tx1"/>
            </w14:solidFill>
          </w14:textFill>
        </w:rPr>
        <w:t xml:space="preserve">浙江  </w:t>
      </w:r>
      <w:r>
        <w:rPr>
          <w:rFonts w:hint="eastAsia" w:ascii="宋体" w:hAnsi="宋体" w:cs="宋体"/>
          <w:color w:val="000000" w:themeColor="text1"/>
          <w:sz w:val="28"/>
          <w:szCs w:val="28"/>
          <w:highlight w:val="none"/>
          <w14:textFill>
            <w14:solidFill>
              <w14:schemeClr w14:val="tx1"/>
            </w14:solidFill>
          </w14:textFill>
        </w:rPr>
        <w:t>省</w:t>
      </w:r>
      <w:r>
        <w:rPr>
          <w:rFonts w:hint="eastAsia" w:ascii="宋体" w:hAnsi="宋体" w:cs="宋体"/>
          <w:color w:val="000000" w:themeColor="text1"/>
          <w:sz w:val="28"/>
          <w:szCs w:val="28"/>
          <w:highlight w:val="none"/>
          <w:u w:val="single"/>
          <w14:textFill>
            <w14:solidFill>
              <w14:schemeClr w14:val="tx1"/>
            </w14:solidFill>
          </w14:textFill>
        </w:rPr>
        <w:t xml:space="preserve">      </w:t>
      </w:r>
      <w:r>
        <w:rPr>
          <w:rFonts w:hint="eastAsia" w:ascii="宋体" w:hAnsi="宋体" w:cs="宋体"/>
          <w:color w:val="000000" w:themeColor="text1"/>
          <w:sz w:val="28"/>
          <w:szCs w:val="28"/>
          <w:highlight w:val="none"/>
          <w14:textFill>
            <w14:solidFill>
              <w14:schemeClr w14:val="tx1"/>
            </w14:solidFill>
          </w14:textFill>
        </w:rPr>
        <w:t>市</w:t>
      </w:r>
    </w:p>
    <w:p>
      <w:pPr>
        <w:spacing w:line="480" w:lineRule="auto"/>
        <w:ind w:firstLine="280" w:firstLineChars="100"/>
        <w:jc w:val="left"/>
        <w:rPr>
          <w:rFonts w:ascii="宋体" w:hAnsi="宋体" w:cs="宋体"/>
          <w:color w:val="000000" w:themeColor="text1"/>
          <w:sz w:val="28"/>
          <w:szCs w:val="28"/>
          <w:highlight w:val="none"/>
          <w14:textFill>
            <w14:solidFill>
              <w14:schemeClr w14:val="tx1"/>
            </w14:solidFill>
          </w14:textFill>
        </w:rPr>
      </w:pPr>
      <w:r>
        <w:rPr>
          <w:rFonts w:hint="eastAsia" w:ascii="宋体" w:hAnsi="宋体" w:cs="宋体"/>
          <w:bCs/>
          <w:color w:val="000000" w:themeColor="text1"/>
          <w:sz w:val="28"/>
          <w:szCs w:val="28"/>
          <w:highlight w:val="none"/>
          <w14:textFill>
            <w14:solidFill>
              <w14:schemeClr w14:val="tx1"/>
            </w14:solidFill>
          </w14:textFill>
        </w:rPr>
        <w:t>签订日期：</w:t>
      </w:r>
      <w:r>
        <w:rPr>
          <w:rFonts w:hint="eastAsia" w:ascii="宋体" w:hAnsi="宋体" w:cs="宋体"/>
          <w:color w:val="000000" w:themeColor="text1"/>
          <w:sz w:val="28"/>
          <w:szCs w:val="28"/>
          <w:highlight w:val="none"/>
          <w:u w:val="single"/>
          <w14:textFill>
            <w14:solidFill>
              <w14:schemeClr w14:val="tx1"/>
            </w14:solidFill>
          </w14:textFill>
        </w:rPr>
        <w:t xml:space="preserve">  2022  </w:t>
      </w:r>
      <w:r>
        <w:rPr>
          <w:rFonts w:hint="eastAsia" w:ascii="宋体" w:hAnsi="宋体" w:cs="宋体"/>
          <w:color w:val="000000" w:themeColor="text1"/>
          <w:sz w:val="28"/>
          <w:szCs w:val="28"/>
          <w:highlight w:val="none"/>
          <w14:textFill>
            <w14:solidFill>
              <w14:schemeClr w14:val="tx1"/>
            </w14:solidFill>
          </w14:textFill>
        </w:rPr>
        <w:t>年</w:t>
      </w:r>
      <w:r>
        <w:rPr>
          <w:rFonts w:hint="eastAsia" w:ascii="宋体" w:hAnsi="宋体" w:cs="宋体"/>
          <w:color w:val="000000" w:themeColor="text1"/>
          <w:sz w:val="28"/>
          <w:szCs w:val="28"/>
          <w:highlight w:val="none"/>
          <w:u w:val="single"/>
          <w14:textFill>
            <w14:solidFill>
              <w14:schemeClr w14:val="tx1"/>
            </w14:solidFill>
          </w14:textFill>
        </w:rPr>
        <w:t xml:space="preserve">     </w:t>
      </w:r>
      <w:r>
        <w:rPr>
          <w:rFonts w:hint="eastAsia" w:ascii="宋体" w:hAnsi="宋体" w:cs="宋体"/>
          <w:color w:val="000000" w:themeColor="text1"/>
          <w:sz w:val="28"/>
          <w:szCs w:val="28"/>
          <w:highlight w:val="none"/>
          <w14:textFill>
            <w14:solidFill>
              <w14:schemeClr w14:val="tx1"/>
            </w14:solidFill>
          </w14:textFill>
        </w:rPr>
        <w:t>月</w:t>
      </w:r>
      <w:r>
        <w:rPr>
          <w:rFonts w:hint="eastAsia" w:ascii="宋体" w:hAnsi="宋体" w:cs="宋体"/>
          <w:color w:val="000000" w:themeColor="text1"/>
          <w:sz w:val="28"/>
          <w:szCs w:val="28"/>
          <w:highlight w:val="none"/>
          <w:u w:val="single"/>
          <w14:textFill>
            <w14:solidFill>
              <w14:schemeClr w14:val="tx1"/>
            </w14:solidFill>
          </w14:textFill>
        </w:rPr>
        <w:t xml:space="preserve">    </w:t>
      </w:r>
      <w:r>
        <w:rPr>
          <w:rFonts w:hint="eastAsia" w:ascii="宋体" w:hAnsi="宋体" w:cs="宋体"/>
          <w:color w:val="000000" w:themeColor="text1"/>
          <w:sz w:val="28"/>
          <w:szCs w:val="28"/>
          <w:highlight w:val="none"/>
          <w14:textFill>
            <w14:solidFill>
              <w14:schemeClr w14:val="tx1"/>
            </w14:solidFill>
          </w14:textFill>
        </w:rPr>
        <w:t>日</w:t>
      </w:r>
    </w:p>
    <w:p>
      <w:pPr>
        <w:rPr>
          <w:rFonts w:ascii="宋体" w:hAnsi="宋体" w:cs="宋体"/>
          <w:color w:val="000000" w:themeColor="text1"/>
          <w:sz w:val="28"/>
          <w:szCs w:val="28"/>
          <w:highlight w:val="none"/>
          <w14:textFill>
            <w14:solidFill>
              <w14:schemeClr w14:val="tx1"/>
            </w14:solidFill>
          </w14:textFill>
        </w:rPr>
      </w:pPr>
    </w:p>
    <w:p>
      <w:pPr>
        <w:widowControl/>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br w:type="page"/>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2022</w:t>
      </w:r>
      <w:r>
        <w:rPr>
          <w:rFonts w:hint="eastAsia" w:ascii="宋体" w:hAnsi="宋体" w:cs="宋体"/>
          <w:color w:val="000000" w:themeColor="text1"/>
          <w:sz w:val="24"/>
          <w:highlight w:val="none"/>
          <w:lang w:val="zh-CN"/>
          <w14:textFill>
            <w14:solidFill>
              <w14:schemeClr w14:val="tx1"/>
            </w14:solidFill>
          </w14:textFill>
        </w:rPr>
        <w:t>年</w:t>
      </w:r>
      <w:r>
        <w:rPr>
          <w:rFonts w:hint="eastAsia" w:ascii="宋体" w:hAnsi="宋体" w:cs="宋体"/>
          <w:color w:val="000000" w:themeColor="text1"/>
          <w:sz w:val="24"/>
          <w:highlight w:val="none"/>
          <w:u w:val="single"/>
          <w:lang w:val="zh-CN"/>
          <w14:textFill>
            <w14:solidFill>
              <w14:schemeClr w14:val="tx1"/>
            </w14:solidFill>
          </w14:textFill>
        </w:rPr>
        <w:t xml:space="preserve">    </w:t>
      </w:r>
      <w:r>
        <w:rPr>
          <w:rFonts w:hint="eastAsia" w:ascii="宋体" w:hAnsi="宋体" w:cs="宋体"/>
          <w:color w:val="000000" w:themeColor="text1"/>
          <w:sz w:val="24"/>
          <w:highlight w:val="none"/>
          <w:lang w:val="zh-CN"/>
          <w14:textFill>
            <w14:solidFill>
              <w14:schemeClr w14:val="tx1"/>
            </w14:solidFill>
          </w14:textFill>
        </w:rPr>
        <w:t>月</w:t>
      </w:r>
      <w:r>
        <w:rPr>
          <w:rFonts w:hint="eastAsia" w:ascii="宋体" w:hAnsi="宋体" w:cs="宋体"/>
          <w:color w:val="000000" w:themeColor="text1"/>
          <w:sz w:val="24"/>
          <w:highlight w:val="none"/>
          <w:u w:val="single"/>
          <w:lang w:val="zh-CN"/>
          <w14:textFill>
            <w14:solidFill>
              <w14:schemeClr w14:val="tx1"/>
            </w14:solidFill>
          </w14:textFill>
        </w:rPr>
        <w:t xml:space="preserve">    </w:t>
      </w:r>
      <w:r>
        <w:rPr>
          <w:rFonts w:hint="eastAsia" w:ascii="宋体" w:hAnsi="宋体" w:cs="宋体"/>
          <w:color w:val="000000" w:themeColor="text1"/>
          <w:sz w:val="24"/>
          <w:highlight w:val="none"/>
          <w:lang w:val="zh-CN"/>
          <w14:textFill>
            <w14:solidFill>
              <w14:schemeClr w14:val="tx1"/>
            </w14:solidFill>
          </w14:textFill>
        </w:rPr>
        <w:t>日</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杭州工艺美术博物馆(杭州中国刀剪剑、扇业、伞业博物馆） </w:t>
      </w:r>
      <w:r>
        <w:rPr>
          <w:rFonts w:hint="eastAsia" w:ascii="宋体" w:hAnsi="宋体" w:cs="宋体"/>
          <w:color w:val="000000" w:themeColor="text1"/>
          <w:sz w:val="24"/>
          <w:highlight w:val="none"/>
          <w14:textFill>
            <w14:solidFill>
              <w14:schemeClr w14:val="tx1"/>
            </w14:solidFill>
          </w14:textFill>
        </w:rPr>
        <w:t>以</w:t>
      </w:r>
      <w:r>
        <w:rPr>
          <w:rFonts w:hint="eastAsia" w:ascii="宋体" w:hAnsi="宋体" w:cs="宋体"/>
          <w:color w:val="000000" w:themeColor="text1"/>
          <w:sz w:val="24"/>
          <w:highlight w:val="none"/>
          <w:u w:val="single"/>
          <w14:textFill>
            <w14:solidFill>
              <w14:schemeClr w14:val="tx1"/>
            </w14:solidFill>
          </w14:textFill>
        </w:rPr>
        <w:t xml:space="preserve"> 政府采购公开招标方式 </w:t>
      </w:r>
      <w:r>
        <w:rPr>
          <w:rFonts w:hint="eastAsia" w:ascii="宋体" w:hAnsi="宋体" w:cs="宋体"/>
          <w:color w:val="000000" w:themeColor="text1"/>
          <w:sz w:val="24"/>
          <w:highlight w:val="none"/>
          <w14:textFill>
            <w14:solidFill>
              <w14:schemeClr w14:val="tx1"/>
            </w14:solidFill>
          </w14:textFill>
        </w:rPr>
        <w:t>对</w:t>
      </w:r>
      <w:r>
        <w:rPr>
          <w:rFonts w:hint="eastAsia" w:ascii="宋体" w:hAnsi="宋体" w:cs="宋体"/>
          <w:bCs/>
          <w:color w:val="000000" w:themeColor="text1"/>
          <w:kern w:val="0"/>
          <w:sz w:val="24"/>
          <w:highlight w:val="none"/>
          <w:u w:val="single"/>
          <w14:textFill>
            <w14:solidFill>
              <w14:schemeClr w14:val="tx1"/>
            </w14:solidFill>
          </w14:textFill>
        </w:rPr>
        <w:t>中国伞博物馆多媒体提升改造</w:t>
      </w:r>
      <w:r>
        <w:rPr>
          <w:rFonts w:hint="eastAsia" w:ascii="宋体" w:hAnsi="宋体" w:cs="宋体"/>
          <w:color w:val="000000" w:themeColor="text1"/>
          <w:sz w:val="24"/>
          <w:highlight w:val="none"/>
          <w:u w:val="single"/>
          <w14:textFill>
            <w14:solidFill>
              <w14:schemeClr w14:val="tx1"/>
            </w14:solidFill>
          </w14:textFill>
        </w:rPr>
        <w:t>项目</w:t>
      </w:r>
      <w:r>
        <w:rPr>
          <w:rFonts w:hint="eastAsia" w:ascii="宋体" w:hAnsi="宋体" w:cs="宋体"/>
          <w:color w:val="000000" w:themeColor="text1"/>
          <w:sz w:val="24"/>
          <w:highlight w:val="none"/>
          <w14:textFill>
            <w14:solidFill>
              <w14:schemeClr w14:val="tx1"/>
            </w14:solidFill>
          </w14:textFill>
        </w:rPr>
        <w:t>进行了采购。经</w:t>
      </w:r>
      <w:r>
        <w:rPr>
          <w:rFonts w:hint="eastAsia" w:ascii="宋体" w:hAnsi="宋体" w:cs="宋体"/>
          <w:color w:val="000000" w:themeColor="text1"/>
          <w:sz w:val="24"/>
          <w:highlight w:val="none"/>
          <w:u w:val="single"/>
          <w14:textFill>
            <w14:solidFill>
              <w14:schemeClr w14:val="tx1"/>
            </w14:solidFill>
          </w14:textFill>
        </w:rPr>
        <w:t xml:space="preserve">评标委员会 </w:t>
      </w:r>
      <w:r>
        <w:rPr>
          <w:rFonts w:hint="eastAsia" w:ascii="宋体" w:hAnsi="宋体" w:cs="宋体"/>
          <w:color w:val="000000" w:themeColor="text1"/>
          <w:sz w:val="24"/>
          <w:highlight w:val="none"/>
          <w14:textFill>
            <w14:solidFill>
              <w14:schemeClr w14:val="tx1"/>
            </w14:solidFill>
          </w14:textFill>
        </w:rPr>
        <w:t>评定，</w:t>
      </w:r>
      <w:r>
        <w:rPr>
          <w:rFonts w:hint="eastAsia" w:ascii="宋体" w:hAnsi="宋体" w:cs="宋体"/>
          <w:color w:val="000000" w:themeColor="text1"/>
          <w:sz w:val="24"/>
          <w:highlight w:val="none"/>
          <w:u w:val="single"/>
          <w14:textFill>
            <w14:solidFill>
              <w14:schemeClr w14:val="tx1"/>
            </w14:solidFill>
          </w14:textFill>
        </w:rPr>
        <w:t>（中标供应商名称）</w:t>
      </w:r>
      <w:r>
        <w:rPr>
          <w:rFonts w:hint="eastAsia" w:ascii="宋体" w:hAnsi="宋体" w:cs="宋体"/>
          <w:color w:val="000000" w:themeColor="text1"/>
          <w:sz w:val="24"/>
          <w:highlight w:val="none"/>
          <w14:textFill>
            <w14:solidFill>
              <w14:schemeClr w14:val="tx1"/>
            </w14:solidFill>
          </w14:textFill>
        </w:rPr>
        <w:t>为该项目中标供应商。现于中标通知书发出之日起三十日内，按照采购文件确定的事项签订本合同。</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根据《中华人民共和国民法典》、《中华人民共和国政府采购法》等相关法律法规之规定，按照平等、自愿、公平、诚实信用和绿色的原则，经</w:t>
      </w:r>
      <w:r>
        <w:rPr>
          <w:rFonts w:hint="eastAsia" w:ascii="宋体" w:hAnsi="宋体" w:cs="宋体"/>
          <w:color w:val="000000" w:themeColor="text1"/>
          <w:sz w:val="24"/>
          <w:highlight w:val="none"/>
          <w:u w:val="single"/>
          <w14:textFill>
            <w14:solidFill>
              <w14:schemeClr w14:val="tx1"/>
            </w14:solidFill>
          </w14:textFill>
        </w:rPr>
        <w:t xml:space="preserve">   （采购人）   </w:t>
      </w:r>
      <w:r>
        <w:rPr>
          <w:rFonts w:hint="eastAsia" w:ascii="宋体" w:hAnsi="宋体" w:cs="宋体"/>
          <w:color w:val="000000" w:themeColor="text1"/>
          <w:sz w:val="24"/>
          <w:highlight w:val="none"/>
          <w:lang w:val="zh-CN"/>
          <w14:textFill>
            <w14:solidFill>
              <w14:schemeClr w14:val="tx1"/>
            </w14:solidFill>
          </w14:textFill>
        </w:rPr>
        <w:t>(以下简称：甲方)和</w:t>
      </w:r>
      <w:r>
        <w:rPr>
          <w:rFonts w:hint="eastAsia" w:ascii="宋体" w:hAnsi="宋体" w:cs="宋体"/>
          <w:color w:val="000000" w:themeColor="text1"/>
          <w:sz w:val="24"/>
          <w:highlight w:val="none"/>
          <w:u w:val="single"/>
          <w14:textFill>
            <w14:solidFill>
              <w14:schemeClr w14:val="tx1"/>
            </w14:solidFill>
          </w14:textFill>
        </w:rPr>
        <w:t xml:space="preserve">   （中标供应商名称）   </w:t>
      </w:r>
      <w:r>
        <w:rPr>
          <w:rFonts w:hint="eastAsia" w:ascii="宋体" w:hAnsi="宋体" w:cs="宋体"/>
          <w:color w:val="000000" w:themeColor="text1"/>
          <w:sz w:val="24"/>
          <w:highlight w:val="none"/>
          <w:lang w:val="zh-CN"/>
          <w14:textFill>
            <w14:solidFill>
              <w14:schemeClr w14:val="tx1"/>
            </w14:solidFill>
          </w14:textFill>
        </w:rPr>
        <w:t>(以下简称：乙方)协商一致，约定以下合同</w:t>
      </w:r>
      <w:r>
        <w:rPr>
          <w:rFonts w:hint="eastAsia" w:ascii="宋体" w:hAnsi="宋体" w:cs="宋体"/>
          <w:color w:val="000000" w:themeColor="text1"/>
          <w:sz w:val="24"/>
          <w:highlight w:val="none"/>
          <w14:textFill>
            <w14:solidFill>
              <w14:schemeClr w14:val="tx1"/>
            </w14:solidFill>
          </w14:textFill>
        </w:rPr>
        <w:t>条款，以兹共同遵守、全面履行。</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394" w:name="_Toc3029"/>
      <w:bookmarkStart w:id="395" w:name="_Toc2232"/>
      <w:bookmarkStart w:id="396" w:name="_Toc24059"/>
      <w:r>
        <w:rPr>
          <w:rFonts w:hint="eastAsia" w:ascii="宋体" w:hAnsi="宋体" w:cs="宋体"/>
          <w:b/>
          <w:color w:val="000000" w:themeColor="text1"/>
          <w:sz w:val="24"/>
          <w:highlight w:val="none"/>
          <w14:textFill>
            <w14:solidFill>
              <w14:schemeClr w14:val="tx1"/>
            </w14:solidFill>
          </w14:textFill>
        </w:rPr>
        <w:t>1.1 合同组成部分</w:t>
      </w:r>
      <w:bookmarkEnd w:id="394"/>
      <w:bookmarkEnd w:id="395"/>
      <w:bookmarkEnd w:id="396"/>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 本合同及其补充合同、变更协议；</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 中标通知书；</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1.1.3 投标文件（含澄清或者说明文件）；</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1.1.4 招标文件（含澄清或者修改文件）；</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1.1.5 其他相关采购文件。</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397" w:name="_Toc24300"/>
      <w:bookmarkStart w:id="398" w:name="_Toc21295"/>
      <w:bookmarkStart w:id="399" w:name="_Toc27126"/>
      <w:r>
        <w:rPr>
          <w:rFonts w:hint="eastAsia" w:ascii="宋体" w:hAnsi="宋体" w:cs="宋体"/>
          <w:b/>
          <w:color w:val="000000" w:themeColor="text1"/>
          <w:sz w:val="24"/>
          <w:highlight w:val="none"/>
          <w14:textFill>
            <w14:solidFill>
              <w14:schemeClr w14:val="tx1"/>
            </w14:solidFill>
          </w14:textFill>
        </w:rPr>
        <w:t>1.2 货物</w:t>
      </w:r>
      <w:bookmarkEnd w:id="397"/>
      <w:bookmarkEnd w:id="398"/>
      <w:bookmarkEnd w:id="399"/>
    </w:p>
    <w:p>
      <w:pPr>
        <w:spacing w:line="56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1.2.1 货物名称：</w:t>
      </w:r>
      <w:r>
        <w:rPr>
          <w:rFonts w:hint="eastAsia" w:ascii="宋体" w:hAnsi="宋体" w:cs="宋体"/>
          <w:color w:val="000000" w:themeColor="text1"/>
          <w:sz w:val="24"/>
          <w:highlight w:val="none"/>
          <w:u w:val="single"/>
          <w14:textFill>
            <w14:solidFill>
              <w14:schemeClr w14:val="tx1"/>
            </w14:solidFill>
          </w14:textFill>
        </w:rPr>
        <w:t xml:space="preserve">详见采购需求中“项目建设清单” </w:t>
      </w:r>
      <w:r>
        <w:rPr>
          <w:rFonts w:hint="eastAsia" w:ascii="宋体" w:hAnsi="宋体" w:cs="宋体"/>
          <w:color w:val="000000" w:themeColor="text1"/>
          <w:sz w:val="24"/>
          <w:highlight w:val="none"/>
          <w14:textFill>
            <w14:solidFill>
              <w14:schemeClr w14:val="tx1"/>
            </w14:solidFill>
          </w14:textFill>
        </w:rPr>
        <w:t>；</w:t>
      </w:r>
    </w:p>
    <w:p>
      <w:pPr>
        <w:spacing w:line="56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1.2.2 货物数量：</w:t>
      </w:r>
      <w:r>
        <w:rPr>
          <w:rFonts w:hint="eastAsia" w:ascii="宋体" w:hAnsi="宋体" w:cs="宋体"/>
          <w:color w:val="000000" w:themeColor="text1"/>
          <w:sz w:val="24"/>
          <w:highlight w:val="none"/>
          <w:u w:val="single"/>
          <w14:textFill>
            <w14:solidFill>
              <w14:schemeClr w14:val="tx1"/>
            </w14:solidFill>
          </w14:textFill>
        </w:rPr>
        <w:t>详见采购需求中“项目建设清单”</w:t>
      </w:r>
      <w:r>
        <w:rPr>
          <w:rFonts w:hint="eastAsia" w:ascii="宋体" w:hAnsi="宋体" w:cs="宋体"/>
          <w:color w:val="000000" w:themeColor="text1"/>
          <w:sz w:val="24"/>
          <w:highlight w:val="none"/>
          <w14:textFill>
            <w14:solidFill>
              <w14:schemeClr w14:val="tx1"/>
            </w14:solidFill>
          </w14:textFill>
        </w:rPr>
        <w:t>；</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1.2.3 货物质量：</w:t>
      </w:r>
      <w:r>
        <w:rPr>
          <w:rFonts w:hint="eastAsia" w:ascii="宋体" w:hAnsi="宋体" w:cs="宋体"/>
          <w:color w:val="000000" w:themeColor="text1"/>
          <w:sz w:val="24"/>
          <w:highlight w:val="none"/>
          <w:u w:val="single"/>
          <w14:textFill>
            <w14:solidFill>
              <w14:schemeClr w14:val="tx1"/>
            </w14:solidFill>
          </w14:textFill>
        </w:rPr>
        <w:t>产品必须是符合国家技术规范和质量标准的合格产品，满足采购人的使用需求，并具有可靠的售后服务体系，质量可靠、使用安全</w:t>
      </w:r>
      <w:r>
        <w:rPr>
          <w:rFonts w:hint="eastAsia" w:ascii="宋体" w:hAnsi="宋体" w:cs="宋体"/>
          <w:color w:val="000000" w:themeColor="text1"/>
          <w:sz w:val="24"/>
          <w:highlight w:val="none"/>
          <w14:textFill>
            <w14:solidFill>
              <w14:schemeClr w14:val="tx1"/>
            </w14:solidFill>
          </w14:textFill>
        </w:rPr>
        <w:t>。</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00" w:name="_Toc21551"/>
      <w:bookmarkStart w:id="401" w:name="_Toc21631"/>
      <w:bookmarkStart w:id="402" w:name="_Toc23292"/>
      <w:r>
        <w:rPr>
          <w:rFonts w:hint="eastAsia" w:ascii="宋体" w:hAnsi="宋体" w:cs="宋体"/>
          <w:b/>
          <w:color w:val="000000" w:themeColor="text1"/>
          <w:sz w:val="24"/>
          <w:highlight w:val="none"/>
          <w14:textFill>
            <w14:solidFill>
              <w14:schemeClr w14:val="tx1"/>
            </w14:solidFill>
          </w14:textFill>
        </w:rPr>
        <w:t>1.3 价款</w:t>
      </w:r>
      <w:bookmarkEnd w:id="400"/>
      <w:bookmarkEnd w:id="401"/>
      <w:bookmarkEnd w:id="402"/>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本合同总价为：￥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元（大写：</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元人民币）。</w:t>
      </w:r>
    </w:p>
    <w:p>
      <w:pPr>
        <w:spacing w:line="56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分项价格：</w:t>
      </w:r>
    </w:p>
    <w:tbl>
      <w:tblPr>
        <w:tblStyle w:val="63"/>
        <w:tblW w:w="100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9"/>
        <w:gridCol w:w="2408"/>
        <w:gridCol w:w="2032"/>
        <w:gridCol w:w="690"/>
        <w:gridCol w:w="990"/>
        <w:gridCol w:w="1283"/>
        <w:gridCol w:w="900"/>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序号</w:t>
            </w:r>
          </w:p>
        </w:tc>
        <w:tc>
          <w:tcPr>
            <w:tcW w:w="2408"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项目名称（分项名称）</w:t>
            </w:r>
          </w:p>
        </w:tc>
        <w:tc>
          <w:tcPr>
            <w:tcW w:w="2032"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品牌、功能或技术参数</w:t>
            </w:r>
          </w:p>
        </w:tc>
        <w:tc>
          <w:tcPr>
            <w:tcW w:w="69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单位</w:t>
            </w:r>
          </w:p>
        </w:tc>
        <w:tc>
          <w:tcPr>
            <w:tcW w:w="99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数量</w:t>
            </w:r>
          </w:p>
        </w:tc>
        <w:tc>
          <w:tcPr>
            <w:tcW w:w="1283"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综合单价</w:t>
            </w:r>
          </w:p>
        </w:tc>
        <w:tc>
          <w:tcPr>
            <w:tcW w:w="90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b/>
                <w:bCs/>
                <w:color w:val="000000" w:themeColor="text1"/>
                <w:kern w:val="0"/>
                <w:sz w:val="20"/>
                <w:szCs w:val="20"/>
                <w:highlight w:val="none"/>
                <w:lang w:bidi="ar"/>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小计</w:t>
            </w:r>
          </w:p>
        </w:tc>
        <w:tc>
          <w:tcPr>
            <w:tcW w:w="90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b/>
                <w:bCs/>
                <w:color w:val="000000" w:themeColor="text1"/>
                <w:kern w:val="0"/>
                <w:sz w:val="20"/>
                <w:szCs w:val="20"/>
                <w:highlight w:val="none"/>
                <w:lang w:bidi="ar"/>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2408"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203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690"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90"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1283"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2408"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203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690"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90"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1283"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2408"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203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690"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90"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1283"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287" w:type="dxa"/>
            <w:gridSpan w:val="2"/>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总价/元</w:t>
            </w:r>
          </w:p>
        </w:tc>
        <w:tc>
          <w:tcPr>
            <w:tcW w:w="203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690"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90"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1283"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00"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r>
    </w:tbl>
    <w:p>
      <w:pPr>
        <w:spacing w:line="360" w:lineRule="auto"/>
        <w:ind w:firstLine="482" w:firstLineChars="200"/>
        <w:outlineLvl w:val="0"/>
        <w:rPr>
          <w:rFonts w:ascii="宋体" w:hAnsi="宋体" w:cs="宋体"/>
          <w:b/>
          <w:color w:val="000000" w:themeColor="text1"/>
          <w:sz w:val="24"/>
          <w:highlight w:val="none"/>
          <w14:textFill>
            <w14:solidFill>
              <w14:schemeClr w14:val="tx1"/>
            </w14:solidFill>
          </w14:textFill>
        </w:rPr>
      </w:pPr>
      <w:bookmarkStart w:id="403" w:name="_Toc22618"/>
      <w:bookmarkStart w:id="404" w:name="_Toc10340"/>
      <w:bookmarkStart w:id="405" w:name="_Toc1814"/>
      <w:r>
        <w:rPr>
          <w:rFonts w:hint="eastAsia" w:ascii="宋体" w:hAnsi="宋体" w:cs="宋体"/>
          <w:b/>
          <w:color w:val="000000" w:themeColor="text1"/>
          <w:sz w:val="24"/>
          <w:highlight w:val="none"/>
          <w14:textFill>
            <w14:solidFill>
              <w14:schemeClr w14:val="tx1"/>
            </w14:solidFill>
          </w14:textFill>
        </w:rPr>
        <w:t>1.4 付款</w:t>
      </w:r>
      <w:bookmarkEnd w:id="403"/>
      <w:bookmarkEnd w:id="404"/>
      <w:bookmarkEnd w:id="405"/>
      <w:r>
        <w:rPr>
          <w:rFonts w:hint="eastAsia" w:ascii="宋体" w:hAnsi="宋体" w:cs="宋体"/>
          <w:b/>
          <w:color w:val="000000" w:themeColor="text1"/>
          <w:sz w:val="24"/>
          <w:highlight w:val="none"/>
          <w14:textFill>
            <w14:solidFill>
              <w14:schemeClr w14:val="tx1"/>
            </w14:solidFill>
          </w14:textFill>
        </w:rPr>
        <w:t>方式、时间和条件</w:t>
      </w:r>
    </w:p>
    <w:p>
      <w:pPr>
        <w:pStyle w:val="958"/>
        <w:spacing w:before="0" w:beforeAutospacing="0" w:after="0" w:afterAutospacing="0" w:line="360" w:lineRule="auto"/>
        <w:ind w:firstLine="48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1.4.2合同预付款比例为合同金额的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1.4.3甲方迟延支付乙方款项的，向乙方支付逾期利息。双方可以在合同专用条款中约定逾期利率，约定利率不得低于合同订立时1年期贷款市场报价利率；未作约定的，按照每日利率万分之五支付逾期利息。</w:t>
      </w:r>
    </w:p>
    <w:p>
      <w:pPr>
        <w:spacing w:line="560" w:lineRule="exact"/>
        <w:ind w:firstLine="480" w:firstLineChars="200"/>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1.4.4资金支付的方式、时间和条件详见</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w:t>
      </w:r>
    </w:p>
    <w:p>
      <w:pPr>
        <w:spacing w:line="560" w:lineRule="exact"/>
        <w:ind w:firstLine="480" w:firstLineChars="200"/>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1.4.5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06" w:name="_Toc32071"/>
      <w:bookmarkStart w:id="407" w:name="_Toc2846"/>
      <w:bookmarkStart w:id="408" w:name="_Toc19304"/>
      <w:r>
        <w:rPr>
          <w:rFonts w:hint="eastAsia" w:ascii="宋体" w:hAnsi="宋体" w:cs="宋体"/>
          <w:b/>
          <w:color w:val="000000" w:themeColor="text1"/>
          <w:sz w:val="24"/>
          <w:highlight w:val="none"/>
          <w14:textFill>
            <w14:solidFill>
              <w14:schemeClr w14:val="tx1"/>
            </w14:solidFill>
          </w14:textFill>
        </w:rPr>
        <w:t>1.5 货物交付期限、地点和方式</w:t>
      </w:r>
      <w:bookmarkEnd w:id="406"/>
      <w:bookmarkEnd w:id="407"/>
      <w:bookmarkEnd w:id="408"/>
    </w:p>
    <w:p>
      <w:pPr>
        <w:spacing w:line="560" w:lineRule="exact"/>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1.5.1 交付期限：详见</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1.5.2 交付地点：</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1.5.3 交付方式：</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09" w:name="_Toc19554"/>
      <w:bookmarkStart w:id="410" w:name="_Toc21423"/>
      <w:bookmarkStart w:id="411" w:name="_Toc27250"/>
      <w:r>
        <w:rPr>
          <w:rFonts w:hint="eastAsia" w:ascii="宋体" w:hAnsi="宋体" w:cs="宋体"/>
          <w:b/>
          <w:color w:val="000000" w:themeColor="text1"/>
          <w:sz w:val="24"/>
          <w:highlight w:val="none"/>
          <w14:textFill>
            <w14:solidFill>
              <w14:schemeClr w14:val="tx1"/>
            </w14:solidFill>
          </w14:textFill>
        </w:rPr>
        <w:t>1.6 违约责任</w:t>
      </w:r>
      <w:bookmarkEnd w:id="409"/>
      <w:bookmarkEnd w:id="410"/>
      <w:bookmarkEnd w:id="411"/>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1.6.1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color w:val="000000" w:themeColor="text1"/>
          <w:sz w:val="24"/>
          <w:highlight w:val="none"/>
          <w:u w:val="single"/>
          <w14:textFill>
            <w14:solidFill>
              <w14:schemeClr w14:val="tx1"/>
            </w14:solidFill>
          </w14:textFill>
        </w:rPr>
        <w:t xml:space="preserve">  0.05  </w:t>
      </w:r>
      <w:r>
        <w:rPr>
          <w:rFonts w:hint="eastAsia" w:ascii="宋体" w:hAnsi="宋体" w:cs="宋体"/>
          <w:color w:val="000000" w:themeColor="text1"/>
          <w:sz w:val="24"/>
          <w:highlight w:val="none"/>
          <w14:textFill>
            <w14:solidFill>
              <w14:schemeClr w14:val="tx1"/>
            </w14:solidFill>
          </w14:textFill>
        </w:rPr>
        <w:t>%计算，最高限额为本合同总价的</w:t>
      </w:r>
      <w:r>
        <w:rPr>
          <w:rFonts w:hint="eastAsia" w:ascii="宋体" w:hAnsi="宋体" w:cs="宋体"/>
          <w:color w:val="000000" w:themeColor="text1"/>
          <w:sz w:val="24"/>
          <w:highlight w:val="none"/>
          <w:u w:val="single"/>
          <w14:textFill>
            <w14:solidFill>
              <w14:schemeClr w14:val="tx1"/>
            </w14:solidFill>
          </w14:textFill>
        </w:rPr>
        <w:t xml:space="preserve"> 20  </w:t>
      </w:r>
      <w:r>
        <w:rPr>
          <w:rFonts w:hint="eastAsia" w:ascii="宋体" w:hAnsi="宋体" w:cs="宋体"/>
          <w:color w:val="000000" w:themeColor="text1"/>
          <w:sz w:val="24"/>
          <w:highlight w:val="none"/>
          <w14:textFill>
            <w14:solidFill>
              <w14:schemeClr w14:val="tx1"/>
            </w14:solidFill>
          </w14:textFill>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1.6.2 除不可抗力外，如果甲方没有按照本合同约定的付款方式付款，那么乙方可要求甲方支付违约金，违约金按每迟延付款一日的应付而未付款的</w:t>
      </w:r>
      <w:r>
        <w:rPr>
          <w:rFonts w:hint="eastAsia" w:ascii="宋体" w:hAnsi="宋体" w:cs="宋体"/>
          <w:color w:val="000000" w:themeColor="text1"/>
          <w:sz w:val="24"/>
          <w:highlight w:val="none"/>
          <w:u w:val="single"/>
          <w14:textFill>
            <w14:solidFill>
              <w14:schemeClr w14:val="tx1"/>
            </w14:solidFill>
          </w14:textFill>
        </w:rPr>
        <w:t xml:space="preserve">  0.05  </w:t>
      </w:r>
      <w:r>
        <w:rPr>
          <w:rFonts w:hint="eastAsia" w:ascii="宋体" w:hAnsi="宋体" w:cs="宋体"/>
          <w:color w:val="000000" w:themeColor="text1"/>
          <w:sz w:val="24"/>
          <w:highlight w:val="none"/>
          <w14:textFill>
            <w14:solidFill>
              <w14:schemeClr w14:val="tx1"/>
            </w14:solidFill>
          </w14:textFill>
        </w:rPr>
        <w:t>%计算，最高限额为本合同总价的</w:t>
      </w:r>
      <w:r>
        <w:rPr>
          <w:rFonts w:hint="eastAsia" w:ascii="宋体" w:hAnsi="宋体" w:cs="宋体"/>
          <w:color w:val="000000" w:themeColor="text1"/>
          <w:sz w:val="24"/>
          <w:highlight w:val="none"/>
          <w:u w:val="single"/>
          <w14:textFill>
            <w14:solidFill>
              <w14:schemeClr w14:val="tx1"/>
            </w14:solidFill>
          </w14:textFill>
        </w:rPr>
        <w:t xml:space="preserve">  20   </w:t>
      </w:r>
      <w:r>
        <w:rPr>
          <w:rFonts w:hint="eastAsia" w:ascii="宋体" w:hAnsi="宋体" w:cs="宋体"/>
          <w:color w:val="000000" w:themeColor="text1"/>
          <w:sz w:val="24"/>
          <w:highlight w:val="none"/>
          <w14:textFill>
            <w14:solidFill>
              <w14:schemeClr w14:val="tx1"/>
            </w14:solidFill>
          </w14:textFill>
        </w:rPr>
        <w:t>%；迟延付款的违约金计算数额达到前述最高限额之日起，乙方有权在要求甲方支付违约金的同时，书面通知甲方解除本合同；</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1.6.6 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20" w:leftChars="-200" w:right="-420" w:rightChars="-200" w:firstLine="960" w:firstLineChars="4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1.6.7违约责任</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另有约定的，从其约定。</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12" w:name="_Toc28375"/>
      <w:bookmarkStart w:id="413" w:name="_Toc15583"/>
      <w:bookmarkStart w:id="414" w:name="_Toc16021"/>
      <w:r>
        <w:rPr>
          <w:rFonts w:hint="eastAsia" w:ascii="宋体" w:hAnsi="宋体" w:cs="宋体"/>
          <w:b/>
          <w:color w:val="000000" w:themeColor="text1"/>
          <w:sz w:val="24"/>
          <w:highlight w:val="none"/>
          <w14:textFill>
            <w14:solidFill>
              <w14:schemeClr w14:val="tx1"/>
            </w14:solidFill>
          </w14:textFill>
        </w:rPr>
        <w:t>1.7 合同争议的解决</w:t>
      </w:r>
      <w:bookmarkEnd w:id="412"/>
      <w:bookmarkEnd w:id="413"/>
      <w:bookmarkEnd w:id="414"/>
    </w:p>
    <w:p>
      <w:pPr>
        <w:spacing w:line="560" w:lineRule="exact"/>
        <w:ind w:left="-61" w:leftChars="-29" w:right="-420" w:rightChars="-200"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本合同履行过程中发生的任何争议，双方当事人均可通过和解或者调解解决；不愿和解、调解或者和解、调解不成的，可以选择以下第</w:t>
      </w:r>
      <w:r>
        <w:rPr>
          <w:rFonts w:hint="eastAsia" w:ascii="宋体" w:hAnsi="宋体" w:cs="宋体"/>
          <w:b/>
          <w:i/>
          <w:color w:val="000000" w:themeColor="text1"/>
          <w:sz w:val="24"/>
          <w:highlight w:val="none"/>
          <w:u w:val="single"/>
          <w14:textFill>
            <w14:solidFill>
              <w14:schemeClr w14:val="tx1"/>
            </w14:solidFill>
          </w14:textFill>
        </w:rPr>
        <w:t xml:space="preserve"> 合同专用条款  </w:t>
      </w:r>
      <w:r>
        <w:rPr>
          <w:rFonts w:hint="eastAsia" w:ascii="宋体" w:hAnsi="宋体" w:cs="宋体"/>
          <w:color w:val="000000" w:themeColor="text1"/>
          <w:sz w:val="24"/>
          <w:highlight w:val="none"/>
          <w14:textFill>
            <w14:solidFill>
              <w14:schemeClr w14:val="tx1"/>
            </w14:solidFill>
          </w14:textFill>
        </w:rPr>
        <w:t>条款规定的方式解决：</w:t>
      </w:r>
    </w:p>
    <w:p>
      <w:pPr>
        <w:spacing w:line="560" w:lineRule="exact"/>
        <w:ind w:left="-420" w:leftChars="-200" w:right="-420" w:rightChars="-200" w:firstLine="600" w:firstLineChars="2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1.7.1 将争议提交</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仲裁委员会依申请仲裁时其现行有效的仲裁规则裁决；</w:t>
      </w:r>
    </w:p>
    <w:p>
      <w:pPr>
        <w:spacing w:line="560" w:lineRule="exact"/>
        <w:ind w:left="-420" w:leftChars="-200" w:right="-420" w:rightChars="-200" w:firstLine="600" w:firstLineChars="2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1.7.2 向</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人民法院起诉。</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15" w:name="_Toc7245"/>
      <w:bookmarkStart w:id="416" w:name="_Toc11173"/>
      <w:bookmarkStart w:id="417" w:name="_Toc15322"/>
      <w:r>
        <w:rPr>
          <w:rFonts w:hint="eastAsia" w:ascii="宋体" w:hAnsi="宋体" w:cs="宋体"/>
          <w:b/>
          <w:color w:val="000000" w:themeColor="text1"/>
          <w:sz w:val="24"/>
          <w:highlight w:val="none"/>
          <w14:textFill>
            <w14:solidFill>
              <w14:schemeClr w14:val="tx1"/>
            </w14:solidFill>
          </w14:textFill>
        </w:rPr>
        <w:t>1.8 合同生效</w:t>
      </w:r>
      <w:bookmarkEnd w:id="415"/>
      <w:bookmarkEnd w:id="416"/>
      <w:bookmarkEnd w:id="417"/>
    </w:p>
    <w:p>
      <w:pPr>
        <w:spacing w:line="560" w:lineRule="exact"/>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本合同自双方当事人盖章或者签字时生效。</w:t>
      </w:r>
    </w:p>
    <w:p>
      <w:pPr>
        <w:autoSpaceDE w:val="0"/>
        <w:autoSpaceDN w:val="0"/>
        <w:spacing w:line="560" w:lineRule="exact"/>
        <w:rPr>
          <w:rFonts w:ascii="宋体" w:hAnsi="宋体" w:cs="宋体"/>
          <w:color w:val="000000" w:themeColor="text1"/>
          <w:sz w:val="24"/>
          <w:highlight w:val="none"/>
          <w:lang w:val="zh-CN"/>
          <w14:textFill>
            <w14:solidFill>
              <w14:schemeClr w14:val="tx1"/>
            </w14:solidFill>
          </w14:textFill>
        </w:rPr>
      </w:pPr>
    </w:p>
    <w:p>
      <w:pPr>
        <w:autoSpaceDE w:val="0"/>
        <w:autoSpaceDN w:val="0"/>
        <w:spacing w:line="560" w:lineRule="exact"/>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b/>
          <w:color w:val="000000" w:themeColor="text1"/>
          <w:sz w:val="24"/>
          <w:highlight w:val="none"/>
          <w:lang w:val="zh-CN"/>
          <w14:textFill>
            <w14:solidFill>
              <w14:schemeClr w14:val="tx1"/>
            </w14:solidFill>
          </w14:textFill>
        </w:rPr>
        <w:t>甲方</w:t>
      </w:r>
      <w:r>
        <w:rPr>
          <w:rFonts w:hint="eastAsia" w:ascii="宋体" w:hAnsi="宋体" w:cs="宋体"/>
          <w:color w:val="000000" w:themeColor="text1"/>
          <w:sz w:val="24"/>
          <w:highlight w:val="none"/>
          <w:lang w:val="zh-CN"/>
          <w14:textFill>
            <w14:solidFill>
              <w14:schemeClr w14:val="tx1"/>
            </w14:solidFill>
          </w14:textFill>
        </w:rPr>
        <w:t xml:space="preserve">：                             </w:t>
      </w:r>
      <w:r>
        <w:rPr>
          <w:rFonts w:hint="eastAsia" w:ascii="宋体" w:hAnsi="宋体" w:cs="宋体"/>
          <w:b/>
          <w:color w:val="000000" w:themeColor="text1"/>
          <w:sz w:val="24"/>
          <w:highlight w:val="none"/>
          <w:lang w:val="zh-CN"/>
          <w14:textFill>
            <w14:solidFill>
              <w14:schemeClr w14:val="tx1"/>
            </w14:solidFill>
          </w14:textFill>
        </w:rPr>
        <w:t xml:space="preserve">      乙方</w:t>
      </w:r>
      <w:r>
        <w:rPr>
          <w:rFonts w:hint="eastAsia" w:ascii="宋体" w:hAnsi="宋体" w:cs="宋体"/>
          <w:color w:val="000000" w:themeColor="text1"/>
          <w:sz w:val="24"/>
          <w:highlight w:val="none"/>
          <w:lang w:val="zh-CN"/>
          <w14:textFill>
            <w14:solidFill>
              <w14:schemeClr w14:val="tx1"/>
            </w14:solidFill>
          </w14:textFill>
        </w:rPr>
        <w:t>：</w:t>
      </w:r>
    </w:p>
    <w:p>
      <w:pPr>
        <w:autoSpaceDE w:val="0"/>
        <w:autoSpaceDN w:val="0"/>
        <w:spacing w:line="560" w:lineRule="exact"/>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统一社会信用代码：                        统一社会信用代码或身份证号码：</w:t>
      </w:r>
    </w:p>
    <w:p>
      <w:pPr>
        <w:autoSpaceDE w:val="0"/>
        <w:autoSpaceDN w:val="0"/>
        <w:spacing w:line="560" w:lineRule="exact"/>
        <w:rPr>
          <w:rFonts w:ascii="宋体" w:hAnsi="宋体" w:cs="宋体"/>
          <w:color w:val="000000" w:themeColor="text1"/>
          <w:sz w:val="24"/>
          <w:highlight w:val="none"/>
          <w:lang w:val="zh-CN"/>
          <w14:textFill>
            <w14:solidFill>
              <w14:schemeClr w14:val="tx1"/>
            </w14:solidFill>
          </w14:textFill>
        </w:rPr>
      </w:pPr>
    </w:p>
    <w:p>
      <w:pPr>
        <w:autoSpaceDE w:val="0"/>
        <w:autoSpaceDN w:val="0"/>
        <w:spacing w:line="560" w:lineRule="exact"/>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住所：                                   住所：</w:t>
      </w:r>
    </w:p>
    <w:p>
      <w:pPr>
        <w:autoSpaceDE w:val="0"/>
        <w:autoSpaceDN w:val="0"/>
        <w:spacing w:line="560" w:lineRule="exact"/>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法定代表人或                             法定代表人</w:t>
      </w:r>
    </w:p>
    <w:p>
      <w:pPr>
        <w:autoSpaceDE w:val="0"/>
        <w:autoSpaceDN w:val="0"/>
        <w:spacing w:line="560" w:lineRule="exact"/>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 xml:space="preserve">授权代表（签字）：                        或授权代表（签字）: </w:t>
      </w:r>
    </w:p>
    <w:p>
      <w:pPr>
        <w:autoSpaceDE w:val="0"/>
        <w:autoSpaceDN w:val="0"/>
        <w:spacing w:line="560" w:lineRule="exact"/>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联系人：                                 联系人：</w:t>
      </w:r>
    </w:p>
    <w:p>
      <w:pPr>
        <w:autoSpaceDE w:val="0"/>
        <w:autoSpaceDN w:val="0"/>
        <w:spacing w:line="560" w:lineRule="exact"/>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约定送达地址：                           约定送达地址：</w:t>
      </w:r>
    </w:p>
    <w:p>
      <w:pPr>
        <w:autoSpaceDE w:val="0"/>
        <w:autoSpaceDN w:val="0"/>
        <w:spacing w:line="560" w:lineRule="exact"/>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邮政编码：                               邮政编码：</w:t>
      </w:r>
    </w:p>
    <w:p>
      <w:pPr>
        <w:autoSpaceDE w:val="0"/>
        <w:autoSpaceDN w:val="0"/>
        <w:spacing w:line="560" w:lineRule="exact"/>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 xml:space="preserve">电话:                                    电话: </w:t>
      </w:r>
    </w:p>
    <w:p>
      <w:pPr>
        <w:autoSpaceDE w:val="0"/>
        <w:autoSpaceDN w:val="0"/>
        <w:spacing w:line="560" w:lineRule="exact"/>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传真:                                    传真:</w:t>
      </w:r>
    </w:p>
    <w:p>
      <w:pPr>
        <w:autoSpaceDE w:val="0"/>
        <w:autoSpaceDN w:val="0"/>
        <w:spacing w:line="56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电子邮箱：                               电子邮箱：</w:t>
      </w:r>
    </w:p>
    <w:p>
      <w:pPr>
        <w:autoSpaceDE w:val="0"/>
        <w:autoSpaceDN w:val="0"/>
        <w:spacing w:line="56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开户银行：                               开户银行： </w:t>
      </w:r>
    </w:p>
    <w:p>
      <w:pPr>
        <w:autoSpaceDE w:val="0"/>
        <w:autoSpaceDN w:val="0"/>
        <w:spacing w:line="56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开户名称：                               开户名称： </w:t>
      </w:r>
    </w:p>
    <w:p>
      <w:pPr>
        <w:autoSpaceDE w:val="0"/>
        <w:autoSpaceDN w:val="0"/>
        <w:spacing w:line="560" w:lineRule="exac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开户账号：</w:t>
      </w:r>
      <w:r>
        <w:rPr>
          <w:rFonts w:hint="eastAsia" w:ascii="宋体" w:hAnsi="宋体" w:cs="宋体"/>
          <w:color w:val="000000" w:themeColor="text1"/>
          <w:sz w:val="24"/>
          <w:highlight w:val="none"/>
          <w:lang w:val="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开户账号：</w:t>
      </w:r>
    </w:p>
    <w:p>
      <w:pPr>
        <w:widowControl/>
        <w:spacing w:line="560" w:lineRule="exact"/>
        <w:jc w:val="left"/>
        <w:rPr>
          <w:rFonts w:ascii="宋体" w:hAnsi="宋体" w:cs="宋体"/>
          <w:b/>
          <w:color w:val="000000" w:themeColor="text1"/>
          <w:sz w:val="24"/>
          <w:highlight w:val="none"/>
          <w14:textFill>
            <w14:solidFill>
              <w14:schemeClr w14:val="tx1"/>
            </w14:solidFill>
          </w14:textFill>
        </w:rPr>
      </w:pPr>
      <w:bookmarkStart w:id="418" w:name="_Toc331685783"/>
    </w:p>
    <w:p>
      <w:pPr>
        <w:pStyle w:val="700"/>
        <w:spacing w:line="560" w:lineRule="exact"/>
        <w:ind w:left="0" w:leftChars="0" w:firstLine="0" w:firstLineChars="0"/>
        <w:jc w:val="center"/>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第二部分 合同一般条款</w:t>
      </w:r>
      <w:bookmarkEnd w:id="418"/>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19" w:name="_Toc16917"/>
      <w:bookmarkStart w:id="420" w:name="_Ref467378404"/>
      <w:bookmarkStart w:id="421" w:name="_Ref467378463"/>
      <w:bookmarkStart w:id="422" w:name="_Ref467379205"/>
      <w:bookmarkStart w:id="423" w:name="_Ref467379225"/>
      <w:bookmarkStart w:id="424" w:name="_Toc19614"/>
      <w:bookmarkStart w:id="425" w:name="_Ref467379109"/>
      <w:bookmarkStart w:id="426" w:name="_Ref467379195"/>
      <w:bookmarkStart w:id="427" w:name="_Toc279701240"/>
      <w:bookmarkStart w:id="428" w:name="_Toc259093669"/>
      <w:bookmarkStart w:id="429" w:name="_Toc28763"/>
      <w:bookmarkStart w:id="430" w:name="_Ref467378499"/>
      <w:bookmarkStart w:id="431" w:name="_Ref467379094"/>
      <w:bookmarkStart w:id="432" w:name="_Ref467379214"/>
      <w:bookmarkStart w:id="433" w:name="_Ref467379101"/>
      <w:bookmarkStart w:id="434" w:name="_Toc487900349"/>
      <w:r>
        <w:rPr>
          <w:rFonts w:hint="eastAsia" w:ascii="宋体" w:hAnsi="宋体" w:cs="宋体"/>
          <w:b/>
          <w:color w:val="000000" w:themeColor="text1"/>
          <w:sz w:val="24"/>
          <w:highlight w:val="none"/>
          <w14:textFill>
            <w14:solidFill>
              <w14:schemeClr w14:val="tx1"/>
            </w14:solidFill>
          </w14:textFill>
        </w:rPr>
        <w:t>2.1 定义</w:t>
      </w:r>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本合同中的下列词语应按以下内容进行解释：</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2.1.1 “合同”系指采购人和中标供应商签订的载明双方当事人所达成的协议，并包括所有的附件、附录和构成合同的其他文件。</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2.1.2 “合同价”系指根据合同约定，中标供应商在完全履行合同义务后，采购人应支付给中标供应商的价格。</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2.1.3 “货物”系指中标供应商根据合同约定应向采购人交付的一切各种形态和种类的物品，包括原材料、燃料、设备、机械、仪表、备件、计算机软件、产品等，并包括工具、手册等其他相关资料。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bookmarkStart w:id="435" w:name="_Ref467378840"/>
      <w:r>
        <w:rPr>
          <w:rFonts w:hint="eastAsia" w:ascii="宋体" w:hAnsi="宋体" w:cs="宋体"/>
          <w:color w:val="000000" w:themeColor="text1"/>
          <w:sz w:val="24"/>
          <w:highlight w:val="none"/>
          <w14:textFill>
            <w14:solidFill>
              <w14:schemeClr w14:val="tx1"/>
            </w14:solidFill>
          </w14:textFill>
        </w:rPr>
        <w:t>2.1.4 “甲方”系指与中标供应商签署合同的采购人</w:t>
      </w:r>
      <w:bookmarkEnd w:id="435"/>
      <w:r>
        <w:rPr>
          <w:rFonts w:hint="eastAsia" w:ascii="宋体" w:hAnsi="宋体" w:cs="宋体"/>
          <w:color w:val="000000" w:themeColor="text1"/>
          <w:sz w:val="24"/>
          <w:highlight w:val="none"/>
          <w14:textFill>
            <w14:solidFill>
              <w14:schemeClr w14:val="tx1"/>
            </w14:solidFill>
          </w14:textFill>
        </w:rPr>
        <w:t>；采购人委托采购代理机构代表其与乙方签订合同的，采购人的授权委托书作为合同附件。</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bookmarkStart w:id="436" w:name="_Ref467379400"/>
      <w:r>
        <w:rPr>
          <w:rFonts w:hint="eastAsia" w:ascii="宋体" w:hAnsi="宋体" w:cs="宋体"/>
          <w:color w:val="000000" w:themeColor="text1"/>
          <w:sz w:val="24"/>
          <w:highlight w:val="none"/>
          <w14:textFill>
            <w14:solidFill>
              <w14:schemeClr w14:val="tx1"/>
            </w14:solidFill>
          </w14:textFill>
        </w:rPr>
        <w:t>2.1.5 “乙方”系指根据合同约定交付货物的中标供应商</w:t>
      </w:r>
      <w:bookmarkEnd w:id="436"/>
      <w:r>
        <w:rPr>
          <w:rFonts w:hint="eastAsia" w:ascii="宋体" w:hAnsi="宋体" w:cs="宋体"/>
          <w:color w:val="000000" w:themeColor="text1"/>
          <w:sz w:val="24"/>
          <w:highlight w:val="none"/>
          <w14:textFill>
            <w14:solidFill>
              <w14:schemeClr w14:val="tx1"/>
            </w14:solidFill>
          </w14:textFill>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bookmarkStart w:id="437" w:name="_Ref467379436"/>
      <w:r>
        <w:rPr>
          <w:rFonts w:hint="eastAsia" w:ascii="宋体" w:hAnsi="宋体" w:cs="宋体"/>
          <w:color w:val="000000" w:themeColor="text1"/>
          <w:sz w:val="24"/>
          <w:highlight w:val="none"/>
          <w14:textFill>
            <w14:solidFill>
              <w14:schemeClr w14:val="tx1"/>
            </w14:solidFill>
          </w14:textFill>
        </w:rPr>
        <w:t>2.1.6 “现场”系指合同约定货物将要运至或者安装的地点。</w:t>
      </w:r>
      <w:bookmarkEnd w:id="437"/>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38" w:name="_Toc27635"/>
      <w:bookmarkStart w:id="439" w:name="_Toc32504"/>
      <w:bookmarkStart w:id="440" w:name="_Toc259093670"/>
      <w:bookmarkStart w:id="441" w:name="_Toc279701241"/>
      <w:bookmarkStart w:id="442" w:name="_Toc13336"/>
      <w:bookmarkStart w:id="443" w:name="_Toc487900350"/>
      <w:r>
        <w:rPr>
          <w:rFonts w:hint="eastAsia" w:ascii="宋体" w:hAnsi="宋体" w:cs="宋体"/>
          <w:b/>
          <w:color w:val="000000" w:themeColor="text1"/>
          <w:sz w:val="24"/>
          <w:highlight w:val="none"/>
          <w14:textFill>
            <w14:solidFill>
              <w14:schemeClr w14:val="tx1"/>
            </w14:solidFill>
          </w14:textFill>
        </w:rPr>
        <w:t>2.2 技术规范</w:t>
      </w:r>
      <w:bookmarkEnd w:id="438"/>
      <w:bookmarkEnd w:id="439"/>
      <w:bookmarkEnd w:id="440"/>
      <w:bookmarkEnd w:id="441"/>
      <w:bookmarkEnd w:id="442"/>
      <w:bookmarkEnd w:id="443"/>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44" w:name="_Toc31634"/>
      <w:bookmarkStart w:id="445" w:name="_Toc27853"/>
      <w:bookmarkStart w:id="446" w:name="_Toc259093671"/>
      <w:bookmarkStart w:id="447" w:name="_Toc279701242"/>
      <w:bookmarkStart w:id="448" w:name="_Toc487900351"/>
      <w:bookmarkStart w:id="449" w:name="_Toc9829"/>
      <w:r>
        <w:rPr>
          <w:rFonts w:hint="eastAsia" w:ascii="宋体" w:hAnsi="宋体" w:cs="宋体"/>
          <w:b/>
          <w:color w:val="000000" w:themeColor="text1"/>
          <w:sz w:val="24"/>
          <w:highlight w:val="none"/>
          <w14:textFill>
            <w14:solidFill>
              <w14:schemeClr w14:val="tx1"/>
            </w14:solidFill>
          </w14:textFill>
        </w:rPr>
        <w:t>2.3 知识产权</w:t>
      </w:r>
      <w:bookmarkEnd w:id="444"/>
      <w:bookmarkEnd w:id="445"/>
      <w:bookmarkEnd w:id="446"/>
      <w:bookmarkEnd w:id="447"/>
      <w:bookmarkEnd w:id="448"/>
      <w:bookmarkEnd w:id="449"/>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2.3.2具有知识产权的计算机软件等货物的知识产权归属，详见</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50" w:name="_Toc29149"/>
      <w:bookmarkStart w:id="451" w:name="_Toc4194"/>
      <w:bookmarkStart w:id="452" w:name="_Toc11932"/>
      <w:r>
        <w:rPr>
          <w:rFonts w:hint="eastAsia" w:ascii="宋体" w:hAnsi="宋体" w:cs="宋体"/>
          <w:b/>
          <w:color w:val="000000" w:themeColor="text1"/>
          <w:sz w:val="24"/>
          <w:highlight w:val="none"/>
          <w14:textFill>
            <w14:solidFill>
              <w14:schemeClr w14:val="tx1"/>
            </w14:solidFill>
          </w14:textFill>
        </w:rPr>
        <w:t>2.4 包装和装运</w:t>
      </w:r>
      <w:bookmarkEnd w:id="450"/>
      <w:bookmarkEnd w:id="451"/>
      <w:bookmarkEnd w:id="452"/>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2.4.1除</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2.4.2 装运货物的要求和通知，详见</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53" w:name="_Toc259093674"/>
      <w:bookmarkStart w:id="454" w:name="_Ref467379527"/>
      <w:bookmarkStart w:id="455" w:name="_Toc279701245"/>
      <w:bookmarkStart w:id="456" w:name="_Ref467379536"/>
      <w:bookmarkStart w:id="457" w:name="_Ref467378591"/>
      <w:bookmarkStart w:id="458" w:name="_Toc487900354"/>
      <w:bookmarkStart w:id="459" w:name="_Ref467378541"/>
      <w:bookmarkStart w:id="460" w:name="_Ref467379542"/>
      <w:bookmarkStart w:id="461" w:name="_Toc19074"/>
      <w:bookmarkStart w:id="462" w:name="_Toc30272"/>
      <w:bookmarkStart w:id="463" w:name="_Toc26182"/>
      <w:r>
        <w:rPr>
          <w:rFonts w:hint="eastAsia" w:ascii="宋体" w:hAnsi="宋体" w:cs="宋体"/>
          <w:b/>
          <w:color w:val="000000" w:themeColor="text1"/>
          <w:sz w:val="24"/>
          <w:highlight w:val="none"/>
          <w14:textFill>
            <w14:solidFill>
              <w14:schemeClr w14:val="tx1"/>
            </w14:solidFill>
          </w14:textFill>
        </w:rPr>
        <w:t>2.</w:t>
      </w:r>
      <w:bookmarkEnd w:id="453"/>
      <w:bookmarkEnd w:id="454"/>
      <w:bookmarkEnd w:id="455"/>
      <w:bookmarkEnd w:id="456"/>
      <w:bookmarkEnd w:id="457"/>
      <w:bookmarkEnd w:id="458"/>
      <w:bookmarkEnd w:id="459"/>
      <w:bookmarkEnd w:id="460"/>
      <w:r>
        <w:rPr>
          <w:rFonts w:hint="eastAsia" w:ascii="宋体" w:hAnsi="宋体" w:cs="宋体"/>
          <w:b/>
          <w:color w:val="000000" w:themeColor="text1"/>
          <w:sz w:val="24"/>
          <w:highlight w:val="none"/>
          <w14:textFill>
            <w14:solidFill>
              <w14:schemeClr w14:val="tx1"/>
            </w14:solidFill>
          </w14:textFill>
        </w:rPr>
        <w:t>5 履约检查和问题反馈</w:t>
      </w:r>
      <w:bookmarkEnd w:id="461"/>
      <w:bookmarkEnd w:id="462"/>
      <w:bookmarkEnd w:id="463"/>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bookmarkStart w:id="464" w:name="_Ref467379657"/>
      <w:r>
        <w:rPr>
          <w:rFonts w:hint="eastAsia" w:ascii="宋体" w:hAnsi="宋体" w:cs="宋体"/>
          <w:color w:val="000000" w:themeColor="text1"/>
          <w:sz w:val="24"/>
          <w:highlight w:val="none"/>
          <w14:textFill>
            <w14:solidFill>
              <w14:schemeClr w14:val="tx1"/>
            </w14:solidFill>
          </w14:textFill>
        </w:rPr>
        <w:t>2.5.1</w:t>
      </w:r>
      <w:bookmarkEnd w:id="464"/>
      <w:bookmarkStart w:id="465" w:name="_Toc186431854"/>
      <w:bookmarkStart w:id="466" w:name="_Toc487900357"/>
      <w:bookmarkStart w:id="467" w:name="_Toc259093676"/>
      <w:bookmarkStart w:id="468" w:name="_Toc279701247"/>
      <w:bookmarkStart w:id="469" w:name="_Ref467379807"/>
      <w:bookmarkStart w:id="470" w:name="_Ref467379793"/>
      <w:r>
        <w:rPr>
          <w:rFonts w:hint="eastAsia" w:ascii="宋体" w:hAnsi="宋体" w:cs="宋体"/>
          <w:color w:val="000000" w:themeColor="text1"/>
          <w:sz w:val="24"/>
          <w:highlight w:val="none"/>
          <w14:textFill>
            <w14:solidFill>
              <w14:schemeClr w14:val="tx1"/>
            </w14:solidFill>
          </w14:textFill>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2.5.2 合同履行期间，甲方有权将履行过程中出现的问题反馈给乙方，双方当事人应以书面形式约定需要完善和改进的内容</w:t>
      </w:r>
      <w:bookmarkEnd w:id="465"/>
      <w:bookmarkStart w:id="471" w:name="_Toc186431855"/>
      <w:r>
        <w:rPr>
          <w:rFonts w:hint="eastAsia" w:ascii="宋体" w:hAnsi="宋体" w:cs="宋体"/>
          <w:color w:val="000000" w:themeColor="text1"/>
          <w:sz w:val="24"/>
          <w:highlight w:val="none"/>
          <w14:textFill>
            <w14:solidFill>
              <w14:schemeClr w14:val="tx1"/>
            </w14:solidFill>
          </w14:textFill>
        </w:rPr>
        <w:t>。</w:t>
      </w:r>
    </w:p>
    <w:bookmarkEnd w:id="466"/>
    <w:bookmarkEnd w:id="467"/>
    <w:bookmarkEnd w:id="468"/>
    <w:bookmarkEnd w:id="469"/>
    <w:bookmarkEnd w:id="470"/>
    <w:bookmarkEnd w:id="471"/>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72" w:name="_Toc259093677"/>
      <w:bookmarkStart w:id="473" w:name="_Toc279701248"/>
      <w:bookmarkStart w:id="474" w:name="_Ref467379852"/>
      <w:bookmarkStart w:id="475" w:name="_Ref467379923"/>
      <w:bookmarkStart w:id="476" w:name="_Toc487900358"/>
      <w:bookmarkStart w:id="477" w:name="_Ref467379863"/>
      <w:bookmarkStart w:id="478" w:name="_Toc3225"/>
      <w:bookmarkStart w:id="479" w:name="_Toc16110"/>
      <w:bookmarkStart w:id="480" w:name="_Toc774"/>
      <w:r>
        <w:rPr>
          <w:rFonts w:hint="eastAsia" w:ascii="宋体" w:hAnsi="宋体" w:cs="宋体"/>
          <w:b/>
          <w:color w:val="000000" w:themeColor="text1"/>
          <w:sz w:val="24"/>
          <w:highlight w:val="none"/>
          <w14:textFill>
            <w14:solidFill>
              <w14:schemeClr w14:val="tx1"/>
            </w14:solidFill>
          </w14:textFill>
        </w:rPr>
        <w:t>2.6 技术资料</w:t>
      </w:r>
      <w:bookmarkEnd w:id="472"/>
      <w:bookmarkEnd w:id="473"/>
      <w:bookmarkEnd w:id="474"/>
      <w:bookmarkEnd w:id="475"/>
      <w:bookmarkEnd w:id="476"/>
      <w:bookmarkEnd w:id="477"/>
      <w:r>
        <w:rPr>
          <w:rFonts w:hint="eastAsia" w:ascii="宋体" w:hAnsi="宋体" w:cs="宋体"/>
          <w:b/>
          <w:color w:val="000000" w:themeColor="text1"/>
          <w:sz w:val="24"/>
          <w:highlight w:val="none"/>
          <w14:textFill>
            <w14:solidFill>
              <w14:schemeClr w14:val="tx1"/>
            </w14:solidFill>
          </w14:textFill>
        </w:rPr>
        <w:t>和保密义务</w:t>
      </w:r>
      <w:bookmarkEnd w:id="478"/>
      <w:bookmarkEnd w:id="479"/>
      <w:bookmarkEnd w:id="480"/>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2.6.1 乙方有权依据合同约定和项目需要，向甲方了解有关情况，调阅有关资料等，甲方应予积极配合；</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2.6.2 乙方有义务妥善保管和保护由甲方提供的前款信息和资料等；</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81" w:name="_Toc7860"/>
      <w:r>
        <w:rPr>
          <w:rFonts w:hint="eastAsia" w:ascii="宋体" w:hAnsi="宋体" w:cs="宋体"/>
          <w:b/>
          <w:color w:val="000000" w:themeColor="text1"/>
          <w:sz w:val="24"/>
          <w:highlight w:val="none"/>
          <w14:textFill>
            <w14:solidFill>
              <w14:schemeClr w14:val="tx1"/>
            </w14:solidFill>
          </w14:textFill>
        </w:rPr>
        <w:t>2.7 质量保证</w:t>
      </w:r>
      <w:bookmarkEnd w:id="481"/>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2.7.1 乙方应建立和完善履行合同的内部质量保证体系，并提供相关内部规章制度给甲方，以便甲方进行监督检查；</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82" w:name="_Toc17244"/>
      <w:bookmarkStart w:id="483" w:name="_Toc487900362"/>
      <w:bookmarkStart w:id="484" w:name="_Toc259093681"/>
      <w:bookmarkStart w:id="485" w:name="_Toc279701252"/>
      <w:r>
        <w:rPr>
          <w:rFonts w:hint="eastAsia" w:ascii="宋体" w:hAnsi="宋体" w:cs="宋体"/>
          <w:b/>
          <w:color w:val="000000" w:themeColor="text1"/>
          <w:sz w:val="24"/>
          <w:highlight w:val="none"/>
          <w14:textFill>
            <w14:solidFill>
              <w14:schemeClr w14:val="tx1"/>
            </w14:solidFill>
          </w14:textFill>
        </w:rPr>
        <w:t>2.8 货物的风险负担</w:t>
      </w:r>
      <w:bookmarkEnd w:id="482"/>
    </w:p>
    <w:p>
      <w:pPr>
        <w:spacing w:line="560" w:lineRule="exact"/>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货物或者在途货物或者交付给第一承运人后的货物毁损、灭失的风险负担详见</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86" w:name="_Toc14055"/>
      <w:r>
        <w:rPr>
          <w:rFonts w:hint="eastAsia" w:ascii="宋体" w:hAnsi="宋体" w:cs="宋体"/>
          <w:b/>
          <w:color w:val="000000" w:themeColor="text1"/>
          <w:sz w:val="24"/>
          <w:highlight w:val="none"/>
          <w14:textFill>
            <w14:solidFill>
              <w14:schemeClr w14:val="tx1"/>
            </w14:solidFill>
          </w14:textFill>
        </w:rPr>
        <w:t>2.9 延迟交货</w:t>
      </w:r>
      <w:bookmarkEnd w:id="483"/>
      <w:bookmarkEnd w:id="484"/>
      <w:bookmarkEnd w:id="485"/>
      <w:bookmarkEnd w:id="486"/>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87" w:name="_Toc7502"/>
      <w:bookmarkStart w:id="488" w:name="_Toc279701254"/>
      <w:bookmarkStart w:id="489" w:name="_Ref467378121"/>
      <w:bookmarkStart w:id="490" w:name="_Toc259093683"/>
      <w:bookmarkStart w:id="491" w:name="_Toc487900364"/>
      <w:r>
        <w:rPr>
          <w:rFonts w:hint="eastAsia" w:ascii="宋体" w:hAnsi="宋体" w:cs="宋体"/>
          <w:b/>
          <w:color w:val="000000" w:themeColor="text1"/>
          <w:sz w:val="24"/>
          <w:highlight w:val="none"/>
          <w14:textFill>
            <w14:solidFill>
              <w14:schemeClr w14:val="tx1"/>
            </w14:solidFill>
          </w14:textFill>
        </w:rPr>
        <w:t>2.10 合同变更</w:t>
      </w:r>
      <w:bookmarkEnd w:id="487"/>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合同继续履行将损害国家利益和社会公共利益的，双方当事人应当以书面形式变更合同。有过错的一方应当承担赔偿责任，双方当事人都有过错的，各自承担相应的责任。</w:t>
      </w:r>
      <w:bookmarkStart w:id="492" w:name="_Toc279701259"/>
      <w:bookmarkStart w:id="493" w:name="_Toc259093688"/>
      <w:bookmarkStart w:id="494" w:name="_Toc487900369"/>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95" w:name="_Toc10366"/>
      <w:bookmarkStart w:id="496" w:name="_Toc15237"/>
      <w:bookmarkStart w:id="497" w:name="_Toc22955"/>
      <w:r>
        <w:rPr>
          <w:rFonts w:hint="eastAsia" w:ascii="宋体" w:hAnsi="宋体" w:cs="宋体"/>
          <w:b/>
          <w:color w:val="000000" w:themeColor="text1"/>
          <w:sz w:val="24"/>
          <w:highlight w:val="none"/>
          <w14:textFill>
            <w14:solidFill>
              <w14:schemeClr w14:val="tx1"/>
            </w14:solidFill>
          </w14:textFill>
        </w:rPr>
        <w:t>2.11 合同转让</w:t>
      </w:r>
      <w:bookmarkEnd w:id="492"/>
      <w:bookmarkEnd w:id="493"/>
      <w:bookmarkEnd w:id="494"/>
      <w:r>
        <w:rPr>
          <w:rFonts w:hint="eastAsia" w:ascii="宋体" w:hAnsi="宋体" w:cs="宋体"/>
          <w:b/>
          <w:color w:val="000000" w:themeColor="text1"/>
          <w:sz w:val="24"/>
          <w:highlight w:val="none"/>
          <w14:textFill>
            <w14:solidFill>
              <w14:schemeClr w14:val="tx1"/>
            </w14:solidFill>
          </w14:textFill>
        </w:rPr>
        <w:t>和分包</w:t>
      </w:r>
      <w:bookmarkEnd w:id="495"/>
      <w:bookmarkEnd w:id="496"/>
      <w:bookmarkEnd w:id="497"/>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2.11.2乙方采取分包方式履行合同的，甲方可直接向分包供应商支付款项。</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498" w:name="_Toc14066"/>
      <w:bookmarkStart w:id="499" w:name="_Toc16508"/>
      <w:bookmarkStart w:id="500" w:name="_Toc13566"/>
      <w:r>
        <w:rPr>
          <w:rFonts w:hint="eastAsia" w:ascii="宋体" w:hAnsi="宋体" w:cs="宋体"/>
          <w:b/>
          <w:color w:val="000000" w:themeColor="text1"/>
          <w:sz w:val="24"/>
          <w:highlight w:val="none"/>
          <w14:textFill>
            <w14:solidFill>
              <w14:schemeClr w14:val="tx1"/>
            </w14:solidFill>
          </w14:textFill>
        </w:rPr>
        <w:t>2.12 不可抗力</w:t>
      </w:r>
      <w:bookmarkEnd w:id="498"/>
      <w:bookmarkEnd w:id="499"/>
      <w:bookmarkEnd w:id="500"/>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2.12.2 因不可抗力致使不能实现合同目的的，当事人可以解除合同；</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2.12.3 因不可抗力致使合同有变更必要的，双方当事人应在</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约定时间内以书面形式变更合同；</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2.12.4受不可抗力影响的一方在不可抗力发生后，应在</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约定时间内以书面形式通知对方当事人，并在</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约定时间内，将有关部门出具的证明文件送达对方当事人。</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501" w:name="_Toc6969"/>
      <w:bookmarkStart w:id="502" w:name="_Toc279701255"/>
      <w:bookmarkStart w:id="503" w:name="_Toc30676"/>
      <w:bookmarkStart w:id="504" w:name="_Toc689"/>
      <w:bookmarkStart w:id="505" w:name="_Toc259093684"/>
      <w:bookmarkStart w:id="506" w:name="_Toc487900365"/>
      <w:r>
        <w:rPr>
          <w:rFonts w:hint="eastAsia" w:ascii="宋体" w:hAnsi="宋体" w:cs="宋体"/>
          <w:b/>
          <w:color w:val="000000" w:themeColor="text1"/>
          <w:sz w:val="24"/>
          <w:highlight w:val="none"/>
          <w14:textFill>
            <w14:solidFill>
              <w14:schemeClr w14:val="tx1"/>
            </w14:solidFill>
          </w14:textFill>
        </w:rPr>
        <w:t>2.13 税费</w:t>
      </w:r>
      <w:bookmarkEnd w:id="501"/>
      <w:bookmarkEnd w:id="502"/>
      <w:bookmarkEnd w:id="503"/>
      <w:bookmarkEnd w:id="504"/>
      <w:bookmarkEnd w:id="505"/>
      <w:bookmarkEnd w:id="506"/>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与合同有关的一切税费，均按照中华人民共和国法律的相关规定。</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507" w:name="_Toc8298"/>
      <w:bookmarkStart w:id="508" w:name="_Toc16959"/>
      <w:bookmarkStart w:id="509" w:name="_Toc259093687"/>
      <w:bookmarkStart w:id="510" w:name="_Toc7102"/>
      <w:bookmarkStart w:id="511" w:name="_Toc279701258"/>
      <w:bookmarkStart w:id="512" w:name="_Toc487900368"/>
      <w:r>
        <w:rPr>
          <w:rFonts w:hint="eastAsia" w:ascii="宋体" w:hAnsi="宋体" w:cs="宋体"/>
          <w:b/>
          <w:color w:val="000000" w:themeColor="text1"/>
          <w:sz w:val="24"/>
          <w:highlight w:val="none"/>
          <w14:textFill>
            <w14:solidFill>
              <w14:schemeClr w14:val="tx1"/>
            </w14:solidFill>
          </w14:textFill>
        </w:rPr>
        <w:t>2.14乙方破产</w:t>
      </w:r>
      <w:bookmarkEnd w:id="507"/>
      <w:bookmarkEnd w:id="508"/>
      <w:bookmarkEnd w:id="509"/>
      <w:bookmarkEnd w:id="510"/>
      <w:bookmarkEnd w:id="511"/>
      <w:bookmarkEnd w:id="512"/>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513" w:name="_Toc29333"/>
      <w:bookmarkStart w:id="514" w:name="_Toc15387"/>
      <w:bookmarkStart w:id="515" w:name="_Toc6134"/>
      <w:r>
        <w:rPr>
          <w:rFonts w:hint="eastAsia" w:ascii="宋体" w:hAnsi="宋体" w:cs="宋体"/>
          <w:b/>
          <w:color w:val="000000" w:themeColor="text1"/>
          <w:sz w:val="24"/>
          <w:highlight w:val="none"/>
          <w14:textFill>
            <w14:solidFill>
              <w14:schemeClr w14:val="tx1"/>
            </w14:solidFill>
          </w14:textFill>
        </w:rPr>
        <w:t>2.15 合同中止、终止</w:t>
      </w:r>
      <w:bookmarkEnd w:id="513"/>
      <w:bookmarkEnd w:id="514"/>
      <w:bookmarkEnd w:id="515"/>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2.15.1 双方当事人不得擅自中止或者终止合同；</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2.15.2合同继续履行将损害国家利益和社会公共利益的，双方当事人应当中止或者终止合同。有过错的一方应当承担赔偿责任，双方当事人都有过错的，各自承担相应的责任。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516" w:name="_Toc14563"/>
      <w:bookmarkStart w:id="517" w:name="_Toc1125"/>
      <w:bookmarkStart w:id="518" w:name="_Toc6596"/>
      <w:r>
        <w:rPr>
          <w:rFonts w:hint="eastAsia" w:ascii="宋体" w:hAnsi="宋体" w:cs="宋体"/>
          <w:b/>
          <w:color w:val="000000" w:themeColor="text1"/>
          <w:sz w:val="24"/>
          <w:highlight w:val="none"/>
          <w14:textFill>
            <w14:solidFill>
              <w14:schemeClr w14:val="tx1"/>
            </w14:solidFill>
          </w14:textFill>
        </w:rPr>
        <w:t>2.16检验和验收</w:t>
      </w:r>
      <w:bookmarkEnd w:id="516"/>
      <w:bookmarkEnd w:id="517"/>
      <w:bookmarkEnd w:id="518"/>
    </w:p>
    <w:p>
      <w:pPr>
        <w:tabs>
          <w:tab w:val="left" w:pos="360"/>
          <w:tab w:val="left" w:pos="540"/>
          <w:tab w:val="left" w:pos="1080"/>
        </w:tabs>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2.16.1货物交付前，乙方应对货物的质量、数量等方面进行详细、全面的检验，并向甲方出具证明货物符合合同约定的文件；货物交付时，乙方在</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约定时间内组织验收，并可依法邀请相关方参加，验收应出具验收书。</w:t>
      </w:r>
    </w:p>
    <w:p>
      <w:pPr>
        <w:tabs>
          <w:tab w:val="left" w:pos="360"/>
          <w:tab w:val="left" w:pos="540"/>
          <w:tab w:val="left" w:pos="1080"/>
        </w:tabs>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2.16.3 检验和验收标准、程序等具体内容以及前述验收书的效力详见</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i/>
          <w:color w:val="000000" w:themeColor="text1"/>
          <w:sz w:val="24"/>
          <w:highlight w:val="none"/>
          <w14:textFill>
            <w14:solidFill>
              <w14:schemeClr w14:val="tx1"/>
            </w14:solidFill>
          </w14:textFill>
        </w:rPr>
        <w:t>。</w:t>
      </w:r>
    </w:p>
    <w:bookmarkEnd w:id="488"/>
    <w:bookmarkEnd w:id="489"/>
    <w:bookmarkEnd w:id="490"/>
    <w:bookmarkEnd w:id="491"/>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519" w:name="_Toc279701261"/>
      <w:bookmarkStart w:id="520" w:name="_Toc259093690"/>
      <w:bookmarkStart w:id="521" w:name="_Toc487900371"/>
      <w:bookmarkStart w:id="522" w:name="_Toc11284"/>
      <w:bookmarkStart w:id="523" w:name="_Toc19604"/>
      <w:bookmarkStart w:id="524" w:name="_Toc25182"/>
      <w:r>
        <w:rPr>
          <w:rFonts w:hint="eastAsia" w:ascii="宋体" w:hAnsi="宋体" w:cs="宋体"/>
          <w:b/>
          <w:color w:val="000000" w:themeColor="text1"/>
          <w:sz w:val="24"/>
          <w:highlight w:val="none"/>
          <w14:textFill>
            <w14:solidFill>
              <w14:schemeClr w14:val="tx1"/>
            </w14:solidFill>
          </w14:textFill>
        </w:rPr>
        <w:t>2.17 通知</w:t>
      </w:r>
      <w:bookmarkEnd w:id="519"/>
      <w:bookmarkEnd w:id="520"/>
      <w:bookmarkEnd w:id="521"/>
      <w:r>
        <w:rPr>
          <w:rFonts w:hint="eastAsia" w:ascii="宋体" w:hAnsi="宋体" w:cs="宋体"/>
          <w:b/>
          <w:color w:val="000000" w:themeColor="text1"/>
          <w:sz w:val="24"/>
          <w:highlight w:val="none"/>
          <w14:textFill>
            <w14:solidFill>
              <w14:schemeClr w14:val="tx1"/>
            </w14:solidFill>
          </w14:textFill>
        </w:rPr>
        <w:t>和送达</w:t>
      </w:r>
      <w:bookmarkEnd w:id="522"/>
      <w:bookmarkEnd w:id="523"/>
      <w:bookmarkEnd w:id="524"/>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bookmarkStart w:id="525" w:name="_Toc6698"/>
      <w:bookmarkStart w:id="526" w:name="_Toc3135"/>
      <w:bookmarkStart w:id="527" w:name="_Toc487900372"/>
      <w:bookmarkStart w:id="528" w:name="_Toc279701262"/>
      <w:bookmarkStart w:id="529" w:name="_Toc259093691"/>
      <w:r>
        <w:rPr>
          <w:rFonts w:hint="eastAsia" w:ascii="宋体" w:hAnsi="宋体" w:cs="宋体"/>
          <w:color w:val="000000" w:themeColor="text1"/>
          <w:sz w:val="24"/>
          <w:highlight w:val="none"/>
          <w14:textFill>
            <w14:solidFill>
              <w14:schemeClr w14:val="tx1"/>
            </w14:solidFill>
          </w14:textFill>
        </w:rPr>
        <w:t xml:space="preserve">2.17.1任何一方因履行合同而以合同第一部分尾部所列明的传真或电子邮件 </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发出的所有通知、文件、材料，均视为已向对方当事人送达；任何一方变更上述送达方式或者地址的，应于</w:t>
      </w:r>
      <w:r>
        <w:rPr>
          <w:rFonts w:hint="eastAsia" w:ascii="宋体" w:hAnsi="宋体" w:cs="宋体"/>
          <w:color w:val="000000" w:themeColor="text1"/>
          <w:sz w:val="24"/>
          <w:highlight w:val="none"/>
          <w:u w:val="singl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个工作日内书面通知对方当事人，在对方当事人收到有关变更通知之前，变更前的约定送达方式或者地址仍视为有效。</w:t>
      </w:r>
      <w:bookmarkEnd w:id="525"/>
      <w:bookmarkEnd w:id="526"/>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bookmarkStart w:id="530" w:name="_Toc23294"/>
      <w:bookmarkStart w:id="531" w:name="_Toc23128"/>
      <w:r>
        <w:rPr>
          <w:rFonts w:hint="eastAsia" w:ascii="宋体" w:hAnsi="宋体" w:cs="宋体"/>
          <w:color w:val="000000" w:themeColor="text1"/>
          <w:sz w:val="24"/>
          <w:highlight w:val="none"/>
          <w14:textFill>
            <w14:solidFill>
              <w14:schemeClr w14:val="tx1"/>
            </w14:solidFill>
          </w14:textFill>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0"/>
      <w:bookmarkEnd w:id="531"/>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532" w:name="_Toc18540"/>
      <w:bookmarkStart w:id="533" w:name="_Toc4355"/>
      <w:bookmarkStart w:id="534" w:name="_Toc30599"/>
      <w:r>
        <w:rPr>
          <w:rFonts w:hint="eastAsia" w:ascii="宋体" w:hAnsi="宋体" w:cs="宋体"/>
          <w:b/>
          <w:color w:val="000000" w:themeColor="text1"/>
          <w:sz w:val="24"/>
          <w:highlight w:val="none"/>
          <w14:textFill>
            <w14:solidFill>
              <w14:schemeClr w14:val="tx1"/>
            </w14:solidFill>
          </w14:textFill>
        </w:rPr>
        <w:t>2.18 计量单位</w:t>
      </w:r>
      <w:bookmarkEnd w:id="527"/>
      <w:bookmarkEnd w:id="528"/>
      <w:bookmarkEnd w:id="529"/>
      <w:bookmarkEnd w:id="532"/>
      <w:bookmarkEnd w:id="533"/>
      <w:bookmarkEnd w:id="534"/>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除技术规范中另有规定外,合同的计量单位均使用国家法定计量单位。</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535" w:name="_Toc18567"/>
      <w:bookmarkStart w:id="536" w:name="_Toc12773"/>
      <w:bookmarkStart w:id="537" w:name="_Toc10330"/>
      <w:bookmarkStart w:id="538" w:name="_Toc279701263"/>
      <w:bookmarkStart w:id="539" w:name="_Toc259093692"/>
      <w:bookmarkStart w:id="540" w:name="_Toc487900373"/>
      <w:r>
        <w:rPr>
          <w:rFonts w:hint="eastAsia" w:ascii="宋体" w:hAnsi="宋体" w:cs="宋体"/>
          <w:b/>
          <w:color w:val="000000" w:themeColor="text1"/>
          <w:sz w:val="24"/>
          <w:highlight w:val="none"/>
          <w14:textFill>
            <w14:solidFill>
              <w14:schemeClr w14:val="tx1"/>
            </w14:solidFill>
          </w14:textFill>
        </w:rPr>
        <w:t>2.19 合同使用的文字和适用的法律</w:t>
      </w:r>
      <w:bookmarkEnd w:id="535"/>
      <w:bookmarkEnd w:id="536"/>
      <w:bookmarkEnd w:id="537"/>
      <w:bookmarkEnd w:id="538"/>
      <w:bookmarkEnd w:id="539"/>
      <w:bookmarkEnd w:id="540"/>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2.19.1 合同使用汉语书就、变更和解释；</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2.19.2 合同适用中华人民共和国法律。</w:t>
      </w:r>
    </w:p>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541" w:name="_Toc12004"/>
      <w:bookmarkStart w:id="542" w:name="_Toc279701264"/>
      <w:bookmarkStart w:id="543" w:name="_Toc3148"/>
      <w:bookmarkStart w:id="544" w:name="_Toc259093693"/>
      <w:bookmarkStart w:id="545" w:name="_Toc16673"/>
      <w:bookmarkStart w:id="546" w:name="_Toc487900374"/>
      <w:r>
        <w:rPr>
          <w:rFonts w:hint="eastAsia" w:ascii="宋体" w:hAnsi="宋体" w:cs="宋体"/>
          <w:b/>
          <w:color w:val="000000" w:themeColor="text1"/>
          <w:sz w:val="24"/>
          <w:highlight w:val="none"/>
          <w14:textFill>
            <w14:solidFill>
              <w14:schemeClr w14:val="tx1"/>
            </w14:solidFill>
          </w14:textFill>
        </w:rPr>
        <w:t>2.20 履约保证金</w:t>
      </w:r>
      <w:bookmarkEnd w:id="541"/>
      <w:bookmarkEnd w:id="542"/>
      <w:bookmarkEnd w:id="543"/>
      <w:bookmarkEnd w:id="544"/>
      <w:bookmarkEnd w:id="545"/>
    </w:p>
    <w:p>
      <w:pPr>
        <w:pStyle w:val="958"/>
        <w:spacing w:before="0" w:beforeAutospacing="0" w:after="0" w:afterAutospacing="0" w:line="360" w:lineRule="auto"/>
        <w:ind w:firstLine="42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2.20.1 采购文件要求乙方提交履约保证金的，乙方应按</w:t>
      </w:r>
      <w:r>
        <w:rPr>
          <w:rFonts w:hint="eastAsia"/>
          <w:b/>
          <w:i/>
          <w:color w:val="000000" w:themeColor="text1"/>
          <w:highlight w:val="none"/>
          <w:u w:val="single"/>
          <w14:textFill>
            <w14:solidFill>
              <w14:schemeClr w14:val="tx1"/>
            </w14:solidFill>
          </w14:textFill>
        </w:rPr>
        <w:t>合同专用条款</w:t>
      </w:r>
      <w:r>
        <w:rPr>
          <w:rFonts w:hint="eastAsia"/>
          <w:color w:val="000000" w:themeColor="text1"/>
          <w:highlight w:val="none"/>
          <w14:textFill>
            <w14:solidFill>
              <w14:schemeClr w14:val="tx1"/>
            </w14:solidFill>
          </w14:textFill>
        </w:rPr>
        <w:t>约定的方式，以支票、汇票、本票或者金融机构、担保机构出具的保函等非现金形式，提交不超过合同金额2.5%的履约保证金；鼓励和支持乙方以银行、保险公司出具的保函形式提供履约保证，乙方以银行、保险公司出具保函形式提交履约保证金的，甲方不得拒收。</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2.20.2  甲方在项目验收结束后及时退还履约保证金。甲方在项目通过验收之日起</w:t>
      </w:r>
      <w:r>
        <w:rPr>
          <w:rFonts w:hint="eastAsia" w:ascii="宋体" w:hAnsi="宋体" w:cs="宋体"/>
          <w:color w:val="000000" w:themeColor="text1"/>
          <w:sz w:val="24"/>
          <w:highlight w:val="none"/>
          <w:u w:val="single"/>
          <w14:textFill>
            <w14:solidFill>
              <w14:schemeClr w14:val="tx1"/>
            </w14:solidFill>
          </w14:textFill>
        </w:rPr>
        <w:t xml:space="preserve"> 5 </w:t>
      </w:r>
      <w:r>
        <w:rPr>
          <w:rFonts w:hint="eastAsia" w:ascii="宋体" w:hAnsi="宋体" w:cs="宋体"/>
          <w:color w:val="000000" w:themeColor="text1"/>
          <w:sz w:val="24"/>
          <w:highlight w:val="none"/>
          <w14:textFill>
            <w14:solidFill>
              <w14:schemeClr w14:val="tx1"/>
            </w14:solidFill>
          </w14:textFill>
        </w:rPr>
        <w:t>个工作日内，按</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约定的方式将履约保证金退还乙方，逾期退还的，乙方可要求甲方支付违约金，违约金按每迟延退还一日的应退还而未退还金额的</w:t>
      </w:r>
      <w:r>
        <w:rPr>
          <w:rFonts w:hint="eastAsia" w:ascii="宋体" w:hAnsi="宋体" w:cs="宋体"/>
          <w:color w:val="000000" w:themeColor="text1"/>
          <w:sz w:val="24"/>
          <w:highlight w:val="none"/>
          <w:u w:val="single"/>
          <w14:textFill>
            <w14:solidFill>
              <w14:schemeClr w14:val="tx1"/>
            </w14:solidFill>
          </w14:textFill>
        </w:rPr>
        <w:t xml:space="preserve">  0.05  </w:t>
      </w:r>
      <w:r>
        <w:rPr>
          <w:rFonts w:hint="eastAsia" w:ascii="宋体" w:hAnsi="宋体" w:cs="宋体"/>
          <w:color w:val="000000" w:themeColor="text1"/>
          <w:sz w:val="24"/>
          <w:highlight w:val="none"/>
          <w14:textFill>
            <w14:solidFill>
              <w14:schemeClr w14:val="tx1"/>
            </w14:solidFill>
          </w14:textFill>
        </w:rPr>
        <w:t>%计算，最高限额为本合同履约保证金的</w:t>
      </w:r>
      <w:r>
        <w:rPr>
          <w:rFonts w:hint="eastAsia" w:ascii="宋体" w:hAnsi="宋体" w:cs="宋体"/>
          <w:color w:val="000000" w:themeColor="text1"/>
          <w:sz w:val="24"/>
          <w:highlight w:val="none"/>
          <w:u w:val="single"/>
          <w14:textFill>
            <w14:solidFill>
              <w14:schemeClr w14:val="tx1"/>
            </w14:solidFill>
          </w14:textFill>
        </w:rPr>
        <w:t xml:space="preserve">  20   </w:t>
      </w:r>
      <w:r>
        <w:rPr>
          <w:rFonts w:hint="eastAsia" w:ascii="宋体" w:hAnsi="宋体" w:cs="宋体"/>
          <w:color w:val="000000" w:themeColor="text1"/>
          <w:sz w:val="24"/>
          <w:highlight w:val="none"/>
          <w14:textFill>
            <w14:solidFill>
              <w14:schemeClr w14:val="tx1"/>
            </w14:solidFill>
          </w14:textFill>
        </w:rPr>
        <w:t xml:space="preserve">%； </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2.20.4 甲方根据杭州市政府采购网公布的供应商履约评价情况减免履约保证金。乙方履约验收评价总分为100分的，甲方免收履约保证金；评价总分在90分以上的，收取履约保证金为合同金额2%；评价总分在不满90分或者暂无评分的，收取履约保证金为合同金额2.5%。</w:t>
      </w:r>
    </w:p>
    <w:p>
      <w:pPr>
        <w:spacing w:line="560" w:lineRule="exact"/>
        <w:ind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2.20.5甲方在乙方履行完合同约定义务事项后及时退还，延迟退还的，应当按照合同约定和法律规定承担相应的赔偿责任。</w:t>
      </w:r>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2.21对于因甲方原因导致变更、中止或者终止政府采购合同的，甲方应当依照合同约定对供应商受到的损失予以赔偿或者补偿。</w:t>
      </w:r>
    </w:p>
    <w:bookmarkEnd w:id="546"/>
    <w:p>
      <w:pPr>
        <w:spacing w:line="560" w:lineRule="exact"/>
        <w:ind w:firstLine="482" w:firstLineChars="200"/>
        <w:outlineLvl w:val="0"/>
        <w:rPr>
          <w:rFonts w:ascii="宋体" w:hAnsi="宋体" w:cs="宋体"/>
          <w:b/>
          <w:color w:val="000000" w:themeColor="text1"/>
          <w:sz w:val="24"/>
          <w:highlight w:val="none"/>
          <w14:textFill>
            <w14:solidFill>
              <w14:schemeClr w14:val="tx1"/>
            </w14:solidFill>
          </w14:textFill>
        </w:rPr>
      </w:pPr>
      <w:bookmarkStart w:id="547" w:name="_Toc14001"/>
      <w:bookmarkStart w:id="548" w:name="_Toc19890"/>
      <w:bookmarkStart w:id="549" w:name="_Toc6885"/>
      <w:r>
        <w:rPr>
          <w:rFonts w:hint="eastAsia" w:ascii="宋体" w:hAnsi="宋体" w:cs="宋体"/>
          <w:b/>
          <w:color w:val="000000" w:themeColor="text1"/>
          <w:sz w:val="24"/>
          <w:highlight w:val="none"/>
          <w14:textFill>
            <w14:solidFill>
              <w14:schemeClr w14:val="tx1"/>
            </w14:solidFill>
          </w14:textFill>
        </w:rPr>
        <w:t>2.22合同份数</w:t>
      </w:r>
      <w:bookmarkEnd w:id="547"/>
      <w:bookmarkEnd w:id="548"/>
      <w:bookmarkEnd w:id="549"/>
    </w:p>
    <w:p>
      <w:pPr>
        <w:spacing w:line="560" w:lineRule="exact"/>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合同份数按</w:t>
      </w:r>
      <w:r>
        <w:rPr>
          <w:rFonts w:hint="eastAsia" w:ascii="宋体" w:hAnsi="宋体" w:cs="宋体"/>
          <w:b/>
          <w:i/>
          <w:color w:val="000000" w:themeColor="text1"/>
          <w:sz w:val="24"/>
          <w:highlight w:val="none"/>
          <w:u w:val="single"/>
          <w14:textFill>
            <w14:solidFill>
              <w14:schemeClr w14:val="tx1"/>
            </w14:solidFill>
          </w14:textFill>
        </w:rPr>
        <w:t>合同专用条款</w:t>
      </w:r>
      <w:r>
        <w:rPr>
          <w:rFonts w:hint="eastAsia" w:ascii="宋体" w:hAnsi="宋体" w:cs="宋体"/>
          <w:color w:val="000000" w:themeColor="text1"/>
          <w:sz w:val="24"/>
          <w:highlight w:val="none"/>
          <w14:textFill>
            <w14:solidFill>
              <w14:schemeClr w14:val="tx1"/>
            </w14:solidFill>
          </w14:textFill>
        </w:rPr>
        <w:t>规定，每份均具有同等法律效力。</w:t>
      </w:r>
    </w:p>
    <w:p>
      <w:pPr>
        <w:pStyle w:val="700"/>
        <w:spacing w:line="560" w:lineRule="exact"/>
        <w:jc w:val="center"/>
        <w:rPr>
          <w:rFonts w:ascii="宋体" w:hAnsi="宋体" w:cs="宋体"/>
          <w:b/>
          <w:color w:val="000000" w:themeColor="text1"/>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br w:type="page"/>
      </w:r>
      <w:bookmarkStart w:id="550" w:name="_Toc331685784"/>
      <w:r>
        <w:rPr>
          <w:rFonts w:hint="eastAsia" w:ascii="宋体" w:hAnsi="宋体" w:cs="宋体"/>
          <w:b/>
          <w:color w:val="000000" w:themeColor="text1"/>
          <w:szCs w:val="24"/>
          <w:highlight w:val="none"/>
          <w14:textFill>
            <w14:solidFill>
              <w14:schemeClr w14:val="tx1"/>
            </w14:solidFill>
          </w14:textFill>
        </w:rPr>
        <w:t xml:space="preserve"> </w:t>
      </w:r>
      <w:bookmarkEnd w:id="550"/>
      <w:r>
        <w:rPr>
          <w:rFonts w:hint="eastAsia" w:ascii="宋体" w:hAnsi="宋体" w:cs="宋体"/>
          <w:b/>
          <w:color w:val="000000" w:themeColor="text1"/>
          <w:szCs w:val="24"/>
          <w:highlight w:val="none"/>
          <w14:textFill>
            <w14:solidFill>
              <w14:schemeClr w14:val="tx1"/>
            </w14:solidFill>
          </w14:textFill>
        </w:rPr>
        <w:t>第三部分  合同专用条款</w:t>
      </w:r>
    </w:p>
    <w:p>
      <w:pPr>
        <w:spacing w:line="560" w:lineRule="exact"/>
        <w:ind w:left="-420" w:leftChars="-200" w:right="-420" w:rightChars="-200" w:firstLine="48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249"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27"/>
        <w:gridCol w:w="865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84" w:type="pct"/>
            <w:tcBorders>
              <w:left w:val="single" w:color="auto" w:sz="4" w:space="0"/>
            </w:tcBorders>
            <w:vAlign w:val="center"/>
          </w:tcPr>
          <w:p>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条款号</w:t>
            </w:r>
          </w:p>
        </w:tc>
        <w:tc>
          <w:tcPr>
            <w:tcW w:w="4515" w:type="pct"/>
            <w:vAlign w:val="center"/>
          </w:tcPr>
          <w:p>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4" w:type="pct"/>
            <w:tcBorders>
              <w:left w:val="single" w:color="auto" w:sz="4"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1.4.4</w:t>
            </w:r>
          </w:p>
        </w:tc>
        <w:tc>
          <w:tcPr>
            <w:tcW w:w="4515" w:type="pct"/>
            <w:vAlign w:val="center"/>
          </w:tcPr>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付款方式：</w:t>
            </w:r>
          </w:p>
          <w:p>
            <w:pPr>
              <w:pStyle w:val="131"/>
              <w:keepNext w:val="0"/>
              <w:keepLines w:val="0"/>
              <w:pageBreakBefore w:val="0"/>
              <w:widowControl w:val="0"/>
              <w:tabs>
                <w:tab w:val="left" w:pos="0"/>
              </w:tabs>
              <w:kinsoku/>
              <w:wordWrap/>
              <w:overflowPunct/>
              <w:topLinePunct w:val="0"/>
              <w:autoSpaceDE/>
              <w:autoSpaceDN/>
              <w:bidi w:val="0"/>
              <w:adjustRightInd w:val="0"/>
              <w:snapToGrid/>
              <w:spacing w:before="0" w:line="360" w:lineRule="auto"/>
              <w:ind w:left="0" w:leftChars="0" w:right="0" w:rightChars="0" w:firstLine="480" w:firstLineChars="200"/>
              <w:jc w:val="left"/>
              <w:textAlignment w:val="auto"/>
              <w:outlineLvl w:val="9"/>
              <w:rPr>
                <w:rFonts w:ascii="宋体" w:hAnsi="宋体" w:cs="宋体"/>
                <w:color w:val="000000" w:themeColor="text1"/>
                <w:szCs w:val="24"/>
                <w:highlight w:val="none"/>
                <w:lang w:val="zh-CN"/>
                <w14:textFill>
                  <w14:solidFill>
                    <w14:schemeClr w14:val="tx1"/>
                  </w14:solidFill>
                </w14:textFill>
              </w:rPr>
            </w:pPr>
            <w:r>
              <w:rPr>
                <w:rFonts w:hint="eastAsia" w:ascii="宋体" w:hAnsi="宋体" w:cs="宋体"/>
                <w:color w:val="000000" w:themeColor="text1"/>
                <w:szCs w:val="24"/>
                <w:highlight w:val="none"/>
                <w:lang w:val="zh-CN"/>
                <w14:textFill>
                  <w14:solidFill>
                    <w14:schemeClr w14:val="tx1"/>
                  </w14:solidFill>
                </w14:textFill>
              </w:rPr>
              <w:t>（1）预付款：</w:t>
            </w:r>
            <w:r>
              <w:rPr>
                <w:rFonts w:hint="eastAsia" w:ascii="宋体" w:hAnsi="宋体" w:cs="宋体"/>
                <w:color w:val="000000" w:themeColor="text1"/>
                <w:szCs w:val="24"/>
                <w:highlight w:val="none"/>
                <w14:textFill>
                  <w14:solidFill>
                    <w14:schemeClr w14:val="tx1"/>
                  </w14:solidFill>
                </w14:textFill>
              </w:rPr>
              <w:t>合同签订生效且具备实施条件7个工作日内支付合同金额的40%预付款</w:t>
            </w:r>
            <w:r>
              <w:rPr>
                <w:rFonts w:hint="eastAsia" w:ascii="宋体" w:hAnsi="宋体" w:cs="宋体"/>
                <w:color w:val="000000" w:themeColor="text1"/>
                <w:szCs w:val="24"/>
                <w:highlight w:val="none"/>
                <w:lang w:val="zh-CN"/>
                <w14:textFill>
                  <w14:solidFill>
                    <w14:schemeClr w14:val="tx1"/>
                  </w14:solidFill>
                </w14:textFill>
              </w:rPr>
              <w:t>；</w:t>
            </w:r>
          </w:p>
          <w:p>
            <w:pPr>
              <w:pStyle w:val="131"/>
              <w:keepNext w:val="0"/>
              <w:keepLines w:val="0"/>
              <w:pageBreakBefore w:val="0"/>
              <w:widowControl w:val="0"/>
              <w:tabs>
                <w:tab w:val="left" w:pos="0"/>
              </w:tabs>
              <w:kinsoku/>
              <w:wordWrap/>
              <w:overflowPunct/>
              <w:topLinePunct w:val="0"/>
              <w:autoSpaceDE/>
              <w:autoSpaceDN/>
              <w:bidi w:val="0"/>
              <w:adjustRightInd w:val="0"/>
              <w:snapToGrid/>
              <w:spacing w:before="0" w:line="360" w:lineRule="auto"/>
              <w:ind w:left="0" w:leftChars="0" w:right="0" w:rightChars="0" w:firstLine="480" w:firstLineChars="200"/>
              <w:jc w:val="left"/>
              <w:textAlignment w:val="auto"/>
              <w:outlineLvl w:val="9"/>
              <w:rPr>
                <w:rFonts w:ascii="宋体" w:hAnsi="宋体" w:cs="宋体"/>
                <w:color w:val="000000" w:themeColor="text1"/>
                <w:szCs w:val="24"/>
                <w:highlight w:val="none"/>
                <w:lang w:val="zh-CN"/>
                <w14:textFill>
                  <w14:solidFill>
                    <w14:schemeClr w14:val="tx1"/>
                  </w14:solidFill>
                </w14:textFill>
              </w:rPr>
            </w:pPr>
            <w:r>
              <w:rPr>
                <w:rFonts w:hint="eastAsia" w:ascii="宋体" w:hAnsi="宋体" w:cs="宋体"/>
                <w:color w:val="000000" w:themeColor="text1"/>
                <w:szCs w:val="24"/>
                <w:highlight w:val="none"/>
                <w:lang w:val="zh-CN"/>
                <w14:textFill>
                  <w14:solidFill>
                    <w14:schemeClr w14:val="tx1"/>
                  </w14:solidFill>
                </w14:textFill>
              </w:rPr>
              <w:t>（2）到货款：项目供货设备到场验收，设备及内容安装调试完成后</w:t>
            </w:r>
            <w:r>
              <w:rPr>
                <w:rFonts w:hint="eastAsia" w:ascii="宋体" w:hAnsi="宋体" w:cs="宋体"/>
                <w:color w:val="000000" w:themeColor="text1"/>
                <w:szCs w:val="24"/>
                <w:highlight w:val="none"/>
                <w14:textFill>
                  <w14:solidFill>
                    <w14:schemeClr w14:val="tx1"/>
                  </w14:solidFill>
                </w14:textFill>
              </w:rPr>
              <w:t>15个工作日</w:t>
            </w:r>
            <w:r>
              <w:rPr>
                <w:rFonts w:hint="eastAsia" w:ascii="宋体" w:hAnsi="宋体" w:cs="宋体"/>
                <w:color w:val="000000" w:themeColor="text1"/>
                <w:szCs w:val="24"/>
                <w:highlight w:val="none"/>
                <w:lang w:val="zh-CN"/>
                <w14:textFill>
                  <w14:solidFill>
                    <w14:schemeClr w14:val="tx1"/>
                  </w14:solidFill>
                </w14:textFill>
              </w:rPr>
              <w:t>内，甲方向乙方支付合同总价的</w:t>
            </w:r>
            <w:r>
              <w:rPr>
                <w:rFonts w:hint="eastAsia" w:ascii="宋体" w:hAnsi="宋体" w:cs="宋体"/>
                <w:color w:val="000000" w:themeColor="text1"/>
                <w:szCs w:val="24"/>
                <w:highlight w:val="none"/>
                <w:lang w:val="en-US" w:eastAsia="zh-CN"/>
                <w14:textFill>
                  <w14:solidFill>
                    <w14:schemeClr w14:val="tx1"/>
                  </w14:solidFill>
                </w14:textFill>
              </w:rPr>
              <w:t>3</w:t>
            </w:r>
            <w:r>
              <w:rPr>
                <w:rFonts w:ascii="宋体" w:hAnsi="宋体" w:cs="宋体"/>
                <w:color w:val="000000" w:themeColor="text1"/>
                <w:szCs w:val="24"/>
                <w:highlight w:val="none"/>
                <w:lang w:val="zh-CN"/>
                <w14:textFill>
                  <w14:solidFill>
                    <w14:schemeClr w14:val="tx1"/>
                  </w14:solidFill>
                </w14:textFill>
              </w:rPr>
              <w:t>0</w:t>
            </w:r>
            <w:r>
              <w:rPr>
                <w:rFonts w:hint="eastAsia" w:ascii="宋体" w:hAnsi="宋体" w:cs="宋体"/>
                <w:color w:val="000000" w:themeColor="text1"/>
                <w:szCs w:val="24"/>
                <w:highlight w:val="none"/>
                <w:lang w:val="zh-CN"/>
                <w14:textFill>
                  <w14:solidFill>
                    <w14:schemeClr w14:val="tx1"/>
                  </w14:solidFill>
                </w14:textFill>
              </w:rPr>
              <w:t>%；</w:t>
            </w:r>
          </w:p>
          <w:p>
            <w:pPr>
              <w:pStyle w:val="131"/>
              <w:keepNext w:val="0"/>
              <w:keepLines w:val="0"/>
              <w:pageBreakBefore w:val="0"/>
              <w:widowControl w:val="0"/>
              <w:tabs>
                <w:tab w:val="left" w:pos="0"/>
              </w:tabs>
              <w:kinsoku/>
              <w:wordWrap/>
              <w:overflowPunct/>
              <w:topLinePunct w:val="0"/>
              <w:autoSpaceDE/>
              <w:autoSpaceDN/>
              <w:bidi w:val="0"/>
              <w:adjustRightInd w:val="0"/>
              <w:snapToGrid/>
              <w:spacing w:before="0" w:line="360" w:lineRule="auto"/>
              <w:ind w:left="0" w:leftChars="0" w:right="0" w:rightChars="0" w:firstLine="480" w:firstLineChars="200"/>
              <w:jc w:val="left"/>
              <w:textAlignment w:val="auto"/>
              <w:outlineLvl w:val="9"/>
              <w:rPr>
                <w:rFonts w:hint="eastAsia" w:ascii="宋体" w:hAnsi="宋体" w:cs="宋体"/>
                <w:color w:val="000000" w:themeColor="text1"/>
                <w:szCs w:val="24"/>
                <w:highlight w:val="none"/>
                <w:lang w:val="en-US" w:eastAsia="zh-CN"/>
                <w14:textFill>
                  <w14:solidFill>
                    <w14:schemeClr w14:val="tx1"/>
                  </w14:solidFill>
                </w14:textFill>
              </w:rPr>
            </w:pPr>
            <w:r>
              <w:rPr>
                <w:rFonts w:hint="eastAsia" w:ascii="宋体" w:hAnsi="宋体" w:cs="宋体"/>
                <w:color w:val="000000" w:themeColor="text1"/>
                <w:szCs w:val="24"/>
                <w:highlight w:val="none"/>
                <w:lang w:val="zh-CN"/>
                <w14:textFill>
                  <w14:solidFill>
                    <w14:schemeClr w14:val="tx1"/>
                  </w14:solidFill>
                </w14:textFill>
              </w:rPr>
              <w:t>（3）验收款：</w:t>
            </w:r>
            <w:r>
              <w:rPr>
                <w:rFonts w:hint="eastAsia" w:ascii="宋体" w:hAnsi="宋体" w:cs="宋体"/>
                <w:color w:val="000000" w:themeColor="text1"/>
                <w:szCs w:val="24"/>
                <w:highlight w:val="none"/>
                <w14:textFill>
                  <w14:solidFill>
                    <w14:schemeClr w14:val="tx1"/>
                  </w14:solidFill>
                </w14:textFill>
              </w:rPr>
              <w:t>项目验收合格后（指履约验收完成），甲方在15日内向乙方支付合同总额的</w:t>
            </w:r>
            <w:r>
              <w:rPr>
                <w:rFonts w:hint="eastAsia" w:ascii="宋体" w:hAnsi="宋体" w:cs="宋体"/>
                <w:color w:val="000000" w:themeColor="text1"/>
                <w:szCs w:val="24"/>
                <w:highlight w:val="none"/>
                <w:lang w:val="en-US" w:eastAsia="zh-CN"/>
                <w14:textFill>
                  <w14:solidFill>
                    <w14:schemeClr w14:val="tx1"/>
                  </w14:solidFill>
                </w14:textFill>
              </w:rPr>
              <w:t>15%</w:t>
            </w:r>
            <w:r>
              <w:rPr>
                <w:rFonts w:hint="eastAsia" w:ascii="宋体" w:hAnsi="宋体" w:cs="宋体"/>
                <w:color w:val="000000" w:themeColor="text1"/>
                <w:szCs w:val="24"/>
                <w:highlight w:val="none"/>
                <w:lang w:val="zh-CN"/>
                <w14:textFill>
                  <w14:solidFill>
                    <w14:schemeClr w14:val="tx1"/>
                  </w14:solidFill>
                </w14:textFill>
              </w:rPr>
              <w:t>。</w:t>
            </w:r>
            <w:r>
              <w:rPr>
                <w:rFonts w:hint="eastAsia" w:ascii="宋体" w:hAnsi="宋体" w:cs="宋体"/>
                <w:color w:val="000000" w:themeColor="text1"/>
                <w:szCs w:val="24"/>
                <w:highlight w:val="none"/>
                <w14:textFill>
                  <w14:solidFill>
                    <w14:schemeClr w14:val="tx1"/>
                  </w14:solidFill>
                </w14:textFill>
              </w:rPr>
              <w:t>并10日历天内无息退回履约保证金。</w:t>
            </w:r>
            <w:r>
              <w:rPr>
                <w:rFonts w:hint="eastAsia" w:ascii="宋体" w:hAnsi="宋体" w:cs="宋体"/>
                <w:color w:val="000000" w:themeColor="text1"/>
                <w:szCs w:val="24"/>
                <w:highlight w:val="none"/>
                <w:lang w:val="en-US" w:eastAsia="zh-CN"/>
                <w14:textFill>
                  <w14:solidFill>
                    <w14:schemeClr w14:val="tx1"/>
                  </w14:solidFill>
                </w14:textFill>
              </w:rPr>
              <w:t xml:space="preserve"> </w:t>
            </w:r>
          </w:p>
          <w:p>
            <w:pPr>
              <w:pStyle w:val="131"/>
              <w:tabs>
                <w:tab w:val="left" w:pos="0"/>
              </w:tabs>
              <w:spacing w:before="0"/>
              <w:ind w:firstLine="480"/>
              <w:jc w:val="left"/>
              <w:rPr>
                <w:rFonts w:hint="eastAsia" w:asciiTheme="minorEastAsia" w:hAnsiTheme="minorEastAsia" w:eastAsiaTheme="minorEastAsia" w:cstheme="minorEastAsia"/>
                <w:i w:val="0"/>
                <w:caps w:val="0"/>
                <w:color w:val="000000" w:themeColor="text1"/>
                <w:spacing w:val="0"/>
                <w:sz w:val="24"/>
                <w:szCs w:val="24"/>
                <w:highlight w:val="none"/>
                <w:shd w:val="clear" w:fill="EFFAFC"/>
                <w:lang w:eastAsia="zh-CN"/>
                <w14:textFill>
                  <w14:solidFill>
                    <w14:schemeClr w14:val="tx1"/>
                  </w14:solidFill>
                </w14:textFill>
              </w:rPr>
            </w:pPr>
            <w:r>
              <w:rPr>
                <w:rFonts w:hint="eastAsia" w:ascii="宋体" w:hAnsi="宋体" w:cs="宋体"/>
                <w:color w:val="000000" w:themeColor="text1"/>
                <w:szCs w:val="24"/>
                <w:highlight w:val="none"/>
                <w:lang w:val="en-US" w:eastAsia="zh-CN"/>
                <w14:textFill>
                  <w14:solidFill>
                    <w14:schemeClr w14:val="tx1"/>
                  </w14:solidFill>
                </w14:textFill>
              </w:rPr>
              <w:t>（4）</w:t>
            </w:r>
            <w:r>
              <w:rPr>
                <w:rFonts w:hint="eastAsia" w:ascii="宋体" w:hAnsi="宋体" w:cs="宋体"/>
                <w:color w:val="000000" w:themeColor="text1"/>
                <w:szCs w:val="24"/>
                <w:highlight w:val="none"/>
                <w:lang w:val="zh-CN" w:eastAsia="zh-CN"/>
                <w14:textFill>
                  <w14:solidFill>
                    <w14:schemeClr w14:val="tx1"/>
                  </w14:solidFill>
                </w14:textFill>
              </w:rPr>
              <w:t>结算款：</w:t>
            </w:r>
            <w:r>
              <w:rPr>
                <w:rFonts w:hint="eastAsia" w:ascii="宋体" w:hAnsi="宋体" w:cs="宋体"/>
                <w:color w:val="000000" w:themeColor="text1"/>
                <w:szCs w:val="24"/>
                <w:highlight w:val="none"/>
                <w:lang w:val="zh-CN"/>
                <w14:textFill>
                  <w14:solidFill>
                    <w14:schemeClr w14:val="tx1"/>
                  </w14:solidFill>
                </w14:textFill>
              </w:rPr>
              <w:t>项目结算审核完成后，按审核后的结算</w:t>
            </w:r>
            <w:r>
              <w:rPr>
                <w:rFonts w:hint="eastAsia" w:asciiTheme="minorEastAsia" w:hAnsiTheme="minorEastAsia" w:eastAsiaTheme="minorEastAsia" w:cstheme="minorEastAsia"/>
                <w:i w:val="0"/>
                <w:caps w:val="0"/>
                <w:color w:val="000000" w:themeColor="text1"/>
                <w:spacing w:val="0"/>
                <w:sz w:val="24"/>
                <w:szCs w:val="24"/>
                <w:highlight w:val="none"/>
                <w:shd w:val="clear" w:fill="EFFAFC"/>
                <w14:textFill>
                  <w14:solidFill>
                    <w14:schemeClr w14:val="tx1"/>
                  </w14:solidFill>
                </w14:textFill>
              </w:rPr>
              <w:t>价支付剩余尾款</w:t>
            </w:r>
            <w:r>
              <w:rPr>
                <w:rFonts w:hint="eastAsia" w:asciiTheme="minorEastAsia" w:hAnsiTheme="minorEastAsia" w:eastAsiaTheme="minorEastAsia" w:cstheme="minorEastAsia"/>
                <w:i w:val="0"/>
                <w:caps w:val="0"/>
                <w:color w:val="000000" w:themeColor="text1"/>
                <w:spacing w:val="0"/>
                <w:sz w:val="24"/>
                <w:szCs w:val="24"/>
                <w:highlight w:val="none"/>
                <w:shd w:val="clear" w:fill="EFFAFC"/>
                <w:lang w:eastAsia="zh-CN"/>
                <w14:textFill>
                  <w14:solidFill>
                    <w14:schemeClr w14:val="tx1"/>
                  </w14:solidFill>
                </w14:textFill>
              </w:rPr>
              <w:t>。</w:t>
            </w:r>
          </w:p>
          <w:p>
            <w:pPr>
              <w:pStyle w:val="131"/>
              <w:tabs>
                <w:tab w:val="left" w:pos="0"/>
              </w:tabs>
              <w:spacing w:before="0"/>
              <w:ind w:firstLine="480"/>
              <w:jc w:val="left"/>
              <w:rPr>
                <w:rFonts w:ascii="宋体" w:hAnsi="宋体" w:cs="宋体"/>
                <w:color w:val="000000" w:themeColor="text1"/>
                <w:szCs w:val="24"/>
                <w:highlight w:val="none"/>
                <w:lang w:val="zh-CN"/>
                <w14:textFill>
                  <w14:solidFill>
                    <w14:schemeClr w14:val="tx1"/>
                  </w14:solidFill>
                </w14:textFill>
              </w:rPr>
            </w:pPr>
            <w:r>
              <w:rPr>
                <w:rFonts w:hint="eastAsia" w:ascii="宋体" w:hAnsi="宋体" w:cs="宋体"/>
                <w:color w:val="000000" w:themeColor="text1"/>
                <w:szCs w:val="24"/>
                <w:highlight w:val="none"/>
                <w:lang w:val="zh-CN"/>
                <w14:textFill>
                  <w14:solidFill>
                    <w14:schemeClr w14:val="tx1"/>
                  </w14:solidFill>
                </w14:textFill>
              </w:rPr>
              <w:t>（</w:t>
            </w:r>
            <w:r>
              <w:rPr>
                <w:rFonts w:hint="eastAsia" w:ascii="宋体" w:hAnsi="宋体" w:cs="宋体"/>
                <w:color w:val="000000" w:themeColor="text1"/>
                <w:szCs w:val="24"/>
                <w:highlight w:val="none"/>
                <w:lang w:val="en-US" w:eastAsia="zh-CN"/>
                <w14:textFill>
                  <w14:solidFill>
                    <w14:schemeClr w14:val="tx1"/>
                  </w14:solidFill>
                </w14:textFill>
              </w:rPr>
              <w:t>5</w:t>
            </w:r>
            <w:r>
              <w:rPr>
                <w:rFonts w:hint="eastAsia" w:ascii="宋体" w:hAnsi="宋体" w:cs="宋体"/>
                <w:color w:val="000000" w:themeColor="text1"/>
                <w:szCs w:val="24"/>
                <w:highlight w:val="none"/>
                <w:lang w:val="zh-CN"/>
                <w14:textFill>
                  <w14:solidFill>
                    <w14:schemeClr w14:val="tx1"/>
                  </w14:solidFill>
                </w14:textFill>
              </w:rPr>
              <w:t>）货物在通过验收并交付</w:t>
            </w:r>
            <w:r>
              <w:rPr>
                <w:rFonts w:hint="eastAsia" w:ascii="宋体" w:hAnsi="宋体" w:cs="宋体"/>
                <w:color w:val="000000" w:themeColor="text1"/>
                <w:szCs w:val="24"/>
                <w:highlight w:val="none"/>
                <w14:textFill>
                  <w14:solidFill>
                    <w14:schemeClr w14:val="tx1"/>
                  </w14:solidFill>
                </w14:textFill>
              </w:rPr>
              <w:t>甲方</w:t>
            </w:r>
            <w:r>
              <w:rPr>
                <w:rFonts w:hint="eastAsia" w:ascii="宋体" w:hAnsi="宋体" w:cs="宋体"/>
                <w:color w:val="000000" w:themeColor="text1"/>
                <w:szCs w:val="24"/>
                <w:highlight w:val="none"/>
                <w:lang w:val="zh-CN"/>
                <w14:textFill>
                  <w14:solidFill>
                    <w14:schemeClr w14:val="tx1"/>
                  </w14:solidFill>
                </w14:textFill>
              </w:rPr>
              <w:t>前发生的风险均由</w:t>
            </w:r>
            <w:r>
              <w:rPr>
                <w:rFonts w:hint="eastAsia" w:ascii="宋体" w:hAnsi="宋体" w:cs="宋体"/>
                <w:color w:val="000000" w:themeColor="text1"/>
                <w:szCs w:val="24"/>
                <w:highlight w:val="none"/>
                <w14:textFill>
                  <w14:solidFill>
                    <w14:schemeClr w14:val="tx1"/>
                  </w14:solidFill>
                </w14:textFill>
              </w:rPr>
              <w:t>中标人</w:t>
            </w:r>
            <w:r>
              <w:rPr>
                <w:rFonts w:hint="eastAsia" w:ascii="宋体" w:hAnsi="宋体" w:cs="宋体"/>
                <w:color w:val="000000" w:themeColor="text1"/>
                <w:szCs w:val="24"/>
                <w:highlight w:val="none"/>
                <w:lang w:val="zh-CN"/>
                <w14:textFill>
                  <w14:solidFill>
                    <w14:schemeClr w14:val="tx1"/>
                  </w14:solidFill>
                </w14:textFill>
              </w:rPr>
              <w:t>负责。</w:t>
            </w:r>
          </w:p>
          <w:p>
            <w:pPr>
              <w:pStyle w:val="131"/>
              <w:tabs>
                <w:tab w:val="left" w:pos="0"/>
              </w:tabs>
              <w:snapToGrid w:val="0"/>
              <w:spacing w:before="0"/>
              <w:ind w:firstLine="480"/>
              <w:jc w:val="left"/>
              <w:rPr>
                <w:rFonts w:ascii="宋体" w:hAnsi="宋体" w:cs="宋体"/>
                <w:color w:val="000000" w:themeColor="text1"/>
                <w:szCs w:val="24"/>
                <w:highlight w:val="none"/>
                <w:lang w:val="zh-CN"/>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w:t>
            </w:r>
            <w:r>
              <w:rPr>
                <w:rFonts w:hint="eastAsia" w:ascii="宋体" w:hAnsi="宋体" w:cs="宋体"/>
                <w:color w:val="000000" w:themeColor="text1"/>
                <w:szCs w:val="24"/>
                <w:highlight w:val="none"/>
                <w:lang w:val="en-US" w:eastAsia="zh-CN"/>
                <w14:textFill>
                  <w14:solidFill>
                    <w14:schemeClr w14:val="tx1"/>
                  </w14:solidFill>
                </w14:textFill>
              </w:rPr>
              <w:t>6</w:t>
            </w:r>
            <w:r>
              <w:rPr>
                <w:rFonts w:hint="eastAsia" w:ascii="宋体" w:hAnsi="宋体" w:cs="宋体"/>
                <w:color w:val="000000" w:themeColor="text1"/>
                <w:szCs w:val="24"/>
                <w:highlight w:val="none"/>
                <w14:textFill>
                  <w14:solidFill>
                    <w14:schemeClr w14:val="tx1"/>
                  </w14:solidFill>
                </w14:textFill>
              </w:rPr>
              <w:t>）</w:t>
            </w:r>
            <w:r>
              <w:rPr>
                <w:rFonts w:hint="eastAsia" w:ascii="宋体" w:hAnsi="宋体" w:cs="宋体"/>
                <w:color w:val="000000" w:themeColor="text1"/>
                <w:szCs w:val="24"/>
                <w:highlight w:val="none"/>
                <w:lang w:val="zh-CN"/>
                <w14:textFill>
                  <w14:solidFill>
                    <w14:schemeClr w14:val="tx1"/>
                  </w14:solidFill>
                </w14:textFill>
              </w:rPr>
              <w:t>安全责任：</w:t>
            </w:r>
            <w:r>
              <w:rPr>
                <w:rFonts w:hint="eastAsia" w:ascii="宋体" w:hAnsi="宋体" w:cs="宋体"/>
                <w:color w:val="000000" w:themeColor="text1"/>
                <w:szCs w:val="24"/>
                <w:highlight w:val="none"/>
                <w14:textFill>
                  <w14:solidFill>
                    <w14:schemeClr w14:val="tx1"/>
                  </w14:solidFill>
                </w14:textFill>
              </w:rPr>
              <w:t>乙方</w:t>
            </w:r>
            <w:r>
              <w:rPr>
                <w:rFonts w:hint="eastAsia" w:ascii="宋体" w:hAnsi="宋体" w:cs="宋体"/>
                <w:color w:val="000000" w:themeColor="text1"/>
                <w:szCs w:val="24"/>
                <w:highlight w:val="none"/>
                <w:lang w:val="zh-CN"/>
                <w14:textFill>
                  <w14:solidFill>
                    <w14:schemeClr w14:val="tx1"/>
                  </w14:solidFill>
                </w14:textFill>
              </w:rPr>
              <w:t>承担货物在送达指定地点前及运输和保存、安装过程（包括堆放和卸装期间）中货物的毁损、灭失等和发生人身伤亡事故等风险和安全责任，并承担一切经济损失和法律责任。</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付款条件:甲方凭乙方开具的开具增值税普通发票和甲方认可的各项记录复印件向服务单位支付服务费。由于乙方上报或者开票不及时引起的延迟支付，责任由乙方自负。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4" w:type="pct"/>
            <w:tcBorders>
              <w:left w:val="single" w:color="auto" w:sz="4"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1.5.1 </w:t>
            </w:r>
          </w:p>
        </w:tc>
        <w:tc>
          <w:tcPr>
            <w:tcW w:w="4515" w:type="pct"/>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本项目履约期限：</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val="en-US" w:eastAsia="zh-CN"/>
                <w14:textFill>
                  <w14:solidFill>
                    <w14:schemeClr w14:val="tx1"/>
                  </w14:solidFill>
                </w14:textFill>
              </w:rPr>
              <w:t>90</w:t>
            </w:r>
            <w:r>
              <w:rPr>
                <w:rFonts w:hint="eastAsia" w:ascii="宋体" w:hAnsi="宋体" w:cs="宋体"/>
                <w:color w:val="000000" w:themeColor="text1"/>
                <w:sz w:val="24"/>
                <w:highlight w:val="none"/>
                <w14:textFill>
                  <w14:solidFill>
                    <w14:schemeClr w14:val="tx1"/>
                  </w14:solidFill>
                </w14:textFill>
              </w:rPr>
              <w:t>日历天（具体以合同签订时间为准，含完成设备供货安装及内容系统的部署、配套装饰等，经测试运行及培训，并通过采购人组织初步验收确认合格，投入运行）。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4" w:type="pct"/>
            <w:tcBorders>
              <w:left w:val="single" w:color="auto" w:sz="4"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1.5.2</w:t>
            </w:r>
          </w:p>
        </w:tc>
        <w:tc>
          <w:tcPr>
            <w:tcW w:w="4515" w:type="pct"/>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履行合同的地点：杭州市拱墅区拱宸桥桥西历史文化街区。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4" w:type="pct"/>
            <w:tcBorders>
              <w:left w:val="single" w:color="auto" w:sz="4"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1.5.3 </w:t>
            </w:r>
          </w:p>
        </w:tc>
        <w:tc>
          <w:tcPr>
            <w:tcW w:w="4515" w:type="pct"/>
            <w:vAlign w:val="center"/>
          </w:tcPr>
          <w:p>
            <w:pPr>
              <w:pStyle w:val="131"/>
              <w:tabs>
                <w:tab w:val="left" w:pos="0"/>
              </w:tabs>
              <w:snapToGrid w:val="0"/>
              <w:spacing w:before="0"/>
              <w:ind w:firstLine="0" w:firstLineChars="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送货上门，乙方负责安装调试，并经初步验收合格后并交付甲方使用。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4" w:type="pct"/>
            <w:tcBorders>
              <w:left w:val="single" w:color="auto" w:sz="4"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1.6.7</w:t>
            </w:r>
          </w:p>
        </w:tc>
        <w:tc>
          <w:tcPr>
            <w:tcW w:w="4515" w:type="pct"/>
            <w:vAlign w:val="center"/>
          </w:tcPr>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1．合同签订后，任何一方不履行或不完全履行本合同约定条款的，即构成违约。任何一方违约时，守约方有权要求违约方继续履行本合同，同时有权要求违约方支付违约金。</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2．如果甲方未按照合同约定支付价款，乙方有权要求其每天承担应付未付金额千分之零点五（0.5‰）的违约金，但违约金总额不超过合同总金额的百分之十（10%）；除合同另有约定外，如果乙方未能按照本合同约定履行义务或无正当理由擅自解除本合同，甲方有权要求其承担合同总金额百分之十（10%）的违约金。</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3．如因乙方未经甲方事先书面同意，乙方将合同的权利或义务全部或部分转让或分包给第三人或违反相关法律规定或侵犯第三方合法权利而使甲方遭受损失的，乙方应承担全部责任，甲方有权解除本合同并要求乙方返还全部已收款项，按合同价款的10%承担违约金并赔偿甲方由此所遭受全部经济损失。</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4．乙方逾期履行合同的，自逾期之日起，向甲方每日偿付合同总价万分之五的违约金。</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5．甲方逾期支付货款或逾期退还履约保证金的，自逾期之日起，向乙方每日偿付未付价款或未退还履约保证金万分之五的违约金。</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6．乙方所交的货物品种、型号、规格、技术参数、质量不符合合同规定及招投标文件规定标准的，或经验收不合格的，甲方有权拒收该货物，乙方愿意更换货物但逾期交货的，按乙方逾期交货处理。乙方拒绝更换货物的，甲方可单方面解除合同，同时乙方应按合同价款的10%承担违约金，并退还全部已收款项。</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7．上述第6项应退回或更换的货物，由乙方在验收后一周内运离安装地点，所需费用由乙方承担。如乙方在二周内不处理（搬走）的，视为乙方放弃，甲方有权自行处置（包括废物处理）。</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8．乙方未按招标文件及合同约定履行质保义务的，每次应向甲方承担 2000 元的违约金，并赔偿甲方的损失；同时，乙方应继续履行质保义务。</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9．因乙方违约行为给甲方造成损失的，如果违约金不足以弥补甲方经济损失，乙方还应当赔偿甲方其余经济损失，包括直接经济损失及可预见的间接经济损失。间接经济损失包括但不限于：因违约方违约事项致使守约方损失的可期待利益及守约方为此支出的诉讼费、仲裁费、律师费、差旅费、公证费、鉴定费、评估费、保全费、执行费等费用以及其它可预见的间接经济损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4" w:type="pct"/>
            <w:tcBorders>
              <w:left w:val="single" w:color="auto" w:sz="4"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w:t>
            </w:r>
          </w:p>
        </w:tc>
        <w:tc>
          <w:tcPr>
            <w:tcW w:w="4515" w:type="pct"/>
            <w:vAlign w:val="center"/>
          </w:tcPr>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1.7.1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4" w:type="pct"/>
            <w:tcBorders>
              <w:left w:val="single" w:color="auto" w:sz="4"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1.7.1</w:t>
            </w:r>
          </w:p>
        </w:tc>
        <w:tc>
          <w:tcPr>
            <w:tcW w:w="4515" w:type="pct"/>
            <w:vAlign w:val="center"/>
          </w:tcPr>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杭州仲裁委员会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4" w:type="pct"/>
            <w:tcBorders>
              <w:left w:val="single" w:color="auto" w:sz="4"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1.7.2</w:t>
            </w:r>
          </w:p>
        </w:tc>
        <w:tc>
          <w:tcPr>
            <w:tcW w:w="4515" w:type="pct"/>
            <w:vAlign w:val="center"/>
          </w:tcPr>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4" w:type="pct"/>
            <w:tcBorders>
              <w:left w:val="single" w:color="auto" w:sz="4"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2.3.2</w:t>
            </w:r>
          </w:p>
        </w:tc>
        <w:tc>
          <w:tcPr>
            <w:tcW w:w="4515" w:type="pct"/>
            <w:vAlign w:val="center"/>
          </w:tcPr>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知识产权归甲方所有。乙方应保证提供的商品不侵犯第三方的专利权、商标权或者其他知识产权。如乙方行为侵犯第三方知识产权并造成第三方追究甲方责任的，甲方因此受到的损失由乙方承担。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4" w:type="pct"/>
            <w:tcBorders>
              <w:left w:val="single" w:color="auto" w:sz="4"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2.4.1</w:t>
            </w:r>
          </w:p>
        </w:tc>
        <w:tc>
          <w:tcPr>
            <w:tcW w:w="4515" w:type="pct"/>
            <w:vAlign w:val="center"/>
          </w:tcPr>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4" w:type="pct"/>
            <w:tcBorders>
              <w:left w:val="single" w:color="auto" w:sz="4"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2.4.2</w:t>
            </w:r>
          </w:p>
        </w:tc>
        <w:tc>
          <w:tcPr>
            <w:tcW w:w="4515" w:type="pct"/>
            <w:vAlign w:val="center"/>
          </w:tcPr>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1、包装：</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乙方应提供货物运至合同规定的最终目的地所需要的包装，以防止货物在转运中损坏或变质。这类包装应采取防潮、防晒、防锈、防腐蚀、防震动及防止其它损坏的必要保护措施，从而保护货物能够经受多次搬运、装卸及远洋和内陆的长途运输。乙方应承担由于其包装或其防护措施不妥而引起货物锈蚀、损坏和丢失的任何损失的责任或费用。对于木质包装材料，应按照中华人民共和国国家质量监督检验检疫总局的规定，对木质包装进行除害处理并加施IPPC专用标识的声明或未使用木质包装的声明。使用说明书、质量检验证明书、随配附件和工具以及清单一并附于货物内。</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2、运输及交付：</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乙方在货物发运手续办理完毕后24小时内或货到甲方48小时前通知甲方，以准备接货。货物在交付甲方前发生的风险均由乙方负责。货物在规定的交付期限内由乙方送达甲方指定的地点视为交付，乙方同时需通知甲方货物已送达。对其在制造、购置、运输、存放及交货过程中的丢失或损坏进行全面保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4" w:type="pct"/>
            <w:tcBorders>
              <w:left w:val="single" w:color="auto" w:sz="4" w:space="0"/>
            </w:tcBorders>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2.8 </w:t>
            </w:r>
          </w:p>
        </w:tc>
        <w:tc>
          <w:tcPr>
            <w:tcW w:w="4515" w:type="pct"/>
          </w:tcPr>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货物或者在途货物或者交付给第一承运人后的货物毁损、灭失的风险由乙方全权负责。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4" w:type="pct"/>
            <w:tcBorders>
              <w:left w:val="single" w:color="auto" w:sz="4"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2.12.3</w:t>
            </w:r>
          </w:p>
        </w:tc>
        <w:tc>
          <w:tcPr>
            <w:tcW w:w="4515" w:type="pct"/>
            <w:vAlign w:val="center"/>
          </w:tcPr>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不可抗力发生后5日内以书面形式变更合同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4" w:type="pct"/>
            <w:tcBorders>
              <w:left w:val="single" w:color="auto" w:sz="4"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2.12.4</w:t>
            </w:r>
          </w:p>
        </w:tc>
        <w:tc>
          <w:tcPr>
            <w:tcW w:w="4515" w:type="pct"/>
            <w:vAlign w:val="center"/>
          </w:tcPr>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不可抗力发生后1日内以书面形式通知对方当事人；不可抗力发生后15日内将有关部门出具的证明文件送达对方当事人。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4" w:type="pct"/>
            <w:tcBorders>
              <w:left w:val="single" w:color="auto" w:sz="4"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2.16.1</w:t>
            </w:r>
          </w:p>
        </w:tc>
        <w:tc>
          <w:tcPr>
            <w:tcW w:w="4515" w:type="pct"/>
            <w:vAlign w:val="center"/>
          </w:tcPr>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满足验收条件之日起10日内组织初步验收。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84" w:type="pct"/>
            <w:tcBorders>
              <w:left w:val="single" w:color="auto" w:sz="4"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2.16.3</w:t>
            </w:r>
          </w:p>
        </w:tc>
        <w:tc>
          <w:tcPr>
            <w:tcW w:w="4515" w:type="pct"/>
            <w:vAlign w:val="center"/>
          </w:tcPr>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验收、交付标准和方法</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1、甲方对乙方提交的货物依据招投标文件上的技术规格要求和国家有关质量标准进行现场到货验收，外观、说明书符合招投标文件技术要求的，给予签收，到货验收不合格的不予签收。</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2、乙方交货前应对产品作出全面检查和对验收文件进行整理，并列出清单，作为甲方收货验收和使用的技术条件依据，检验的结果应随货物交甲方。</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3、甲方对乙方提供的货物在使用前进行调试时，乙方需事先负责安装达到合同规定的技术要求，同时负责培训甲方的使用操作人员，做好甲方现场调试的指导，直到符合技术要求，甲方才进行交付验收，在交付验收合格前，乙方负责承担相应风险。</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4、对技术复杂的货物，甲方认为有必要的可请国家认可的专业检测机构参与到货验收及交付验收，并由其出具质量检测报告。</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5、验收时乙方必须在现场，验收完毕后作出初步验收结果报告；验收费用由乙方负责。</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6、初验合格后，设备试运行2个月无异常且所有问题按要求整改完毕，由乙方以书面形式向甲方提出履约验收申请。经甲方确认，甲方将组织相关人员根据《中华人民共和国政府采购法》、《中华人民共和国民法典》、《中华人民共和国政府采购法实施条例》、财政部《财政部关于进一步加强政府采购需求和履约验收管理的指导意见》（财库[2016]205号）、杭州市财政局《杭州市政府采购履约验收暂行办法》（杭财采监[2019]10号）等相关法律、法规、规范性文件要求组织履约验收。</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7、甲方有关部门负责评估、决策项目建设是否达到验收标准，指定项目验收负责人组织并负责项目验收。</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8、验收方法：验收小组验收。</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9、验收小组组建方式：项目验收负责人组织验收小组，验收小组由相关专家和用户代表按相关规定组成。验收小组负责实施具体的验收活动。甲方可以邀请其他单位的相关专业人员参加验收小组。验收小组推选一名组长，主持验收小组的工作。</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10、验收流程：</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（1）项目验收负责人根据验收方案组织验收小组现场验收，并准备验收材料并通知各验收参与方在指定时间指定地点联合验收，包括甲方、乙方、验收小组、其他验收参与方等。</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2）验收小组应当按照验收方案独立开展验收，对乙方提供的服务按照采购文件、投标文件、政府采购合同进行核对、验收，并做好验收记录。在验收过程中，验收小组成员不得擅自公开验收信息。验收小组可以对验收方案进行必要的修改。验收小组对验收方案作出实质性修改的，应当报经甲方同意。</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3）乙方配合验收工作，并就验收实施过程中的疑问进行解答和澄清。项目验收过程中，乙方不认可验收意见的，按照合同的约定的方式解决，合同未作约定的，按照《中华人民共和国民法典》等相关规定处理。</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4）出具验收报告。验收结束后，验收小组应当出具验收报告，报告甲方。验收报告应当根据验收方案制作，以书面形式作出结论性意见，并经验收小组全体成员签字。验收小组成员对验收报告载明的结论有异议的，应当在验收报告上签署不同意并说明理由，否则视为同意验收结论。</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（5）验收不合格的，甲方应责令乙方采取补救措施，向乙方发出整改通知书，并依法及时处理，验收费用由乙方承担。整改结束后，甲方再次组织验收。</w:t>
            </w:r>
          </w:p>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11、履约验收标准</w:t>
            </w:r>
          </w:p>
          <w:p>
            <w:pPr>
              <w:pStyle w:val="131"/>
              <w:numPr>
                <w:ilvl w:val="0"/>
                <w:numId w:val="2"/>
              </w:numPr>
              <w:tabs>
                <w:tab w:val="left" w:pos="0"/>
              </w:tabs>
              <w:adjustRightInd/>
              <w:spacing w:before="0"/>
              <w:ind w:left="0" w:firstLine="0" w:firstLineChars="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设备、材料、配件品牌、型号、数量等与合同相符，设备运行稳定，材料、配件质量符合国家标准。</w:t>
            </w:r>
          </w:p>
          <w:p>
            <w:pPr>
              <w:pStyle w:val="131"/>
              <w:numPr>
                <w:ilvl w:val="0"/>
                <w:numId w:val="2"/>
              </w:numPr>
              <w:tabs>
                <w:tab w:val="left" w:pos="0"/>
              </w:tabs>
              <w:adjustRightInd/>
              <w:spacing w:before="0"/>
              <w:ind w:left="0" w:firstLine="0" w:firstLineChars="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系统功能齐全，符合合同要求。性能良好，技术参数达到招标文件要求。</w:t>
            </w:r>
          </w:p>
          <w:p>
            <w:pPr>
              <w:pStyle w:val="131"/>
              <w:numPr>
                <w:ilvl w:val="0"/>
                <w:numId w:val="2"/>
              </w:numPr>
              <w:tabs>
                <w:tab w:val="left" w:pos="0"/>
              </w:tabs>
              <w:adjustRightInd/>
              <w:spacing w:before="0"/>
              <w:ind w:left="0" w:firstLine="0" w:firstLineChars="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系统运行良好，未发生重大故障。</w:t>
            </w:r>
          </w:p>
          <w:p>
            <w:pPr>
              <w:pStyle w:val="131"/>
              <w:numPr>
                <w:ilvl w:val="0"/>
                <w:numId w:val="2"/>
              </w:numPr>
              <w:tabs>
                <w:tab w:val="left" w:pos="0"/>
              </w:tabs>
              <w:adjustRightInd/>
              <w:spacing w:before="0"/>
              <w:ind w:left="0" w:firstLine="0" w:firstLineChars="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整体系统功能实现符合合同和甲方实际使用需求。</w:t>
            </w:r>
          </w:p>
          <w:p>
            <w:pPr>
              <w:pStyle w:val="131"/>
              <w:numPr>
                <w:ilvl w:val="0"/>
                <w:numId w:val="2"/>
              </w:numPr>
              <w:tabs>
                <w:tab w:val="left" w:pos="0"/>
              </w:tabs>
              <w:adjustRightInd/>
              <w:spacing w:before="0"/>
              <w:ind w:left="0" w:firstLine="0" w:firstLineChars="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项目按要求完成建设，并在规定的时间内交付甲方使用。</w:t>
            </w:r>
          </w:p>
          <w:p>
            <w:pPr>
              <w:pStyle w:val="131"/>
              <w:numPr>
                <w:ilvl w:val="0"/>
                <w:numId w:val="2"/>
              </w:numPr>
              <w:tabs>
                <w:tab w:val="left" w:pos="0"/>
              </w:tabs>
              <w:adjustRightInd/>
              <w:spacing w:before="0"/>
              <w:ind w:left="0" w:firstLine="0" w:firstLineChars="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项目有有效的进度控制方式，有效的把控整个项目建设进度。实施过程中，安全、文明施工措施到位，未发生重大安全事故。经常组织安全检查，避免项目发生安全问题重要服务人员签订保密协议，安全管理制度完善。</w:t>
            </w:r>
          </w:p>
          <w:p>
            <w:pPr>
              <w:pStyle w:val="131"/>
              <w:numPr>
                <w:ilvl w:val="0"/>
                <w:numId w:val="2"/>
              </w:numPr>
              <w:tabs>
                <w:tab w:val="left" w:pos="0"/>
              </w:tabs>
              <w:adjustRightInd/>
              <w:spacing w:before="0"/>
              <w:ind w:left="0" w:firstLine="0" w:firstLineChars="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未发生重大数据丢失和泄漏问题，建立完善的运行保障机制，有效的落实各项运维工作。</w:t>
            </w:r>
          </w:p>
          <w:p>
            <w:pPr>
              <w:pStyle w:val="131"/>
              <w:numPr>
                <w:ilvl w:val="0"/>
                <w:numId w:val="2"/>
              </w:numPr>
              <w:tabs>
                <w:tab w:val="left" w:pos="0"/>
              </w:tabs>
              <w:adjustRightInd/>
              <w:spacing w:before="0"/>
              <w:ind w:left="0" w:firstLine="0" w:firstLineChars="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在</w:t>
            </w:r>
            <w:r>
              <w:rPr>
                <w:rFonts w:hint="eastAsia" w:ascii="宋体" w:hAnsi="宋体" w:cs="宋体"/>
                <w:color w:val="000000" w:themeColor="text1"/>
                <w:szCs w:val="24"/>
                <w:highlight w:val="none"/>
                <w:lang w:val="en-US" w:eastAsia="zh-CN"/>
                <w14:textFill>
                  <w14:solidFill>
                    <w14:schemeClr w14:val="tx1"/>
                  </w14:solidFill>
                </w14:textFill>
              </w:rPr>
              <w:t>2年</w:t>
            </w:r>
            <w:r>
              <w:rPr>
                <w:rFonts w:hint="eastAsia" w:ascii="宋体" w:hAnsi="宋体" w:cs="宋体"/>
                <w:color w:val="000000" w:themeColor="text1"/>
                <w:sz w:val="24"/>
                <w:highlight w:val="none"/>
                <w14:textFill>
                  <w14:solidFill>
                    <w14:schemeClr w14:val="tx1"/>
                  </w14:solidFill>
                </w14:textFill>
              </w:rPr>
              <w:t>（如厂家出厂质保期超过</w:t>
            </w:r>
            <w:r>
              <w:rPr>
                <w:rFonts w:hint="eastAsia" w:ascii="宋体" w:hAnsi="宋体" w:cs="宋体"/>
                <w:color w:val="000000" w:themeColor="text1"/>
                <w:sz w:val="24"/>
                <w:highlight w:val="none"/>
                <w:lang w:eastAsia="zh-CN"/>
                <w14:textFill>
                  <w14:solidFill>
                    <w14:schemeClr w14:val="tx1"/>
                  </w14:solidFill>
                </w14:textFill>
              </w:rPr>
              <w:t>二</w:t>
            </w:r>
            <w:r>
              <w:rPr>
                <w:rFonts w:hint="eastAsia" w:ascii="宋体" w:hAnsi="宋体" w:cs="宋体"/>
                <w:color w:val="000000" w:themeColor="text1"/>
                <w:sz w:val="24"/>
                <w:highlight w:val="none"/>
                <w14:textFill>
                  <w14:solidFill>
                    <w14:schemeClr w14:val="tx1"/>
                  </w14:solidFill>
                </w14:textFill>
              </w:rPr>
              <w:t>年的，以厂家出厂质保期为准）</w:t>
            </w:r>
            <w:r>
              <w:rPr>
                <w:rFonts w:hint="eastAsia" w:ascii="宋体" w:hAnsi="宋体" w:cs="宋体"/>
                <w:color w:val="000000" w:themeColor="text1"/>
                <w:szCs w:val="24"/>
                <w:highlight w:val="none"/>
                <w14:textFill>
                  <w14:solidFill>
                    <w14:schemeClr w14:val="tx1"/>
                  </w14:solidFill>
                </w14:textFill>
              </w:rPr>
              <w:t>质保期内，系统各项系统指标达到合同要求，保障系统正常运行。</w:t>
            </w:r>
          </w:p>
          <w:p>
            <w:pPr>
              <w:pStyle w:val="131"/>
              <w:numPr>
                <w:ilvl w:val="0"/>
                <w:numId w:val="2"/>
              </w:numPr>
              <w:tabs>
                <w:tab w:val="left" w:pos="0"/>
              </w:tabs>
              <w:adjustRightInd/>
              <w:spacing w:before="0"/>
              <w:ind w:left="0" w:firstLine="0" w:firstLineChars="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人员及时到位，不存在脱岗等问题，请假应有正常手续。</w:t>
            </w:r>
          </w:p>
          <w:p>
            <w:pPr>
              <w:pStyle w:val="131"/>
              <w:tabs>
                <w:tab w:val="left" w:pos="0"/>
              </w:tabs>
              <w:adjustRightInd/>
              <w:spacing w:before="0"/>
              <w:ind w:firstLine="0" w:firstLineChars="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（10）按合同和投标文件投入相应资质的项目管理和技术人员。要做好日常的台帐记录，做到记录及时、完整。每月提交项目资料和月报。履行项目采购文件、投标文件、合同条款中涉及的其他承诺的情况。</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84" w:type="pct"/>
            <w:tcBorders>
              <w:left w:val="single" w:color="auto" w:sz="4" w:space="0"/>
            </w:tcBorders>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2.20.1</w:t>
            </w:r>
          </w:p>
        </w:tc>
        <w:tc>
          <w:tcPr>
            <w:tcW w:w="4515" w:type="pct"/>
          </w:tcPr>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履约保证金：合同签订7天内乙方应向甲方交纳合同金额的1%作为履约保证金，履约保证金的形式不限于现金、汇款、支票、银行保函等。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84" w:type="pct"/>
            <w:tcBorders>
              <w:left w:val="single" w:color="auto" w:sz="4"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2.20.2 </w:t>
            </w:r>
          </w:p>
        </w:tc>
        <w:tc>
          <w:tcPr>
            <w:tcW w:w="4515" w:type="pct"/>
            <w:vAlign w:val="center"/>
          </w:tcPr>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履约保证金在项目履约验收合格前不予退还。乙方在前述约定期间届满前能履行完合同约定义务事项的，甲方在前述约定期间届满之日起5个工作日内，按原递交方式将履约保证金退还乙方，逾期退还的，乙方可要求甲方支付违约金，违约金按每迟延退还一日的应退还而未退还金额的0.05%计算，最高限额为本合同履约保证金的20%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84" w:type="pct"/>
            <w:tcBorders>
              <w:left w:val="single" w:color="auto" w:sz="4" w:space="0"/>
            </w:tcBorders>
            <w:vAlign w:val="center"/>
          </w:tcPr>
          <w:p>
            <w:pPr>
              <w:spacing w:line="360" w:lineRule="auto"/>
              <w:ind w:left="-420" w:leftChars="-200" w:right="-420" w:rightChars="-200" w:firstLine="480" w:firstLineChars="200"/>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2.22 </w:t>
            </w:r>
          </w:p>
        </w:tc>
        <w:tc>
          <w:tcPr>
            <w:tcW w:w="4515" w:type="pct"/>
            <w:vAlign w:val="center"/>
          </w:tcPr>
          <w:p>
            <w:pPr>
              <w:pStyle w:val="131"/>
              <w:tabs>
                <w:tab w:val="left" w:pos="0"/>
              </w:tabs>
              <w:snapToGrid w:val="0"/>
              <w:spacing w:before="0"/>
              <w:ind w:firstLine="48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合同份数按甲方执陆份，乙方执叁份规定，每份均具有同等法律效力。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84" w:type="pct"/>
            <w:tcBorders>
              <w:left w:val="single" w:color="auto" w:sz="4" w:space="0"/>
            </w:tcBorders>
            <w:vAlign w:val="center"/>
          </w:tcPr>
          <w:p>
            <w:pPr>
              <w:spacing w:line="360" w:lineRule="auto"/>
              <w:ind w:left="-420" w:leftChars="-200" w:right="-420" w:rightChars="-200" w:firstLine="480" w:firstLineChars="200"/>
              <w:outlineLvl w:val="0"/>
              <w:rPr>
                <w:rFonts w:hint="eastAsia" w:ascii="宋体" w:hAnsi="宋体" w:cs="宋体"/>
                <w:color w:val="000000" w:themeColor="text1"/>
                <w:sz w:val="24"/>
                <w:highlight w:val="none"/>
                <w14:textFill>
                  <w14:solidFill>
                    <w14:schemeClr w14:val="tx1"/>
                  </w14:solidFill>
                </w14:textFill>
              </w:rPr>
            </w:pPr>
          </w:p>
        </w:tc>
        <w:tc>
          <w:tcPr>
            <w:tcW w:w="4515" w:type="pct"/>
            <w:vAlign w:val="center"/>
          </w:tcPr>
          <w:p>
            <w:pPr>
              <w:pStyle w:val="131"/>
              <w:tabs>
                <w:tab w:val="left" w:pos="0"/>
              </w:tabs>
              <w:snapToGrid w:val="0"/>
              <w:spacing w:before="0"/>
              <w:ind w:firstLine="480"/>
              <w:jc w:val="left"/>
              <w:rPr>
                <w:rFonts w:hint="eastAsia" w:ascii="宋体" w:hAnsi="宋体" w:eastAsia="宋体" w:cs="宋体"/>
                <w:color w:val="000000" w:themeColor="text1"/>
                <w:szCs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质保期内承诺均提供上门维护、系统做好免费升级服务；</w:t>
            </w:r>
            <w:r>
              <w:rPr>
                <w:rFonts w:hint="eastAsia" w:ascii="宋体" w:hAnsi="宋体" w:cs="宋体"/>
                <w:color w:val="000000" w:themeColor="text1"/>
                <w:sz w:val="24"/>
                <w:highlight w:val="none"/>
                <w:lang w:eastAsia="zh-CN"/>
                <w14:textFill>
                  <w14:solidFill>
                    <w14:schemeClr w14:val="tx1"/>
                  </w14:solidFill>
                </w14:textFill>
              </w:rPr>
              <w:t>如乙方未按投标所承诺的及时响应提供维护服务的，甲方有权请第三方完成维护，维护全部费用由乙方自接到甲方书面通知后</w:t>
            </w:r>
            <w:r>
              <w:rPr>
                <w:rFonts w:hint="eastAsia" w:ascii="宋体" w:hAnsi="宋体" w:cs="宋体"/>
                <w:color w:val="000000" w:themeColor="text1"/>
                <w:sz w:val="24"/>
                <w:highlight w:val="none"/>
                <w:lang w:val="en-US" w:eastAsia="zh-CN"/>
                <w14:textFill>
                  <w14:solidFill>
                    <w14:schemeClr w14:val="tx1"/>
                  </w14:solidFill>
                </w14:textFill>
              </w:rPr>
              <w:t>15日历天内完成</w:t>
            </w:r>
            <w:r>
              <w:rPr>
                <w:rFonts w:hint="eastAsia" w:ascii="宋体" w:hAnsi="宋体" w:cs="宋体"/>
                <w:color w:val="000000" w:themeColor="text1"/>
                <w:sz w:val="24"/>
                <w:highlight w:val="none"/>
                <w:lang w:eastAsia="zh-CN"/>
                <w14:textFill>
                  <w14:solidFill>
                    <w14:schemeClr w14:val="tx1"/>
                  </w14:solidFill>
                </w14:textFill>
              </w:rPr>
              <w:t>支付。如未及时支付的，甲方有权上报政府采购监管部门，根据项目履约相关规定进行处罚。</w:t>
            </w:r>
          </w:p>
        </w:tc>
      </w:tr>
    </w:tbl>
    <w:p>
      <w:pPr>
        <w:spacing w:line="360" w:lineRule="auto"/>
        <w:ind w:left="-420" w:leftChars="-200" w:right="-420" w:rightChars="-200" w:firstLine="480" w:firstLineChars="200"/>
        <w:rPr>
          <w:rFonts w:ascii="宋体" w:hAnsi="宋体" w:cs="宋体"/>
          <w:color w:val="000000" w:themeColor="text1"/>
          <w:sz w:val="24"/>
          <w:highlight w:val="none"/>
          <w14:textFill>
            <w14:solidFill>
              <w14:schemeClr w14:val="tx1"/>
            </w14:solidFill>
          </w14:textFill>
        </w:rPr>
      </w:pPr>
    </w:p>
    <w:p>
      <w:pPr>
        <w:spacing w:line="360" w:lineRule="auto"/>
        <w:rPr>
          <w:rFonts w:ascii="宋体" w:hAnsi="宋体" w:cs="宋体"/>
          <w:bCs/>
          <w:color w:val="000000" w:themeColor="text1"/>
          <w:sz w:val="24"/>
          <w:highlight w:val="none"/>
          <w14:textFill>
            <w14:solidFill>
              <w14:schemeClr w14:val="tx1"/>
            </w14:solidFill>
          </w14:textFill>
        </w:rPr>
      </w:pPr>
    </w:p>
    <w:p>
      <w:pPr>
        <w:rPr>
          <w:rFonts w:ascii="宋体" w:hAnsi="宋体" w:cs="宋体"/>
          <w:b/>
          <w:color w:val="000000" w:themeColor="text1"/>
          <w:sz w:val="36"/>
          <w:szCs w:val="20"/>
          <w:highlight w:val="none"/>
          <w14:textFill>
            <w14:solidFill>
              <w14:schemeClr w14:val="tx1"/>
            </w14:solidFill>
          </w14:textFill>
        </w:rPr>
      </w:pPr>
      <w:r>
        <w:rPr>
          <w:rFonts w:hint="eastAsia" w:ascii="宋体" w:hAnsi="宋体" w:cs="宋体"/>
          <w:b/>
          <w:color w:val="000000" w:themeColor="text1"/>
          <w:sz w:val="36"/>
          <w:szCs w:val="20"/>
          <w:highlight w:val="none"/>
          <w14:textFill>
            <w14:solidFill>
              <w14:schemeClr w14:val="tx1"/>
            </w14:solidFill>
          </w14:textFill>
        </w:rPr>
        <w:br w:type="page"/>
      </w:r>
    </w:p>
    <w:p>
      <w:pPr>
        <w:spacing w:line="360" w:lineRule="auto"/>
        <w:ind w:left="-420" w:leftChars="-200" w:right="-420" w:rightChars="-200" w:firstLine="723" w:firstLineChars="200"/>
        <w:jc w:val="center"/>
        <w:outlineLvl w:val="0"/>
        <w:rPr>
          <w:rFonts w:ascii="宋体" w:hAnsi="宋体" w:cs="宋体"/>
          <w:b/>
          <w:color w:val="000000" w:themeColor="text1"/>
          <w:sz w:val="36"/>
          <w:szCs w:val="20"/>
          <w:highlight w:val="none"/>
          <w14:textFill>
            <w14:solidFill>
              <w14:schemeClr w14:val="tx1"/>
            </w14:solidFill>
          </w14:textFill>
        </w:rPr>
      </w:pPr>
      <w:r>
        <w:rPr>
          <w:rFonts w:hint="eastAsia" w:ascii="宋体" w:hAnsi="宋体" w:cs="宋体"/>
          <w:b/>
          <w:color w:val="000000" w:themeColor="text1"/>
          <w:sz w:val="36"/>
          <w:szCs w:val="20"/>
          <w:highlight w:val="none"/>
          <w14:textFill>
            <w14:solidFill>
              <w14:schemeClr w14:val="tx1"/>
            </w14:solidFill>
          </w14:textFill>
        </w:rPr>
        <w:t>第六部分</w:t>
      </w:r>
      <w:bookmarkEnd w:id="392"/>
      <w:r>
        <w:rPr>
          <w:rFonts w:hint="eastAsia" w:ascii="宋体" w:hAnsi="宋体" w:cs="宋体"/>
          <w:b/>
          <w:color w:val="000000" w:themeColor="text1"/>
          <w:sz w:val="36"/>
          <w:szCs w:val="20"/>
          <w:highlight w:val="none"/>
          <w14:textFill>
            <w14:solidFill>
              <w14:schemeClr w14:val="tx1"/>
            </w14:solidFill>
          </w14:textFill>
        </w:rPr>
        <w:t xml:space="preserve"> </w:t>
      </w:r>
      <w:bookmarkEnd w:id="393"/>
      <w:r>
        <w:rPr>
          <w:rFonts w:hint="eastAsia" w:ascii="宋体" w:hAnsi="宋体" w:cs="宋体"/>
          <w:b/>
          <w:color w:val="000000" w:themeColor="text1"/>
          <w:sz w:val="36"/>
          <w:szCs w:val="20"/>
          <w:highlight w:val="none"/>
          <w14:textFill>
            <w14:solidFill>
              <w14:schemeClr w14:val="tx1"/>
            </w14:solidFill>
          </w14:textFill>
        </w:rPr>
        <w:t>应提交的有关格式范例</w:t>
      </w:r>
    </w:p>
    <w:p>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p>
    <w:p>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资格文件部分</w:t>
      </w:r>
    </w:p>
    <w:p>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目录</w:t>
      </w:r>
    </w:p>
    <w:p>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（1）符合参加政府采购活动应当具备的一般条件的承诺函……………（页码）</w:t>
      </w: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（2）落实政府采购政策需满足的资格要求………………………………（页码）</w:t>
      </w: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（3）本项目的特定资格要求………………………………………………（页码）</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br w:type="page"/>
      </w:r>
      <w:r>
        <w:rPr>
          <w:rFonts w:hint="eastAsia" w:ascii="宋体" w:hAnsi="宋体" w:cs="宋体"/>
          <w:b/>
          <w:color w:val="000000" w:themeColor="text1"/>
          <w:kern w:val="0"/>
          <w:sz w:val="32"/>
          <w:szCs w:val="32"/>
          <w:highlight w:val="none"/>
          <w14:textFill>
            <w14:solidFill>
              <w14:schemeClr w14:val="tx1"/>
            </w14:solidFill>
          </w14:textFill>
        </w:rPr>
        <w:t xml:space="preserve">  一、 符合参加政府采购活动应当具备的一般条件的承诺函</w:t>
      </w: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杭州工艺美术博物馆(杭州中国刀剪剑、扇业、伞业博物馆）、浙江泛亚工程咨询有限公司：</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我方参与中国伞博物馆多媒体提升改造项目【项目编号:LFF-202206-42】政府采购活动，郑重承诺：</w:t>
      </w:r>
    </w:p>
    <w:p>
      <w:pPr>
        <w:snapToGrid w:val="0"/>
        <w:spacing w:line="360" w:lineRule="auto"/>
        <w:ind w:firstLine="360" w:firstLineChars="1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（一）具备《中华人民共和国政府采购法》第二十二条第一款规定的条件：</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1、具有独立承担民事责任的能力；</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2、具有良好的商业信誉和健全的财务会计制度； </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3、具有履行合同所必需的设备和专业技术能力；</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4、有依法缴纳税收和社会保障资金的良好记录；</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5、参加政府采购活动前三年内，在经营活动中没有重大违法记录；</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6、具有法律、行政法规规定的其他条件。</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（三）不存在以下情况：</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供应商名称(电子签名)：</w:t>
      </w:r>
    </w:p>
    <w:p>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kern w:val="0"/>
          <w:sz w:val="24"/>
          <w:highlight w:val="none"/>
          <w14:textFill>
            <w14:solidFill>
              <w14:schemeClr w14:val="tx1"/>
            </w14:solidFill>
          </w14:textFill>
        </w:rPr>
        <w:t xml:space="preserve">：  年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w:t>
      </w: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rPr>
          <w:rFonts w:ascii="宋体" w:hAnsi="宋体" w:cs="宋体"/>
          <w:color w:val="000000" w:themeColor="text1"/>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二、落实政府采购政策需满足的资格要求</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 xml:space="preserve">.专门面向中小企业，者服务全部由符合政策要求的中小企业（或小微企业）承接的，提供相应的中小企业声明函（附件5）。 </w:t>
      </w:r>
    </w:p>
    <w:p>
      <w:pPr>
        <w:widowControl/>
        <w:spacing w:line="360" w:lineRule="auto"/>
        <w:ind w:left="150"/>
        <w:jc w:val="center"/>
        <w:rPr>
          <w:rFonts w:ascii="宋体" w:hAnsi="宋体" w:cs="宋体"/>
          <w:b/>
          <w:color w:val="000000" w:themeColor="text1"/>
          <w:kern w:val="0"/>
          <w:sz w:val="32"/>
          <w:szCs w:val="32"/>
          <w:highlight w:val="none"/>
          <w14:textFill>
            <w14:solidFill>
              <w14:schemeClr w14:val="tx1"/>
            </w14:solidFill>
          </w14:textFill>
        </w:rPr>
      </w:pPr>
    </w:p>
    <w:p>
      <w:pPr>
        <w:widowControl/>
        <w:spacing w:line="360" w:lineRule="auto"/>
        <w:ind w:left="150"/>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三、本项目的特定资格要求</w:t>
      </w:r>
    </w:p>
    <w:p>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（根据招标公告本项目的特定资格要求提供相应的材料；未要求的，无需提供）</w:t>
      </w:r>
    </w:p>
    <w:p>
      <w:pPr>
        <w:rPr>
          <w:rFonts w:ascii="宋体" w:hAnsi="宋体" w:cs="宋体"/>
          <w:color w:val="000000" w:themeColor="text1"/>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p>
    <w:p>
      <w:pPr>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br w:type="page"/>
      </w:r>
    </w:p>
    <w:p>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商务技术文件部分</w:t>
      </w:r>
    </w:p>
    <w:p>
      <w:pPr>
        <w:spacing w:line="360" w:lineRule="auto"/>
        <w:jc w:val="center"/>
        <w:outlineLvl w:val="0"/>
        <w:rPr>
          <w:rFonts w:ascii="宋体" w:hAnsi="宋体" w:cs="宋体"/>
          <w:b/>
          <w:color w:val="000000" w:themeColor="text1"/>
          <w:kern w:val="0"/>
          <w:sz w:val="24"/>
          <w:highlight w:val="none"/>
          <w14:textFill>
            <w14:solidFill>
              <w14:schemeClr w14:val="tx1"/>
            </w14:solidFill>
          </w14:textFill>
        </w:rPr>
      </w:pPr>
    </w:p>
    <w:p>
      <w:pPr>
        <w:spacing w:line="360" w:lineRule="auto"/>
        <w:jc w:val="center"/>
        <w:outlineLvl w:val="0"/>
        <w:rPr>
          <w:rFonts w:ascii="宋体" w:hAnsi="宋体" w:cs="宋体"/>
          <w:b/>
          <w:color w:val="000000" w:themeColor="text1"/>
          <w:kern w:val="0"/>
          <w:sz w:val="28"/>
          <w:szCs w:val="28"/>
          <w:highlight w:val="none"/>
          <w14:textFill>
            <w14:solidFill>
              <w14:schemeClr w14:val="tx1"/>
            </w14:solidFill>
          </w14:textFill>
        </w:rPr>
      </w:pPr>
      <w:r>
        <w:rPr>
          <w:rFonts w:hint="eastAsia" w:ascii="宋体" w:hAnsi="宋体" w:cs="宋体"/>
          <w:b/>
          <w:color w:val="000000" w:themeColor="text1"/>
          <w:kern w:val="0"/>
          <w:sz w:val="28"/>
          <w:szCs w:val="28"/>
          <w:highlight w:val="none"/>
          <w14:textFill>
            <w14:solidFill>
              <w14:schemeClr w14:val="tx1"/>
            </w14:solidFill>
          </w14:textFill>
        </w:rPr>
        <w:t>目录</w:t>
      </w:r>
    </w:p>
    <w:p>
      <w:pPr>
        <w:snapToGrid w:val="0"/>
        <w:spacing w:line="360" w:lineRule="auto"/>
        <w:ind w:left="479" w:leftChars="228"/>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（1）投标函………………………………………………………………………（页码）</w:t>
      </w:r>
    </w:p>
    <w:p>
      <w:pPr>
        <w:snapToGrid w:val="0"/>
        <w:spacing w:line="360" w:lineRule="auto"/>
        <w:ind w:left="479" w:leftChars="228"/>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（2）授权委托书或法定代表人（单位负责人、自然人本人）身份证明……（页码）</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）符合性审查资料……………………………………………………………（页码）</w:t>
      </w:r>
    </w:p>
    <w:p>
      <w:pPr>
        <w:snapToGrid w:val="0"/>
        <w:spacing w:line="360" w:lineRule="auto"/>
        <w:ind w:left="479" w:leftChars="228"/>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）评标标准相应的商务技术资料……………………………………………（页码）</w:t>
      </w:r>
    </w:p>
    <w:p>
      <w:pPr>
        <w:snapToGrid w:val="0"/>
        <w:spacing w:line="360" w:lineRule="auto"/>
        <w:ind w:left="479" w:leftChars="228"/>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）投标标的清单………………………………………………………………（页码）</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（6）专门面向中小企业采购产品标的清单；…………………………………（页码）</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（7）商务技术偏离表……………………………………………………………（页码）</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（8）政府采购供应商廉洁自律承诺书…………………………………………（页码）</w:t>
      </w:r>
    </w:p>
    <w:p>
      <w:pP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outlineLvl w:val="0"/>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ascii="宋体" w:hAnsi="宋体" w:cs="宋体"/>
          <w:b/>
          <w:color w:val="000000" w:themeColor="text1"/>
          <w:kern w:val="0"/>
          <w:sz w:val="32"/>
          <w:szCs w:val="32"/>
          <w:highlight w:val="none"/>
          <w14:textFill>
            <w14:solidFill>
              <w14:schemeClr w14:val="tx1"/>
            </w14:solidFill>
          </w14:textFill>
        </w:rPr>
      </w:pPr>
    </w:p>
    <w:p>
      <w:pPr>
        <w:rPr>
          <w:rFonts w:ascii="宋体" w:hAnsi="宋体" w:cs="宋体"/>
          <w:color w:val="000000" w:themeColor="text1"/>
          <w:highlight w:val="none"/>
          <w14:textFill>
            <w14:solidFill>
              <w14:schemeClr w14:val="tx1"/>
            </w14:solidFill>
          </w14:textFill>
        </w:rPr>
      </w:pPr>
    </w:p>
    <w:p>
      <w:pPr>
        <w:snapToGrid w:val="0"/>
        <w:spacing w:line="360" w:lineRule="auto"/>
        <w:jc w:val="center"/>
        <w:outlineLvl w:val="0"/>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jc w:val="center"/>
        <w:outlineLvl w:val="0"/>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一、投标</w:t>
      </w:r>
      <w:r>
        <w:rPr>
          <w:rFonts w:hint="eastAsia" w:ascii="宋体" w:hAnsi="宋体" w:cs="宋体"/>
          <w:b/>
          <w:color w:val="000000" w:themeColor="text1"/>
          <w:sz w:val="32"/>
          <w:szCs w:val="32"/>
          <w:highlight w:val="none"/>
          <w14:textFill>
            <w14:solidFill>
              <w14:schemeClr w14:val="tx1"/>
            </w14:solidFill>
          </w14:textFill>
        </w:rPr>
        <w:t>函</w:t>
      </w: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杭州工艺美术博物馆(杭州中国刀剪剑、扇业、伞业博物馆）、浙江泛亚工程咨询有限公司：</w:t>
      </w:r>
    </w:p>
    <w:p>
      <w:pPr>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我方参加你方组织的中国伞博物馆多媒体提升改造项目【编</w:t>
      </w:r>
      <w:r>
        <w:rPr>
          <w:rFonts w:hint="eastAsia" w:ascii="宋体" w:hAnsi="宋体" w:cs="宋体"/>
          <w:color w:val="000000" w:themeColor="text1"/>
          <w:sz w:val="24"/>
          <w:highlight w:val="none"/>
          <w:lang w:eastAsia="zh-CN"/>
          <w14:textFill>
            <w14:solidFill>
              <w14:schemeClr w14:val="tx1"/>
            </w14:solidFill>
          </w14:textFill>
        </w:rPr>
        <w:t>号</w:t>
      </w:r>
      <w:r>
        <w:rPr>
          <w:rFonts w:hint="eastAsia" w:ascii="宋体" w:hAnsi="宋体" w:cs="宋体"/>
          <w:color w:val="000000" w:themeColor="text1"/>
          <w:sz w:val="24"/>
          <w:highlight w:val="none"/>
          <w14:textFill>
            <w14:solidFill>
              <w14:schemeClr w14:val="tx1"/>
            </w14:solidFill>
          </w14:textFill>
        </w:rPr>
        <w:t>:LFF-202206-42】招标的有关活动，并对此项目进行投标。为此：</w:t>
      </w:r>
    </w:p>
    <w:p>
      <w:pPr>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1、我方承诺投标有效期从提交采购文件的截止之日起</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val="en-US" w:eastAsia="zh-CN"/>
          <w14:textFill>
            <w14:solidFill>
              <w14:schemeClr w14:val="tx1"/>
            </w14:solidFill>
          </w14:textFill>
        </w:rPr>
        <w:t>90</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天（不少于90天）</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本采购文件在投标有效期满之前均具有约束力。</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2、我方的采购文件包括以下内容：</w:t>
      </w:r>
    </w:p>
    <w:p>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2.1资格文件：</w:t>
      </w:r>
    </w:p>
    <w:p>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2.1.1承诺函；</w:t>
      </w:r>
    </w:p>
    <w:p>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2.1.2落实政府采购政策需满足的资格要求（如果有）；</w:t>
      </w:r>
    </w:p>
    <w:p>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2.1.3本项目的特定资格要求（如果有）。</w:t>
      </w:r>
    </w:p>
    <w:p>
      <w:pPr>
        <w:snapToGrid w:val="0"/>
        <w:spacing w:line="360" w:lineRule="auto"/>
        <w:ind w:left="210" w:leftChars="100"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商务技术</w:t>
      </w:r>
      <w:r>
        <w:rPr>
          <w:rFonts w:hint="eastAsia" w:ascii="宋体" w:hAnsi="宋体" w:cs="宋体"/>
          <w:color w:val="000000" w:themeColor="text1"/>
          <w:sz w:val="24"/>
          <w:highlight w:val="none"/>
          <w:lang w:val="zh-CN"/>
          <w14:textFill>
            <w14:solidFill>
              <w14:schemeClr w14:val="tx1"/>
            </w14:solidFill>
          </w14:textFill>
        </w:rPr>
        <w:t>文件：</w:t>
      </w:r>
    </w:p>
    <w:p>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2.2.1投标函；</w:t>
      </w:r>
      <w:r>
        <w:rPr>
          <w:rFonts w:hint="eastAsia" w:ascii="宋体" w:hAnsi="宋体" w:cs="宋体"/>
          <w:color w:val="000000" w:themeColor="text1"/>
          <w:sz w:val="24"/>
          <w:highlight w:val="none"/>
          <w:lang w:val="zh-CN"/>
          <w14:textFill>
            <w14:solidFill>
              <w14:schemeClr w14:val="tx1"/>
            </w14:solidFill>
          </w14:textFill>
        </w:rPr>
        <w:t xml:space="preserve"> </w:t>
      </w:r>
    </w:p>
    <w:p>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2.2.2授权委托书或法定代表人（单位负责人）身份证明；</w:t>
      </w:r>
    </w:p>
    <w:p>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2.2.3符合性审查资料；</w:t>
      </w:r>
    </w:p>
    <w:p>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2.2.4评标标准相应的商务技术资料；</w:t>
      </w:r>
    </w:p>
    <w:p>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2.2.5商务技术偏离表；</w:t>
      </w:r>
    </w:p>
    <w:p>
      <w:pPr>
        <w:snapToGrid w:val="0"/>
        <w:spacing w:line="360" w:lineRule="auto"/>
        <w:ind w:left="420" w:leftChars="200"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6</w:t>
      </w:r>
      <w:r>
        <w:rPr>
          <w:rFonts w:hint="eastAsia" w:ascii="宋体" w:hAnsi="宋体" w:cs="宋体"/>
          <w:color w:val="000000" w:themeColor="text1"/>
          <w:sz w:val="24"/>
          <w:highlight w:val="none"/>
          <w:lang w:val="zh-CN"/>
          <w14:textFill>
            <w14:solidFill>
              <w14:schemeClr w14:val="tx1"/>
            </w14:solidFill>
          </w14:textFill>
        </w:rPr>
        <w:t>政府采购供应商廉洁自律承诺书；</w:t>
      </w:r>
    </w:p>
    <w:p>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3报价文件</w:t>
      </w:r>
    </w:p>
    <w:p>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2.3.1开标一览表（报价表）；</w:t>
      </w:r>
    </w:p>
    <w:p>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2.3.2中小企业声明函。</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3、我方承诺除商务技术偏离表列出的偏离外，我方响应采购文件的全部要求。</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4、如我方中标，我方承诺：</w:t>
      </w:r>
    </w:p>
    <w:p>
      <w:pPr>
        <w:snapToGrid w:val="0"/>
        <w:spacing w:line="360" w:lineRule="auto"/>
        <w:ind w:left="210" w:leftChars="100"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4.2在签订合同时不向你方提出附加条件； </w:t>
      </w:r>
    </w:p>
    <w:p>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4.3按照采购文件要求提交履约保证金； </w:t>
      </w:r>
    </w:p>
    <w:p>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4.4在合同约定的期限内完成合同规定的全部义务。 </w:t>
      </w:r>
    </w:p>
    <w:p>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5、其他补充说明:</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p>
    <w:p>
      <w:pPr>
        <w:spacing w:line="360" w:lineRule="auto"/>
        <w:ind w:firstLine="3600" w:firstLineChars="1500"/>
        <w:rPr>
          <w:rFonts w:ascii="宋体" w:hAnsi="宋体" w:cs="宋体"/>
          <w:color w:val="000000" w:themeColor="text1"/>
          <w:sz w:val="24"/>
          <w:highlight w:val="none"/>
          <w14:textFill>
            <w14:solidFill>
              <w14:schemeClr w14:val="tx1"/>
            </w14:solidFill>
          </w14:textFill>
        </w:rPr>
      </w:pPr>
    </w:p>
    <w:p>
      <w:pPr>
        <w:spacing w:line="360" w:lineRule="auto"/>
        <w:ind w:firstLine="3600" w:firstLineChars="15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供应商名称（电子签名）：                          </w:t>
      </w:r>
    </w:p>
    <w:p>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日期：  年   月   日</w:t>
      </w:r>
    </w:p>
    <w:p>
      <w:pPr>
        <w:snapToGrid w:val="0"/>
        <w:spacing w:line="360" w:lineRule="auto"/>
        <w:ind w:left="420" w:leftChars="200" w:firstLine="4200" w:firstLineChars="1750"/>
        <w:rPr>
          <w:rFonts w:ascii="宋体" w:hAnsi="宋体" w:cs="宋体"/>
          <w:color w:val="000000" w:themeColor="text1"/>
          <w:kern w:val="0"/>
          <w:sz w:val="24"/>
          <w:highlight w:val="none"/>
          <w:u w:val="single"/>
          <w14:textFill>
            <w14:solidFill>
              <w14:schemeClr w14:val="tx1"/>
            </w14:solidFill>
          </w14:textFill>
        </w:rPr>
      </w:pPr>
    </w:p>
    <w:p>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pPr>
        <w:snapToGrid w:val="0"/>
        <w:spacing w:line="360" w:lineRule="auto"/>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rPr>
          <w:rFonts w:ascii="宋体" w:hAnsi="宋体" w:cs="宋体"/>
          <w:color w:val="000000" w:themeColor="text1"/>
          <w:sz w:val="24"/>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br w:type="page"/>
      </w:r>
    </w:p>
    <w:p>
      <w:pPr>
        <w:jc w:val="center"/>
        <w:rPr>
          <w:rFonts w:ascii="宋体" w:hAnsi="宋体" w:cs="宋体"/>
          <w:b/>
          <w:color w:val="000000" w:themeColor="text1"/>
          <w:kern w:val="0"/>
          <w:sz w:val="32"/>
          <w:szCs w:val="32"/>
          <w:highlight w:val="none"/>
          <w:lang w:val="zh-CN"/>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二、授权委托书或法定代表人（单位负责人、自然人本人）身份证明</w:t>
      </w: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pPr>
        <w:snapToGrid w:val="0"/>
        <w:spacing w:line="360" w:lineRule="auto"/>
        <w:ind w:firstLine="2872" w:firstLineChars="894"/>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授权委托书（适用于非联合体投标）</w:t>
      </w:r>
      <w:r>
        <w:rPr>
          <w:rFonts w:hint="eastAsia" w:ascii="宋体" w:hAnsi="宋体" w:cs="宋体"/>
          <w:color w:val="000000" w:themeColor="text1"/>
          <w:highlight w:val="none"/>
          <w14:textFill>
            <w14:solidFill>
              <w14:schemeClr w14:val="tx1"/>
            </w14:solidFill>
          </w14:textFill>
        </w:rPr>
        <w:t xml:space="preserve">                               </w:t>
      </w:r>
    </w:p>
    <w:p>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杭州工艺美术博物馆(杭州中国刀剪剑、扇业、伞业博物馆）、浙江泛亚工程咨询有限公司</w:t>
      </w:r>
      <w:r>
        <w:rPr>
          <w:rFonts w:hint="eastAsia" w:ascii="宋体" w:hAnsi="宋体" w:cs="宋体"/>
          <w:color w:val="000000" w:themeColor="text1"/>
          <w:kern w:val="0"/>
          <w:sz w:val="24"/>
          <w:highlight w:val="none"/>
          <w:lang w:val="zh-CN"/>
          <w14:textFill>
            <w14:solidFill>
              <w14:schemeClr w14:val="tx1"/>
            </w14:solidFill>
          </w14:textFill>
        </w:rPr>
        <w:t>：</w:t>
      </w:r>
    </w:p>
    <w:p>
      <w:pPr>
        <w:snapToGrid w:val="0"/>
        <w:spacing w:line="360" w:lineRule="auto"/>
        <w:ind w:firstLine="576"/>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现</w:t>
      </w:r>
      <w:r>
        <w:rPr>
          <w:rFonts w:hint="eastAsia" w:ascii="宋体" w:hAnsi="宋体" w:cs="宋体"/>
          <w:color w:val="000000" w:themeColor="text1"/>
          <w:kern w:val="0"/>
          <w:sz w:val="24"/>
          <w:highlight w:val="none"/>
          <w:lang w:val="zh-CN"/>
          <w14:textFill>
            <w14:solidFill>
              <w14:schemeClr w14:val="tx1"/>
            </w14:solidFill>
          </w14:textFill>
        </w:rPr>
        <w:t>委托</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（姓名）为我方代理人（身份证号码：</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，手机：</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），以我方名义处理</w:t>
      </w:r>
      <w:r>
        <w:rPr>
          <w:rFonts w:hint="eastAsia" w:ascii="宋体" w:hAnsi="宋体" w:cs="宋体"/>
          <w:color w:val="000000" w:themeColor="text1"/>
          <w:sz w:val="24"/>
          <w:highlight w:val="none"/>
          <w14:textFill>
            <w14:solidFill>
              <w14:schemeClr w14:val="tx1"/>
            </w14:solidFill>
          </w14:textFill>
        </w:rPr>
        <w:t>中国伞博物馆多媒体提升改造项目【项目编号:LFF-202206-42】</w:t>
      </w:r>
      <w:r>
        <w:rPr>
          <w:rFonts w:hint="eastAsia" w:ascii="宋体" w:hAnsi="宋体" w:cs="宋体"/>
          <w:color w:val="000000" w:themeColor="text1"/>
          <w:kern w:val="0"/>
          <w:sz w:val="24"/>
          <w:highlight w:val="none"/>
          <w:lang w:val="zh-CN"/>
          <w14:textFill>
            <w14:solidFill>
              <w14:schemeClr w14:val="tx1"/>
            </w14:solidFill>
          </w14:textFill>
        </w:rPr>
        <w:t>政府采购投标的一切事项，其法律后果由我方承担。</w:t>
      </w:r>
    </w:p>
    <w:p>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委托期限</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自</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日起至</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日止。</w:t>
      </w:r>
    </w:p>
    <w:p>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特此告知。</w:t>
      </w:r>
    </w:p>
    <w:p>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供应商名称(电子签名)：</w:t>
      </w:r>
    </w:p>
    <w:p>
      <w:pPr>
        <w:snapToGrid w:val="0"/>
        <w:spacing w:line="360" w:lineRule="auto"/>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签发日期：  年  月   日</w:t>
      </w:r>
    </w:p>
    <w:p>
      <w:pPr>
        <w:snapToGrid w:val="0"/>
        <w:spacing w:line="360" w:lineRule="auto"/>
        <w:rPr>
          <w:rFonts w:ascii="宋体" w:hAnsi="宋体" w:cs="宋体"/>
          <w:color w:val="000000" w:themeColor="text1"/>
          <w:sz w:val="24"/>
          <w:highlight w:val="none"/>
          <w14:textFill>
            <w14:solidFill>
              <w14:schemeClr w14:val="tx1"/>
            </w14:solidFill>
          </w14:textFill>
        </w:rPr>
      </w:pPr>
    </w:p>
    <w:p>
      <w:pPr>
        <w:snapToGrid w:val="0"/>
        <w:spacing w:line="360" w:lineRule="auto"/>
        <w:rPr>
          <w:rFonts w:ascii="宋体" w:hAnsi="宋体" w:cs="宋体"/>
          <w:color w:val="000000" w:themeColor="text1"/>
          <w:sz w:val="24"/>
          <w:highlight w:val="none"/>
          <w14:textFill>
            <w14:solidFill>
              <w14:schemeClr w14:val="tx1"/>
            </w14:solidFill>
          </w14:textFill>
        </w:rPr>
      </w:pPr>
    </w:p>
    <w:p>
      <w:pPr>
        <w:rPr>
          <w:rFonts w:ascii="宋体" w:hAnsi="宋体" w:cs="宋体"/>
          <w:b/>
          <w:color w:val="000000" w:themeColor="text1"/>
          <w:kern w:val="0"/>
          <w:sz w:val="32"/>
          <w:szCs w:val="32"/>
          <w:highlight w:val="none"/>
          <w:lang w:val="zh-CN"/>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br w:type="page"/>
      </w:r>
    </w:p>
    <w:p>
      <w:pPr>
        <w:autoSpaceDE w:val="0"/>
        <w:autoSpaceDN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法定代表人、单位负责人或自然人本人</w:t>
      </w:r>
      <w:r>
        <w:rPr>
          <w:rFonts w:hint="eastAsia" w:ascii="宋体" w:hAnsi="宋体" w:cs="宋体"/>
          <w:b/>
          <w:color w:val="000000" w:themeColor="text1"/>
          <w:sz w:val="30"/>
          <w:szCs w:val="30"/>
          <w:highlight w:val="none"/>
          <w14:textFill>
            <w14:solidFill>
              <w14:schemeClr w14:val="tx1"/>
            </w14:solidFill>
          </w14:textFill>
        </w:rPr>
        <w:t>的身份证明（适用于法定代表人、单位负责人或者自然人本人代表供应商参加投标）</w:t>
      </w:r>
    </w:p>
    <w:p>
      <w:pPr>
        <w:pStyle w:val="149"/>
        <w:spacing w:line="360" w:lineRule="auto"/>
        <w:rPr>
          <w:rFonts w:hAnsi="宋体" w:cs="宋体"/>
          <w:bCs/>
          <w:color w:val="000000" w:themeColor="text1"/>
          <w:sz w:val="24"/>
          <w:highlight w:val="none"/>
          <w14:textFill>
            <w14:solidFill>
              <w14:schemeClr w14:val="tx1"/>
            </w14:solidFill>
          </w14:textFill>
        </w:rPr>
      </w:pPr>
      <w:r>
        <w:rPr>
          <w:rFonts w:hint="eastAsia" w:hAnsi="宋体" w:cs="宋体"/>
          <w:bCs/>
          <w:color w:val="000000" w:themeColor="text1"/>
          <w:sz w:val="24"/>
          <w:highlight w:val="none"/>
          <w14:textFill>
            <w14:solidFill>
              <w14:schemeClr w14:val="tx1"/>
            </w14:solidFill>
          </w14:textFill>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9"/>
              <w:adjustRightInd w:val="0"/>
              <w:spacing w:line="360" w:lineRule="auto"/>
              <w:rPr>
                <w:rFonts w:hAnsi="宋体" w:cs="宋体"/>
                <w:bCs/>
                <w:color w:val="000000" w:themeColor="text1"/>
                <w:sz w:val="24"/>
                <w:highlight w:val="none"/>
                <w14:textFill>
                  <w14:solidFill>
                    <w14:schemeClr w14:val="tx1"/>
                  </w14:solidFill>
                </w14:textFill>
              </w:rPr>
            </w:pPr>
            <w:r>
              <w:rPr>
                <w:rFonts w:hint="eastAsia" w:hAnsi="宋体" w:cs="宋体"/>
                <w:bCs/>
                <w:color w:val="000000" w:themeColor="text1"/>
                <w:sz w:val="24"/>
                <w:highlight w:val="none"/>
                <w14:textFill>
                  <w14:solidFill>
                    <w14:schemeClr w14:val="tx1"/>
                  </w14:solidFill>
                </w14:textFill>
              </w:rPr>
              <w:t>正面：                                 反面：</w:t>
            </w:r>
          </w:p>
          <w:p>
            <w:pPr>
              <w:pStyle w:val="149"/>
              <w:adjustRightInd w:val="0"/>
              <w:spacing w:line="360" w:lineRule="auto"/>
              <w:rPr>
                <w:rFonts w:hAnsi="宋体" w:cs="宋体"/>
                <w:bCs/>
                <w:color w:val="000000" w:themeColor="text1"/>
                <w:sz w:val="24"/>
                <w:highlight w:val="none"/>
                <w14:textFill>
                  <w14:solidFill>
                    <w14:schemeClr w14:val="tx1"/>
                  </w14:solidFill>
                </w14:textFill>
              </w:rPr>
            </w:pPr>
          </w:p>
        </w:tc>
      </w:tr>
    </w:tbl>
    <w:p>
      <w:pPr>
        <w:snapToGrid w:val="0"/>
        <w:spacing w:line="360" w:lineRule="auto"/>
        <w:ind w:firstLine="576"/>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w:t>
      </w:r>
    </w:p>
    <w:p>
      <w:pPr>
        <w:snapToGrid w:val="0"/>
        <w:spacing w:line="360" w:lineRule="auto"/>
        <w:ind w:firstLine="576"/>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供应商名称(电子签名)：                              </w:t>
      </w:r>
    </w:p>
    <w:p>
      <w:pPr>
        <w:spacing w:line="360" w:lineRule="auto"/>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rPr>
          <w:rFonts w:ascii="宋体" w:hAnsi="宋体" w:cs="宋体"/>
          <w:color w:val="000000" w:themeColor="text1"/>
          <w:kern w:val="0"/>
          <w:sz w:val="24"/>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三、符合性审查资料</w:t>
      </w:r>
    </w:p>
    <w:p>
      <w:pPr>
        <w:jc w:val="center"/>
        <w:rPr>
          <w:rFonts w:ascii="宋体" w:hAnsi="宋体" w:cs="宋体"/>
          <w:b/>
          <w:color w:val="000000" w:themeColor="text1"/>
          <w:kern w:val="0"/>
          <w:sz w:val="32"/>
          <w:szCs w:val="32"/>
          <w:highlight w:val="none"/>
          <w14:textFill>
            <w14:solidFill>
              <w14:schemeClr w14:val="tx1"/>
            </w14:solidFill>
          </w14:textFill>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4991" w:type="dxa"/>
            <w:vAlign w:val="center"/>
          </w:tcPr>
          <w:p>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实质性要求</w:t>
            </w:r>
          </w:p>
        </w:tc>
        <w:tc>
          <w:tcPr>
            <w:tcW w:w="2551" w:type="dxa"/>
            <w:vAlign w:val="center"/>
          </w:tcPr>
          <w:p>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需要提供的符合性审查资料</w:t>
            </w:r>
          </w:p>
        </w:tc>
        <w:tc>
          <w:tcPr>
            <w:tcW w:w="1418" w:type="dxa"/>
            <w:vAlign w:val="center"/>
          </w:tcPr>
          <w:p>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投标文件中的</w:t>
            </w:r>
          </w:p>
          <w:p>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4991" w:type="dxa"/>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投标文件按照招标文件要求签署、盖章。</w:t>
            </w:r>
          </w:p>
        </w:tc>
        <w:tc>
          <w:tcPr>
            <w:tcW w:w="2551" w:type="dxa"/>
            <w:vAlign w:val="center"/>
          </w:tcPr>
          <w:p>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需要使用电子签名或者签字盖章的投标文件的组成部分</w:t>
            </w:r>
          </w:p>
        </w:tc>
        <w:tc>
          <w:tcPr>
            <w:tcW w:w="1418" w:type="dxa"/>
          </w:tcPr>
          <w:p>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见投标文件</w:t>
            </w:r>
          </w:p>
          <w:p>
            <w:pP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4991" w:type="dxa"/>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本项目拟采购的部分产品属于政府强制采购的节能产品品目清单范围的，提供国家确定的认证机构出具的、处于有效期之内的节能产品认证证书。</w:t>
            </w:r>
          </w:p>
        </w:tc>
        <w:tc>
          <w:tcPr>
            <w:tcW w:w="1418" w:type="dxa"/>
          </w:tcPr>
          <w:p>
            <w:pPr>
              <w:rPr>
                <w:rFonts w:ascii="宋体" w:hAnsi="宋体" w:cs="宋体"/>
                <w:color w:val="000000" w:themeColor="text1"/>
                <w:sz w:val="24"/>
                <w:highlight w:val="none"/>
                <w14:textFill>
                  <w14:solidFill>
                    <w14:schemeClr w14:val="tx1"/>
                  </w14:solidFill>
                </w14:textFill>
              </w:rPr>
            </w:pPr>
          </w:p>
          <w:p>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见投标文件</w:t>
            </w:r>
          </w:p>
          <w:p>
            <w:pPr>
              <w:pStyle w:val="6"/>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 xml:space="preserve">第 </w:t>
            </w:r>
            <w:r>
              <w:rPr>
                <w:rFonts w:ascii="宋体" w:hAnsi="宋体" w:eastAsia="宋体" w:cs="宋体"/>
                <w:b w:val="0"/>
                <w:bCs w:val="0"/>
                <w:color w:val="000000" w:themeColor="text1"/>
                <w:sz w:val="24"/>
                <w:szCs w:val="24"/>
                <w:highlight w:val="none"/>
                <w14:textFill>
                  <w14:solidFill>
                    <w14:schemeClr w14:val="tx1"/>
                  </w14:solidFill>
                </w14:textFill>
              </w:rPr>
              <w:t xml:space="preserve"> </w:t>
            </w:r>
            <w:r>
              <w:rPr>
                <w:rFonts w:hint="eastAsia" w:ascii="宋体" w:hAnsi="宋体" w:eastAsia="宋体" w:cs="宋体"/>
                <w:b w:val="0"/>
                <w:bCs w:val="0"/>
                <w:color w:val="000000" w:themeColor="text1"/>
                <w:sz w:val="24"/>
                <w:szCs w:val="24"/>
                <w:highlight w:val="none"/>
                <w14:textFill>
                  <w14:solidFill>
                    <w14:schemeClr w14:val="tx1"/>
                  </w14:solidFill>
                </w14:textFill>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4991" w:type="dxa"/>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投标文件中承诺的投标有效期不少于招标文件中载明的投标有效期。</w:t>
            </w:r>
          </w:p>
        </w:tc>
        <w:tc>
          <w:tcPr>
            <w:tcW w:w="2551" w:type="dxa"/>
            <w:vAlign w:val="center"/>
          </w:tcPr>
          <w:p>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投标函</w:t>
            </w:r>
          </w:p>
        </w:tc>
        <w:tc>
          <w:tcPr>
            <w:tcW w:w="1418" w:type="dxa"/>
          </w:tcPr>
          <w:p>
            <w:pP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p>
        </w:tc>
        <w:tc>
          <w:tcPr>
            <w:tcW w:w="4991" w:type="dxa"/>
          </w:tcPr>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投标文件满足招标文件的其它实质性要求。</w:t>
            </w:r>
          </w:p>
        </w:tc>
        <w:tc>
          <w:tcPr>
            <w:tcW w:w="2551" w:type="dxa"/>
            <w:vAlign w:val="center"/>
          </w:tcPr>
          <w:p>
            <w:pP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招标文件其它实质性要求相应的材料（“▲” 系指实质性要求条款）。</w:t>
            </w:r>
          </w:p>
          <w:p>
            <w:pP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要求根据招标文件及技术规格书中的实质性要求条款逐条响应。</w:t>
            </w:r>
          </w:p>
          <w:p>
            <w:pPr>
              <w:pStyle w:val="18"/>
              <w:ind w:firstLine="0"/>
              <w:rPr>
                <w:color w:val="000000" w:themeColor="text1"/>
                <w:highlight w:val="none"/>
                <w14:textFill>
                  <w14:solidFill>
                    <w14:schemeClr w14:val="tx1"/>
                  </w14:solidFill>
                </w14:textFill>
              </w:rPr>
            </w:pPr>
            <w:r>
              <w:rPr>
                <w:rFonts w:hint="eastAsia" w:hAnsi="宋体" w:cs="宋体"/>
                <w:color w:val="000000" w:themeColor="text1"/>
                <w:kern w:val="0"/>
                <w:sz w:val="24"/>
                <w:szCs w:val="24"/>
                <w:highlight w:val="none"/>
                <w14:textFill>
                  <w14:solidFill>
                    <w14:schemeClr w14:val="tx1"/>
                  </w14:solidFill>
                </w14:textFill>
              </w:rPr>
              <w:t>由于相关条款较多，请提供“实质性要求条款响应表”。</w:t>
            </w:r>
          </w:p>
        </w:tc>
        <w:tc>
          <w:tcPr>
            <w:tcW w:w="1418" w:type="dxa"/>
          </w:tcPr>
          <w:p>
            <w:pP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见投标文件第页</w:t>
            </w:r>
          </w:p>
        </w:tc>
      </w:tr>
    </w:tbl>
    <w:p>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pPr>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附：实质性要求条款响应表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序号</w:t>
            </w:r>
          </w:p>
        </w:tc>
        <w:tc>
          <w:tcPr>
            <w:tcW w:w="3683" w:type="dxa"/>
          </w:tcPr>
          <w:p>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招标文件章节及具体内容</w:t>
            </w:r>
          </w:p>
        </w:tc>
        <w:tc>
          <w:tcPr>
            <w:tcW w:w="3546" w:type="dxa"/>
          </w:tcPr>
          <w:p>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投标文件章节及具体内容</w:t>
            </w:r>
          </w:p>
        </w:tc>
        <w:tc>
          <w:tcPr>
            <w:tcW w:w="1276" w:type="dxa"/>
          </w:tcPr>
          <w:p>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响应说明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p>
        </w:tc>
        <w:tc>
          <w:tcPr>
            <w:tcW w:w="3683" w:type="dxa"/>
          </w:tcPr>
          <w:p>
            <w:pPr>
              <w:jc w:val="center"/>
              <w:rPr>
                <w:rFonts w:ascii="宋体" w:hAnsi="宋体" w:cs="宋体"/>
                <w:b/>
                <w:color w:val="000000" w:themeColor="text1"/>
                <w:kern w:val="0"/>
                <w:sz w:val="32"/>
                <w:szCs w:val="32"/>
                <w:highlight w:val="none"/>
                <w14:textFill>
                  <w14:solidFill>
                    <w14:schemeClr w14:val="tx1"/>
                  </w14:solidFill>
                </w14:textFill>
              </w:rPr>
            </w:pPr>
          </w:p>
        </w:tc>
        <w:tc>
          <w:tcPr>
            <w:tcW w:w="3546" w:type="dxa"/>
          </w:tcPr>
          <w:p>
            <w:pPr>
              <w:jc w:val="center"/>
              <w:rPr>
                <w:rFonts w:ascii="宋体" w:hAnsi="宋体" w:cs="宋体"/>
                <w:b/>
                <w:color w:val="000000" w:themeColor="text1"/>
                <w:kern w:val="0"/>
                <w:sz w:val="32"/>
                <w:szCs w:val="32"/>
                <w:highlight w:val="none"/>
                <w14:textFill>
                  <w14:solidFill>
                    <w14:schemeClr w14:val="tx1"/>
                  </w14:solidFill>
                </w14:textFill>
              </w:rPr>
            </w:pPr>
          </w:p>
        </w:tc>
        <w:tc>
          <w:tcPr>
            <w:tcW w:w="1276" w:type="dxa"/>
          </w:tcPr>
          <w:p>
            <w:pPr>
              <w:jc w:val="center"/>
              <w:rPr>
                <w:rFonts w:ascii="宋体" w:hAnsi="宋体" w:cs="宋体"/>
                <w:b/>
                <w:color w:val="000000" w:themeColor="text1"/>
                <w:kern w:val="0"/>
                <w:sz w:val="32"/>
                <w:szCs w:val="3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3683" w:type="dxa"/>
          </w:tcPr>
          <w:p>
            <w:pPr>
              <w:jc w:val="center"/>
              <w:rPr>
                <w:rFonts w:ascii="宋体" w:hAnsi="宋体" w:cs="宋体"/>
                <w:b/>
                <w:color w:val="000000" w:themeColor="text1"/>
                <w:kern w:val="0"/>
                <w:sz w:val="32"/>
                <w:szCs w:val="32"/>
                <w:highlight w:val="none"/>
                <w14:textFill>
                  <w14:solidFill>
                    <w14:schemeClr w14:val="tx1"/>
                  </w14:solidFill>
                </w14:textFill>
              </w:rPr>
            </w:pPr>
          </w:p>
        </w:tc>
        <w:tc>
          <w:tcPr>
            <w:tcW w:w="3546" w:type="dxa"/>
          </w:tcPr>
          <w:p>
            <w:pPr>
              <w:jc w:val="center"/>
              <w:rPr>
                <w:rFonts w:ascii="宋体" w:hAnsi="宋体" w:cs="宋体"/>
                <w:b/>
                <w:color w:val="000000" w:themeColor="text1"/>
                <w:kern w:val="0"/>
                <w:sz w:val="32"/>
                <w:szCs w:val="32"/>
                <w:highlight w:val="none"/>
                <w14:textFill>
                  <w14:solidFill>
                    <w14:schemeClr w14:val="tx1"/>
                  </w14:solidFill>
                </w14:textFill>
              </w:rPr>
            </w:pPr>
          </w:p>
        </w:tc>
        <w:tc>
          <w:tcPr>
            <w:tcW w:w="1276" w:type="dxa"/>
          </w:tcPr>
          <w:p>
            <w:pPr>
              <w:jc w:val="center"/>
              <w:rPr>
                <w:rFonts w:ascii="宋体" w:hAnsi="宋体" w:cs="宋体"/>
                <w:b/>
                <w:color w:val="000000" w:themeColor="text1"/>
                <w:kern w:val="0"/>
                <w:sz w:val="32"/>
                <w:szCs w:val="3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w:t>
            </w:r>
          </w:p>
        </w:tc>
        <w:tc>
          <w:tcPr>
            <w:tcW w:w="3683" w:type="dxa"/>
          </w:tcPr>
          <w:p>
            <w:pPr>
              <w:jc w:val="center"/>
              <w:rPr>
                <w:rFonts w:ascii="宋体" w:hAnsi="宋体" w:cs="宋体"/>
                <w:b/>
                <w:color w:val="000000" w:themeColor="text1"/>
                <w:kern w:val="0"/>
                <w:sz w:val="32"/>
                <w:szCs w:val="32"/>
                <w:highlight w:val="none"/>
                <w14:textFill>
                  <w14:solidFill>
                    <w14:schemeClr w14:val="tx1"/>
                  </w14:solidFill>
                </w14:textFill>
              </w:rPr>
            </w:pPr>
          </w:p>
        </w:tc>
        <w:tc>
          <w:tcPr>
            <w:tcW w:w="3546" w:type="dxa"/>
          </w:tcPr>
          <w:p>
            <w:pPr>
              <w:jc w:val="center"/>
              <w:rPr>
                <w:rFonts w:ascii="宋体" w:hAnsi="宋体" w:cs="宋体"/>
                <w:b/>
                <w:color w:val="000000" w:themeColor="text1"/>
                <w:kern w:val="0"/>
                <w:sz w:val="32"/>
                <w:szCs w:val="32"/>
                <w:highlight w:val="none"/>
                <w14:textFill>
                  <w14:solidFill>
                    <w14:schemeClr w14:val="tx1"/>
                  </w14:solidFill>
                </w14:textFill>
              </w:rPr>
            </w:pPr>
          </w:p>
        </w:tc>
        <w:tc>
          <w:tcPr>
            <w:tcW w:w="1276" w:type="dxa"/>
          </w:tcPr>
          <w:p>
            <w:pPr>
              <w:jc w:val="center"/>
              <w:rPr>
                <w:rFonts w:ascii="宋体" w:hAnsi="宋体" w:cs="宋体"/>
                <w:b/>
                <w:color w:val="000000" w:themeColor="text1"/>
                <w:kern w:val="0"/>
                <w:sz w:val="32"/>
                <w:szCs w:val="32"/>
                <w:highlight w:val="none"/>
                <w14:textFill>
                  <w14:solidFill>
                    <w14:schemeClr w14:val="tx1"/>
                  </w14:solidFill>
                </w14:textFill>
              </w:rPr>
            </w:pPr>
          </w:p>
        </w:tc>
      </w:tr>
    </w:tbl>
    <w:p>
      <w:pPr>
        <w:jc w:val="left"/>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若招标文件中的实质性要求条款需要提供相关材料的，表后应附材料，否则视为未响应实质性要求条款。</w:t>
      </w: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四、评标标准相应的商务技术资料</w:t>
      </w:r>
    </w:p>
    <w:p>
      <w:pPr>
        <w:snapToGrid w:val="0"/>
        <w:spacing w:line="360" w:lineRule="auto"/>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（按招标文件第四部分评标办法前附表中“投标文件中评标标准相应的商务技术资料目录”提供资料。）</w:t>
      </w: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p>
    <w:p>
      <w:pPr>
        <w:rPr>
          <w:rFonts w:ascii="宋体" w:hAnsi="宋体" w:cs="宋体"/>
          <w:b/>
          <w:color w:val="000000" w:themeColor="text1"/>
          <w:kern w:val="0"/>
          <w:sz w:val="32"/>
          <w:szCs w:val="32"/>
          <w:highlight w:val="none"/>
          <w14:textFill>
            <w14:solidFill>
              <w14:schemeClr w14:val="tx1"/>
            </w14:solidFill>
          </w14:textFill>
        </w:rPr>
      </w:pPr>
    </w:p>
    <w:p>
      <w:pPr>
        <w:ind w:firstLine="2891" w:firstLineChars="900"/>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五、投标标的清单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名称</w:t>
            </w:r>
          </w:p>
        </w:tc>
        <w:tc>
          <w:tcPr>
            <w:tcW w:w="111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品牌、产地（如果有）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数量</w:t>
            </w: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highlight w:val="none"/>
                <w14:textFill>
                  <w14:solidFill>
                    <w14:schemeClr w14:val="tx1"/>
                  </w14:solidFill>
                </w14:textFill>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highlight w:val="none"/>
                <w14:textFill>
                  <w14:solidFill>
                    <w14:schemeClr w14:val="tx1"/>
                  </w14:solidFill>
                </w14:textFill>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highlight w:val="none"/>
                <w14:textFill>
                  <w14:solidFill>
                    <w14:schemeClr w14:val="tx1"/>
                  </w14:solidFill>
                </w14:textFill>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highlight w:val="none"/>
                <w14:textFill>
                  <w14:solidFill>
                    <w14:schemeClr w14:val="tx1"/>
                  </w14:solidFill>
                </w14:textFill>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highlight w:val="none"/>
                <w14:textFill>
                  <w14:solidFill>
                    <w14:schemeClr w14:val="tx1"/>
                  </w14:solidFill>
                </w14:textFill>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highlight w:val="none"/>
                <w14:textFill>
                  <w14:solidFill>
                    <w14:schemeClr w14:val="tx1"/>
                  </w14:solidFill>
                </w14:textFill>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highlight w:val="none"/>
                <w14:textFill>
                  <w14:solidFill>
                    <w14:schemeClr w14:val="tx1"/>
                  </w14:solidFill>
                </w14:textFill>
              </w:rPr>
            </w:pPr>
          </w:p>
        </w:tc>
      </w:tr>
    </w:tbl>
    <w:p>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注：1、按本格式和要求提供。</w:t>
      </w:r>
    </w:p>
    <w:p>
      <w:pPr>
        <w:spacing w:line="360" w:lineRule="auto"/>
        <w:ind w:right="420"/>
        <w:rPr>
          <w:b/>
          <w:bCs/>
          <w:color w:val="000000" w:themeColor="text1"/>
          <w:highlight w:val="none"/>
          <w:u w:val="single"/>
          <w14:textFill>
            <w14:solidFill>
              <w14:schemeClr w14:val="tx1"/>
            </w14:solidFill>
          </w14:textFill>
        </w:rPr>
      </w:pPr>
      <w:r>
        <w:rPr>
          <w:b/>
          <w:bCs/>
          <w:color w:val="000000" w:themeColor="text1"/>
          <w:highlight w:val="none"/>
          <w:u w:val="single"/>
          <w14:textFill>
            <w14:solidFill>
              <w14:schemeClr w14:val="tx1"/>
            </w14:solidFill>
          </w14:textFill>
        </w:rPr>
        <w:t>2</w:t>
      </w:r>
      <w:r>
        <w:rPr>
          <w:rFonts w:hint="eastAsia"/>
          <w:b/>
          <w:bCs/>
          <w:color w:val="000000" w:themeColor="text1"/>
          <w:highlight w:val="none"/>
          <w:u w:val="single"/>
          <w14:textFill>
            <w14:solidFill>
              <w14:schemeClr w14:val="tx1"/>
            </w14:solidFill>
          </w14:textFill>
        </w:rPr>
        <w:t>、▲供应商应对招标文件要求的各类货物的技术要求作出一对一响应性说明，设备清单按照采购文件提供的清单顺序填报，有漏报、少报、顺序混乱的情况将视为无效。</w:t>
      </w:r>
    </w:p>
    <w:p>
      <w:pPr>
        <w:spacing w:line="360" w:lineRule="auto"/>
        <w:ind w:right="420"/>
        <w:rPr>
          <w:b/>
          <w:bCs/>
          <w:color w:val="000000" w:themeColor="text1"/>
          <w:highlight w:val="none"/>
          <w:u w:val="single"/>
          <w14:textFill>
            <w14:solidFill>
              <w14:schemeClr w14:val="tx1"/>
            </w14:solidFill>
          </w14:textFill>
        </w:rPr>
      </w:pPr>
      <w:r>
        <w:rPr>
          <w:rFonts w:hint="eastAsia"/>
          <w:b/>
          <w:bCs/>
          <w:color w:val="000000" w:themeColor="text1"/>
          <w:highlight w:val="none"/>
          <w:u w:val="single"/>
          <w14:textFill>
            <w14:solidFill>
              <w14:schemeClr w14:val="tx1"/>
            </w14:solidFill>
          </w14:textFill>
        </w:rPr>
        <w:t>3、技术规格书中“货物需求一览表”标★条款，除招标文件另有约定外，供应商均应提供设备的相关技术规格说明书或产品样本（包括产品的主要技术、结构、性能、特点用途和质量水平的详细描述）、彩色照片等，否则将视为负偏离。</w:t>
      </w:r>
    </w:p>
    <w:p>
      <w:pPr>
        <w:spacing w:line="360" w:lineRule="auto"/>
        <w:ind w:right="420"/>
        <w:rPr>
          <w:b/>
          <w:bCs/>
          <w:color w:val="000000" w:themeColor="text1"/>
          <w:highlight w:val="none"/>
          <w:u w:val="single"/>
          <w14:textFill>
            <w14:solidFill>
              <w14:schemeClr w14:val="tx1"/>
            </w14:solidFill>
          </w14:textFill>
        </w:rPr>
      </w:pPr>
      <w:r>
        <w:rPr>
          <w:b/>
          <w:bCs/>
          <w:color w:val="000000" w:themeColor="text1"/>
          <w:highlight w:val="none"/>
          <w:u w:val="single"/>
          <w14:textFill>
            <w14:solidFill>
              <w14:schemeClr w14:val="tx1"/>
            </w14:solidFill>
          </w14:textFill>
        </w:rPr>
        <w:t>4</w:t>
      </w:r>
      <w:r>
        <w:rPr>
          <w:rFonts w:hint="eastAsia"/>
          <w:b/>
          <w:bCs/>
          <w:color w:val="000000" w:themeColor="text1"/>
          <w:highlight w:val="none"/>
          <w:u w:val="single"/>
          <w14:textFill>
            <w14:solidFill>
              <w14:schemeClr w14:val="tx1"/>
            </w14:solidFill>
          </w14:textFill>
        </w:rPr>
        <w:t>、上表根据五大系统分别填报。</w:t>
      </w:r>
    </w:p>
    <w:p>
      <w:pPr>
        <w:jc w:val="center"/>
        <w:rPr>
          <w:rFonts w:ascii="宋体" w:hAnsi="宋体" w:cs="宋体"/>
          <w:color w:val="000000" w:themeColor="text1"/>
          <w:sz w:val="24"/>
          <w:highlight w:val="none"/>
          <w14:textFill>
            <w14:solidFill>
              <w14:schemeClr w14:val="tx1"/>
            </w14:solidFill>
          </w14:textFill>
        </w:rPr>
      </w:pPr>
      <w:r>
        <w:rPr>
          <w:rFonts w:ascii="宋体" w:hAnsi="宋体" w:cs="宋体"/>
          <w:b/>
          <w:color w:val="000000" w:themeColor="text1"/>
          <w:kern w:val="0"/>
          <w:sz w:val="32"/>
          <w:szCs w:val="32"/>
          <w:highlight w:val="none"/>
          <w14:textFill>
            <w14:solidFill>
              <w14:schemeClr w14:val="tx1"/>
            </w14:solidFill>
          </w14:textFill>
        </w:rPr>
        <w:br w:type="page"/>
      </w:r>
      <w:r>
        <w:rPr>
          <w:rFonts w:ascii="宋体" w:hAnsi="宋体" w:cs="宋体"/>
          <w:color w:val="000000" w:themeColor="text1"/>
          <w:sz w:val="24"/>
          <w:highlight w:val="none"/>
          <w14:textFill>
            <w14:solidFill>
              <w14:schemeClr w14:val="tx1"/>
            </w14:solidFill>
          </w14:textFill>
        </w:rPr>
        <w:t xml:space="preserve"> </w:t>
      </w:r>
    </w:p>
    <w:p>
      <w:pPr>
        <w:pStyle w:val="18"/>
        <w:rPr>
          <w:color w:val="000000" w:themeColor="text1"/>
          <w:highlight w:val="none"/>
          <w14:textFill>
            <w14:solidFill>
              <w14:schemeClr w14:val="tx1"/>
            </w14:solidFill>
          </w14:textFill>
        </w:rPr>
      </w:pPr>
    </w:p>
    <w:p>
      <w:pPr>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序号</w:t>
            </w:r>
          </w:p>
        </w:tc>
        <w:tc>
          <w:tcPr>
            <w:tcW w:w="3683" w:type="dxa"/>
          </w:tcPr>
          <w:p>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招标文件章节及具体内容</w:t>
            </w:r>
          </w:p>
        </w:tc>
        <w:tc>
          <w:tcPr>
            <w:tcW w:w="3546" w:type="dxa"/>
          </w:tcPr>
          <w:p>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投标文件章节及具体内容</w:t>
            </w:r>
          </w:p>
        </w:tc>
        <w:tc>
          <w:tcPr>
            <w:tcW w:w="1276" w:type="dxa"/>
          </w:tcPr>
          <w:p>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p>
        </w:tc>
        <w:tc>
          <w:tcPr>
            <w:tcW w:w="3683" w:type="dxa"/>
          </w:tcPr>
          <w:p>
            <w:pPr>
              <w:jc w:val="center"/>
              <w:rPr>
                <w:rFonts w:ascii="宋体" w:hAnsi="宋体" w:cs="宋体"/>
                <w:b/>
                <w:color w:val="000000" w:themeColor="text1"/>
                <w:kern w:val="0"/>
                <w:sz w:val="32"/>
                <w:szCs w:val="32"/>
                <w:highlight w:val="none"/>
                <w14:textFill>
                  <w14:solidFill>
                    <w14:schemeClr w14:val="tx1"/>
                  </w14:solidFill>
                </w14:textFill>
              </w:rPr>
            </w:pPr>
          </w:p>
        </w:tc>
        <w:tc>
          <w:tcPr>
            <w:tcW w:w="3546" w:type="dxa"/>
          </w:tcPr>
          <w:p>
            <w:pPr>
              <w:jc w:val="center"/>
              <w:rPr>
                <w:rFonts w:ascii="宋体" w:hAnsi="宋体" w:cs="宋体"/>
                <w:b/>
                <w:color w:val="000000" w:themeColor="text1"/>
                <w:kern w:val="0"/>
                <w:sz w:val="32"/>
                <w:szCs w:val="32"/>
                <w:highlight w:val="none"/>
                <w14:textFill>
                  <w14:solidFill>
                    <w14:schemeClr w14:val="tx1"/>
                  </w14:solidFill>
                </w14:textFill>
              </w:rPr>
            </w:pPr>
          </w:p>
        </w:tc>
        <w:tc>
          <w:tcPr>
            <w:tcW w:w="1276" w:type="dxa"/>
          </w:tcPr>
          <w:p>
            <w:pPr>
              <w:jc w:val="center"/>
              <w:rPr>
                <w:rFonts w:ascii="宋体" w:hAnsi="宋体" w:cs="宋体"/>
                <w:b/>
                <w:color w:val="000000" w:themeColor="text1"/>
                <w:kern w:val="0"/>
                <w:sz w:val="32"/>
                <w:szCs w:val="3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3683" w:type="dxa"/>
          </w:tcPr>
          <w:p>
            <w:pPr>
              <w:jc w:val="center"/>
              <w:rPr>
                <w:rFonts w:ascii="宋体" w:hAnsi="宋体" w:cs="宋体"/>
                <w:b/>
                <w:color w:val="000000" w:themeColor="text1"/>
                <w:kern w:val="0"/>
                <w:sz w:val="32"/>
                <w:szCs w:val="32"/>
                <w:highlight w:val="none"/>
                <w14:textFill>
                  <w14:solidFill>
                    <w14:schemeClr w14:val="tx1"/>
                  </w14:solidFill>
                </w14:textFill>
              </w:rPr>
            </w:pPr>
          </w:p>
        </w:tc>
        <w:tc>
          <w:tcPr>
            <w:tcW w:w="3546" w:type="dxa"/>
          </w:tcPr>
          <w:p>
            <w:pPr>
              <w:jc w:val="center"/>
              <w:rPr>
                <w:rFonts w:ascii="宋体" w:hAnsi="宋体" w:cs="宋体"/>
                <w:b/>
                <w:color w:val="000000" w:themeColor="text1"/>
                <w:kern w:val="0"/>
                <w:sz w:val="32"/>
                <w:szCs w:val="32"/>
                <w:highlight w:val="none"/>
                <w14:textFill>
                  <w14:solidFill>
                    <w14:schemeClr w14:val="tx1"/>
                  </w14:solidFill>
                </w14:textFill>
              </w:rPr>
            </w:pPr>
          </w:p>
        </w:tc>
        <w:tc>
          <w:tcPr>
            <w:tcW w:w="1276" w:type="dxa"/>
          </w:tcPr>
          <w:p>
            <w:pPr>
              <w:jc w:val="center"/>
              <w:rPr>
                <w:rFonts w:ascii="宋体" w:hAnsi="宋体" w:cs="宋体"/>
                <w:b/>
                <w:color w:val="000000" w:themeColor="text1"/>
                <w:kern w:val="0"/>
                <w:sz w:val="32"/>
                <w:szCs w:val="32"/>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w:t>
            </w:r>
          </w:p>
        </w:tc>
        <w:tc>
          <w:tcPr>
            <w:tcW w:w="3683" w:type="dxa"/>
          </w:tcPr>
          <w:p>
            <w:pPr>
              <w:jc w:val="center"/>
              <w:rPr>
                <w:rFonts w:ascii="宋体" w:hAnsi="宋体" w:cs="宋体"/>
                <w:b/>
                <w:color w:val="000000" w:themeColor="text1"/>
                <w:kern w:val="0"/>
                <w:sz w:val="32"/>
                <w:szCs w:val="32"/>
                <w:highlight w:val="none"/>
                <w14:textFill>
                  <w14:solidFill>
                    <w14:schemeClr w14:val="tx1"/>
                  </w14:solidFill>
                </w14:textFill>
              </w:rPr>
            </w:pPr>
          </w:p>
        </w:tc>
        <w:tc>
          <w:tcPr>
            <w:tcW w:w="3546" w:type="dxa"/>
          </w:tcPr>
          <w:p>
            <w:pPr>
              <w:jc w:val="center"/>
              <w:rPr>
                <w:rFonts w:ascii="宋体" w:hAnsi="宋体" w:cs="宋体"/>
                <w:b/>
                <w:color w:val="000000" w:themeColor="text1"/>
                <w:kern w:val="0"/>
                <w:sz w:val="32"/>
                <w:szCs w:val="32"/>
                <w:highlight w:val="none"/>
                <w14:textFill>
                  <w14:solidFill>
                    <w14:schemeClr w14:val="tx1"/>
                  </w14:solidFill>
                </w14:textFill>
              </w:rPr>
            </w:pPr>
          </w:p>
        </w:tc>
        <w:tc>
          <w:tcPr>
            <w:tcW w:w="1276" w:type="dxa"/>
          </w:tcPr>
          <w:p>
            <w:pPr>
              <w:jc w:val="center"/>
              <w:rPr>
                <w:rFonts w:ascii="宋体" w:hAnsi="宋体" w:cs="宋体"/>
                <w:b/>
                <w:color w:val="000000" w:themeColor="text1"/>
                <w:kern w:val="0"/>
                <w:sz w:val="32"/>
                <w:szCs w:val="32"/>
                <w:highlight w:val="none"/>
                <w14:textFill>
                  <w14:solidFill>
                    <w14:schemeClr w14:val="tx1"/>
                  </w14:solidFill>
                </w14:textFill>
              </w:rPr>
            </w:pPr>
          </w:p>
        </w:tc>
      </w:tr>
    </w:tbl>
    <w:p>
      <w:pPr>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投标人保证：除商务技术偏离表列出的偏离外，投标人响应招标文件的全部要求</w:t>
      </w:r>
    </w:p>
    <w:p>
      <w:pPr>
        <w:jc w:val="center"/>
        <w:rPr>
          <w:rFonts w:ascii="宋体" w:hAnsi="宋体" w:cs="宋体"/>
          <w:b/>
          <w:color w:val="000000" w:themeColor="text1"/>
          <w:kern w:val="0"/>
          <w:sz w:val="32"/>
          <w:szCs w:val="32"/>
          <w:highlight w:val="none"/>
          <w14:textFill>
            <w14:solidFill>
              <w14:schemeClr w14:val="tx1"/>
            </w14:solidFill>
          </w14:textFill>
        </w:rPr>
      </w:pPr>
    </w:p>
    <w:p>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pPr>
        <w:jc w:val="center"/>
        <w:rPr>
          <w:rFonts w:ascii="宋体" w:hAnsi="宋体" w:cs="宋体"/>
          <w:b/>
          <w:color w:val="000000" w:themeColor="text1"/>
          <w:kern w:val="0"/>
          <w:sz w:val="32"/>
          <w:szCs w:val="32"/>
          <w:highlight w:val="none"/>
          <w14:textFill>
            <w14:solidFill>
              <w14:schemeClr w14:val="tx1"/>
            </w14:solidFill>
          </w14:textFill>
        </w:rPr>
      </w:pPr>
    </w:p>
    <w:p>
      <w:pP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br w:type="page"/>
      </w:r>
    </w:p>
    <w:p>
      <w:pPr>
        <w:ind w:firstLine="1911" w:firstLineChars="595"/>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八</w:t>
      </w:r>
      <w:r>
        <w:rPr>
          <w:rFonts w:hint="eastAsia" w:ascii="宋体" w:hAnsi="宋体" w:cs="宋体"/>
          <w:b/>
          <w:color w:val="000000" w:themeColor="text1"/>
          <w:kern w:val="0"/>
          <w:sz w:val="32"/>
          <w:szCs w:val="32"/>
          <w:highlight w:val="none"/>
          <w14:textFill>
            <w14:solidFill>
              <w14:schemeClr w14:val="tx1"/>
            </w14:solidFill>
          </w14:textFill>
        </w:rPr>
        <w:t>、</w:t>
      </w:r>
      <w:r>
        <w:rPr>
          <w:rFonts w:hint="eastAsia" w:ascii="宋体" w:hAnsi="宋体" w:cs="宋体"/>
          <w:b/>
          <w:color w:val="000000" w:themeColor="text1"/>
          <w:kern w:val="0"/>
          <w:sz w:val="32"/>
          <w:szCs w:val="32"/>
          <w:highlight w:val="none"/>
          <w:lang w:val="zh-CN"/>
          <w14:textFill>
            <w14:solidFill>
              <w14:schemeClr w14:val="tx1"/>
            </w14:solidFill>
          </w14:textFill>
        </w:rPr>
        <w:t>政府采购供应商廉洁自律承诺书</w:t>
      </w:r>
    </w:p>
    <w:p>
      <w:pPr>
        <w:snapToGrid w:val="0"/>
        <w:spacing w:line="360" w:lineRule="auto"/>
        <w:rPr>
          <w:rFonts w:ascii="宋体" w:hAnsi="宋体" w:cs="宋体"/>
          <w:color w:val="000000" w:themeColor="text1"/>
          <w:sz w:val="24"/>
          <w:highlight w:val="none"/>
          <w14:textFill>
            <w14:solidFill>
              <w14:schemeClr w14:val="tx1"/>
            </w14:solidFill>
          </w14:textFill>
        </w:rPr>
      </w:pPr>
    </w:p>
    <w:p>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杭州工艺美术博物馆(杭州中国刀剪剑、扇业、伞业博物馆）、浙江泛亚工程咨询有限公司</w:t>
      </w:r>
      <w:r>
        <w:rPr>
          <w:rFonts w:hint="eastAsia" w:ascii="宋体" w:hAnsi="宋体" w:cs="宋体"/>
          <w:color w:val="000000" w:themeColor="text1"/>
          <w:kern w:val="0"/>
          <w:sz w:val="24"/>
          <w:highlight w:val="none"/>
          <w:lang w:val="zh-CN"/>
          <w14:textFill>
            <w14:solidFill>
              <w14:schemeClr w14:val="tx1"/>
            </w14:solidFill>
          </w14:textFill>
        </w:rPr>
        <w:t>：</w:t>
      </w:r>
    </w:p>
    <w:p>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我单位响应你</w:t>
      </w:r>
      <w:r>
        <w:rPr>
          <w:rFonts w:hint="eastAsia" w:ascii="宋体" w:hAnsi="宋体" w:cs="宋体"/>
          <w:color w:val="000000" w:themeColor="text1"/>
          <w:sz w:val="24"/>
          <w:highlight w:val="none"/>
          <w14:textFill>
            <w14:solidFill>
              <w14:schemeClr w14:val="tx1"/>
            </w14:solidFill>
          </w14:textFill>
        </w:rPr>
        <w:t>单位</w:t>
      </w:r>
      <w:r>
        <w:rPr>
          <w:rFonts w:hint="eastAsia" w:ascii="宋体" w:hAnsi="宋体" w:cs="宋体"/>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四、不为项目有关人员及部门出国（境）、旅游等提供方便；</w:t>
      </w:r>
    </w:p>
    <w:p>
      <w:pPr>
        <w:autoSpaceDE w:val="0"/>
        <w:autoSpaceDN w:val="0"/>
        <w:spacing w:line="360" w:lineRule="auto"/>
        <w:ind w:left="481" w:leftChars="229"/>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五、不为项目有关人员个人装修住房、婚丧嫁娶、配偶子女工作安排等提供</w:t>
      </w:r>
    </w:p>
    <w:p>
      <w:pPr>
        <w:autoSpaceDE w:val="0"/>
        <w:autoSpaceDN w:val="0"/>
        <w:spacing w:line="360" w:lineRule="auto"/>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好处；</w:t>
      </w:r>
    </w:p>
    <w:p>
      <w:pPr>
        <w:autoSpaceDE w:val="0"/>
        <w:autoSpaceDN w:val="0"/>
        <w:spacing w:line="360" w:lineRule="auto"/>
        <w:ind w:left="481" w:leftChars="229"/>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六、严格遵守《</w:t>
      </w:r>
      <w:r>
        <w:rPr>
          <w:rFonts w:hint="eastAsia" w:ascii="宋体" w:hAnsi="宋体" w:cs="宋体"/>
          <w:color w:val="000000" w:themeColor="text1"/>
          <w:sz w:val="24"/>
          <w:highlight w:val="none"/>
          <w:lang w:val="zh-CN"/>
          <w14:textFill>
            <w14:solidFill>
              <w14:schemeClr w14:val="tx1"/>
            </w14:solidFill>
          </w14:textFill>
        </w:rPr>
        <w:t>中华人民共和国</w:t>
      </w:r>
      <w:r>
        <w:rPr>
          <w:rFonts w:hint="eastAsia" w:ascii="宋体" w:hAnsi="宋体" w:cs="宋体"/>
          <w:color w:val="000000" w:themeColor="text1"/>
          <w:kern w:val="0"/>
          <w:sz w:val="24"/>
          <w:highlight w:val="none"/>
          <w:lang w:val="zh-CN"/>
          <w14:textFill>
            <w14:solidFill>
              <w14:schemeClr w14:val="tx1"/>
            </w14:solidFill>
          </w14:textFill>
        </w:rPr>
        <w:t>政府采购法》《</w:t>
      </w:r>
      <w:r>
        <w:rPr>
          <w:rFonts w:hint="eastAsia" w:ascii="宋体" w:hAnsi="宋体" w:cs="宋体"/>
          <w:color w:val="000000" w:themeColor="text1"/>
          <w:sz w:val="24"/>
          <w:highlight w:val="none"/>
          <w:lang w:val="zh-CN"/>
          <w14:textFill>
            <w14:solidFill>
              <w14:schemeClr w14:val="tx1"/>
            </w14:solidFill>
          </w14:textFill>
        </w:rPr>
        <w:t>中华人民共和国</w:t>
      </w:r>
      <w:r>
        <w:rPr>
          <w:rFonts w:hint="eastAsia" w:ascii="宋体" w:hAnsi="宋体" w:cs="宋体"/>
          <w:color w:val="000000" w:themeColor="text1"/>
          <w:kern w:val="0"/>
          <w:sz w:val="24"/>
          <w:highlight w:val="none"/>
          <w:lang w:val="zh-CN"/>
          <w14:textFill>
            <w14:solidFill>
              <w14:schemeClr w14:val="tx1"/>
            </w14:solidFill>
          </w14:textFill>
        </w:rPr>
        <w:t>招标投标</w:t>
      </w:r>
    </w:p>
    <w:p>
      <w:pPr>
        <w:autoSpaceDE w:val="0"/>
        <w:autoSpaceDN w:val="0"/>
        <w:spacing w:line="360" w:lineRule="auto"/>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法》</w:t>
      </w:r>
      <w:r>
        <w:rPr>
          <w:rFonts w:hint="eastAsia" w:ascii="宋体" w:hAnsi="宋体" w:cs="宋体"/>
          <w:color w:val="000000" w:themeColor="text1"/>
          <w:sz w:val="24"/>
          <w:highlight w:val="none"/>
          <w:lang w:val="zh-CN"/>
          <w14:textFill>
            <w14:solidFill>
              <w14:schemeClr w14:val="tx1"/>
            </w14:solidFill>
          </w14:textFill>
        </w:rPr>
        <w:t>《中华人民共和国民法典》</w:t>
      </w:r>
      <w:r>
        <w:rPr>
          <w:rFonts w:hint="eastAsia" w:ascii="宋体" w:hAnsi="宋体" w:cs="宋体"/>
          <w:color w:val="000000" w:themeColor="text1"/>
          <w:kern w:val="0"/>
          <w:sz w:val="24"/>
          <w:highlight w:val="none"/>
          <w:lang w:val="zh-CN"/>
          <w14:textFill>
            <w14:solidFill>
              <w14:schemeClr w14:val="tx1"/>
            </w14:solidFill>
          </w14:textFill>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如违反上述承诺，你</w:t>
      </w:r>
      <w:r>
        <w:rPr>
          <w:rFonts w:hint="eastAsia" w:ascii="宋体" w:hAnsi="宋体" w:cs="宋体"/>
          <w:color w:val="000000" w:themeColor="text1"/>
          <w:sz w:val="24"/>
          <w:highlight w:val="none"/>
          <w14:textFill>
            <w14:solidFill>
              <w14:schemeClr w14:val="tx1"/>
            </w14:solidFill>
          </w14:textFill>
        </w:rPr>
        <w:t>单位</w:t>
      </w:r>
      <w:r>
        <w:rPr>
          <w:rFonts w:hint="eastAsia" w:ascii="宋体" w:hAnsi="宋体" w:cs="宋体"/>
          <w:color w:val="000000" w:themeColor="text1"/>
          <w:kern w:val="0"/>
          <w:sz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宋体" w:hAnsi="宋体" w:cs="宋体"/>
          <w:color w:val="000000" w:themeColor="text1"/>
          <w:sz w:val="24"/>
          <w:highlight w:val="none"/>
          <w14:textFill>
            <w14:solidFill>
              <w14:schemeClr w14:val="tx1"/>
            </w14:solidFill>
          </w14:textFill>
        </w:rPr>
        <w:t>单位</w:t>
      </w:r>
      <w:r>
        <w:rPr>
          <w:rFonts w:hint="eastAsia" w:ascii="宋体" w:hAnsi="宋体" w:cs="宋体"/>
          <w:color w:val="000000" w:themeColor="text1"/>
          <w:kern w:val="0"/>
          <w:sz w:val="24"/>
          <w:highlight w:val="none"/>
          <w:lang w:val="zh-CN"/>
          <w14:textFill>
            <w14:solidFill>
              <w14:schemeClr w14:val="tx1"/>
            </w14:solidFill>
          </w14:textFill>
        </w:rPr>
        <w:t>进行项目建设或其他经营活动，并通报市财政局。由此引起的相应损失均由我单位承担。</w:t>
      </w:r>
    </w:p>
    <w:p>
      <w:pP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pP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pP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pPr>
        <w:autoSpaceDE w:val="0"/>
        <w:autoSpaceDN w:val="0"/>
        <w:spacing w:line="360" w:lineRule="auto"/>
        <w:ind w:left="2" w:leftChars="1" w:right="1120" w:firstLine="4560" w:firstLineChars="19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供应商名称（</w:t>
      </w:r>
      <w:r>
        <w:rPr>
          <w:rFonts w:hint="eastAsia" w:ascii="宋体" w:hAnsi="宋体" w:cs="宋体"/>
          <w:color w:val="000000" w:themeColor="text1"/>
          <w:sz w:val="24"/>
          <w:highlight w:val="none"/>
          <w14:textFill>
            <w14:solidFill>
              <w14:schemeClr w14:val="tx1"/>
            </w14:solidFill>
          </w14:textFill>
        </w:rPr>
        <w:t>电子签名</w:t>
      </w:r>
      <w:r>
        <w:rPr>
          <w:rFonts w:hint="eastAsia" w:ascii="宋体" w:hAnsi="宋体" w:cs="宋体"/>
          <w:color w:val="000000" w:themeColor="text1"/>
          <w:kern w:val="0"/>
          <w:sz w:val="24"/>
          <w:highlight w:val="none"/>
          <w:lang w:val="zh-CN"/>
          <w14:textFill>
            <w14:solidFill>
              <w14:schemeClr w14:val="tx1"/>
            </w14:solidFill>
          </w14:textFill>
        </w:rPr>
        <w:t xml:space="preserve">）：                                                                                                                                                                                                               </w:t>
      </w:r>
    </w:p>
    <w:p>
      <w:pPr>
        <w:spacing w:line="360" w:lineRule="auto"/>
        <w:ind w:left="4620" w:leftChars="2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 xml:space="preserve">   年   月   日</w:t>
      </w:r>
    </w:p>
    <w:p>
      <w:pPr>
        <w:spacing w:line="360" w:lineRule="auto"/>
        <w:jc w:val="center"/>
        <w:rPr>
          <w:rFonts w:ascii="宋体" w:hAnsi="宋体" w:cs="宋体"/>
          <w:b/>
          <w:bCs/>
          <w:color w:val="000000" w:themeColor="text1"/>
          <w:sz w:val="24"/>
          <w:highlight w:val="none"/>
          <w14:textFill>
            <w14:solidFill>
              <w14:schemeClr w14:val="tx1"/>
            </w14:solidFill>
          </w14:textFill>
        </w:rPr>
      </w:pPr>
    </w:p>
    <w:p>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pPr>
        <w:spacing w:line="360" w:lineRule="auto"/>
        <w:jc w:val="center"/>
        <w:rPr>
          <w:rFonts w:ascii="宋体" w:hAnsi="宋体" w:cs="宋体"/>
          <w:b/>
          <w:bCs/>
          <w:color w:val="000000" w:themeColor="text1"/>
          <w:sz w:val="24"/>
          <w:highlight w:val="none"/>
          <w14:textFill>
            <w14:solidFill>
              <w14:schemeClr w14:val="tx1"/>
            </w14:solidFill>
          </w14:textFill>
        </w:rPr>
        <w:sectPr>
          <w:headerReference r:id="rId13" w:type="first"/>
          <w:footerReference r:id="rId15" w:type="first"/>
          <w:headerReference r:id="rId12" w:type="default"/>
          <w:footerReference r:id="rId14" w:type="default"/>
          <w:pgSz w:w="11906" w:h="16838"/>
          <w:pgMar w:top="1361" w:right="1418" w:bottom="1361" w:left="1418" w:header="851" w:footer="992" w:gutter="0"/>
          <w:cols w:space="720" w:num="1"/>
          <w:titlePg/>
          <w:docGrid w:linePitch="312" w:charSpace="0"/>
        </w:sectPr>
      </w:pPr>
    </w:p>
    <w:p>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报价文件部分</w:t>
      </w:r>
    </w:p>
    <w:p>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目录</w:t>
      </w:r>
    </w:p>
    <w:p>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（1）开标一览表（报价表）………………………………………………………（页码）</w:t>
      </w: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（2）推荐供选择的配套零部件及价格表………………………………………（页码）</w:t>
      </w: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（3）中小企业声明函………………………………………………………………（页码）</w:t>
      </w: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pPr>
        <w:pStyle w:val="691"/>
        <w:keepNext w:val="0"/>
        <w:pageBreakBefore w:val="0"/>
        <w:tabs>
          <w:tab w:val="clear" w:pos="720"/>
        </w:tabs>
        <w:snapToGrid w:val="0"/>
        <w:spacing w:before="120" w:after="120"/>
        <w:ind w:firstLine="643"/>
        <w:outlineLvl w:val="9"/>
        <w:rPr>
          <w:rFonts w:ascii="宋体" w:hAnsi="宋体" w:eastAsia="宋体" w:cs="宋体"/>
          <w:color w:val="000000" w:themeColor="text1"/>
          <w:kern w:val="2"/>
          <w:sz w:val="32"/>
          <w:szCs w:val="32"/>
          <w:highlight w:val="none"/>
          <w14:textFill>
            <w14:solidFill>
              <w14:schemeClr w14:val="tx1"/>
            </w14:solidFill>
          </w14:textFill>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ascii="宋体" w:hAnsi="宋体" w:eastAsia="宋体" w:cs="宋体"/>
          <w:color w:val="000000" w:themeColor="text1"/>
          <w:kern w:val="2"/>
          <w:sz w:val="32"/>
          <w:szCs w:val="32"/>
          <w:highlight w:val="none"/>
          <w14:textFill>
            <w14:solidFill>
              <w14:schemeClr w14:val="tx1"/>
            </w14:solidFill>
          </w14:textFill>
        </w:rPr>
      </w:pPr>
      <w:r>
        <w:rPr>
          <w:rFonts w:hint="eastAsia" w:ascii="宋体" w:hAnsi="宋体" w:eastAsia="宋体" w:cs="宋体"/>
          <w:color w:val="000000" w:themeColor="text1"/>
          <w:kern w:val="2"/>
          <w:sz w:val="32"/>
          <w:szCs w:val="32"/>
          <w:highlight w:val="none"/>
          <w14:textFill>
            <w14:solidFill>
              <w14:schemeClr w14:val="tx1"/>
            </w14:solidFill>
          </w14:textFill>
        </w:rPr>
        <w:t>一、开标一览表（报价表）</w:t>
      </w:r>
    </w:p>
    <w:p>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杭州工艺美术博物馆(杭州中国刀剪剑、扇业、伞业博物馆）、浙江泛亚工程咨询有限公司</w:t>
      </w:r>
      <w:r>
        <w:rPr>
          <w:rFonts w:hint="eastAsia" w:ascii="宋体" w:hAnsi="宋体" w:cs="宋体"/>
          <w:color w:val="000000" w:themeColor="text1"/>
          <w:kern w:val="0"/>
          <w:sz w:val="24"/>
          <w:highlight w:val="none"/>
          <w:lang w:val="zh-CN"/>
          <w14:textFill>
            <w14:solidFill>
              <w14:schemeClr w14:val="tx1"/>
            </w14:solidFill>
          </w14:textFill>
        </w:rPr>
        <w:t>：</w:t>
      </w:r>
    </w:p>
    <w:p>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按你方采购文件要求，我们，本采购文件签字方，谨此向你方发出要约如下：如你方接受本投标，我方承诺按照如下开标一览表（报价表）的价格完成</w:t>
      </w:r>
      <w:r>
        <w:rPr>
          <w:rFonts w:hint="eastAsia" w:ascii="宋体" w:hAnsi="宋体" w:cs="宋体"/>
          <w:color w:val="000000" w:themeColor="text1"/>
          <w:sz w:val="24"/>
          <w:highlight w:val="none"/>
          <w14:textFill>
            <w14:solidFill>
              <w14:schemeClr w14:val="tx1"/>
            </w14:solidFill>
          </w14:textFill>
        </w:rPr>
        <w:t>中国伞博物馆多媒体提升改造项目</w:t>
      </w:r>
      <w:r>
        <w:rPr>
          <w:rFonts w:hint="eastAsia" w:ascii="宋体" w:hAnsi="宋体" w:cs="宋体"/>
          <w:color w:val="000000" w:themeColor="text1"/>
          <w:kern w:val="0"/>
          <w:sz w:val="24"/>
          <w:highlight w:val="none"/>
          <w:lang w:val="zh-CN"/>
          <w14:textFill>
            <w14:solidFill>
              <w14:schemeClr w14:val="tx1"/>
            </w14:solidFill>
          </w14:textFill>
        </w:rPr>
        <w:t>【项目编号:LFF-202206-42</w:t>
      </w:r>
      <w:r>
        <w:rPr>
          <w:rFonts w:hint="eastAsia" w:ascii="宋体" w:hAnsi="宋体" w:cs="宋体"/>
          <w:color w:val="000000" w:themeColor="text1"/>
          <w:sz w:val="24"/>
          <w:highlight w:val="none"/>
          <w14:textFill>
            <w14:solidFill>
              <w14:schemeClr w14:val="tx1"/>
            </w14:solidFill>
          </w14:textFill>
        </w:rPr>
        <w:t>】的实施</w:t>
      </w:r>
      <w:r>
        <w:rPr>
          <w:rFonts w:hint="eastAsia" w:ascii="宋体" w:hAnsi="宋体" w:cs="宋体"/>
          <w:color w:val="000000" w:themeColor="text1"/>
          <w:kern w:val="0"/>
          <w:sz w:val="24"/>
          <w:highlight w:val="none"/>
          <w:lang w:val="zh-CN"/>
          <w14:textFill>
            <w14:solidFill>
              <w14:schemeClr w14:val="tx1"/>
            </w14:solidFill>
          </w14:textFill>
        </w:rPr>
        <w:t>。</w:t>
      </w:r>
    </w:p>
    <w:p>
      <w:pPr>
        <w:spacing w:line="360" w:lineRule="auto"/>
        <w:jc w:val="center"/>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开标一览表（报价表）(单位：</w:t>
      </w:r>
      <w:r>
        <w:rPr>
          <w:rFonts w:hint="eastAsia" w:ascii="宋体" w:hAnsi="宋体" w:cs="宋体"/>
          <w:b/>
          <w:color w:val="000000" w:themeColor="text1"/>
          <w:kern w:val="0"/>
          <w:sz w:val="24"/>
          <w:highlight w:val="none"/>
          <w14:textFill>
            <w14:solidFill>
              <w14:schemeClr w14:val="tx1"/>
            </w14:solidFill>
          </w14:textFill>
        </w:rPr>
        <w:t>元</w:t>
      </w:r>
      <w:r>
        <w:rPr>
          <w:rFonts w:hint="eastAsia" w:ascii="宋体" w:hAnsi="宋体" w:cs="宋体"/>
          <w:b/>
          <w:color w:val="000000" w:themeColor="text1"/>
          <w:kern w:val="0"/>
          <w:sz w:val="24"/>
          <w:highlight w:val="none"/>
          <w:lang w:val="zh-CN"/>
          <w14:textFill>
            <w14:solidFill>
              <w14:schemeClr w14:val="tx1"/>
            </w14:solidFill>
          </w14:textFill>
        </w:rPr>
        <w:t>)</w:t>
      </w:r>
    </w:p>
    <w:tbl>
      <w:tblPr>
        <w:tblStyle w:val="63"/>
        <w:tblW w:w="10082"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879"/>
        <w:gridCol w:w="2408"/>
        <w:gridCol w:w="2032"/>
        <w:gridCol w:w="690"/>
        <w:gridCol w:w="990"/>
        <w:gridCol w:w="1283"/>
        <w:gridCol w:w="900"/>
        <w:gridCol w:w="900"/>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69" w:hRule="atLeast"/>
          <w:jc w:val="center"/>
        </w:trPr>
        <w:tc>
          <w:tcPr>
            <w:tcW w:w="879" w:type="dxa"/>
            <w:tcBorders>
              <w:tl2br w:val="nil"/>
              <w:tr2bl w:val="nil"/>
            </w:tcBorders>
            <w:vAlign w:val="center"/>
          </w:tcPr>
          <w:p>
            <w:pPr>
              <w:widowControl/>
              <w:jc w:val="left"/>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序号</w:t>
            </w:r>
          </w:p>
        </w:tc>
        <w:tc>
          <w:tcPr>
            <w:tcW w:w="2408" w:type="dxa"/>
            <w:tcBorders>
              <w:tl2br w:val="nil"/>
              <w:tr2bl w:val="nil"/>
            </w:tcBorders>
            <w:vAlign w:val="center"/>
          </w:tcPr>
          <w:p>
            <w:pPr>
              <w:widowControl/>
              <w:jc w:val="left"/>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项目名称（分项名称）</w:t>
            </w:r>
          </w:p>
        </w:tc>
        <w:tc>
          <w:tcPr>
            <w:tcW w:w="2032" w:type="dxa"/>
            <w:tcBorders>
              <w:tl2br w:val="nil"/>
              <w:tr2bl w:val="nil"/>
            </w:tcBorders>
            <w:vAlign w:val="center"/>
          </w:tcPr>
          <w:p>
            <w:pPr>
              <w:widowControl/>
              <w:jc w:val="left"/>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品牌、功能或技术参数</w:t>
            </w:r>
          </w:p>
        </w:tc>
        <w:tc>
          <w:tcPr>
            <w:tcW w:w="690" w:type="dxa"/>
            <w:tcBorders>
              <w:tl2br w:val="nil"/>
              <w:tr2bl w:val="nil"/>
            </w:tcBorders>
            <w:vAlign w:val="center"/>
          </w:tcPr>
          <w:p>
            <w:pPr>
              <w:widowControl/>
              <w:jc w:val="center"/>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单位</w:t>
            </w:r>
          </w:p>
        </w:tc>
        <w:tc>
          <w:tcPr>
            <w:tcW w:w="990" w:type="dxa"/>
            <w:tcBorders>
              <w:tl2br w:val="nil"/>
              <w:tr2bl w:val="nil"/>
            </w:tcBorders>
            <w:vAlign w:val="center"/>
          </w:tcPr>
          <w:p>
            <w:pPr>
              <w:widowControl/>
              <w:jc w:val="center"/>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数量</w:t>
            </w:r>
          </w:p>
        </w:tc>
        <w:tc>
          <w:tcPr>
            <w:tcW w:w="1283" w:type="dxa"/>
            <w:tcBorders>
              <w:tl2br w:val="nil"/>
              <w:tr2bl w:val="nil"/>
            </w:tcBorders>
            <w:vAlign w:val="center"/>
          </w:tcPr>
          <w:p>
            <w:pPr>
              <w:widowControl/>
              <w:jc w:val="center"/>
              <w:textAlignment w:val="center"/>
              <w:rPr>
                <w:rFonts w:ascii="宋体" w:hAnsi="宋体" w:cs="宋体"/>
                <w:b/>
                <w:bCs/>
                <w:color w:val="000000" w:themeColor="text1"/>
                <w:sz w:val="20"/>
                <w:szCs w:val="20"/>
                <w:highlight w:val="none"/>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综合单价</w:t>
            </w:r>
          </w:p>
        </w:tc>
        <w:tc>
          <w:tcPr>
            <w:tcW w:w="900" w:type="dxa"/>
            <w:tcBorders>
              <w:tl2br w:val="nil"/>
              <w:tr2bl w:val="nil"/>
            </w:tcBorders>
            <w:vAlign w:val="center"/>
          </w:tcPr>
          <w:p>
            <w:pPr>
              <w:widowControl/>
              <w:jc w:val="center"/>
              <w:textAlignment w:val="center"/>
              <w:rPr>
                <w:rFonts w:ascii="宋体" w:hAnsi="宋体" w:cs="宋体"/>
                <w:b/>
                <w:bCs/>
                <w:color w:val="000000" w:themeColor="text1"/>
                <w:kern w:val="0"/>
                <w:sz w:val="20"/>
                <w:szCs w:val="20"/>
                <w:highlight w:val="none"/>
                <w:lang w:bidi="ar"/>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小计</w:t>
            </w:r>
          </w:p>
        </w:tc>
        <w:tc>
          <w:tcPr>
            <w:tcW w:w="900" w:type="dxa"/>
            <w:tcBorders>
              <w:tl2br w:val="nil"/>
              <w:tr2bl w:val="nil"/>
            </w:tcBorders>
            <w:vAlign w:val="center"/>
          </w:tcPr>
          <w:p>
            <w:pPr>
              <w:widowControl/>
              <w:jc w:val="center"/>
              <w:textAlignment w:val="center"/>
              <w:rPr>
                <w:rFonts w:ascii="宋体" w:hAnsi="宋体" w:cs="宋体"/>
                <w:b/>
                <w:bCs/>
                <w:color w:val="000000" w:themeColor="text1"/>
                <w:kern w:val="0"/>
                <w:sz w:val="20"/>
                <w:szCs w:val="20"/>
                <w:highlight w:val="none"/>
                <w:lang w:bidi="ar"/>
                <w14:textFill>
                  <w14:solidFill>
                    <w14:schemeClr w14:val="tx1"/>
                  </w14:solidFill>
                </w14:textFill>
              </w:rPr>
            </w:pPr>
            <w:r>
              <w:rPr>
                <w:rFonts w:hint="eastAsia" w:ascii="宋体" w:hAnsi="宋体" w:cs="宋体"/>
                <w:b/>
                <w:bCs/>
                <w:color w:val="000000" w:themeColor="text1"/>
                <w:kern w:val="0"/>
                <w:sz w:val="20"/>
                <w:szCs w:val="20"/>
                <w:highlight w:val="none"/>
                <w:lang w:bidi="ar"/>
                <w14:textFill>
                  <w14:solidFill>
                    <w14:schemeClr w14:val="tx1"/>
                  </w14:solidFill>
                </w14:textFill>
              </w:rPr>
              <w:t>备注</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69" w:hRule="atLeast"/>
          <w:jc w:val="center"/>
        </w:trPr>
        <w:tc>
          <w:tcPr>
            <w:tcW w:w="879"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2408"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2032"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690"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90"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1283"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00"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00"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69" w:hRule="atLeast"/>
          <w:jc w:val="center"/>
        </w:trPr>
        <w:tc>
          <w:tcPr>
            <w:tcW w:w="879"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2408"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2032"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690"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90"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1283"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00"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00"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69" w:hRule="atLeast"/>
          <w:jc w:val="center"/>
        </w:trPr>
        <w:tc>
          <w:tcPr>
            <w:tcW w:w="879"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2408"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2032"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690"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90"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1283"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00"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c>
          <w:tcPr>
            <w:tcW w:w="900" w:type="dxa"/>
            <w:tcBorders>
              <w:tl2br w:val="nil"/>
              <w:tr2bl w:val="nil"/>
            </w:tcBorders>
            <w:vAlign w:val="center"/>
          </w:tcPr>
          <w:p>
            <w:pPr>
              <w:pStyle w:val="318"/>
              <w:spacing w:line="560" w:lineRule="exact"/>
              <w:ind w:firstLine="200"/>
              <w:jc w:val="center"/>
              <w:rPr>
                <w:rFonts w:hAnsi="宋体" w:cs="宋体"/>
                <w:color w:val="000000" w:themeColor="text1"/>
                <w:sz w:val="24"/>
                <w:szCs w:val="24"/>
                <w:highlight w:val="none"/>
                <w14:textFill>
                  <w14:solidFill>
                    <w14:schemeClr w14:val="tx1"/>
                  </w14:solidFill>
                </w14:textFill>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69" w:hRule="atLeast"/>
          <w:jc w:val="center"/>
        </w:trPr>
        <w:tc>
          <w:tcPr>
            <w:tcW w:w="3287" w:type="dxa"/>
            <w:gridSpan w:val="2"/>
            <w:tcBorders>
              <w:tl2br w:val="nil"/>
              <w:tr2bl w:val="nil"/>
            </w:tcBorders>
            <w:vAlign w:val="center"/>
          </w:tcPr>
          <w:p>
            <w:pPr>
              <w:snapToGrid w:val="0"/>
              <w:spacing w:line="360" w:lineRule="auto"/>
              <w:jc w:val="center"/>
              <w:rPr>
                <w:rFonts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投标报价（小写）</w:t>
            </w:r>
          </w:p>
        </w:tc>
        <w:tc>
          <w:tcPr>
            <w:tcW w:w="6795" w:type="dxa"/>
            <w:gridSpan w:val="6"/>
            <w:tcBorders>
              <w:tl2br w:val="nil"/>
              <w:tr2bl w:val="nil"/>
            </w:tcBorders>
            <w:vAlign w:val="center"/>
          </w:tcPr>
          <w:p>
            <w:pPr>
              <w:snapToGrid w:val="0"/>
              <w:spacing w:line="360" w:lineRule="auto"/>
              <w:rPr>
                <w:rFonts w:ascii="宋体" w:hAnsi="宋体" w:cs="仿宋_GB2312"/>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         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69" w:hRule="atLeast"/>
          <w:jc w:val="center"/>
        </w:trPr>
        <w:tc>
          <w:tcPr>
            <w:tcW w:w="3287" w:type="dxa"/>
            <w:gridSpan w:val="2"/>
            <w:tcBorders>
              <w:tl2br w:val="nil"/>
              <w:tr2bl w:val="nil"/>
            </w:tcBorders>
            <w:vAlign w:val="center"/>
          </w:tcPr>
          <w:p>
            <w:pPr>
              <w:snapToGrid w:val="0"/>
              <w:spacing w:line="360" w:lineRule="auto"/>
              <w:jc w:val="center"/>
              <w:rPr>
                <w:rFonts w:ascii="宋体" w:hAnsi="宋体" w:cs="仿宋_GB2312"/>
                <w:color w:val="000000" w:themeColor="text1"/>
                <w:sz w:val="24"/>
                <w:highlight w:val="none"/>
                <w14:textFill>
                  <w14:solidFill>
                    <w14:schemeClr w14:val="tx1"/>
                  </w14:solidFill>
                </w14:textFill>
              </w:rPr>
            </w:pPr>
            <w:r>
              <w:rPr>
                <w:rFonts w:hint="eastAsia" w:ascii="宋体" w:hAnsi="宋体" w:cs="仿宋_GB2312"/>
                <w:color w:val="000000" w:themeColor="text1"/>
                <w:sz w:val="24"/>
                <w:highlight w:val="none"/>
                <w14:textFill>
                  <w14:solidFill>
                    <w14:schemeClr w14:val="tx1"/>
                  </w14:solidFill>
                </w14:textFill>
              </w:rPr>
              <w:t>投标报价（大写）</w:t>
            </w:r>
          </w:p>
        </w:tc>
        <w:tc>
          <w:tcPr>
            <w:tcW w:w="6795" w:type="dxa"/>
            <w:gridSpan w:val="6"/>
            <w:tcBorders>
              <w:tl2br w:val="nil"/>
              <w:tr2bl w:val="nil"/>
            </w:tcBorders>
            <w:vAlign w:val="center"/>
          </w:tcPr>
          <w:p>
            <w:pPr>
              <w:snapToGrid w:val="0"/>
              <w:spacing w:line="360" w:lineRule="auto"/>
              <w:rPr>
                <w:rFonts w:ascii="宋体" w:hAnsi="宋体" w:cs="仿宋_GB2312"/>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u w:val="single"/>
                <w14:textFill>
                  <w14:solidFill>
                    <w14:schemeClr w14:val="tx1"/>
                  </w14:solidFill>
                </w14:textFill>
              </w:rPr>
              <w:t>（按此报价唱标）</w:t>
            </w:r>
            <w:r>
              <w:rPr>
                <w:rFonts w:hint="eastAsia" w:ascii="宋体" w:hAnsi="宋体" w:cs="宋体"/>
                <w:color w:val="000000" w:themeColor="text1"/>
                <w:sz w:val="24"/>
                <w:highlight w:val="none"/>
                <w:u w:val="single"/>
                <w14:textFill>
                  <w14:solidFill>
                    <w14:schemeClr w14:val="tx1"/>
                  </w14:solidFill>
                </w14:textFill>
              </w:rPr>
              <w:t xml:space="preserve">  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69" w:hRule="atLeast"/>
          <w:jc w:val="center"/>
        </w:trPr>
        <w:tc>
          <w:tcPr>
            <w:tcW w:w="10082" w:type="dxa"/>
            <w:gridSpan w:val="8"/>
            <w:tcBorders>
              <w:tl2br w:val="nil"/>
              <w:tr2bl w:val="nil"/>
            </w:tcBorders>
            <w:vAlign w:val="center"/>
          </w:tcPr>
          <w:p>
            <w:pPr>
              <w:adjustRightInd/>
              <w:spacing w:line="360" w:lineRule="auto"/>
              <w:jc w:val="left"/>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1、项目负责人：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联系电话： </w:t>
            </w:r>
            <w:r>
              <w:rPr>
                <w:rFonts w:hint="eastAsia" w:ascii="宋体" w:hAnsi="宋体" w:cs="宋体"/>
                <w:color w:val="000000" w:themeColor="text1"/>
                <w:sz w:val="24"/>
                <w:highlight w:val="none"/>
                <w:u w:val="single"/>
                <w14:textFill>
                  <w14:solidFill>
                    <w14:schemeClr w14:val="tx1"/>
                  </w14:solidFill>
                </w14:textFill>
              </w:rPr>
              <w:t xml:space="preserve">                </w:t>
            </w:r>
          </w:p>
          <w:p>
            <w:pPr>
              <w:pStyle w:val="131"/>
              <w:adjustRightInd/>
              <w:spacing w:before="0"/>
              <w:ind w:firstLine="0" w:firstLineChars="0"/>
              <w:jc w:val="left"/>
              <w:outlineLvl w:val="2"/>
              <w:rPr>
                <w:color w:val="000000" w:themeColor="text1"/>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2、</w:t>
            </w:r>
            <w:r>
              <w:rPr>
                <w:rFonts w:hint="eastAsia" w:ascii="宋体" w:hAnsi="宋体" w:cs="宋体"/>
                <w:b/>
                <w:color w:val="000000" w:themeColor="text1"/>
                <w:szCs w:val="24"/>
                <w:highlight w:val="none"/>
                <w14:textFill>
                  <w14:solidFill>
                    <w14:schemeClr w14:val="tx1"/>
                  </w14:solidFill>
                </w14:textFill>
              </w:rPr>
              <w:t>合同履约期限：</w:t>
            </w:r>
            <w:r>
              <w:rPr>
                <w:rFonts w:hint="eastAsia" w:ascii="宋体" w:hAnsi="宋体" w:cs="宋体"/>
                <w:color w:val="000000" w:themeColor="text1"/>
                <w:szCs w:val="24"/>
                <w:highlight w:val="none"/>
                <w:u w:val="single"/>
                <w:lang w:val="en-US" w:eastAsia="zh-CN"/>
                <w14:textFill>
                  <w14:solidFill>
                    <w14:schemeClr w14:val="tx1"/>
                  </w14:solidFill>
                </w14:textFill>
              </w:rPr>
              <w:t>90</w:t>
            </w:r>
            <w:r>
              <w:rPr>
                <w:rFonts w:hint="eastAsia" w:ascii="宋体" w:hAnsi="宋体" w:cs="宋体"/>
                <w:color w:val="000000" w:themeColor="text1"/>
                <w:szCs w:val="24"/>
                <w:highlight w:val="none"/>
                <w14:textFill>
                  <w14:solidFill>
                    <w14:schemeClr w14:val="tx1"/>
                  </w14:solidFill>
                </w14:textFill>
              </w:rPr>
              <w:t>日历天（具体以合同签订时间为准，含完成设备供货安装及内容系统的部署、配套装饰等，经测试运行及培训，并通过采购人组织初步验收确认合格，投入运行）。</w:t>
            </w:r>
          </w:p>
        </w:tc>
      </w:tr>
    </w:tbl>
    <w:p>
      <w:pPr>
        <w:snapToGrid w:val="0"/>
        <w:spacing w:line="360" w:lineRule="auto"/>
        <w:ind w:left="480"/>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注：</w:t>
      </w:r>
    </w:p>
    <w:p>
      <w:pPr>
        <w:spacing w:line="360" w:lineRule="auto"/>
        <w:ind w:left="-2" w:leftChars="-1"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1、供应商需按本表格式填写，不得自行更改。</w:t>
      </w:r>
    </w:p>
    <w:p>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2、有关本项目实施所涉及的一切费用均计入报价。</w:t>
      </w:r>
    </w:p>
    <w:p>
      <w:pPr>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w:t>
      </w:r>
      <w:r>
        <w:rPr>
          <w:rFonts w:hint="eastAsia" w:ascii="宋体" w:hAnsi="宋体" w:cs="宋体"/>
          <w:color w:val="000000" w:themeColor="text1"/>
          <w:kern w:val="0"/>
          <w:sz w:val="24"/>
          <w:highlight w:val="none"/>
          <w:lang w:val="zh-CN"/>
          <w14:textFill>
            <w14:solidFill>
              <w14:schemeClr w14:val="tx1"/>
            </w14:solidFill>
          </w14:textFill>
        </w:rPr>
        <w:t>、特别提示：采购机构将对项目名称和项目编号，中标供应商名称、地址和中标金额，主要中标标的的名称、规格型号、数量、单价、服务要求等予以公示。</w:t>
      </w:r>
    </w:p>
    <w:p>
      <w:pPr>
        <w:snapToGrid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szCs w:val="22"/>
          <w:highlight w:val="none"/>
          <w14:textFill>
            <w14:solidFill>
              <w14:schemeClr w14:val="tx1"/>
            </w14:solidFill>
          </w14:textFill>
        </w:rPr>
        <w:t>4</w:t>
      </w:r>
      <w:r>
        <w:rPr>
          <w:rFonts w:hint="eastAsia" w:ascii="宋体" w:hAnsi="宋体" w:cs="宋体"/>
          <w:color w:val="000000" w:themeColor="text1"/>
          <w:kern w:val="0"/>
          <w:sz w:val="24"/>
          <w:szCs w:val="22"/>
          <w:highlight w:val="none"/>
          <w:lang w:val="zh-CN"/>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pPr>
        <w:spacing w:line="360" w:lineRule="auto"/>
        <w:ind w:firstLine="482" w:firstLineChars="200"/>
        <w:rPr>
          <w:rFonts w:ascii="宋体" w:hAnsi="宋体" w:cs="宋体"/>
          <w:b/>
          <w:color w:val="000000" w:themeColor="text1"/>
          <w:kern w:val="0"/>
          <w:sz w:val="24"/>
          <w:highlight w:val="none"/>
          <w14:textFill>
            <w14:solidFill>
              <w14:schemeClr w14:val="tx1"/>
            </w14:solidFill>
          </w14:textFill>
        </w:rPr>
      </w:pPr>
    </w:p>
    <w:p>
      <w:pP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br w:type="page"/>
      </w:r>
    </w:p>
    <w:p>
      <w:pPr>
        <w:spacing w:line="500" w:lineRule="exact"/>
        <w:ind w:right="968" w:rightChars="461"/>
        <w:jc w:val="center"/>
        <w:rPr>
          <w:rFonts w:ascii="宋体" w:hAnsi="宋体"/>
          <w:b/>
          <w:color w:val="000000" w:themeColor="text1"/>
          <w:sz w:val="30"/>
          <w:szCs w:val="30"/>
          <w:highlight w:val="none"/>
          <w14:textFill>
            <w14:solidFill>
              <w14:schemeClr w14:val="tx1"/>
            </w14:solidFill>
          </w14:textFill>
        </w:rPr>
      </w:pPr>
      <w:r>
        <w:rPr>
          <w:rFonts w:hint="eastAsia" w:ascii="宋体" w:hAnsi="宋体"/>
          <w:b/>
          <w:color w:val="000000" w:themeColor="text1"/>
          <w:sz w:val="30"/>
          <w:szCs w:val="30"/>
          <w:highlight w:val="none"/>
          <w14:textFill>
            <w14:solidFill>
              <w14:schemeClr w14:val="tx1"/>
            </w14:solidFill>
          </w14:textFill>
        </w:rPr>
        <w:t>二、</w:t>
      </w:r>
      <w:r>
        <w:rPr>
          <w:rFonts w:ascii="宋体" w:hAnsi="宋体"/>
          <w:b/>
          <w:color w:val="000000" w:themeColor="text1"/>
          <w:sz w:val="30"/>
          <w:szCs w:val="30"/>
          <w:highlight w:val="none"/>
          <w14:textFill>
            <w14:solidFill>
              <w14:schemeClr w14:val="tx1"/>
            </w14:solidFill>
          </w14:textFill>
        </w:rPr>
        <w:t>推荐供选择的配套零部件及价格表</w:t>
      </w:r>
    </w:p>
    <w:tbl>
      <w:tblPr>
        <w:tblStyle w:val="63"/>
        <w:tblpPr w:leftFromText="180" w:rightFromText="180" w:vertAnchor="text" w:horzAnchor="page" w:tblpX="1290" w:tblpY="443"/>
        <w:tblOverlap w:val="never"/>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809"/>
        <w:gridCol w:w="1775"/>
        <w:gridCol w:w="900"/>
        <w:gridCol w:w="1080"/>
        <w:gridCol w:w="1170"/>
        <w:gridCol w:w="1170"/>
        <w:gridCol w:w="120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809" w:type="dxa"/>
            <w:vMerge w:val="restart"/>
            <w:vAlign w:val="center"/>
          </w:tcPr>
          <w:p>
            <w:pPr>
              <w:spacing w:line="500" w:lineRule="exact"/>
              <w:rPr>
                <w:b/>
                <w:color w:val="000000" w:themeColor="text1"/>
                <w:szCs w:val="21"/>
                <w:highlight w:val="none"/>
                <w14:textFill>
                  <w14:solidFill>
                    <w14:schemeClr w14:val="tx1"/>
                  </w14:solidFill>
                </w14:textFill>
              </w:rPr>
            </w:pPr>
            <w:r>
              <w:rPr>
                <w:rFonts w:hAnsi="宋体"/>
                <w:b/>
                <w:color w:val="000000" w:themeColor="text1"/>
                <w:szCs w:val="21"/>
                <w:highlight w:val="none"/>
                <w14:textFill>
                  <w14:solidFill>
                    <w14:schemeClr w14:val="tx1"/>
                  </w14:solidFill>
                </w14:textFill>
              </w:rPr>
              <w:t>名称及编号</w:t>
            </w:r>
          </w:p>
        </w:tc>
        <w:tc>
          <w:tcPr>
            <w:tcW w:w="1775" w:type="dxa"/>
            <w:vMerge w:val="restart"/>
            <w:vAlign w:val="center"/>
          </w:tcPr>
          <w:p>
            <w:pPr>
              <w:spacing w:line="500" w:lineRule="exact"/>
              <w:ind w:firstLine="482"/>
              <w:rPr>
                <w:b/>
                <w:color w:val="000000" w:themeColor="text1"/>
                <w:szCs w:val="21"/>
                <w:highlight w:val="none"/>
                <w14:textFill>
                  <w14:solidFill>
                    <w14:schemeClr w14:val="tx1"/>
                  </w14:solidFill>
                </w14:textFill>
              </w:rPr>
            </w:pPr>
            <w:r>
              <w:rPr>
                <w:rFonts w:hAnsi="宋体"/>
                <w:b/>
                <w:color w:val="000000" w:themeColor="text1"/>
                <w:szCs w:val="21"/>
                <w:highlight w:val="none"/>
                <w14:textFill>
                  <w14:solidFill>
                    <w14:schemeClr w14:val="tx1"/>
                  </w14:solidFill>
                </w14:textFill>
              </w:rPr>
              <w:t>备件名称</w:t>
            </w:r>
          </w:p>
        </w:tc>
        <w:tc>
          <w:tcPr>
            <w:tcW w:w="900" w:type="dxa"/>
            <w:vMerge w:val="restart"/>
            <w:vAlign w:val="center"/>
          </w:tcPr>
          <w:p>
            <w:pPr>
              <w:spacing w:line="500" w:lineRule="exact"/>
              <w:rPr>
                <w:b/>
                <w:color w:val="000000" w:themeColor="text1"/>
                <w:szCs w:val="21"/>
                <w:highlight w:val="none"/>
                <w14:textFill>
                  <w14:solidFill>
                    <w14:schemeClr w14:val="tx1"/>
                  </w14:solidFill>
                </w14:textFill>
              </w:rPr>
            </w:pPr>
            <w:r>
              <w:rPr>
                <w:rFonts w:hAnsi="宋体"/>
                <w:b/>
                <w:color w:val="000000" w:themeColor="text1"/>
                <w:szCs w:val="21"/>
                <w:highlight w:val="none"/>
                <w14:textFill>
                  <w14:solidFill>
                    <w14:schemeClr w14:val="tx1"/>
                  </w14:solidFill>
                </w14:textFill>
              </w:rPr>
              <w:t>数量</w:t>
            </w:r>
          </w:p>
        </w:tc>
        <w:tc>
          <w:tcPr>
            <w:tcW w:w="1080" w:type="dxa"/>
            <w:vMerge w:val="restart"/>
            <w:vAlign w:val="center"/>
          </w:tcPr>
          <w:p>
            <w:pPr>
              <w:spacing w:line="500" w:lineRule="exact"/>
              <w:rPr>
                <w:b/>
                <w:color w:val="000000" w:themeColor="text1"/>
                <w:szCs w:val="21"/>
                <w:highlight w:val="none"/>
                <w14:textFill>
                  <w14:solidFill>
                    <w14:schemeClr w14:val="tx1"/>
                  </w14:solidFill>
                </w14:textFill>
              </w:rPr>
            </w:pPr>
            <w:r>
              <w:rPr>
                <w:rFonts w:hAnsi="宋体"/>
                <w:b/>
                <w:color w:val="000000" w:themeColor="text1"/>
                <w:szCs w:val="21"/>
                <w:highlight w:val="none"/>
                <w14:textFill>
                  <w14:solidFill>
                    <w14:schemeClr w14:val="tx1"/>
                  </w14:solidFill>
                </w14:textFill>
              </w:rPr>
              <w:t>单位</w:t>
            </w:r>
          </w:p>
        </w:tc>
        <w:tc>
          <w:tcPr>
            <w:tcW w:w="2340" w:type="dxa"/>
            <w:gridSpan w:val="2"/>
            <w:vAlign w:val="center"/>
          </w:tcPr>
          <w:p>
            <w:pPr>
              <w:spacing w:line="500" w:lineRule="exact"/>
              <w:ind w:firstLine="173" w:firstLineChars="82"/>
              <w:rPr>
                <w:b/>
                <w:color w:val="000000" w:themeColor="text1"/>
                <w:szCs w:val="21"/>
                <w:highlight w:val="none"/>
                <w14:textFill>
                  <w14:solidFill>
                    <w14:schemeClr w14:val="tx1"/>
                  </w14:solidFill>
                </w14:textFill>
              </w:rPr>
            </w:pPr>
            <w:r>
              <w:rPr>
                <w:rFonts w:hAnsi="宋体"/>
                <w:b/>
                <w:color w:val="000000" w:themeColor="text1"/>
                <w:szCs w:val="21"/>
                <w:highlight w:val="none"/>
                <w14:textFill>
                  <w14:solidFill>
                    <w14:schemeClr w14:val="tx1"/>
                  </w14:solidFill>
                </w14:textFill>
              </w:rPr>
              <w:t>价格（元</w:t>
            </w:r>
            <w:r>
              <w:rPr>
                <w:rFonts w:hint="eastAsia" w:hAnsi="宋体"/>
                <w:b/>
                <w:color w:val="000000" w:themeColor="text1"/>
                <w:szCs w:val="21"/>
                <w:highlight w:val="none"/>
                <w14:textFill>
                  <w14:solidFill>
                    <w14:schemeClr w14:val="tx1"/>
                  </w14:solidFill>
                </w14:textFill>
              </w:rPr>
              <w:t>/含税</w:t>
            </w:r>
            <w:r>
              <w:rPr>
                <w:rFonts w:hAnsi="宋体"/>
                <w:b/>
                <w:color w:val="000000" w:themeColor="text1"/>
                <w:szCs w:val="21"/>
                <w:highlight w:val="none"/>
                <w14:textFill>
                  <w14:solidFill>
                    <w14:schemeClr w14:val="tx1"/>
                  </w14:solidFill>
                </w14:textFill>
              </w:rPr>
              <w:t>）</w:t>
            </w:r>
          </w:p>
        </w:tc>
        <w:tc>
          <w:tcPr>
            <w:tcW w:w="1204" w:type="dxa"/>
            <w:vMerge w:val="restart"/>
            <w:vAlign w:val="center"/>
          </w:tcPr>
          <w:p>
            <w:pPr>
              <w:spacing w:line="500" w:lineRule="exact"/>
              <w:ind w:firstLine="482"/>
              <w:jc w:val="center"/>
              <w:rPr>
                <w:b/>
                <w:color w:val="000000" w:themeColor="text1"/>
                <w:szCs w:val="21"/>
                <w:highlight w:val="none"/>
                <w14:textFill>
                  <w14:solidFill>
                    <w14:schemeClr w14:val="tx1"/>
                  </w14:solidFill>
                </w14:textFill>
              </w:rPr>
            </w:pPr>
            <w:r>
              <w:rPr>
                <w:rFonts w:hAnsi="宋体"/>
                <w:b/>
                <w:color w:val="000000" w:themeColor="text1"/>
                <w:szCs w:val="21"/>
                <w:highlight w:val="none"/>
                <w14:textFill>
                  <w14:solidFill>
                    <w14:schemeClr w14:val="tx1"/>
                  </w14:solidFill>
                </w14:textFill>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809" w:type="dxa"/>
            <w:vMerge w:val="continue"/>
            <w:vAlign w:val="center"/>
          </w:tcPr>
          <w:p>
            <w:pPr>
              <w:spacing w:line="500" w:lineRule="exact"/>
              <w:ind w:firstLine="482"/>
              <w:jc w:val="center"/>
              <w:rPr>
                <w:b/>
                <w:color w:val="000000" w:themeColor="text1"/>
                <w:szCs w:val="21"/>
                <w:highlight w:val="none"/>
                <w14:textFill>
                  <w14:solidFill>
                    <w14:schemeClr w14:val="tx1"/>
                  </w14:solidFill>
                </w14:textFill>
              </w:rPr>
            </w:pPr>
          </w:p>
        </w:tc>
        <w:tc>
          <w:tcPr>
            <w:tcW w:w="1775" w:type="dxa"/>
            <w:vMerge w:val="continue"/>
            <w:vAlign w:val="center"/>
          </w:tcPr>
          <w:p>
            <w:pPr>
              <w:spacing w:line="500" w:lineRule="exact"/>
              <w:ind w:firstLine="482"/>
              <w:jc w:val="center"/>
              <w:rPr>
                <w:b/>
                <w:color w:val="000000" w:themeColor="text1"/>
                <w:szCs w:val="21"/>
                <w:highlight w:val="none"/>
                <w14:textFill>
                  <w14:solidFill>
                    <w14:schemeClr w14:val="tx1"/>
                  </w14:solidFill>
                </w14:textFill>
              </w:rPr>
            </w:pPr>
          </w:p>
        </w:tc>
        <w:tc>
          <w:tcPr>
            <w:tcW w:w="900" w:type="dxa"/>
            <w:vMerge w:val="continue"/>
            <w:vAlign w:val="center"/>
          </w:tcPr>
          <w:p>
            <w:pPr>
              <w:spacing w:line="500" w:lineRule="exact"/>
              <w:ind w:firstLine="482"/>
              <w:jc w:val="center"/>
              <w:rPr>
                <w:b/>
                <w:color w:val="000000" w:themeColor="text1"/>
                <w:szCs w:val="21"/>
                <w:highlight w:val="none"/>
                <w14:textFill>
                  <w14:solidFill>
                    <w14:schemeClr w14:val="tx1"/>
                  </w14:solidFill>
                </w14:textFill>
              </w:rPr>
            </w:pPr>
          </w:p>
        </w:tc>
        <w:tc>
          <w:tcPr>
            <w:tcW w:w="1080" w:type="dxa"/>
            <w:vMerge w:val="continue"/>
            <w:vAlign w:val="center"/>
          </w:tcPr>
          <w:p>
            <w:pPr>
              <w:spacing w:line="500" w:lineRule="exact"/>
              <w:ind w:firstLine="482"/>
              <w:jc w:val="center"/>
              <w:rPr>
                <w:b/>
                <w:color w:val="000000" w:themeColor="text1"/>
                <w:szCs w:val="21"/>
                <w:highlight w:val="none"/>
                <w14:textFill>
                  <w14:solidFill>
                    <w14:schemeClr w14:val="tx1"/>
                  </w14:solidFill>
                </w14:textFill>
              </w:rPr>
            </w:pPr>
          </w:p>
        </w:tc>
        <w:tc>
          <w:tcPr>
            <w:tcW w:w="1170" w:type="dxa"/>
            <w:vAlign w:val="center"/>
          </w:tcPr>
          <w:p>
            <w:pPr>
              <w:spacing w:line="500" w:lineRule="exact"/>
              <w:rPr>
                <w:b/>
                <w:color w:val="000000" w:themeColor="text1"/>
                <w:szCs w:val="21"/>
                <w:highlight w:val="none"/>
                <w14:textFill>
                  <w14:solidFill>
                    <w14:schemeClr w14:val="tx1"/>
                  </w14:solidFill>
                </w14:textFill>
              </w:rPr>
            </w:pPr>
            <w:r>
              <w:rPr>
                <w:rFonts w:hAnsi="宋体"/>
                <w:b/>
                <w:color w:val="000000" w:themeColor="text1"/>
                <w:szCs w:val="21"/>
                <w:highlight w:val="none"/>
                <w14:textFill>
                  <w14:solidFill>
                    <w14:schemeClr w14:val="tx1"/>
                  </w14:solidFill>
                </w14:textFill>
              </w:rPr>
              <w:t>单价</w:t>
            </w:r>
          </w:p>
        </w:tc>
        <w:tc>
          <w:tcPr>
            <w:tcW w:w="1170" w:type="dxa"/>
            <w:vAlign w:val="center"/>
          </w:tcPr>
          <w:p>
            <w:pPr>
              <w:spacing w:line="500" w:lineRule="exact"/>
              <w:rPr>
                <w:b/>
                <w:color w:val="000000" w:themeColor="text1"/>
                <w:szCs w:val="21"/>
                <w:highlight w:val="none"/>
                <w14:textFill>
                  <w14:solidFill>
                    <w14:schemeClr w14:val="tx1"/>
                  </w14:solidFill>
                </w14:textFill>
              </w:rPr>
            </w:pPr>
            <w:r>
              <w:rPr>
                <w:rFonts w:hint="eastAsia" w:hAnsi="宋体"/>
                <w:b/>
                <w:color w:val="000000" w:themeColor="text1"/>
                <w:szCs w:val="21"/>
                <w:highlight w:val="none"/>
                <w14:textFill>
                  <w14:solidFill>
                    <w14:schemeClr w14:val="tx1"/>
                  </w14:solidFill>
                </w14:textFill>
              </w:rPr>
              <w:t>小计</w:t>
            </w:r>
          </w:p>
        </w:tc>
        <w:tc>
          <w:tcPr>
            <w:tcW w:w="1204" w:type="dxa"/>
            <w:vMerge w:val="continue"/>
            <w:vAlign w:val="center"/>
          </w:tcPr>
          <w:p>
            <w:pPr>
              <w:spacing w:line="500" w:lineRule="exact"/>
              <w:ind w:firstLine="482"/>
              <w:jc w:val="center"/>
              <w:rPr>
                <w:b/>
                <w:color w:val="000000" w:themeColor="text1"/>
                <w:szCs w:val="21"/>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809"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775"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90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08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204" w:type="dxa"/>
            <w:vAlign w:val="center"/>
          </w:tcPr>
          <w:p>
            <w:pPr>
              <w:spacing w:line="500" w:lineRule="exact"/>
              <w:ind w:firstLine="480"/>
              <w:jc w:val="center"/>
              <w:rPr>
                <w:color w:val="000000" w:themeColor="text1"/>
                <w:szCs w:val="21"/>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809"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775"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90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08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204" w:type="dxa"/>
            <w:vAlign w:val="center"/>
          </w:tcPr>
          <w:p>
            <w:pPr>
              <w:spacing w:line="500" w:lineRule="exact"/>
              <w:ind w:firstLine="480"/>
              <w:jc w:val="center"/>
              <w:rPr>
                <w:color w:val="000000" w:themeColor="text1"/>
                <w:szCs w:val="21"/>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809"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775"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90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08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204" w:type="dxa"/>
            <w:vAlign w:val="center"/>
          </w:tcPr>
          <w:p>
            <w:pPr>
              <w:spacing w:line="500" w:lineRule="exact"/>
              <w:ind w:firstLine="480"/>
              <w:jc w:val="center"/>
              <w:rPr>
                <w:color w:val="000000" w:themeColor="text1"/>
                <w:szCs w:val="21"/>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809"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775"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90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08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204" w:type="dxa"/>
            <w:vAlign w:val="center"/>
          </w:tcPr>
          <w:p>
            <w:pPr>
              <w:spacing w:line="500" w:lineRule="exact"/>
              <w:ind w:firstLine="480"/>
              <w:jc w:val="center"/>
              <w:rPr>
                <w:color w:val="000000" w:themeColor="text1"/>
                <w:szCs w:val="21"/>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809"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775"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90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08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204" w:type="dxa"/>
            <w:vAlign w:val="center"/>
          </w:tcPr>
          <w:p>
            <w:pPr>
              <w:spacing w:line="500" w:lineRule="exact"/>
              <w:ind w:firstLine="480"/>
              <w:jc w:val="center"/>
              <w:rPr>
                <w:color w:val="000000" w:themeColor="text1"/>
                <w:szCs w:val="21"/>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809"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775"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90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08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204" w:type="dxa"/>
            <w:vAlign w:val="center"/>
          </w:tcPr>
          <w:p>
            <w:pPr>
              <w:spacing w:line="500" w:lineRule="exact"/>
              <w:ind w:firstLine="480"/>
              <w:jc w:val="center"/>
              <w:rPr>
                <w:color w:val="000000" w:themeColor="text1"/>
                <w:szCs w:val="21"/>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809"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775"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90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08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204" w:type="dxa"/>
            <w:vAlign w:val="center"/>
          </w:tcPr>
          <w:p>
            <w:pPr>
              <w:spacing w:line="500" w:lineRule="exact"/>
              <w:ind w:firstLine="480"/>
              <w:jc w:val="center"/>
              <w:rPr>
                <w:color w:val="000000" w:themeColor="text1"/>
                <w:szCs w:val="21"/>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809"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775"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90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08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204" w:type="dxa"/>
            <w:vAlign w:val="center"/>
          </w:tcPr>
          <w:p>
            <w:pPr>
              <w:spacing w:line="500" w:lineRule="exact"/>
              <w:ind w:firstLine="480"/>
              <w:jc w:val="center"/>
              <w:rPr>
                <w:color w:val="000000" w:themeColor="text1"/>
                <w:szCs w:val="21"/>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809"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775"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90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08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204" w:type="dxa"/>
            <w:vAlign w:val="center"/>
          </w:tcPr>
          <w:p>
            <w:pPr>
              <w:spacing w:line="500" w:lineRule="exact"/>
              <w:ind w:firstLine="480"/>
              <w:jc w:val="center"/>
              <w:rPr>
                <w:color w:val="000000" w:themeColor="text1"/>
                <w:szCs w:val="21"/>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809"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775"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90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08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204" w:type="dxa"/>
            <w:vAlign w:val="center"/>
          </w:tcPr>
          <w:p>
            <w:pPr>
              <w:spacing w:line="500" w:lineRule="exact"/>
              <w:ind w:firstLine="480"/>
              <w:jc w:val="center"/>
              <w:rPr>
                <w:color w:val="000000" w:themeColor="text1"/>
                <w:szCs w:val="21"/>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809"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775"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90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08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204" w:type="dxa"/>
            <w:vAlign w:val="center"/>
          </w:tcPr>
          <w:p>
            <w:pPr>
              <w:spacing w:line="500" w:lineRule="exact"/>
              <w:ind w:firstLine="480"/>
              <w:jc w:val="center"/>
              <w:rPr>
                <w:color w:val="000000" w:themeColor="text1"/>
                <w:szCs w:val="21"/>
                <w:highlight w:val="none"/>
                <w14:textFill>
                  <w14:solidFill>
                    <w14:schemeClr w14:val="tx1"/>
                  </w14:solidFill>
                </w14:textFill>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809"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775"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90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08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170" w:type="dxa"/>
            <w:vAlign w:val="center"/>
          </w:tcPr>
          <w:p>
            <w:pPr>
              <w:spacing w:line="500" w:lineRule="exact"/>
              <w:ind w:firstLine="480"/>
              <w:jc w:val="center"/>
              <w:rPr>
                <w:color w:val="000000" w:themeColor="text1"/>
                <w:szCs w:val="21"/>
                <w:highlight w:val="none"/>
                <w14:textFill>
                  <w14:solidFill>
                    <w14:schemeClr w14:val="tx1"/>
                  </w14:solidFill>
                </w14:textFill>
              </w:rPr>
            </w:pPr>
          </w:p>
        </w:tc>
        <w:tc>
          <w:tcPr>
            <w:tcW w:w="1204" w:type="dxa"/>
            <w:vAlign w:val="center"/>
          </w:tcPr>
          <w:p>
            <w:pPr>
              <w:spacing w:line="500" w:lineRule="exact"/>
              <w:ind w:firstLine="480"/>
              <w:jc w:val="center"/>
              <w:rPr>
                <w:color w:val="000000" w:themeColor="text1"/>
                <w:szCs w:val="21"/>
                <w:highlight w:val="none"/>
                <w14:textFill>
                  <w14:solidFill>
                    <w14:schemeClr w14:val="tx1"/>
                  </w14:solidFill>
                </w14:textFill>
              </w:rPr>
            </w:pPr>
          </w:p>
        </w:tc>
      </w:tr>
    </w:tbl>
    <w:p>
      <w:pPr>
        <w:ind w:firstLine="482"/>
        <w:jc w:val="center"/>
        <w:rPr>
          <w:b/>
          <w:color w:val="000000" w:themeColor="text1"/>
          <w:szCs w:val="21"/>
          <w:highlight w:val="none"/>
          <w14:textFill>
            <w14:solidFill>
              <w14:schemeClr w14:val="tx1"/>
            </w14:solidFill>
          </w14:textFill>
        </w:rPr>
      </w:pPr>
      <w:r>
        <w:rPr>
          <w:rFonts w:hAnsi="宋体"/>
          <w:b/>
          <w:color w:val="000000" w:themeColor="text1"/>
          <w:szCs w:val="21"/>
          <w:highlight w:val="none"/>
          <w14:textFill>
            <w14:solidFill>
              <w14:schemeClr w14:val="tx1"/>
            </w14:solidFill>
          </w14:textFill>
        </w:rPr>
        <w:t>（</w:t>
      </w:r>
      <w:r>
        <w:rPr>
          <w:rFonts w:hint="eastAsia" w:hAnsi="宋体"/>
          <w:b/>
          <w:color w:val="000000" w:themeColor="text1"/>
          <w:szCs w:val="21"/>
          <w:highlight w:val="none"/>
          <w14:textFill>
            <w14:solidFill>
              <w14:schemeClr w14:val="tx1"/>
            </w14:solidFill>
          </w14:textFill>
        </w:rPr>
        <w:t>质保期</w:t>
      </w:r>
      <w:r>
        <w:rPr>
          <w:rFonts w:hAnsi="宋体"/>
          <w:b/>
          <w:color w:val="000000" w:themeColor="text1"/>
          <w:szCs w:val="21"/>
          <w:highlight w:val="none"/>
          <w14:textFill>
            <w14:solidFill>
              <w14:schemeClr w14:val="tx1"/>
            </w14:solidFill>
          </w14:textFill>
        </w:rPr>
        <w:t>外）</w:t>
      </w:r>
    </w:p>
    <w:p>
      <w:pPr>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注：1、本表中所列价格不计入投标总价，仅供采购人选购时参考。</w:t>
      </w:r>
    </w:p>
    <w:p>
      <w:pPr>
        <w:ind w:left="420" w:left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2、单价为现场交货价。</w:t>
      </w:r>
    </w:p>
    <w:p>
      <w:pPr>
        <w:snapToGrid w:val="0"/>
        <w:ind w:firstLine="4680" w:firstLineChars="1950"/>
        <w:rPr>
          <w:rFonts w:ascii="宋体" w:hAnsi="宋体" w:cs="宋体"/>
          <w:color w:val="000000" w:themeColor="text1"/>
          <w:kern w:val="0"/>
          <w:sz w:val="24"/>
          <w:highlight w:val="none"/>
          <w:lang w:val="zh-CN"/>
          <w14:textFill>
            <w14:solidFill>
              <w14:schemeClr w14:val="tx1"/>
            </w14:solidFill>
          </w14:textFill>
        </w:rPr>
      </w:pPr>
    </w:p>
    <w:p>
      <w:pPr>
        <w:snapToGrid w:val="0"/>
        <w:ind w:firstLine="4680" w:firstLineChars="195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供应商名称(电子签名)：</w:t>
      </w:r>
    </w:p>
    <w:p>
      <w:pPr>
        <w:snapToGrid w:val="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w:t>
      </w:r>
      <w:r>
        <w:rPr>
          <w:rFonts w:hint="eastAsia" w:ascii="宋体" w:hAnsi="宋体" w:cs="宋体"/>
          <w:color w:val="000000" w:themeColor="text1"/>
          <w:kern w:val="0"/>
          <w:sz w:val="24"/>
          <w:highlight w:val="none"/>
          <w14:textFill>
            <w14:solidFill>
              <w14:schemeClr w14:val="tx1"/>
            </w14:solidFill>
          </w14:textFill>
        </w:rPr>
        <w:t xml:space="preserve">：  年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w:t>
      </w:r>
    </w:p>
    <w:p>
      <w:pP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br w:type="page"/>
      </w:r>
    </w:p>
    <w:p>
      <w:pPr>
        <w:pStyle w:val="691"/>
        <w:keepNext w:val="0"/>
        <w:pageBreakBefore w:val="0"/>
        <w:tabs>
          <w:tab w:val="clear" w:pos="720"/>
        </w:tabs>
        <w:snapToGrid w:val="0"/>
        <w:spacing w:before="120" w:after="120"/>
        <w:ind w:firstLine="643"/>
        <w:outlineLvl w:val="9"/>
        <w:rPr>
          <w:rFonts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kern w:val="2"/>
          <w:sz w:val="32"/>
          <w:szCs w:val="32"/>
          <w:highlight w:val="none"/>
          <w14:textFill>
            <w14:solidFill>
              <w14:schemeClr w14:val="tx1"/>
            </w14:solidFill>
          </w14:textFill>
        </w:rPr>
        <w:t>三、</w:t>
      </w:r>
      <w:r>
        <w:rPr>
          <w:rFonts w:hint="eastAsia" w:ascii="宋体" w:hAnsi="宋体" w:eastAsia="宋体" w:cs="宋体"/>
          <w:color w:val="000000" w:themeColor="text1"/>
          <w:sz w:val="32"/>
          <w:szCs w:val="32"/>
          <w:highlight w:val="none"/>
          <w14:textFill>
            <w14:solidFill>
              <w14:schemeClr w14:val="tx1"/>
            </w14:solidFill>
          </w14:textFill>
        </w:rPr>
        <w:t>中小企业声明函</w:t>
      </w:r>
    </w:p>
    <w:p>
      <w:pPr>
        <w:widowControl/>
        <w:spacing w:line="360" w:lineRule="auto"/>
        <w:ind w:firstLine="120" w:firstLineChars="50"/>
        <w:jc w:val="left"/>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pPr>
        <w:pStyle w:val="691"/>
        <w:keepNext w:val="0"/>
        <w:pageBreakBefore w:val="0"/>
        <w:tabs>
          <w:tab w:val="clear" w:pos="720"/>
        </w:tabs>
        <w:snapToGrid w:val="0"/>
        <w:spacing w:before="120" w:after="120"/>
        <w:ind w:firstLine="643"/>
        <w:outlineLvl w:val="9"/>
        <w:rPr>
          <w:rFonts w:ascii="宋体" w:hAnsi="宋体" w:eastAsia="宋体" w:cs="宋体"/>
          <w:b w:val="0"/>
          <w:color w:val="000000" w:themeColor="text1"/>
          <w:sz w:val="32"/>
          <w:szCs w:val="32"/>
          <w:highlight w:val="none"/>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highlight w:val="none"/>
          <w14:textFill>
            <w14:solidFill>
              <w14:schemeClr w14:val="tx1"/>
            </w14:solidFill>
          </w14:textFill>
        </w:rPr>
      </w:pPr>
    </w:p>
    <w:p>
      <w:pPr>
        <w:tabs>
          <w:tab w:val="left" w:pos="8085"/>
        </w:tabs>
        <w:spacing w:line="360" w:lineRule="auto"/>
        <w:ind w:firstLine="1285" w:firstLineChars="400"/>
        <w:jc w:val="left"/>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政府采购支持中小企业信用融资相关事项通知</w:t>
      </w:r>
    </w:p>
    <w:p>
      <w:pPr>
        <w:spacing w:line="360" w:lineRule="auto"/>
        <w:ind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为贯彻落实中央、省、市关于支持民营经济健康发展有关精神，发挥政府采购在促进中小企业发展中的政策引导作用，缓解中小企业融资难、融资贵问题，杭州市财政局、</w:t>
      </w:r>
    </w:p>
    <w:p>
      <w:pPr>
        <w:spacing w:line="360" w:lineRule="auto"/>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一、适用对象</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凡已在浙江政府采购网上注册入库，并取得杭州市政府采购合同的中小企业供应商（以下简称“供应商”），均可申请政府采购信用融资。</w:t>
      </w:r>
    </w:p>
    <w:p>
      <w:pPr>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二、相关信息获取方式</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三、　政府采购信用融资操作流程：</w:t>
      </w:r>
    </w:p>
    <w:p>
      <w:pPr>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（一）线上融资模式：</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1.供应商根据合作银行提供的方案，自行选择金融产品，并办理开户等手续；</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2.供应商中标后，可通过杭州市政府采购网或“浙里办”测算授信额度；</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3.采购合同签订后，供应商在杭州市政府采购网或“浙里办”向合作银行发出融资申请；</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4.审批通过后，在线办理放贷手续。</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（二）线下融资模式：</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1.供应商根据合作银行提供的方案，自行选择金融产品，向合作银行提出信用资格预审，并办理开户等手续；</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2.采购合同签订后，供应商在杭州市政府采购网或“浙里办”向合作银行发出融资申请；</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3.合作银行在信用融资模块受理申请后，供应商提供审批材料。合作银行应对申请信用融资的供应商及备案的政府采购合同信息进行核对和审查；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4.审批通过后，合作银行应按照合作备忘录中约定的审批放款期限和优惠利率及时予以放款。</w:t>
      </w:r>
    </w:p>
    <w:p>
      <w:pPr>
        <w:pStyle w:val="6"/>
        <w:numPr>
          <w:ilvl w:val="255"/>
          <w:numId w:val="0"/>
        </w:numPr>
        <w:ind w:firstLine="960" w:firstLineChars="40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（三）杭州e融平台申请融资</w:t>
      </w:r>
    </w:p>
    <w:p>
      <w:pPr>
        <w:pStyle w:val="6"/>
        <w:numPr>
          <w:ilvl w:val="255"/>
          <w:numId w:val="0"/>
        </w:numPr>
        <w:ind w:firstLine="960" w:firstLineChars="40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供应商通过杭州e融平台政采贷专区，自行选择金融产品，按规定手续办理贷款流程。</w:t>
      </w:r>
    </w:p>
    <w:p>
      <w:pPr>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四、注意事项</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1、对拟用于信用融资的政府采购合同，供应商在签订合同时应当在合同中注明融资银行名称及账号，作为在该银行的唯一收款账号。</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2、供应商弄虚作假或以伪造政府采购合同等方式违规获取政府采购信用融资，或不及时还款，或出现其他违反本办法规定情形的，按融资合同约定承担违约责任；涉嫌犯罪的，移送司法机关处理。</w:t>
      </w:r>
    </w:p>
    <w:p>
      <w:pPr>
        <w:spacing w:line="360" w:lineRule="auto"/>
        <w:ind w:left="5060" w:hanging="5060" w:hangingChars="2100"/>
        <w:rPr>
          <w:rFonts w:ascii="宋体" w:hAnsi="宋体" w:cs="宋体"/>
          <w:b/>
          <w:bCs/>
          <w:color w:val="000000" w:themeColor="text1"/>
          <w:kern w:val="0"/>
          <w:sz w:val="24"/>
          <w:highlight w:val="none"/>
          <w14:textFill>
            <w14:solidFill>
              <w14:schemeClr w14:val="tx1"/>
            </w14:solidFill>
          </w14:textFill>
        </w:rPr>
      </w:pPr>
    </w:p>
    <w:p>
      <w:pPr>
        <w:pStyle w:val="5"/>
        <w:keepNext w:val="0"/>
        <w:keepLines w:val="0"/>
        <w:pageBreakBefore/>
        <w:widowControl/>
        <w:spacing w:before="100" w:beforeAutospacing="1" w:after="100" w:afterAutospacing="1" w:line="360" w:lineRule="auto"/>
        <w:ind w:left="1290" w:firstLine="3092" w:firstLineChars="700"/>
        <w:rPr>
          <w:rFonts w:ascii="宋体" w:hAnsi="宋体" w:cs="宋体"/>
          <w:color w:val="000000" w:themeColor="text1"/>
          <w:highlight w:val="none"/>
          <w14:textFill>
            <w14:solidFill>
              <w14:schemeClr w14:val="tx1"/>
            </w14:solidFill>
          </w14:textFill>
        </w:rPr>
      </w:pPr>
      <w:bookmarkStart w:id="551" w:name="_Toc465665161"/>
      <w:r>
        <w:rPr>
          <w:rFonts w:hint="eastAsia" w:ascii="宋体" w:hAnsi="宋体" w:cs="宋体"/>
          <w:color w:val="000000" w:themeColor="text1"/>
          <w:highlight w:val="none"/>
          <w14:textFill>
            <w14:solidFill>
              <w14:schemeClr w14:val="tx1"/>
            </w14:solidFill>
          </w14:textFill>
        </w:rPr>
        <w:t>附件</w:t>
      </w:r>
      <w:bookmarkEnd w:id="551"/>
    </w:p>
    <w:p>
      <w:pPr>
        <w:spacing w:line="360" w:lineRule="auto"/>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附件1：</w:t>
      </w:r>
    </w:p>
    <w:p>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bookmarkStart w:id="552" w:name="OLE_LINK13"/>
      <w:bookmarkStart w:id="553" w:name="OLE_LINK14"/>
      <w:r>
        <w:rPr>
          <w:rFonts w:hint="eastAsia" w:ascii="宋体" w:hAnsi="宋体" w:cs="宋体"/>
          <w:b/>
          <w:color w:val="000000" w:themeColor="text1"/>
          <w:spacing w:val="6"/>
          <w:sz w:val="32"/>
          <w:szCs w:val="32"/>
          <w:highlight w:val="none"/>
          <w14:textFill>
            <w14:solidFill>
              <w14:schemeClr w14:val="tx1"/>
            </w14:solidFill>
          </w14:textFill>
        </w:rPr>
        <w:t>残疾人福利性单位声明函</w:t>
      </w:r>
    </w:p>
    <w:bookmarkEnd w:id="552"/>
    <w:bookmarkEnd w:id="553"/>
    <w:p>
      <w:pPr>
        <w:spacing w:line="360" w:lineRule="auto"/>
        <w:rPr>
          <w:rFonts w:ascii="宋体" w:hAnsi="宋体" w:cs="宋体"/>
          <w:b/>
          <w:color w:val="000000" w:themeColor="text1"/>
          <w:spacing w:val="6"/>
          <w:sz w:val="30"/>
          <w:szCs w:val="30"/>
          <w:highlight w:val="none"/>
          <w14:textFill>
            <w14:solidFill>
              <w14:schemeClr w14:val="tx1"/>
            </w14:solidFill>
          </w14:textFill>
        </w:rPr>
      </w:pP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本单位对上述声明的真实性负责。如有虚假，将依法承担相应责任。</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pPr>
        <w:tabs>
          <w:tab w:val="left" w:pos="4860"/>
        </w:tabs>
        <w:spacing w:line="360" w:lineRule="auto"/>
        <w:ind w:right="1560" w:firstLine="480" w:firstLineChars="20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供应商名称（电子签名）</w:t>
      </w:r>
      <w:r>
        <w:rPr>
          <w:rFonts w:hint="eastAsia" w:ascii="宋体" w:hAnsi="宋体" w:cs="宋体"/>
          <w:color w:val="000000" w:themeColor="text1"/>
          <w:sz w:val="24"/>
          <w:highlight w:val="none"/>
          <w14:textFill>
            <w14:solidFill>
              <w14:schemeClr w14:val="tx1"/>
            </w14:solidFill>
          </w14:textFill>
        </w:rPr>
        <w:t>：</w:t>
      </w:r>
    </w:p>
    <w:p>
      <w:pPr>
        <w:tabs>
          <w:tab w:val="left" w:pos="4860"/>
        </w:tabs>
        <w:spacing w:line="360" w:lineRule="auto"/>
        <w:ind w:right="1560" w:firstLine="480" w:firstLineChars="20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  期：</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pPr>
        <w:spacing w:line="360" w:lineRule="auto"/>
        <w:ind w:firstLine="420" w:firstLineChars="200"/>
        <w:rPr>
          <w:rFonts w:ascii="宋体" w:hAnsi="宋体" w:cs="宋体"/>
          <w:color w:val="000000" w:themeColor="text1"/>
          <w:highlight w:val="none"/>
          <w14:textFill>
            <w14:solidFill>
              <w14:schemeClr w14:val="tx1"/>
            </w14:solidFill>
          </w14:textFill>
        </w:rPr>
      </w:pPr>
    </w:p>
    <w:p>
      <w:pPr>
        <w:spacing w:line="360" w:lineRule="auto"/>
        <w:ind w:firstLine="420" w:firstLineChars="200"/>
        <w:rPr>
          <w:rFonts w:ascii="宋体" w:hAnsi="宋体" w:cs="宋体"/>
          <w:color w:val="000000" w:themeColor="text1"/>
          <w:highlight w:val="none"/>
          <w14:textFill>
            <w14:solidFill>
              <w14:schemeClr w14:val="tx1"/>
            </w14:solidFill>
          </w14:textFill>
        </w:rPr>
      </w:pPr>
    </w:p>
    <w:p>
      <w:pPr>
        <w:spacing w:line="360" w:lineRule="auto"/>
        <w:ind w:firstLine="420" w:firstLineChars="200"/>
        <w:rPr>
          <w:rFonts w:ascii="宋体" w:hAnsi="宋体" w:cs="宋体"/>
          <w:color w:val="000000" w:themeColor="text1"/>
          <w:highlight w:val="none"/>
          <w14:textFill>
            <w14:solidFill>
              <w14:schemeClr w14:val="tx1"/>
            </w14:solidFill>
          </w14:textFill>
        </w:rPr>
      </w:pPr>
    </w:p>
    <w:p>
      <w:pPr>
        <w:spacing w:line="360" w:lineRule="auto"/>
        <w:ind w:firstLine="420" w:firstLineChars="200"/>
        <w:rPr>
          <w:rFonts w:ascii="宋体" w:hAnsi="宋体" w:cs="宋体"/>
          <w:color w:val="000000" w:themeColor="text1"/>
          <w:highlight w:val="none"/>
          <w14:textFill>
            <w14:solidFill>
              <w14:schemeClr w14:val="tx1"/>
            </w14:solidFill>
          </w14:textFill>
        </w:rPr>
      </w:pPr>
    </w:p>
    <w:p>
      <w:pPr>
        <w:spacing w:line="360" w:lineRule="auto"/>
        <w:rPr>
          <w:rFonts w:ascii="宋体" w:hAnsi="宋体" w:cs="宋体"/>
          <w:b/>
          <w:color w:val="000000" w:themeColor="text1"/>
          <w:sz w:val="24"/>
          <w:highlight w:val="none"/>
          <w14:textFill>
            <w14:solidFill>
              <w14:schemeClr w14:val="tx1"/>
            </w14:solidFill>
          </w14:textFill>
        </w:rPr>
      </w:pPr>
    </w:p>
    <w:p>
      <w:pPr>
        <w:spacing w:line="360" w:lineRule="auto"/>
        <w:rPr>
          <w:rFonts w:ascii="宋体" w:hAnsi="宋体" w:cs="宋体"/>
          <w:b/>
          <w:color w:val="000000" w:themeColor="text1"/>
          <w:sz w:val="24"/>
          <w:highlight w:val="none"/>
          <w14:textFill>
            <w14:solidFill>
              <w14:schemeClr w14:val="tx1"/>
            </w14:solidFill>
          </w14:textFill>
        </w:rPr>
      </w:pPr>
    </w:p>
    <w:p>
      <w:pPr>
        <w:spacing w:line="360" w:lineRule="auto"/>
        <w:rPr>
          <w:rFonts w:ascii="宋体" w:hAnsi="宋体" w:cs="宋体"/>
          <w:b/>
          <w:color w:val="000000" w:themeColor="text1"/>
          <w:sz w:val="24"/>
          <w:highlight w:val="none"/>
          <w14:textFill>
            <w14:solidFill>
              <w14:schemeClr w14:val="tx1"/>
            </w14:solidFill>
          </w14:textFill>
        </w:rPr>
      </w:pPr>
    </w:p>
    <w:p>
      <w:pPr>
        <w:spacing w:line="360" w:lineRule="auto"/>
        <w:rPr>
          <w:rFonts w:ascii="宋体" w:hAnsi="宋体" w:cs="宋体"/>
          <w:b/>
          <w:color w:val="000000" w:themeColor="text1"/>
          <w:sz w:val="24"/>
          <w:highlight w:val="none"/>
          <w14:textFill>
            <w14:solidFill>
              <w14:schemeClr w14:val="tx1"/>
            </w14:solidFill>
          </w14:textFill>
        </w:rPr>
      </w:pPr>
    </w:p>
    <w:p>
      <w:pPr>
        <w:spacing w:line="360" w:lineRule="auto"/>
        <w:rPr>
          <w:rFonts w:ascii="宋体" w:hAnsi="宋体" w:cs="宋体"/>
          <w:b/>
          <w:color w:val="000000" w:themeColor="text1"/>
          <w:sz w:val="24"/>
          <w:highlight w:val="none"/>
          <w14:textFill>
            <w14:solidFill>
              <w14:schemeClr w14:val="tx1"/>
            </w14:solidFill>
          </w14:textFill>
        </w:rPr>
      </w:pPr>
    </w:p>
    <w:p>
      <w:pPr>
        <w:spacing w:line="360" w:lineRule="auto"/>
        <w:rPr>
          <w:rFonts w:ascii="宋体" w:hAnsi="宋体" w:cs="宋体"/>
          <w:b/>
          <w:color w:val="000000" w:themeColor="text1"/>
          <w:sz w:val="24"/>
          <w:highlight w:val="none"/>
          <w14:textFill>
            <w14:solidFill>
              <w14:schemeClr w14:val="tx1"/>
            </w14:solidFill>
          </w14:textFill>
        </w:rPr>
      </w:pPr>
    </w:p>
    <w:p>
      <w:pPr>
        <w:spacing w:line="360" w:lineRule="auto"/>
        <w:rPr>
          <w:rFonts w:ascii="宋体" w:hAnsi="宋体" w:cs="宋体"/>
          <w:b/>
          <w:color w:val="000000" w:themeColor="text1"/>
          <w:sz w:val="24"/>
          <w:highlight w:val="none"/>
          <w14:textFill>
            <w14:solidFill>
              <w14:schemeClr w14:val="tx1"/>
            </w14:solidFill>
          </w14:textFill>
        </w:rPr>
      </w:pPr>
    </w:p>
    <w:p>
      <w:pPr>
        <w:spacing w:line="360" w:lineRule="auto"/>
        <w:rPr>
          <w:rFonts w:ascii="宋体" w:hAnsi="宋体" w:cs="宋体"/>
          <w:b/>
          <w:color w:val="000000" w:themeColor="text1"/>
          <w:sz w:val="24"/>
          <w:highlight w:val="none"/>
          <w14:textFill>
            <w14:solidFill>
              <w14:schemeClr w14:val="tx1"/>
            </w14:solidFill>
          </w14:textFill>
        </w:rPr>
      </w:pPr>
    </w:p>
    <w:p>
      <w:pPr>
        <w:spacing w:line="360" w:lineRule="auto"/>
        <w:rPr>
          <w:rFonts w:ascii="宋体" w:hAnsi="宋体" w:cs="宋体"/>
          <w:b/>
          <w:color w:val="000000" w:themeColor="text1"/>
          <w:sz w:val="24"/>
          <w:highlight w:val="none"/>
          <w14:textFill>
            <w14:solidFill>
              <w14:schemeClr w14:val="tx1"/>
            </w14:solidFill>
          </w14:textFill>
        </w:rPr>
      </w:pPr>
    </w:p>
    <w:p>
      <w:pPr>
        <w:spacing w:line="360" w:lineRule="auto"/>
        <w:jc w:val="left"/>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附件2：质疑函范本及制作说明</w:t>
      </w:r>
    </w:p>
    <w:p>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质疑函范本</w:t>
      </w:r>
    </w:p>
    <w:p>
      <w:pPr>
        <w:snapToGrid w:val="0"/>
        <w:spacing w:before="240" w:beforeLines="100"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一、质疑供应商基本信息</w:t>
      </w:r>
    </w:p>
    <w:p>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质疑供应商：</w:t>
      </w:r>
      <w:r>
        <w:rPr>
          <w:rFonts w:hint="eastAsia" w:ascii="宋体" w:hAnsi="宋体" w:cs="宋体"/>
          <w:color w:val="000000" w:themeColor="text1"/>
          <w:sz w:val="24"/>
          <w:highlight w:val="none"/>
          <w:u w:val="dotted"/>
          <w14:textFill>
            <w14:solidFill>
              <w14:schemeClr w14:val="tx1"/>
            </w14:solidFill>
          </w14:textFill>
        </w:rPr>
        <w:t xml:space="preserve">                                        </w:t>
      </w: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p>
    <w:p>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授权代表：</w:t>
      </w:r>
      <w:r>
        <w:rPr>
          <w:rFonts w:hint="eastAsia" w:ascii="宋体" w:hAnsi="宋体" w:cs="宋体"/>
          <w:color w:val="000000" w:themeColor="text1"/>
          <w:sz w:val="24"/>
          <w:highlight w:val="none"/>
          <w:u w:val="dotted"/>
          <w14:textFill>
            <w14:solidFill>
              <w14:schemeClr w14:val="tx1"/>
            </w14:solidFill>
          </w14:textFill>
        </w:rPr>
        <w:t xml:space="preserve">                                          </w:t>
      </w: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地址： </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p>
    <w:p>
      <w:pPr>
        <w:snapToGrid w:val="0"/>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二、质疑项目基本情况</w:t>
      </w: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质疑项目的名称：</w:t>
      </w:r>
      <w:r>
        <w:rPr>
          <w:rFonts w:hint="eastAsia" w:ascii="宋体" w:hAnsi="宋体" w:cs="宋体"/>
          <w:color w:val="000000" w:themeColor="text1"/>
          <w:sz w:val="24"/>
          <w:highlight w:val="none"/>
          <w:u w:val="dotted"/>
          <w14:textFill>
            <w14:solidFill>
              <w14:schemeClr w14:val="tx1"/>
            </w14:solidFill>
          </w14:textFill>
        </w:rPr>
        <w:t xml:space="preserve">                                      </w:t>
      </w: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质疑项目的编号：</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包号：</w:t>
      </w:r>
      <w:r>
        <w:rPr>
          <w:rFonts w:hint="eastAsia" w:ascii="宋体" w:hAnsi="宋体" w:cs="宋体"/>
          <w:color w:val="000000" w:themeColor="text1"/>
          <w:sz w:val="24"/>
          <w:highlight w:val="none"/>
          <w:u w:val="dotted"/>
          <w14:textFill>
            <w14:solidFill>
              <w14:schemeClr w14:val="tx1"/>
            </w14:solidFill>
          </w14:textFill>
        </w:rPr>
        <w:t xml:space="preserve">                 </w:t>
      </w:r>
    </w:p>
    <w:p>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采购人名称：</w:t>
      </w:r>
      <w:r>
        <w:rPr>
          <w:rFonts w:hint="eastAsia" w:ascii="宋体" w:hAnsi="宋体" w:cs="宋体"/>
          <w:color w:val="000000" w:themeColor="text1"/>
          <w:sz w:val="24"/>
          <w:highlight w:val="none"/>
          <w:u w:val="dotted"/>
          <w14:textFill>
            <w14:solidFill>
              <w14:schemeClr w14:val="tx1"/>
            </w14:solidFill>
          </w14:textFill>
        </w:rPr>
        <w:t xml:space="preserve">                                         </w:t>
      </w: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采购文件获取日期：</w:t>
      </w:r>
      <w:r>
        <w:rPr>
          <w:rFonts w:hint="eastAsia" w:ascii="宋体" w:hAnsi="宋体" w:cs="宋体"/>
          <w:color w:val="000000" w:themeColor="text1"/>
          <w:sz w:val="24"/>
          <w:highlight w:val="none"/>
          <w:u w:val="dotted"/>
          <w14:textFill>
            <w14:solidFill>
              <w14:schemeClr w14:val="tx1"/>
            </w14:solidFill>
          </w14:textFill>
        </w:rPr>
        <w:t xml:space="preserve">                                           </w:t>
      </w:r>
    </w:p>
    <w:p>
      <w:pPr>
        <w:snapToGrid w:val="0"/>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三、质疑事项具体内容</w:t>
      </w:r>
    </w:p>
    <w:p>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质疑事项1：</w:t>
      </w:r>
      <w:r>
        <w:rPr>
          <w:rFonts w:hint="eastAsia" w:ascii="宋体" w:hAnsi="宋体" w:cs="宋体"/>
          <w:color w:val="000000" w:themeColor="text1"/>
          <w:sz w:val="24"/>
          <w:highlight w:val="none"/>
          <w:u w:val="dotted"/>
          <w14:textFill>
            <w14:solidFill>
              <w14:schemeClr w14:val="tx1"/>
            </w14:solidFill>
          </w14:textFill>
        </w:rPr>
        <w:t xml:space="preserve">                                         </w:t>
      </w:r>
    </w:p>
    <w:p>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事实依据：</w:t>
      </w:r>
      <w:r>
        <w:rPr>
          <w:rFonts w:hint="eastAsia" w:ascii="宋体" w:hAnsi="宋体" w:cs="宋体"/>
          <w:color w:val="000000" w:themeColor="text1"/>
          <w:sz w:val="24"/>
          <w:highlight w:val="none"/>
          <w:u w:val="dotted"/>
          <w14:textFill>
            <w14:solidFill>
              <w14:schemeClr w14:val="tx1"/>
            </w14:solidFill>
          </w14:textFill>
        </w:rPr>
        <w:t xml:space="preserve">                                          </w:t>
      </w: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p>
    <w:p>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法律依据：</w:t>
      </w:r>
      <w:r>
        <w:rPr>
          <w:rFonts w:hint="eastAsia" w:ascii="宋体" w:hAnsi="宋体" w:cs="宋体"/>
          <w:color w:val="000000" w:themeColor="text1"/>
          <w:sz w:val="24"/>
          <w:highlight w:val="none"/>
          <w:u w:val="dotted"/>
          <w14:textFill>
            <w14:solidFill>
              <w14:schemeClr w14:val="tx1"/>
            </w14:solidFill>
          </w14:textFill>
        </w:rPr>
        <w:t xml:space="preserve">                                          </w:t>
      </w:r>
    </w:p>
    <w:p>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p>
    <w:p>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质疑事项2</w:t>
      </w:r>
    </w:p>
    <w:p>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pPr>
        <w:snapToGrid w:val="0"/>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四、与质疑事项相关的质疑请求</w:t>
      </w:r>
    </w:p>
    <w:p>
      <w:pPr>
        <w:snapToGrid w:val="0"/>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请求：</w:t>
      </w:r>
      <w:r>
        <w:rPr>
          <w:rFonts w:hint="eastAsia" w:ascii="宋体" w:hAnsi="宋体" w:cs="宋体"/>
          <w:color w:val="000000" w:themeColor="text1"/>
          <w:sz w:val="24"/>
          <w:highlight w:val="none"/>
          <w:u w:val="dotted"/>
          <w14:textFill>
            <w14:solidFill>
              <w14:schemeClr w14:val="tx1"/>
            </w14:solidFill>
          </w14:textFill>
        </w:rPr>
        <w:t xml:space="preserve">                                               </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签字(签章)：                   公章：                      </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日期：    </w:t>
      </w:r>
    </w:p>
    <w:p>
      <w:pPr>
        <w:spacing w:line="360" w:lineRule="auto"/>
        <w:jc w:val="center"/>
        <w:rPr>
          <w:rFonts w:ascii="宋体" w:hAnsi="宋体" w:cs="宋体"/>
          <w:b/>
          <w:bCs/>
          <w:color w:val="000000" w:themeColor="text1"/>
          <w:sz w:val="24"/>
          <w:highlight w:val="none"/>
          <w14:textFill>
            <w14:solidFill>
              <w14:schemeClr w14:val="tx1"/>
            </w14:solidFill>
          </w14:textFill>
        </w:rPr>
      </w:pPr>
    </w:p>
    <w:p>
      <w:pPr>
        <w:spacing w:line="360" w:lineRule="auto"/>
        <w:rPr>
          <w:rFonts w:ascii="宋体" w:hAnsi="宋体" w:cs="宋体"/>
          <w:b/>
          <w:color w:val="000000" w:themeColor="text1"/>
          <w:sz w:val="24"/>
          <w:highlight w:val="none"/>
          <w14:textFill>
            <w14:solidFill>
              <w14:schemeClr w14:val="tx1"/>
            </w14:solidFill>
          </w14:textFill>
        </w:rPr>
      </w:pPr>
    </w:p>
    <w:p>
      <w:pPr>
        <w:spacing w:line="360" w:lineRule="auto"/>
        <w:rPr>
          <w:rFonts w:ascii="宋体" w:hAnsi="宋体" w:cs="宋体"/>
          <w:b/>
          <w:color w:val="000000" w:themeColor="text1"/>
          <w:sz w:val="24"/>
          <w:highlight w:val="none"/>
          <w14:textFill>
            <w14:solidFill>
              <w14:schemeClr w14:val="tx1"/>
            </w14:solidFill>
          </w14:textFill>
        </w:rPr>
      </w:pPr>
    </w:p>
    <w:p>
      <w:pPr>
        <w:spacing w:line="360" w:lineRule="auto"/>
        <w:rPr>
          <w:rFonts w:ascii="宋体" w:hAnsi="宋体" w:cs="宋体"/>
          <w:b/>
          <w:color w:val="000000" w:themeColor="text1"/>
          <w:sz w:val="24"/>
          <w:highlight w:val="none"/>
          <w14:textFill>
            <w14:solidFill>
              <w14:schemeClr w14:val="tx1"/>
            </w14:solidFill>
          </w14:textFill>
        </w:rPr>
      </w:pPr>
    </w:p>
    <w:p>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质疑函制作说明：</w:t>
      </w:r>
    </w:p>
    <w:p>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1.供应商提出质疑时，应提交质疑函和必要的证明材料。</w:t>
      </w:r>
    </w:p>
    <w:p>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宋体" w:hAnsi="宋体" w:cs="宋体"/>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3.质疑供应商若对项目的某一分包进行质疑，质疑函中应列明具体分包号。</w:t>
      </w:r>
    </w:p>
    <w:p>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4.质疑函的质疑事项应具体、明确，并有必要的事实依据和法律依据。</w:t>
      </w:r>
    </w:p>
    <w:p>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5.质疑函的质疑请求应与质疑事项相关。</w:t>
      </w:r>
    </w:p>
    <w:p>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color w:val="000000" w:themeColor="text1"/>
          <w:sz w:val="30"/>
          <w:szCs w:val="30"/>
          <w:highlight w:val="none"/>
          <w14:textFill>
            <w14:solidFill>
              <w14:schemeClr w14:val="tx1"/>
            </w14:solidFill>
          </w14:textFill>
        </w:rPr>
      </w:pPr>
    </w:p>
    <w:p>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p>
    <w:p>
      <w:pPr>
        <w:spacing w:line="360" w:lineRule="auto"/>
        <w:jc w:val="left"/>
        <w:rPr>
          <w:rFonts w:ascii="宋体" w:hAnsi="宋体" w:cs="宋体"/>
          <w:b/>
          <w:color w:val="000000" w:themeColor="text1"/>
          <w:spacing w:val="6"/>
          <w:sz w:val="32"/>
          <w:szCs w:val="32"/>
          <w:highlight w:val="none"/>
          <w14:textFill>
            <w14:solidFill>
              <w14:schemeClr w14:val="tx1"/>
            </w14:solidFill>
          </w14:textFill>
        </w:rPr>
      </w:pPr>
    </w:p>
    <w:p>
      <w:pPr>
        <w:spacing w:line="360" w:lineRule="auto"/>
        <w:jc w:val="left"/>
        <w:rPr>
          <w:rFonts w:ascii="宋体" w:hAnsi="宋体" w:cs="宋体"/>
          <w:b/>
          <w:color w:val="000000" w:themeColor="text1"/>
          <w:spacing w:val="6"/>
          <w:sz w:val="32"/>
          <w:szCs w:val="32"/>
          <w:highlight w:val="none"/>
          <w14:textFill>
            <w14:solidFill>
              <w14:schemeClr w14:val="tx1"/>
            </w14:solidFill>
          </w14:textFill>
        </w:rPr>
      </w:pPr>
    </w:p>
    <w:p>
      <w:pPr>
        <w:spacing w:line="360" w:lineRule="auto"/>
        <w:jc w:val="left"/>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附件3：投诉书范本及制作说明</w:t>
      </w:r>
    </w:p>
    <w:p>
      <w:pPr>
        <w:spacing w:line="360" w:lineRule="auto"/>
        <w:jc w:val="center"/>
        <w:rPr>
          <w:rFonts w:ascii="宋体" w:hAnsi="宋体" w:cs="宋体"/>
          <w:b/>
          <w:color w:val="000000" w:themeColor="text1"/>
          <w:sz w:val="24"/>
          <w:highlight w:val="none"/>
          <w14:textFill>
            <w14:solidFill>
              <w14:schemeClr w14:val="tx1"/>
            </w14:solidFill>
          </w14:textFill>
        </w:rPr>
      </w:pPr>
    </w:p>
    <w:p>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投诉书范本</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一、投诉相关主体基本情况</w:t>
      </w:r>
    </w:p>
    <w:p>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投诉人：</w:t>
      </w:r>
      <w:r>
        <w:rPr>
          <w:rFonts w:hint="eastAsia" w:ascii="宋体" w:hAnsi="宋体" w:cs="宋体"/>
          <w:color w:val="000000" w:themeColor="text1"/>
          <w:sz w:val="24"/>
          <w:highlight w:val="none"/>
          <w:u w:val="dotted"/>
          <w14:textFill>
            <w14:solidFill>
              <w14:schemeClr w14:val="tx1"/>
            </w14:solidFill>
          </w14:textFill>
        </w:rPr>
        <w:t xml:space="preserve">                                               </w:t>
      </w:r>
    </w:p>
    <w:p>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pPr>
        <w:tabs>
          <w:tab w:val="left" w:pos="6510"/>
        </w:tabs>
        <w:spacing w:line="360" w:lineRule="auto"/>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法定代表人/主要负责人：</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p>
    <w:p>
      <w:pPr>
        <w:tabs>
          <w:tab w:val="left" w:pos="6510"/>
        </w:tabs>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p>
    <w:p>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授权代表：</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p>
    <w:p>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dotted"/>
          <w14:textFill>
            <w14:solidFill>
              <w14:schemeClr w14:val="tx1"/>
            </w14:solidFill>
          </w14:textFill>
        </w:rPr>
        <w:t xml:space="preserve">                   </w:t>
      </w:r>
    </w:p>
    <w:p>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被投诉人1：</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被投诉人2</w:t>
      </w:r>
    </w:p>
    <w:p>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相关供应商：</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邮编：</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联系人：</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二、投诉项目基本情况</w:t>
      </w:r>
    </w:p>
    <w:p>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采购项目名称：</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b/>
          <w:bCs/>
          <w:color w:val="000000" w:themeColor="text1"/>
          <w:sz w:val="24"/>
          <w:highlight w:val="none"/>
          <w:u w:val="single"/>
          <w14:textFill>
            <w14:solidFill>
              <w14:schemeClr w14:val="tx1"/>
            </w14:solidFill>
          </w14:textFill>
        </w:rPr>
        <w:t xml:space="preserve">  </w:t>
      </w:r>
    </w:p>
    <w:p>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采购项目编号：</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包号：</w:t>
      </w:r>
      <w:r>
        <w:rPr>
          <w:rFonts w:hint="eastAsia" w:ascii="宋体" w:hAnsi="宋体" w:cs="宋体"/>
          <w:color w:val="000000" w:themeColor="text1"/>
          <w:sz w:val="24"/>
          <w:highlight w:val="none"/>
          <w:u w:val="dotted"/>
          <w14:textFill>
            <w14:solidFill>
              <w14:schemeClr w14:val="tx1"/>
            </w14:solidFill>
          </w14:textFill>
        </w:rPr>
        <w:t xml:space="preserve">              </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采购人名称：</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p>
    <w:p>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代理机构名称：</w:t>
      </w:r>
      <w:r>
        <w:rPr>
          <w:rFonts w:hint="eastAsia" w:ascii="宋体" w:hAnsi="宋体" w:cs="宋体"/>
          <w:color w:val="000000" w:themeColor="text1"/>
          <w:sz w:val="24"/>
          <w:highlight w:val="none"/>
          <w:u w:val="dotted"/>
          <w14:textFill>
            <w14:solidFill>
              <w14:schemeClr w14:val="tx1"/>
            </w14:solidFill>
          </w14:textFill>
        </w:rPr>
        <w:t xml:space="preserve">                                         </w:t>
      </w:r>
    </w:p>
    <w:p>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采购文件公告:</w:t>
      </w:r>
      <w:r>
        <w:rPr>
          <w:rFonts w:hint="eastAsia" w:ascii="宋体" w:hAnsi="宋体" w:cs="宋体"/>
          <w:color w:val="000000" w:themeColor="text1"/>
          <w:sz w:val="24"/>
          <w:highlight w:val="none"/>
          <w:u w:val="dotted"/>
          <w14:textFill>
            <w14:solidFill>
              <w14:schemeClr w14:val="tx1"/>
            </w14:solidFill>
          </w14:textFill>
        </w:rPr>
        <w:t xml:space="preserve">是/否 </w:t>
      </w:r>
      <w:r>
        <w:rPr>
          <w:rFonts w:hint="eastAsia" w:ascii="宋体" w:hAnsi="宋体" w:cs="宋体"/>
          <w:color w:val="000000" w:themeColor="text1"/>
          <w:sz w:val="24"/>
          <w:highlight w:val="none"/>
          <w14:textFill>
            <w14:solidFill>
              <w14:schemeClr w14:val="tx1"/>
            </w14:solidFill>
          </w14:textFill>
        </w:rPr>
        <w:t>公告期限：</w:t>
      </w:r>
      <w:r>
        <w:rPr>
          <w:rFonts w:hint="eastAsia" w:ascii="宋体" w:hAnsi="宋体" w:cs="宋体"/>
          <w:color w:val="000000" w:themeColor="text1"/>
          <w:sz w:val="24"/>
          <w:highlight w:val="none"/>
          <w:u w:val="dotted"/>
          <w14:textFill>
            <w14:solidFill>
              <w14:schemeClr w14:val="tx1"/>
            </w14:solidFill>
          </w14:textFill>
        </w:rPr>
        <w:t xml:space="preserve">                                 </w:t>
      </w:r>
    </w:p>
    <w:p>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采购结果公告:</w:t>
      </w:r>
      <w:r>
        <w:rPr>
          <w:rFonts w:hint="eastAsia" w:ascii="宋体" w:hAnsi="宋体" w:cs="宋体"/>
          <w:color w:val="000000" w:themeColor="text1"/>
          <w:sz w:val="24"/>
          <w:highlight w:val="none"/>
          <w:u w:val="dotted"/>
          <w14:textFill>
            <w14:solidFill>
              <w14:schemeClr w14:val="tx1"/>
            </w14:solidFill>
          </w14:textFill>
        </w:rPr>
        <w:t xml:space="preserve">是/否 </w:t>
      </w:r>
      <w:r>
        <w:rPr>
          <w:rFonts w:hint="eastAsia" w:ascii="宋体" w:hAnsi="宋体" w:cs="宋体"/>
          <w:color w:val="000000" w:themeColor="text1"/>
          <w:sz w:val="24"/>
          <w:highlight w:val="none"/>
          <w14:textFill>
            <w14:solidFill>
              <w14:schemeClr w14:val="tx1"/>
            </w14:solidFill>
          </w14:textFill>
        </w:rPr>
        <w:t>公告期限：</w:t>
      </w:r>
      <w:r>
        <w:rPr>
          <w:rFonts w:hint="eastAsia" w:ascii="宋体" w:hAnsi="宋体" w:cs="宋体"/>
          <w:color w:val="000000" w:themeColor="text1"/>
          <w:sz w:val="24"/>
          <w:highlight w:val="none"/>
          <w:u w:val="dotted"/>
          <w14:textFill>
            <w14:solidFill>
              <w14:schemeClr w14:val="tx1"/>
            </w14:solidFill>
          </w14:textFill>
        </w:rPr>
        <w:t xml:space="preserve">                        </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三、质疑基本情况</w:t>
      </w:r>
    </w:p>
    <w:p>
      <w:pPr>
        <w:spacing w:line="360" w:lineRule="auto"/>
        <w:ind w:firstLine="480" w:firstLineChars="200"/>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投诉人于</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日,向</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提出质疑，质疑事项为：</w:t>
      </w:r>
      <w:r>
        <w:rPr>
          <w:rFonts w:hint="eastAsia" w:ascii="宋体" w:hAnsi="宋体" w:cs="宋体"/>
          <w:color w:val="000000" w:themeColor="text1"/>
          <w:sz w:val="24"/>
          <w:highlight w:val="none"/>
          <w:u w:val="dotted"/>
          <w14:textFill>
            <w14:solidFill>
              <w14:schemeClr w14:val="tx1"/>
            </w14:solidFill>
          </w14:textFill>
        </w:rPr>
        <w:t xml:space="preserve">                                </w:t>
      </w:r>
    </w:p>
    <w:p>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p>
    <w:p>
      <w:pPr>
        <w:spacing w:line="360" w:lineRule="auto"/>
        <w:ind w:firstLine="360" w:firstLineChars="1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采购人/代理机构</w:t>
      </w:r>
      <w:r>
        <w:rPr>
          <w:rFonts w:hint="eastAsia" w:ascii="宋体" w:hAnsi="宋体" w:cs="宋体"/>
          <w:color w:val="000000" w:themeColor="text1"/>
          <w:sz w:val="24"/>
          <w:highlight w:val="none"/>
          <w14:textFill>
            <w14:solidFill>
              <w14:schemeClr w14:val="tx1"/>
            </w14:solidFill>
          </w14:textFill>
        </w:rPr>
        <w:t>于</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日,就质疑事项作出了答复/没有在法定期限内作出答复。</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四、投诉事项具体内容</w:t>
      </w:r>
    </w:p>
    <w:p>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投诉事项 1：</w:t>
      </w:r>
      <w:r>
        <w:rPr>
          <w:rFonts w:hint="eastAsia" w:ascii="宋体" w:hAnsi="宋体" w:cs="宋体"/>
          <w:color w:val="000000" w:themeColor="text1"/>
          <w:sz w:val="24"/>
          <w:highlight w:val="none"/>
          <w:u w:val="dotted"/>
          <w14:textFill>
            <w14:solidFill>
              <w14:schemeClr w14:val="tx1"/>
            </w14:solidFill>
          </w14:textFill>
        </w:rPr>
        <w:t xml:space="preserve">                                       </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事实依据：</w:t>
      </w:r>
      <w:r>
        <w:rPr>
          <w:rFonts w:hint="eastAsia" w:ascii="宋体" w:hAnsi="宋体" w:cs="宋体"/>
          <w:color w:val="000000" w:themeColor="text1"/>
          <w:sz w:val="24"/>
          <w:highlight w:val="none"/>
          <w:u w:val="dotted"/>
          <w14:textFill>
            <w14:solidFill>
              <w14:schemeClr w14:val="tx1"/>
            </w14:solidFill>
          </w14:textFill>
        </w:rPr>
        <w:t xml:space="preserve">                                         </w:t>
      </w:r>
    </w:p>
    <w:p>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p>
    <w:p>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法律依据：</w:t>
      </w:r>
      <w:r>
        <w:rPr>
          <w:rFonts w:hint="eastAsia" w:ascii="宋体" w:hAnsi="宋体" w:cs="宋体"/>
          <w:color w:val="000000" w:themeColor="text1"/>
          <w:sz w:val="24"/>
          <w:highlight w:val="none"/>
          <w:u w:val="dotted"/>
          <w14:textFill>
            <w14:solidFill>
              <w14:schemeClr w14:val="tx1"/>
            </w14:solidFill>
          </w14:textFill>
        </w:rPr>
        <w:t xml:space="preserve">                                          </w:t>
      </w:r>
    </w:p>
    <w:p>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u w:val="dotted"/>
          <w14:textFill>
            <w14:solidFill>
              <w14:schemeClr w14:val="tx1"/>
            </w14:solidFill>
          </w14:textFill>
        </w:rPr>
        <w:t xml:space="preserve">                                                      </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投诉事项2</w:t>
      </w:r>
    </w:p>
    <w:p>
      <w:pPr>
        <w:spacing w:line="360" w:lineRule="auto"/>
        <w:rPr>
          <w:rFonts w:ascii="宋体" w:hAnsi="宋体" w:cs="宋体"/>
          <w:color w:val="000000" w:themeColor="text1"/>
          <w:sz w:val="24"/>
          <w:highlight w:val="none"/>
          <w:u w:val="dotted"/>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五、与投诉事项相关的投诉请求</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请求：</w:t>
      </w:r>
      <w:r>
        <w:rPr>
          <w:rFonts w:hint="eastAsia" w:ascii="宋体" w:hAnsi="宋体" w:cs="宋体"/>
          <w:color w:val="000000" w:themeColor="text1"/>
          <w:sz w:val="24"/>
          <w:highlight w:val="none"/>
          <w:u w:val="dotted"/>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p>
    <w:p>
      <w:pPr>
        <w:spacing w:line="360" w:lineRule="auto"/>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签字(签章)：                   公章：                      </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日期：    </w:t>
      </w:r>
    </w:p>
    <w:p>
      <w:pPr>
        <w:spacing w:line="360" w:lineRule="auto"/>
        <w:rPr>
          <w:rFonts w:ascii="宋体" w:hAnsi="宋体" w:cs="宋体"/>
          <w:b/>
          <w:color w:val="000000" w:themeColor="text1"/>
          <w:sz w:val="24"/>
          <w:highlight w:val="none"/>
          <w14:textFill>
            <w14:solidFill>
              <w14:schemeClr w14:val="tx1"/>
            </w14:solidFill>
          </w14:textFill>
        </w:rPr>
      </w:pPr>
    </w:p>
    <w:p>
      <w:pPr>
        <w:spacing w:line="360" w:lineRule="auto"/>
        <w:rPr>
          <w:rFonts w:ascii="宋体" w:hAnsi="宋体" w:cs="宋体"/>
          <w:b/>
          <w:color w:val="000000" w:themeColor="text1"/>
          <w:sz w:val="24"/>
          <w:highlight w:val="none"/>
          <w14:textFill>
            <w14:solidFill>
              <w14:schemeClr w14:val="tx1"/>
            </w14:solidFill>
          </w14:textFill>
        </w:rPr>
      </w:pPr>
    </w:p>
    <w:p>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投诉书制作说明：</w:t>
      </w:r>
    </w:p>
    <w:p>
      <w:pPr>
        <w:widowControl/>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宋体" w:hAnsi="宋体" w:cs="宋体"/>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3.投诉人若对项目的某一分包进行投诉，投诉书应列明具体分包号。</w:t>
      </w:r>
    </w:p>
    <w:p>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4.投诉书应简要列明质疑事项，质疑函、质疑答复等作为附件材料提供。</w:t>
      </w:r>
    </w:p>
    <w:p>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5.投诉书的投诉事项应具体、明确，并有必要的事实依据和法律依据。</w:t>
      </w:r>
    </w:p>
    <w:p>
      <w:pPr>
        <w:widowControl/>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6.投诉书的投诉请求应与投诉事项相关。</w:t>
      </w:r>
    </w:p>
    <w:p>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color w:val="000000" w:themeColor="text1"/>
          <w:sz w:val="24"/>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附件4：</w:t>
      </w:r>
      <w:r>
        <w:rPr>
          <w:rFonts w:hint="eastAsia" w:ascii="宋体" w:hAnsi="宋体" w:cs="宋体"/>
          <w:b/>
          <w:bCs/>
          <w:color w:val="000000" w:themeColor="text1"/>
          <w:sz w:val="32"/>
          <w:szCs w:val="32"/>
          <w:highlight w:val="none"/>
          <w14:textFill>
            <w14:solidFill>
              <w14:schemeClr w14:val="tx1"/>
            </w14:solidFill>
          </w14:textFill>
        </w:rPr>
        <w:t>业务专用章使用说明函</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杭州工艺美术博物馆(杭州中国刀剪剑、扇业、伞业博物馆）、浙江泛亚工程咨询有限公司</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我方</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(供应商全称)是中华人民共和国依法登记注册的合法企业，</w:t>
      </w:r>
      <w:r>
        <w:rPr>
          <w:rFonts w:hint="eastAsia" w:ascii="宋体" w:hAnsi="宋体" w:cs="宋体"/>
          <w:bCs/>
          <w:color w:val="000000" w:themeColor="text1"/>
          <w:sz w:val="24"/>
          <w:highlight w:val="none"/>
          <w14:textFill>
            <w14:solidFill>
              <w14:schemeClr w14:val="tx1"/>
            </w14:solidFill>
          </w14:textFill>
        </w:rPr>
        <w:t>在参加</w:t>
      </w:r>
      <w:r>
        <w:rPr>
          <w:rFonts w:hint="eastAsia" w:ascii="宋体" w:hAnsi="宋体" w:cs="宋体"/>
          <w:color w:val="000000" w:themeColor="text1"/>
          <w:sz w:val="24"/>
          <w:highlight w:val="none"/>
          <w14:textFill>
            <w14:solidFill>
              <w14:schemeClr w14:val="tx1"/>
            </w14:solidFill>
          </w14:textFill>
        </w:rPr>
        <w:t>你方组织的中国伞博物馆多媒体提升改造项目项目【项目编号:LFF-202206-42】</w:t>
      </w:r>
      <w:r>
        <w:rPr>
          <w:rFonts w:hint="eastAsia" w:ascii="宋体" w:hAnsi="宋体" w:cs="宋体"/>
          <w:bCs/>
          <w:color w:val="000000" w:themeColor="text1"/>
          <w:sz w:val="24"/>
          <w:highlight w:val="none"/>
          <w14:textFill>
            <w14:solidFill>
              <w14:schemeClr w14:val="tx1"/>
            </w14:solidFill>
          </w14:textFill>
        </w:rPr>
        <w:t>投标活动中作如下说明：</w:t>
      </w:r>
      <w:r>
        <w:rPr>
          <w:rFonts w:hint="eastAsia" w:ascii="宋体" w:hAnsi="宋体" w:cs="宋体"/>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特此说明。</w:t>
      </w:r>
    </w:p>
    <w:p>
      <w:pPr>
        <w:spacing w:line="360" w:lineRule="auto"/>
        <w:ind w:firstLine="494"/>
        <w:rPr>
          <w:rFonts w:ascii="宋体" w:hAnsi="宋体" w:cs="宋体"/>
          <w:color w:val="000000" w:themeColor="text1"/>
          <w:sz w:val="24"/>
          <w:highlight w:val="none"/>
          <w14:textFill>
            <w14:solidFill>
              <w14:schemeClr w14:val="tx1"/>
            </w14:solidFill>
          </w14:textFill>
        </w:rPr>
      </w:pPr>
    </w:p>
    <w:p>
      <w:pPr>
        <w:spacing w:line="360" w:lineRule="auto"/>
        <w:ind w:firstLine="494"/>
        <w:rPr>
          <w:rFonts w:ascii="宋体" w:hAnsi="宋体" w:cs="宋体"/>
          <w:color w:val="000000" w:themeColor="text1"/>
          <w:sz w:val="24"/>
          <w:highlight w:val="none"/>
          <w14:textFill>
            <w14:solidFill>
              <w14:schemeClr w14:val="tx1"/>
            </w14:solidFill>
          </w14:textFill>
        </w:rPr>
      </w:pPr>
    </w:p>
    <w:p>
      <w:pPr>
        <w:spacing w:line="360" w:lineRule="auto"/>
        <w:ind w:firstLine="494"/>
        <w:rPr>
          <w:rFonts w:ascii="宋体" w:hAnsi="宋体" w:cs="宋体"/>
          <w:color w:val="000000" w:themeColor="text1"/>
          <w:sz w:val="24"/>
          <w:highlight w:val="none"/>
          <w14:textFill>
            <w14:solidFill>
              <w14:schemeClr w14:val="tx1"/>
            </w14:solidFill>
          </w14:textFill>
        </w:rPr>
      </w:pPr>
    </w:p>
    <w:p>
      <w:pPr>
        <w:spacing w:line="360" w:lineRule="auto"/>
        <w:ind w:firstLine="494"/>
        <w:rPr>
          <w:rFonts w:ascii="宋体" w:hAnsi="宋体" w:cs="宋体"/>
          <w:color w:val="000000" w:themeColor="text1"/>
          <w:sz w:val="24"/>
          <w:highlight w:val="none"/>
          <w14:textFill>
            <w14:solidFill>
              <w14:schemeClr w14:val="tx1"/>
            </w14:solidFill>
          </w14:textFill>
        </w:rPr>
      </w:pPr>
    </w:p>
    <w:p>
      <w:pPr>
        <w:spacing w:line="360" w:lineRule="auto"/>
        <w:ind w:right="480" w:firstLine="4080" w:firstLineChars="17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供应商（法定名称章）：</w:t>
      </w:r>
    </w:p>
    <w:p>
      <w:pPr>
        <w:ind w:right="1440" w:firstLine="494"/>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日期：       年     月     日</w:t>
      </w:r>
    </w:p>
    <w:p>
      <w:pPr>
        <w:rPr>
          <w:rFonts w:ascii="宋体" w:hAnsi="宋体" w:cs="宋体"/>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附：</w:t>
      </w:r>
    </w:p>
    <w:p>
      <w:pPr>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000000" w:themeColor="text1"/>
          <w:sz w:val="24"/>
          <w:highlight w:val="none"/>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000000" w:themeColor="text1"/>
          <w:sz w:val="24"/>
          <w:highlight w:val="none"/>
          <w14:textFill>
            <w14:solidFill>
              <w14:schemeClr w14:val="tx1"/>
            </w14:solidFill>
          </w14:textFill>
        </w:rPr>
        <w:t>供应商法定名称章（印模）                供应商“XX专用章”（印模）</w:t>
      </w: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pPr>
        <w:autoSpaceDE w:val="0"/>
        <w:autoSpaceDN w:val="0"/>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附件5：</w:t>
      </w:r>
      <w:r>
        <w:rPr>
          <w:rFonts w:hint="eastAsia" w:ascii="宋体" w:hAnsi="宋体" w:cs="宋体"/>
          <w:b/>
          <w:color w:val="000000" w:themeColor="text1"/>
          <w:sz w:val="32"/>
          <w:szCs w:val="32"/>
          <w:highlight w:val="none"/>
          <w14:textFill>
            <w14:solidFill>
              <w14:schemeClr w14:val="tx1"/>
            </w14:solidFill>
          </w14:textFill>
        </w:rPr>
        <w:t>中小企业声明函</w:t>
      </w:r>
    </w:p>
    <w:p>
      <w:pPr>
        <w:spacing w:line="360" w:lineRule="auto"/>
        <w:jc w:val="center"/>
        <w:rPr>
          <w:rFonts w:ascii="宋体" w:hAnsi="宋体" w:cs="宋体"/>
          <w:color w:val="000000" w:themeColor="text1"/>
          <w:sz w:val="24"/>
          <w:highlight w:val="none"/>
          <w:u w:val="single"/>
          <w14:textFill>
            <w14:solidFill>
              <w14:schemeClr w14:val="tx1"/>
            </w14:solidFill>
          </w14:textFill>
        </w:rPr>
      </w:pPr>
    </w:p>
    <w:p>
      <w:pPr>
        <w:spacing w:line="360" w:lineRule="auto"/>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中小企业声明函（工程、服务）</w:t>
      </w:r>
    </w:p>
    <w:p>
      <w:pPr>
        <w:spacing w:line="360" w:lineRule="auto"/>
        <w:rPr>
          <w:rFonts w:ascii="宋体" w:hAnsi="宋体" w:cs="宋体"/>
          <w:color w:val="000000" w:themeColor="text1"/>
          <w:highlight w:val="none"/>
          <w14:textFill>
            <w14:solidFill>
              <w14:schemeClr w14:val="tx1"/>
            </w14:solidFill>
          </w14:textFill>
        </w:rPr>
      </w:pPr>
    </w:p>
    <w:p>
      <w:pPr>
        <w:spacing w:line="360" w:lineRule="auto"/>
        <w:ind w:firstLine="360" w:firstLineChars="1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ascii="宋体" w:hAnsi="宋体" w:cs="宋体"/>
          <w:color w:val="000000" w:themeColor="text1"/>
          <w:sz w:val="24"/>
          <w:highlight w:val="none"/>
          <w:u w:val="single"/>
          <w14:textFill>
            <w14:solidFill>
              <w14:schemeClr w14:val="tx1"/>
            </w14:solidFill>
          </w14:textFill>
        </w:rPr>
        <w:t xml:space="preserve">（单位名称） </w:t>
      </w:r>
      <w:r>
        <w:rPr>
          <w:rFonts w:hint="eastAsia" w:ascii="宋体" w:hAnsi="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u w:val="single"/>
          <w14:textFill>
            <w14:solidFill>
              <w14:schemeClr w14:val="tx1"/>
            </w14:solidFill>
          </w14:textFill>
        </w:rPr>
        <w:t xml:space="preserve"> 中国伞博物馆多媒体提升改造项目 </w:t>
      </w:r>
      <w:r>
        <w:rPr>
          <w:rFonts w:hint="eastAsia" w:ascii="宋体" w:hAnsi="宋体" w:cs="宋体"/>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（标的名称）</w:t>
      </w:r>
      <w:r>
        <w:rPr>
          <w:rFonts w:hint="eastAsia" w:ascii="宋体" w:hAnsi="宋体" w:cs="宋体"/>
          <w:color w:val="000000" w:themeColor="text1"/>
          <w:sz w:val="24"/>
          <w:highlight w:val="none"/>
          <w14:textFill>
            <w14:solidFill>
              <w14:schemeClr w14:val="tx1"/>
            </w14:solidFill>
          </w14:textFill>
        </w:rPr>
        <w:t xml:space="preserve">，属于 </w:t>
      </w:r>
      <w:r>
        <w:rPr>
          <w:rFonts w:hint="eastAsia" w:ascii="宋体" w:hAnsi="宋体" w:cs="宋体"/>
          <w:color w:val="000000" w:themeColor="text1"/>
          <w:sz w:val="24"/>
          <w:highlight w:val="none"/>
          <w:u w:val="single"/>
          <w14:textFill>
            <w14:solidFill>
              <w14:schemeClr w14:val="tx1"/>
            </w14:solidFill>
          </w14:textFill>
        </w:rPr>
        <w:t>（采购文件中明确的所属行业）</w:t>
      </w:r>
      <w:r>
        <w:rPr>
          <w:rFonts w:hint="eastAsia" w:ascii="宋体" w:hAnsi="宋体" w:cs="宋体"/>
          <w:color w:val="000000" w:themeColor="text1"/>
          <w:sz w:val="24"/>
          <w:highlight w:val="none"/>
          <w14:textFill>
            <w14:solidFill>
              <w14:schemeClr w14:val="tx1"/>
            </w14:solidFill>
          </w14:textFill>
        </w:rPr>
        <w:t xml:space="preserve"> ；承建（承接）企业为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（标的名称）</w:t>
      </w:r>
      <w:r>
        <w:rPr>
          <w:rFonts w:hint="eastAsia" w:ascii="宋体" w:hAnsi="宋体" w:cs="宋体"/>
          <w:color w:val="000000" w:themeColor="text1"/>
          <w:sz w:val="24"/>
          <w:highlight w:val="none"/>
          <w14:textFill>
            <w14:solidFill>
              <w14:schemeClr w14:val="tx1"/>
            </w14:solidFill>
          </w14:textFill>
        </w:rPr>
        <w:t xml:space="preserve">，属于 </w:t>
      </w:r>
      <w:r>
        <w:rPr>
          <w:rFonts w:hint="eastAsia" w:ascii="宋体" w:hAnsi="宋体" w:cs="宋体"/>
          <w:color w:val="000000" w:themeColor="text1"/>
          <w:sz w:val="24"/>
          <w:highlight w:val="none"/>
          <w:u w:val="single"/>
          <w14:textFill>
            <w14:solidFill>
              <w14:schemeClr w14:val="tx1"/>
            </w14:solidFill>
          </w14:textFill>
        </w:rPr>
        <w:t>（采购文件中明确的所属行业）</w:t>
      </w:r>
      <w:r>
        <w:rPr>
          <w:rFonts w:hint="eastAsia" w:ascii="宋体" w:hAnsi="宋体" w:cs="宋体"/>
          <w:color w:val="000000" w:themeColor="text1"/>
          <w:sz w:val="24"/>
          <w:highlight w:val="none"/>
          <w14:textFill>
            <w14:solidFill>
              <w14:schemeClr w14:val="tx1"/>
            </w14:solidFill>
          </w14:textFill>
        </w:rPr>
        <w:t xml:space="preserve"> ；承建（承接）企业为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本企业对上述声明内容的真实性负责。如有虚假，将依法承担相应责任。</w:t>
      </w:r>
    </w:p>
    <w:p>
      <w:pPr>
        <w:spacing w:line="360" w:lineRule="auto"/>
        <w:ind w:right="1760"/>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供应商名称（电子签名）：</w:t>
      </w:r>
    </w:p>
    <w:p>
      <w:pPr>
        <w:spacing w:line="360" w:lineRule="auto"/>
        <w:ind w:right="1120" w:firstLine="4680" w:firstLineChars="19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 期：</w:t>
      </w:r>
    </w:p>
    <w:p>
      <w:pPr>
        <w:spacing w:line="360" w:lineRule="auto"/>
        <w:ind w:firstLine="310" w:firstLineChars="147"/>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从业人员、营业收入、资产总额填报上一年度数据，无上一年度数据的新成立企业可不填报。</w:t>
      </w:r>
    </w:p>
    <w:p>
      <w:pPr>
        <w:spacing w:line="360" w:lineRule="auto"/>
        <w:ind w:right="420"/>
        <w:rPr>
          <w:rFonts w:ascii="宋体" w:hAnsi="宋体" w:cs="宋体"/>
          <w:color w:val="000000" w:themeColor="text1"/>
          <w:sz w:val="24"/>
          <w:highlight w:val="none"/>
          <w14:textFill>
            <w14:solidFill>
              <w14:schemeClr w14:val="tx1"/>
            </w14:solidFill>
          </w14:textFill>
        </w:rPr>
      </w:pPr>
    </w:p>
    <w:p>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注：</w:t>
      </w:r>
    </w:p>
    <w:p>
      <w:pPr>
        <w:spacing w:line="360" w:lineRule="auto"/>
        <w:ind w:right="42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填写要求：①“标的名称”、“采购文件中明确的所属行业”依据采购文件第二部分供应商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pStyle w:val="6"/>
        <w:rPr>
          <w:rFonts w:ascii="宋体" w:hAnsi="宋体" w:eastAsia="宋体" w:cs="宋体"/>
          <w:color w:val="000000" w:themeColor="text1"/>
          <w:highlight w:val="none"/>
          <w:lang w:val="en-US"/>
          <w14:textFill>
            <w14:solidFill>
              <w14:schemeClr w14:val="tx1"/>
            </w14:solidFill>
          </w14:textFill>
        </w:rPr>
      </w:pPr>
    </w:p>
    <w:p>
      <w:pPr>
        <w:spacing w:line="360" w:lineRule="auto"/>
        <w:ind w:right="420"/>
        <w:rPr>
          <w:rFonts w:ascii="宋体" w:hAnsi="宋体" w:cs="宋体"/>
          <w:color w:val="000000" w:themeColor="text1"/>
          <w:highlight w:val="none"/>
          <w14:textFill>
            <w14:solidFill>
              <w14:schemeClr w14:val="tx1"/>
            </w14:solidFill>
          </w14:textFill>
        </w:rPr>
      </w:pPr>
    </w:p>
    <w:p>
      <w:pPr>
        <w:spacing w:line="360" w:lineRule="auto"/>
        <w:rPr>
          <w:rFonts w:ascii="宋体" w:hAnsi="宋体" w:cs="宋体"/>
          <w:bCs/>
          <w:color w:val="000000" w:themeColor="text1"/>
          <w:sz w:val="24"/>
          <w:highlight w:val="none"/>
          <w14:textFill>
            <w14:solidFill>
              <w14:schemeClr w14:val="tx1"/>
            </w14:solidFill>
          </w14:textFill>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0000000000000000000"/>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仿宋"/>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0000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MS Gothic">
    <w:panose1 w:val="020B0609070205080204"/>
    <w:charset w:val="80"/>
    <w:family w:val="auto"/>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3"/>
      </w:rPr>
    </w:pPr>
    <w:r>
      <w:fldChar w:fldCharType="begin"/>
    </w:r>
    <w:r>
      <w:rPr>
        <w:rStyle w:val="73"/>
      </w:rPr>
      <w:instrText xml:space="preserve">PAGE  </w:instrText>
    </w:r>
    <w:r>
      <w:fldChar w:fldCharType="end"/>
    </w:r>
  </w:p>
  <w:p>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sz w:val="15"/>
      </w:rPr>
    </w:pPr>
    <w:r>
      <w:rPr>
        <w:sz w:val="15"/>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4935" cy="131445"/>
              <wp:effectExtent l="0" t="0" r="0" b="0"/>
              <wp:wrapNone/>
              <wp:docPr id="5" name="文本框 5"/>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pPr>
                            <w:pStyle w:val="42"/>
                          </w:pPr>
                          <w:r>
                            <w:rPr>
                              <w:rFonts w:hint="eastAsia"/>
                            </w:rPr>
                            <w:fldChar w:fldCharType="begin"/>
                          </w:r>
                          <w:r>
                            <w:rPr>
                              <w:rFonts w:hint="eastAsia"/>
                            </w:rPr>
                            <w:instrText xml:space="preserve"> PAGE  \* MERGEFORMAT </w:instrText>
                          </w:r>
                          <w:r>
                            <w:rPr>
                              <w:rFonts w:hint="eastAsia"/>
                            </w:rPr>
                            <w:fldChar w:fldCharType="separate"/>
                          </w:r>
                          <w:r>
                            <w:t>46</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61312;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Q+V+SdAAAAADAQAADwAAAAAAAAABACAAAAAiAAAAZHJzL2Rvd25yZXYueG1s&#10;UEsBAhQAFAAAAAgAh07iQGpB/xvHAQAAiwMAAA4AAAAAAAAAAQAgAAAAHwEAAGRycy9lMm9Eb2Mu&#10;eG1sUEsFBgAAAAAGAAYAWQEAAFgFAAAAAA==&#10;">
              <v:fill on="f" focussize="0,0"/>
              <v:stroke on="f"/>
              <v:imagedata o:title=""/>
              <o:lock v:ext="edit" aspectratio="f"/>
              <v:textbox inset="0mm,0mm,0mm,0mm" style="mso-fit-shape-to-text:t;">
                <w:txbxContent>
                  <w:p>
                    <w:pPr>
                      <w:pStyle w:val="42"/>
                    </w:pPr>
                    <w:r>
                      <w:rPr>
                        <w:rFonts w:hint="eastAsia"/>
                      </w:rPr>
                      <w:fldChar w:fldCharType="begin"/>
                    </w:r>
                    <w:r>
                      <w:rPr>
                        <w:rFonts w:hint="eastAsia"/>
                      </w:rPr>
                      <w:instrText xml:space="preserve"> PAGE  \* MERGEFORMAT </w:instrText>
                    </w:r>
                    <w:r>
                      <w:rPr>
                        <w:rFonts w:hint="eastAsia"/>
                      </w:rPr>
                      <w:fldChar w:fldCharType="separate"/>
                    </w:r>
                    <w:r>
                      <w:t>46</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14935" cy="131445"/>
              <wp:effectExtent l="0" t="0" r="0" b="0"/>
              <wp:wrapNone/>
              <wp:docPr id="6" name="文本框 6"/>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pPr>
                            <w:pStyle w:val="42"/>
                          </w:pPr>
                          <w:r>
                            <w:rPr>
                              <w:rFonts w:hint="eastAsia"/>
                            </w:rPr>
                            <w:fldChar w:fldCharType="begin"/>
                          </w:r>
                          <w:r>
                            <w:rPr>
                              <w:rFonts w:hint="eastAsia"/>
                            </w:rPr>
                            <w:instrText xml:space="preserve"> PAGE  \* MERGEFORMAT </w:instrText>
                          </w:r>
                          <w:r>
                            <w:rPr>
                              <w:rFonts w:hint="eastAsia"/>
                            </w:rPr>
                            <w:fldChar w:fldCharType="separate"/>
                          </w:r>
                          <w:r>
                            <w:t>45</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62336;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BD5X5J0AAAAAMBAAAPAAAAAAAAAAEAIAAAACIAAABkcnMvZG93bnJldi54bWxQ&#10;SwECFAAUAAAACACHTuJAt87d2MYBAACLAwAADgAAAAAAAAABACAAAAAfAQAAZHJzL2Uyb0RvYy54&#10;bWxQSwUGAAAAAAYABgBZAQAAVwUAAAAA&#10;">
              <v:fill on="f" focussize="0,0"/>
              <v:stroke on="f"/>
              <v:imagedata o:title=""/>
              <o:lock v:ext="edit" aspectratio="f"/>
              <v:textbox inset="0mm,0mm,0mm,0mm" style="mso-fit-shape-to-text:t;">
                <w:txbxContent>
                  <w:p>
                    <w:pPr>
                      <w:pStyle w:val="42"/>
                    </w:pPr>
                    <w:r>
                      <w:rPr>
                        <w:rFonts w:hint="eastAsia"/>
                      </w:rPr>
                      <w:fldChar w:fldCharType="begin"/>
                    </w:r>
                    <w:r>
                      <w:rPr>
                        <w:rFonts w:hint="eastAsia"/>
                      </w:rPr>
                      <w:instrText xml:space="preserve"> PAGE  \* MERGEFORMAT </w:instrText>
                    </w:r>
                    <w:r>
                      <w:rPr>
                        <w:rFonts w:hint="eastAsia"/>
                      </w:rPr>
                      <w:fldChar w:fldCharType="separate"/>
                    </w:r>
                    <w:r>
                      <w:t>45</w:t>
                    </w:r>
                    <w:r>
                      <w:rPr>
                        <w:rFonts w:hint="eastAsia"/>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3"/>
      </w:rPr>
    </w:pPr>
    <w:r>
      <w:fldChar w:fldCharType="begin"/>
    </w:r>
    <w:r>
      <w:rPr>
        <w:rStyle w:val="73"/>
      </w:rPr>
      <w:instrText xml:space="preserve">PAGE  </w:instrText>
    </w:r>
    <w:r>
      <w:fldChar w:fldCharType="end"/>
    </w:r>
  </w:p>
  <w:p>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bookmarkStart w:id="554" w:name="_Toc36110187"/>
    <w:bookmarkStart w:id="555" w:name="_Toc164085800"/>
    <w:bookmarkStart w:id="556" w:name="_Toc91899912"/>
    <w:bookmarkStart w:id="557" w:name="_Toc131845147"/>
    <w:r>
      <w:rPr>
        <w:rFonts w:hint="eastAsia" w:ascii="仿宋_GB2312" w:eastAsia="仿宋_GB2312"/>
        <w:kern w:val="0"/>
        <w:szCs w:val="21"/>
      </w:rPr>
      <w:t xml:space="preserve"> 页</w:t>
    </w:r>
    <w:bookmarkEnd w:id="554"/>
    <w:bookmarkEnd w:id="555"/>
    <w:bookmarkEnd w:id="556"/>
    <w:bookmarkEnd w:id="55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4"/>
      </w:pBdr>
      <w:jc w:val="right"/>
    </w:pPr>
    <w:r>
      <w:t></w:t>
    </w:r>
    <w:r>
      <w:rPr>
        <w:rFonts w:hint="eastAsia"/>
      </w:rPr>
      <w:t xml:space="preserve">             </w:t>
    </w:r>
    <w:r>
      <w:t>杭州市政府采购公开</w:t>
    </w:r>
    <w:r>
      <w:rPr>
        <w:rFonts w:hint="eastAsia"/>
      </w:rPr>
      <w:t>采购文件</w:t>
    </w:r>
  </w:p>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w:t>
    </w:r>
    <w:r>
      <w:rPr>
        <w:rFonts w:hint="eastAsia"/>
        <w:lang w:val="zh-CN"/>
      </w:rPr>
      <w:t>采购文件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none" w:color="auto" w:sz="0" w:space="0"/>
      </w:pBdr>
      <w:tabs>
        <w:tab w:val="center" w:pos="4535"/>
        <w:tab w:val="right" w:pos="9070"/>
        <w:tab w:val="clear" w:pos="4153"/>
        <w:tab w:val="clear" w:pos="8306"/>
      </w:tabs>
      <w:jc w:val="right"/>
    </w:pPr>
    <w:r>
      <w:rPr>
        <w:rFonts w:hint="eastAsia"/>
        <w:lang w:val="zh-CN"/>
      </w:rPr>
      <w:t xml:space="preserve"> </w:t>
    </w:r>
    <w:r>
      <w:tab/>
    </w:r>
    <w:r>
      <w:rPr>
        <w:rFonts w:hint="eastAsia"/>
        <w:lang w:val="zh-CN"/>
      </w:rPr>
      <w:t xml:space="preserve"> </w:t>
    </w:r>
    <w:r>
      <w:tab/>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rPr>
        <w:rFonts w:ascii="仿宋_GB2312"/>
        <w:b/>
        <w:i/>
        <w:u w:val="single"/>
      </w:rPr>
    </w:pPr>
    <w:r>
      <w:t></w:t>
    </w:r>
    <w:r>
      <w:rPr>
        <w:rFonts w:hint="eastAsia"/>
      </w:rPr>
      <w:t xml:space="preserve">                                                  </w:t>
    </w:r>
    <w:r>
      <w:t>杭州市政府采购公开</w:t>
    </w:r>
    <w:r>
      <w:rPr>
        <w:rFonts w:hint="eastAsia"/>
      </w:rPr>
      <w:t>采购文件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r>
      <w:rPr>
        <w:rFonts w:hint="eastAsia"/>
      </w:rPr>
      <w:t xml:space="preserve">         </w:t>
    </w:r>
  </w:p>
  <w:p>
    <w:pPr>
      <w:pStyle w:val="43"/>
    </w:pPr>
    <w:r>
      <w:rPr>
        <w:rFonts w:hint="eastAsia"/>
      </w:rPr>
      <w:t xml:space="preserve">                                                                  </w:t>
    </w:r>
    <w:r>
      <w:t>杭州市政府采购公开</w:t>
    </w:r>
    <w:r>
      <w:rPr>
        <w:rFonts w:hint="eastAsia"/>
      </w:rPr>
      <w:t>采购文件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b/>
        <w:i/>
        <w:u w:val="single"/>
      </w:rPr>
    </w:pPr>
    <w:r>
      <w:rPr>
        <w:rFonts w:hint="eastAsia"/>
      </w:rPr>
      <w:t xml:space="preserve">                                  </w:t>
    </w:r>
    <w:r>
      <w:t>杭州市政府采购公开</w:t>
    </w:r>
    <w:r>
      <w:rPr>
        <w:rFonts w:hint="eastAsia"/>
      </w:rPr>
      <w:t>采购文件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pPr>
    <w:r>
      <w:rPr>
        <w:rFonts w:hint="eastAsia"/>
      </w:rPr>
      <w:t xml:space="preserve">                                                                                                        </w:t>
    </w:r>
    <w:r>
      <w:t>杭州市政府采购公开</w:t>
    </w:r>
    <w:r>
      <w:rPr>
        <w:rFonts w:hint="eastAsia"/>
      </w:rPr>
      <w:t>采购文件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b/>
        <w:i/>
        <w:iCs/>
        <w:u w:val="single"/>
      </w:rPr>
    </w:pPr>
    <w:r>
      <w:t>杭州市政府采购公开</w:t>
    </w:r>
    <w:r>
      <w:rPr>
        <w:rFonts w:hint="eastAsia"/>
      </w:rPr>
      <w:t>采购文件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r>
      <w:rPr>
        <w:rFonts w:hint="eastAsia"/>
      </w:rPr>
      <w:t xml:space="preserve">                                             </w:t>
    </w:r>
    <w:r>
      <w:t>杭州市政府采购公开</w:t>
    </w:r>
    <w:r>
      <w:rPr>
        <w:rFonts w:hint="eastAsia"/>
      </w:rPr>
      <w:t>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47BF3D3"/>
    <w:multiLevelType w:val="singleLevel"/>
    <w:tmpl w:val="A47BF3D3"/>
    <w:lvl w:ilvl="0" w:tentative="0">
      <w:start w:val="1"/>
      <w:numFmt w:val="decimal"/>
      <w:lvlText w:val="(%1)"/>
      <w:lvlJc w:val="left"/>
      <w:pPr>
        <w:ind w:left="425" w:hanging="425"/>
      </w:pPr>
      <w:rPr>
        <w:rFonts w:hint="default"/>
      </w:rPr>
    </w:lvl>
  </w:abstractNum>
  <w:abstractNum w:abstractNumId="1">
    <w:nsid w:val="51C27EDC"/>
    <w:multiLevelType w:val="singleLevel"/>
    <w:tmpl w:val="51C27EDC"/>
    <w:lvl w:ilvl="0" w:tentative="0">
      <w:start w:val="3"/>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BkY2Q3Yzg4NjlkOWNkNmNjNDg0OTU5ZTgxYmFmYW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2A7"/>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933"/>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791"/>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1959"/>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957"/>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361"/>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2ACC"/>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AF7DE8"/>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5D"/>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132"/>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050F"/>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67C"/>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AD3"/>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246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2610EC"/>
    <w:rsid w:val="019F7441"/>
    <w:rsid w:val="01B37585"/>
    <w:rsid w:val="01D55165"/>
    <w:rsid w:val="01DF6BF8"/>
    <w:rsid w:val="01EC2C57"/>
    <w:rsid w:val="02571C51"/>
    <w:rsid w:val="025F0711"/>
    <w:rsid w:val="026B2E25"/>
    <w:rsid w:val="02824D4D"/>
    <w:rsid w:val="02AF383B"/>
    <w:rsid w:val="02CE65AA"/>
    <w:rsid w:val="02DC4B10"/>
    <w:rsid w:val="02DD76CE"/>
    <w:rsid w:val="02F36323"/>
    <w:rsid w:val="02F5619C"/>
    <w:rsid w:val="0326446A"/>
    <w:rsid w:val="032D5555"/>
    <w:rsid w:val="036634D2"/>
    <w:rsid w:val="036A59B4"/>
    <w:rsid w:val="03DD35E4"/>
    <w:rsid w:val="04076900"/>
    <w:rsid w:val="040D157B"/>
    <w:rsid w:val="041A5A3B"/>
    <w:rsid w:val="042311BA"/>
    <w:rsid w:val="042B157A"/>
    <w:rsid w:val="046B19E4"/>
    <w:rsid w:val="048D65BC"/>
    <w:rsid w:val="048F763B"/>
    <w:rsid w:val="049F330E"/>
    <w:rsid w:val="04AA775C"/>
    <w:rsid w:val="04AF1889"/>
    <w:rsid w:val="04F66F48"/>
    <w:rsid w:val="05251E14"/>
    <w:rsid w:val="05863C2B"/>
    <w:rsid w:val="05A16594"/>
    <w:rsid w:val="05A7762D"/>
    <w:rsid w:val="05D35C95"/>
    <w:rsid w:val="05F07A1A"/>
    <w:rsid w:val="060E5941"/>
    <w:rsid w:val="06110FAF"/>
    <w:rsid w:val="06472934"/>
    <w:rsid w:val="06493CA7"/>
    <w:rsid w:val="065A6178"/>
    <w:rsid w:val="066606B5"/>
    <w:rsid w:val="066F1CF3"/>
    <w:rsid w:val="067508F8"/>
    <w:rsid w:val="06930BB8"/>
    <w:rsid w:val="06DE46EF"/>
    <w:rsid w:val="07245D42"/>
    <w:rsid w:val="07264C62"/>
    <w:rsid w:val="073A569E"/>
    <w:rsid w:val="0779354C"/>
    <w:rsid w:val="07A01BFB"/>
    <w:rsid w:val="07B62F76"/>
    <w:rsid w:val="07F26B2A"/>
    <w:rsid w:val="08061376"/>
    <w:rsid w:val="081538B4"/>
    <w:rsid w:val="08452D77"/>
    <w:rsid w:val="085032DE"/>
    <w:rsid w:val="086401F8"/>
    <w:rsid w:val="08751CAA"/>
    <w:rsid w:val="087E4C40"/>
    <w:rsid w:val="08A871D0"/>
    <w:rsid w:val="08D66AD6"/>
    <w:rsid w:val="08DA33A3"/>
    <w:rsid w:val="08E80F13"/>
    <w:rsid w:val="09151F1E"/>
    <w:rsid w:val="09322AD0"/>
    <w:rsid w:val="09335624"/>
    <w:rsid w:val="094027C8"/>
    <w:rsid w:val="0944690F"/>
    <w:rsid w:val="09535675"/>
    <w:rsid w:val="095F057D"/>
    <w:rsid w:val="09642282"/>
    <w:rsid w:val="09733572"/>
    <w:rsid w:val="09772C16"/>
    <w:rsid w:val="098353B5"/>
    <w:rsid w:val="09A92330"/>
    <w:rsid w:val="09B06B87"/>
    <w:rsid w:val="09C13146"/>
    <w:rsid w:val="09E04166"/>
    <w:rsid w:val="0A1C0718"/>
    <w:rsid w:val="0A2D3298"/>
    <w:rsid w:val="0A3E7710"/>
    <w:rsid w:val="0A4C1E6C"/>
    <w:rsid w:val="0A5B7E63"/>
    <w:rsid w:val="0AA374A5"/>
    <w:rsid w:val="0AAB7649"/>
    <w:rsid w:val="0ABC5606"/>
    <w:rsid w:val="0AE66BD8"/>
    <w:rsid w:val="0B30404E"/>
    <w:rsid w:val="0B4C6C14"/>
    <w:rsid w:val="0B547599"/>
    <w:rsid w:val="0B631A88"/>
    <w:rsid w:val="0B683D45"/>
    <w:rsid w:val="0B7F3F11"/>
    <w:rsid w:val="0B884417"/>
    <w:rsid w:val="0BF24799"/>
    <w:rsid w:val="0BF6188C"/>
    <w:rsid w:val="0BF73C91"/>
    <w:rsid w:val="0C170175"/>
    <w:rsid w:val="0C2D44FF"/>
    <w:rsid w:val="0C571A41"/>
    <w:rsid w:val="0C5C1171"/>
    <w:rsid w:val="0C5E1CBC"/>
    <w:rsid w:val="0C601702"/>
    <w:rsid w:val="0C615B50"/>
    <w:rsid w:val="0C721436"/>
    <w:rsid w:val="0C8445DA"/>
    <w:rsid w:val="0C87121B"/>
    <w:rsid w:val="0CC007F7"/>
    <w:rsid w:val="0CC617AC"/>
    <w:rsid w:val="0CE618DF"/>
    <w:rsid w:val="0CF10955"/>
    <w:rsid w:val="0CFE707A"/>
    <w:rsid w:val="0D063BDA"/>
    <w:rsid w:val="0D08375F"/>
    <w:rsid w:val="0D085BA1"/>
    <w:rsid w:val="0D184CFB"/>
    <w:rsid w:val="0D4A7419"/>
    <w:rsid w:val="0D827401"/>
    <w:rsid w:val="0D84094E"/>
    <w:rsid w:val="0D8A00E9"/>
    <w:rsid w:val="0D8D589E"/>
    <w:rsid w:val="0DA01C73"/>
    <w:rsid w:val="0DD63300"/>
    <w:rsid w:val="0DF50604"/>
    <w:rsid w:val="0DF702FE"/>
    <w:rsid w:val="0DFB3293"/>
    <w:rsid w:val="0E060E51"/>
    <w:rsid w:val="0E0C334B"/>
    <w:rsid w:val="0E5139F9"/>
    <w:rsid w:val="0E5604B2"/>
    <w:rsid w:val="0E6D5D79"/>
    <w:rsid w:val="0E9D0089"/>
    <w:rsid w:val="0EB803EE"/>
    <w:rsid w:val="0EB9334C"/>
    <w:rsid w:val="0EF94D4B"/>
    <w:rsid w:val="0F312AB7"/>
    <w:rsid w:val="0F352373"/>
    <w:rsid w:val="0F4958DC"/>
    <w:rsid w:val="0F515DF7"/>
    <w:rsid w:val="0F596BA8"/>
    <w:rsid w:val="0F6248D2"/>
    <w:rsid w:val="0F693536"/>
    <w:rsid w:val="0F7B0511"/>
    <w:rsid w:val="0F7B76D9"/>
    <w:rsid w:val="0F816ACD"/>
    <w:rsid w:val="0F8D4522"/>
    <w:rsid w:val="0F9832DB"/>
    <w:rsid w:val="0FA1275E"/>
    <w:rsid w:val="0FBF3FD2"/>
    <w:rsid w:val="0FBF7FF3"/>
    <w:rsid w:val="0FCF6AA6"/>
    <w:rsid w:val="101E3DAE"/>
    <w:rsid w:val="10646583"/>
    <w:rsid w:val="107D4B15"/>
    <w:rsid w:val="108A3C80"/>
    <w:rsid w:val="10B04957"/>
    <w:rsid w:val="10C26171"/>
    <w:rsid w:val="10F33360"/>
    <w:rsid w:val="10FC16EA"/>
    <w:rsid w:val="110F1D40"/>
    <w:rsid w:val="11266F33"/>
    <w:rsid w:val="112A6EB7"/>
    <w:rsid w:val="11494E5B"/>
    <w:rsid w:val="11763776"/>
    <w:rsid w:val="118963A1"/>
    <w:rsid w:val="11C6522A"/>
    <w:rsid w:val="11E104CC"/>
    <w:rsid w:val="11E20309"/>
    <w:rsid w:val="11FF0CDD"/>
    <w:rsid w:val="12255233"/>
    <w:rsid w:val="12530213"/>
    <w:rsid w:val="125F420A"/>
    <w:rsid w:val="127723A9"/>
    <w:rsid w:val="12862074"/>
    <w:rsid w:val="12883966"/>
    <w:rsid w:val="12901BA2"/>
    <w:rsid w:val="129E45B4"/>
    <w:rsid w:val="12D81596"/>
    <w:rsid w:val="12E070F9"/>
    <w:rsid w:val="13072A44"/>
    <w:rsid w:val="131D659F"/>
    <w:rsid w:val="13397585"/>
    <w:rsid w:val="135F4BE2"/>
    <w:rsid w:val="139B1A0A"/>
    <w:rsid w:val="139D25C7"/>
    <w:rsid w:val="13BF3CE4"/>
    <w:rsid w:val="13CD58C2"/>
    <w:rsid w:val="141008D8"/>
    <w:rsid w:val="14125FE6"/>
    <w:rsid w:val="146D271E"/>
    <w:rsid w:val="14982588"/>
    <w:rsid w:val="149A5AD9"/>
    <w:rsid w:val="14A7619D"/>
    <w:rsid w:val="15000BA8"/>
    <w:rsid w:val="150536C3"/>
    <w:rsid w:val="150C1963"/>
    <w:rsid w:val="151447A0"/>
    <w:rsid w:val="1546436C"/>
    <w:rsid w:val="154A6454"/>
    <w:rsid w:val="156F0C08"/>
    <w:rsid w:val="15762120"/>
    <w:rsid w:val="15F5110D"/>
    <w:rsid w:val="16A8729C"/>
    <w:rsid w:val="16B33777"/>
    <w:rsid w:val="16BC70A7"/>
    <w:rsid w:val="16C6339E"/>
    <w:rsid w:val="172F2D79"/>
    <w:rsid w:val="17557BEF"/>
    <w:rsid w:val="175B4A52"/>
    <w:rsid w:val="177B7D38"/>
    <w:rsid w:val="17D349C1"/>
    <w:rsid w:val="17D991C3"/>
    <w:rsid w:val="1830729E"/>
    <w:rsid w:val="183A07EC"/>
    <w:rsid w:val="184E71FB"/>
    <w:rsid w:val="1870062C"/>
    <w:rsid w:val="18817102"/>
    <w:rsid w:val="18830A15"/>
    <w:rsid w:val="18852B28"/>
    <w:rsid w:val="188B5321"/>
    <w:rsid w:val="18A32514"/>
    <w:rsid w:val="18F90F15"/>
    <w:rsid w:val="195E521C"/>
    <w:rsid w:val="19932372"/>
    <w:rsid w:val="19A20DD5"/>
    <w:rsid w:val="19AE03F1"/>
    <w:rsid w:val="1A071A03"/>
    <w:rsid w:val="1A1F16AE"/>
    <w:rsid w:val="1A295829"/>
    <w:rsid w:val="1A3B5C77"/>
    <w:rsid w:val="1A90440A"/>
    <w:rsid w:val="1A984BAD"/>
    <w:rsid w:val="1AB8220E"/>
    <w:rsid w:val="1AE4166C"/>
    <w:rsid w:val="1AF06CFB"/>
    <w:rsid w:val="1AF11B8D"/>
    <w:rsid w:val="1B11359C"/>
    <w:rsid w:val="1B171B26"/>
    <w:rsid w:val="1B2A271F"/>
    <w:rsid w:val="1B50328A"/>
    <w:rsid w:val="1B530544"/>
    <w:rsid w:val="1B5D1AE2"/>
    <w:rsid w:val="1B713184"/>
    <w:rsid w:val="1BA209CF"/>
    <w:rsid w:val="1BB4777D"/>
    <w:rsid w:val="1BD75AB8"/>
    <w:rsid w:val="1BF21E2B"/>
    <w:rsid w:val="1C0459C2"/>
    <w:rsid w:val="1C1B3B4A"/>
    <w:rsid w:val="1C88086E"/>
    <w:rsid w:val="1CDA105D"/>
    <w:rsid w:val="1D1A3B4F"/>
    <w:rsid w:val="1D266CE1"/>
    <w:rsid w:val="1D382CE5"/>
    <w:rsid w:val="1D3963AF"/>
    <w:rsid w:val="1D6A673C"/>
    <w:rsid w:val="1D8D4321"/>
    <w:rsid w:val="1D9247AE"/>
    <w:rsid w:val="1DB23D88"/>
    <w:rsid w:val="1DB567EC"/>
    <w:rsid w:val="1DCA10D2"/>
    <w:rsid w:val="1DED4FA0"/>
    <w:rsid w:val="1DF4775D"/>
    <w:rsid w:val="1DF51A98"/>
    <w:rsid w:val="1E3C0752"/>
    <w:rsid w:val="1E3D060F"/>
    <w:rsid w:val="1E3F7D2E"/>
    <w:rsid w:val="1E4134E4"/>
    <w:rsid w:val="1E5062B3"/>
    <w:rsid w:val="1E523514"/>
    <w:rsid w:val="1E714A66"/>
    <w:rsid w:val="1E802593"/>
    <w:rsid w:val="1E8B6156"/>
    <w:rsid w:val="1EA703CC"/>
    <w:rsid w:val="1EB7330C"/>
    <w:rsid w:val="1F0A0FF3"/>
    <w:rsid w:val="1F182311"/>
    <w:rsid w:val="1F5771FF"/>
    <w:rsid w:val="1F737B21"/>
    <w:rsid w:val="1F941815"/>
    <w:rsid w:val="1FB93013"/>
    <w:rsid w:val="1FE868A9"/>
    <w:rsid w:val="2001472C"/>
    <w:rsid w:val="20034907"/>
    <w:rsid w:val="20173E4B"/>
    <w:rsid w:val="201C16D6"/>
    <w:rsid w:val="204E48BC"/>
    <w:rsid w:val="208921B3"/>
    <w:rsid w:val="20973DEB"/>
    <w:rsid w:val="20B26522"/>
    <w:rsid w:val="20B44310"/>
    <w:rsid w:val="20BA674D"/>
    <w:rsid w:val="20C22534"/>
    <w:rsid w:val="20D12777"/>
    <w:rsid w:val="211116EB"/>
    <w:rsid w:val="216133FC"/>
    <w:rsid w:val="218D48F0"/>
    <w:rsid w:val="21D56769"/>
    <w:rsid w:val="21E52EF3"/>
    <w:rsid w:val="21FB5D7B"/>
    <w:rsid w:val="22015E94"/>
    <w:rsid w:val="220216DC"/>
    <w:rsid w:val="220B1C3D"/>
    <w:rsid w:val="221D1D20"/>
    <w:rsid w:val="22334A87"/>
    <w:rsid w:val="223B434C"/>
    <w:rsid w:val="22BE6801"/>
    <w:rsid w:val="233500BF"/>
    <w:rsid w:val="23377FF7"/>
    <w:rsid w:val="236B425F"/>
    <w:rsid w:val="23836192"/>
    <w:rsid w:val="23901F29"/>
    <w:rsid w:val="239C0061"/>
    <w:rsid w:val="23B6137F"/>
    <w:rsid w:val="23B908A4"/>
    <w:rsid w:val="23E95BEF"/>
    <w:rsid w:val="23FD0064"/>
    <w:rsid w:val="24500CA1"/>
    <w:rsid w:val="245375B0"/>
    <w:rsid w:val="24642C0A"/>
    <w:rsid w:val="24B22173"/>
    <w:rsid w:val="24B95AD9"/>
    <w:rsid w:val="24BE24DA"/>
    <w:rsid w:val="24CF5825"/>
    <w:rsid w:val="24D663E6"/>
    <w:rsid w:val="24D77F2B"/>
    <w:rsid w:val="24E266DD"/>
    <w:rsid w:val="255D4DBB"/>
    <w:rsid w:val="258B00E2"/>
    <w:rsid w:val="25A917A6"/>
    <w:rsid w:val="25AB0864"/>
    <w:rsid w:val="25BE27CC"/>
    <w:rsid w:val="25F74A5C"/>
    <w:rsid w:val="261C357F"/>
    <w:rsid w:val="2628662C"/>
    <w:rsid w:val="262D45DE"/>
    <w:rsid w:val="26666F6E"/>
    <w:rsid w:val="26871DC8"/>
    <w:rsid w:val="26A53EF9"/>
    <w:rsid w:val="26A94201"/>
    <w:rsid w:val="26AC274F"/>
    <w:rsid w:val="26D22DA5"/>
    <w:rsid w:val="27044A29"/>
    <w:rsid w:val="271D34C8"/>
    <w:rsid w:val="27355BE4"/>
    <w:rsid w:val="276142BF"/>
    <w:rsid w:val="27783712"/>
    <w:rsid w:val="278C676B"/>
    <w:rsid w:val="27907362"/>
    <w:rsid w:val="28333E1D"/>
    <w:rsid w:val="28454BD6"/>
    <w:rsid w:val="28455253"/>
    <w:rsid w:val="284E0E06"/>
    <w:rsid w:val="28551971"/>
    <w:rsid w:val="285B1C53"/>
    <w:rsid w:val="289F7086"/>
    <w:rsid w:val="28A57A1A"/>
    <w:rsid w:val="28C32028"/>
    <w:rsid w:val="28CC490F"/>
    <w:rsid w:val="28CF57EE"/>
    <w:rsid w:val="28DE40AA"/>
    <w:rsid w:val="291D29FD"/>
    <w:rsid w:val="29345E77"/>
    <w:rsid w:val="294C65AD"/>
    <w:rsid w:val="297D349C"/>
    <w:rsid w:val="29806583"/>
    <w:rsid w:val="298B3C4C"/>
    <w:rsid w:val="299A22A0"/>
    <w:rsid w:val="29F26D24"/>
    <w:rsid w:val="2A092F82"/>
    <w:rsid w:val="2A15033F"/>
    <w:rsid w:val="2A1662C1"/>
    <w:rsid w:val="2A176E57"/>
    <w:rsid w:val="2A1C7367"/>
    <w:rsid w:val="2A2815FA"/>
    <w:rsid w:val="2A4F0CFA"/>
    <w:rsid w:val="2A6D6092"/>
    <w:rsid w:val="2A7D76B4"/>
    <w:rsid w:val="2AE9366F"/>
    <w:rsid w:val="2B437463"/>
    <w:rsid w:val="2B7807EE"/>
    <w:rsid w:val="2BA50BF7"/>
    <w:rsid w:val="2BBF00EC"/>
    <w:rsid w:val="2BC03B14"/>
    <w:rsid w:val="2BC37CFD"/>
    <w:rsid w:val="2BD5237F"/>
    <w:rsid w:val="2BE536CE"/>
    <w:rsid w:val="2BE758D9"/>
    <w:rsid w:val="2C0559CB"/>
    <w:rsid w:val="2C09049E"/>
    <w:rsid w:val="2C0A653C"/>
    <w:rsid w:val="2C191F85"/>
    <w:rsid w:val="2CE82D6F"/>
    <w:rsid w:val="2CF45147"/>
    <w:rsid w:val="2D343236"/>
    <w:rsid w:val="2D6706EB"/>
    <w:rsid w:val="2DA65BFA"/>
    <w:rsid w:val="2DB42000"/>
    <w:rsid w:val="2DD15014"/>
    <w:rsid w:val="2DF72DE4"/>
    <w:rsid w:val="2E0220AF"/>
    <w:rsid w:val="2E4B082A"/>
    <w:rsid w:val="2E5D4E86"/>
    <w:rsid w:val="2E5D790B"/>
    <w:rsid w:val="2E8D3D34"/>
    <w:rsid w:val="2E9A3C18"/>
    <w:rsid w:val="2EBB0FEE"/>
    <w:rsid w:val="2EC63002"/>
    <w:rsid w:val="2F0A6B38"/>
    <w:rsid w:val="2F0B3BCB"/>
    <w:rsid w:val="2F195A15"/>
    <w:rsid w:val="2F77273B"/>
    <w:rsid w:val="2F946CCB"/>
    <w:rsid w:val="2F962AD5"/>
    <w:rsid w:val="2FAA2B11"/>
    <w:rsid w:val="2FD25781"/>
    <w:rsid w:val="2FDC745C"/>
    <w:rsid w:val="2FF877CF"/>
    <w:rsid w:val="2FFD7934"/>
    <w:rsid w:val="30733ACD"/>
    <w:rsid w:val="30782C0F"/>
    <w:rsid w:val="308C3862"/>
    <w:rsid w:val="309379D8"/>
    <w:rsid w:val="30A270F7"/>
    <w:rsid w:val="30DF1478"/>
    <w:rsid w:val="30EC586F"/>
    <w:rsid w:val="319C6071"/>
    <w:rsid w:val="31AC537E"/>
    <w:rsid w:val="31E3679B"/>
    <w:rsid w:val="31E732FD"/>
    <w:rsid w:val="321B1AA4"/>
    <w:rsid w:val="32231F8C"/>
    <w:rsid w:val="32517576"/>
    <w:rsid w:val="32BE5C2C"/>
    <w:rsid w:val="32FB6478"/>
    <w:rsid w:val="32FE389F"/>
    <w:rsid w:val="33263B3F"/>
    <w:rsid w:val="33356B95"/>
    <w:rsid w:val="3350390F"/>
    <w:rsid w:val="33641229"/>
    <w:rsid w:val="336963EB"/>
    <w:rsid w:val="33816EEB"/>
    <w:rsid w:val="33D80A95"/>
    <w:rsid w:val="33DA117B"/>
    <w:rsid w:val="33EB55CD"/>
    <w:rsid w:val="33EC4C02"/>
    <w:rsid w:val="340D2360"/>
    <w:rsid w:val="3410665D"/>
    <w:rsid w:val="34211214"/>
    <w:rsid w:val="342D1890"/>
    <w:rsid w:val="342E63AB"/>
    <w:rsid w:val="345D63A4"/>
    <w:rsid w:val="34950E68"/>
    <w:rsid w:val="34986E94"/>
    <w:rsid w:val="34AF62C9"/>
    <w:rsid w:val="34CB4388"/>
    <w:rsid w:val="34FA6E12"/>
    <w:rsid w:val="354D7158"/>
    <w:rsid w:val="356C2617"/>
    <w:rsid w:val="358D5588"/>
    <w:rsid w:val="35945E0F"/>
    <w:rsid w:val="35C54671"/>
    <w:rsid w:val="35FA36F4"/>
    <w:rsid w:val="363A3B40"/>
    <w:rsid w:val="365302AE"/>
    <w:rsid w:val="36607A0A"/>
    <w:rsid w:val="366E227C"/>
    <w:rsid w:val="366F2E0D"/>
    <w:rsid w:val="367B6A5C"/>
    <w:rsid w:val="36844223"/>
    <w:rsid w:val="36A74ADA"/>
    <w:rsid w:val="36AD60D5"/>
    <w:rsid w:val="36B224F9"/>
    <w:rsid w:val="36EC0CC9"/>
    <w:rsid w:val="373F410B"/>
    <w:rsid w:val="37A84860"/>
    <w:rsid w:val="37BE2D67"/>
    <w:rsid w:val="37C370FA"/>
    <w:rsid w:val="37EE7094"/>
    <w:rsid w:val="38296C89"/>
    <w:rsid w:val="383002EB"/>
    <w:rsid w:val="38586797"/>
    <w:rsid w:val="3886503D"/>
    <w:rsid w:val="389E689B"/>
    <w:rsid w:val="38B60DFD"/>
    <w:rsid w:val="38BC0149"/>
    <w:rsid w:val="38CC0229"/>
    <w:rsid w:val="38D87D1C"/>
    <w:rsid w:val="38F1355F"/>
    <w:rsid w:val="391F631E"/>
    <w:rsid w:val="393E60BA"/>
    <w:rsid w:val="39636459"/>
    <w:rsid w:val="396B7F6C"/>
    <w:rsid w:val="39B417A9"/>
    <w:rsid w:val="39BD1693"/>
    <w:rsid w:val="39FC5695"/>
    <w:rsid w:val="3A006D8E"/>
    <w:rsid w:val="3A076F0D"/>
    <w:rsid w:val="3A3651E5"/>
    <w:rsid w:val="3A744481"/>
    <w:rsid w:val="3A8B1791"/>
    <w:rsid w:val="3A8C7BEF"/>
    <w:rsid w:val="3A906246"/>
    <w:rsid w:val="3B2349B7"/>
    <w:rsid w:val="3B616CFF"/>
    <w:rsid w:val="3B6259F6"/>
    <w:rsid w:val="3B7A783B"/>
    <w:rsid w:val="3B8979FF"/>
    <w:rsid w:val="3B976654"/>
    <w:rsid w:val="3BC01EFC"/>
    <w:rsid w:val="3BCA786A"/>
    <w:rsid w:val="3BD056AD"/>
    <w:rsid w:val="3BD31E2F"/>
    <w:rsid w:val="3BF15831"/>
    <w:rsid w:val="3BFF5DA5"/>
    <w:rsid w:val="3C105946"/>
    <w:rsid w:val="3C3466EE"/>
    <w:rsid w:val="3C471448"/>
    <w:rsid w:val="3C5F759A"/>
    <w:rsid w:val="3C6C525A"/>
    <w:rsid w:val="3C8539FB"/>
    <w:rsid w:val="3CC05722"/>
    <w:rsid w:val="3CCE23CB"/>
    <w:rsid w:val="3CD17D17"/>
    <w:rsid w:val="3CD92C87"/>
    <w:rsid w:val="3D3C7F39"/>
    <w:rsid w:val="3D440F09"/>
    <w:rsid w:val="3D4504A0"/>
    <w:rsid w:val="3D66188F"/>
    <w:rsid w:val="3D6F7F64"/>
    <w:rsid w:val="3D8734BB"/>
    <w:rsid w:val="3D9A11D4"/>
    <w:rsid w:val="3DA16D89"/>
    <w:rsid w:val="3DA364BE"/>
    <w:rsid w:val="3DE041CB"/>
    <w:rsid w:val="3E0D48F6"/>
    <w:rsid w:val="3E1868B4"/>
    <w:rsid w:val="3E216046"/>
    <w:rsid w:val="3E2D5039"/>
    <w:rsid w:val="3E377251"/>
    <w:rsid w:val="3E42664B"/>
    <w:rsid w:val="3E5A7334"/>
    <w:rsid w:val="3E7B5D6B"/>
    <w:rsid w:val="3E843E66"/>
    <w:rsid w:val="3E8F51FE"/>
    <w:rsid w:val="3E926F87"/>
    <w:rsid w:val="3E9A59DE"/>
    <w:rsid w:val="3EAF4836"/>
    <w:rsid w:val="3EC33DFA"/>
    <w:rsid w:val="3F060E16"/>
    <w:rsid w:val="3F0A7DDC"/>
    <w:rsid w:val="3F1D1096"/>
    <w:rsid w:val="3F2F0234"/>
    <w:rsid w:val="3F5449DF"/>
    <w:rsid w:val="3F6363FE"/>
    <w:rsid w:val="3F756B8F"/>
    <w:rsid w:val="3F95482B"/>
    <w:rsid w:val="3FAE55EA"/>
    <w:rsid w:val="4019356B"/>
    <w:rsid w:val="4026388A"/>
    <w:rsid w:val="40592157"/>
    <w:rsid w:val="406E1CAE"/>
    <w:rsid w:val="40A0133A"/>
    <w:rsid w:val="40C31A53"/>
    <w:rsid w:val="40FC2A5F"/>
    <w:rsid w:val="40FF545D"/>
    <w:rsid w:val="410067C8"/>
    <w:rsid w:val="41520142"/>
    <w:rsid w:val="416845DA"/>
    <w:rsid w:val="418F0D2A"/>
    <w:rsid w:val="41AE5FD7"/>
    <w:rsid w:val="41D01505"/>
    <w:rsid w:val="42474939"/>
    <w:rsid w:val="424C3C57"/>
    <w:rsid w:val="42613FF3"/>
    <w:rsid w:val="42660D96"/>
    <w:rsid w:val="428667D2"/>
    <w:rsid w:val="42C572E6"/>
    <w:rsid w:val="42CD1CE0"/>
    <w:rsid w:val="42E1381E"/>
    <w:rsid w:val="42ED6459"/>
    <w:rsid w:val="42FE58DD"/>
    <w:rsid w:val="43174B3D"/>
    <w:rsid w:val="43326C4D"/>
    <w:rsid w:val="433504EC"/>
    <w:rsid w:val="434B790E"/>
    <w:rsid w:val="4360274F"/>
    <w:rsid w:val="43977AB6"/>
    <w:rsid w:val="43A3342B"/>
    <w:rsid w:val="43C77C27"/>
    <w:rsid w:val="43DE09EE"/>
    <w:rsid w:val="44002FAD"/>
    <w:rsid w:val="44491D8C"/>
    <w:rsid w:val="44882FDB"/>
    <w:rsid w:val="449101DD"/>
    <w:rsid w:val="44DE1391"/>
    <w:rsid w:val="44E81CBA"/>
    <w:rsid w:val="44F43562"/>
    <w:rsid w:val="450665E4"/>
    <w:rsid w:val="45191E0F"/>
    <w:rsid w:val="451B225C"/>
    <w:rsid w:val="452410C9"/>
    <w:rsid w:val="4524623C"/>
    <w:rsid w:val="45317DFB"/>
    <w:rsid w:val="454669E0"/>
    <w:rsid w:val="456D3CE4"/>
    <w:rsid w:val="4579042C"/>
    <w:rsid w:val="457F0571"/>
    <w:rsid w:val="45851176"/>
    <w:rsid w:val="45C63B94"/>
    <w:rsid w:val="460E7DA5"/>
    <w:rsid w:val="46422483"/>
    <w:rsid w:val="4659254A"/>
    <w:rsid w:val="465B0637"/>
    <w:rsid w:val="465E3F0D"/>
    <w:rsid w:val="466A16E6"/>
    <w:rsid w:val="46893F2B"/>
    <w:rsid w:val="469F5E79"/>
    <w:rsid w:val="46C155FF"/>
    <w:rsid w:val="46C4686E"/>
    <w:rsid w:val="46EB3CE3"/>
    <w:rsid w:val="477B778F"/>
    <w:rsid w:val="478203EC"/>
    <w:rsid w:val="479B70F9"/>
    <w:rsid w:val="47B025FA"/>
    <w:rsid w:val="4809698F"/>
    <w:rsid w:val="4811697D"/>
    <w:rsid w:val="4863298F"/>
    <w:rsid w:val="487A3E25"/>
    <w:rsid w:val="487B696E"/>
    <w:rsid w:val="4882187E"/>
    <w:rsid w:val="488B5503"/>
    <w:rsid w:val="48937E21"/>
    <w:rsid w:val="489A0361"/>
    <w:rsid w:val="48B94FF3"/>
    <w:rsid w:val="48E37AAB"/>
    <w:rsid w:val="48E857AF"/>
    <w:rsid w:val="48FD4B4C"/>
    <w:rsid w:val="490A68E0"/>
    <w:rsid w:val="491055FE"/>
    <w:rsid w:val="49117305"/>
    <w:rsid w:val="49361819"/>
    <w:rsid w:val="495F5B3E"/>
    <w:rsid w:val="496F77D7"/>
    <w:rsid w:val="497654FD"/>
    <w:rsid w:val="49886BFF"/>
    <w:rsid w:val="4989333F"/>
    <w:rsid w:val="49B64211"/>
    <w:rsid w:val="49B92A04"/>
    <w:rsid w:val="49F6167F"/>
    <w:rsid w:val="4A064FA0"/>
    <w:rsid w:val="4A16615C"/>
    <w:rsid w:val="4A4424D7"/>
    <w:rsid w:val="4A71507A"/>
    <w:rsid w:val="4AB82D0F"/>
    <w:rsid w:val="4AEB7664"/>
    <w:rsid w:val="4AFD7C19"/>
    <w:rsid w:val="4B0567D1"/>
    <w:rsid w:val="4B236AAE"/>
    <w:rsid w:val="4B707271"/>
    <w:rsid w:val="4B7F75D0"/>
    <w:rsid w:val="4B9739F7"/>
    <w:rsid w:val="4BEE2503"/>
    <w:rsid w:val="4C1E2465"/>
    <w:rsid w:val="4C245A30"/>
    <w:rsid w:val="4CA27E0D"/>
    <w:rsid w:val="4CB6685F"/>
    <w:rsid w:val="4CC367FE"/>
    <w:rsid w:val="4D077F3C"/>
    <w:rsid w:val="4D123355"/>
    <w:rsid w:val="4D2A3B31"/>
    <w:rsid w:val="4D312C52"/>
    <w:rsid w:val="4D507137"/>
    <w:rsid w:val="4D73619F"/>
    <w:rsid w:val="4D905305"/>
    <w:rsid w:val="4D964A72"/>
    <w:rsid w:val="4D9C1254"/>
    <w:rsid w:val="4E40569A"/>
    <w:rsid w:val="4E793892"/>
    <w:rsid w:val="4E800872"/>
    <w:rsid w:val="4EC569ED"/>
    <w:rsid w:val="4ED50EA1"/>
    <w:rsid w:val="4EEC050C"/>
    <w:rsid w:val="4F104EC3"/>
    <w:rsid w:val="4F47354A"/>
    <w:rsid w:val="4F911C54"/>
    <w:rsid w:val="4FE625E0"/>
    <w:rsid w:val="4FF534DD"/>
    <w:rsid w:val="4FFE4A87"/>
    <w:rsid w:val="5021480F"/>
    <w:rsid w:val="50616DC4"/>
    <w:rsid w:val="50962ECB"/>
    <w:rsid w:val="50A42E38"/>
    <w:rsid w:val="50A4577F"/>
    <w:rsid w:val="50B73D1F"/>
    <w:rsid w:val="50BD5BC9"/>
    <w:rsid w:val="50C11EEE"/>
    <w:rsid w:val="50E97CFC"/>
    <w:rsid w:val="50FA4028"/>
    <w:rsid w:val="510D65B7"/>
    <w:rsid w:val="511157AB"/>
    <w:rsid w:val="513F75DA"/>
    <w:rsid w:val="5142540C"/>
    <w:rsid w:val="518832C8"/>
    <w:rsid w:val="519D3C50"/>
    <w:rsid w:val="51A0432A"/>
    <w:rsid w:val="51A86090"/>
    <w:rsid w:val="51B7396D"/>
    <w:rsid w:val="51E101BC"/>
    <w:rsid w:val="522E4CC3"/>
    <w:rsid w:val="523734C2"/>
    <w:rsid w:val="5244713B"/>
    <w:rsid w:val="52615633"/>
    <w:rsid w:val="526F4DE4"/>
    <w:rsid w:val="52977FD4"/>
    <w:rsid w:val="52A25790"/>
    <w:rsid w:val="52A96B6F"/>
    <w:rsid w:val="52B45975"/>
    <w:rsid w:val="52CD2703"/>
    <w:rsid w:val="52D94AA4"/>
    <w:rsid w:val="52EA3A62"/>
    <w:rsid w:val="52F50BB8"/>
    <w:rsid w:val="52F70215"/>
    <w:rsid w:val="53097272"/>
    <w:rsid w:val="532A610A"/>
    <w:rsid w:val="53544462"/>
    <w:rsid w:val="539354E6"/>
    <w:rsid w:val="5397158E"/>
    <w:rsid w:val="53DF428D"/>
    <w:rsid w:val="53F266B1"/>
    <w:rsid w:val="54013861"/>
    <w:rsid w:val="54487265"/>
    <w:rsid w:val="544D6070"/>
    <w:rsid w:val="54605E1E"/>
    <w:rsid w:val="54B3506A"/>
    <w:rsid w:val="54CA0D16"/>
    <w:rsid w:val="54DD4057"/>
    <w:rsid w:val="54E7490F"/>
    <w:rsid w:val="550764A4"/>
    <w:rsid w:val="550B2BF6"/>
    <w:rsid w:val="55214EB5"/>
    <w:rsid w:val="55364EFD"/>
    <w:rsid w:val="55515B7B"/>
    <w:rsid w:val="555D4828"/>
    <w:rsid w:val="557A4C8B"/>
    <w:rsid w:val="558931E1"/>
    <w:rsid w:val="55923347"/>
    <w:rsid w:val="55925180"/>
    <w:rsid w:val="55983B1B"/>
    <w:rsid w:val="559B68D4"/>
    <w:rsid w:val="55A8376B"/>
    <w:rsid w:val="55DC29B6"/>
    <w:rsid w:val="55DD4241"/>
    <w:rsid w:val="55F62EB8"/>
    <w:rsid w:val="56306A8D"/>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7E411DB"/>
    <w:rsid w:val="57ED228D"/>
    <w:rsid w:val="58917D2F"/>
    <w:rsid w:val="5894085C"/>
    <w:rsid w:val="58A106A5"/>
    <w:rsid w:val="58AE4F0C"/>
    <w:rsid w:val="58B85899"/>
    <w:rsid w:val="58E363A9"/>
    <w:rsid w:val="59376914"/>
    <w:rsid w:val="595E1678"/>
    <w:rsid w:val="596D5BD4"/>
    <w:rsid w:val="597E3DD8"/>
    <w:rsid w:val="598E5452"/>
    <w:rsid w:val="59CA59DA"/>
    <w:rsid w:val="59F80043"/>
    <w:rsid w:val="5A09252F"/>
    <w:rsid w:val="5A0B2778"/>
    <w:rsid w:val="5A217BE1"/>
    <w:rsid w:val="5A2A7C7B"/>
    <w:rsid w:val="5A3E2560"/>
    <w:rsid w:val="5A5D3B6E"/>
    <w:rsid w:val="5A637A76"/>
    <w:rsid w:val="5A6D33BA"/>
    <w:rsid w:val="5A792B1F"/>
    <w:rsid w:val="5A874767"/>
    <w:rsid w:val="5A9A35FE"/>
    <w:rsid w:val="5A9F29C3"/>
    <w:rsid w:val="5AA85BE2"/>
    <w:rsid w:val="5AAD6F28"/>
    <w:rsid w:val="5AD63A24"/>
    <w:rsid w:val="5B137A0E"/>
    <w:rsid w:val="5B2E1A1D"/>
    <w:rsid w:val="5B311471"/>
    <w:rsid w:val="5B843A1C"/>
    <w:rsid w:val="5B873E3F"/>
    <w:rsid w:val="5C02690E"/>
    <w:rsid w:val="5C196DA7"/>
    <w:rsid w:val="5C2A048C"/>
    <w:rsid w:val="5C36109E"/>
    <w:rsid w:val="5C495DD3"/>
    <w:rsid w:val="5C4E46A0"/>
    <w:rsid w:val="5C58107B"/>
    <w:rsid w:val="5C7B1A0A"/>
    <w:rsid w:val="5C80234E"/>
    <w:rsid w:val="5C8A680C"/>
    <w:rsid w:val="5CFA0384"/>
    <w:rsid w:val="5D0C4701"/>
    <w:rsid w:val="5D0F0395"/>
    <w:rsid w:val="5D221076"/>
    <w:rsid w:val="5D226B16"/>
    <w:rsid w:val="5D397964"/>
    <w:rsid w:val="5D5A391C"/>
    <w:rsid w:val="5D5F10C0"/>
    <w:rsid w:val="5D891B7B"/>
    <w:rsid w:val="5D9C1A89"/>
    <w:rsid w:val="5DAD38EE"/>
    <w:rsid w:val="5DD575E7"/>
    <w:rsid w:val="5E006862"/>
    <w:rsid w:val="5E0207B9"/>
    <w:rsid w:val="5E1834A1"/>
    <w:rsid w:val="5E261785"/>
    <w:rsid w:val="5E4A7017"/>
    <w:rsid w:val="5E552BBA"/>
    <w:rsid w:val="5E56783C"/>
    <w:rsid w:val="5E611C10"/>
    <w:rsid w:val="5E7A0F3F"/>
    <w:rsid w:val="5E7E6D93"/>
    <w:rsid w:val="5EFC7377"/>
    <w:rsid w:val="5F0441B1"/>
    <w:rsid w:val="5F06174D"/>
    <w:rsid w:val="5F303AA6"/>
    <w:rsid w:val="5F3A3602"/>
    <w:rsid w:val="5F3B712F"/>
    <w:rsid w:val="5F45733B"/>
    <w:rsid w:val="5F6277C6"/>
    <w:rsid w:val="5F6D0B1D"/>
    <w:rsid w:val="5F8D0B82"/>
    <w:rsid w:val="5FCC5339"/>
    <w:rsid w:val="5FE34A5B"/>
    <w:rsid w:val="5FFE1E36"/>
    <w:rsid w:val="600C6FB6"/>
    <w:rsid w:val="60161979"/>
    <w:rsid w:val="60232584"/>
    <w:rsid w:val="607330CE"/>
    <w:rsid w:val="60824919"/>
    <w:rsid w:val="60825176"/>
    <w:rsid w:val="60923B0B"/>
    <w:rsid w:val="609F2AC4"/>
    <w:rsid w:val="60FA2EE8"/>
    <w:rsid w:val="61054A27"/>
    <w:rsid w:val="610A52BC"/>
    <w:rsid w:val="611D2366"/>
    <w:rsid w:val="61421856"/>
    <w:rsid w:val="615227C4"/>
    <w:rsid w:val="61654E3F"/>
    <w:rsid w:val="6182292A"/>
    <w:rsid w:val="618B5A4F"/>
    <w:rsid w:val="619F7F92"/>
    <w:rsid w:val="61E27856"/>
    <w:rsid w:val="61F94C26"/>
    <w:rsid w:val="62000E56"/>
    <w:rsid w:val="6206327E"/>
    <w:rsid w:val="624F3E49"/>
    <w:rsid w:val="62632286"/>
    <w:rsid w:val="62885958"/>
    <w:rsid w:val="62935DB1"/>
    <w:rsid w:val="62F40B65"/>
    <w:rsid w:val="62FB3911"/>
    <w:rsid w:val="62FC2CFE"/>
    <w:rsid w:val="63024505"/>
    <w:rsid w:val="634E142A"/>
    <w:rsid w:val="635600A5"/>
    <w:rsid w:val="635B1DB5"/>
    <w:rsid w:val="63711FED"/>
    <w:rsid w:val="63754B89"/>
    <w:rsid w:val="63880DDC"/>
    <w:rsid w:val="638D750D"/>
    <w:rsid w:val="63AC6CC0"/>
    <w:rsid w:val="63B0096C"/>
    <w:rsid w:val="64055776"/>
    <w:rsid w:val="64240056"/>
    <w:rsid w:val="643E143A"/>
    <w:rsid w:val="64491666"/>
    <w:rsid w:val="648B6EEF"/>
    <w:rsid w:val="64C158BF"/>
    <w:rsid w:val="64CE2EAA"/>
    <w:rsid w:val="64DD2A65"/>
    <w:rsid w:val="6502427A"/>
    <w:rsid w:val="653C3090"/>
    <w:rsid w:val="65854376"/>
    <w:rsid w:val="658767BE"/>
    <w:rsid w:val="65892531"/>
    <w:rsid w:val="65A17F37"/>
    <w:rsid w:val="65D42813"/>
    <w:rsid w:val="65EC58B4"/>
    <w:rsid w:val="66195831"/>
    <w:rsid w:val="662E75B1"/>
    <w:rsid w:val="66342C2E"/>
    <w:rsid w:val="663E784C"/>
    <w:rsid w:val="665F6024"/>
    <w:rsid w:val="668B6A45"/>
    <w:rsid w:val="66D24120"/>
    <w:rsid w:val="66DB67C8"/>
    <w:rsid w:val="67127E33"/>
    <w:rsid w:val="672F3F24"/>
    <w:rsid w:val="673E055F"/>
    <w:rsid w:val="67551CE3"/>
    <w:rsid w:val="675E7762"/>
    <w:rsid w:val="67A22552"/>
    <w:rsid w:val="67B22DCC"/>
    <w:rsid w:val="67BB77DC"/>
    <w:rsid w:val="67BE71AA"/>
    <w:rsid w:val="67D90273"/>
    <w:rsid w:val="67DB0DB2"/>
    <w:rsid w:val="67DE5875"/>
    <w:rsid w:val="67E55852"/>
    <w:rsid w:val="67EB1AB4"/>
    <w:rsid w:val="67FA1285"/>
    <w:rsid w:val="68197E9F"/>
    <w:rsid w:val="68341280"/>
    <w:rsid w:val="68551F4F"/>
    <w:rsid w:val="687C10C9"/>
    <w:rsid w:val="68840C16"/>
    <w:rsid w:val="68876EFB"/>
    <w:rsid w:val="68884654"/>
    <w:rsid w:val="689F444F"/>
    <w:rsid w:val="68A37C8D"/>
    <w:rsid w:val="68B96DBB"/>
    <w:rsid w:val="68BB30BE"/>
    <w:rsid w:val="68CA2805"/>
    <w:rsid w:val="68E937A3"/>
    <w:rsid w:val="693E15D3"/>
    <w:rsid w:val="69627681"/>
    <w:rsid w:val="6977531D"/>
    <w:rsid w:val="698E2580"/>
    <w:rsid w:val="69CC2BFF"/>
    <w:rsid w:val="69CC709D"/>
    <w:rsid w:val="69FD55B8"/>
    <w:rsid w:val="6A0B1C62"/>
    <w:rsid w:val="6A2406C8"/>
    <w:rsid w:val="6ADE0BD1"/>
    <w:rsid w:val="6AE96859"/>
    <w:rsid w:val="6B147746"/>
    <w:rsid w:val="6B24787C"/>
    <w:rsid w:val="6B573233"/>
    <w:rsid w:val="6B5B6274"/>
    <w:rsid w:val="6B5C61BC"/>
    <w:rsid w:val="6B935D53"/>
    <w:rsid w:val="6C196F71"/>
    <w:rsid w:val="6C226FCB"/>
    <w:rsid w:val="6C31226F"/>
    <w:rsid w:val="6C463FA6"/>
    <w:rsid w:val="6C552F0B"/>
    <w:rsid w:val="6C6B6C2A"/>
    <w:rsid w:val="6C835F4E"/>
    <w:rsid w:val="6C850CCB"/>
    <w:rsid w:val="6C8C67B7"/>
    <w:rsid w:val="6C8E6D3B"/>
    <w:rsid w:val="6C9D744C"/>
    <w:rsid w:val="6D167928"/>
    <w:rsid w:val="6D26299B"/>
    <w:rsid w:val="6D4772EC"/>
    <w:rsid w:val="6D9078AF"/>
    <w:rsid w:val="6DAA3FEF"/>
    <w:rsid w:val="6DC0172B"/>
    <w:rsid w:val="6DCB690C"/>
    <w:rsid w:val="6DD41A5B"/>
    <w:rsid w:val="6DF43C2E"/>
    <w:rsid w:val="6DF51CA3"/>
    <w:rsid w:val="6E8335BD"/>
    <w:rsid w:val="6E8E12EF"/>
    <w:rsid w:val="6E972936"/>
    <w:rsid w:val="6EA44F40"/>
    <w:rsid w:val="6EB20ABF"/>
    <w:rsid w:val="6ED446C5"/>
    <w:rsid w:val="6F2A7D94"/>
    <w:rsid w:val="6F614293"/>
    <w:rsid w:val="6F7D03D0"/>
    <w:rsid w:val="6F8331F1"/>
    <w:rsid w:val="6F9417E0"/>
    <w:rsid w:val="6FAE1A09"/>
    <w:rsid w:val="6FC104BF"/>
    <w:rsid w:val="6FD75BF8"/>
    <w:rsid w:val="6FD902CD"/>
    <w:rsid w:val="707723D0"/>
    <w:rsid w:val="70F5661B"/>
    <w:rsid w:val="71360107"/>
    <w:rsid w:val="713B688E"/>
    <w:rsid w:val="71530B04"/>
    <w:rsid w:val="71D43752"/>
    <w:rsid w:val="71F1796A"/>
    <w:rsid w:val="72154626"/>
    <w:rsid w:val="72262B5D"/>
    <w:rsid w:val="72283FF7"/>
    <w:rsid w:val="722E7212"/>
    <w:rsid w:val="723A0474"/>
    <w:rsid w:val="725923E4"/>
    <w:rsid w:val="72864BF7"/>
    <w:rsid w:val="729023FC"/>
    <w:rsid w:val="730B7818"/>
    <w:rsid w:val="733C0236"/>
    <w:rsid w:val="734755EE"/>
    <w:rsid w:val="738547D2"/>
    <w:rsid w:val="73C0646E"/>
    <w:rsid w:val="742222F5"/>
    <w:rsid w:val="74476126"/>
    <w:rsid w:val="74706664"/>
    <w:rsid w:val="74786307"/>
    <w:rsid w:val="747F3682"/>
    <w:rsid w:val="74826AAD"/>
    <w:rsid w:val="749C4185"/>
    <w:rsid w:val="74EF395E"/>
    <w:rsid w:val="74F33BDF"/>
    <w:rsid w:val="75067759"/>
    <w:rsid w:val="752E6DCD"/>
    <w:rsid w:val="7551380D"/>
    <w:rsid w:val="75600BE5"/>
    <w:rsid w:val="7564475C"/>
    <w:rsid w:val="7583797F"/>
    <w:rsid w:val="75D20F1D"/>
    <w:rsid w:val="75DA1077"/>
    <w:rsid w:val="75DA2C18"/>
    <w:rsid w:val="75F54412"/>
    <w:rsid w:val="7600557C"/>
    <w:rsid w:val="76126817"/>
    <w:rsid w:val="761D08E0"/>
    <w:rsid w:val="763972B9"/>
    <w:rsid w:val="765D347C"/>
    <w:rsid w:val="76826699"/>
    <w:rsid w:val="76C87133"/>
    <w:rsid w:val="76CD08D5"/>
    <w:rsid w:val="76D773C6"/>
    <w:rsid w:val="76DB4B92"/>
    <w:rsid w:val="77052AA4"/>
    <w:rsid w:val="77136511"/>
    <w:rsid w:val="77340A39"/>
    <w:rsid w:val="77351FD0"/>
    <w:rsid w:val="77472422"/>
    <w:rsid w:val="774C0FC7"/>
    <w:rsid w:val="777F31F2"/>
    <w:rsid w:val="77D1700D"/>
    <w:rsid w:val="77EC04CC"/>
    <w:rsid w:val="77F17D01"/>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4F3F08"/>
    <w:rsid w:val="7A534B63"/>
    <w:rsid w:val="7A615382"/>
    <w:rsid w:val="7A67303B"/>
    <w:rsid w:val="7AAB1D04"/>
    <w:rsid w:val="7ABA4368"/>
    <w:rsid w:val="7AD05746"/>
    <w:rsid w:val="7AE709F8"/>
    <w:rsid w:val="7B257FFD"/>
    <w:rsid w:val="7B343476"/>
    <w:rsid w:val="7B5A2978"/>
    <w:rsid w:val="7B5A7E4C"/>
    <w:rsid w:val="7B667AF9"/>
    <w:rsid w:val="7B7468F8"/>
    <w:rsid w:val="7BEE0103"/>
    <w:rsid w:val="7C0405EE"/>
    <w:rsid w:val="7C0A0FE4"/>
    <w:rsid w:val="7C254906"/>
    <w:rsid w:val="7C3F770A"/>
    <w:rsid w:val="7C590818"/>
    <w:rsid w:val="7C7C10F6"/>
    <w:rsid w:val="7C853BEA"/>
    <w:rsid w:val="7C881368"/>
    <w:rsid w:val="7CA81753"/>
    <w:rsid w:val="7CD552C0"/>
    <w:rsid w:val="7CE27788"/>
    <w:rsid w:val="7D0C32F1"/>
    <w:rsid w:val="7D0F408D"/>
    <w:rsid w:val="7D491C6C"/>
    <w:rsid w:val="7D5429C0"/>
    <w:rsid w:val="7D553689"/>
    <w:rsid w:val="7D61324B"/>
    <w:rsid w:val="7D6E6D43"/>
    <w:rsid w:val="7DB06B11"/>
    <w:rsid w:val="7DB57A34"/>
    <w:rsid w:val="7DE60973"/>
    <w:rsid w:val="7DEF0916"/>
    <w:rsid w:val="7E1E5218"/>
    <w:rsid w:val="7E8C64E6"/>
    <w:rsid w:val="7E9A4E1F"/>
    <w:rsid w:val="7EA7723A"/>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428"/>
    <w:qFormat/>
    <w:uiPriority w:val="0"/>
    <w:pPr>
      <w:autoSpaceDE w:val="0"/>
      <w:autoSpaceDN w:val="0"/>
      <w:spacing w:line="360" w:lineRule="auto"/>
    </w:pPr>
    <w:rPr>
      <w:rFonts w:ascii="宋体" w:hAnsi="Arial" w:cs="Arial"/>
      <w:snapToGrid w:val="0"/>
      <w:sz w:val="24"/>
      <w:szCs w:val="21"/>
      <w:lang w:val="zh-CN"/>
    </w:rPr>
  </w:style>
  <w:style w:type="paragraph" w:styleId="3">
    <w:name w:val="Body Text First Indent"/>
    <w:basedOn w:val="2"/>
    <w:next w:val="4"/>
    <w:link w:val="319"/>
    <w:qFormat/>
    <w:uiPriority w:val="0"/>
    <w:pPr>
      <w:ind w:firstLine="420"/>
    </w:pPr>
    <w:rPr>
      <w:rFonts w:hAnsi="Calibri" w:cs="Times New Roman"/>
      <w:snapToGrid/>
      <w:szCs w:val="20"/>
    </w:rPr>
  </w:style>
  <w:style w:type="paragraph" w:styleId="4">
    <w:name w:val="toc 6"/>
    <w:basedOn w:val="1"/>
    <w:next w:val="1"/>
    <w:qFormat/>
    <w:uiPriority w:val="0"/>
    <w:pPr>
      <w:ind w:left="2100" w:leftChars="1000"/>
    </w:p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9">
    <w:name w:val="caption"/>
    <w:basedOn w:val="1"/>
    <w:next w:val="1"/>
    <w:link w:val="228"/>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202"/>
    <w:qFormat/>
    <w:uiPriority w:val="0"/>
    <w:pPr>
      <w:shd w:val="clear" w:color="auto" w:fill="000080"/>
    </w:pPr>
  </w:style>
  <w:style w:type="paragraph" w:styleId="22">
    <w:name w:val="annotation text"/>
    <w:basedOn w:val="1"/>
    <w:link w:val="342"/>
    <w:qFormat/>
    <w:uiPriority w:val="99"/>
    <w:pPr>
      <w:jc w:val="left"/>
    </w:pPr>
  </w:style>
  <w:style w:type="paragraph" w:styleId="23">
    <w:name w:val="Salutation"/>
    <w:basedOn w:val="1"/>
    <w:next w:val="1"/>
    <w:link w:val="296"/>
    <w:qFormat/>
    <w:uiPriority w:val="0"/>
    <w:rPr>
      <w:rFonts w:ascii="仿宋_GB2312" w:eastAsia="仿宋_GB2312"/>
      <w:sz w:val="28"/>
      <w:szCs w:val="20"/>
    </w:rPr>
  </w:style>
  <w:style w:type="paragraph" w:styleId="24">
    <w:name w:val="Body Text 3"/>
    <w:basedOn w:val="1"/>
    <w:link w:val="328"/>
    <w:qFormat/>
    <w:uiPriority w:val="0"/>
    <w:pPr>
      <w:jc w:val="center"/>
    </w:pPr>
    <w:rPr>
      <w:szCs w:val="20"/>
    </w:rPr>
  </w:style>
  <w:style w:type="paragraph" w:styleId="25">
    <w:name w:val="List Bullet 3"/>
    <w:basedOn w:val="1"/>
    <w:unhideWhenUsed/>
    <w:qFormat/>
    <w:uiPriority w:val="0"/>
    <w:pPr>
      <w:snapToGrid w:val="0"/>
      <w:spacing w:line="360" w:lineRule="auto"/>
      <w:ind w:left="360" w:right="238" w:hanging="360"/>
      <w:contextualSpacing/>
    </w:pPr>
    <w:rPr>
      <w:sz w:val="24"/>
    </w:rPr>
  </w:style>
  <w:style w:type="paragraph" w:styleId="26">
    <w:name w:val="Body Text Indent"/>
    <w:basedOn w:val="1"/>
    <w:next w:val="27"/>
    <w:link w:val="264"/>
    <w:qFormat/>
    <w:uiPriority w:val="0"/>
    <w:pPr>
      <w:spacing w:line="480" w:lineRule="exact"/>
      <w:ind w:firstLine="480" w:firstLineChars="200"/>
    </w:pPr>
    <w:rPr>
      <w:rFonts w:ascii="宋体" w:hAnsi="宋体"/>
      <w:sz w:val="24"/>
    </w:rPr>
  </w:style>
  <w:style w:type="paragraph" w:styleId="27">
    <w:name w:val="envelope return"/>
    <w:basedOn w:val="1"/>
    <w:qFormat/>
    <w:uiPriority w:val="99"/>
    <w:pPr>
      <w:snapToGrid w:val="0"/>
    </w:pPr>
    <w:rPr>
      <w:rFonts w:ascii="Arial" w:hAnsi="Arial" w:cs="Arial"/>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5"/>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1"/>
    <w:qFormat/>
    <w:uiPriority w:val="0"/>
    <w:pPr>
      <w:ind w:left="100" w:leftChars="2500"/>
    </w:pPr>
    <w:rPr>
      <w:rFonts w:ascii="宋体"/>
      <w:sz w:val="24"/>
      <w:szCs w:val="21"/>
      <w:lang w:val="zh-CN"/>
    </w:rPr>
  </w:style>
  <w:style w:type="paragraph" w:styleId="39">
    <w:name w:val="Body Text Indent 2"/>
    <w:basedOn w:val="1"/>
    <w:link w:val="306"/>
    <w:qFormat/>
    <w:uiPriority w:val="0"/>
    <w:pPr>
      <w:spacing w:line="360" w:lineRule="auto"/>
      <w:ind w:firstLine="601"/>
      <w:textAlignment w:val="baseline"/>
    </w:pPr>
    <w:rPr>
      <w:rFonts w:ascii="宋体"/>
      <w:kern w:val="0"/>
      <w:sz w:val="28"/>
      <w:szCs w:val="20"/>
    </w:rPr>
  </w:style>
  <w:style w:type="paragraph" w:styleId="40">
    <w:name w:val="endnote text"/>
    <w:basedOn w:val="1"/>
    <w:link w:val="930"/>
    <w:qFormat/>
    <w:uiPriority w:val="0"/>
    <w:rPr>
      <w:lang w:val="zh-CN"/>
    </w:rPr>
  </w:style>
  <w:style w:type="paragraph" w:styleId="41">
    <w:name w:val="Balloon Text"/>
    <w:basedOn w:val="1"/>
    <w:link w:val="188"/>
    <w:qFormat/>
    <w:uiPriority w:val="0"/>
    <w:rPr>
      <w:sz w:val="18"/>
      <w:szCs w:val="18"/>
    </w:rPr>
  </w:style>
  <w:style w:type="paragraph" w:styleId="42">
    <w:name w:val="footer"/>
    <w:basedOn w:val="1"/>
    <w:link w:val="381"/>
    <w:qFormat/>
    <w:uiPriority w:val="99"/>
    <w:pPr>
      <w:tabs>
        <w:tab w:val="center" w:pos="4153"/>
        <w:tab w:val="right" w:pos="8306"/>
      </w:tabs>
      <w:snapToGrid w:val="0"/>
      <w:jc w:val="left"/>
    </w:pPr>
    <w:rPr>
      <w:sz w:val="18"/>
      <w:szCs w:val="18"/>
    </w:rPr>
  </w:style>
  <w:style w:type="paragraph" w:styleId="43">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18"/>
    <w:link w:val="308"/>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3"/>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0"/>
    <w:qFormat/>
    <w:uiPriority w:val="0"/>
    <w:pPr>
      <w:spacing w:after="120" w:line="480" w:lineRule="auto"/>
    </w:pPr>
  </w:style>
  <w:style w:type="paragraph" w:styleId="58">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2"/>
    <w:next w:val="22"/>
    <w:link w:val="96"/>
    <w:qFormat/>
    <w:uiPriority w:val="0"/>
    <w:rPr>
      <w:b/>
      <w:bCs/>
    </w:rPr>
  </w:style>
  <w:style w:type="paragraph" w:styleId="62">
    <w:name w:val="Body Text First Indent 2"/>
    <w:basedOn w:val="26"/>
    <w:link w:val="121"/>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标题 2 Char"/>
    <w:qFormat/>
    <w:uiPriority w:val="0"/>
    <w:rPr>
      <w:rFonts w:ascii="Arial" w:hAnsi="Arial" w:eastAsia="黑体"/>
      <w:b/>
      <w:kern w:val="2"/>
      <w:sz w:val="32"/>
      <w:lang w:val="en-US" w:eastAsia="zh-CN"/>
    </w:rPr>
  </w:style>
  <w:style w:type="character" w:customStyle="1" w:styleId="81">
    <w:name w:val="标题 1 字符1"/>
    <w:link w:val="5"/>
    <w:qFormat/>
    <w:uiPriority w:val="9"/>
    <w:rPr>
      <w:b/>
      <w:bCs/>
      <w:kern w:val="44"/>
      <w:sz w:val="44"/>
      <w:szCs w:val="44"/>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字符"/>
    <w:link w:val="61"/>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文本首行缩进 2 字符"/>
    <w:link w:val="62"/>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0"/>
    <w:qFormat/>
    <w:uiPriority w:val="0"/>
    <w:rPr>
      <w:rFonts w:ascii="Arial" w:hAnsi="Arial" w:eastAsia="黑体" w:cs="Arial"/>
      <w:snapToGrid w:val="0"/>
      <w:kern w:val="0"/>
      <w:szCs w:val="21"/>
    </w:rPr>
  </w:style>
  <w:style w:type="character" w:customStyle="1" w:styleId="125">
    <w:name w:val="纯文本 字符1"/>
    <w:link w:val="35"/>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字符"/>
    <w:link w:val="49"/>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字符"/>
    <w:link w:val="10"/>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6"/>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字符"/>
    <w:link w:val="38"/>
    <w:qFormat/>
    <w:uiPriority w:val="0"/>
    <w:rPr>
      <w:rFonts w:ascii="宋体"/>
      <w:kern w:val="2"/>
      <w:sz w:val="24"/>
      <w:szCs w:val="21"/>
      <w:lang w:val="zh-CN"/>
    </w:rPr>
  </w:style>
  <w:style w:type="character" w:customStyle="1" w:styleId="182">
    <w:name w:val="标题 9 字符"/>
    <w:link w:val="13"/>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字符1"/>
    <w:link w:val="41"/>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字符2"/>
    <w:link w:val="18"/>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字符"/>
    <w:link w:val="21"/>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70"/>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9"/>
    <w:qFormat/>
    <w:uiPriority w:val="0"/>
    <w:rPr>
      <w:rFonts w:ascii="仿宋_GB2312" w:hAnsi="仿宋" w:eastAsia="仿宋_GB2312" w:cs="仿宋_GB2312"/>
      <w:sz w:val="32"/>
      <w:szCs w:val="30"/>
      <w:lang w:val="zh-CN"/>
    </w:rPr>
  </w:style>
  <w:style w:type="character" w:customStyle="1" w:styleId="218">
    <w:name w:val="HTML 地址 字符"/>
    <w:link w:val="32"/>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8"/>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字符"/>
    <w:link w:val="19"/>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34"/>
    <w:qFormat/>
    <w:uiPriority w:val="0"/>
    <w:rPr>
      <w:rFonts w:ascii="仿宋_GB2312" w:eastAsia="仿宋_GB2312" w:cs="仿宋_GB2312"/>
      <w:color w:val="000000"/>
      <w:sz w:val="24"/>
      <w:szCs w:val="24"/>
      <w:lang w:val="en-US" w:eastAsia="zh-CN" w:bidi="ar-SA"/>
    </w:rPr>
  </w:style>
  <w:style w:type="paragraph" w:customStyle="1" w:styleId="234">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字符1"/>
    <w:link w:val="26"/>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semiHidden/>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
    <w:qFormat/>
    <w:locked/>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字符"/>
    <w:link w:val="60"/>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字符"/>
    <w:link w:val="9"/>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字符"/>
    <w:link w:val="23"/>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字符"/>
    <w:link w:val="58"/>
    <w:qFormat/>
    <w:uiPriority w:val="0"/>
    <w:rPr>
      <w:rFonts w:ascii="黑体" w:hAnsi="Courier New" w:eastAsia="黑体"/>
    </w:rPr>
  </w:style>
  <w:style w:type="character" w:customStyle="1" w:styleId="300">
    <w:name w:val="正文文本 2 字符1"/>
    <w:link w:val="57"/>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8"/>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字符"/>
    <w:link w:val="11"/>
    <w:qFormat/>
    <w:uiPriority w:val="0"/>
    <w:rPr>
      <w:b/>
      <w:bCs/>
      <w:kern w:val="2"/>
      <w:sz w:val="24"/>
      <w:szCs w:val="24"/>
    </w:rPr>
  </w:style>
  <w:style w:type="character" w:customStyle="1" w:styleId="306">
    <w:name w:val="正文文本缩进 2 字符"/>
    <w:link w:val="39"/>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字符"/>
    <w:link w:val="52"/>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文本首行缩进 字符"/>
    <w:link w:val="3"/>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字符1"/>
    <w:link w:val="8"/>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字符"/>
    <w:link w:val="24"/>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字符1"/>
    <w:link w:val="22"/>
    <w:qFormat/>
    <w:uiPriority w:val="0"/>
    <w:rPr>
      <w:kern w:val="2"/>
      <w:sz w:val="21"/>
      <w:szCs w:val="24"/>
    </w:rPr>
  </w:style>
  <w:style w:type="character" w:customStyle="1" w:styleId="343">
    <w:name w:val="签名 字符"/>
    <w:link w:val="44"/>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字符"/>
    <w:link w:val="12"/>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字符"/>
    <w:link w:val="54"/>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字符2"/>
    <w:link w:val="42"/>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字符2"/>
    <w:link w:val="43"/>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0"/>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18"/>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字符"/>
    <w:link w:val="2"/>
    <w:qFormat/>
    <w:uiPriority w:val="0"/>
    <w:rPr>
      <w:rFonts w:ascii="宋体" w:hAnsi="Arial" w:eastAsia="宋体" w:cs="Arial"/>
      <w:snapToGrid w:val="0"/>
      <w:kern w:val="2"/>
      <w:sz w:val="24"/>
      <w:szCs w:val="21"/>
      <w:lang w:val="zh-CN" w:eastAsia="zh-CN" w:bidi="ar-SA"/>
    </w:rPr>
  </w:style>
  <w:style w:type="character" w:customStyle="1" w:styleId="429">
    <w:name w:val="gray6"/>
    <w:basedOn w:val="70"/>
    <w:qFormat/>
    <w:uiPriority w:val="0"/>
    <w:rPr>
      <w:rFonts w:ascii="Arial" w:hAnsi="Arial" w:eastAsia="黑体" w:cs="Arial"/>
      <w:snapToGrid w:val="0"/>
      <w:kern w:val="0"/>
      <w:szCs w:val="21"/>
    </w:rPr>
  </w:style>
  <w:style w:type="character" w:customStyle="1" w:styleId="430">
    <w:name w:val="hui"/>
    <w:basedOn w:val="70"/>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8"/>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6"/>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6"/>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7"/>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9"/>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7"/>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18"/>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5"/>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8"/>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6"/>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4"/>
    <w:next w:val="234"/>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4"/>
    <w:next w:val="234"/>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1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6"/>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7"/>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6"/>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5"/>
    <w:qFormat/>
    <w:uiPriority w:val="0"/>
    <w:pPr>
      <w:tabs>
        <w:tab w:val="left" w:pos="840"/>
      </w:tabs>
      <w:adjustRightInd/>
      <w:ind w:left="840" w:hanging="420"/>
    </w:pPr>
  </w:style>
  <w:style w:type="paragraph" w:customStyle="1" w:styleId="624">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6"/>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6"/>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8"/>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9"/>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7"/>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18"/>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7"/>
    <w:next w:val="54"/>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5"/>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21"/>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5"/>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9"/>
    <w:next w:val="1"/>
    <w:qFormat/>
    <w:uiPriority w:val="0"/>
    <w:pPr>
      <w:tabs>
        <w:tab w:val="left" w:pos="1080"/>
      </w:tabs>
      <w:ind w:left="1080" w:hanging="1080"/>
    </w:pPr>
  </w:style>
  <w:style w:type="paragraph" w:customStyle="1" w:styleId="895">
    <w:name w:val="数字标题1"/>
    <w:basedOn w:val="5"/>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字符"/>
    <w:link w:val="40"/>
    <w:qFormat/>
    <w:uiPriority w:val="0"/>
    <w:rPr>
      <w:kern w:val="2"/>
      <w:sz w:val="21"/>
      <w:szCs w:val="24"/>
      <w:lang w:val="zh-CN"/>
    </w:rPr>
  </w:style>
  <w:style w:type="character" w:customStyle="1" w:styleId="931">
    <w:name w:val="无间隔 字符"/>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7"/>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Normal]"/>
    <w:qFormat/>
    <w:uiPriority w:val="0"/>
    <w:rPr>
      <w:rFonts w:ascii="宋体" w:hAnsi="宋体" w:eastAsia="宋体" w:cs="Times New Roman"/>
      <w:sz w:val="24"/>
      <w:szCs w:val="22"/>
      <w:lang w:val="zh-CN" w:eastAsia="zh-CN" w:bidi="ar-SA"/>
    </w:rPr>
  </w:style>
  <w:style w:type="character" w:customStyle="1" w:styleId="963">
    <w:name w:val="font101"/>
    <w:basedOn w:val="70"/>
    <w:qFormat/>
    <w:uiPriority w:val="0"/>
    <w:rPr>
      <w:rFonts w:hint="eastAsia" w:ascii="宋体" w:hAnsi="宋体" w:eastAsia="宋体" w:cs="宋体"/>
      <w:color w:val="1731F3"/>
      <w:sz w:val="18"/>
      <w:szCs w:val="18"/>
      <w:u w:val="none"/>
    </w:rPr>
  </w:style>
  <w:style w:type="paragraph" w:customStyle="1" w:styleId="964">
    <w:name w:val="Revision"/>
    <w:hidden/>
    <w:semiHidden/>
    <w:qFormat/>
    <w:uiPriority w:val="99"/>
    <w:rPr>
      <w:rFonts w:ascii="Times New Roman" w:hAnsi="Times New Roman" w:eastAsia="宋体" w:cs="Times New Roman"/>
      <w:kern w:val="2"/>
      <w:sz w:val="21"/>
      <w:szCs w:val="24"/>
      <w:lang w:val="en-US" w:eastAsia="zh-CN" w:bidi="ar-SA"/>
    </w:rPr>
  </w:style>
  <w:style w:type="character" w:customStyle="1" w:styleId="965">
    <w:name w:val="NormalCharacter"/>
    <w:semiHidden/>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1</Pages>
  <Words>8644</Words>
  <Characters>49273</Characters>
  <Lines>410</Lines>
  <Paragraphs>115</Paragraphs>
  <TotalTime>3</TotalTime>
  <ScaleCrop>false</ScaleCrop>
  <LinksUpToDate>false</LinksUpToDate>
  <CharactersWithSpaces>57802</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李芳芳-天堂眼</cp:lastModifiedBy>
  <cp:lastPrinted>2021-12-27T11:06:00Z</cp:lastPrinted>
  <dcterms:modified xsi:type="dcterms:W3CDTF">2022-09-15T09:08:37Z</dcterms:modified>
  <dc:title>杭州市市民卡扩大发卡工程</dc:title>
  <cp:revision>211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C59AF30D3F86480BA457675AA09EE47F</vt:lpwstr>
  </property>
</Properties>
</file>