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sz w:val="48"/>
          <w:szCs w:val="48"/>
        </w:rPr>
        <w:t>杭州市公安局临安区分局**通租赁项目</w:t>
      </w: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rPr>
        <w:t>编号:</w:t>
      </w:r>
      <w:r>
        <w:rPr>
          <w:rFonts w:hint="eastAsia" w:ascii="仿宋_GB2312" w:hAnsi="仿宋" w:eastAsia="仿宋_GB2312" w:cs="仿宋_GB2312"/>
          <w:sz w:val="30"/>
          <w:szCs w:val="30"/>
          <w:lang w:val="en-US" w:eastAsia="zh-CN"/>
        </w:rPr>
        <w:t>LZC</w:t>
      </w:r>
      <w:r>
        <w:rPr>
          <w:rFonts w:hint="eastAsia" w:ascii="仿宋_GB2312" w:hAnsi="仿宋" w:eastAsia="仿宋_GB2312" w:cs="仿宋_GB2312"/>
          <w:sz w:val="30"/>
          <w:szCs w:val="30"/>
        </w:rPr>
        <w:t>-</w:t>
      </w:r>
      <w:r>
        <w:rPr>
          <w:rFonts w:hint="eastAsia" w:ascii="仿宋_GB2312" w:hAnsi="仿宋" w:eastAsia="仿宋_GB2312" w:cs="仿宋_GB2312"/>
          <w:sz w:val="30"/>
          <w:szCs w:val="30"/>
          <w:lang w:val="en-US" w:eastAsia="zh-CN"/>
        </w:rPr>
        <w:t>GK-</w:t>
      </w:r>
      <w:r>
        <w:rPr>
          <w:rFonts w:hint="eastAsia" w:ascii="仿宋_GB2312" w:hAnsi="仿宋" w:eastAsia="仿宋_GB2312" w:cs="仿宋_GB2312"/>
          <w:sz w:val="30"/>
          <w:szCs w:val="30"/>
        </w:rPr>
        <w:t>2021-</w:t>
      </w:r>
      <w:r>
        <w:rPr>
          <w:rFonts w:hint="eastAsia" w:ascii="仿宋_GB2312" w:hAnsi="仿宋" w:eastAsia="仿宋_GB2312" w:cs="仿宋_GB2312"/>
          <w:sz w:val="30"/>
          <w:szCs w:val="30"/>
          <w:lang w:val="en-US" w:eastAsia="zh-CN"/>
        </w:rPr>
        <w:t>12101</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杭州市公安局临安区分局</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宋体" w:hAnsi="宋体" w:eastAsia="宋体" w:cs="宋体"/>
          <w:bCs/>
          <w:sz w:val="32"/>
          <w:szCs w:val="32"/>
        </w:rPr>
        <w:t>一</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十二</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val="en-US" w:eastAsia="zh-CN"/>
        </w:rPr>
        <w:t>二十</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评标方法及评分标准</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杭州市公安局临安区分局**通租赁项目招标项目的潜在投标人应在政采云平台（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_GB2312" w:hAnsi="仿宋" w:eastAsia="仿宋_GB2312" w:cs="Times New Roman"/>
          <w:sz w:val="24"/>
          <w:szCs w:val="24"/>
          <w:highlight w:val="none"/>
        </w:rPr>
        <w:t>https://www.zcygov.cn/）获取（下载）招标文件，并于202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年</w:t>
      </w:r>
      <w:r>
        <w:rPr>
          <w:rFonts w:hint="eastAsia" w:ascii="仿宋_GB2312" w:hAnsi="仿宋" w:eastAsia="仿宋_GB2312" w:cs="Times New Roman"/>
          <w:sz w:val="24"/>
          <w:szCs w:val="24"/>
          <w:highlight w:val="none"/>
        </w:rPr>
        <w:fldChar w:fldCharType="end"/>
      </w:r>
      <w:r>
        <w:rPr>
          <w:rFonts w:hint="eastAsia" w:ascii="仿宋_GB2312" w:hAnsi="仿宋" w:eastAsia="仿宋_GB2312" w:cs="Times New Roman"/>
          <w:sz w:val="24"/>
          <w:szCs w:val="24"/>
          <w:highlight w:val="none"/>
          <w:lang w:val="en-US" w:eastAsia="zh-CN"/>
        </w:rPr>
        <w:t>1</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日</w:t>
      </w:r>
      <w:r>
        <w:rPr>
          <w:rFonts w:hint="eastAsia" w:ascii="仿宋_GB2312" w:hAnsi="仿宋" w:eastAsia="仿宋_GB2312" w:cs="Times New Roman"/>
          <w:sz w:val="24"/>
          <w:szCs w:val="24"/>
          <w:highlight w:val="none"/>
          <w:lang w:val="en-US" w:eastAsia="zh-CN"/>
        </w:rPr>
        <w:t>13</w:t>
      </w:r>
      <w:r>
        <w:rPr>
          <w:rFonts w:hint="eastAsia" w:ascii="仿宋_GB2312" w:hAnsi="仿宋" w:eastAsia="仿宋_GB2312" w:cs="Times New Roman"/>
          <w:sz w:val="24"/>
          <w:szCs w:val="24"/>
          <w:highlight w:val="none"/>
        </w:rPr>
        <w:t>点</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 xml:space="preserve">分00秒（北京时间）前递交（上传）投标文件。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w:t>
      </w:r>
      <w:r>
        <w:rPr>
          <w:rFonts w:hint="eastAsia" w:ascii="仿宋_GB2312" w:hAnsi="仿宋" w:eastAsia="仿宋_GB2312" w:cs="Times New Roman"/>
          <w:b/>
          <w:sz w:val="24"/>
          <w:szCs w:val="24"/>
          <w:highlight w:val="none"/>
        </w:rPr>
        <w:t>号：</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2021-</w:t>
      </w:r>
      <w:r>
        <w:rPr>
          <w:rFonts w:hint="eastAsia" w:ascii="仿宋_GB2312" w:hAnsi="仿宋" w:eastAsia="仿宋_GB2312" w:cs="Times New Roman"/>
          <w:sz w:val="24"/>
          <w:szCs w:val="24"/>
          <w:highlight w:val="none"/>
          <w:lang w:val="en-US" w:eastAsia="zh-CN"/>
        </w:rPr>
        <w:t>12101</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rPr>
        <w:t>杭州市公安局临安区分局**通租赁项目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：514072</w:t>
      </w:r>
      <w:r>
        <w:rPr>
          <w:rFonts w:hint="eastAsia" w:ascii="仿宋_GB2312" w:hAnsi="仿宋" w:eastAsia="仿宋_GB2312" w:cs="仿宋_GB2312"/>
          <w:sz w:val="24"/>
          <w:szCs w:val="24"/>
          <w:lang w:val="en-US" w:eastAsia="zh-CN"/>
        </w:rPr>
        <w:t>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b/>
          <w:bCs/>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仿宋_GB2312"/>
          <w:b/>
          <w:bCs/>
          <w:sz w:val="24"/>
          <w:szCs w:val="24"/>
        </w:rPr>
        <w:t>514072</w:t>
      </w:r>
      <w:r>
        <w:rPr>
          <w:rFonts w:hint="eastAsia" w:ascii="仿宋_GB2312" w:hAnsi="仿宋" w:eastAsia="仿宋_GB2312" w:cs="仿宋_GB2312"/>
          <w:b/>
          <w:bCs/>
          <w:sz w:val="24"/>
          <w:szCs w:val="24"/>
          <w:lang w:val="en-US" w:eastAsia="zh-CN"/>
        </w:rPr>
        <w:t>0</w:t>
      </w:r>
    </w:p>
    <w:p>
      <w:pPr>
        <w:spacing w:line="360" w:lineRule="auto"/>
        <w:ind w:firstLine="482" w:firstLineChars="200"/>
        <w:rPr>
          <w:rFonts w:hint="eastAsia" w:ascii="仿宋_GB2312" w:hAnsi="仿宋" w:eastAsia="仿宋_GB2312" w:cs="仿宋_GB2312"/>
          <w:sz w:val="24"/>
          <w:szCs w:val="24"/>
          <w:lang w:val="en-US" w:eastAsia="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lang w:eastAsia="zh-CN"/>
        </w:rPr>
        <w:t>本次项目主要是租赁520套**通终端及通信套餐，租赁期</w:t>
      </w:r>
      <w:r>
        <w:rPr>
          <w:rFonts w:hint="eastAsia" w:ascii="仿宋_GB2312" w:hAnsi="仿宋" w:eastAsia="仿宋_GB2312" w:cs="Times New Roman"/>
          <w:b w:val="0"/>
          <w:bCs/>
          <w:sz w:val="24"/>
          <w:szCs w:val="24"/>
          <w:lang w:val="en-US" w:eastAsia="zh-CN"/>
        </w:rPr>
        <w:t>3年。</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备注：无</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eastAsia="zh-CN"/>
        </w:rPr>
        <w:t>中标</w:t>
      </w:r>
      <w:r>
        <w:rPr>
          <w:rFonts w:hint="eastAsia" w:ascii="仿宋_GB2312" w:hAnsi="仿宋" w:eastAsia="仿宋_GB2312" w:cs="Times New Roman"/>
          <w:b w:val="0"/>
          <w:bCs/>
          <w:sz w:val="24"/>
          <w:szCs w:val="24"/>
        </w:rPr>
        <w:t>后1</w:t>
      </w:r>
      <w:r>
        <w:rPr>
          <w:rFonts w:hint="eastAsia" w:ascii="仿宋_GB2312" w:hAnsi="仿宋" w:eastAsia="仿宋_GB2312" w:cs="Times New Roman"/>
          <w:b w:val="0"/>
          <w:bCs/>
          <w:sz w:val="24"/>
          <w:szCs w:val="24"/>
          <w:lang w:val="en-US" w:eastAsia="zh-CN"/>
        </w:rPr>
        <w:t>0</w:t>
      </w:r>
      <w:r>
        <w:rPr>
          <w:rFonts w:hint="eastAsia" w:ascii="仿宋_GB2312" w:hAnsi="仿宋" w:eastAsia="仿宋_GB2312" w:cs="Times New Roman"/>
          <w:b w:val="0"/>
          <w:bCs/>
          <w:sz w:val="24"/>
          <w:szCs w:val="24"/>
        </w:rPr>
        <w:t>天内完成</w:t>
      </w:r>
      <w:r>
        <w:rPr>
          <w:rFonts w:hint="eastAsia" w:ascii="仿宋_GB2312" w:hAnsi="仿宋" w:eastAsia="仿宋_GB2312" w:cs="Times New Roman"/>
          <w:b w:val="0"/>
          <w:bCs/>
          <w:sz w:val="24"/>
          <w:szCs w:val="24"/>
          <w:lang w:eastAsia="zh-CN"/>
        </w:rPr>
        <w:t>终端</w:t>
      </w:r>
      <w:r>
        <w:rPr>
          <w:rFonts w:hint="eastAsia" w:ascii="仿宋_GB2312" w:hAnsi="仿宋" w:eastAsia="仿宋_GB2312" w:cs="Times New Roman"/>
          <w:b w:val="0"/>
          <w:bCs/>
          <w:sz w:val="24"/>
          <w:szCs w:val="24"/>
        </w:rPr>
        <w:t>设备到货，合同签订后1个月内完成全部建设内容并交付使用。</w:t>
      </w:r>
      <w:r>
        <w:rPr>
          <w:rFonts w:hint="eastAsia" w:ascii="仿宋_GB2312" w:hAnsi="Times New Roman" w:eastAsia="仿宋_GB2312" w:cs="Times New Roman"/>
          <w:sz w:val="24"/>
          <w:szCs w:val="24"/>
        </w:rPr>
        <w:t xml:space="preserve"> </w:t>
      </w:r>
    </w:p>
    <w:p>
      <w:pPr>
        <w:adjustRightInd w:val="0"/>
        <w:spacing w:line="360" w:lineRule="auto"/>
        <w:ind w:firstLine="48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本</w:t>
      </w:r>
      <w:r>
        <w:rPr>
          <w:rFonts w:hint="eastAsia" w:ascii="仿宋_GB2312" w:hAnsi="仿宋" w:eastAsia="仿宋_GB2312" w:cs="Times New Roman"/>
          <w:b/>
          <w:sz w:val="24"/>
          <w:szCs w:val="24"/>
          <w:highlight w:val="none"/>
        </w:rPr>
        <w:t>项目（否）接受联合体投标。</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二、申请人的资格要求：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1.满足《中华人民共和国政府采购法》第二十二条规定；</w:t>
      </w:r>
    </w:p>
    <w:p>
      <w:pPr>
        <w:adjustRightInd w:val="0"/>
        <w:spacing w:line="360" w:lineRule="auto"/>
        <w:ind w:firstLine="480" w:firstLineChars="200"/>
        <w:rPr>
          <w:rFonts w:hint="eastAsia" w:ascii="仿宋_GB2312" w:hAnsi="仿宋" w:eastAsia="仿宋_GB2312" w:cs="Times New Roman"/>
          <w:color w:val="FF0000"/>
          <w:sz w:val="24"/>
          <w:szCs w:val="24"/>
        </w:rPr>
      </w:pPr>
      <w:r>
        <w:rPr>
          <w:rFonts w:hint="eastAsia" w:ascii="仿宋_GB2312" w:hAnsi="仿宋" w:eastAsia="仿宋_GB2312" w:cs="Times New Roman"/>
          <w:sz w:val="24"/>
          <w:szCs w:val="24"/>
        </w:rPr>
        <w:t>2.落实政府采购政策需满足的资格要</w:t>
      </w:r>
      <w:r>
        <w:rPr>
          <w:rFonts w:hint="eastAsia" w:ascii="仿宋_GB2312" w:hAnsi="仿宋" w:eastAsia="仿宋_GB2312" w:cs="Times New Roman"/>
          <w:color w:val="auto"/>
          <w:sz w:val="24"/>
          <w:szCs w:val="24"/>
        </w:rPr>
        <w:t>求：无；</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3.本项目的特定资格要求：无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时间：</w:t>
      </w:r>
      <w:r>
        <w:rPr>
          <w:rFonts w:hint="eastAsia" w:ascii="仿宋_GB2312" w:hAnsi="仿宋" w:eastAsia="仿宋_GB2312" w:cs="Times New Roman"/>
          <w:sz w:val="24"/>
          <w:szCs w:val="24"/>
        </w:rPr>
        <w:t>/至202</w:t>
      </w:r>
      <w:r>
        <w:rPr>
          <w:rFonts w:hint="eastAsia" w:ascii="仿宋_GB2312" w:hAnsi="仿宋" w:eastAsia="仿宋_GB2312" w:cs="Times New Roman"/>
          <w:sz w:val="24"/>
          <w:szCs w:val="24"/>
          <w:lang w:val="en-US" w:eastAsia="zh-CN"/>
        </w:rPr>
        <w:t>2</w:t>
      </w:r>
      <w:r>
        <w:rPr>
          <w:rFonts w:hint="eastAsia" w:ascii="仿宋_GB2312" w:hAnsi="仿宋" w:eastAsia="仿宋_GB2312" w:cs="Times New Roman"/>
          <w:sz w:val="24"/>
          <w:szCs w:val="24"/>
          <w:highlight w:val="none"/>
        </w:rPr>
        <w:t>年</w:t>
      </w:r>
      <w:r>
        <w:rPr>
          <w:rFonts w:hint="eastAsia" w:ascii="仿宋_GB2312" w:hAnsi="仿宋" w:eastAsia="仿宋_GB2312" w:cs="Times New Roman"/>
          <w:sz w:val="24"/>
          <w:szCs w:val="24"/>
          <w:highlight w:val="none"/>
          <w:lang w:val="en-US" w:eastAsia="zh-CN"/>
        </w:rPr>
        <w:t>1</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日 ，</w:t>
      </w:r>
      <w:r>
        <w:rPr>
          <w:rFonts w:hint="eastAsia" w:ascii="仿宋_GB2312" w:hAnsi="仿宋" w:eastAsia="仿宋_GB2312" w:cs="Times New Roman"/>
          <w:sz w:val="24"/>
          <w:szCs w:val="24"/>
        </w:rPr>
        <w:t>每天上午00:00至12:00 ，下午12:00至23:59（北京时间，线上获取法定节假日均可，线下获取文件法定节假日除外）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b w:val="0"/>
          <w:bCs/>
          <w:sz w:val="24"/>
          <w:szCs w:val="24"/>
          <w:lang w:eastAsia="zh-CN"/>
        </w:rPr>
        <w:t>浙江政府采购网</w:t>
      </w:r>
      <w:r>
        <w:rPr>
          <w:rFonts w:hint="eastAsia" w:ascii="仿宋_GB2312" w:hAnsi="仿宋" w:eastAsia="仿宋_GB2312" w:cs="Times New Roman"/>
          <w:sz w:val="24"/>
          <w:szCs w:val="24"/>
        </w:rPr>
        <w:t xml:space="preserve">（https://zfcg.czt.zj.gov.cn/）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方式：</w:t>
      </w:r>
      <w:r>
        <w:rPr>
          <w:rFonts w:hint="eastAsia" w:ascii="仿宋_GB2312" w:hAnsi="仿宋" w:eastAsia="仿宋_GB2312" w:cs="Times New Roman"/>
          <w:sz w:val="24"/>
          <w:szCs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1</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1</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开标地点（网址）：</w:t>
      </w:r>
      <w:r>
        <w:rPr>
          <w:rFonts w:hint="eastAsia" w:ascii="仿宋_GB2312" w:hAnsi="仿宋" w:eastAsia="仿宋_GB2312" w:cs="Times New Roman"/>
          <w:sz w:val="24"/>
          <w:szCs w:val="24"/>
          <w:highlight w:val="none"/>
        </w:rPr>
        <w:t>杭州市公共资源交易中心</w:t>
      </w:r>
      <w:r>
        <w:rPr>
          <w:rFonts w:hint="eastAsia" w:ascii="仿宋_GB2312" w:hAnsi="仿宋" w:eastAsia="仿宋_GB2312" w:cs="Times New Roman"/>
          <w:color w:val="auto"/>
          <w:sz w:val="24"/>
          <w:szCs w:val="24"/>
          <w:highlight w:val="none"/>
          <w:lang w:eastAsia="zh-CN"/>
        </w:rPr>
        <w:t>临安分中心</w:t>
      </w:r>
      <w:r>
        <w:rPr>
          <w:rFonts w:hint="eastAsia" w:ascii="仿宋_GB2312" w:hAnsi="仿宋" w:eastAsia="仿宋_GB2312" w:cs="Times New Roman"/>
          <w:color w:val="auto"/>
          <w:sz w:val="24"/>
          <w:szCs w:val="24"/>
          <w:highlight w:val="none"/>
          <w:lang w:val="en-US" w:eastAsia="zh-CN"/>
        </w:rPr>
        <w:t>1号</w:t>
      </w:r>
      <w:r>
        <w:rPr>
          <w:rFonts w:hint="eastAsia" w:ascii="仿宋_GB2312" w:hAnsi="仿宋" w:eastAsia="仿宋_GB2312" w:cs="Times New Roman"/>
          <w:color w:val="auto"/>
          <w:sz w:val="24"/>
          <w:szCs w:val="24"/>
          <w:highlight w:val="none"/>
        </w:rPr>
        <w:t>开标室[杭州市</w:t>
      </w:r>
      <w:r>
        <w:rPr>
          <w:rFonts w:hint="eastAsia" w:ascii="仿宋_GB2312" w:hAnsi="仿宋" w:eastAsia="仿宋_GB2312" w:cs="Times New Roman"/>
          <w:color w:val="auto"/>
          <w:sz w:val="24"/>
          <w:szCs w:val="24"/>
          <w:highlight w:val="none"/>
          <w:lang w:eastAsia="zh-CN"/>
        </w:rPr>
        <w:t>临安区锦北街道科技大道</w:t>
      </w:r>
      <w:r>
        <w:rPr>
          <w:rFonts w:hint="eastAsia" w:ascii="仿宋_GB2312" w:hAnsi="仿宋" w:eastAsia="仿宋_GB2312" w:cs="Times New Roman"/>
          <w:color w:val="auto"/>
          <w:sz w:val="24"/>
          <w:szCs w:val="24"/>
          <w:highlight w:val="none"/>
          <w:lang w:val="en-US" w:eastAsia="zh-CN"/>
        </w:rPr>
        <w:t>4398号市民中心B座4楼</w:t>
      </w:r>
      <w:r>
        <w:rPr>
          <w:rFonts w:hint="eastAsia" w:ascii="仿宋_GB2312" w:hAnsi="仿宋" w:eastAsia="仿宋_GB2312" w:cs="Times New Roman"/>
          <w:color w:val="auto"/>
          <w:sz w:val="24"/>
          <w:szCs w:val="24"/>
          <w:highlight w:val="none"/>
        </w:rPr>
        <w:t>]， 政采云平台（https://www.zcygov.cn/）</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五、公告期限 </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自本公告发布之日起5个工作日。</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六、其他补充事宜</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w:t>
      </w:r>
      <w:r>
        <w:rPr>
          <w:rFonts w:hint="eastAsia" w:ascii="仿宋_GB2312" w:hAnsi="仿宋" w:eastAsia="仿宋_GB2312" w:cs="Times New Roman"/>
          <w:sz w:val="24"/>
          <w:szCs w:val="24"/>
        </w:rPr>
        <w:t>个工作日内向同级政府采购监督管理部门投诉。质疑函范本、投诉书范本请到浙江政府采购网下载专区下载。</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称：杭州市公安局临安区分局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址：浙江省杭州市临安区锦城街道钱王大街1010号</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项目联系人（询问）：靳希望</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项目联系方式（询问）：15858250505</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质疑联系人：刘永平</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质疑联系方式：0571-63750805</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kern w:val="0"/>
                <w:sz w:val="24"/>
                <w:szCs w:val="24"/>
                <w:lang w:val="zh-CN"/>
              </w:rPr>
              <w:t>有关本项目建设所需费用均计入报价。</w:t>
            </w:r>
            <w:r>
              <w:rPr>
                <w:rFonts w:hint="eastAsia" w:ascii="仿宋_GB2312" w:hAnsi="仿宋" w:eastAsia="仿宋_GB2312" w:cs="Times New Roman"/>
                <w:sz w:val="24"/>
                <w:szCs w:val="24"/>
              </w:rPr>
              <w:t>《投标（开标）一览表》是报价的唯一载体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4"/>
                <w:lang w:val="zh-CN"/>
              </w:rPr>
              <w:t>。</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投标报价出现下列情形的，投标无效：</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kern w:val="0"/>
                <w:sz w:val="24"/>
                <w:szCs w:val="24"/>
                <w:lang w:val="zh-CN"/>
              </w:rPr>
              <w:t>投标文件出现不是唯一的、有选择性投标报价的；</w:t>
            </w:r>
          </w:p>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投标报价高于本项目采购预算或者最高限价的;</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Times New Roman"/>
                <w:b/>
                <w:sz w:val="24"/>
                <w:szCs w:val="24"/>
              </w:rPr>
              <w:t>▲</w:t>
            </w:r>
            <w:r>
              <w:rPr>
                <w:rFonts w:hint="eastAsia" w:ascii="仿宋_GB2312" w:hAnsi="仿宋" w:eastAsia="仿宋_GB2312" w:cs="Arial"/>
                <w:b/>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sz w:val="24"/>
                <w:szCs w:val="21"/>
              </w:rPr>
              <w:t>;</w:t>
            </w:r>
          </w:p>
          <w:p>
            <w:pPr>
              <w:adjustRightInd w:val="0"/>
              <w:spacing w:line="360" w:lineRule="auto"/>
              <w:rPr>
                <w:rFonts w:ascii="仿宋_GB2312" w:hAnsi="仿宋" w:eastAsia="仿宋_GB2312" w:cs="仿宋_GB2312"/>
                <w:sz w:val="24"/>
                <w:szCs w:val="21"/>
              </w:rPr>
            </w:pPr>
            <w:r>
              <w:rPr>
                <w:rFonts w:hint="eastAsia" w:ascii="仿宋_GB2312" w:hAnsi="仿宋" w:eastAsia="仿宋_GB2312" w:cs="Times New Roman"/>
                <w:b/>
                <w:sz w:val="24"/>
                <w:szCs w:val="24"/>
              </w:rPr>
              <w:t>▲《投标（开标）一览表》填写不完整或字迹不能辨认或有漏项的；</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szCs w:val="24"/>
              </w:rPr>
              <w:t>▲投标人对根据修正原则修正后的报价不确认的</w:t>
            </w:r>
            <w:r>
              <w:rPr>
                <w:rFonts w:hint="eastAsia" w:ascii="仿宋_GB2312" w:hAnsi="仿宋"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（1）采购人不同意分包</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Times New Roman"/>
                <w:sz w:val="24"/>
                <w:szCs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w:t>
            </w:r>
            <w:r>
              <w:rPr>
                <w:rFonts w:hint="eastAsia" w:ascii="仿宋_GB2312" w:hAnsi="仿宋" w:eastAsia="仿宋_GB2312" w:cs="仿宋_GB2312"/>
                <w:b/>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Arial"/>
                <w:snapToGrid w:val="0"/>
                <w:sz w:val="24"/>
                <w:szCs w:val="20"/>
                <w:highlight w:val="none"/>
              </w:rPr>
            </w:pPr>
            <w:r>
              <w:rPr>
                <w:rFonts w:hint="eastAsia" w:ascii="仿宋_GB2312" w:hAnsi="仿宋" w:eastAsia="仿宋_GB2312" w:cs="Times New Roman"/>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jc w:val="left"/>
              <w:rPr>
                <w:rFonts w:hint="eastAsia" w:ascii="仿宋_GB2312" w:hAnsi="仿宋" w:eastAsia="仿宋_GB2312" w:cs="Times New Roman"/>
                <w:b/>
                <w:sz w:val="24"/>
                <w:szCs w:val="24"/>
                <w:lang w:eastAsia="zh-CN"/>
              </w:rPr>
            </w:pPr>
            <w:r>
              <w:rPr>
                <w:rFonts w:hint="eastAsia" w:ascii="仿宋_GB2312" w:hAnsi="仿宋" w:eastAsia="仿宋_GB2312" w:cs="Arial"/>
                <w:snapToGrid w:val="0"/>
                <w:sz w:val="24"/>
                <w:szCs w:val="21"/>
                <w:lang w:eastAsia="zh-CN"/>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s="Arial"/>
                <w:snapToGrid w:val="0"/>
                <w:sz w:val="24"/>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服务类</w:t>
            </w:r>
            <w:r>
              <w:rPr>
                <w:rFonts w:hint="eastAsia" w:ascii="仿宋_GB2312" w:hAnsi="仿宋"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3"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color w:val="auto"/>
                <w:sz w:val="24"/>
                <w:szCs w:val="24"/>
              </w:rPr>
              <w:t>采购标的：</w:t>
            </w:r>
            <w:r>
              <w:rPr>
                <w:rFonts w:hint="eastAsia" w:ascii="仿宋_GB2312" w:hAnsi="仿宋" w:eastAsia="仿宋_GB2312" w:cs="Times New Roman"/>
                <w:b/>
                <w:bCs/>
                <w:color w:val="auto"/>
                <w:sz w:val="24"/>
                <w:szCs w:val="24"/>
                <w:u w:val="single"/>
              </w:rPr>
              <w:t>**通</w:t>
            </w:r>
            <w:r>
              <w:rPr>
                <w:rFonts w:hint="eastAsia" w:ascii="仿宋_GB2312" w:hAnsi="仿宋" w:eastAsia="仿宋_GB2312" w:cs="Times New Roman"/>
                <w:b/>
                <w:bCs/>
                <w:color w:val="auto"/>
                <w:sz w:val="24"/>
                <w:szCs w:val="24"/>
                <w:highlight w:val="none"/>
                <w:u w:val="single"/>
              </w:rPr>
              <w:t>租赁</w:t>
            </w:r>
            <w:r>
              <w:rPr>
                <w:rFonts w:hint="eastAsia" w:ascii="仿宋_GB2312" w:hAnsi="仿宋" w:eastAsia="仿宋_GB2312" w:cs="Times New Roman"/>
                <w:color w:val="auto"/>
                <w:sz w:val="24"/>
                <w:szCs w:val="24"/>
                <w:highlight w:val="none"/>
              </w:rPr>
              <w:t>，所属行业：</w:t>
            </w:r>
            <w:r>
              <w:rPr>
                <w:rFonts w:hint="eastAsia" w:ascii="仿宋_GB2312" w:hAnsi="仿宋" w:eastAsia="仿宋_GB2312" w:cs="Times New Roman"/>
                <w:b/>
                <w:bCs/>
                <w:color w:val="auto"/>
                <w:sz w:val="24"/>
                <w:szCs w:val="24"/>
                <w:highlight w:val="none"/>
                <w:u w:val="single"/>
                <w:lang w:val="en-US" w:eastAsia="zh-CN"/>
              </w:rPr>
              <w:t>租赁和商务</w:t>
            </w:r>
            <w:r>
              <w:rPr>
                <w:rFonts w:hint="eastAsia" w:ascii="仿宋_GB2312" w:hAnsi="仿宋" w:eastAsia="仿宋_GB2312" w:cs="Times New Roman"/>
                <w:b/>
                <w:bCs/>
                <w:color w:val="auto"/>
                <w:sz w:val="24"/>
                <w:szCs w:val="24"/>
                <w:u w:val="single"/>
                <w:lang w:val="en-US" w:eastAsia="zh-CN"/>
              </w:rPr>
              <w:t>服务业</w:t>
            </w:r>
            <w:r>
              <w:rPr>
                <w:rFonts w:hint="eastAsia" w:ascii="仿宋_GB2312" w:hAnsi="仿宋" w:eastAsia="仿宋_GB2312"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根据《政府采购促进中小企业发展管理办法》财库〔</w:t>
            </w:r>
            <w:r>
              <w:rPr>
                <w:rFonts w:ascii="仿宋_GB2312" w:hAnsi="仿宋" w:eastAsia="仿宋_GB2312" w:cs="Times New Roman"/>
                <w:sz w:val="24"/>
                <w:szCs w:val="24"/>
              </w:rPr>
              <w:t>2020〕46号</w:t>
            </w:r>
            <w:r>
              <w:rPr>
                <w:rFonts w:hint="eastAsia" w:ascii="仿宋_GB2312" w:hAnsi="仿宋" w:eastAsia="仿宋_GB2312" w:cs="Times New Roman"/>
                <w:sz w:val="24"/>
                <w:szCs w:val="24"/>
              </w:rPr>
              <w:t>文件的</w:t>
            </w:r>
            <w:r>
              <w:rPr>
                <w:rFonts w:hint="eastAsia" w:ascii="仿宋_GB2312" w:hAnsi="仿宋" w:eastAsia="仿宋_GB2312" w:cs="Times New Roman"/>
                <w:sz w:val="24"/>
                <w:szCs w:val="24"/>
                <w:highlight w:val="none"/>
              </w:rPr>
              <w:t>规定，本项目不适宜预留份额专门面向中小企业采购。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2.7 “▲” 系指实质性要求条款，“★”系产品采购项目中单一产品或核心产品。</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 节能环保要求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3.2.2▲</w:t>
      </w:r>
      <w:r>
        <w:rPr>
          <w:rFonts w:hint="eastAsia" w:ascii="仿宋_GB2312" w:hAnsi="仿宋" w:eastAsia="仿宋_GB2312" w:cs="Times New Roman"/>
          <w:b/>
          <w:sz w:val="24"/>
          <w:szCs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w:t>
      </w:r>
      <w:r>
        <w:rPr>
          <w:rFonts w:hint="eastAsia" w:ascii="仿宋_GB2312" w:hAnsi="仿宋" w:eastAsia="仿宋_GB2312" w:cs="Times New Roman"/>
          <w:bCs/>
          <w:color w:val="auto"/>
          <w:sz w:val="24"/>
          <w:szCs w:val="24"/>
        </w:rPr>
        <w:t>支持中小企业发展</w:t>
      </w:r>
      <w:r>
        <w:rPr>
          <w:rFonts w:hint="eastAsia" w:ascii="仿宋_GB2312" w:hAnsi="仿宋" w:eastAsia="仿宋_GB2312" w:cs="Times New Roman"/>
          <w:color w:val="auto"/>
          <w:sz w:val="24"/>
          <w:szCs w:val="24"/>
        </w:rPr>
        <w:t>。</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ascii="仿宋_GB2312" w:hAnsi="Times New Roman" w:eastAsia="仿宋_GB2312" w:cs="Times New Roman"/>
          <w:bCs/>
          <w:color w:val="auto"/>
          <w:sz w:val="24"/>
          <w:szCs w:val="24"/>
        </w:rPr>
        <w:t>3.3.2</w:t>
      </w:r>
      <w:r>
        <w:rPr>
          <w:rFonts w:hint="eastAsia" w:ascii="仿宋_GB2312" w:hAnsi="宋体" w:eastAsia="仿宋_GB2312" w:cs="宋体"/>
          <w:color w:val="auto"/>
          <w:kern w:val="0"/>
          <w:sz w:val="24"/>
          <w:szCs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3.3.3</w:t>
      </w:r>
      <w:r>
        <w:rPr>
          <w:rFonts w:hint="eastAsia" w:ascii="仿宋_GB2312" w:hAnsi="仿宋" w:eastAsia="仿宋_GB2312" w:cs="Times New Roman"/>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b/>
          <w:bCs/>
          <w:color w:val="auto"/>
          <w:sz w:val="24"/>
          <w:szCs w:val="24"/>
        </w:rPr>
        <w:t>10%</w:t>
      </w:r>
      <w:r>
        <w:rPr>
          <w:rFonts w:ascii="仿宋_GB2312" w:hAnsi="仿宋" w:eastAsia="仿宋_GB2312" w:cs="Times New Roman"/>
          <w:color w:val="auto"/>
          <w:sz w:val="24"/>
          <w:szCs w:val="24"/>
        </w:rPr>
        <w:t>的扣除，用扣除后的价格参与评审。</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3.3.4接受大中型企业与小微企业组成联合体或者允许大中型企业向一家或者多家小微企业分包的</w:t>
      </w:r>
      <w:r>
        <w:rPr>
          <w:rFonts w:hint="eastAsia" w:ascii="仿宋_GB2312" w:hAnsi="仿宋" w:eastAsia="仿宋_GB2312" w:cs="Times New Roman"/>
          <w:color w:val="auto"/>
          <w:sz w:val="24"/>
          <w:szCs w:val="24"/>
        </w:rPr>
        <w:t>政府</w:t>
      </w:r>
      <w:r>
        <w:rPr>
          <w:rFonts w:ascii="仿宋_GB2312" w:hAnsi="仿宋" w:eastAsia="仿宋_GB2312" w:cs="Times New Roman"/>
          <w:color w:val="auto"/>
          <w:sz w:val="24"/>
          <w:szCs w:val="24"/>
        </w:rPr>
        <w:t>采购</w:t>
      </w:r>
      <w:r>
        <w:rPr>
          <w:rFonts w:hint="eastAsia" w:ascii="仿宋_GB2312" w:hAnsi="仿宋" w:eastAsia="仿宋_GB2312" w:cs="Times New Roman"/>
          <w:color w:val="auto"/>
          <w:sz w:val="24"/>
          <w:szCs w:val="24"/>
        </w:rPr>
        <w:t>货物或服务</w:t>
      </w:r>
      <w:r>
        <w:rPr>
          <w:rFonts w:ascii="仿宋_GB2312" w:hAnsi="仿宋" w:eastAsia="仿宋_GB2312" w:cs="Times New Roman"/>
          <w:color w:val="auto"/>
          <w:sz w:val="24"/>
          <w:szCs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3.3.5</w:t>
      </w:r>
      <w:r>
        <w:rPr>
          <w:rFonts w:hint="eastAsia" w:ascii="仿宋_GB2312" w:hAnsi="仿宋" w:eastAsia="仿宋_GB2312" w:cs="Times New Roman"/>
          <w:sz w:val="24"/>
          <w:szCs w:val="24"/>
        </w:rPr>
        <w:t>符合《关于促进残疾人就业政府采购政策的通知》（财库〔</w:t>
      </w:r>
      <w:r>
        <w:rPr>
          <w:rFonts w:ascii="仿宋_GB2312" w:hAnsi="仿宋" w:eastAsia="仿宋_GB2312" w:cs="Times New Roman"/>
          <w:sz w:val="24"/>
          <w:szCs w:val="24"/>
        </w:rPr>
        <w:t>2017〕141号）规定的条件并提供《残疾人福利性单位声明函》（附件1）的残疾人福利性单位视同小型、微型企业；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3.3.6</w:t>
      </w:r>
      <w:r>
        <w:rPr>
          <w:rFonts w:hint="eastAsia" w:ascii="仿宋_GB2312" w:hAnsi="仿宋" w:eastAsia="仿宋_GB2312" w:cs="Times New Roman"/>
          <w:sz w:val="24"/>
          <w:szCs w:val="24"/>
        </w:rPr>
        <w:t>符合《关于政府采购支持监狱企业发展有关问题的通知》（财库</w:t>
      </w:r>
      <w:r>
        <w:rPr>
          <w:rFonts w:ascii="仿宋_GB2312" w:hAnsi="仿宋" w:eastAsia="仿宋_GB2312" w:cs="Times New Roman"/>
          <w:sz w:val="24"/>
          <w:szCs w:val="24"/>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3.3.7</w:t>
      </w:r>
      <w:r>
        <w:rPr>
          <w:rFonts w:hint="eastAsia" w:ascii="仿宋_GB2312" w:hAnsi="仿宋" w:eastAsia="仿宋_GB2312" w:cs="Times New Roman"/>
          <w:sz w:val="24"/>
          <w:szCs w:val="24"/>
        </w:rPr>
        <w:t>可享受</w:t>
      </w:r>
      <w:r>
        <w:rPr>
          <w:rFonts w:hint="eastAsia" w:ascii="仿宋_GB2312" w:hAnsi="宋体" w:eastAsia="仿宋_GB2312" w:cs="宋体"/>
          <w:kern w:val="0"/>
          <w:sz w:val="24"/>
          <w:szCs w:val="24"/>
        </w:rPr>
        <w:t>中小企业扶持政策</w:t>
      </w:r>
      <w:r>
        <w:rPr>
          <w:rFonts w:hint="eastAsia" w:ascii="仿宋_GB2312" w:hAnsi="仿宋" w:eastAsia="仿宋_GB2312" w:cs="Times New Roman"/>
          <w:sz w:val="24"/>
          <w:szCs w:val="24"/>
        </w:rPr>
        <w:t>的投标人应按照招标文件格式要求提供《中小企业声明函》。</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3.3.8</w:t>
      </w:r>
      <w:r>
        <w:rPr>
          <w:rFonts w:hint="eastAsia" w:ascii="仿宋_GB2312" w:hAnsi="仿宋" w:eastAsia="仿宋_GB2312" w:cs="Times New Roman"/>
          <w:sz w:val="24"/>
          <w:szCs w:val="24"/>
        </w:rPr>
        <w:t>中小企业</w:t>
      </w:r>
      <w:r>
        <w:rPr>
          <w:rFonts w:ascii="仿宋_GB2312" w:hAnsi="仿宋" w:eastAsia="仿宋_GB2312" w:cs="Times New Roman"/>
          <w:sz w:val="24"/>
          <w:szCs w:val="24"/>
        </w:rPr>
        <w:t>享受扶持政策获得政府采购合同的，小微企业不得将合同分包给大中型企业，中型企业不得将合同分包给大型企业</w:t>
      </w:r>
      <w:r>
        <w:rPr>
          <w:rFonts w:hint="eastAsia" w:ascii="仿宋_GB2312" w:hAnsi="仿宋" w:eastAsia="仿宋_GB2312" w:cs="Times New Roman"/>
          <w:sz w:val="24"/>
          <w:szCs w:val="24"/>
        </w:rPr>
        <w:t>。</w:t>
      </w:r>
    </w:p>
    <w:p>
      <w:pPr>
        <w:adjustRightInd w:val="0"/>
        <w:spacing w:line="360" w:lineRule="auto"/>
        <w:ind w:firstLine="480" w:firstLineChars="200"/>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pPr>
      <w:r>
        <w:rPr>
          <w:rFonts w:hint="eastAsia" w:ascii="仿宋_GB2312" w:hAnsi="仿宋" w:eastAsia="仿宋_GB2312" w:cs="Times New Roman"/>
          <w:sz w:val="24"/>
          <w:szCs w:val="24"/>
        </w:rPr>
        <w:t>3.4</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sz w:val="24"/>
        </w:rPr>
      </w:pPr>
      <w:r>
        <w:rPr>
          <w:rFonts w:hint="eastAsia" w:ascii="仿宋_GB2312" w:hAnsi="仿宋" w:eastAsia="仿宋_GB231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w:t>
      </w:r>
      <w:r>
        <w:rPr>
          <w:rFonts w:hint="eastAsia" w:ascii="仿宋_GB2312" w:hAnsi="仿宋" w:eastAsia="仿宋_GB2312" w:cs="宋体"/>
          <w:kern w:val="0"/>
          <w:sz w:val="24"/>
          <w:szCs w:val="24"/>
          <w:lang w:val="en-US" w:eastAsia="zh-CN"/>
        </w:rPr>
        <w:t>4</w:t>
      </w:r>
      <w:r>
        <w:rPr>
          <w:rFonts w:hint="eastAsia" w:ascii="仿宋_GB2312" w:hAnsi="仿宋" w:eastAsia="仿宋_GB2312" w:cs="宋体"/>
          <w:kern w:val="0"/>
          <w:sz w:val="24"/>
          <w:szCs w:val="24"/>
        </w:rPr>
        <w:t>。</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w:t>
      </w:r>
      <w:r>
        <w:rPr>
          <w:rFonts w:hint="eastAsia" w:ascii="仿宋_GB2312" w:hAnsi="仿宋" w:eastAsia="仿宋_GB2312" w:cs="宋体"/>
          <w:kern w:val="0"/>
          <w:sz w:val="24"/>
          <w:szCs w:val="24"/>
          <w:lang w:val="en-US" w:eastAsia="zh-CN"/>
        </w:rPr>
        <w:t>5</w:t>
      </w:r>
      <w:r>
        <w:rPr>
          <w:rFonts w:hint="eastAsia" w:ascii="仿宋_GB2312" w:hAnsi="仿宋" w:eastAsia="仿宋_GB2312" w:cs="宋体"/>
          <w:kern w:val="0"/>
          <w:sz w:val="24"/>
          <w:szCs w:val="24"/>
        </w:rPr>
        <w:t>。</w:t>
      </w:r>
    </w:p>
    <w:p>
      <w:pPr>
        <w:adjustRightInd w:val="0"/>
        <w:snapToGrid w:val="0"/>
        <w:spacing w:after="120" w:line="360" w:lineRule="auto"/>
        <w:ind w:firstLine="360" w:firstLineChars="200"/>
        <w:rPr>
          <w:rFonts w:ascii="仿宋_GB2312" w:hAnsi="仿宋" w:eastAsia="仿宋_GB2312" w:cs="仿宋_GB2312"/>
          <w:sz w:val="18"/>
          <w:szCs w:val="18"/>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第一部分 招标公告</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第二部分 投标人须知</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第三部分 采购需求</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第四部分 评标方法及评分标准</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第五部分 拟签订的合同文本</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第六部分 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1"/>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adjustRightInd w:val="0"/>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s="Arial"/>
          <w:snapToGrid w:val="0"/>
          <w:sz w:val="24"/>
          <w:szCs w:val="24"/>
        </w:rPr>
        <w:t>采购人组织潜在投标人现场考察或者召开开标前答疑会的，潜在投标人按前附表的规定参加现场考察或者开标前答疑会。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widowControl/>
        <w:adjustRightInd w:val="0"/>
        <w:snapToGrid w:val="0"/>
        <w:spacing w:line="360" w:lineRule="auto"/>
        <w:ind w:firstLine="470" w:firstLineChars="196"/>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本项目不需要交纳投标保证金。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kern w:val="0"/>
          <w:sz w:val="24"/>
          <w:szCs w:val="24"/>
        </w:rPr>
        <w:t>投标文件应当包括以下主要内容：</w:t>
      </w:r>
      <w:r>
        <w:rPr>
          <w:rFonts w:hint="eastAsia" w:ascii="仿宋_GB2312" w:hAnsi="仿宋_GB2312" w:eastAsia="仿宋_GB2312" w:cs="仿宋_GB2312"/>
          <w:b/>
          <w:snapToGrid w:val="0"/>
          <w:sz w:val="24"/>
          <w:szCs w:val="24"/>
        </w:rPr>
        <w:t>资格文件、报价文件、商务技术文件</w:t>
      </w:r>
      <w:r>
        <w:rPr>
          <w:rFonts w:hint="eastAsia" w:ascii="仿宋_GB2312" w:hAnsi="仿宋_GB2312" w:eastAsia="仿宋_GB2312" w:cs="仿宋_GB2312"/>
          <w:snapToGrid w:val="0"/>
          <w:sz w:val="24"/>
          <w:szCs w:val="24"/>
        </w:rPr>
        <w:t>。投标文件应当对招标文件提出的要求和条件作出明确响应。</w:t>
      </w:r>
    </w:p>
    <w:p>
      <w:pPr>
        <w:adjustRightInd w:val="0"/>
        <w:snapToGrid w:val="0"/>
        <w:spacing w:line="360" w:lineRule="auto"/>
        <w:ind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sz w:val="24"/>
          <w:szCs w:val="24"/>
        </w:rPr>
        <w:t>11.1</w:t>
      </w:r>
      <w:r>
        <w:rPr>
          <w:rFonts w:hint="eastAsia" w:ascii="仿宋_GB2312" w:hAnsi="仿宋_GB2312" w:eastAsia="仿宋_GB2312" w:cs="仿宋_GB2312"/>
          <w:b/>
          <w:sz w:val="24"/>
          <w:szCs w:val="24"/>
        </w:rPr>
        <w:t>资格文件</w:t>
      </w:r>
      <w:r>
        <w:rPr>
          <w:rFonts w:hint="eastAsia" w:ascii="仿宋_GB2312" w:hAnsi="仿宋_GB2312" w:eastAsia="仿宋_GB2312" w:cs="仿宋_GB2312"/>
          <w:sz w:val="24"/>
          <w:szCs w:val="24"/>
        </w:rPr>
        <w:t>应包括以下内容（均需使用电子签名）：</w:t>
      </w:r>
      <w:r>
        <w:rPr>
          <w:rFonts w:hint="eastAsia" w:ascii="仿宋_GB2312" w:hAnsi="仿宋_GB2312" w:eastAsia="仿宋_GB2312" w:cs="仿宋_GB2312"/>
          <w:kern w:val="0"/>
          <w:sz w:val="24"/>
          <w:szCs w:val="24"/>
        </w:rPr>
        <w:t>证明其符合《中华人民共和国政府采购法》规定的供应商基本条件和采购项目对供应商的特定条件</w:t>
      </w:r>
      <w:r>
        <w:rPr>
          <w:rFonts w:hint="eastAsia" w:ascii="仿宋_GB2312" w:hAnsi="仿宋_GB2312" w:eastAsia="仿宋_GB2312" w:cs="仿宋_GB2312"/>
          <w:sz w:val="24"/>
          <w:szCs w:val="24"/>
        </w:rPr>
        <w:t>（如果项目要求）</w:t>
      </w:r>
      <w:r>
        <w:rPr>
          <w:rFonts w:hint="eastAsia" w:ascii="仿宋_GB2312" w:hAnsi="仿宋_GB2312" w:eastAsia="仿宋_GB2312" w:cs="仿宋_GB2312"/>
          <w:kern w:val="0"/>
          <w:sz w:val="24"/>
          <w:szCs w:val="24"/>
        </w:rPr>
        <w:t>的有关资格证明文件。</w:t>
      </w:r>
      <w:r>
        <w:rPr>
          <w:rFonts w:hint="eastAsia" w:ascii="仿宋_GB2312" w:hAnsi="仿宋_GB2312" w:eastAsia="仿宋_GB2312" w:cs="仿宋_GB2312"/>
          <w:b/>
          <w:kern w:val="0"/>
          <w:sz w:val="24"/>
          <w:szCs w:val="24"/>
        </w:rPr>
        <w:t>（以联合体形式进行政府采购的，参加联合体的供应商均应当提</w:t>
      </w:r>
      <w:r>
        <w:rPr>
          <w:rFonts w:hint="eastAsia" w:ascii="仿宋_GB2312" w:hAnsi="仿宋_GB2312" w:eastAsia="仿宋_GB2312" w:cs="仿宋_GB2312"/>
          <w:b/>
          <w:color w:val="auto"/>
          <w:kern w:val="0"/>
          <w:sz w:val="24"/>
          <w:szCs w:val="24"/>
        </w:rPr>
        <w:t>供）</w:t>
      </w:r>
    </w:p>
    <w:p>
      <w:pPr>
        <w:pStyle w:val="33"/>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11.1.1</w:t>
      </w:r>
      <w:r>
        <w:rPr>
          <w:rFonts w:hint="eastAsia" w:ascii="仿宋_GB2312" w:hAnsi="仿宋_GB2312" w:eastAsia="仿宋_GB2312" w:cs="仿宋_GB2312"/>
          <w:snapToGrid w:val="0"/>
          <w:color w:val="auto"/>
          <w:sz w:val="24"/>
          <w:szCs w:val="21"/>
        </w:rPr>
        <w:t>营业执照(或事业法人登记证或其他工商等登记证明材料)复印件（投标人为自然人的，提供</w:t>
      </w:r>
      <w:r>
        <w:rPr>
          <w:rFonts w:hint="eastAsia" w:ascii="仿宋_GB2312" w:hAnsi="仿宋_GB2312" w:eastAsia="仿宋_GB2312" w:cs="仿宋_GB2312"/>
          <w:snapToGrid w:val="0"/>
          <w:color w:val="auto"/>
          <w:kern w:val="0"/>
          <w:sz w:val="24"/>
          <w:szCs w:val="21"/>
        </w:rPr>
        <w:t>自然人的身份证明</w:t>
      </w:r>
      <w:r>
        <w:rPr>
          <w:rFonts w:hint="eastAsia" w:ascii="仿宋_GB2312" w:hAnsi="仿宋_GB2312" w:eastAsia="仿宋_GB2312" w:cs="仿宋_GB2312"/>
          <w:snapToGrid w:val="0"/>
          <w:color w:val="auto"/>
          <w:sz w:val="24"/>
          <w:szCs w:val="21"/>
        </w:rPr>
        <w:t>）复印件；</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金融、保险、通讯等特定行业的全国性企业所设立的</w:t>
      </w:r>
      <w:r>
        <w:rPr>
          <w:rFonts w:hint="eastAsia" w:ascii="仿宋_GB2312" w:hAnsi="仿宋_GB2312" w:eastAsia="仿宋_GB2312" w:cs="仿宋_GB2312"/>
          <w:sz w:val="24"/>
        </w:rPr>
        <w:t>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11.1.2</w:t>
      </w:r>
      <w:r>
        <w:rPr>
          <w:rFonts w:hint="eastAsia" w:ascii="仿宋_GB2312" w:hAnsi="仿宋_GB2312" w:eastAsia="仿宋_GB2312" w:cs="仿宋_GB2312"/>
          <w:sz w:val="24"/>
          <w:lang w:eastAsia="zh-CN"/>
        </w:rPr>
        <w:t>法人</w:t>
      </w:r>
      <w:r>
        <w:rPr>
          <w:rFonts w:hint="eastAsia" w:ascii="仿宋_GB2312" w:hAnsi="仿宋_GB2312" w:eastAsia="仿宋_GB2312" w:cs="仿宋_GB2312"/>
          <w:sz w:val="24"/>
        </w:rPr>
        <w:t>授权书（如法定代表人直接参加投标并对相应文件签字的，只需提供其身份证复印件正反面；如以联合体形式参加政府采购活动的，按招标文件有关格式范例提供联合</w:t>
      </w:r>
      <w:r>
        <w:rPr>
          <w:rFonts w:hint="eastAsia" w:ascii="仿宋_GB2312" w:hAnsi="仿宋_GB2312" w:eastAsia="仿宋_GB2312" w:cs="仿宋_GB2312"/>
          <w:sz w:val="24"/>
          <w:highlight w:val="none"/>
        </w:rPr>
        <w:t>体投标授权书）；▲</w:t>
      </w:r>
      <w:r>
        <w:rPr>
          <w:rFonts w:hint="eastAsia" w:ascii="仿宋_GB2312" w:hAnsi="仿宋_GB2312" w:eastAsia="仿宋_GB2312" w:cs="仿宋_GB2312"/>
          <w:b/>
          <w:sz w:val="24"/>
          <w:highlight w:val="none"/>
        </w:rPr>
        <w:t>投标文件中法人授权书所载内容与本项目内容有异的，投标无效</w:t>
      </w:r>
      <w:r>
        <w:rPr>
          <w:rFonts w:hint="eastAsia" w:ascii="仿宋_GB2312" w:hAnsi="仿宋_GB2312" w:eastAsia="仿宋_GB2312" w:cs="仿宋_GB2312"/>
          <w:b/>
          <w:sz w:val="24"/>
          <w:highlight w:val="none"/>
          <w:lang w:eastAsia="zh-CN"/>
        </w:rPr>
        <w:t>；</w:t>
      </w:r>
    </w:p>
    <w:p>
      <w:pPr>
        <w:pStyle w:val="33"/>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11.1.3法定代表人及其授权代表的身份证（复印件）</w:t>
      </w:r>
      <w:r>
        <w:rPr>
          <w:rFonts w:hint="eastAsia" w:ascii="仿宋_GB2312" w:hAnsi="仿宋_GB2312" w:eastAsia="仿宋_GB2312" w:cs="仿宋_GB2312"/>
          <w:sz w:val="24"/>
          <w:highlight w:val="none"/>
          <w:lang w:eastAsia="zh-CN"/>
        </w:rPr>
        <w:t>；</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w:t>
      </w:r>
      <w:r>
        <w:rPr>
          <w:rFonts w:hint="eastAsia" w:ascii="仿宋_GB2312" w:hAnsi="仿宋" w:eastAsia="仿宋_GB2312" w:cs="仿宋_GB2312"/>
          <w:sz w:val="24"/>
        </w:rPr>
        <w:t>符合参与政府采购活动的资格条件并且没有税收缴纳、社会保障等方面的失信记录的承诺函；</w:t>
      </w:r>
    </w:p>
    <w:p>
      <w:pPr>
        <w:pStyle w:val="33"/>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11.1.5具有履行合同所必需的设备和专业技术能力的承诺函；</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11.1.6参加政府采购活动前三年内，在经营活动中没有重大违法记录的声明；</w:t>
      </w:r>
    </w:p>
    <w:p>
      <w:pPr>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11.1.7</w:t>
      </w:r>
      <w:r>
        <w:rPr>
          <w:rFonts w:hint="eastAsia" w:ascii="仿宋_GB2312" w:hAnsi="仿宋_GB2312" w:eastAsia="仿宋_GB2312" w:cs="仿宋_GB2312"/>
          <w:sz w:val="24"/>
          <w:szCs w:val="20"/>
          <w:highlight w:val="none"/>
        </w:rPr>
        <w:t>具有良好商业信誉的声明；</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11.1.8</w:t>
      </w:r>
      <w:r>
        <w:rPr>
          <w:rFonts w:hint="eastAsia" w:ascii="仿宋_GB2312" w:hAnsi="仿宋_GB2312" w:eastAsia="仿宋_GB2312" w:cs="仿宋_GB2312"/>
          <w:sz w:val="24"/>
        </w:rPr>
        <w:t>符合特定资格条件（如果项目要求）的有关证明材料（复印件）；</w:t>
      </w:r>
    </w:p>
    <w:p>
      <w:pPr>
        <w:adjustRightIn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r>
        <w:rPr>
          <w:rFonts w:hint="eastAsia" w:ascii="仿宋_GB2312" w:hAnsi="仿宋_GB2312" w:eastAsia="仿宋_GB2312" w:cs="仿宋_GB2312"/>
          <w:sz w:val="24"/>
          <w:lang w:eastAsia="zh-CN"/>
        </w:rPr>
        <w:t>；</w:t>
      </w:r>
    </w:p>
    <w:p>
      <w:pPr>
        <w:adjustRightInd w:val="0"/>
        <w:spacing w:line="360" w:lineRule="auto"/>
        <w:ind w:firstLine="480" w:firstLineChars="200"/>
        <w:rPr>
          <w:rFonts w:hint="eastAsia" w:ascii="仿宋_GB2312" w:hAnsi="仿宋_GB2312" w:eastAsia="仿宋_GB2312" w:cs="仿宋_GB2312"/>
          <w:sz w:val="24"/>
          <w:szCs w:val="24"/>
          <w:u w:val="single"/>
          <w:lang w:val="zh-CN"/>
        </w:rPr>
      </w:pPr>
      <w:r>
        <w:rPr>
          <w:rFonts w:hint="eastAsia" w:ascii="仿宋_GB2312" w:hAnsi="仿宋_GB2312" w:eastAsia="仿宋_GB2312" w:cs="仿宋_GB2312"/>
          <w:kern w:val="0"/>
          <w:sz w:val="24"/>
          <w:szCs w:val="24"/>
          <w:lang w:val="zh-CN"/>
        </w:rPr>
        <w:t xml:space="preserve">11.2 </w:t>
      </w:r>
      <w:r>
        <w:rPr>
          <w:rFonts w:hint="eastAsia" w:ascii="仿宋_GB2312" w:hAnsi="仿宋_GB2312" w:eastAsia="仿宋_GB2312" w:cs="仿宋_GB2312"/>
          <w:sz w:val="24"/>
          <w:szCs w:val="24"/>
        </w:rPr>
        <w:t>投标人的</w:t>
      </w:r>
      <w:r>
        <w:rPr>
          <w:rFonts w:hint="eastAsia" w:ascii="仿宋_GB2312" w:hAnsi="仿宋_GB2312" w:eastAsia="仿宋_GB2312" w:cs="仿宋_GB2312"/>
          <w:b/>
          <w:sz w:val="24"/>
          <w:szCs w:val="24"/>
        </w:rPr>
        <w:t>报价文件</w:t>
      </w:r>
      <w:r>
        <w:rPr>
          <w:rFonts w:hint="eastAsia" w:ascii="仿宋_GB2312" w:hAnsi="仿宋_GB2312" w:eastAsia="仿宋_GB2312" w:cs="仿宋_GB2312"/>
          <w:sz w:val="24"/>
          <w:szCs w:val="24"/>
        </w:rPr>
        <w:t>应包括以下内容（均需使用电子签名）：</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11.2.1</w:t>
      </w:r>
      <w:r>
        <w:rPr>
          <w:rFonts w:hint="eastAsia" w:ascii="仿宋_GB2312" w:hAnsi="仿宋_GB2312" w:eastAsia="仿宋_GB2312" w:cs="仿宋_GB2312"/>
          <w:kern w:val="0"/>
          <w:sz w:val="24"/>
          <w:szCs w:val="24"/>
        </w:rPr>
        <w:t>投标响应函</w:t>
      </w:r>
      <w:r>
        <w:rPr>
          <w:rFonts w:hint="eastAsia" w:ascii="仿宋_GB2312" w:hAnsi="仿宋_GB2312" w:eastAsia="仿宋_GB2312" w:cs="仿宋_GB2312"/>
          <w:sz w:val="24"/>
          <w:szCs w:val="24"/>
        </w:rPr>
        <w:t>；</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11.2.2投标(开标)一览表；</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11.2.3中小企业声明函。</w:t>
      </w:r>
    </w:p>
    <w:p>
      <w:pPr>
        <w:adjustRightInd w:val="0"/>
        <w:spacing w:line="360" w:lineRule="auto"/>
        <w:ind w:firstLine="480" w:firstLineChars="200"/>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kern w:val="0"/>
          <w:sz w:val="24"/>
          <w:szCs w:val="24"/>
          <w:lang w:val="zh-CN"/>
        </w:rPr>
        <w:t>11.3  投标人的</w:t>
      </w:r>
      <w:r>
        <w:rPr>
          <w:rFonts w:hint="eastAsia" w:ascii="仿宋_GB2312" w:hAnsi="仿宋_GB2312" w:eastAsia="仿宋_GB2312" w:cs="仿宋_GB2312"/>
          <w:b/>
          <w:snapToGrid w:val="0"/>
          <w:sz w:val="24"/>
          <w:szCs w:val="24"/>
        </w:rPr>
        <w:t>商务技术</w:t>
      </w:r>
      <w:r>
        <w:rPr>
          <w:rFonts w:hint="eastAsia" w:ascii="仿宋_GB2312" w:hAnsi="仿宋_GB2312" w:eastAsia="仿宋_GB2312" w:cs="仿宋_GB2312"/>
          <w:b/>
          <w:snapToGrid w:val="0"/>
          <w:kern w:val="0"/>
          <w:sz w:val="24"/>
          <w:szCs w:val="24"/>
          <w:lang w:val="zh-CN"/>
        </w:rPr>
        <w:t>文件应</w:t>
      </w:r>
      <w:r>
        <w:rPr>
          <w:rFonts w:hint="eastAsia" w:ascii="仿宋_GB2312" w:hAnsi="仿宋_GB2312" w:eastAsia="仿宋_GB2312" w:cs="仿宋_GB2312"/>
          <w:snapToGrid w:val="0"/>
          <w:kern w:val="0"/>
          <w:sz w:val="24"/>
          <w:szCs w:val="24"/>
          <w:lang w:val="zh-CN"/>
        </w:rPr>
        <w:t>包括以下内容</w:t>
      </w:r>
      <w:r>
        <w:rPr>
          <w:rFonts w:hint="eastAsia" w:ascii="仿宋_GB2312" w:hAnsi="仿宋_GB2312" w:eastAsia="仿宋_GB2312" w:cs="仿宋_GB2312"/>
          <w:snapToGrid w:val="0"/>
          <w:sz w:val="24"/>
          <w:szCs w:val="24"/>
        </w:rPr>
        <w:t>（均需使用电子签名）</w:t>
      </w: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sz w:val="24"/>
          <w:szCs w:val="24"/>
          <w:lang w:val="zh-CN"/>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资信文件：</w:t>
      </w:r>
      <w:r>
        <w:rPr>
          <w:rFonts w:hint="eastAsia" w:ascii="仿宋_GB2312" w:hAnsi="仿宋_GB2312" w:eastAsia="仿宋_GB2312" w:cs="仿宋_GB2312"/>
          <w:kern w:val="0"/>
          <w:sz w:val="24"/>
          <w:szCs w:val="20"/>
        </w:rPr>
        <w:t>见投标须知前附表所述；</w:t>
      </w:r>
    </w:p>
    <w:p>
      <w:pPr>
        <w:pStyle w:val="232"/>
        <w:snapToGrid w:val="0"/>
        <w:spacing w:before="0"/>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lang w:val="zh-CN"/>
        </w:rPr>
        <w:t>11.3.</w:t>
      </w:r>
      <w:r>
        <w:rPr>
          <w:rFonts w:hint="eastAsia" w:ascii="仿宋_GB2312" w:hAnsi="仿宋_GB2312" w:eastAsia="仿宋_GB2312" w:cs="仿宋_GB2312"/>
          <w:lang w:val="en-US" w:eastAsia="zh-CN"/>
        </w:rPr>
        <w:t>2</w:t>
      </w:r>
      <w:r>
        <w:rPr>
          <w:rFonts w:hint="eastAsia" w:ascii="仿宋_GB2312" w:hAnsi="仿宋_GB2312" w:eastAsia="仿宋_GB2312" w:cs="仿宋_GB2312"/>
          <w:kern w:val="0"/>
        </w:rPr>
        <w:t>投标人的主要业绩证明材料即</w:t>
      </w:r>
      <w:r>
        <w:rPr>
          <w:rFonts w:hint="eastAsia" w:ascii="仿宋_GB2312" w:hAnsi="仿宋_GB2312" w:eastAsia="仿宋_GB2312" w:cs="仿宋_GB2312"/>
          <w:lang w:val="zh-CN"/>
        </w:rPr>
        <w:t>合同</w:t>
      </w:r>
      <w:r>
        <w:rPr>
          <w:rFonts w:hint="eastAsia" w:ascii="仿宋_GB2312" w:hAnsi="仿宋_GB2312" w:eastAsia="仿宋_GB2312" w:cs="仿宋_GB2312"/>
        </w:rPr>
        <w:t>和用户验收报告</w:t>
      </w:r>
      <w:r>
        <w:rPr>
          <w:rFonts w:hint="eastAsia" w:ascii="仿宋_GB2312" w:hAnsi="仿宋_GB2312" w:eastAsia="仿宋_GB2312" w:cs="仿宋_GB2312"/>
          <w:lang w:eastAsia="zh-CN"/>
        </w:rPr>
        <w:t>（如需要）</w:t>
      </w:r>
      <w:r>
        <w:rPr>
          <w:rFonts w:hint="eastAsia" w:ascii="仿宋_GB2312" w:hAnsi="仿宋_GB2312" w:eastAsia="仿宋_GB2312" w:cs="仿宋_GB2312"/>
          <w:szCs w:val="24"/>
        </w:rPr>
        <w:t>（</w:t>
      </w:r>
      <w:r>
        <w:rPr>
          <w:rFonts w:hint="eastAsia" w:ascii="仿宋_GB2312" w:hAnsi="仿宋_GB2312" w:eastAsia="仿宋_GB2312" w:cs="仿宋_GB2312"/>
        </w:rPr>
        <w:t>联合体投标的，联合体各方</w:t>
      </w:r>
      <w:r>
        <w:rPr>
          <w:rFonts w:hint="eastAsia" w:ascii="仿宋_GB2312" w:hAnsi="仿宋_GB2312" w:eastAsia="仿宋_GB2312" w:cs="仿宋_GB2312"/>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w:t>
      </w:r>
      <w:r>
        <w:rPr>
          <w:rFonts w:hint="eastAsia" w:ascii="仿宋_GB2312" w:hAnsi="仿宋_GB2312" w:eastAsia="仿宋_GB2312" w:cs="仿宋_GB2312"/>
          <w:kern w:val="0"/>
          <w:highlight w:val="none"/>
        </w:rPr>
        <w:t>项目采购人同意分包的证明材料</w:t>
      </w:r>
      <w:r>
        <w:rPr>
          <w:rFonts w:hint="eastAsia" w:ascii="仿宋_GB2312" w:hAnsi="仿宋_GB2312" w:eastAsia="仿宋_GB2312" w:cs="仿宋_GB2312"/>
          <w:szCs w:val="24"/>
          <w:highlight w:val="none"/>
        </w:rPr>
        <w:t>)</w:t>
      </w:r>
      <w:r>
        <w:rPr>
          <w:rFonts w:hint="eastAsia" w:ascii="仿宋_GB2312" w:hAnsi="仿宋_GB2312" w:eastAsia="仿宋_GB2312" w:cs="仿宋_GB2312"/>
          <w:kern w:val="0"/>
          <w:highlight w:val="none"/>
        </w:rPr>
        <w:t>；</w:t>
      </w:r>
    </w:p>
    <w:p>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kern w:val="0"/>
          <w:sz w:val="24"/>
          <w:highlight w:val="none"/>
          <w:lang w:val="zh-CN"/>
        </w:rPr>
        <w:t>投标人认为需要的其他商务文件或说明；</w:t>
      </w:r>
      <w:r>
        <w:rPr>
          <w:rFonts w:hint="eastAsia" w:ascii="仿宋_GB2312" w:hAnsi="仿宋_GB2312" w:eastAsia="仿宋_GB2312" w:cs="仿宋_GB2312"/>
          <w:sz w:val="24"/>
          <w:highlight w:val="none"/>
        </w:rPr>
        <w:t xml:space="preserve"> </w:t>
      </w:r>
    </w:p>
    <w:p>
      <w:pPr>
        <w:pStyle w:val="33"/>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4</w:t>
      </w:r>
      <w:r>
        <w:rPr>
          <w:rFonts w:hint="eastAsia" w:ascii="仿宋_GB2312" w:hAnsi="仿宋" w:eastAsia="仿宋_GB2312" w:cs="Times New Roman"/>
          <w:sz w:val="24"/>
          <w:szCs w:val="24"/>
          <w:highlight w:val="none"/>
        </w:rPr>
        <w:t>技术和服务方案，</w:t>
      </w:r>
      <w:r>
        <w:rPr>
          <w:rFonts w:hint="eastAsia" w:ascii="仿宋_GB2312" w:hAnsi="仿宋" w:eastAsia="仿宋_GB2312" w:cs="Times New Roman"/>
          <w:b/>
          <w:sz w:val="24"/>
          <w:szCs w:val="24"/>
          <w:highlight w:val="none"/>
        </w:rPr>
        <w:t>投标人根据项目</w:t>
      </w:r>
      <w:r>
        <w:rPr>
          <w:rFonts w:hint="eastAsia" w:ascii="仿宋_GB2312" w:hAnsi="仿宋" w:eastAsia="仿宋_GB2312" w:cs="微软雅黑"/>
          <w:b/>
          <w:sz w:val="24"/>
          <w:szCs w:val="24"/>
          <w:highlight w:val="none"/>
        </w:rPr>
        <w:t>采购需求、评分标准等</w:t>
      </w:r>
      <w:r>
        <w:rPr>
          <w:rFonts w:hint="eastAsia" w:ascii="仿宋_GB2312" w:hAnsi="仿宋" w:eastAsia="仿宋_GB2312" w:cs="Times New Roman"/>
          <w:b/>
          <w:sz w:val="24"/>
          <w:szCs w:val="24"/>
          <w:highlight w:val="none"/>
        </w:rPr>
        <w:t>提出合理的技术和服务方案</w:t>
      </w:r>
      <w:r>
        <w:rPr>
          <w:rFonts w:hint="eastAsia" w:ascii="仿宋_GB2312" w:hAnsi="仿宋"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1"/>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napToGrid w:val="0"/>
          <w:kern w:val="0"/>
          <w:sz w:val="24"/>
          <w:szCs w:val="21"/>
          <w:highlight w:val="none"/>
        </w:rPr>
        <w:t>技术和服务偏离说明表，投标人应对采购需求中所提出各项要求明确是否偏离</w:t>
      </w:r>
      <w:r>
        <w:rPr>
          <w:rFonts w:hint="eastAsia" w:ascii="仿宋_GB2312" w:hAnsi="仿宋_GB2312" w:eastAsia="仿宋_GB2312" w:cs="仿宋_GB2312"/>
          <w:snapToGrid w:val="0"/>
          <w:kern w:val="0"/>
          <w:sz w:val="24"/>
          <w:szCs w:val="21"/>
          <w:highlight w:val="none"/>
          <w:lang w:val="zh-CN"/>
        </w:rPr>
        <w:t xml:space="preserve">； </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kern w:val="0"/>
          <w:sz w:val="24"/>
          <w:szCs w:val="24"/>
          <w:highlight w:val="none"/>
          <w:lang w:val="zh-CN"/>
        </w:rPr>
        <w:t>组织实施方案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投标人根据项目采购需求、评分标准等提出组织实施方案</w:t>
      </w:r>
      <w:r>
        <w:rPr>
          <w:rFonts w:hint="eastAsia" w:ascii="仿宋_GB2312" w:hAnsi="仿宋_GB2312"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szCs w:val="24"/>
          <w:highlight w:val="none"/>
        </w:rPr>
        <w:t>人员投入计划</w:t>
      </w:r>
      <w:r>
        <w:rPr>
          <w:rFonts w:hint="eastAsia" w:ascii="仿宋_GB2312" w:hAnsi="仿宋_GB2312" w:eastAsia="仿宋_GB2312" w:cs="仿宋_GB2312"/>
          <w:snapToGrid w:val="0"/>
          <w:kern w:val="0"/>
          <w:sz w:val="24"/>
          <w:szCs w:val="24"/>
          <w:highlight w:val="none"/>
        </w:rPr>
        <w:t>：人员数量配置（重要岗位须人员详细资料，并附上有关证明材料）等</w:t>
      </w:r>
      <w:r>
        <w:rPr>
          <w:rFonts w:hint="eastAsia" w:ascii="仿宋_GB2312" w:hAnsi="仿宋_GB2312" w:eastAsia="仿宋_GB2312" w:cs="仿宋_GB2312"/>
          <w:kern w:val="0"/>
          <w:sz w:val="24"/>
          <w:szCs w:val="24"/>
          <w:highlight w:val="none"/>
          <w:lang w:val="zh-CN"/>
        </w:rPr>
        <w:t>；</w:t>
      </w:r>
    </w:p>
    <w:p>
      <w:pPr>
        <w:tabs>
          <w:tab w:val="left" w:pos="0"/>
          <w:tab w:val="left" w:pos="840"/>
        </w:tabs>
        <w:autoSpaceDE w:val="0"/>
        <w:autoSpaceDN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szCs w:val="24"/>
          <w:highlight w:val="none"/>
        </w:rPr>
        <w:t>材料、设备、工具等投入计划</w:t>
      </w:r>
      <w:r>
        <w:rPr>
          <w:rFonts w:hint="eastAsia" w:ascii="仿宋_GB2312" w:hAnsi="仿宋_GB2312" w:eastAsia="仿宋_GB2312" w:cs="仿宋_GB2312"/>
          <w:kern w:val="0"/>
          <w:sz w:val="24"/>
          <w:szCs w:val="24"/>
          <w:highlight w:val="none"/>
          <w:lang w:val="zh-CN"/>
        </w:rPr>
        <w:t>；</w:t>
      </w:r>
    </w:p>
    <w:p>
      <w:pPr>
        <w:tabs>
          <w:tab w:val="left" w:pos="0"/>
          <w:tab w:val="left" w:pos="840"/>
        </w:tabs>
        <w:autoSpaceDE w:val="0"/>
        <w:autoSpaceDN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napToGrid w:val="0"/>
          <w:kern w:val="0"/>
          <w:sz w:val="24"/>
          <w:szCs w:val="24"/>
          <w:highlight w:val="none"/>
        </w:rPr>
        <w:t>各项服务承诺</w:t>
      </w:r>
      <w:r>
        <w:rPr>
          <w:rFonts w:hint="eastAsia" w:ascii="仿宋_GB2312" w:hAnsi="仿宋_GB2312" w:eastAsia="仿宋_GB2312" w:cs="仿宋_GB2312"/>
          <w:kern w:val="0"/>
          <w:sz w:val="24"/>
          <w:szCs w:val="24"/>
          <w:highlight w:val="none"/>
          <w:lang w:val="zh-CN"/>
        </w:rPr>
        <w:t>；</w:t>
      </w:r>
    </w:p>
    <w:p>
      <w:pPr>
        <w:snapToGrid w:val="0"/>
        <w:spacing w:line="360" w:lineRule="auto"/>
        <w:ind w:firstLine="480" w:firstLineChars="200"/>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kern w:val="0"/>
          <w:sz w:val="24"/>
          <w:szCs w:val="24"/>
          <w:lang w:val="zh-CN"/>
        </w:rPr>
        <w:t>认为需要的其他技术文件或说明（如果有）</w:t>
      </w:r>
    </w:p>
    <w:p>
      <w:pPr>
        <w:tabs>
          <w:tab w:val="left" w:pos="0"/>
        </w:tabs>
        <w:autoSpaceDE w:val="0"/>
        <w:autoSpaceDN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480" w:firstLineChars="200"/>
        <w:rPr>
          <w:rFonts w:hint="eastAsia"/>
          <w:lang w:val="zh-CN"/>
        </w:rPr>
      </w:pPr>
      <w:r>
        <w:rPr>
          <w:rFonts w:hint="eastAsia" w:ascii="仿宋_GB2312" w:hAnsi="仿宋" w:eastAsia="仿宋_GB2312" w:cs="仿宋_GB2312"/>
          <w:kern w:val="0"/>
          <w:sz w:val="24"/>
          <w:lang w:val="zh-CN"/>
        </w:rPr>
        <w:t>11.3.1</w:t>
      </w:r>
      <w:r>
        <w:rPr>
          <w:rFonts w:hint="eastAsia" w:ascii="仿宋_GB2312" w:hAnsi="仿宋" w:eastAsia="仿宋_GB2312" w:cs="仿宋_GB2312"/>
          <w:kern w:val="0"/>
          <w:sz w:val="24"/>
          <w:lang w:val="en-US" w:eastAsia="zh-CN"/>
        </w:rPr>
        <w:t>2</w:t>
      </w:r>
      <w:r>
        <w:rPr>
          <w:rFonts w:hint="eastAsia" w:ascii="仿宋_GB2312" w:hAnsi="仿宋" w:eastAsia="仿宋_GB2312" w:cs="仿宋_GB2312"/>
          <w:kern w:val="0"/>
          <w:sz w:val="24"/>
          <w:lang w:val="zh-CN"/>
        </w:rPr>
        <w:t>廉政承诺书。</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▲投标文件组成漏项，内容不全或内容字迹模糊辨认不清的，投标无效；</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▲投标文件含有采购人不能接受的附加条件的，投标无效；</w:t>
      </w:r>
    </w:p>
    <w:p>
      <w:pPr>
        <w:adjustRightInd w:val="0"/>
        <w:spacing w:line="360" w:lineRule="auto"/>
        <w:ind w:firstLine="482" w:firstLineChars="20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4"/>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adjustRightInd w:val="0"/>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_GB2312" w:eastAsia="仿宋_GB2312" w:cs="仿宋_GB2312"/>
          <w:b/>
          <w:sz w:val="24"/>
          <w:szCs w:val="24"/>
        </w:rPr>
        <w:t>▲投标文件未按规定的格式编制的，投标无效；</w:t>
      </w:r>
    </w:p>
    <w:p>
      <w:pPr>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_GB2312" w:eastAsia="仿宋_GB2312" w:cs="仿宋_GB2312"/>
          <w:sz w:val="24"/>
          <w:szCs w:val="24"/>
        </w:rPr>
        <w:t>14.1供应商应当在投标截止时间前完成投标文件的传输递交，并可以补充、修改</w:t>
      </w:r>
      <w:r>
        <w:rPr>
          <w:rFonts w:hint="eastAsia" w:ascii="仿宋_GB2312" w:hAnsi="仿宋" w:eastAsia="仿宋_GB2312" w:cs="仿宋_GB2312"/>
          <w:sz w:val="24"/>
          <w:szCs w:val="24"/>
        </w:rPr>
        <w:t>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14.3采购机构可以视情况延长投标文件提交的截止时间。在上述情况下，采购机构与投标人以前在投标截止期方面的全部权利、责任和义务，将适用于延长至新的投标截止期。</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adjustRightInd w:val="0"/>
        <w:spacing w:line="360" w:lineRule="auto"/>
        <w:ind w:firstLine="480" w:firstLineChars="20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15.2备份投标文件须在“政采云投标客户端”制作生成，并储</w:t>
      </w:r>
      <w:r>
        <w:rPr>
          <w:rFonts w:hint="eastAsia" w:ascii="仿宋_GB2312" w:hAnsi="仿宋" w:eastAsia="仿宋_GB2312" w:cs="仿宋_GB2312"/>
          <w:snapToGrid w:val="0"/>
          <w:color w:val="auto"/>
          <w:sz w:val="24"/>
          <w:szCs w:val="24"/>
        </w:rPr>
        <w:t>存在不可修改的</w:t>
      </w:r>
      <w:r>
        <w:rPr>
          <w:rFonts w:hint="eastAsia" w:ascii="仿宋_GB2312" w:hAnsi="仿宋" w:eastAsia="仿宋_GB2312" w:cs="Arial"/>
          <w:snapToGrid w:val="0"/>
          <w:color w:val="auto"/>
          <w:sz w:val="24"/>
          <w:szCs w:val="21"/>
        </w:rPr>
        <w:t>电子光盘</w:t>
      </w:r>
      <w:r>
        <w:rPr>
          <w:rFonts w:hint="eastAsia" w:ascii="仿宋_GB2312" w:hAnsi="仿宋" w:eastAsia="仿宋_GB2312" w:cs="仿宋_GB2312"/>
          <w:snapToGrid w:val="0"/>
          <w:color w:val="auto"/>
          <w:sz w:val="24"/>
          <w:szCs w:val="24"/>
        </w:rPr>
        <w:t>中。备份投标文件应当密封包装并在包装上加盖公章并注明投标项目名称，投标人名称(联合体投标的，包装物封面需注明联合体投标，并注明联合体成员各方</w:t>
      </w:r>
      <w:r>
        <w:rPr>
          <w:rFonts w:hint="eastAsia" w:ascii="仿宋_GB2312" w:hAnsi="仿宋" w:eastAsia="仿宋_GB2312" w:cs="仿宋_GB2312"/>
          <w:snapToGrid w:val="0"/>
          <w:sz w:val="24"/>
          <w:szCs w:val="24"/>
        </w:rPr>
        <w:t>的名称和联合体协议中约定的牵头人的名称)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15.4以邮政快递方式递交备份投标文件的，投标人应先将备份投标文件按要求密封和标记，再进行邮政快递包装后邮寄。备份投标文件须在投标截止时间之前送达杭州市</w:t>
      </w:r>
      <w:r>
        <w:rPr>
          <w:rFonts w:hint="eastAsia" w:ascii="仿宋_GB2312" w:hAnsi="仿宋" w:eastAsia="仿宋_GB2312" w:cs="仿宋_GB2312"/>
          <w:snapToGrid w:val="0"/>
          <w:sz w:val="24"/>
          <w:szCs w:val="24"/>
          <w:lang w:eastAsia="zh-CN"/>
        </w:rPr>
        <w:t>临安区锦北街道科技大道</w:t>
      </w:r>
      <w:r>
        <w:rPr>
          <w:rFonts w:hint="eastAsia" w:ascii="仿宋_GB2312" w:hAnsi="仿宋" w:eastAsia="仿宋_GB2312" w:cs="仿宋_GB2312"/>
          <w:snapToGrid w:val="0"/>
          <w:sz w:val="24"/>
          <w:szCs w:val="24"/>
          <w:lang w:val="en-US" w:eastAsia="zh-CN"/>
        </w:rPr>
        <w:t>4398号市民中心B座B448室</w:t>
      </w:r>
      <w:r>
        <w:rPr>
          <w:rFonts w:hint="eastAsia" w:ascii="仿宋_GB2312" w:hAnsi="仿宋" w:eastAsia="仿宋_GB2312" w:cs="仿宋_GB2312"/>
          <w:snapToGrid w:val="0"/>
          <w:sz w:val="24"/>
          <w:szCs w:val="24"/>
        </w:rPr>
        <w:t>（杭州市公共资源交易中心</w:t>
      </w:r>
      <w:r>
        <w:rPr>
          <w:rFonts w:hint="eastAsia" w:ascii="仿宋_GB2312" w:hAnsi="仿宋" w:eastAsia="仿宋_GB2312" w:cs="仿宋_GB2312"/>
          <w:snapToGrid w:val="0"/>
          <w:sz w:val="24"/>
          <w:szCs w:val="24"/>
          <w:lang w:eastAsia="zh-CN"/>
        </w:rPr>
        <w:t>临安分中心</w:t>
      </w:r>
      <w:r>
        <w:rPr>
          <w:rFonts w:hint="eastAsia" w:ascii="仿宋_GB2312" w:hAnsi="仿宋" w:eastAsia="仿宋_GB2312" w:cs="仿宋_GB2312"/>
          <w:snapToGrid w:val="0"/>
          <w:sz w:val="24"/>
          <w:szCs w:val="24"/>
        </w:rPr>
        <w:t>政府采购</w:t>
      </w:r>
      <w:r>
        <w:rPr>
          <w:rFonts w:hint="eastAsia" w:ascii="仿宋_GB2312" w:hAnsi="仿宋" w:eastAsia="仿宋_GB2312" w:cs="仿宋_GB2312"/>
          <w:snapToGrid w:val="0"/>
          <w:sz w:val="24"/>
          <w:szCs w:val="24"/>
          <w:lang w:eastAsia="zh-CN"/>
        </w:rPr>
        <w:t>科</w:t>
      </w:r>
      <w:r>
        <w:rPr>
          <w:rFonts w:hint="eastAsia" w:ascii="仿宋_GB2312" w:hAnsi="仿宋" w:eastAsia="仿宋_GB2312" w:cs="仿宋_GB2312"/>
          <w:snapToGrid w:val="0"/>
          <w:sz w:val="24"/>
          <w:szCs w:val="24"/>
        </w:rPr>
        <w:t>）；送达时间以签收人签收时间为准（签收人：</w:t>
      </w:r>
      <w:r>
        <w:rPr>
          <w:rFonts w:hint="eastAsia" w:ascii="仿宋_GB2312" w:hAnsi="仿宋" w:eastAsia="仿宋_GB2312" w:cs="仿宋_GB2312"/>
          <w:snapToGrid w:val="0"/>
          <w:sz w:val="24"/>
          <w:szCs w:val="24"/>
          <w:lang w:eastAsia="zh-CN"/>
        </w:rPr>
        <w:t>杨颖</w:t>
      </w:r>
      <w:r>
        <w:rPr>
          <w:rFonts w:hint="eastAsia" w:ascii="仿宋_GB2312" w:hAnsi="仿宋" w:eastAsia="仿宋_GB2312" w:cs="仿宋_GB2312"/>
          <w:snapToGrid w:val="0"/>
          <w:sz w:val="24"/>
          <w:szCs w:val="24"/>
        </w:rPr>
        <w:t>， 联系电话：0571-</w:t>
      </w:r>
      <w:r>
        <w:rPr>
          <w:rFonts w:hint="eastAsia" w:ascii="仿宋_GB2312" w:hAnsi="仿宋" w:eastAsia="仿宋_GB2312" w:cs="仿宋_GB2312"/>
          <w:snapToGrid w:val="0"/>
          <w:sz w:val="24"/>
          <w:szCs w:val="24"/>
          <w:lang w:val="en-US" w:eastAsia="zh-CN"/>
        </w:rPr>
        <w:t>23616011</w:t>
      </w:r>
      <w:r>
        <w:rPr>
          <w:rFonts w:hint="eastAsia" w:ascii="仿宋_GB2312" w:hAnsi="仿宋" w:eastAsia="仿宋_GB2312" w:cs="仿宋_GB2312"/>
          <w:snapToGrid w:val="0"/>
          <w:sz w:val="24"/>
          <w:szCs w:val="24"/>
        </w:rPr>
        <w:t>）。采购机构将拒绝接受逾期送达的备份投标文件。邮寄过程中，电子备份投标文件发生泄露、遗失、损坏或延期送达等情况的，由投标人自行负责。</w:t>
      </w:r>
    </w:p>
    <w:p>
      <w:pPr>
        <w:adjustRightInd w:val="0"/>
        <w:spacing w:line="360" w:lineRule="auto"/>
        <w:ind w:firstLine="361" w:firstLineChars="1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w:t>
      </w:r>
      <w:r>
        <w:rPr>
          <w:rFonts w:hint="eastAsia" w:ascii="仿宋_GB2312" w:hAnsi="仿宋" w:eastAsia="仿宋_GB2312" w:cs="仿宋_GB2312"/>
          <w:sz w:val="24"/>
          <w:szCs w:val="20"/>
        </w:rPr>
        <w:t>▲</w:t>
      </w:r>
      <w:r>
        <w:rPr>
          <w:rFonts w:hint="eastAsia" w:ascii="仿宋_GB2312" w:hAnsi="仿宋" w:eastAsia="仿宋_GB2312" w:cs="仿宋_GB2312"/>
          <w:b/>
          <w:snapToGrid w:val="0"/>
          <w:sz w:val="24"/>
          <w:szCs w:val="24"/>
        </w:rPr>
        <w:t>投标人仅提交备份投标文件，没有在电子交易平台传输递交投标文件的，投标无效。</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pStyle w:val="526"/>
        <w:spacing w:before="0" w:line="360" w:lineRule="auto"/>
        <w:ind w:left="0" w:leftChars="0" w:firstLine="480" w:firstLineChars="200"/>
        <w:contextualSpacing/>
        <w:rPr>
          <w:rFonts w:hint="eastAsia" w:ascii="仿宋_GB2312" w:hAnsi="仿宋_GB2312" w:eastAsia="仿宋_GB2312" w:cs="仿宋_GB2312"/>
        </w:rPr>
      </w:pPr>
      <w:r>
        <w:rPr>
          <w:rFonts w:hint="eastAsia" w:ascii="仿宋_GB2312" w:hAnsi="仿宋_GB2312" w:eastAsia="仿宋_GB2312" w:cs="仿宋_GB2312"/>
          <w:b w:val="0"/>
          <w:bCs w:val="0"/>
          <w:sz w:val="24"/>
          <w:szCs w:val="22"/>
          <w:lang w:val="en-US" w:eastAsia="zh-CN"/>
        </w:rPr>
        <w:t>18.4开标记录开启后，请将附件2《政府采购活动现场确认声明书》填写完整发送至邮箱：649656585@qq.com。</w:t>
      </w:r>
    </w:p>
    <w:p>
      <w:pPr>
        <w:widowControl/>
        <w:adjustRightInd w:val="0"/>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_GB2312" w:eastAsia="仿宋_GB2312" w:cs="仿宋_GB2312"/>
          <w:kern w:val="0"/>
          <w:sz w:val="24"/>
          <w:szCs w:val="24"/>
        </w:rPr>
        <w:t>19.1开标后，采购人或采购机构将依</w:t>
      </w:r>
      <w:r>
        <w:rPr>
          <w:rFonts w:hint="eastAsia" w:ascii="仿宋_GB2312" w:hAnsi="仿宋" w:eastAsia="仿宋_GB2312" w:cs="Arial"/>
          <w:kern w:val="0"/>
          <w:sz w:val="24"/>
          <w:szCs w:val="24"/>
        </w:rPr>
        <w:t>法对投标人的资格进行审查。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Arial"/>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widowControl/>
        <w:shd w:val="clear" w:color="auto" w:fill="FFFFFF"/>
        <w:adjustRightInd w:val="0"/>
        <w:spacing w:line="360" w:lineRule="auto"/>
        <w:ind w:firstLine="480"/>
        <w:jc w:val="left"/>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ascii="仿宋_GB2312" w:hAnsi="仿宋" w:eastAsia="仿宋_GB2312" w:cs="仿宋_GB2312"/>
          <w:sz w:val="24"/>
        </w:rPr>
        <w:t>25.5采购合同由采购人与中标供应商根据</w:t>
      </w:r>
      <w:r>
        <w:rPr>
          <w:rFonts w:hint="eastAsia" w:ascii="仿宋_GB2312" w:hAnsi="仿宋" w:eastAsia="仿宋_GB2312" w:cs="仿宋_GB2312"/>
          <w:sz w:val="24"/>
        </w:rPr>
        <w:t>招标文件、投标文件等内容通过政府采购电子交易平台在线签订，自动备案。</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tabs>
          <w:tab w:val="left" w:pos="0"/>
        </w:tabs>
        <w:adjustRightInd w:val="0"/>
        <w:spacing w:line="360" w:lineRule="auto"/>
        <w:ind w:firstLine="480"/>
        <w:rPr>
          <w:rFonts w:ascii="仿宋_GB2312" w:hAnsi="仿宋" w:eastAsia="仿宋_GB2312" w:cs="Times New Roman"/>
          <w:sz w:val="24"/>
          <w:szCs w:val="24"/>
        </w:rPr>
      </w:pPr>
      <w:r>
        <w:rPr>
          <w:rFonts w:hint="eastAsia" w:ascii="仿宋_GB2312" w:hAnsi="仿宋" w:eastAsia="仿宋_GB2312" w:cs="Helvetica"/>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sz w:val="24"/>
          <w:szCs w:val="24"/>
        </w:rPr>
        <w:t>。履约保证金的数额不得超过政府采购合同金额的5%。</w:t>
      </w:r>
      <w:r>
        <w:rPr>
          <w:rFonts w:hint="eastAsia" w:ascii="仿宋_GB2312" w:hAnsi="仿宋" w:eastAsia="仿宋_GB2312" w:cs="Times New Roman"/>
          <w:b/>
          <w:sz w:val="24"/>
          <w:szCs w:val="24"/>
        </w:rPr>
        <w:t>采购人不得拒收履约保函。</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75236290"/>
      <w:bookmarkEnd w:id="10"/>
      <w:bookmarkStart w:id="11" w:name="_Hlt75236011"/>
      <w:bookmarkEnd w:id="11"/>
      <w:bookmarkStart w:id="12" w:name="_Hlt74707468"/>
      <w:bookmarkEnd w:id="12"/>
      <w:bookmarkStart w:id="13" w:name="_Hlt74729768"/>
      <w:bookmarkEnd w:id="13"/>
      <w:bookmarkStart w:id="14" w:name="_Hlt68403820"/>
      <w:bookmarkEnd w:id="14"/>
      <w:bookmarkStart w:id="15" w:name="_Hlt68057669"/>
      <w:bookmarkEnd w:id="15"/>
      <w:bookmarkStart w:id="16" w:name="_Hlt68073093"/>
      <w:bookmarkEnd w:id="16"/>
      <w:bookmarkStart w:id="17" w:name="_Hlt74730295"/>
      <w:bookmarkEnd w:id="17"/>
      <w:bookmarkStart w:id="18" w:name="_Hlt74714665"/>
      <w:bookmarkEnd w:id="18"/>
      <w:bookmarkStart w:id="19" w:name="_Hlt75236101"/>
      <w:bookmarkEnd w:id="19"/>
      <w:bookmarkStart w:id="20" w:name="_Hlt68072990"/>
      <w:bookmarkEnd w:id="20"/>
      <w:bookmarkStart w:id="21" w:name="_Hlt68072998"/>
      <w:bookmarkEnd w:id="21"/>
      <w:bookmarkStart w:id="22" w:name="_Toc164416483"/>
      <w:bookmarkStart w:id="23" w:name="第三部分"/>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rPr>
      </w:pPr>
      <w:r>
        <w:rPr>
          <w:rFonts w:hint="eastAsia" w:ascii="仿宋_GB2312" w:hAnsi="仿宋_GB2312" w:eastAsia="仿宋_GB2312" w:cs="仿宋_GB2312"/>
          <w:sz w:val="24"/>
        </w:rPr>
        <w:t>属于实质性要求条款的，已用符号“▲”标明，否则属于非实质性要求。</w:t>
      </w:r>
    </w:p>
    <w:p>
      <w:pPr>
        <w:pStyle w:val="2"/>
        <w:pageBreakBefore w:val="0"/>
        <w:numPr>
          <w:ilvl w:val="0"/>
          <w:numId w:val="9"/>
        </w:numPr>
        <w:kinsoku/>
        <w:wordWrap/>
        <w:overflowPunct/>
        <w:bidi w:val="0"/>
        <w:spacing w:before="120" w:after="120" w:line="400" w:lineRule="exact"/>
        <w:textAlignment w:val="auto"/>
        <w:rPr>
          <w:rFonts w:hint="eastAsia" w:ascii="仿宋_GB2312" w:hAnsi="仿宋_GB2312" w:eastAsia="仿宋_GB2312" w:cs="仿宋_GB2312"/>
          <w:color w:val="auto"/>
          <w:sz w:val="32"/>
          <w:szCs w:val="32"/>
          <w:highlight w:val="none"/>
          <w:shd w:val="clear" w:color="auto" w:fill="auto"/>
          <w:lang w:eastAsia="zh-CN"/>
        </w:rPr>
      </w:pPr>
      <w:bookmarkStart w:id="25" w:name="_Toc418846105"/>
      <w:bookmarkStart w:id="26" w:name="_Toc28332"/>
      <w:bookmarkStart w:id="27" w:name="_Toc22609"/>
      <w:bookmarkStart w:id="28" w:name="_Toc30857"/>
      <w:bookmarkStart w:id="29" w:name="_Toc203558307"/>
      <w:bookmarkStart w:id="30" w:name="_Toc306304665"/>
      <w:bookmarkStart w:id="31" w:name="_Toc194983818"/>
      <w:bookmarkStart w:id="32" w:name="_Toc12471"/>
      <w:r>
        <w:rPr>
          <w:rFonts w:hint="eastAsia" w:ascii="仿宋_GB2312" w:hAnsi="仿宋_GB2312" w:eastAsia="仿宋_GB2312" w:cs="仿宋_GB2312"/>
          <w:color w:val="auto"/>
          <w:sz w:val="32"/>
          <w:szCs w:val="32"/>
          <w:highlight w:val="none"/>
          <w:shd w:val="clear" w:color="auto" w:fill="auto"/>
          <w:lang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2018年，我局为推进移动执法、移动指挥信息化建设，进一步提升日常执勤的办公效率，解决移动指挥和移动执法难题，充分应用信息化手段加强日常执法、和指挥决策能力，增强执勤民警在日常执勤执法时间的通信保障，我局</w:t>
      </w:r>
      <w:r>
        <w:rPr>
          <w:rFonts w:hint="eastAsia" w:ascii="仿宋_GB2312" w:hAnsi="仿宋_GB2312" w:eastAsia="仿宋_GB2312" w:cs="仿宋_GB2312"/>
          <w:sz w:val="24"/>
          <w:szCs w:val="24"/>
          <w:highlight w:val="none"/>
          <w:lang w:eastAsia="zh-CN"/>
        </w:rPr>
        <w:t>租赁</w:t>
      </w:r>
      <w:r>
        <w:rPr>
          <w:rFonts w:hint="eastAsia" w:ascii="仿宋_GB2312" w:hAnsi="仿宋_GB2312" w:eastAsia="仿宋_GB2312" w:cs="仿宋_GB2312"/>
          <w:sz w:val="24"/>
          <w:szCs w:val="24"/>
          <w:highlight w:val="none"/>
        </w:rPr>
        <w:t>了510套**通终端及通信套餐，并充分考虑到临安区大部分区域为山区地形以及运营商信号覆盖情况，有实力强大的运营商予以落实。并在网信安全上确保**工作的顺利开展，**通给我局日常管理、执法工作效率提升带来了极大的帮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由于</w:t>
      </w:r>
      <w:r>
        <w:rPr>
          <w:rFonts w:hint="eastAsia" w:ascii="仿宋_GB2312" w:hAnsi="仿宋_GB2312" w:eastAsia="仿宋_GB2312" w:cs="仿宋_GB2312"/>
          <w:sz w:val="24"/>
          <w:szCs w:val="24"/>
          <w:highlight w:val="none"/>
          <w:lang w:val="en-US" w:eastAsia="zh-CN"/>
        </w:rPr>
        <w:t>2018年租赁合同已到期，且</w:t>
      </w:r>
      <w:r>
        <w:rPr>
          <w:rFonts w:hint="eastAsia" w:ascii="仿宋_GB2312" w:hAnsi="仿宋_GB2312" w:eastAsia="仿宋_GB2312" w:cs="仿宋_GB2312"/>
          <w:sz w:val="24"/>
          <w:szCs w:val="24"/>
          <w:highlight w:val="none"/>
        </w:rPr>
        <w:t>**通终端经过两年的使用也面临故障增多、技术参数落后等问题，需要进行更新换代。为推进移动执法、移动指挥信息化建设，进一步提升日常执勤的办公效率，解决移动指挥和移动执法难题，充分应用信息化手段加强日常执法、和指挥决策能力，增强执勤民警在日常执勤执法时间的通信保障，经过充分研究，结合公安的实际需求，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eastAsia="zh-CN"/>
        </w:rPr>
        <w:t>度将租赁</w:t>
      </w:r>
      <w:r>
        <w:rPr>
          <w:rFonts w:hint="eastAsia" w:ascii="仿宋_GB2312" w:hAnsi="仿宋_GB2312" w:eastAsia="仿宋_GB2312" w:cs="仿宋_GB2312"/>
          <w:sz w:val="24"/>
          <w:szCs w:val="24"/>
          <w:highlight w:val="none"/>
        </w:rPr>
        <w:t>520套**通终端及通信套餐。</w:t>
      </w:r>
    </w:p>
    <w:p>
      <w:pPr>
        <w:pStyle w:val="2"/>
        <w:pageBreakBefore w:val="0"/>
        <w:numPr>
          <w:ilvl w:val="0"/>
          <w:numId w:val="9"/>
        </w:numPr>
        <w:kinsoku/>
        <w:wordWrap/>
        <w:overflowPunct/>
        <w:bidi w:val="0"/>
        <w:spacing w:before="120" w:after="120" w:line="40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建设内容</w:t>
      </w:r>
    </w:p>
    <w:p>
      <w:pPr>
        <w:pStyle w:val="23"/>
        <w:pageBreakBefore w:val="0"/>
        <w:numPr>
          <w:ilvl w:val="0"/>
          <w:numId w:val="0"/>
        </w:numPr>
        <w:kinsoku/>
        <w:wordWrap/>
        <w:overflowPunct/>
        <w:bidi w:val="0"/>
        <w:adjustRightInd w:val="0"/>
        <w:snapToGrid w:val="0"/>
        <w:spacing w:after="0" w:line="400" w:lineRule="exact"/>
        <w:ind w:leftChars="0"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本次项目主要是租赁520套**通终端及通信套餐，租赁期</w:t>
      </w:r>
      <w:r>
        <w:rPr>
          <w:rFonts w:hint="eastAsia" w:ascii="仿宋_GB2312" w:hAnsi="仿宋_GB2312" w:eastAsia="仿宋_GB2312" w:cs="仿宋_GB2312"/>
          <w:b w:val="0"/>
          <w:bCs w:val="0"/>
          <w:color w:val="auto"/>
          <w:sz w:val="24"/>
          <w:szCs w:val="24"/>
          <w:highlight w:val="none"/>
          <w:shd w:val="clear" w:color="auto" w:fill="auto"/>
          <w:lang w:val="en-US" w:eastAsia="zh-CN"/>
        </w:rPr>
        <w:t>3年</w:t>
      </w:r>
      <w:r>
        <w:rPr>
          <w:rFonts w:hint="eastAsia" w:ascii="仿宋_GB2312" w:hAnsi="仿宋_GB2312" w:eastAsia="仿宋_GB2312" w:cs="仿宋_GB2312"/>
          <w:b w:val="0"/>
          <w:bCs w:val="0"/>
          <w:color w:val="auto"/>
          <w:sz w:val="24"/>
          <w:szCs w:val="24"/>
          <w:highlight w:val="none"/>
          <w:shd w:val="clear" w:color="auto" w:fill="auto"/>
          <w:lang w:eastAsia="zh-CN"/>
        </w:rPr>
        <w:t>，具体内容如下：</w:t>
      </w:r>
    </w:p>
    <w:p>
      <w:pPr>
        <w:pStyle w:val="23"/>
        <w:pageBreakBefore w:val="0"/>
        <w:numPr>
          <w:ilvl w:val="0"/>
          <w:numId w:val="0"/>
        </w:numPr>
        <w:kinsoku/>
        <w:wordWrap/>
        <w:overflowPunct/>
        <w:bidi w:val="0"/>
        <w:adjustRightInd w:val="0"/>
        <w:snapToGrid w:val="0"/>
        <w:spacing w:after="0" w:line="400" w:lineRule="exact"/>
        <w:ind w:leftChars="0"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1.租赁520台**通终端，要求需带PMOS-H**双系统。</w:t>
      </w:r>
    </w:p>
    <w:p>
      <w:pPr>
        <w:pStyle w:val="23"/>
        <w:pageBreakBefore w:val="0"/>
        <w:numPr>
          <w:ilvl w:val="0"/>
          <w:numId w:val="0"/>
        </w:numPr>
        <w:kinsoku/>
        <w:wordWrap/>
        <w:overflowPunct/>
        <w:bidi w:val="0"/>
        <w:adjustRightInd w:val="0"/>
        <w:snapToGrid w:val="0"/>
        <w:spacing w:after="0" w:line="400" w:lineRule="exact"/>
        <w:ind w:leftChars="0"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2.随着业务量和各类应用的增加，原通信套餐内容已经无法满足实际需求，建议将套餐升级为运营商最新的5G流量套餐。</w:t>
      </w:r>
    </w:p>
    <w:p>
      <w:pPr>
        <w:pStyle w:val="23"/>
        <w:pageBreakBefore w:val="0"/>
        <w:numPr>
          <w:ilvl w:val="0"/>
          <w:numId w:val="0"/>
        </w:numPr>
        <w:kinsoku/>
        <w:wordWrap/>
        <w:overflowPunct/>
        <w:bidi w:val="0"/>
        <w:adjustRightInd w:val="0"/>
        <w:snapToGrid w:val="0"/>
        <w:spacing w:after="0" w:line="400" w:lineRule="exact"/>
        <w:ind w:leftChars="0"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▲3.网络架构保持不变，要求运营商的4G/5G专网链路要求能独立提供专用VPDN加密链路接入浙江云上公安平台。</w:t>
      </w:r>
    </w:p>
    <w:p>
      <w:pPr>
        <w:pStyle w:val="23"/>
        <w:pageBreakBefore w:val="0"/>
        <w:numPr>
          <w:ilvl w:val="0"/>
          <w:numId w:val="0"/>
        </w:numPr>
        <w:kinsoku/>
        <w:wordWrap/>
        <w:overflowPunct/>
        <w:bidi w:val="0"/>
        <w:adjustRightInd w:val="0"/>
        <w:snapToGrid w:val="0"/>
        <w:spacing w:after="0" w:line="400" w:lineRule="exact"/>
        <w:ind w:leftChars="0"/>
        <w:textAlignment w:val="auto"/>
        <w:outlineLvl w:val="2"/>
        <w:rPr>
          <w:rFonts w:hint="eastAsia" w:ascii="仿宋_GB2312" w:hAnsi="仿宋_GB2312" w:eastAsia="仿宋_GB2312" w:cs="仿宋_GB2312"/>
          <w:b w:val="0"/>
          <w:bCs w:val="0"/>
          <w:color w:val="auto"/>
          <w:sz w:val="24"/>
          <w:szCs w:val="24"/>
          <w:highlight w:val="none"/>
          <w:shd w:val="clear" w:color="auto" w:fill="auto"/>
        </w:rPr>
      </w:pPr>
    </w:p>
    <w:p>
      <w:pPr>
        <w:pageBreakBefore w:val="0"/>
        <w:kinsoku/>
        <w:wordWrap/>
        <w:overflowPunct/>
        <w:bidi w:val="0"/>
        <w:spacing w:line="400" w:lineRule="exact"/>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br w:type="page"/>
      </w:r>
    </w:p>
    <w:p>
      <w:pPr>
        <w:pStyle w:val="2"/>
        <w:pageBreakBefore w:val="0"/>
        <w:numPr>
          <w:ilvl w:val="0"/>
          <w:numId w:val="9"/>
        </w:numPr>
        <w:kinsoku/>
        <w:wordWrap/>
        <w:overflowPunct/>
        <w:bidi w:val="0"/>
        <w:spacing w:before="120" w:after="120" w:line="400" w:lineRule="exac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color w:val="auto"/>
          <w:sz w:val="32"/>
          <w:szCs w:val="32"/>
          <w:highlight w:val="none"/>
          <w:shd w:val="clear" w:color="auto" w:fill="auto"/>
          <w:lang w:eastAsia="zh-CN"/>
        </w:rPr>
        <w:t>项目</w:t>
      </w:r>
      <w:bookmarkEnd w:id="25"/>
      <w:bookmarkEnd w:id="26"/>
      <w:bookmarkEnd w:id="27"/>
      <w:bookmarkEnd w:id="28"/>
      <w:r>
        <w:rPr>
          <w:rFonts w:hint="eastAsia" w:hAnsi="仿宋_GB2312" w:cs="仿宋_GB2312"/>
          <w:color w:val="auto"/>
          <w:sz w:val="32"/>
          <w:szCs w:val="32"/>
          <w:highlight w:val="none"/>
          <w:shd w:val="clear" w:color="auto" w:fill="auto"/>
          <w:lang w:eastAsia="zh-CN"/>
        </w:rPr>
        <w:t>清单</w:t>
      </w:r>
    </w:p>
    <w:p>
      <w:pPr>
        <w:pageBreakBefore w:val="0"/>
        <w:tabs>
          <w:tab w:val="left" w:pos="0"/>
        </w:tabs>
        <w:kinsoku/>
        <w:wordWrap/>
        <w:overflowPunct/>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bookmarkStart w:id="33" w:name="_Toc418846106"/>
      <w:r>
        <w:rPr>
          <w:rFonts w:hint="eastAsia" w:ascii="仿宋_GB2312" w:hAnsi="仿宋_GB2312" w:eastAsia="仿宋_GB2312" w:cs="仿宋_GB2312"/>
          <w:color w:val="auto"/>
          <w:sz w:val="24"/>
          <w:szCs w:val="24"/>
          <w:highlight w:val="none"/>
          <w:shd w:val="clear" w:color="auto" w:fill="auto"/>
        </w:rPr>
        <w:t>采购</w:t>
      </w:r>
      <w:r>
        <w:rPr>
          <w:rFonts w:hint="eastAsia" w:ascii="仿宋_GB2312" w:hAnsi="仿宋_GB2312" w:eastAsia="仿宋_GB2312" w:cs="仿宋_GB2312"/>
          <w:color w:val="auto"/>
          <w:sz w:val="24"/>
          <w:szCs w:val="24"/>
          <w:highlight w:val="none"/>
          <w:shd w:val="clear" w:color="auto" w:fill="auto"/>
          <w:lang w:val="en-US" w:eastAsia="zh-CN"/>
        </w:rPr>
        <w:t>内容（终端+流量）</w:t>
      </w:r>
      <w:r>
        <w:rPr>
          <w:rFonts w:hint="eastAsia" w:ascii="仿宋_GB2312" w:hAnsi="仿宋_GB2312" w:eastAsia="仿宋_GB2312" w:cs="仿宋_GB2312"/>
          <w:color w:val="auto"/>
          <w:sz w:val="24"/>
          <w:szCs w:val="24"/>
          <w:highlight w:val="none"/>
          <w:shd w:val="clear" w:color="auto" w:fill="auto"/>
        </w:rPr>
        <w:t>：</w:t>
      </w:r>
    </w:p>
    <w:bookmarkEnd w:id="33"/>
    <w:tbl>
      <w:tblPr>
        <w:tblStyle w:val="62"/>
        <w:tblW w:w="5320" w:type="pct"/>
        <w:tblInd w:w="0" w:type="dxa"/>
        <w:tblLayout w:type="fixed"/>
        <w:tblCellMar>
          <w:top w:w="0" w:type="dxa"/>
          <w:left w:w="108" w:type="dxa"/>
          <w:bottom w:w="0" w:type="dxa"/>
          <w:right w:w="108" w:type="dxa"/>
        </w:tblCellMar>
      </w:tblPr>
      <w:tblGrid>
        <w:gridCol w:w="693"/>
        <w:gridCol w:w="2778"/>
        <w:gridCol w:w="3195"/>
        <w:gridCol w:w="854"/>
        <w:gridCol w:w="981"/>
        <w:gridCol w:w="1380"/>
      </w:tblGrid>
      <w:tr>
        <w:tblPrEx>
          <w:tblCellMar>
            <w:top w:w="0" w:type="dxa"/>
            <w:left w:w="108" w:type="dxa"/>
            <w:bottom w:w="0" w:type="dxa"/>
            <w:right w:w="108" w:type="dxa"/>
          </w:tblCellMar>
        </w:tblPrEx>
        <w:trPr>
          <w:trHeight w:val="270" w:hRule="atLeast"/>
        </w:trPr>
        <w:tc>
          <w:tcPr>
            <w:tcW w:w="35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序号</w:t>
            </w:r>
          </w:p>
        </w:tc>
        <w:tc>
          <w:tcPr>
            <w:tcW w:w="1405"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名称</w:t>
            </w:r>
          </w:p>
        </w:tc>
        <w:tc>
          <w:tcPr>
            <w:tcW w:w="1617"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内容</w:t>
            </w:r>
          </w:p>
        </w:tc>
        <w:tc>
          <w:tcPr>
            <w:tcW w:w="432"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单位</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数量</w:t>
            </w:r>
          </w:p>
        </w:tc>
        <w:tc>
          <w:tcPr>
            <w:tcW w:w="697"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lang w:eastAsia="zh-CN"/>
              </w:rPr>
            </w:pPr>
            <w:r>
              <w:rPr>
                <w:rFonts w:hint="eastAsia" w:ascii="仿宋_GB2312" w:hAnsi="仿宋_GB2312" w:eastAsia="仿宋_GB2312" w:cs="仿宋_GB2312"/>
                <w:b/>
                <w:bCs/>
                <w:color w:val="000000"/>
                <w:kern w:val="0"/>
                <w:sz w:val="22"/>
                <w:highlight w:val="none"/>
                <w:lang w:eastAsia="zh-CN"/>
              </w:rPr>
              <w:t>租赁期限</w:t>
            </w:r>
          </w:p>
        </w:tc>
      </w:tr>
      <w:tr>
        <w:tblPrEx>
          <w:tblCellMar>
            <w:top w:w="0" w:type="dxa"/>
            <w:left w:w="108" w:type="dxa"/>
            <w:bottom w:w="0" w:type="dxa"/>
            <w:right w:w="108" w:type="dxa"/>
          </w:tblCellMar>
        </w:tblPrEx>
        <w:trPr>
          <w:trHeight w:val="662"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140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**通终端</w:t>
            </w:r>
          </w:p>
        </w:tc>
        <w:tc>
          <w:tcPr>
            <w:tcW w:w="1617"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带PMOS-H 系统、</w:t>
            </w:r>
            <w:r>
              <w:rPr>
                <w:rFonts w:hint="eastAsia" w:ascii="仿宋_GB2312" w:hAnsi="仿宋_GB2312" w:eastAsia="仿宋_GB2312" w:cs="仿宋_GB2312"/>
                <w:kern w:val="0"/>
                <w:sz w:val="24"/>
                <w:szCs w:val="24"/>
                <w:highlight w:val="none"/>
                <w:lang w:val="en-US" w:eastAsia="zh-CN" w:bidi="ar-SA"/>
              </w:rPr>
              <w:t>≧</w:t>
            </w:r>
            <w:r>
              <w:rPr>
                <w:rFonts w:hint="eastAsia" w:ascii="仿宋_GB2312" w:hAnsi="仿宋_GB2312" w:eastAsia="仿宋_GB2312" w:cs="仿宋_GB2312"/>
                <w:color w:val="000000"/>
                <w:kern w:val="0"/>
                <w:sz w:val="22"/>
                <w:highlight w:val="none"/>
              </w:rPr>
              <w:t>8GB RAM + 128GB、全网通</w:t>
            </w:r>
          </w:p>
        </w:tc>
        <w:tc>
          <w:tcPr>
            <w:tcW w:w="432"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台</w:t>
            </w:r>
          </w:p>
        </w:tc>
        <w:tc>
          <w:tcPr>
            <w:tcW w:w="496"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520</w:t>
            </w:r>
          </w:p>
        </w:tc>
        <w:tc>
          <w:tcPr>
            <w:tcW w:w="697"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lang w:val="en-US" w:eastAsia="zh-CN"/>
              </w:rPr>
            </w:pPr>
            <w:r>
              <w:rPr>
                <w:rFonts w:hint="eastAsia" w:ascii="仿宋_GB2312" w:hAnsi="仿宋_GB2312" w:eastAsia="仿宋_GB2312" w:cs="仿宋_GB2312"/>
                <w:color w:val="000000"/>
                <w:kern w:val="0"/>
                <w:sz w:val="22"/>
                <w:highlight w:val="none"/>
                <w:lang w:val="en-US" w:eastAsia="zh-CN"/>
              </w:rPr>
              <w:t>36个月</w:t>
            </w:r>
          </w:p>
        </w:tc>
      </w:tr>
      <w:tr>
        <w:tblPrEx>
          <w:tblCellMar>
            <w:top w:w="0" w:type="dxa"/>
            <w:left w:w="108" w:type="dxa"/>
            <w:bottom w:w="0" w:type="dxa"/>
            <w:right w:w="108" w:type="dxa"/>
          </w:tblCellMar>
        </w:tblPrEx>
        <w:trPr>
          <w:trHeight w:val="536"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2</w:t>
            </w:r>
          </w:p>
        </w:tc>
        <w:tc>
          <w:tcPr>
            <w:tcW w:w="140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终端证书管理+硬加密+政法一体化认证安全管理平台接入</w:t>
            </w:r>
          </w:p>
        </w:tc>
        <w:tc>
          <w:tcPr>
            <w:tcW w:w="1617"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加密方式：inse</w:t>
            </w:r>
          </w:p>
        </w:tc>
        <w:tc>
          <w:tcPr>
            <w:tcW w:w="432"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张</w:t>
            </w:r>
          </w:p>
        </w:tc>
        <w:tc>
          <w:tcPr>
            <w:tcW w:w="496"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520</w:t>
            </w:r>
          </w:p>
        </w:tc>
        <w:tc>
          <w:tcPr>
            <w:tcW w:w="697"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lang w:val="en-US" w:eastAsia="zh-CN"/>
              </w:rPr>
              <w:t>36个月</w:t>
            </w:r>
          </w:p>
        </w:tc>
      </w:tr>
    </w:tbl>
    <w:p>
      <w:pPr>
        <w:pStyle w:val="23"/>
        <w:pageBreakBefore w:val="0"/>
        <w:kinsoku/>
        <w:wordWrap/>
        <w:overflowPunct/>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highlight w:val="none"/>
          <w:shd w:val="clear" w:color="auto" w:fill="auto"/>
        </w:rPr>
      </w:pPr>
    </w:p>
    <w:tbl>
      <w:tblPr>
        <w:tblStyle w:val="62"/>
        <w:tblW w:w="5320" w:type="pct"/>
        <w:tblInd w:w="0" w:type="dxa"/>
        <w:tblLayout w:type="fixed"/>
        <w:tblCellMar>
          <w:top w:w="0" w:type="dxa"/>
          <w:left w:w="108" w:type="dxa"/>
          <w:bottom w:w="0" w:type="dxa"/>
          <w:right w:w="108" w:type="dxa"/>
        </w:tblCellMar>
      </w:tblPr>
      <w:tblGrid>
        <w:gridCol w:w="717"/>
        <w:gridCol w:w="2772"/>
        <w:gridCol w:w="3161"/>
        <w:gridCol w:w="870"/>
        <w:gridCol w:w="944"/>
        <w:gridCol w:w="1417"/>
      </w:tblGrid>
      <w:tr>
        <w:tblPrEx>
          <w:tblCellMar>
            <w:top w:w="0" w:type="dxa"/>
            <w:left w:w="108" w:type="dxa"/>
            <w:bottom w:w="0" w:type="dxa"/>
            <w:right w:w="108" w:type="dxa"/>
          </w:tblCellMar>
        </w:tblPrEx>
        <w:trPr>
          <w:trHeight w:val="270" w:hRule="atLeast"/>
        </w:trPr>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序号</w:t>
            </w:r>
          </w:p>
        </w:tc>
        <w:tc>
          <w:tcPr>
            <w:tcW w:w="1403"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名称</w:t>
            </w:r>
          </w:p>
        </w:tc>
        <w:tc>
          <w:tcPr>
            <w:tcW w:w="1599"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内容</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单位</w:t>
            </w:r>
          </w:p>
        </w:tc>
        <w:tc>
          <w:tcPr>
            <w:tcW w:w="477"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数量</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lang w:eastAsia="zh-CN"/>
              </w:rPr>
              <w:t>租赁期限</w:t>
            </w:r>
          </w:p>
        </w:tc>
      </w:tr>
      <w:tr>
        <w:tblPrEx>
          <w:tblCellMar>
            <w:top w:w="0" w:type="dxa"/>
            <w:left w:w="108" w:type="dxa"/>
            <w:bottom w:w="0" w:type="dxa"/>
            <w:right w:w="108" w:type="dxa"/>
          </w:tblCellMar>
        </w:tblPrEx>
        <w:trPr>
          <w:trHeight w:val="1080" w:hRule="atLeast"/>
        </w:trPr>
        <w:tc>
          <w:tcPr>
            <w:tcW w:w="362"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140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通信套餐</w:t>
            </w:r>
          </w:p>
        </w:tc>
        <w:tc>
          <w:tcPr>
            <w:tcW w:w="1599"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bidi w:val="0"/>
              <w:spacing w:line="400" w:lineRule="exact"/>
              <w:ind w:firstLine="0" w:firstLineChars="0"/>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**通终端通信套餐，含流量、语音、短信等。</w:t>
            </w:r>
          </w:p>
        </w:tc>
        <w:tc>
          <w:tcPr>
            <w:tcW w:w="43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lang w:eastAsia="zh-CN"/>
              </w:rPr>
              <w:t>元</w:t>
            </w:r>
            <w:r>
              <w:rPr>
                <w:rFonts w:hint="eastAsia" w:ascii="仿宋_GB2312" w:hAnsi="仿宋_GB2312" w:eastAsia="仿宋_GB2312" w:cs="仿宋_GB2312"/>
                <w:color w:val="000000"/>
                <w:kern w:val="0"/>
                <w:sz w:val="22"/>
                <w:highlight w:val="none"/>
                <w:lang w:val="en-US" w:eastAsia="zh-CN"/>
              </w:rPr>
              <w:t>/</w:t>
            </w:r>
            <w:r>
              <w:rPr>
                <w:rFonts w:hint="eastAsia" w:ascii="仿宋_GB2312" w:hAnsi="仿宋_GB2312" w:eastAsia="仿宋_GB2312" w:cs="仿宋_GB2312"/>
                <w:color w:val="000000"/>
                <w:kern w:val="0"/>
                <w:sz w:val="22"/>
                <w:highlight w:val="none"/>
                <w:lang w:eastAsia="zh-CN"/>
              </w:rPr>
              <w:t>只</w:t>
            </w:r>
            <w:r>
              <w:rPr>
                <w:rFonts w:hint="eastAsia" w:ascii="仿宋_GB2312" w:hAnsi="仿宋_GB2312" w:eastAsia="仿宋_GB2312" w:cs="仿宋_GB2312"/>
                <w:color w:val="000000"/>
                <w:kern w:val="0"/>
                <w:sz w:val="22"/>
                <w:highlight w:val="none"/>
              </w:rPr>
              <w:t>/月</w:t>
            </w:r>
          </w:p>
        </w:tc>
        <w:tc>
          <w:tcPr>
            <w:tcW w:w="477"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520</w:t>
            </w:r>
          </w:p>
        </w:tc>
        <w:tc>
          <w:tcPr>
            <w:tcW w:w="13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bidi w:val="0"/>
              <w:spacing w:line="400" w:lineRule="exact"/>
              <w:ind w:firstLine="0" w:firstLineChars="0"/>
              <w:jc w:val="center"/>
              <w:textAlignment w:val="auto"/>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lang w:val="en-US" w:eastAsia="zh-CN"/>
              </w:rPr>
              <w:t>36个月</w:t>
            </w:r>
          </w:p>
        </w:tc>
      </w:tr>
    </w:tbl>
    <w:p>
      <w:pPr>
        <w:pStyle w:val="23"/>
        <w:pageBreakBefore w:val="0"/>
        <w:kinsoku/>
        <w:wordWrap/>
        <w:overflowPunct/>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highlight w:val="none"/>
          <w:shd w:val="clear" w:color="auto" w:fill="auto"/>
        </w:rPr>
      </w:pPr>
    </w:p>
    <w:p>
      <w:pPr>
        <w:pStyle w:val="2"/>
        <w:pageBreakBefore w:val="0"/>
        <w:numPr>
          <w:ilvl w:val="0"/>
          <w:numId w:val="9"/>
        </w:numPr>
        <w:kinsoku/>
        <w:wordWrap/>
        <w:overflowPunct/>
        <w:bidi w:val="0"/>
        <w:spacing w:before="120" w:after="120" w:line="400" w:lineRule="exact"/>
        <w:textAlignment w:val="auto"/>
        <w:rPr>
          <w:rFonts w:hint="eastAsia" w:ascii="仿宋_GB2312" w:hAnsi="仿宋_GB2312" w:eastAsia="仿宋_GB2312" w:cs="仿宋_GB2312"/>
          <w:color w:val="auto"/>
          <w:sz w:val="32"/>
          <w:szCs w:val="32"/>
          <w:highlight w:val="none"/>
          <w:shd w:val="clear" w:color="auto" w:fill="auto"/>
          <w:lang w:eastAsia="zh-CN"/>
        </w:rPr>
      </w:pPr>
      <w:bookmarkStart w:id="34" w:name="_Toc17635"/>
      <w:bookmarkStart w:id="35" w:name="_Toc16705"/>
      <w:r>
        <w:rPr>
          <w:rFonts w:hint="eastAsia" w:ascii="仿宋_GB2312" w:hAnsi="仿宋_GB2312" w:eastAsia="仿宋_GB2312" w:cs="仿宋_GB2312"/>
          <w:color w:val="auto"/>
          <w:sz w:val="32"/>
          <w:szCs w:val="32"/>
          <w:highlight w:val="none"/>
          <w:shd w:val="clear" w:color="auto" w:fill="auto"/>
          <w:lang w:eastAsia="zh-CN"/>
        </w:rPr>
        <w:t>技术要求</w:t>
      </w:r>
      <w:bookmarkEnd w:id="34"/>
      <w:bookmarkEnd w:id="35"/>
    </w:p>
    <w:p>
      <w:pPr>
        <w:pageBreakBefore w:val="0"/>
        <w:tabs>
          <w:tab w:val="left" w:pos="0"/>
        </w:tabs>
        <w:kinsoku/>
        <w:wordWrap/>
        <w:overflowPunct/>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警用操作系统 PMOS-H(police mobile operating system-H)， 作为公安**通终端的一种安全操作系统，其核心特点包括</w:t>
      </w:r>
    </w:p>
    <w:p>
      <w:pPr>
        <w:pageBreakBefore w:val="0"/>
        <w:numPr>
          <w:ilvl w:val="0"/>
          <w:numId w:val="10"/>
        </w:numPr>
        <w:tabs>
          <w:tab w:val="left" w:pos="0"/>
        </w:tabs>
        <w:kinsoku/>
        <w:wordWrap/>
        <w:overflowPunct/>
        <w:bidi w:val="0"/>
        <w:adjustRightInd w:val="0"/>
        <w:snapToGrid w:val="0"/>
        <w:spacing w:line="400" w:lineRule="exact"/>
        <w:ind w:left="420" w:leftChars="0" w:hanging="420" w:firstLineChars="0"/>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系统级安全防护：从硬件到软件，从底层到应用层安全加固；</w:t>
      </w:r>
    </w:p>
    <w:p>
      <w:pPr>
        <w:pageBreakBefore w:val="0"/>
        <w:numPr>
          <w:ilvl w:val="0"/>
          <w:numId w:val="10"/>
        </w:numPr>
        <w:tabs>
          <w:tab w:val="left" w:pos="0"/>
        </w:tabs>
        <w:kinsoku/>
        <w:wordWrap/>
        <w:overflowPunct/>
        <w:bidi w:val="0"/>
        <w:adjustRightInd w:val="0"/>
        <w:snapToGrid w:val="0"/>
        <w:spacing w:line="400" w:lineRule="exact"/>
        <w:ind w:left="420" w:leftChars="0" w:hanging="420" w:firstLineChars="0"/>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双系统隔离：同时运行两个操作系统并彻底隔离。</w:t>
      </w:r>
    </w:p>
    <w:p>
      <w:pPr>
        <w:pageBreakBefore w:val="0"/>
        <w:tabs>
          <w:tab w:val="left" w:pos="0"/>
        </w:tabs>
        <w:kinsoku/>
        <w:wordWrap/>
        <w:overflowPunct/>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本方案采用手机管家**通终端管理系统（MDM），针对PAD、智能手机等智能移动设备，提供包括硬件、APP应用和文件数据的全方面管控。助力企业移动信息化改革。</w:t>
      </w:r>
    </w:p>
    <w:p>
      <w:pPr>
        <w:pageBreakBefore w:val="0"/>
        <w:tabs>
          <w:tab w:val="left" w:pos="0"/>
        </w:tabs>
        <w:kinsoku/>
        <w:wordWrap/>
        <w:overflowPunct/>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MDM可以支持目前主流的操作系统：iOS；Android；Blackberry；windows Mobile；Symbian；WebOS。</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PMOS-H **通终端的 CPU 中</w:t>
      </w:r>
      <w:r>
        <w:rPr>
          <w:rFonts w:hint="eastAsia" w:ascii="仿宋_GB2312" w:hAnsi="仿宋_GB2312" w:eastAsia="仿宋_GB2312" w:cs="仿宋_GB2312"/>
          <w:b w:val="0"/>
          <w:bCs w:val="0"/>
          <w:color w:val="auto"/>
          <w:sz w:val="24"/>
          <w:szCs w:val="24"/>
          <w:highlight w:val="none"/>
          <w:shd w:val="clear" w:color="auto" w:fill="auto"/>
          <w:lang w:eastAsia="zh-CN"/>
        </w:rPr>
        <w:t>需</w:t>
      </w:r>
      <w:r>
        <w:rPr>
          <w:rFonts w:hint="eastAsia" w:ascii="仿宋_GB2312" w:hAnsi="仿宋_GB2312" w:eastAsia="仿宋_GB2312" w:cs="仿宋_GB2312"/>
          <w:b w:val="0"/>
          <w:bCs w:val="0"/>
          <w:color w:val="auto"/>
          <w:sz w:val="24"/>
          <w:szCs w:val="24"/>
          <w:highlight w:val="none"/>
          <w:shd w:val="clear" w:color="auto" w:fill="auto"/>
        </w:rPr>
        <w:t>内置 inSE 安全芯片，支持SM2/SM3/SM4 算法，可提供**通所需的各项密码功能，有效克服传统密码模块在使用、管理和安全等方面所存在的问题。</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支持硬件加密引擎、指纹识别、安全启动、TrustZone、外设控制、安全存贮、内核监控、安全输入法、资源访问限制、网络反钓鱼、伪基站屏蔽、入侵检测和防护等技术，支持预装加密电话、加密即时通信、移动管理等软件，全面达到防刷机、防破解、防泄密、防窃听、防丢失的目标。</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PMOS-H 双系统采用前台、后台方式同时运行，在切换和管控上</w:t>
      </w:r>
      <w:r>
        <w:rPr>
          <w:rFonts w:hint="eastAsia" w:ascii="仿宋_GB2312" w:hAnsi="仿宋_GB2312" w:eastAsia="仿宋_GB2312" w:cs="仿宋_GB2312"/>
          <w:b w:val="0"/>
          <w:bCs w:val="0"/>
          <w:color w:val="auto"/>
          <w:sz w:val="24"/>
          <w:szCs w:val="24"/>
          <w:highlight w:val="none"/>
          <w:shd w:val="clear" w:color="auto" w:fill="auto"/>
          <w:lang w:eastAsia="zh-CN"/>
        </w:rPr>
        <w:t>需</w:t>
      </w:r>
      <w:r>
        <w:rPr>
          <w:rFonts w:hint="eastAsia" w:ascii="仿宋_GB2312" w:hAnsi="仿宋_GB2312" w:eastAsia="仿宋_GB2312" w:cs="仿宋_GB2312"/>
          <w:b w:val="0"/>
          <w:bCs w:val="0"/>
          <w:color w:val="auto"/>
          <w:sz w:val="24"/>
          <w:szCs w:val="24"/>
          <w:highlight w:val="none"/>
          <w:shd w:val="clear" w:color="auto" w:fill="auto"/>
        </w:rPr>
        <w:t>具备</w:t>
      </w:r>
      <w:r>
        <w:rPr>
          <w:rFonts w:hint="eastAsia" w:ascii="仿宋_GB2312" w:hAnsi="仿宋_GB2312" w:eastAsia="仿宋_GB2312" w:cs="仿宋_GB2312"/>
          <w:b w:val="0"/>
          <w:bCs w:val="0"/>
          <w:color w:val="auto"/>
          <w:sz w:val="24"/>
          <w:szCs w:val="24"/>
          <w:highlight w:val="none"/>
          <w:shd w:val="clear" w:color="auto" w:fill="auto"/>
          <w:lang w:eastAsia="zh-CN"/>
        </w:rPr>
        <w:t>以</w:t>
      </w:r>
      <w:r>
        <w:rPr>
          <w:rFonts w:hint="eastAsia" w:ascii="仿宋_GB2312" w:hAnsi="仿宋_GB2312" w:eastAsia="仿宋_GB2312" w:cs="仿宋_GB2312"/>
          <w:b w:val="0"/>
          <w:bCs w:val="0"/>
          <w:color w:val="auto"/>
          <w:sz w:val="24"/>
          <w:szCs w:val="24"/>
          <w:highlight w:val="none"/>
          <w:shd w:val="clear" w:color="auto" w:fill="auto"/>
        </w:rPr>
        <w:t>下特性：</w:t>
      </w:r>
    </w:p>
    <w:p>
      <w:pPr>
        <w:pStyle w:val="23"/>
        <w:pageBreakBefore w:val="0"/>
        <w:numPr>
          <w:ilvl w:val="0"/>
          <w:numId w:val="11"/>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两个系统一键秒级切换；</w:t>
      </w:r>
    </w:p>
    <w:p>
      <w:pPr>
        <w:pStyle w:val="23"/>
        <w:pageBreakBefore w:val="0"/>
        <w:numPr>
          <w:ilvl w:val="0"/>
          <w:numId w:val="11"/>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两个系统支持不同指纹识别和切换；</w:t>
      </w:r>
    </w:p>
    <w:p>
      <w:pPr>
        <w:pStyle w:val="23"/>
        <w:pageBreakBefore w:val="0"/>
        <w:numPr>
          <w:ilvl w:val="0"/>
          <w:numId w:val="11"/>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两个系统支持通过 NFC 感应切换；</w:t>
      </w:r>
    </w:p>
    <w:p>
      <w:pPr>
        <w:pStyle w:val="23"/>
        <w:pageBreakBefore w:val="0"/>
        <w:numPr>
          <w:ilvl w:val="0"/>
          <w:numId w:val="11"/>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生活区系统可接入互联网并部署**通Ⅰ类应用，安全区系统可接入公安无线信息网/公安信息网，部署**通Ⅱ、Ⅲ类应用；兼顾工作和生活；</w:t>
      </w:r>
    </w:p>
    <w:p>
      <w:pPr>
        <w:pStyle w:val="23"/>
        <w:pageBreakBefore w:val="0"/>
        <w:numPr>
          <w:ilvl w:val="0"/>
          <w:numId w:val="11"/>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两个系统同时在线，前后台运行，前台系统可见后台系统通知栏，但数据不可见，点击通知消息可以自动切换系统进行数据查看；</w:t>
      </w:r>
    </w:p>
    <w:p>
      <w:pPr>
        <w:pageBreakBefore w:val="0"/>
        <w:numPr>
          <w:ilvl w:val="0"/>
          <w:numId w:val="11"/>
        </w:numPr>
        <w:kinsoku/>
        <w:wordWrap/>
        <w:overflowPunct/>
        <w:bidi w:val="0"/>
        <w:spacing w:line="400" w:lineRule="exact"/>
        <w:ind w:left="420" w:leftChars="0" w:hanging="420" w:firstLineChars="0"/>
        <w:textAlignment w:val="auto"/>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rPr>
        <w:t>两个系统分别绑定不同数据通道。</w:t>
      </w:r>
    </w:p>
    <w:p>
      <w:pPr>
        <w:pageBreakBefore w:val="0"/>
        <w:kinsoku/>
        <w:wordWrap/>
        <w:overflowPunct/>
        <w:bidi w:val="0"/>
        <w:spacing w:line="400" w:lineRule="exact"/>
        <w:textAlignment w:val="auto"/>
        <w:rPr>
          <w:rFonts w:hint="eastAsia" w:ascii="仿宋_GB2312" w:hAnsi="仿宋_GB2312" w:eastAsia="仿宋_GB2312" w:cs="仿宋_GB2312"/>
          <w:highlight w:val="none"/>
          <w:lang w:eastAsia="zh-CN"/>
        </w:rPr>
      </w:pPr>
    </w:p>
    <w:p>
      <w:pPr>
        <w:pStyle w:val="23"/>
        <w:pageBreakBefore w:val="0"/>
        <w:numPr>
          <w:ilvl w:val="0"/>
          <w:numId w:val="12"/>
        </w:numPr>
        <w:kinsoku/>
        <w:wordWrap/>
        <w:overflowPunct/>
        <w:bidi w:val="0"/>
        <w:adjustRightInd w:val="0"/>
        <w:snapToGrid w:val="0"/>
        <w:spacing w:after="0" w:line="400" w:lineRule="exact"/>
        <w:ind w:firstLine="482" w:firstLineChars="200"/>
        <w:textAlignment w:val="auto"/>
        <w:outlineLvl w:val="2"/>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sz w:val="24"/>
          <w:szCs w:val="24"/>
          <w:highlight w:val="none"/>
          <w:shd w:val="clear" w:color="auto" w:fill="auto"/>
        </w:rPr>
        <w:t>**通终端参数要求</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2"/>
        <w:gridCol w:w="7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0" w:type="auto"/>
            <w:gridSpan w:val="2"/>
            <w:tcBorders>
              <w:top w:val="single" w:color="000000" w:sz="6" w:space="0"/>
              <w:left w:val="single" w:color="auto" w:sz="6" w:space="0"/>
              <w:bottom w:val="single" w:color="000000" w:sz="6" w:space="0"/>
              <w:right w:val="single" w:color="auto" w:sz="6" w:space="0"/>
              <w:tl2br w:val="nil"/>
              <w:tr2bl w:val="nil"/>
            </w:tcBorders>
            <w:shd w:val="clear" w:color="auto" w:fill="D9D9D9"/>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bCs/>
                <w:snapToGrid w:val="0"/>
                <w:kern w:val="0"/>
                <w:sz w:val="24"/>
                <w:szCs w:val="24"/>
                <w:highlight w:val="none"/>
                <w:lang w:val="en-US" w:eastAsia="zh-CN" w:bidi="ar-SA"/>
              </w:rPr>
            </w:pPr>
            <w:r>
              <w:rPr>
                <w:rFonts w:hint="eastAsia" w:ascii="仿宋_GB2312" w:hAnsi="仿宋_GB2312" w:eastAsia="仿宋_GB2312" w:cs="仿宋_GB2312"/>
                <w:bCs/>
                <w:snapToGrid w:val="0"/>
                <w:kern w:val="0"/>
                <w:sz w:val="24"/>
                <w:szCs w:val="24"/>
                <w:highlight w:val="none"/>
                <w:lang w:val="en-US" w:eastAsia="zh-CN" w:bidi="ar-SA"/>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0" w:type="auto"/>
            <w:tcBorders>
              <w:top w:val="single" w:color="000000" w:sz="6" w:space="0"/>
              <w:left w:val="single" w:color="auto" w:sz="6" w:space="0"/>
              <w:bottom w:val="single" w:color="000000" w:sz="6" w:space="0"/>
              <w:right w:val="single" w:color="000000" w:sz="6" w:space="0"/>
              <w:tl2br w:val="nil"/>
              <w:tr2bl w:val="nil"/>
            </w:tcBorders>
            <w:shd w:val="clear" w:color="auto" w:fill="D9D9D9"/>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bCs/>
                <w:snapToGrid w:val="0"/>
                <w:kern w:val="0"/>
                <w:sz w:val="24"/>
                <w:szCs w:val="24"/>
                <w:highlight w:val="none"/>
                <w:lang w:val="en-US" w:eastAsia="zh-CN" w:bidi="ar-SA"/>
              </w:rPr>
            </w:pPr>
            <w:r>
              <w:rPr>
                <w:rFonts w:hint="eastAsia" w:ascii="仿宋_GB2312" w:hAnsi="仿宋_GB2312" w:eastAsia="仿宋_GB2312" w:cs="仿宋_GB2312"/>
                <w:bCs/>
                <w:snapToGrid w:val="0"/>
                <w:kern w:val="0"/>
                <w:sz w:val="24"/>
                <w:szCs w:val="24"/>
                <w:highlight w:val="none"/>
                <w:lang w:val="en-US" w:eastAsia="zh-CN" w:bidi="ar-SA"/>
              </w:rPr>
              <w:t>项目</w:t>
            </w:r>
          </w:p>
        </w:tc>
        <w:tc>
          <w:tcPr>
            <w:tcW w:w="0" w:type="auto"/>
            <w:tcBorders>
              <w:top w:val="single" w:color="000000" w:sz="6" w:space="0"/>
              <w:left w:val="single" w:color="auto" w:sz="6" w:space="0"/>
              <w:bottom w:val="single" w:color="000000" w:sz="6" w:space="0"/>
              <w:right w:val="single" w:color="auto" w:sz="6" w:space="0"/>
              <w:tl2br w:val="nil"/>
              <w:tr2bl w:val="nil"/>
            </w:tcBorders>
            <w:shd w:val="clear" w:color="auto" w:fill="D9D9D9"/>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bCs/>
                <w:snapToGrid w:val="0"/>
                <w:kern w:val="0"/>
                <w:sz w:val="24"/>
                <w:szCs w:val="24"/>
                <w:highlight w:val="none"/>
                <w:lang w:val="en-US" w:eastAsia="zh-CN" w:bidi="ar-SA"/>
              </w:rPr>
            </w:pPr>
            <w:r>
              <w:rPr>
                <w:rFonts w:hint="eastAsia" w:ascii="仿宋_GB2312" w:hAnsi="仿宋_GB2312" w:eastAsia="仿宋_GB2312" w:cs="仿宋_GB2312"/>
                <w:bCs/>
                <w:snapToGrid w:val="0"/>
                <w:kern w:val="0"/>
                <w:sz w:val="24"/>
                <w:szCs w:val="24"/>
                <w:highlight w:val="none"/>
                <w:lang w:val="en-US" w:eastAsia="zh-CN" w:bidi="ar-SA"/>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外观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240" w:firstLineChars="10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外观设计</w:t>
            </w:r>
          </w:p>
        </w:tc>
        <w:tc>
          <w:tcPr>
            <w:tcW w:w="0" w:type="auto"/>
            <w:tcBorders>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直板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屏幕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显示屏</w:t>
            </w:r>
          </w:p>
        </w:tc>
        <w:tc>
          <w:tcPr>
            <w:tcW w:w="0" w:type="auto"/>
            <w:tcBorders>
              <w:top w:val="single" w:color="000000" w:sz="6" w:space="0"/>
              <w:bottom w:val="single" w:color="000000" w:sz="6" w:space="0"/>
            </w:tcBorders>
            <w:shd w:val="clear" w:color="auto" w:fill="auto"/>
            <w:vAlign w:val="center"/>
          </w:tcPr>
          <w:p>
            <w:pPr>
              <w:pageBreakBefore w:val="0"/>
              <w:widowControl w:val="0"/>
              <w:numPr>
                <w:ilvl w:val="0"/>
                <w:numId w:val="13"/>
              </w:numPr>
              <w:tabs>
                <w:tab w:val="left" w:pos="284"/>
                <w:tab w:val="clear" w:pos="312"/>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屏幕尺寸：≧6.72英寸</w:t>
            </w:r>
          </w:p>
          <w:p>
            <w:pPr>
              <w:pageBreakBefore w:val="0"/>
              <w:widowControl w:val="0"/>
              <w:numPr>
                <w:ilvl w:val="0"/>
                <w:numId w:val="13"/>
              </w:numPr>
              <w:tabs>
                <w:tab w:val="left" w:pos="284"/>
                <w:tab w:val="clear" w:pos="312"/>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分辨率：2676×1236及以上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网络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网络制式</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NR/TD-LTE/FDD LTE /WCDMA/CDMA/GSM，支持中国移动的5G/4G/2G、中国联通的5G/4G/3G/2G、中国电信的5G/4G/3G/2G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存储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存储空间</w:t>
            </w:r>
          </w:p>
        </w:tc>
        <w:tc>
          <w:tcPr>
            <w:tcW w:w="0" w:type="auto"/>
            <w:tcBorders>
              <w:top w:val="single" w:color="000000" w:sz="6" w:space="0"/>
              <w:bottom w:val="single" w:color="000000" w:sz="6" w:space="0"/>
            </w:tcBorders>
            <w:shd w:val="clear" w:color="auto" w:fill="auto"/>
            <w:vAlign w:val="center"/>
          </w:tcPr>
          <w:p>
            <w:pPr>
              <w:pageBreakBefore w:val="0"/>
              <w:widowControl w:val="0"/>
              <w:numPr>
                <w:ilvl w:val="0"/>
                <w:numId w:val="0"/>
              </w:numPr>
              <w:tabs>
                <w:tab w:val="left" w:pos="170"/>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≧8GB RAM +≧128GB ROM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CPU型号</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CPU核数：八核及以上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扩展接口</w:t>
            </w:r>
          </w:p>
        </w:tc>
        <w:tc>
          <w:tcPr>
            <w:tcW w:w="0" w:type="auto"/>
            <w:tcBorders>
              <w:top w:val="single" w:color="000000" w:sz="6" w:space="0"/>
              <w:bottom w:val="single" w:color="000000" w:sz="6" w:space="0"/>
            </w:tcBorders>
            <w:shd w:val="clear" w:color="auto" w:fill="auto"/>
            <w:vAlign w:val="center"/>
          </w:tcPr>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1.耳机接口类型：支持Type-C模拟和数字耳机</w:t>
            </w:r>
          </w:p>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2.耳机接口线序：CTIA标准（Type-C耳机无线序）</w:t>
            </w:r>
          </w:p>
          <w:p>
            <w:pPr>
              <w:pageBreakBefore w:val="0"/>
              <w:widowControl/>
              <w:numPr>
                <w:ilvl w:val="0"/>
                <w:numId w:val="0"/>
              </w:numPr>
              <w:tabs>
                <w:tab w:val="left" w:pos="170"/>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备注：通过Type-C转3.5mm 耳机转接线实现</w:t>
            </w:r>
          </w:p>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3.数据接口：Type-C USB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SIM 卡类型</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支持nano SIM卡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传输功能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GPS</w:t>
            </w:r>
          </w:p>
        </w:tc>
        <w:tc>
          <w:tcPr>
            <w:tcW w:w="0" w:type="auto"/>
            <w:tcBorders>
              <w:top w:val="single" w:color="000000" w:sz="6" w:space="0"/>
              <w:bottom w:val="single" w:color="000000" w:sz="6" w:space="0"/>
            </w:tcBorders>
            <w:shd w:val="clear" w:color="auto" w:fill="auto"/>
            <w:vAlign w:val="center"/>
          </w:tcPr>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支持GPS、支持AGPS、支持Glonass、支持北斗、支持伽利略、支持Q ZSS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WLAN</w:t>
            </w:r>
          </w:p>
        </w:tc>
        <w:tc>
          <w:tcPr>
            <w:tcW w:w="0" w:type="auto"/>
            <w:tcBorders>
              <w:top w:val="single" w:color="000000" w:sz="6" w:space="0"/>
              <w:bottom w:val="single" w:color="000000" w:sz="6" w:space="0"/>
            </w:tcBorders>
            <w:shd w:val="clear" w:color="auto" w:fill="auto"/>
            <w:vAlign w:val="center"/>
          </w:tcPr>
          <w:p>
            <w:pPr>
              <w:pageBreakBefore w:val="0"/>
              <w:widowControl w:val="0"/>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支持2.4G、支持5G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USB</w:t>
            </w:r>
          </w:p>
        </w:tc>
        <w:tc>
          <w:tcPr>
            <w:tcW w:w="0" w:type="auto"/>
            <w:tcBorders>
              <w:top w:val="single" w:color="000000" w:sz="6" w:space="0"/>
              <w:bottom w:val="single" w:color="000000" w:sz="6" w:space="0"/>
            </w:tcBorders>
            <w:shd w:val="clear" w:color="auto" w:fill="auto"/>
            <w:vAlign w:val="center"/>
          </w:tcPr>
          <w:p>
            <w:pPr>
              <w:pageBreakBefore w:val="0"/>
              <w:widowControl w:val="0"/>
              <w:numPr>
                <w:ilvl w:val="0"/>
                <w:numId w:val="0"/>
              </w:numPr>
              <w:tabs>
                <w:tab w:val="left" w:pos="170"/>
                <w:tab w:val="left" w:pos="284"/>
              </w:tabs>
              <w:kinsoku/>
              <w:wordWrap/>
              <w:overflowPunct/>
              <w:topLinePunct/>
              <w:bidi w:val="0"/>
              <w:adjustRightInd w:val="0"/>
              <w:snapToGrid w:val="0"/>
              <w:spacing w:before="80" w:after="80" w:line="400" w:lineRule="exact"/>
              <w:ind w:left="284" w:hanging="284" w:firstLineChars="0"/>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支持USB 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蓝牙</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支持蓝牙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NFC</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支持读卡器模式、点对点模式、卡模拟模式（钱包支付，SIM 卡支付*，HCE支付）。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gridSpan w:val="2"/>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摄像头</w:t>
            </w:r>
          </w:p>
        </w:tc>
        <w:tc>
          <w:tcPr>
            <w:tcW w:w="0" w:type="auto"/>
            <w:tcBorders>
              <w:top w:val="single" w:color="000000" w:sz="6" w:space="0"/>
              <w:bottom w:val="single" w:color="000000" w:sz="6" w:space="0"/>
            </w:tcBorders>
            <w:shd w:val="clear" w:color="auto" w:fill="auto"/>
            <w:vAlign w:val="center"/>
          </w:tcPr>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后置主摄像头：≧6400万像素；前置摄像头：≧3200万像素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电池</w:t>
            </w:r>
          </w:p>
        </w:tc>
        <w:tc>
          <w:tcPr>
            <w:tcW w:w="0" w:type="auto"/>
            <w:tcBorders>
              <w:top w:val="single" w:color="000000" w:sz="6" w:space="0"/>
              <w:bottom w:val="single" w:color="000000" w:sz="6" w:space="0"/>
            </w:tcBorders>
            <w:shd w:val="clear" w:color="auto" w:fill="auto"/>
            <w:vAlign w:val="center"/>
          </w:tcPr>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容量：≧4000mAh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温度</w:t>
            </w:r>
          </w:p>
        </w:tc>
        <w:tc>
          <w:tcPr>
            <w:tcW w:w="0" w:type="auto"/>
            <w:tcBorders>
              <w:top w:val="single" w:color="000000" w:sz="6" w:space="0"/>
              <w:bottom w:val="single" w:color="000000" w:sz="6" w:space="0"/>
            </w:tcBorders>
            <w:shd w:val="clear" w:color="auto" w:fill="auto"/>
            <w:vAlign w:val="center"/>
          </w:tcPr>
          <w:p>
            <w:pPr>
              <w:pageBreakBefore w:val="0"/>
              <w:widowControl/>
              <w:numPr>
                <w:ilvl w:val="0"/>
                <w:numId w:val="0"/>
              </w:numPr>
              <w:tabs>
                <w:tab w:val="left" w:pos="284"/>
              </w:tabs>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工作温度：0℃~35℃；存储温度：-20℃~+45℃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工作湿度</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single" w:color="000000" w:sz="6" w:space="0"/>
              <w:bottom w:val="single" w:color="000000" w:sz="6" w:space="0"/>
              <w:right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ind w:firstLine="480" w:firstLineChars="0"/>
              <w:jc w:val="center"/>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认证</w:t>
            </w:r>
          </w:p>
        </w:tc>
        <w:tc>
          <w:tcPr>
            <w:tcW w:w="0" w:type="auto"/>
            <w:tcBorders>
              <w:top w:val="single" w:color="000000" w:sz="6" w:space="0"/>
              <w:bottom w:val="single" w:color="000000" w:sz="6" w:space="0"/>
            </w:tcBorders>
            <w:shd w:val="clear" w:color="auto" w:fill="auto"/>
            <w:vAlign w:val="center"/>
          </w:tcPr>
          <w:p>
            <w:pPr>
              <w:pageBreakBefore w:val="0"/>
              <w:widowControl w:val="0"/>
              <w:kinsoku/>
              <w:wordWrap/>
              <w:overflowPunct/>
              <w:topLinePunct/>
              <w:bidi w:val="0"/>
              <w:adjustRightInd w:val="0"/>
              <w:snapToGrid w:val="0"/>
              <w:spacing w:before="80" w:after="80" w:line="400" w:lineRule="exact"/>
              <w:jc w:val="both"/>
              <w:textAlignment w:val="auto"/>
              <w:rPr>
                <w:rFonts w:hint="eastAsia" w:ascii="仿宋_GB2312" w:hAnsi="仿宋_GB2312" w:eastAsia="仿宋_GB2312" w:cs="仿宋_GB2312"/>
                <w:snapToGrid w:val="0"/>
                <w:kern w:val="0"/>
                <w:sz w:val="24"/>
                <w:szCs w:val="24"/>
                <w:highlight w:val="none"/>
                <w:lang w:val="en-US" w:eastAsia="zh-CN" w:bidi="ar-SA"/>
              </w:rPr>
            </w:pPr>
            <w:r>
              <w:rPr>
                <w:rFonts w:hint="eastAsia" w:ascii="仿宋_GB2312" w:hAnsi="仿宋_GB2312" w:eastAsia="仿宋_GB2312" w:cs="仿宋_GB2312"/>
                <w:snapToGrid w:val="0"/>
                <w:kern w:val="0"/>
                <w:sz w:val="24"/>
                <w:szCs w:val="24"/>
                <w:highlight w:val="none"/>
                <w:lang w:val="en-US" w:eastAsia="zh-CN" w:bidi="ar-SA"/>
              </w:rPr>
              <w:t>CCC、型号核准、电信设备进网、智能手机型**通终端检验报告</w:t>
            </w:r>
          </w:p>
        </w:tc>
      </w:tr>
    </w:tbl>
    <w:p>
      <w:pPr>
        <w:pStyle w:val="23"/>
        <w:pageBreakBefore w:val="0"/>
        <w:kinsoku/>
        <w:wordWrap/>
        <w:overflowPunct/>
        <w:bidi w:val="0"/>
        <w:adjustRightInd w:val="0"/>
        <w:snapToGrid w:val="0"/>
        <w:spacing w:after="0" w:line="400" w:lineRule="exact"/>
        <w:ind w:firstLine="482" w:firstLineChars="200"/>
        <w:textAlignment w:val="auto"/>
        <w:rPr>
          <w:rFonts w:hint="eastAsia" w:ascii="仿宋_GB2312" w:hAnsi="仿宋_GB2312" w:eastAsia="仿宋_GB2312" w:cs="仿宋_GB2312"/>
          <w:b/>
          <w:bCs/>
          <w:color w:val="auto"/>
          <w:sz w:val="24"/>
          <w:szCs w:val="24"/>
          <w:highlight w:val="none"/>
          <w:shd w:val="clear" w:color="auto" w:fill="auto"/>
        </w:rPr>
      </w:pPr>
    </w:p>
    <w:p>
      <w:pPr>
        <w:pStyle w:val="23"/>
        <w:pageBreakBefore w:val="0"/>
        <w:kinsoku/>
        <w:wordWrap/>
        <w:overflowPunct/>
        <w:bidi w:val="0"/>
        <w:adjustRightInd w:val="0"/>
        <w:snapToGrid w:val="0"/>
        <w:spacing w:after="0" w:line="400" w:lineRule="exact"/>
        <w:ind w:firstLine="482" w:firstLineChars="200"/>
        <w:textAlignment w:val="auto"/>
        <w:outlineLvl w:val="2"/>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sz w:val="24"/>
          <w:szCs w:val="24"/>
          <w:highlight w:val="none"/>
          <w:shd w:val="clear" w:color="auto" w:fill="auto"/>
        </w:rPr>
        <w:t>2、流量套餐服务要求</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818"/>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413" w:type="pct"/>
            <w:shd w:val="clear" w:color="auto" w:fill="FFFFFF"/>
            <w:noWrap w:val="0"/>
            <w:vAlign w:val="center"/>
          </w:tcPr>
          <w:p>
            <w:pPr>
              <w:pageBreakBefore w:val="0"/>
              <w:kinsoku/>
              <w:wordWrap/>
              <w:overflowPunct/>
              <w:bidi w:val="0"/>
              <w:spacing w:line="400" w:lineRule="exact"/>
              <w:jc w:val="center"/>
              <w:textAlignment w:val="auto"/>
              <w:rPr>
                <w:rFonts w:hint="eastAsia" w:ascii="仿宋_GB2312" w:hAnsi="仿宋_GB2312" w:eastAsia="仿宋_GB2312" w:cs="仿宋_GB2312"/>
                <w:b/>
                <w:color w:val="auto"/>
                <w:sz w:val="24"/>
                <w:szCs w:val="24"/>
                <w:highlight w:val="none"/>
                <w:shd w:val="clear" w:color="auto" w:fill="auto"/>
              </w:rPr>
            </w:pPr>
            <w:r>
              <w:rPr>
                <w:rFonts w:hint="eastAsia" w:ascii="仿宋_GB2312" w:hAnsi="仿宋_GB2312" w:eastAsia="仿宋_GB2312" w:cs="仿宋_GB2312"/>
                <w:b/>
                <w:color w:val="auto"/>
                <w:sz w:val="24"/>
                <w:szCs w:val="24"/>
                <w:highlight w:val="none"/>
                <w:shd w:val="clear" w:color="auto" w:fill="auto"/>
              </w:rPr>
              <w:t>序号</w:t>
            </w:r>
          </w:p>
        </w:tc>
        <w:tc>
          <w:tcPr>
            <w:tcW w:w="4586" w:type="pct"/>
            <w:gridSpan w:val="2"/>
            <w:shd w:val="clear" w:color="auto" w:fill="FFFFFF"/>
            <w:noWrap w:val="0"/>
            <w:vAlign w:val="center"/>
          </w:tcPr>
          <w:p>
            <w:pPr>
              <w:pageBreakBefore w:val="0"/>
              <w:kinsoku/>
              <w:wordWrap/>
              <w:overflowPunct/>
              <w:bidi w:val="0"/>
              <w:spacing w:line="400" w:lineRule="exact"/>
              <w:jc w:val="center"/>
              <w:textAlignment w:val="auto"/>
              <w:rPr>
                <w:rFonts w:hint="eastAsia" w:ascii="仿宋_GB2312" w:hAnsi="仿宋_GB2312" w:eastAsia="仿宋_GB2312" w:cs="仿宋_GB2312"/>
                <w:b/>
                <w:color w:val="auto"/>
                <w:sz w:val="24"/>
                <w:szCs w:val="24"/>
                <w:highlight w:val="none"/>
                <w:shd w:val="clear" w:color="auto" w:fill="auto"/>
              </w:rPr>
            </w:pPr>
            <w:r>
              <w:rPr>
                <w:rFonts w:hint="eastAsia" w:ascii="仿宋_GB2312" w:hAnsi="仿宋_GB2312" w:eastAsia="仿宋_GB2312" w:cs="仿宋_GB2312"/>
                <w:b/>
                <w:color w:val="auto"/>
                <w:sz w:val="24"/>
                <w:szCs w:val="24"/>
                <w:highlight w:val="none"/>
                <w:shd w:val="clear" w:color="auto" w:fill="auto"/>
              </w:rPr>
              <w:t>套餐服务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13" w:type="pct"/>
            <w:noWrap w:val="0"/>
            <w:vAlign w:val="center"/>
          </w:tcPr>
          <w:p>
            <w:pPr>
              <w:pageBreakBefore w:val="0"/>
              <w:kinsoku/>
              <w:wordWrap/>
              <w:overflowPunct/>
              <w:bidi w:val="0"/>
              <w:spacing w:line="400" w:lineRule="exact"/>
              <w:jc w:val="center"/>
              <w:textAlignment w:val="auto"/>
              <w:rPr>
                <w:rFonts w:hint="eastAsia" w:ascii="仿宋_GB2312" w:hAnsi="仿宋_GB2312" w:eastAsia="仿宋_GB2312" w:cs="仿宋_GB2312"/>
                <w:color w:val="auto"/>
                <w:w w:val="90"/>
                <w:sz w:val="24"/>
                <w:szCs w:val="24"/>
                <w:highlight w:val="none"/>
                <w:shd w:val="clear" w:color="auto" w:fill="auto"/>
              </w:rPr>
            </w:pPr>
            <w:r>
              <w:rPr>
                <w:rFonts w:hint="eastAsia" w:ascii="仿宋_GB2312" w:hAnsi="仿宋_GB2312" w:eastAsia="仿宋_GB2312" w:cs="仿宋_GB2312"/>
                <w:color w:val="auto"/>
                <w:w w:val="90"/>
                <w:sz w:val="24"/>
                <w:szCs w:val="24"/>
                <w:highlight w:val="none"/>
                <w:shd w:val="clear" w:color="auto" w:fill="auto"/>
              </w:rPr>
              <w:t>1</w:t>
            </w:r>
          </w:p>
        </w:tc>
        <w:tc>
          <w:tcPr>
            <w:tcW w:w="979" w:type="pct"/>
            <w:noWrap w:val="0"/>
            <w:vAlign w:val="center"/>
          </w:tcPr>
          <w:p>
            <w:pPr>
              <w:pageBreakBefore w:val="0"/>
              <w:kinsoku/>
              <w:wordWrap/>
              <w:overflowPunct/>
              <w:bidi w:val="0"/>
              <w:spacing w:line="400" w:lineRule="exact"/>
              <w:jc w:val="center"/>
              <w:textAlignment w:val="auto"/>
              <w:rPr>
                <w:rFonts w:hint="eastAsia" w:ascii="仿宋_GB2312" w:hAnsi="仿宋_GB2312" w:eastAsia="仿宋_GB2312" w:cs="仿宋_GB2312"/>
                <w:color w:val="auto"/>
                <w:w w:val="9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主套餐</w:t>
            </w:r>
          </w:p>
        </w:tc>
        <w:tc>
          <w:tcPr>
            <w:tcW w:w="3607" w:type="pct"/>
            <w:noWrap w:val="0"/>
            <w:vAlign w:val="center"/>
          </w:tcPr>
          <w:p>
            <w:pPr>
              <w:pageBreakBefore w:val="0"/>
              <w:kinsoku/>
              <w:wordWrap/>
              <w:overflowPunct/>
              <w:bidi w:val="0"/>
              <w:spacing w:line="400" w:lineRule="exact"/>
              <w:textAlignment w:val="auto"/>
              <w:rPr>
                <w:rFonts w:hint="eastAsia" w:ascii="仿宋_GB2312" w:hAnsi="仿宋_GB2312" w:eastAsia="仿宋_GB2312" w:cs="仿宋_GB2312"/>
                <w:color w:val="auto"/>
                <w:w w:val="9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提供移动**终端基于</w:t>
            </w:r>
            <w:r>
              <w:rPr>
                <w:rFonts w:hint="eastAsia" w:ascii="仿宋_GB2312" w:hAnsi="仿宋_GB2312" w:eastAsia="仿宋_GB2312" w:cs="仿宋_GB2312"/>
                <w:color w:val="auto"/>
                <w:kern w:val="0"/>
                <w:sz w:val="24"/>
                <w:szCs w:val="24"/>
                <w:highlight w:val="none"/>
                <w:shd w:val="clear" w:color="auto" w:fill="auto"/>
                <w:lang w:val="en-US" w:eastAsia="zh-CN"/>
              </w:rPr>
              <w:t>VPDN专网</w:t>
            </w:r>
            <w:r>
              <w:rPr>
                <w:rFonts w:hint="eastAsia" w:ascii="仿宋_GB2312" w:hAnsi="仿宋_GB2312" w:eastAsia="仿宋_GB2312" w:cs="仿宋_GB2312"/>
                <w:color w:val="auto"/>
                <w:kern w:val="0"/>
                <w:sz w:val="24"/>
                <w:szCs w:val="24"/>
                <w:highlight w:val="none"/>
                <w:shd w:val="clear" w:color="auto" w:fill="auto"/>
              </w:rPr>
              <w:t>共享的传输网络服务。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13" w:type="pct"/>
            <w:noWrap w:val="0"/>
            <w:vAlign w:val="center"/>
          </w:tcPr>
          <w:p>
            <w:pPr>
              <w:pageBreakBefore w:val="0"/>
              <w:kinsoku/>
              <w:wordWrap/>
              <w:overflowPunct/>
              <w:bidi w:val="0"/>
              <w:spacing w:line="400" w:lineRule="exact"/>
              <w:jc w:val="center"/>
              <w:textAlignment w:val="auto"/>
              <w:rPr>
                <w:rFonts w:hint="eastAsia" w:ascii="仿宋_GB2312" w:hAnsi="仿宋_GB2312" w:eastAsia="仿宋_GB2312" w:cs="仿宋_GB2312"/>
                <w:color w:val="auto"/>
                <w:w w:val="90"/>
                <w:sz w:val="24"/>
                <w:szCs w:val="24"/>
                <w:highlight w:val="none"/>
                <w:shd w:val="clear" w:color="auto" w:fill="auto"/>
              </w:rPr>
            </w:pPr>
            <w:r>
              <w:rPr>
                <w:rFonts w:hint="eastAsia" w:ascii="仿宋_GB2312" w:hAnsi="仿宋_GB2312" w:eastAsia="仿宋_GB2312" w:cs="仿宋_GB2312"/>
                <w:color w:val="auto"/>
                <w:w w:val="90"/>
                <w:sz w:val="24"/>
                <w:szCs w:val="24"/>
                <w:highlight w:val="none"/>
                <w:shd w:val="clear" w:color="auto" w:fill="auto"/>
              </w:rPr>
              <w:t>2</w:t>
            </w:r>
          </w:p>
        </w:tc>
        <w:tc>
          <w:tcPr>
            <w:tcW w:w="979" w:type="pct"/>
            <w:noWrap w:val="0"/>
            <w:vAlign w:val="center"/>
          </w:tcPr>
          <w:p>
            <w:pPr>
              <w:pageBreakBefore w:val="0"/>
              <w:kinsoku/>
              <w:wordWrap/>
              <w:overflowPunct/>
              <w:bidi w:val="0"/>
              <w:spacing w:line="400" w:lineRule="exact"/>
              <w:jc w:val="center"/>
              <w:textAlignment w:val="auto"/>
              <w:rPr>
                <w:rFonts w:hint="eastAsia" w:ascii="仿宋_GB2312" w:hAnsi="仿宋_GB2312" w:eastAsia="仿宋_GB2312" w:cs="仿宋_GB2312"/>
                <w:color w:val="auto"/>
                <w:kern w:val="0"/>
                <w:sz w:val="24"/>
                <w:szCs w:val="24"/>
                <w:highlight w:val="none"/>
                <w:shd w:val="clear" w:color="auto" w:fill="auto"/>
              </w:rPr>
            </w:pPr>
            <w:r>
              <w:rPr>
                <w:rFonts w:hint="eastAsia" w:ascii="仿宋_GB2312" w:hAnsi="仿宋_GB2312" w:eastAsia="仿宋_GB2312" w:cs="仿宋_GB2312"/>
                <w:color w:val="auto"/>
                <w:kern w:val="0"/>
                <w:sz w:val="24"/>
                <w:szCs w:val="24"/>
                <w:highlight w:val="none"/>
                <w:shd w:val="clear" w:color="auto" w:fill="auto"/>
              </w:rPr>
              <w:t>基本套餐内容</w:t>
            </w:r>
          </w:p>
        </w:tc>
        <w:tc>
          <w:tcPr>
            <w:tcW w:w="3607" w:type="pct"/>
            <w:noWrap w:val="0"/>
            <w:vAlign w:val="center"/>
          </w:tcPr>
          <w:p>
            <w:pPr>
              <w:pageBreakBefore w:val="0"/>
              <w:kinsoku/>
              <w:wordWrap/>
              <w:overflowPunct/>
              <w:bidi w:val="0"/>
              <w:spacing w:line="400" w:lineRule="exact"/>
              <w:textAlignment w:val="auto"/>
              <w:rPr>
                <w:rFonts w:hint="eastAsia" w:ascii="仿宋_GB2312" w:hAnsi="仿宋_GB2312" w:eastAsia="仿宋_GB2312" w:cs="仿宋_GB2312"/>
                <w:color w:val="auto"/>
                <w:kern w:val="0"/>
                <w:sz w:val="24"/>
                <w:szCs w:val="24"/>
                <w:highlight w:val="none"/>
                <w:shd w:val="clear" w:color="auto" w:fill="auto"/>
                <w:lang w:eastAsia="zh-CN"/>
              </w:rPr>
            </w:pPr>
            <w:r>
              <w:rPr>
                <w:rFonts w:hint="eastAsia" w:ascii="仿宋_GB2312" w:hAnsi="仿宋_GB2312" w:eastAsia="仿宋_GB2312" w:cs="仿宋_GB2312"/>
                <w:color w:val="auto"/>
                <w:kern w:val="0"/>
                <w:sz w:val="24"/>
                <w:szCs w:val="24"/>
                <w:highlight w:val="none"/>
                <w:shd w:val="clear" w:color="auto" w:fill="auto"/>
              </w:rPr>
              <w:t>每月</w:t>
            </w:r>
            <w:r>
              <w:rPr>
                <w:rFonts w:hint="eastAsia" w:ascii="仿宋_GB2312" w:hAnsi="仿宋_GB2312" w:eastAsia="仿宋_GB2312" w:cs="仿宋_GB2312"/>
                <w:kern w:val="0"/>
                <w:sz w:val="24"/>
                <w:szCs w:val="24"/>
                <w:highlight w:val="none"/>
                <w:lang w:val="en-US" w:eastAsia="zh-CN" w:bidi="ar-SA"/>
              </w:rPr>
              <w:t>≧</w:t>
            </w:r>
            <w:r>
              <w:rPr>
                <w:rFonts w:hint="eastAsia" w:ascii="仿宋_GB2312" w:hAnsi="仿宋_GB2312" w:eastAsia="仿宋_GB2312" w:cs="仿宋_GB2312"/>
                <w:color w:val="auto"/>
                <w:kern w:val="0"/>
                <w:sz w:val="24"/>
                <w:szCs w:val="24"/>
                <w:highlight w:val="none"/>
                <w:shd w:val="clear" w:color="auto" w:fill="auto"/>
                <w:lang w:val="en-US" w:eastAsia="zh-CN"/>
              </w:rPr>
              <w:t>1200</w:t>
            </w:r>
            <w:r>
              <w:rPr>
                <w:rFonts w:hint="eastAsia" w:ascii="仿宋_GB2312" w:hAnsi="仿宋_GB2312" w:eastAsia="仿宋_GB2312" w:cs="仿宋_GB2312"/>
                <w:color w:val="auto"/>
                <w:kern w:val="0"/>
                <w:sz w:val="24"/>
                <w:szCs w:val="24"/>
                <w:highlight w:val="none"/>
                <w:shd w:val="clear" w:color="auto" w:fill="auto"/>
              </w:rPr>
              <w:t>分钟通话、</w:t>
            </w:r>
            <w:r>
              <w:rPr>
                <w:rFonts w:hint="eastAsia" w:ascii="仿宋_GB2312" w:hAnsi="仿宋_GB2312" w:eastAsia="仿宋_GB2312" w:cs="仿宋_GB2312"/>
                <w:kern w:val="0"/>
                <w:sz w:val="24"/>
                <w:szCs w:val="24"/>
                <w:highlight w:val="none"/>
                <w:lang w:val="en-US" w:eastAsia="zh-CN" w:bidi="ar-SA"/>
              </w:rPr>
              <w:t>≧</w:t>
            </w:r>
            <w:r>
              <w:rPr>
                <w:rFonts w:hint="eastAsia" w:ascii="仿宋_GB2312" w:hAnsi="仿宋_GB2312" w:eastAsia="仿宋_GB2312" w:cs="仿宋_GB2312"/>
                <w:color w:val="auto"/>
                <w:kern w:val="0"/>
                <w:sz w:val="24"/>
                <w:szCs w:val="24"/>
                <w:highlight w:val="none"/>
                <w:shd w:val="clear" w:color="auto" w:fill="auto"/>
                <w:lang w:val="en-US" w:eastAsia="zh-CN"/>
              </w:rPr>
              <w:t>6</w:t>
            </w:r>
            <w:r>
              <w:rPr>
                <w:rFonts w:hint="eastAsia" w:ascii="仿宋_GB2312" w:hAnsi="仿宋_GB2312" w:eastAsia="仿宋_GB2312" w:cs="仿宋_GB2312"/>
                <w:color w:val="auto"/>
                <w:kern w:val="0"/>
                <w:sz w:val="24"/>
                <w:szCs w:val="24"/>
                <w:highlight w:val="none"/>
                <w:shd w:val="clear" w:color="auto" w:fill="auto"/>
              </w:rPr>
              <w:t>0G流量、</w:t>
            </w:r>
            <w:r>
              <w:rPr>
                <w:rFonts w:hint="eastAsia" w:ascii="仿宋_GB2312" w:hAnsi="仿宋_GB2312" w:eastAsia="仿宋_GB2312" w:cs="仿宋_GB2312"/>
                <w:kern w:val="0"/>
                <w:sz w:val="24"/>
                <w:szCs w:val="24"/>
                <w:highlight w:val="none"/>
                <w:lang w:val="en-US" w:eastAsia="zh-CN" w:bidi="ar-SA"/>
              </w:rPr>
              <w:t>≧</w:t>
            </w:r>
            <w:r>
              <w:rPr>
                <w:rFonts w:hint="eastAsia" w:ascii="仿宋_GB2312" w:hAnsi="仿宋_GB2312" w:eastAsia="仿宋_GB2312" w:cs="仿宋_GB2312"/>
                <w:color w:val="auto"/>
                <w:kern w:val="0"/>
                <w:sz w:val="24"/>
                <w:szCs w:val="24"/>
                <w:highlight w:val="none"/>
                <w:shd w:val="clear" w:color="auto" w:fill="auto"/>
              </w:rPr>
              <w:t>100条短信</w:t>
            </w:r>
            <w:r>
              <w:rPr>
                <w:rFonts w:hint="eastAsia" w:ascii="仿宋_GB2312" w:hAnsi="仿宋_GB2312" w:eastAsia="仿宋_GB2312" w:cs="仿宋_GB2312"/>
                <w:color w:val="auto"/>
                <w:kern w:val="0"/>
                <w:sz w:val="24"/>
                <w:szCs w:val="24"/>
                <w:highlight w:val="none"/>
                <w:shd w:val="clear" w:color="auto" w:fill="auto"/>
                <w:lang w:eastAsia="zh-CN"/>
              </w:rPr>
              <w:t>。</w:t>
            </w:r>
          </w:p>
        </w:tc>
      </w:tr>
    </w:tbl>
    <w:p>
      <w:pPr>
        <w:pageBreakBefore w:val="0"/>
        <w:kinsoku/>
        <w:wordWrap/>
        <w:overflowPunct/>
        <w:bidi w:val="0"/>
        <w:spacing w:line="400" w:lineRule="exact"/>
        <w:textAlignment w:val="auto"/>
        <w:rPr>
          <w:rFonts w:hint="eastAsia" w:ascii="仿宋_GB2312" w:hAnsi="仿宋_GB2312" w:eastAsia="仿宋_GB2312" w:cs="仿宋_GB2312"/>
          <w:highlight w:val="none"/>
          <w:lang w:val="en-US" w:eastAsia="zh-CN"/>
        </w:rPr>
      </w:pPr>
    </w:p>
    <w:p>
      <w:pPr>
        <w:pStyle w:val="23"/>
        <w:pageBreakBefore w:val="0"/>
        <w:numPr>
          <w:ilvl w:val="0"/>
          <w:numId w:val="0"/>
        </w:numPr>
        <w:kinsoku/>
        <w:wordWrap/>
        <w:overflowPunct/>
        <w:bidi w:val="0"/>
        <w:adjustRightInd w:val="0"/>
        <w:snapToGrid w:val="0"/>
        <w:spacing w:after="0" w:line="400" w:lineRule="exact"/>
        <w:ind w:left="420" w:leftChars="0"/>
        <w:textAlignment w:val="auto"/>
        <w:outlineLvl w:val="2"/>
        <w:rPr>
          <w:rFonts w:hint="eastAsia" w:ascii="仿宋_GB2312" w:hAnsi="仿宋_GB2312" w:eastAsia="仿宋_GB2312" w:cs="仿宋_GB2312"/>
          <w:b/>
          <w:bCs/>
          <w:color w:val="auto"/>
          <w:sz w:val="24"/>
          <w:szCs w:val="24"/>
          <w:highlight w:val="none"/>
          <w:shd w:val="clear" w:color="auto" w:fill="auto"/>
          <w:lang w:val="en-US" w:eastAsia="zh-CN"/>
        </w:rPr>
      </w:pPr>
      <w:r>
        <w:rPr>
          <w:rFonts w:hint="eastAsia" w:ascii="仿宋_GB2312" w:hAnsi="仿宋_GB2312" w:eastAsia="仿宋_GB2312" w:cs="仿宋_GB2312"/>
          <w:b/>
          <w:bCs/>
          <w:color w:val="auto"/>
          <w:sz w:val="24"/>
          <w:szCs w:val="24"/>
          <w:highlight w:val="none"/>
          <w:shd w:val="clear" w:color="auto" w:fill="auto"/>
          <w:lang w:val="en-US" w:eastAsia="zh-CN"/>
        </w:rPr>
        <w:t>3、双系统及加密服务</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1）警用操作系统 PMOS-H(police mobile operating system-H)，作为公安**通终端的一种安全操作系统，其核心包括</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系统级安全防护：从硬件到软件，从底层到应用层安全加固；</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双系统隔离：同时运行两个操作系统并彻底隔离。</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2）</w:t>
      </w:r>
      <w:r>
        <w:rPr>
          <w:rFonts w:hint="eastAsia" w:ascii="仿宋_GB2312" w:hAnsi="仿宋_GB2312" w:eastAsia="仿宋_GB2312" w:cs="仿宋_GB2312"/>
          <w:b/>
          <w:bCs/>
          <w:color w:val="auto"/>
          <w:sz w:val="24"/>
          <w:szCs w:val="24"/>
          <w:highlight w:val="none"/>
          <w:shd w:val="clear" w:color="auto" w:fill="auto"/>
          <w:lang w:val="en-US" w:eastAsia="zh-CN"/>
        </w:rPr>
        <w:t>加密方案要求：</w:t>
      </w:r>
    </w:p>
    <w:p>
      <w:pPr>
        <w:pStyle w:val="23"/>
        <w:pageBreakBefore w:val="0"/>
        <w:numPr>
          <w:ilvl w:val="0"/>
          <w:numId w:val="14"/>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需与**通终端一体，免除对密码模块实体的各项管理工作和软硬件兼容适配性问题；</w:t>
      </w:r>
    </w:p>
    <w:p>
      <w:pPr>
        <w:pStyle w:val="23"/>
        <w:pageBreakBefore w:val="0"/>
        <w:numPr>
          <w:ilvl w:val="0"/>
          <w:numId w:val="15"/>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不使用外部通信接口，不占用手机 SIM 卡或 TF 卡槽，无需手机终端预留 TF 卡接口；</w:t>
      </w:r>
    </w:p>
    <w:p>
      <w:pPr>
        <w:pStyle w:val="23"/>
        <w:pageBreakBefore w:val="0"/>
        <w:numPr>
          <w:ilvl w:val="0"/>
          <w:numId w:val="15"/>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生产工艺高，经过严格检验和测试，可靠性高、功耗低， 性能强，工作稳定，需满足长时间高强度的**通需要；</w:t>
      </w:r>
    </w:p>
    <w:p>
      <w:pPr>
        <w:pStyle w:val="23"/>
        <w:pageBreakBefore w:val="0"/>
        <w:numPr>
          <w:ilvl w:val="0"/>
          <w:numId w:val="15"/>
        </w:numPr>
        <w:kinsoku/>
        <w:wordWrap/>
        <w:overflowPunct/>
        <w:bidi w:val="0"/>
        <w:adjustRightInd w:val="0"/>
        <w:snapToGrid w:val="0"/>
        <w:spacing w:after="0" w:line="400" w:lineRule="exact"/>
        <w:ind w:left="420" w:leftChars="0" w:hanging="420" w:firstLineChars="0"/>
        <w:textAlignment w:val="auto"/>
        <w:outlineLvl w:val="2"/>
        <w:rPr>
          <w:rFonts w:hint="eastAsia" w:ascii="仿宋_GB2312" w:hAnsi="仿宋_GB2312" w:eastAsia="仿宋_GB2312" w:cs="仿宋_GB2312"/>
          <w:b w:val="0"/>
          <w:bCs w:val="0"/>
          <w:color w:val="auto"/>
          <w:sz w:val="24"/>
          <w:szCs w:val="24"/>
          <w:highlight w:val="none"/>
          <w:shd w:val="clear" w:color="auto" w:fill="auto"/>
          <w:lang w:val="en-US"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无需特殊定制终端，因此可有效避免因定制终端导致的终端成本高、硬件稳定性差、软硬件适配不达标以及 Bug 无法修复和服务支持无法到位、无法持续升级等问题。</w:t>
      </w:r>
    </w:p>
    <w:p>
      <w:pPr>
        <w:pStyle w:val="23"/>
        <w:pageBreakBefore w:val="0"/>
        <w:numPr>
          <w:ilvl w:val="0"/>
          <w:numId w:val="0"/>
        </w:numPr>
        <w:kinsoku/>
        <w:wordWrap/>
        <w:overflowPunct/>
        <w:bidi w:val="0"/>
        <w:adjustRightInd w:val="0"/>
        <w:snapToGrid w:val="0"/>
        <w:spacing w:after="0" w:line="400" w:lineRule="exact"/>
        <w:ind w:left="420" w:leftChars="0"/>
        <w:textAlignment w:val="auto"/>
        <w:outlineLvl w:val="2"/>
        <w:rPr>
          <w:rFonts w:hint="eastAsia" w:ascii="仿宋_GB2312" w:hAnsi="仿宋_GB2312" w:eastAsia="仿宋_GB2312" w:cs="仿宋_GB2312"/>
          <w:b/>
          <w:bCs/>
          <w:color w:val="auto"/>
          <w:sz w:val="24"/>
          <w:szCs w:val="24"/>
          <w:highlight w:val="none"/>
          <w:shd w:val="clear" w:color="auto" w:fill="auto"/>
          <w:lang w:val="en-US" w:eastAsia="zh-CN"/>
        </w:rPr>
      </w:pPr>
    </w:p>
    <w:p>
      <w:pPr>
        <w:pStyle w:val="23"/>
        <w:pageBreakBefore w:val="0"/>
        <w:numPr>
          <w:ilvl w:val="0"/>
          <w:numId w:val="0"/>
        </w:numPr>
        <w:kinsoku/>
        <w:wordWrap/>
        <w:overflowPunct/>
        <w:bidi w:val="0"/>
        <w:adjustRightInd w:val="0"/>
        <w:snapToGrid w:val="0"/>
        <w:spacing w:after="0" w:line="400" w:lineRule="exact"/>
        <w:ind w:left="420" w:leftChars="0"/>
        <w:textAlignment w:val="auto"/>
        <w:outlineLvl w:val="2"/>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sz w:val="24"/>
          <w:szCs w:val="24"/>
          <w:highlight w:val="none"/>
          <w:shd w:val="clear" w:color="auto" w:fill="auto"/>
          <w:lang w:val="en-US" w:eastAsia="zh-CN"/>
        </w:rPr>
        <w:t>4、</w:t>
      </w:r>
      <w:r>
        <w:rPr>
          <w:rFonts w:hint="eastAsia" w:ascii="仿宋_GB2312" w:hAnsi="仿宋_GB2312" w:eastAsia="仿宋_GB2312" w:cs="仿宋_GB2312"/>
          <w:b/>
          <w:bCs/>
          <w:color w:val="auto"/>
          <w:sz w:val="24"/>
          <w:szCs w:val="24"/>
          <w:highlight w:val="none"/>
          <w:shd w:val="clear" w:color="auto" w:fill="auto"/>
        </w:rPr>
        <w:t>服务要求</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通终端需提供全面、有效、及时的技术支持和售后服务。设备自验收合格之日起，中标人提供三年设备质保服务，三年的售后技术服务(不含终端备件)。在服务期内，终端硬件及加密卡非人为损坏7天包退，15天包换，三年内免费保修</w:t>
      </w:r>
      <w:r>
        <w:rPr>
          <w:rFonts w:hint="eastAsia" w:ascii="仿宋_GB2312" w:hAnsi="仿宋_GB2312" w:eastAsia="仿宋_GB2312" w:cs="仿宋_GB2312"/>
          <w:b w:val="0"/>
          <w:bCs w:val="0"/>
          <w:color w:val="auto"/>
          <w:sz w:val="24"/>
          <w:szCs w:val="24"/>
          <w:highlight w:val="none"/>
          <w:shd w:val="clear" w:color="auto" w:fill="auto"/>
          <w:lang w:eastAsia="zh-CN"/>
        </w:rPr>
        <w:t>。具体要求：</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1）、提供7×24小时的故障受理服务。</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2）、对重大故障提供7×24小时的现场支援。</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3）、故障服务响应时间小于30分钟，即30分钟内公司客服人员对客户提交的故障进行处理和回复。</w:t>
      </w:r>
    </w:p>
    <w:p>
      <w:pPr>
        <w:pStyle w:val="23"/>
        <w:pageBreakBefore w:val="0"/>
        <w:numPr>
          <w:ilvl w:val="0"/>
          <w:numId w:val="0"/>
        </w:numPr>
        <w:kinsoku/>
        <w:wordWrap/>
        <w:overflowPunct/>
        <w:bidi w:val="0"/>
        <w:adjustRightInd w:val="0"/>
        <w:snapToGrid w:val="0"/>
        <w:spacing w:after="0" w:line="400" w:lineRule="exact"/>
        <w:ind w:firstLine="480" w:firstLineChars="200"/>
        <w:textAlignment w:val="auto"/>
        <w:outlineLvl w:val="2"/>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4）、如需要现场服务，保证故障服务的现场响应时间小于4小时，即4小时内有能够处理故障的技术人员到达现场。故障修复时间不大于8小时。</w:t>
      </w:r>
    </w:p>
    <w:p>
      <w:pPr>
        <w:pStyle w:val="23"/>
        <w:pageBreakBefore w:val="0"/>
        <w:numPr>
          <w:ilvl w:val="0"/>
          <w:numId w:val="0"/>
        </w:numPr>
        <w:kinsoku/>
        <w:wordWrap/>
        <w:overflowPunct/>
        <w:bidi w:val="0"/>
        <w:adjustRightInd w:val="0"/>
        <w:snapToGrid w:val="0"/>
        <w:spacing w:after="0" w:line="400" w:lineRule="exact"/>
        <w:ind w:left="420" w:leftChars="0"/>
        <w:textAlignment w:val="auto"/>
        <w:outlineLvl w:val="2"/>
        <w:rPr>
          <w:rFonts w:hint="eastAsia" w:ascii="仿宋_GB2312" w:hAnsi="仿宋_GB2312" w:eastAsia="仿宋_GB2312" w:cs="仿宋_GB2312"/>
          <w:b/>
          <w:bCs/>
          <w:color w:val="auto"/>
          <w:sz w:val="24"/>
          <w:szCs w:val="24"/>
          <w:highlight w:val="none"/>
          <w:shd w:val="clear" w:color="auto" w:fill="auto"/>
          <w:lang w:val="en-US" w:eastAsia="zh-CN"/>
        </w:rPr>
      </w:pPr>
      <w:bookmarkStart w:id="36" w:name="_Toc9146"/>
      <w:bookmarkStart w:id="37" w:name="_Toc16653"/>
      <w:r>
        <w:rPr>
          <w:rFonts w:hint="eastAsia" w:ascii="仿宋_GB2312" w:hAnsi="仿宋_GB2312" w:eastAsia="仿宋_GB2312" w:cs="仿宋_GB2312"/>
          <w:b/>
          <w:bCs/>
          <w:color w:val="auto"/>
          <w:sz w:val="24"/>
          <w:szCs w:val="24"/>
          <w:highlight w:val="none"/>
          <w:shd w:val="clear" w:color="auto" w:fill="auto"/>
          <w:lang w:val="en-US" w:eastAsia="zh-CN"/>
        </w:rPr>
        <w:t>5、交付要求</w:t>
      </w:r>
      <w:bookmarkEnd w:id="36"/>
      <w:bookmarkEnd w:id="37"/>
      <w:r>
        <w:rPr>
          <w:rFonts w:hint="eastAsia" w:ascii="仿宋_GB2312" w:hAnsi="仿宋_GB2312" w:eastAsia="仿宋_GB2312" w:cs="仿宋_GB2312"/>
          <w:b/>
          <w:bCs/>
          <w:color w:val="auto"/>
          <w:sz w:val="24"/>
          <w:szCs w:val="24"/>
          <w:highlight w:val="none"/>
          <w:shd w:val="clear" w:color="auto" w:fill="auto"/>
          <w:lang w:val="en-US" w:eastAsia="zh-CN"/>
        </w:rPr>
        <w:t>及租赁期限</w:t>
      </w:r>
    </w:p>
    <w:p>
      <w:pPr>
        <w:pStyle w:val="514"/>
        <w:pageBreakBefore w:val="0"/>
        <w:kinsoku/>
        <w:wordWrap/>
        <w:overflowPunct/>
        <w:bidi w:val="0"/>
        <w:adjustRightInd w:val="0"/>
        <w:snapToGrid w:val="0"/>
        <w:spacing w:beforeLines="0" w:after="0" w:line="400" w:lineRule="exact"/>
        <w:textAlignment w:val="auto"/>
        <w:rPr>
          <w:rFonts w:hint="eastAsia" w:ascii="仿宋_GB2312" w:hAnsi="仿宋_GB2312" w:eastAsia="仿宋_GB2312" w:cs="仿宋_GB2312"/>
          <w:color w:val="auto"/>
          <w:kern w:val="2"/>
          <w:sz w:val="24"/>
          <w:szCs w:val="24"/>
          <w:highlight w:val="none"/>
          <w:shd w:val="clear" w:color="auto" w:fill="auto"/>
        </w:rPr>
      </w:pPr>
      <w:r>
        <w:rPr>
          <w:rFonts w:hint="eastAsia" w:ascii="仿宋_GB2312" w:hAnsi="仿宋_GB2312" w:eastAsia="仿宋_GB2312" w:cs="仿宋_GB2312"/>
          <w:color w:val="auto"/>
          <w:kern w:val="2"/>
          <w:sz w:val="24"/>
          <w:szCs w:val="24"/>
          <w:highlight w:val="none"/>
          <w:shd w:val="clear" w:color="auto" w:fill="auto"/>
        </w:rPr>
        <w:t>（1）</w:t>
      </w:r>
      <w:r>
        <w:rPr>
          <w:rFonts w:hint="eastAsia" w:ascii="仿宋_GB2312" w:hAnsi="仿宋_GB2312" w:eastAsia="仿宋_GB2312" w:cs="仿宋_GB2312"/>
          <w:color w:val="auto"/>
          <w:kern w:val="2"/>
          <w:sz w:val="24"/>
          <w:szCs w:val="24"/>
          <w:highlight w:val="none"/>
          <w:shd w:val="clear" w:color="auto" w:fill="auto"/>
          <w:lang w:eastAsia="zh-CN"/>
        </w:rPr>
        <w:t>中标</w:t>
      </w:r>
      <w:r>
        <w:rPr>
          <w:rFonts w:hint="eastAsia" w:ascii="仿宋_GB2312" w:hAnsi="仿宋_GB2312" w:eastAsia="仿宋_GB2312" w:cs="仿宋_GB2312"/>
          <w:color w:val="auto"/>
          <w:kern w:val="2"/>
          <w:sz w:val="24"/>
          <w:szCs w:val="24"/>
          <w:highlight w:val="none"/>
          <w:shd w:val="clear" w:color="auto" w:fill="auto"/>
        </w:rPr>
        <w:t>后1</w:t>
      </w:r>
      <w:r>
        <w:rPr>
          <w:rFonts w:hint="eastAsia" w:ascii="仿宋_GB2312" w:hAnsi="仿宋_GB2312" w:eastAsia="仿宋_GB2312" w:cs="仿宋_GB2312"/>
          <w:color w:val="auto"/>
          <w:kern w:val="2"/>
          <w:sz w:val="24"/>
          <w:szCs w:val="24"/>
          <w:highlight w:val="none"/>
          <w:shd w:val="clear" w:color="auto" w:fill="auto"/>
          <w:lang w:val="en-US" w:eastAsia="zh-CN"/>
        </w:rPr>
        <w:t>0</w:t>
      </w:r>
      <w:r>
        <w:rPr>
          <w:rFonts w:hint="eastAsia" w:ascii="仿宋_GB2312" w:hAnsi="仿宋_GB2312" w:eastAsia="仿宋_GB2312" w:cs="仿宋_GB2312"/>
          <w:color w:val="auto"/>
          <w:kern w:val="2"/>
          <w:sz w:val="24"/>
          <w:szCs w:val="24"/>
          <w:highlight w:val="none"/>
          <w:shd w:val="clear" w:color="auto" w:fill="auto"/>
        </w:rPr>
        <w:t>天内完成</w:t>
      </w:r>
      <w:r>
        <w:rPr>
          <w:rFonts w:hint="eastAsia" w:ascii="仿宋_GB2312" w:hAnsi="仿宋_GB2312" w:eastAsia="仿宋_GB2312" w:cs="仿宋_GB2312"/>
          <w:color w:val="auto"/>
          <w:kern w:val="2"/>
          <w:sz w:val="24"/>
          <w:szCs w:val="24"/>
          <w:highlight w:val="none"/>
          <w:shd w:val="clear" w:color="auto" w:fill="auto"/>
          <w:lang w:eastAsia="zh-CN"/>
        </w:rPr>
        <w:t>终端</w:t>
      </w:r>
      <w:r>
        <w:rPr>
          <w:rFonts w:hint="eastAsia" w:ascii="仿宋_GB2312" w:hAnsi="仿宋_GB2312" w:eastAsia="仿宋_GB2312" w:cs="仿宋_GB2312"/>
          <w:color w:val="auto"/>
          <w:kern w:val="2"/>
          <w:sz w:val="24"/>
          <w:szCs w:val="24"/>
          <w:highlight w:val="none"/>
          <w:shd w:val="clear" w:color="auto" w:fill="auto"/>
        </w:rPr>
        <w:t>设备到货，合同签订后1个月内完成全部建设内容并交付使用。</w:t>
      </w:r>
    </w:p>
    <w:p>
      <w:pPr>
        <w:pStyle w:val="514"/>
        <w:pageBreakBefore w:val="0"/>
        <w:kinsoku/>
        <w:wordWrap/>
        <w:overflowPunct/>
        <w:bidi w:val="0"/>
        <w:adjustRightInd w:val="0"/>
        <w:snapToGrid w:val="0"/>
        <w:spacing w:beforeLines="0" w:after="0" w:line="400" w:lineRule="exact"/>
        <w:textAlignment w:val="auto"/>
        <w:rPr>
          <w:rFonts w:hint="eastAsia" w:ascii="仿宋_GB2312" w:hAnsi="仿宋_GB2312" w:eastAsia="仿宋_GB2312" w:cs="仿宋_GB2312"/>
          <w:color w:val="auto"/>
          <w:kern w:val="2"/>
          <w:sz w:val="24"/>
          <w:szCs w:val="24"/>
          <w:highlight w:val="none"/>
          <w:shd w:val="clear" w:color="auto" w:fill="auto"/>
        </w:rPr>
      </w:pPr>
      <w:r>
        <w:rPr>
          <w:rFonts w:hint="eastAsia" w:ascii="仿宋_GB2312" w:hAnsi="仿宋_GB2312" w:eastAsia="仿宋_GB2312" w:cs="仿宋_GB2312"/>
          <w:color w:val="auto"/>
          <w:kern w:val="2"/>
          <w:sz w:val="24"/>
          <w:szCs w:val="24"/>
          <w:highlight w:val="none"/>
          <w:shd w:val="clear" w:color="auto" w:fill="auto"/>
        </w:rPr>
        <w:t>（2）</w:t>
      </w:r>
      <w:r>
        <w:rPr>
          <w:rFonts w:hint="eastAsia" w:ascii="仿宋_GB2312" w:hAnsi="仿宋_GB2312" w:eastAsia="仿宋_GB2312" w:cs="仿宋_GB2312"/>
          <w:color w:val="auto"/>
          <w:kern w:val="2"/>
          <w:sz w:val="24"/>
          <w:szCs w:val="24"/>
          <w:highlight w:val="none"/>
          <w:shd w:val="clear" w:color="auto" w:fill="auto"/>
          <w:lang w:eastAsia="zh-CN"/>
        </w:rPr>
        <w:t>交付</w:t>
      </w:r>
      <w:r>
        <w:rPr>
          <w:rFonts w:hint="eastAsia" w:ascii="仿宋_GB2312" w:hAnsi="仿宋_GB2312" w:eastAsia="仿宋_GB2312" w:cs="仿宋_GB2312"/>
          <w:color w:val="auto"/>
          <w:kern w:val="2"/>
          <w:sz w:val="24"/>
          <w:szCs w:val="24"/>
          <w:highlight w:val="none"/>
          <w:shd w:val="clear" w:color="auto" w:fill="auto"/>
        </w:rPr>
        <w:t>地点：招标人指定地点。</w:t>
      </w:r>
    </w:p>
    <w:p>
      <w:pPr>
        <w:pStyle w:val="514"/>
        <w:pageBreakBefore w:val="0"/>
        <w:kinsoku/>
        <w:wordWrap/>
        <w:overflowPunct/>
        <w:bidi w:val="0"/>
        <w:adjustRightInd w:val="0"/>
        <w:snapToGrid w:val="0"/>
        <w:spacing w:beforeLines="0" w:after="0" w:line="400" w:lineRule="exact"/>
        <w:textAlignment w:val="auto"/>
        <w:rPr>
          <w:rFonts w:hint="eastAsia" w:ascii="仿宋_GB2312" w:hAnsi="仿宋_GB2312" w:eastAsia="仿宋_GB2312" w:cs="仿宋_GB2312"/>
          <w:color w:val="auto"/>
          <w:kern w:val="2"/>
          <w:sz w:val="24"/>
          <w:szCs w:val="24"/>
          <w:highlight w:val="none"/>
          <w:shd w:val="clear" w:color="auto" w:fill="auto"/>
          <w:lang w:val="en-US" w:eastAsia="zh-CN"/>
        </w:rPr>
      </w:pPr>
      <w:r>
        <w:rPr>
          <w:rFonts w:hint="eastAsia" w:ascii="仿宋_GB2312" w:hAnsi="仿宋_GB2312" w:eastAsia="仿宋_GB2312" w:cs="仿宋_GB2312"/>
          <w:color w:val="auto"/>
          <w:kern w:val="2"/>
          <w:sz w:val="24"/>
          <w:szCs w:val="24"/>
          <w:highlight w:val="none"/>
          <w:shd w:val="clear" w:color="auto" w:fill="auto"/>
          <w:lang w:eastAsia="zh-CN"/>
        </w:rPr>
        <w:t>（</w:t>
      </w:r>
      <w:r>
        <w:rPr>
          <w:rFonts w:hint="eastAsia" w:ascii="仿宋_GB2312" w:hAnsi="仿宋_GB2312" w:eastAsia="仿宋_GB2312" w:cs="仿宋_GB2312"/>
          <w:color w:val="auto"/>
          <w:kern w:val="2"/>
          <w:sz w:val="24"/>
          <w:szCs w:val="24"/>
          <w:highlight w:val="none"/>
          <w:shd w:val="clear" w:color="auto" w:fill="auto"/>
          <w:lang w:val="en-US" w:eastAsia="zh-CN"/>
        </w:rPr>
        <w:t>3</w:t>
      </w:r>
      <w:r>
        <w:rPr>
          <w:rFonts w:hint="eastAsia" w:ascii="仿宋_GB2312" w:hAnsi="仿宋_GB2312" w:eastAsia="仿宋_GB2312" w:cs="仿宋_GB2312"/>
          <w:color w:val="auto"/>
          <w:kern w:val="2"/>
          <w:sz w:val="24"/>
          <w:szCs w:val="24"/>
          <w:highlight w:val="none"/>
          <w:shd w:val="clear" w:color="auto" w:fill="auto"/>
          <w:lang w:eastAsia="zh-CN"/>
        </w:rPr>
        <w:t>）租赁期限：</w:t>
      </w:r>
      <w:r>
        <w:rPr>
          <w:rFonts w:hint="eastAsia" w:ascii="仿宋_GB2312" w:hAnsi="仿宋_GB2312" w:eastAsia="仿宋_GB2312" w:cs="仿宋_GB2312"/>
          <w:color w:val="auto"/>
          <w:kern w:val="2"/>
          <w:sz w:val="24"/>
          <w:szCs w:val="24"/>
          <w:highlight w:val="none"/>
          <w:shd w:val="clear" w:color="auto" w:fill="auto"/>
          <w:lang w:val="en-US" w:eastAsia="zh-CN"/>
        </w:rPr>
        <w:t>3年（项目通过终验之日开始）</w:t>
      </w:r>
    </w:p>
    <w:p>
      <w:pPr>
        <w:pStyle w:val="514"/>
        <w:pageBreakBefore w:val="0"/>
        <w:kinsoku/>
        <w:wordWrap/>
        <w:overflowPunct/>
        <w:bidi w:val="0"/>
        <w:adjustRightInd w:val="0"/>
        <w:snapToGrid w:val="0"/>
        <w:spacing w:beforeLines="0" w:after="0" w:line="400" w:lineRule="exact"/>
        <w:textAlignment w:val="auto"/>
        <w:rPr>
          <w:rFonts w:hint="eastAsia" w:ascii="仿宋_GB2312" w:hAnsi="仿宋_GB2312" w:eastAsia="仿宋_GB2312" w:cs="仿宋_GB2312"/>
          <w:b/>
          <w:bCs/>
          <w:color w:val="auto"/>
          <w:kern w:val="2"/>
          <w:sz w:val="24"/>
          <w:szCs w:val="24"/>
          <w:highlight w:val="none"/>
          <w:shd w:val="clear" w:color="auto" w:fill="auto"/>
          <w:lang w:val="en-US" w:eastAsia="zh-CN" w:bidi="ar-SA"/>
        </w:rPr>
      </w:pPr>
      <w:r>
        <w:rPr>
          <w:rFonts w:hint="eastAsia" w:ascii="仿宋_GB2312" w:hAnsi="仿宋_GB2312" w:eastAsia="仿宋_GB2312" w:cs="仿宋_GB2312"/>
          <w:b/>
          <w:bCs/>
          <w:color w:val="auto"/>
          <w:kern w:val="2"/>
          <w:sz w:val="24"/>
          <w:szCs w:val="24"/>
          <w:highlight w:val="none"/>
          <w:shd w:val="clear" w:color="auto" w:fill="auto"/>
          <w:lang w:val="en-US" w:eastAsia="zh-CN" w:bidi="ar-SA"/>
        </w:rPr>
        <w:t>6、其他要求</w:t>
      </w:r>
    </w:p>
    <w:p>
      <w:pPr>
        <w:pStyle w:val="23"/>
        <w:pageBreakBefore w:val="0"/>
        <w:kinsoku/>
        <w:wordWrap/>
        <w:overflowPunct/>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4G信号临安主城区、乡镇及杭徽高速覆盖率达到97%以上;5G信号在临安锦城、玲珑、青山湖、锦南、锦北街道，杭徽高速，13个镇乡镇政府所在地覆盖率达到97%以上。</w:t>
      </w:r>
    </w:p>
    <w:p>
      <w:pPr>
        <w:pStyle w:val="2"/>
        <w:pageBreakBefore w:val="0"/>
        <w:numPr>
          <w:ilvl w:val="0"/>
          <w:numId w:val="9"/>
        </w:numPr>
        <w:kinsoku/>
        <w:wordWrap/>
        <w:overflowPunct/>
        <w:bidi w:val="0"/>
        <w:spacing w:before="120" w:after="120" w:line="40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合同款支付</w:t>
      </w:r>
    </w:p>
    <w:p>
      <w:pPr>
        <w:pStyle w:val="23"/>
        <w:pageBreakBefore w:val="0"/>
        <w:kinsoku/>
        <w:wordWrap/>
        <w:overflowPunct/>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1、本项目租赁费用自项目通过验收后开始支付；</w:t>
      </w:r>
    </w:p>
    <w:p>
      <w:pPr>
        <w:pStyle w:val="23"/>
        <w:pageBreakBefore w:val="0"/>
        <w:kinsoku/>
        <w:wordWrap/>
        <w:overflowPunct/>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2、租赁费按年支付，预付款为年租赁费的30%</w:t>
      </w:r>
    </w:p>
    <w:p>
      <w:pPr>
        <w:pStyle w:val="2"/>
        <w:pageBreakBefore w:val="0"/>
        <w:numPr>
          <w:ilvl w:val="0"/>
          <w:numId w:val="9"/>
        </w:numPr>
        <w:kinsoku/>
        <w:wordWrap/>
        <w:overflowPunct/>
        <w:bidi w:val="0"/>
        <w:spacing w:before="120" w:after="120" w:line="40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验收</w:t>
      </w:r>
    </w:p>
    <w:p>
      <w:pPr>
        <w:pageBreakBefore w:val="0"/>
        <w:kinsoku/>
        <w:wordWrap/>
        <w:overflowPunct/>
        <w:bidi w:val="0"/>
        <w:adjustRightInd w:val="0"/>
        <w:snapToGrid w:val="0"/>
        <w:spacing w:line="400" w:lineRule="exact"/>
        <w:ind w:firstLine="480" w:firstLineChars="200"/>
        <w:textAlignment w:val="auto"/>
        <w:rPr>
          <w:rFonts w:hint="eastAsia" w:ascii="仿宋_GB2312" w:hAnsi="仿宋_GB2312" w:eastAsia="仿宋_GB2312" w:cs="仿宋_GB2312"/>
          <w:snapToGrid w:val="0"/>
          <w:color w:val="auto"/>
          <w:kern w:val="0"/>
          <w:sz w:val="24"/>
          <w:szCs w:val="24"/>
          <w:highlight w:val="none"/>
          <w:shd w:val="clear" w:color="auto" w:fill="auto"/>
          <w:lang w:val="zh-CN"/>
        </w:rPr>
      </w:pPr>
      <w:r>
        <w:rPr>
          <w:rFonts w:hint="eastAsia" w:ascii="仿宋_GB2312" w:hAnsi="仿宋_GB2312" w:eastAsia="仿宋_GB2312" w:cs="仿宋_GB2312"/>
          <w:snapToGrid w:val="0"/>
          <w:color w:val="auto"/>
          <w:kern w:val="0"/>
          <w:sz w:val="24"/>
          <w:szCs w:val="24"/>
          <w:highlight w:val="none"/>
          <w:shd w:val="clear" w:color="auto" w:fill="auto"/>
          <w:lang w:val="zh-CN"/>
        </w:rPr>
        <w:t>本项目</w:t>
      </w:r>
      <w:r>
        <w:rPr>
          <w:rFonts w:hint="eastAsia" w:ascii="仿宋_GB2312" w:hAnsi="仿宋_GB2312" w:eastAsia="仿宋_GB2312" w:cs="仿宋_GB2312"/>
          <w:snapToGrid w:val="0"/>
          <w:color w:val="auto"/>
          <w:kern w:val="0"/>
          <w:sz w:val="24"/>
          <w:szCs w:val="24"/>
          <w:highlight w:val="none"/>
          <w:shd w:val="clear" w:color="auto" w:fill="auto"/>
        </w:rPr>
        <w:t>组织</w:t>
      </w:r>
      <w:r>
        <w:rPr>
          <w:rFonts w:hint="eastAsia" w:ascii="仿宋_GB2312" w:hAnsi="仿宋_GB2312" w:eastAsia="仿宋_GB2312" w:cs="仿宋_GB2312"/>
          <w:snapToGrid w:val="0"/>
          <w:color w:val="auto"/>
          <w:kern w:val="0"/>
          <w:sz w:val="24"/>
          <w:szCs w:val="24"/>
          <w:highlight w:val="none"/>
          <w:shd w:val="clear" w:color="auto" w:fill="auto"/>
          <w:lang w:val="zh-CN"/>
        </w:rPr>
        <w:t>履约验收，验收合格的情况作为项目支付的依据。将本次招标采购的内容进行集成并实现正常运行，同时达到招标方要求的性能和产品技术规格中的性能，并由招标单位组织专家验收。</w:t>
      </w:r>
    </w:p>
    <w:bookmarkEnd w:id="29"/>
    <w:bookmarkEnd w:id="30"/>
    <w:bookmarkEnd w:id="31"/>
    <w:bookmarkEnd w:id="32"/>
    <w:p>
      <w:pPr>
        <w:pStyle w:val="23"/>
        <w:adjustRightInd w:val="0"/>
        <w:snapToGrid w:val="0"/>
        <w:spacing w:after="0" w:line="360" w:lineRule="auto"/>
        <w:ind w:firstLine="480" w:firstLineChars="200"/>
        <w:rPr>
          <w:rFonts w:hint="eastAsia" w:ascii="宋体" w:hAnsi="宋体" w:eastAsia="宋体" w:cs="宋体"/>
          <w:color w:val="auto"/>
          <w:sz w:val="24"/>
          <w:szCs w:val="24"/>
          <w:shd w:val="clear" w:color="auto" w:fill="auto"/>
          <w:lang w:val="en-US" w:eastAsia="zh-CN"/>
        </w:rPr>
      </w:pPr>
    </w:p>
    <w:p>
      <w:pPr>
        <w:autoSpaceDE w:val="0"/>
        <w:autoSpaceDN w:val="0"/>
        <w:adjustRightInd w:val="0"/>
        <w:spacing w:line="360" w:lineRule="auto"/>
        <w:rPr>
          <w:rFonts w:hint="eastAsia" w:ascii="仿宋_GB2312" w:hAnsi="仿宋" w:eastAsia="仿宋_GB2312" w:cs="Arial"/>
          <w:kern w:val="0"/>
          <w:sz w:val="24"/>
        </w:rPr>
      </w:pP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p>
    <w:p>
      <w:pPr>
        <w:adjustRightInd w:val="0"/>
        <w:snapToGrid w:val="0"/>
        <w:spacing w:line="360" w:lineRule="auto"/>
        <w:ind w:firstLine="480" w:firstLineChars="200"/>
        <w:rPr>
          <w:rFonts w:ascii="仿宋_GB2312" w:hAnsi="仿宋" w:eastAsia="仿宋_GB2312" w:cs="Times New Roman"/>
          <w:sz w:val="24"/>
          <w:szCs w:val="24"/>
        </w:rPr>
      </w:pPr>
    </w:p>
    <w:p>
      <w:pPr>
        <w:adjustRightInd w:val="0"/>
        <w:snapToGrid w:val="0"/>
        <w:spacing w:line="460" w:lineRule="exact"/>
        <w:ind w:firstLine="480" w:firstLineChars="200"/>
        <w:rPr>
          <w:rFonts w:ascii="仿宋_GB2312" w:hAnsi="宋体" w:eastAsia="仿宋_GB2312" w:cs="Arial"/>
          <w:snapToGrid w:val="0"/>
          <w:kern w:val="0"/>
          <w:sz w:val="24"/>
          <w:szCs w:val="24"/>
        </w:rPr>
      </w:pPr>
    </w:p>
    <w:p>
      <w:pPr>
        <w:widowControl/>
        <w:ind w:firstLine="1446" w:firstLineChars="400"/>
        <w:jc w:val="left"/>
        <w:rPr>
          <w:rFonts w:ascii="仿宋_GB2312" w:hAnsi="仿宋" w:eastAsia="仿宋_GB2312" w:cs="仿宋_GB2312"/>
          <w:b/>
          <w:sz w:val="36"/>
          <w:szCs w:val="36"/>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38" w:name="_Toc184308042"/>
      <w:bookmarkEnd w:id="38"/>
      <w:bookmarkStart w:id="39" w:name="_Toc184314477"/>
      <w:bookmarkEnd w:id="39"/>
      <w:bookmarkStart w:id="40" w:name="_Toc184312109"/>
      <w:bookmarkEnd w:id="40"/>
      <w:bookmarkStart w:id="41" w:name="_Toc184310275"/>
      <w:bookmarkEnd w:id="41"/>
      <w:bookmarkStart w:id="42" w:name="_Toc184308045"/>
      <w:bookmarkEnd w:id="42"/>
      <w:bookmarkStart w:id="43" w:name="_Toc184314444"/>
      <w:bookmarkEnd w:id="43"/>
      <w:bookmarkStart w:id="44" w:name="_Toc184310310"/>
      <w:bookmarkEnd w:id="44"/>
      <w:bookmarkStart w:id="45" w:name="_Toc184312127"/>
      <w:bookmarkEnd w:id="45"/>
      <w:bookmarkStart w:id="46" w:name="_Toc184308079"/>
      <w:bookmarkEnd w:id="46"/>
      <w:bookmarkStart w:id="47" w:name="_Toc184312076"/>
      <w:bookmarkEnd w:id="47"/>
      <w:bookmarkStart w:id="48" w:name="_Toc184313284"/>
      <w:bookmarkEnd w:id="48"/>
      <w:bookmarkStart w:id="49" w:name="_Toc184314418"/>
      <w:bookmarkEnd w:id="49"/>
      <w:bookmarkStart w:id="50" w:name="_Toc184314449"/>
      <w:bookmarkEnd w:id="50"/>
      <w:bookmarkStart w:id="51" w:name="_Toc184308084"/>
      <w:bookmarkEnd w:id="51"/>
      <w:bookmarkStart w:id="52" w:name="_Toc184314442"/>
      <w:bookmarkEnd w:id="52"/>
      <w:bookmarkStart w:id="53" w:name="_Toc184310301"/>
      <w:bookmarkEnd w:id="53"/>
      <w:bookmarkStart w:id="54" w:name="_Toc184310329"/>
      <w:bookmarkEnd w:id="54"/>
      <w:bookmarkStart w:id="55" w:name="_Toc184314414"/>
      <w:bookmarkEnd w:id="55"/>
      <w:bookmarkStart w:id="56" w:name="_Toc184313254"/>
      <w:bookmarkEnd w:id="56"/>
      <w:bookmarkStart w:id="57" w:name="_Toc184308089"/>
      <w:bookmarkEnd w:id="57"/>
      <w:bookmarkStart w:id="58" w:name="_Toc184308095"/>
      <w:bookmarkEnd w:id="58"/>
      <w:bookmarkStart w:id="59" w:name="_Toc184310278"/>
      <w:bookmarkEnd w:id="59"/>
      <w:bookmarkStart w:id="60" w:name="_Toc184313298"/>
      <w:bookmarkEnd w:id="60"/>
      <w:bookmarkStart w:id="61" w:name="_Toc184312131"/>
      <w:bookmarkEnd w:id="61"/>
      <w:bookmarkStart w:id="62" w:name="_Toc184308041"/>
      <w:bookmarkEnd w:id="62"/>
      <w:bookmarkStart w:id="63" w:name="_Toc184310319"/>
      <w:bookmarkEnd w:id="63"/>
      <w:bookmarkStart w:id="64" w:name="_Toc184314447"/>
      <w:bookmarkEnd w:id="64"/>
      <w:bookmarkStart w:id="65" w:name="_Toc184308075"/>
      <w:bookmarkEnd w:id="65"/>
      <w:bookmarkStart w:id="66" w:name="_Toc184308098"/>
      <w:bookmarkEnd w:id="66"/>
      <w:bookmarkStart w:id="67" w:name="_Toc184312072"/>
      <w:bookmarkEnd w:id="67"/>
      <w:bookmarkStart w:id="68" w:name="_Toc184313241"/>
      <w:bookmarkEnd w:id="68"/>
      <w:bookmarkStart w:id="69" w:name="_Toc184313248"/>
      <w:bookmarkEnd w:id="69"/>
      <w:bookmarkStart w:id="70" w:name="_Toc184308101"/>
      <w:bookmarkEnd w:id="70"/>
      <w:bookmarkStart w:id="71" w:name="_Toc184308040"/>
      <w:bookmarkEnd w:id="71"/>
      <w:bookmarkStart w:id="72" w:name="_Toc184313289"/>
      <w:bookmarkEnd w:id="72"/>
      <w:bookmarkStart w:id="73" w:name="_Toc184312111"/>
      <w:bookmarkEnd w:id="73"/>
      <w:bookmarkStart w:id="74" w:name="_Toc184308059"/>
      <w:bookmarkEnd w:id="74"/>
      <w:bookmarkStart w:id="75" w:name="_Toc184312088"/>
      <w:bookmarkEnd w:id="75"/>
      <w:bookmarkStart w:id="76" w:name="_Toc184310300"/>
      <w:bookmarkEnd w:id="76"/>
      <w:bookmarkStart w:id="77" w:name="_Toc184314458"/>
      <w:bookmarkEnd w:id="77"/>
      <w:bookmarkStart w:id="78" w:name="_Toc184313279"/>
      <w:bookmarkEnd w:id="78"/>
      <w:bookmarkStart w:id="79" w:name="_Toc184314460"/>
      <w:bookmarkEnd w:id="79"/>
      <w:bookmarkStart w:id="80" w:name="_Toc184310339"/>
      <w:bookmarkEnd w:id="80"/>
      <w:bookmarkStart w:id="81" w:name="_Toc184313292"/>
      <w:bookmarkEnd w:id="81"/>
      <w:bookmarkStart w:id="82" w:name="_Toc184312124"/>
      <w:bookmarkEnd w:id="82"/>
      <w:bookmarkStart w:id="83" w:name="_Toc184308073"/>
      <w:bookmarkEnd w:id="83"/>
      <w:bookmarkStart w:id="84" w:name="_Toc184308057"/>
      <w:bookmarkEnd w:id="84"/>
      <w:bookmarkStart w:id="85" w:name="_Toc184308082"/>
      <w:bookmarkEnd w:id="85"/>
      <w:bookmarkStart w:id="86" w:name="_Toc184310318"/>
      <w:bookmarkEnd w:id="86"/>
      <w:bookmarkStart w:id="87" w:name="_Toc184310289"/>
      <w:bookmarkEnd w:id="87"/>
      <w:bookmarkStart w:id="88" w:name="_Toc184313269"/>
      <w:bookmarkEnd w:id="88"/>
      <w:bookmarkStart w:id="89" w:name="_Toc184313246"/>
      <w:bookmarkEnd w:id="89"/>
      <w:bookmarkStart w:id="90" w:name="_Toc184314445"/>
      <w:bookmarkEnd w:id="90"/>
      <w:bookmarkStart w:id="91" w:name="_Toc184310330"/>
      <w:bookmarkEnd w:id="91"/>
      <w:bookmarkStart w:id="92" w:name="_Toc184314433"/>
      <w:bookmarkEnd w:id="92"/>
      <w:bookmarkStart w:id="93" w:name="_Toc184310280"/>
      <w:bookmarkEnd w:id="93"/>
      <w:bookmarkStart w:id="94" w:name="_Toc184308103"/>
      <w:bookmarkEnd w:id="94"/>
      <w:bookmarkStart w:id="95" w:name="_Toc184310299"/>
      <w:bookmarkEnd w:id="95"/>
      <w:bookmarkStart w:id="96" w:name="_Toc184314439"/>
      <w:bookmarkEnd w:id="96"/>
      <w:bookmarkStart w:id="97" w:name="_Toc184313299"/>
      <w:bookmarkEnd w:id="97"/>
      <w:bookmarkStart w:id="98" w:name="_Toc184312112"/>
      <w:bookmarkEnd w:id="98"/>
      <w:bookmarkStart w:id="99" w:name="_Toc184314461"/>
      <w:bookmarkEnd w:id="99"/>
      <w:bookmarkStart w:id="100" w:name="_Toc184313291"/>
      <w:bookmarkEnd w:id="100"/>
      <w:bookmarkStart w:id="101" w:name="_Toc184310343"/>
      <w:bookmarkEnd w:id="101"/>
      <w:bookmarkStart w:id="102" w:name="_Toc184313263"/>
      <w:bookmarkEnd w:id="102"/>
      <w:bookmarkStart w:id="103" w:name="_Toc184312126"/>
      <w:bookmarkEnd w:id="103"/>
      <w:bookmarkStart w:id="104" w:name="_Toc184312121"/>
      <w:bookmarkEnd w:id="104"/>
      <w:bookmarkStart w:id="105" w:name="_Toc184313268"/>
      <w:bookmarkEnd w:id="105"/>
      <w:bookmarkStart w:id="106" w:name="_Toc184313239"/>
      <w:bookmarkEnd w:id="106"/>
      <w:bookmarkStart w:id="107" w:name="_Toc184313257"/>
      <w:bookmarkEnd w:id="107"/>
      <w:bookmarkStart w:id="108" w:name="_Toc184314452"/>
      <w:bookmarkEnd w:id="108"/>
      <w:bookmarkStart w:id="109" w:name="_Toc184308044"/>
      <w:bookmarkEnd w:id="109"/>
      <w:bookmarkStart w:id="110" w:name="_Toc184313297"/>
      <w:bookmarkEnd w:id="110"/>
      <w:bookmarkStart w:id="111" w:name="_Toc184312107"/>
      <w:bookmarkEnd w:id="111"/>
      <w:bookmarkStart w:id="112" w:name="_Toc184314438"/>
      <w:bookmarkEnd w:id="112"/>
      <w:bookmarkStart w:id="113" w:name="_Toc184313272"/>
      <w:bookmarkEnd w:id="113"/>
      <w:bookmarkStart w:id="114" w:name="_Toc184313262"/>
      <w:bookmarkEnd w:id="114"/>
      <w:bookmarkStart w:id="115" w:name="_Toc184313300"/>
      <w:bookmarkEnd w:id="115"/>
      <w:bookmarkStart w:id="116" w:name="_Toc184310279"/>
      <w:bookmarkEnd w:id="116"/>
      <w:bookmarkStart w:id="117" w:name="_Toc184313261"/>
      <w:bookmarkEnd w:id="117"/>
      <w:bookmarkStart w:id="118" w:name="_Toc184310307"/>
      <w:bookmarkEnd w:id="118"/>
      <w:bookmarkStart w:id="119" w:name="_Toc184312092"/>
      <w:bookmarkEnd w:id="119"/>
      <w:bookmarkStart w:id="120" w:name="_Toc184314431"/>
      <w:bookmarkEnd w:id="120"/>
      <w:bookmarkStart w:id="121" w:name="_Toc184308096"/>
      <w:bookmarkEnd w:id="121"/>
      <w:bookmarkStart w:id="122" w:name="_Toc184314443"/>
      <w:bookmarkEnd w:id="122"/>
      <w:bookmarkStart w:id="123" w:name="_Toc184314432"/>
      <w:bookmarkEnd w:id="123"/>
      <w:bookmarkStart w:id="124" w:name="_Toc184310332"/>
      <w:bookmarkEnd w:id="124"/>
      <w:bookmarkStart w:id="125" w:name="_Toc184308067"/>
      <w:bookmarkEnd w:id="125"/>
      <w:bookmarkStart w:id="126" w:name="_Toc184312120"/>
      <w:bookmarkEnd w:id="126"/>
      <w:bookmarkStart w:id="127" w:name="_Toc184313249"/>
      <w:bookmarkEnd w:id="127"/>
      <w:bookmarkStart w:id="128" w:name="_Toc184312077"/>
      <w:bookmarkEnd w:id="128"/>
      <w:bookmarkStart w:id="129" w:name="_Toc184308052"/>
      <w:bookmarkEnd w:id="129"/>
      <w:bookmarkStart w:id="130" w:name="_Toc184313307"/>
      <w:bookmarkEnd w:id="130"/>
      <w:bookmarkStart w:id="131" w:name="_Toc184312068"/>
      <w:bookmarkEnd w:id="131"/>
      <w:bookmarkStart w:id="132" w:name="_Toc184308049"/>
      <w:bookmarkEnd w:id="132"/>
      <w:bookmarkStart w:id="133" w:name="_Toc184312096"/>
      <w:bookmarkEnd w:id="133"/>
      <w:bookmarkStart w:id="134" w:name="_Toc184310283"/>
      <w:bookmarkEnd w:id="134"/>
      <w:bookmarkStart w:id="135" w:name="_Toc184314459"/>
      <w:bookmarkEnd w:id="135"/>
      <w:bookmarkStart w:id="136" w:name="_Toc184308108"/>
      <w:bookmarkEnd w:id="136"/>
      <w:bookmarkStart w:id="137" w:name="_Toc184310342"/>
      <w:bookmarkEnd w:id="137"/>
      <w:bookmarkStart w:id="138" w:name="_Toc184314425"/>
      <w:bookmarkEnd w:id="138"/>
      <w:bookmarkStart w:id="139" w:name="_Toc184308088"/>
      <w:bookmarkEnd w:id="139"/>
      <w:bookmarkStart w:id="140" w:name="_Toc184310328"/>
      <w:bookmarkEnd w:id="140"/>
      <w:bookmarkStart w:id="141" w:name="_Toc184308107"/>
      <w:bookmarkEnd w:id="141"/>
      <w:bookmarkStart w:id="142" w:name="_Toc184313301"/>
      <w:bookmarkEnd w:id="142"/>
      <w:bookmarkStart w:id="143" w:name="_Toc184314481"/>
      <w:bookmarkEnd w:id="143"/>
      <w:bookmarkStart w:id="144" w:name="_Toc184312115"/>
      <w:bookmarkEnd w:id="144"/>
      <w:bookmarkStart w:id="145" w:name="_Toc184314466"/>
      <w:bookmarkEnd w:id="145"/>
      <w:bookmarkStart w:id="146" w:name="_Toc184313242"/>
      <w:bookmarkEnd w:id="146"/>
      <w:bookmarkStart w:id="147" w:name="_Toc184313258"/>
      <w:bookmarkEnd w:id="147"/>
      <w:bookmarkStart w:id="148" w:name="_Toc184314441"/>
      <w:bookmarkEnd w:id="148"/>
      <w:bookmarkStart w:id="149" w:name="_Toc184313306"/>
      <w:bookmarkEnd w:id="149"/>
      <w:bookmarkStart w:id="150" w:name="_Toc184308060"/>
      <w:bookmarkEnd w:id="150"/>
      <w:bookmarkStart w:id="151" w:name="_Toc184310291"/>
      <w:bookmarkEnd w:id="151"/>
      <w:bookmarkStart w:id="152" w:name="_Toc184313285"/>
      <w:bookmarkEnd w:id="152"/>
      <w:bookmarkStart w:id="153" w:name="_Toc184313240"/>
      <w:bookmarkEnd w:id="153"/>
      <w:bookmarkStart w:id="154" w:name="_Toc184314415"/>
      <w:bookmarkEnd w:id="154"/>
      <w:bookmarkStart w:id="155" w:name="_Toc184314469"/>
      <w:bookmarkEnd w:id="155"/>
      <w:bookmarkStart w:id="156" w:name="_Toc184308090"/>
      <w:bookmarkEnd w:id="156"/>
      <w:bookmarkStart w:id="157" w:name="_Toc184308091"/>
      <w:bookmarkEnd w:id="157"/>
      <w:bookmarkStart w:id="158" w:name="_Toc184312134"/>
      <w:bookmarkEnd w:id="158"/>
      <w:bookmarkStart w:id="159" w:name="_Toc184310281"/>
      <w:bookmarkEnd w:id="159"/>
      <w:bookmarkStart w:id="160" w:name="_Toc184308038"/>
      <w:bookmarkEnd w:id="160"/>
      <w:bookmarkStart w:id="161" w:name="_Toc184313264"/>
      <w:bookmarkEnd w:id="161"/>
      <w:bookmarkStart w:id="162" w:name="_Toc184314482"/>
      <w:bookmarkEnd w:id="162"/>
      <w:bookmarkStart w:id="163" w:name="_Toc184314434"/>
      <w:bookmarkEnd w:id="163"/>
      <w:bookmarkStart w:id="164" w:name="_Toc184314472"/>
      <w:bookmarkEnd w:id="164"/>
      <w:bookmarkStart w:id="165" w:name="_Toc184313286"/>
      <w:bookmarkEnd w:id="165"/>
      <w:bookmarkStart w:id="166" w:name="_Toc184310274"/>
      <w:bookmarkEnd w:id="166"/>
      <w:bookmarkStart w:id="167" w:name="_Toc184308102"/>
      <w:bookmarkEnd w:id="167"/>
      <w:bookmarkStart w:id="168" w:name="_Toc184310315"/>
      <w:bookmarkEnd w:id="168"/>
      <w:bookmarkStart w:id="169" w:name="_Toc184314421"/>
      <w:bookmarkEnd w:id="169"/>
      <w:bookmarkStart w:id="170" w:name="_Toc184308106"/>
      <w:bookmarkEnd w:id="170"/>
      <w:bookmarkStart w:id="171" w:name="_Toc184314446"/>
      <w:bookmarkEnd w:id="171"/>
      <w:bookmarkStart w:id="172" w:name="_Toc184308100"/>
      <w:bookmarkEnd w:id="172"/>
      <w:bookmarkStart w:id="173" w:name="_Toc184310337"/>
      <w:bookmarkEnd w:id="173"/>
      <w:bookmarkStart w:id="174" w:name="_Toc184314422"/>
      <w:bookmarkEnd w:id="174"/>
      <w:bookmarkStart w:id="175" w:name="_Toc184314413"/>
      <w:bookmarkEnd w:id="175"/>
      <w:bookmarkStart w:id="176" w:name="_Toc184312086"/>
      <w:bookmarkEnd w:id="176"/>
      <w:bookmarkStart w:id="177" w:name="_Toc184312118"/>
      <w:bookmarkEnd w:id="177"/>
      <w:bookmarkStart w:id="178" w:name="_Toc184314467"/>
      <w:bookmarkEnd w:id="178"/>
      <w:bookmarkStart w:id="179" w:name="_Toc184308071"/>
      <w:bookmarkEnd w:id="179"/>
      <w:bookmarkStart w:id="180" w:name="_Toc184310295"/>
      <w:bookmarkEnd w:id="180"/>
      <w:bookmarkStart w:id="181" w:name="_Toc184310282"/>
      <w:bookmarkEnd w:id="181"/>
      <w:bookmarkStart w:id="182" w:name="_Toc184308064"/>
      <w:bookmarkEnd w:id="182"/>
      <w:bookmarkStart w:id="183" w:name="_Toc184310316"/>
      <w:bookmarkEnd w:id="183"/>
      <w:bookmarkStart w:id="184" w:name="_Toc184313288"/>
      <w:bookmarkEnd w:id="184"/>
      <w:bookmarkStart w:id="185" w:name="_Toc184314430"/>
      <w:bookmarkEnd w:id="185"/>
      <w:bookmarkStart w:id="186" w:name="_Toc184310297"/>
      <w:bookmarkEnd w:id="186"/>
      <w:bookmarkStart w:id="187" w:name="_Toc184308099"/>
      <w:bookmarkEnd w:id="187"/>
      <w:bookmarkStart w:id="188" w:name="_Toc184308048"/>
      <w:bookmarkEnd w:id="188"/>
      <w:bookmarkStart w:id="189" w:name="_Toc184308081"/>
      <w:bookmarkEnd w:id="189"/>
      <w:bookmarkStart w:id="190" w:name="_Toc184312087"/>
      <w:bookmarkEnd w:id="190"/>
      <w:bookmarkStart w:id="191" w:name="_Toc184312078"/>
      <w:bookmarkEnd w:id="191"/>
      <w:bookmarkStart w:id="192" w:name="_Toc184312093"/>
      <w:bookmarkEnd w:id="192"/>
      <w:bookmarkStart w:id="193" w:name="_Toc184313259"/>
      <w:bookmarkEnd w:id="193"/>
      <w:bookmarkStart w:id="194" w:name="_Toc184308054"/>
      <w:bookmarkEnd w:id="194"/>
      <w:bookmarkStart w:id="195" w:name="_Toc184314423"/>
      <w:bookmarkEnd w:id="195"/>
      <w:bookmarkStart w:id="196" w:name="_Toc184313253"/>
      <w:bookmarkEnd w:id="196"/>
      <w:bookmarkStart w:id="197" w:name="_Toc184308066"/>
      <w:bookmarkEnd w:id="197"/>
      <w:bookmarkStart w:id="198" w:name="_Toc184310312"/>
      <w:bookmarkEnd w:id="198"/>
      <w:bookmarkStart w:id="199" w:name="_Toc184312099"/>
      <w:bookmarkEnd w:id="199"/>
      <w:bookmarkStart w:id="200" w:name="_Toc184312081"/>
      <w:bookmarkEnd w:id="200"/>
      <w:bookmarkStart w:id="201" w:name="_Toc184314470"/>
      <w:bookmarkEnd w:id="201"/>
      <w:bookmarkStart w:id="202" w:name="_Toc184313250"/>
      <w:bookmarkEnd w:id="202"/>
      <w:bookmarkStart w:id="203" w:name="_Toc184308063"/>
      <w:bookmarkEnd w:id="203"/>
      <w:bookmarkStart w:id="204" w:name="_Toc184314464"/>
      <w:bookmarkEnd w:id="204"/>
      <w:bookmarkStart w:id="205" w:name="_Toc184308068"/>
      <w:bookmarkEnd w:id="205"/>
      <w:bookmarkStart w:id="206" w:name="_Toc184310305"/>
      <w:bookmarkEnd w:id="206"/>
      <w:bookmarkStart w:id="207" w:name="_Toc184312075"/>
      <w:bookmarkEnd w:id="207"/>
      <w:bookmarkStart w:id="208" w:name="_Toc184312128"/>
      <w:bookmarkEnd w:id="208"/>
      <w:bookmarkStart w:id="209" w:name="_Toc184313273"/>
      <w:bookmarkEnd w:id="209"/>
      <w:bookmarkStart w:id="210" w:name="_Toc184312094"/>
      <w:bookmarkEnd w:id="210"/>
      <w:bookmarkStart w:id="211" w:name="_Toc184313290"/>
      <w:bookmarkEnd w:id="211"/>
      <w:bookmarkStart w:id="212" w:name="_Toc184314475"/>
      <w:bookmarkEnd w:id="212"/>
      <w:bookmarkStart w:id="213" w:name="_Toc184310321"/>
      <w:bookmarkEnd w:id="213"/>
      <w:bookmarkStart w:id="214" w:name="_Toc184312071"/>
      <w:bookmarkEnd w:id="214"/>
      <w:bookmarkStart w:id="215" w:name="_Toc184314462"/>
      <w:bookmarkEnd w:id="215"/>
      <w:bookmarkStart w:id="216" w:name="_Toc184312103"/>
      <w:bookmarkEnd w:id="216"/>
      <w:bookmarkStart w:id="217" w:name="_Toc184310320"/>
      <w:bookmarkEnd w:id="217"/>
      <w:bookmarkStart w:id="218" w:name="_Toc184312108"/>
      <w:bookmarkEnd w:id="218"/>
      <w:bookmarkStart w:id="219" w:name="_Toc184310272"/>
      <w:bookmarkEnd w:id="219"/>
      <w:bookmarkStart w:id="220" w:name="_Toc184314465"/>
      <w:bookmarkEnd w:id="220"/>
      <w:bookmarkStart w:id="221" w:name="_Toc184312110"/>
      <w:bookmarkEnd w:id="221"/>
      <w:bookmarkStart w:id="222" w:name="_Toc184308062"/>
      <w:bookmarkEnd w:id="222"/>
      <w:bookmarkStart w:id="223" w:name="_Toc184314450"/>
      <w:bookmarkEnd w:id="223"/>
      <w:bookmarkStart w:id="224" w:name="_Toc184310335"/>
      <w:bookmarkEnd w:id="224"/>
      <w:bookmarkStart w:id="225" w:name="_Toc184310340"/>
      <w:bookmarkEnd w:id="225"/>
      <w:bookmarkStart w:id="226" w:name="_Toc184308104"/>
      <w:bookmarkEnd w:id="226"/>
      <w:bookmarkStart w:id="227" w:name="_Toc184313308"/>
      <w:bookmarkEnd w:id="227"/>
      <w:bookmarkStart w:id="228" w:name="_Toc184313251"/>
      <w:bookmarkEnd w:id="228"/>
      <w:bookmarkStart w:id="229" w:name="_Toc184310336"/>
      <w:bookmarkEnd w:id="229"/>
      <w:bookmarkStart w:id="230" w:name="_Toc184312122"/>
      <w:bookmarkEnd w:id="230"/>
      <w:bookmarkStart w:id="231" w:name="_Toc184310304"/>
      <w:bookmarkEnd w:id="231"/>
      <w:bookmarkStart w:id="232" w:name="_Toc184312101"/>
      <w:bookmarkEnd w:id="232"/>
      <w:bookmarkStart w:id="233" w:name="_Toc184314427"/>
      <w:bookmarkEnd w:id="233"/>
      <w:bookmarkStart w:id="234" w:name="_Toc184314479"/>
      <w:bookmarkEnd w:id="234"/>
      <w:bookmarkStart w:id="235" w:name="_Toc184310287"/>
      <w:bookmarkEnd w:id="235"/>
      <w:bookmarkStart w:id="236" w:name="_Toc184310334"/>
      <w:bookmarkEnd w:id="236"/>
      <w:bookmarkStart w:id="237" w:name="_Toc184308051"/>
      <w:bookmarkEnd w:id="237"/>
      <w:bookmarkStart w:id="238" w:name="_Toc184314473"/>
      <w:bookmarkEnd w:id="238"/>
      <w:bookmarkStart w:id="239" w:name="_Toc184312136"/>
      <w:bookmarkEnd w:id="239"/>
      <w:bookmarkStart w:id="240" w:name="_Toc184312069"/>
      <w:bookmarkEnd w:id="240"/>
      <w:bookmarkStart w:id="241" w:name="_Toc184308037"/>
      <w:bookmarkEnd w:id="241"/>
      <w:bookmarkStart w:id="242" w:name="_Toc184310338"/>
      <w:bookmarkEnd w:id="242"/>
      <w:bookmarkStart w:id="243" w:name="_Toc184313293"/>
      <w:bookmarkEnd w:id="243"/>
      <w:bookmarkStart w:id="244" w:name="_Toc184312070"/>
      <w:bookmarkEnd w:id="244"/>
      <w:bookmarkStart w:id="245" w:name="_Toc184310313"/>
      <w:bookmarkEnd w:id="245"/>
      <w:bookmarkStart w:id="246" w:name="_Toc184308053"/>
      <w:bookmarkEnd w:id="246"/>
      <w:bookmarkStart w:id="247" w:name="_Toc184313247"/>
      <w:bookmarkEnd w:id="247"/>
      <w:bookmarkStart w:id="248" w:name="_Toc184312098"/>
      <w:bookmarkEnd w:id="248"/>
      <w:bookmarkStart w:id="249" w:name="_Toc184314456"/>
      <w:bookmarkEnd w:id="249"/>
      <w:bookmarkStart w:id="250" w:name="_Toc184310298"/>
      <w:bookmarkEnd w:id="250"/>
      <w:bookmarkStart w:id="251" w:name="_Toc184314424"/>
      <w:bookmarkEnd w:id="251"/>
      <w:bookmarkStart w:id="252" w:name="_Toc184310285"/>
      <w:bookmarkEnd w:id="252"/>
      <w:bookmarkStart w:id="253" w:name="_Toc184314463"/>
      <w:bookmarkEnd w:id="253"/>
      <w:bookmarkStart w:id="254" w:name="_Toc184313280"/>
      <w:bookmarkEnd w:id="254"/>
      <w:bookmarkStart w:id="255" w:name="_Toc184312084"/>
      <w:bookmarkEnd w:id="255"/>
      <w:bookmarkStart w:id="256" w:name="_Toc184310288"/>
      <w:bookmarkEnd w:id="256"/>
      <w:bookmarkStart w:id="257" w:name="_Toc184312105"/>
      <w:bookmarkEnd w:id="257"/>
      <w:bookmarkStart w:id="258" w:name="_Toc184310322"/>
      <w:bookmarkEnd w:id="258"/>
      <w:bookmarkStart w:id="259" w:name="_Toc184308086"/>
      <w:bookmarkEnd w:id="259"/>
      <w:bookmarkStart w:id="260" w:name="_Toc184310303"/>
      <w:bookmarkEnd w:id="260"/>
      <w:bookmarkStart w:id="261" w:name="_Toc184313267"/>
      <w:bookmarkEnd w:id="261"/>
      <w:bookmarkStart w:id="262" w:name="_Toc184312102"/>
      <w:bookmarkEnd w:id="262"/>
      <w:bookmarkStart w:id="263" w:name="_Toc184314478"/>
      <w:bookmarkEnd w:id="263"/>
      <w:bookmarkStart w:id="264" w:name="_Toc184310284"/>
      <w:bookmarkEnd w:id="264"/>
      <w:bookmarkStart w:id="265" w:name="_Toc184312139"/>
      <w:bookmarkEnd w:id="265"/>
      <w:bookmarkStart w:id="266" w:name="_Toc184308105"/>
      <w:bookmarkEnd w:id="266"/>
      <w:bookmarkStart w:id="267" w:name="_Toc184314437"/>
      <w:bookmarkEnd w:id="267"/>
      <w:bookmarkStart w:id="268" w:name="_Toc184313287"/>
      <w:bookmarkEnd w:id="268"/>
      <w:bookmarkStart w:id="269" w:name="_Toc184310296"/>
      <w:bookmarkEnd w:id="269"/>
      <w:bookmarkStart w:id="270" w:name="_Toc184312082"/>
      <w:bookmarkEnd w:id="270"/>
      <w:bookmarkStart w:id="271" w:name="_Toc184313256"/>
      <w:bookmarkEnd w:id="271"/>
      <w:bookmarkStart w:id="272" w:name="_Toc184313252"/>
      <w:bookmarkEnd w:id="272"/>
      <w:bookmarkStart w:id="273" w:name="_Toc184308078"/>
      <w:bookmarkEnd w:id="273"/>
      <w:bookmarkStart w:id="274" w:name="_Toc184314480"/>
      <w:bookmarkEnd w:id="274"/>
      <w:bookmarkStart w:id="275" w:name="_Toc184313275"/>
      <w:bookmarkEnd w:id="275"/>
      <w:bookmarkStart w:id="276" w:name="_Toc184313244"/>
      <w:bookmarkEnd w:id="276"/>
      <w:bookmarkStart w:id="277" w:name="_Toc184308065"/>
      <w:bookmarkEnd w:id="277"/>
      <w:bookmarkStart w:id="278" w:name="_Toc184313278"/>
      <w:bookmarkEnd w:id="278"/>
      <w:bookmarkStart w:id="279" w:name="_Toc184314440"/>
      <w:bookmarkEnd w:id="279"/>
      <w:bookmarkStart w:id="280" w:name="_Toc184312095"/>
      <w:bookmarkEnd w:id="280"/>
      <w:bookmarkStart w:id="281" w:name="_Toc184314416"/>
      <w:bookmarkEnd w:id="281"/>
      <w:bookmarkStart w:id="282" w:name="_Toc184310317"/>
      <w:bookmarkEnd w:id="282"/>
      <w:bookmarkStart w:id="283" w:name="_Toc184312114"/>
      <w:bookmarkEnd w:id="283"/>
      <w:bookmarkStart w:id="284" w:name="_Toc184314426"/>
      <w:bookmarkEnd w:id="284"/>
      <w:bookmarkStart w:id="285" w:name="_Toc184313310"/>
      <w:bookmarkEnd w:id="285"/>
      <w:bookmarkStart w:id="286" w:name="_Toc184312137"/>
      <w:bookmarkEnd w:id="286"/>
      <w:bookmarkStart w:id="287" w:name="_Toc184312097"/>
      <w:bookmarkEnd w:id="287"/>
      <w:bookmarkStart w:id="288" w:name="_Toc184312090"/>
      <w:bookmarkEnd w:id="288"/>
      <w:bookmarkStart w:id="289" w:name="_Toc184312083"/>
      <w:bookmarkEnd w:id="289"/>
      <w:bookmarkStart w:id="290" w:name="_Toc184308097"/>
      <w:bookmarkEnd w:id="290"/>
      <w:bookmarkStart w:id="291" w:name="_Toc184308077"/>
      <w:bookmarkEnd w:id="291"/>
      <w:bookmarkStart w:id="292" w:name="_Toc184314428"/>
      <w:bookmarkEnd w:id="292"/>
      <w:bookmarkStart w:id="293" w:name="_Toc184313266"/>
      <w:bookmarkEnd w:id="293"/>
      <w:bookmarkStart w:id="294" w:name="_Toc184313271"/>
      <w:bookmarkEnd w:id="294"/>
      <w:bookmarkStart w:id="295" w:name="_Toc184308069"/>
      <w:bookmarkEnd w:id="295"/>
      <w:bookmarkStart w:id="296" w:name="_Toc184310326"/>
      <w:bookmarkEnd w:id="296"/>
      <w:bookmarkStart w:id="297" w:name="_Toc184314476"/>
      <w:bookmarkEnd w:id="297"/>
      <w:bookmarkStart w:id="298" w:name="_Toc184312125"/>
      <w:bookmarkEnd w:id="298"/>
      <w:bookmarkStart w:id="299" w:name="_Toc184310309"/>
      <w:bookmarkEnd w:id="299"/>
      <w:bookmarkStart w:id="300" w:name="_Toc184313282"/>
      <w:bookmarkEnd w:id="300"/>
      <w:bookmarkStart w:id="301" w:name="_Toc184310314"/>
      <w:bookmarkEnd w:id="301"/>
      <w:bookmarkStart w:id="302" w:name="_Toc184313238"/>
      <w:bookmarkEnd w:id="302"/>
      <w:bookmarkStart w:id="303" w:name="_Toc184312079"/>
      <w:bookmarkEnd w:id="303"/>
      <w:bookmarkStart w:id="304" w:name="_Toc184313243"/>
      <w:bookmarkEnd w:id="304"/>
      <w:bookmarkStart w:id="305" w:name="_Toc184312123"/>
      <w:bookmarkEnd w:id="305"/>
      <w:bookmarkStart w:id="306" w:name="_Toc184310323"/>
      <w:bookmarkEnd w:id="306"/>
      <w:bookmarkStart w:id="307" w:name="_Toc184314436"/>
      <w:bookmarkEnd w:id="307"/>
      <w:bookmarkStart w:id="308" w:name="_Toc184312132"/>
      <w:bookmarkEnd w:id="308"/>
      <w:bookmarkStart w:id="309" w:name="_Toc184310293"/>
      <w:bookmarkEnd w:id="309"/>
      <w:bookmarkStart w:id="310" w:name="_Toc184313276"/>
      <w:bookmarkEnd w:id="310"/>
      <w:bookmarkStart w:id="311" w:name="_Toc184314429"/>
      <w:bookmarkEnd w:id="311"/>
      <w:bookmarkStart w:id="312" w:name="_Toc184314411"/>
      <w:bookmarkEnd w:id="312"/>
      <w:bookmarkStart w:id="313" w:name="_Toc184308036"/>
      <w:bookmarkEnd w:id="313"/>
      <w:bookmarkStart w:id="314" w:name="_Toc184310277"/>
      <w:bookmarkEnd w:id="314"/>
      <w:bookmarkStart w:id="315" w:name="_Toc184312100"/>
      <w:bookmarkEnd w:id="315"/>
      <w:bookmarkStart w:id="316" w:name="_Toc184308056"/>
      <w:bookmarkEnd w:id="316"/>
      <w:bookmarkStart w:id="317" w:name="_Toc184313274"/>
      <w:bookmarkEnd w:id="317"/>
      <w:bookmarkStart w:id="318" w:name="_Toc184314448"/>
      <w:bookmarkEnd w:id="318"/>
      <w:bookmarkStart w:id="319" w:name="_Toc184308072"/>
      <w:bookmarkEnd w:id="319"/>
      <w:bookmarkStart w:id="320" w:name="_Toc184312080"/>
      <w:bookmarkEnd w:id="320"/>
      <w:bookmarkStart w:id="321" w:name="_Toc184308050"/>
      <w:bookmarkEnd w:id="321"/>
      <w:bookmarkStart w:id="322" w:name="_Toc184308094"/>
      <w:bookmarkEnd w:id="322"/>
      <w:bookmarkStart w:id="323" w:name="_Toc184308070"/>
      <w:bookmarkEnd w:id="323"/>
      <w:bookmarkStart w:id="324" w:name="_Toc184308085"/>
      <w:bookmarkEnd w:id="324"/>
      <w:bookmarkStart w:id="325" w:name="_Toc184310333"/>
      <w:bookmarkEnd w:id="325"/>
      <w:bookmarkStart w:id="326" w:name="_Toc184310325"/>
      <w:bookmarkEnd w:id="326"/>
      <w:bookmarkStart w:id="327" w:name="_Toc184312085"/>
      <w:bookmarkEnd w:id="327"/>
      <w:bookmarkStart w:id="328" w:name="_Toc184308055"/>
      <w:bookmarkEnd w:id="328"/>
      <w:bookmarkStart w:id="329" w:name="_Toc184312104"/>
      <w:bookmarkEnd w:id="329"/>
      <w:bookmarkStart w:id="330" w:name="_Toc184314474"/>
      <w:bookmarkEnd w:id="330"/>
      <w:bookmarkStart w:id="331" w:name="_Toc184308087"/>
      <w:bookmarkEnd w:id="331"/>
      <w:bookmarkStart w:id="332" w:name="_Toc184308058"/>
      <w:bookmarkEnd w:id="332"/>
      <w:bookmarkStart w:id="333" w:name="_Toc184312117"/>
      <w:bookmarkEnd w:id="333"/>
      <w:bookmarkStart w:id="334" w:name="_Toc184313309"/>
      <w:bookmarkEnd w:id="334"/>
      <w:bookmarkStart w:id="335" w:name="_Toc184308092"/>
      <w:bookmarkEnd w:id="335"/>
      <w:bookmarkStart w:id="336" w:name="_Toc184310273"/>
      <w:bookmarkEnd w:id="336"/>
      <w:bookmarkStart w:id="337" w:name="_Toc184314455"/>
      <w:bookmarkEnd w:id="337"/>
      <w:bookmarkStart w:id="338" w:name="_Toc184310327"/>
      <w:bookmarkEnd w:id="338"/>
      <w:bookmarkStart w:id="339" w:name="_Toc184310286"/>
      <w:bookmarkEnd w:id="339"/>
      <w:bookmarkStart w:id="340" w:name="_Toc184313277"/>
      <w:bookmarkEnd w:id="340"/>
      <w:bookmarkStart w:id="341" w:name="_Toc184314417"/>
      <w:bookmarkEnd w:id="341"/>
      <w:bookmarkStart w:id="342" w:name="_Toc184308093"/>
      <w:bookmarkEnd w:id="342"/>
      <w:bookmarkStart w:id="343" w:name="_Toc184312091"/>
      <w:bookmarkEnd w:id="343"/>
      <w:bookmarkStart w:id="344" w:name="_Toc184313260"/>
      <w:bookmarkEnd w:id="344"/>
      <w:bookmarkStart w:id="345" w:name="_Toc184310311"/>
      <w:bookmarkEnd w:id="345"/>
      <w:bookmarkStart w:id="346" w:name="_Toc184312113"/>
      <w:bookmarkEnd w:id="346"/>
      <w:bookmarkStart w:id="347" w:name="_Toc184314410"/>
      <w:bookmarkEnd w:id="347"/>
      <w:bookmarkStart w:id="348" w:name="_Toc184312067"/>
      <w:bookmarkEnd w:id="348"/>
      <w:bookmarkStart w:id="349" w:name="_Toc184310341"/>
      <w:bookmarkEnd w:id="349"/>
      <w:bookmarkStart w:id="350" w:name="_Toc184313294"/>
      <w:bookmarkEnd w:id="350"/>
      <w:bookmarkStart w:id="351" w:name="_Toc184308039"/>
      <w:bookmarkEnd w:id="351"/>
      <w:bookmarkStart w:id="352" w:name="_Toc184314419"/>
      <w:bookmarkEnd w:id="352"/>
      <w:bookmarkStart w:id="353" w:name="_Toc184313265"/>
      <w:bookmarkEnd w:id="353"/>
      <w:bookmarkStart w:id="354" w:name="_Toc184313281"/>
      <w:bookmarkEnd w:id="354"/>
      <w:bookmarkStart w:id="355" w:name="_Toc184314457"/>
      <w:bookmarkEnd w:id="355"/>
      <w:bookmarkStart w:id="356" w:name="_Toc184310306"/>
      <w:bookmarkEnd w:id="356"/>
      <w:bookmarkStart w:id="357" w:name="_Toc184313270"/>
      <w:bookmarkEnd w:id="357"/>
      <w:bookmarkStart w:id="358" w:name="_Toc184314420"/>
      <w:bookmarkEnd w:id="358"/>
      <w:bookmarkStart w:id="359" w:name="_Toc184312074"/>
      <w:bookmarkEnd w:id="359"/>
      <w:bookmarkStart w:id="360" w:name="_Toc184308046"/>
      <w:bookmarkEnd w:id="360"/>
      <w:bookmarkStart w:id="361" w:name="_Toc184312089"/>
      <w:bookmarkEnd w:id="361"/>
      <w:bookmarkStart w:id="362" w:name="_Toc184310294"/>
      <w:bookmarkEnd w:id="362"/>
      <w:bookmarkStart w:id="363" w:name="_Toc184312119"/>
      <w:bookmarkEnd w:id="363"/>
      <w:bookmarkStart w:id="364" w:name="_Toc184310331"/>
      <w:bookmarkEnd w:id="364"/>
      <w:bookmarkStart w:id="365" w:name="_Toc184308083"/>
      <w:bookmarkEnd w:id="365"/>
      <w:bookmarkStart w:id="366" w:name="_Toc184314451"/>
      <w:bookmarkEnd w:id="366"/>
      <w:bookmarkStart w:id="367" w:name="_Toc184313303"/>
      <w:bookmarkEnd w:id="367"/>
      <w:bookmarkStart w:id="368" w:name="_Toc184312130"/>
      <w:bookmarkEnd w:id="368"/>
      <w:bookmarkStart w:id="369" w:name="_Toc184308047"/>
      <w:bookmarkEnd w:id="369"/>
      <w:bookmarkStart w:id="370" w:name="_Toc184308061"/>
      <w:bookmarkEnd w:id="370"/>
      <w:bookmarkStart w:id="371" w:name="_Toc184308080"/>
      <w:bookmarkEnd w:id="371"/>
      <w:bookmarkStart w:id="372" w:name="_Toc184312106"/>
      <w:bookmarkEnd w:id="372"/>
      <w:bookmarkStart w:id="373" w:name="_Toc184310308"/>
      <w:bookmarkEnd w:id="373"/>
      <w:bookmarkStart w:id="374" w:name="_Toc184312116"/>
      <w:bookmarkEnd w:id="374"/>
      <w:bookmarkStart w:id="375" w:name="_Toc184313255"/>
      <w:bookmarkEnd w:id="375"/>
      <w:bookmarkStart w:id="376" w:name="_Toc184312135"/>
      <w:bookmarkEnd w:id="376"/>
      <w:bookmarkStart w:id="377" w:name="_Toc184313296"/>
      <w:bookmarkEnd w:id="377"/>
      <w:bookmarkStart w:id="378" w:name="_Toc184312138"/>
      <w:bookmarkEnd w:id="378"/>
      <w:bookmarkStart w:id="379" w:name="_Toc184314435"/>
      <w:bookmarkEnd w:id="379"/>
      <w:bookmarkStart w:id="380" w:name="_Toc184314453"/>
      <w:bookmarkEnd w:id="380"/>
      <w:bookmarkStart w:id="381" w:name="_Toc184314454"/>
      <w:bookmarkEnd w:id="381"/>
      <w:bookmarkStart w:id="382" w:name="_Toc184310290"/>
      <w:bookmarkEnd w:id="382"/>
      <w:bookmarkStart w:id="383" w:name="_Toc184310344"/>
      <w:bookmarkEnd w:id="383"/>
      <w:bookmarkStart w:id="384" w:name="_Toc184313245"/>
      <w:bookmarkEnd w:id="384"/>
      <w:bookmarkStart w:id="385" w:name="_Toc184314412"/>
      <w:bookmarkEnd w:id="385"/>
      <w:bookmarkStart w:id="386" w:name="_Toc184312073"/>
      <w:bookmarkEnd w:id="386"/>
      <w:bookmarkStart w:id="387" w:name="_Toc184312133"/>
      <w:bookmarkEnd w:id="387"/>
      <w:bookmarkStart w:id="388" w:name="_Toc184313304"/>
      <w:bookmarkEnd w:id="388"/>
      <w:bookmarkStart w:id="389" w:name="_Toc184313302"/>
      <w:bookmarkEnd w:id="389"/>
      <w:bookmarkStart w:id="390" w:name="_Toc184314471"/>
      <w:bookmarkEnd w:id="390"/>
      <w:bookmarkStart w:id="391" w:name="_Toc184310324"/>
      <w:bookmarkEnd w:id="391"/>
      <w:bookmarkStart w:id="392" w:name="_Toc184313305"/>
      <w:bookmarkEnd w:id="392"/>
      <w:bookmarkStart w:id="393" w:name="_Toc184308043"/>
      <w:bookmarkEnd w:id="393"/>
      <w:bookmarkStart w:id="394" w:name="_Toc184312129"/>
      <w:bookmarkEnd w:id="394"/>
      <w:bookmarkStart w:id="395" w:name="_Toc184313295"/>
      <w:bookmarkEnd w:id="395"/>
      <w:bookmarkStart w:id="396" w:name="_Toc184308074"/>
      <w:bookmarkEnd w:id="396"/>
      <w:bookmarkStart w:id="397" w:name="_Toc184310292"/>
      <w:bookmarkEnd w:id="397"/>
      <w:bookmarkStart w:id="398" w:name="_Toc184314468"/>
      <w:bookmarkEnd w:id="398"/>
      <w:bookmarkStart w:id="399" w:name="_Toc184308076"/>
      <w:bookmarkEnd w:id="399"/>
      <w:bookmarkStart w:id="400" w:name="_Toc184310276"/>
      <w:bookmarkEnd w:id="400"/>
      <w:bookmarkStart w:id="401" w:name="_Toc184310302"/>
      <w:bookmarkEnd w:id="401"/>
      <w:bookmarkStart w:id="402" w:name="_Toc184313283"/>
      <w:bookmarkEnd w:id="402"/>
      <w:r>
        <w:rPr>
          <w:rFonts w:hint="eastAsia" w:ascii="仿宋_GB2312" w:hAnsi="仿宋" w:eastAsia="仿宋_GB2312" w:cs="仿宋_GB2312"/>
          <w:b/>
          <w:sz w:val="36"/>
          <w:szCs w:val="36"/>
        </w:rPr>
        <w:t>评标方法及评分标准</w:t>
      </w:r>
    </w:p>
    <w:p>
      <w:pPr>
        <w:adjustRightInd w:val="0"/>
        <w:snapToGrid w:val="0"/>
        <w:spacing w:line="360" w:lineRule="auto"/>
        <w:ind w:firstLine="3052" w:firstLineChars="950"/>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1.综合评分法。</w:t>
      </w:r>
      <w:r>
        <w:rPr>
          <w:rFonts w:hint="eastAsia" w:ascii="仿宋_GB2312" w:hAnsi="仿宋" w:eastAsia="仿宋_GB2312" w:cs="Arial"/>
          <w:kern w:val="0"/>
          <w:sz w:val="24"/>
          <w:szCs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kern w:val="0"/>
          <w:sz w:val="24"/>
          <w:szCs w:val="24"/>
        </w:rPr>
      </w:pPr>
    </w:p>
    <w:p>
      <w:pPr>
        <w:adjustRightInd w:val="0"/>
        <w:snapToGrid w:val="0"/>
        <w:spacing w:line="360" w:lineRule="auto"/>
        <w:ind w:left="120" w:leftChars="57" w:firstLine="422" w:firstLineChars="150"/>
        <w:jc w:val="center"/>
        <w:rPr>
          <w:rFonts w:ascii="仿宋_GB2312" w:hAnsi="仿宋" w:eastAsia="仿宋_GB2312" w:cs="仿宋_GB2312"/>
          <w:b/>
          <w:sz w:val="32"/>
          <w:szCs w:val="24"/>
        </w:rPr>
      </w:pPr>
      <w:r>
        <w:rPr>
          <w:rFonts w:hint="eastAsia" w:ascii="仿宋_GB2312" w:hAnsi="仿宋" w:eastAsia="仿宋_GB2312" w:cs="Times New Roman"/>
          <w:b/>
          <w:sz w:val="28"/>
          <w:szCs w:val="28"/>
        </w:rPr>
        <w:t xml:space="preserve">   </w:t>
      </w:r>
      <w:r>
        <w:rPr>
          <w:rFonts w:hint="eastAsia" w:ascii="仿宋_GB2312" w:hAnsi="仿宋" w:eastAsia="仿宋_GB2312" w:cs="仿宋_GB2312"/>
          <w:b/>
          <w:sz w:val="32"/>
          <w:szCs w:val="24"/>
        </w:rPr>
        <w:t>二、评标委员会的组成</w:t>
      </w:r>
    </w:p>
    <w:p>
      <w:pPr>
        <w:adjustRightInd w:val="0"/>
        <w:snapToGri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2.评标委员会的组成。</w:t>
      </w:r>
      <w:r>
        <w:rPr>
          <w:rFonts w:hint="eastAsia" w:ascii="仿宋_GB2312" w:hAnsi="仿宋" w:eastAsia="仿宋_GB2312" w:cs="Arial"/>
          <w:kern w:val="0"/>
          <w:sz w:val="24"/>
          <w:szCs w:val="24"/>
        </w:rPr>
        <w:t>评标委员会由采购人代表和评审专家组成，成员人数为5人以上单数，其中评审专家不少于成员总数的三分之二。</w:t>
      </w:r>
    </w:p>
    <w:p>
      <w:pPr>
        <w:adjustRightInd w:val="0"/>
        <w:spacing w:line="360" w:lineRule="auto"/>
        <w:rPr>
          <w:rFonts w:ascii="仿宋_GB2312" w:hAnsi="仿宋" w:eastAsia="仿宋_GB2312" w:cs="Arial"/>
          <w:kern w:val="0"/>
          <w:sz w:val="24"/>
        </w:rPr>
      </w:pPr>
      <w:r>
        <w:rPr>
          <w:rFonts w:hint="eastAsia" w:ascii="仿宋_GB2312" w:hAnsi="仿宋" w:eastAsia="仿宋_GB2312" w:cs="Arial"/>
          <w:b/>
          <w:kern w:val="0"/>
          <w:sz w:val="24"/>
        </w:rPr>
        <w:t>3.评</w:t>
      </w:r>
      <w:r>
        <w:rPr>
          <w:rFonts w:hint="eastAsia" w:ascii="仿宋_GB2312" w:hAnsi="仿宋" w:eastAsia="仿宋_GB2312" w:cs="Arial"/>
          <w:b/>
          <w:kern w:val="0"/>
          <w:sz w:val="24"/>
          <w:szCs w:val="24"/>
        </w:rPr>
        <w:t>标委员会的组成人员的回避。</w:t>
      </w:r>
      <w:r>
        <w:rPr>
          <w:rFonts w:hint="eastAsia" w:ascii="仿宋_GB2312" w:hAnsi="仿宋" w:eastAsia="仿宋_GB2312" w:cs="Arial"/>
          <w:kern w:val="0"/>
          <w:sz w:val="24"/>
        </w:rPr>
        <w:t>在政府采购活动中，评标委员会的组成人员与供应商有下列利害关系之一的，应当回避：</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3.1参加采购活动前3年内与供应商存在劳动关系；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3.2参加采购活动前3年内担任供应商的董事、监事；</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3.3参加采购活动前3年内是供应商的控股股东或者实际控制人；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3.4与供应商的法定代表人或者负责人有夫妻、直系血亲、三代以内旁系血亲或者近姻亲关系；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3.5与供应商有其他可能影响政府采购活动公平、公正进行的关系。</w:t>
      </w: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　</w:t>
      </w:r>
      <w:r>
        <w:rPr>
          <w:rFonts w:hint="eastAsia" w:ascii="仿宋_GB2312" w:hAnsi="仿宋" w:eastAsia="仿宋_GB2312" w:cs="仿宋_GB2312"/>
          <w:b/>
          <w:sz w:val="32"/>
          <w:szCs w:val="24"/>
        </w:rPr>
        <w:t>　三、评标委员会的职责</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4.评标委员会负责具体评标事务，并独立履行下列职责：</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4.1审查、评价投标文件是否符合招标文件的商务、技术等实质性要求；</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4.2要求投标人对投标文件有关事项作出澄清或者说明；</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4.3对投标文件进行比较和评价；</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4.4确定中标候选人名单，以及根据采购人委托直接确定中标人；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4.5向采购人、采购机构或者有关部门报告评标中发现的违法行为；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4.6法律、法规、规章、招标文件等规定的其它事项。</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5.评标委员会及其成员不得有下列行为：</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5.1确定参与评标至评标结束前私自接触投标人；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5.2接受投标人提出的与投标文件不一致的澄清或者说明，《政府采购货物和服务招标投标管理办法》（财政部令第87号）第五十一条规定的情形除外；</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5.3违反评标纪律发表倾向性意见或者征询采购人的倾向性意见；</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5.4对需要专业判断的主观评审因素协商评分；</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5.5在评标过程中擅离职守，影响评标程序正常进行的；</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5.6记录、复制或者带走任何评标资料；</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5.7其他不遵守评标纪律的行为。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评标委员会成员有5.1-5.</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行为之一的，其评审意见无效，并不得获取评审劳务报酬和报销异地评审差旅费。</w:t>
      </w:r>
    </w:p>
    <w:p>
      <w:pPr>
        <w:adjustRightInd w:val="0"/>
        <w:spacing w:line="360" w:lineRule="auto"/>
        <w:rPr>
          <w:rFonts w:ascii="仿宋_GB2312" w:hAnsi="仿宋" w:eastAsia="仿宋_GB2312" w:cs="Arial"/>
          <w:kern w:val="0"/>
          <w:sz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四、评审程序</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 xml:space="preserve">6.符合性审查。 </w:t>
      </w:r>
      <w:r>
        <w:rPr>
          <w:rFonts w:hint="eastAsia" w:ascii="仿宋_GB2312" w:hAnsi="仿宋" w:eastAsia="仿宋_GB2312" w:cs="Arial"/>
          <w:kern w:val="0"/>
          <w:sz w:val="24"/>
          <w:szCs w:val="24"/>
        </w:rPr>
        <w:t>评标委员会应当对符合资格的投标人的投标文件进行符合性审查，以确定其是否满足招标文件的实质性要求。符合投标无效情形的，投标无效。</w:t>
      </w:r>
    </w:p>
    <w:p>
      <w:pPr>
        <w:adjustRightInd w:val="0"/>
        <w:spacing w:line="360" w:lineRule="auto"/>
        <w:rPr>
          <w:rFonts w:hint="eastAsia" w:ascii="仿宋_GB2312" w:hAnsi="仿宋" w:eastAsia="仿宋_GB2312" w:cs="Arial"/>
          <w:b/>
          <w:kern w:val="0"/>
          <w:sz w:val="24"/>
          <w:szCs w:val="24"/>
        </w:rPr>
      </w:pPr>
      <w:r>
        <w:rPr>
          <w:rFonts w:hint="eastAsia" w:ascii="仿宋_GB2312" w:hAnsi="仿宋" w:eastAsia="仿宋_GB2312" w:cs="Arial"/>
          <w:b/>
          <w:kern w:val="0"/>
          <w:sz w:val="24"/>
          <w:szCs w:val="24"/>
        </w:rPr>
        <w:t>7.投标人澄清、说明或者补正。</w:t>
      </w:r>
    </w:p>
    <w:p>
      <w:pPr>
        <w:adjustRightInd w:val="0"/>
        <w:spacing w:line="360" w:lineRule="auto"/>
        <w:rPr>
          <w:rFonts w:hint="eastAsia" w:ascii="仿宋_GB2312" w:hAnsi="仿宋" w:eastAsia="仿宋_GB2312" w:cs="Arial"/>
          <w:kern w:val="0"/>
          <w:sz w:val="24"/>
          <w:szCs w:val="24"/>
        </w:rPr>
      </w:pPr>
      <w:r>
        <w:rPr>
          <w:rFonts w:hint="eastAsia" w:ascii="仿宋_GB2312" w:hAnsi="仿宋" w:eastAsia="仿宋_GB2312" w:cs="Arial"/>
          <w:b/>
          <w:kern w:val="0"/>
          <w:sz w:val="24"/>
          <w:szCs w:val="24"/>
          <w:lang w:val="en-US" w:eastAsia="zh-CN"/>
        </w:rPr>
        <w:t>7.1</w:t>
      </w:r>
      <w:r>
        <w:rPr>
          <w:rFonts w:hint="eastAsia" w:ascii="仿宋_GB2312" w:hAnsi="仿宋" w:eastAsia="仿宋_GB2312" w:cs="Arial"/>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bCs/>
          <w:kern w:val="0"/>
          <w:sz w:val="24"/>
          <w:szCs w:val="24"/>
          <w:lang w:val="en-US" w:eastAsia="zh-CN"/>
        </w:rPr>
        <w:t>7.2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8. 比较与评价。</w:t>
      </w:r>
      <w:r>
        <w:rPr>
          <w:rFonts w:hint="eastAsia" w:ascii="仿宋_GB2312" w:hAnsi="仿宋" w:eastAsia="仿宋_GB2312" w:cs="Arial"/>
          <w:kern w:val="0"/>
          <w:sz w:val="24"/>
          <w:szCs w:val="24"/>
        </w:rPr>
        <w:t>评标委员会应当按照评标标准，对符合性审查合格的投标文件进行商务和技术评估，综合比较与评价。</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9. 汇总（商务技术得分情况）。</w:t>
      </w:r>
      <w:r>
        <w:rPr>
          <w:rFonts w:hint="eastAsia" w:ascii="仿宋_GB2312" w:hAnsi="仿宋" w:eastAsia="仿宋_GB2312" w:cs="Arial"/>
          <w:kern w:val="0"/>
          <w:sz w:val="24"/>
          <w:szCs w:val="24"/>
        </w:rPr>
        <w:t>评标委员会各成员应当独立对每个投标人的商务和技术文件进行评价，并汇总商务技术得分情况。</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10. 报价审核。</w:t>
      </w:r>
      <w:r>
        <w:rPr>
          <w:rFonts w:hint="eastAsia" w:ascii="仿宋_GB2312" w:hAnsi="仿宋" w:eastAsia="仿宋_GB2312" w:cs="Arial"/>
          <w:kern w:val="0"/>
          <w:sz w:val="24"/>
          <w:szCs w:val="24"/>
        </w:rPr>
        <w:t>对经商务和技术评审符合采购需求的投标人的报价的合理性、准确性等进行审查核实。</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10.1评标委员会认为投标人的报价明显低于其他通过符合性审查投标人的报价，有可能影响产品质量或者不能诚信履约的，应当要求其在合理的时间内提供书面说明，必要时提交相关证明材料。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10.2根据财政部发布的《政府采购促进中小企业发展管理办法》规定，</w:t>
      </w:r>
      <w:r>
        <w:rPr>
          <w:rFonts w:ascii="仿宋_GB2312" w:hAnsi="仿宋" w:eastAsia="仿宋_GB2312" w:cs="Arial"/>
          <w:kern w:val="0"/>
          <w:sz w:val="24"/>
          <w:szCs w:val="24"/>
        </w:rPr>
        <w:t>对于经主管预算单位统筹后未预留份额专门面向中小企业采购的采购项目，以及预留份额项目中的非预留部分采购包，</w:t>
      </w:r>
      <w:r>
        <w:rPr>
          <w:rFonts w:hint="eastAsia" w:ascii="仿宋_GB2312" w:hAnsi="仿宋" w:eastAsia="仿宋_GB2312" w:cs="Arial"/>
          <w:kern w:val="0"/>
          <w:sz w:val="24"/>
          <w:szCs w:val="24"/>
        </w:rPr>
        <w:t>对小微企业报价给予一定的扣除，用扣除后的价格参与评审。</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10.3投标价格的修正原则。投标文件报价出现前后不一致的，按照下列规定修正：</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10.3.1投标文件中开标一览表(报价表)内容与投标文件中相应内容不一致的，以开标一览表(报价表)为准;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10.3.2大写金额和小写金额不一致的，以大写金额为准;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10.3.3单价金额小数点或者百分比有明显错位的，以开标一览表的总价为准，并修改单价;</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10.3.4总价金额与按单价汇总金额不一致的，以单价金额计算结果为准。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10.3.5同时出现两种以上不一致的，按照前款规定的顺序修正。修正后的报价按照财政部第87号令 《政府采购货物和服务招标投标管理办法》第五十一条第二款的规定经投标人确认后产生约束力。</w:t>
      </w:r>
    </w:p>
    <w:p>
      <w:pPr>
        <w:adjustRightInd w:val="0"/>
        <w:spacing w:line="360" w:lineRule="auto"/>
        <w:ind w:firstLine="480" w:firstLineChars="200"/>
        <w:rPr>
          <w:rFonts w:ascii="仿宋_GB2312" w:hAnsi="仿宋" w:eastAsia="仿宋_GB2312" w:cs="仿宋_GB2312"/>
          <w:b/>
          <w:bCs/>
          <w:sz w:val="24"/>
          <w:szCs w:val="24"/>
        </w:rPr>
      </w:pPr>
      <w:r>
        <w:rPr>
          <w:rFonts w:hint="eastAsia" w:ascii="仿宋_GB2312" w:hAnsi="仿宋" w:eastAsia="仿宋_GB2312" w:cs="仿宋_GB2312"/>
          <w:bCs/>
          <w:sz w:val="24"/>
          <w:szCs w:val="24"/>
        </w:rPr>
        <w:t>▲</w:t>
      </w:r>
      <w:r>
        <w:rPr>
          <w:rFonts w:hint="eastAsia" w:ascii="仿宋_GB2312" w:hAnsi="仿宋" w:eastAsia="仿宋_GB2312" w:cs="仿宋_GB2312"/>
          <w:b/>
          <w:bCs/>
          <w:sz w:val="24"/>
          <w:szCs w:val="24"/>
        </w:rPr>
        <w:t>投标人对根据修正原则修正后的报价不确认的，投标无效。</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11.汇总得分。</w:t>
      </w:r>
      <w:r>
        <w:rPr>
          <w:rFonts w:hint="eastAsia" w:ascii="仿宋_GB2312" w:hAnsi="仿宋" w:eastAsia="仿宋_GB2312" w:cs="Arial"/>
          <w:kern w:val="0"/>
          <w:sz w:val="24"/>
          <w:szCs w:val="24"/>
        </w:rPr>
        <w:t>评标委员会各成员应当独立对每个投标人的投标文件进行评价，并汇总每个投标人的得分。</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12.顺序排列与中标候选推荐。</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12.1评标结果按评审后得分由高到低顺序排列。得分相同的，按投标报价由低到高顺序排列。得分且投标报价相同的并列。得分最高的投标人为排名第一的中标候选人。</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after="120" w:line="360" w:lineRule="auto"/>
        <w:rPr>
          <w:rFonts w:ascii="仿宋_GB2312" w:hAnsi="仿宋" w:eastAsia="仿宋_GB2312" w:cs="仿宋_GB2312"/>
          <w:b/>
          <w:sz w:val="24"/>
          <w:szCs w:val="21"/>
        </w:rPr>
      </w:pPr>
      <w:r>
        <w:rPr>
          <w:rFonts w:hint="eastAsia" w:ascii="仿宋_GB2312" w:hAnsi="仿宋" w:eastAsia="仿宋_GB2312" w:cs="仿宋_GB2312"/>
          <w:b/>
          <w:sz w:val="24"/>
          <w:szCs w:val="21"/>
        </w:rPr>
        <w:t>13.投标无效。有下列情况之一的，投标无效：</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13.1单位负责人为同一人或者存在直接控股、管理关系的不同供应商参加同一合同项下的政府采购活动的（均无效）；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1"/>
        </w:rPr>
        <w:t>13.2为采购项目提供整体设计、规范编制或者项目管理、监理、检测等服务的供应商再参加该采购项</w:t>
      </w:r>
      <w:r>
        <w:rPr>
          <w:rFonts w:hint="eastAsia" w:ascii="仿宋_GB2312" w:hAnsi="仿宋" w:eastAsia="仿宋_GB2312" w:cs="仿宋_GB2312"/>
          <w:sz w:val="24"/>
          <w:szCs w:val="24"/>
        </w:rPr>
        <w:t xml:space="preserve">目的其他采购活动的； </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13.3</w:t>
      </w:r>
      <w:r>
        <w:rPr>
          <w:rFonts w:hint="eastAsia" w:ascii="仿宋_GB2312" w:hAnsi="仿宋" w:eastAsia="仿宋_GB2312" w:cs="仿宋_GB2312"/>
          <w:sz w:val="24"/>
          <w:szCs w:val="24"/>
        </w:rPr>
        <w:t>投标人不具备招标文件中规定的资格要求的（投标人未提供有效的资格证明文件的，视为投标人不具备招标文件中规定的资格要求）；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13.4</w:t>
      </w:r>
      <w:r>
        <w:rPr>
          <w:rFonts w:hint="eastAsia" w:ascii="仿宋_GB2312" w:hAnsi="仿宋" w:eastAsia="仿宋_GB2312" w:cs="仿宋_GB2312"/>
          <w:sz w:val="24"/>
          <w:szCs w:val="24"/>
        </w:rPr>
        <w:t>如以联合体形式参加政府采购活动的，联合体协议不符合招标文件规定的联合体协议要求的；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13.5</w:t>
      </w:r>
      <w:r>
        <w:rPr>
          <w:rFonts w:hint="eastAsia" w:ascii="仿宋_GB2312" w:hAnsi="仿宋" w:eastAsia="仿宋_GB2312" w:cs="仿宋_GB2312"/>
          <w:sz w:val="24"/>
          <w:szCs w:val="24"/>
        </w:rPr>
        <w:t>投标文件未按规定的格式编制的；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13.6</w:t>
      </w:r>
      <w:r>
        <w:rPr>
          <w:rFonts w:hint="eastAsia" w:ascii="仿宋_GB2312" w:hAnsi="仿宋" w:eastAsia="仿宋_GB2312" w:cs="仿宋_GB2312"/>
          <w:sz w:val="24"/>
          <w:szCs w:val="24"/>
        </w:rPr>
        <w:t>投标文件未按招标文件的澄清、修改的内容编制，又不符合实质性要求的；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13.7</w:t>
      </w:r>
      <w:r>
        <w:rPr>
          <w:rFonts w:hint="eastAsia" w:ascii="仿宋_GB2312" w:hAnsi="仿宋" w:eastAsia="仿宋_GB2312" w:cs="仿宋_GB2312"/>
          <w:sz w:val="24"/>
          <w:szCs w:val="24"/>
        </w:rPr>
        <w:t>投标文件组成漏项，内容不全或内容字迹模糊辨认不清的；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13.8</w:t>
      </w:r>
      <w:r>
        <w:rPr>
          <w:rFonts w:hint="eastAsia" w:ascii="仿宋_GB2312" w:hAnsi="仿宋" w:eastAsia="仿宋_GB2312" w:cs="仿宋_GB2312"/>
          <w:sz w:val="24"/>
          <w:szCs w:val="24"/>
        </w:rPr>
        <w:t>投标文件中法人授权书所载内容与本项目内容有异的；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13.9</w:t>
      </w:r>
      <w:r>
        <w:rPr>
          <w:rFonts w:hint="eastAsia" w:ascii="仿宋_GB2312" w:hAnsi="仿宋" w:eastAsia="仿宋_GB2312" w:cs="仿宋_GB2312"/>
          <w:sz w:val="24"/>
          <w:szCs w:val="24"/>
        </w:rPr>
        <w:t>投标文件未按照招标文件要求签署、盖章的；</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13.10</w:t>
      </w:r>
      <w:r>
        <w:rPr>
          <w:rFonts w:hint="eastAsia" w:ascii="仿宋_GB2312" w:hAnsi="仿宋" w:eastAsia="仿宋_GB2312" w:cs="仿宋_GB2312"/>
          <w:sz w:val="24"/>
          <w:szCs w:val="24"/>
        </w:rPr>
        <w:t>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13.11</w:t>
      </w:r>
      <w:r>
        <w:rPr>
          <w:rFonts w:hint="eastAsia" w:ascii="仿宋_GB2312" w:hAnsi="仿宋" w:eastAsia="仿宋_GB2312" w:cs="仿宋_GB2312"/>
          <w:sz w:val="24"/>
          <w:szCs w:val="24"/>
        </w:rPr>
        <w:t>投标文件含有采购人不能接受的附加条件的；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13.12</w:t>
      </w:r>
      <w:r>
        <w:rPr>
          <w:rFonts w:hint="eastAsia" w:ascii="仿宋_GB2312" w:hAnsi="仿宋" w:eastAsia="仿宋_GB2312" w:cs="仿宋_GB2312"/>
          <w:sz w:val="24"/>
          <w:szCs w:val="24"/>
        </w:rPr>
        <w:t>投标文件中承诺的投标有效期少于招标文件中载明的投标有效期的；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13.13</w:t>
      </w:r>
      <w:r>
        <w:rPr>
          <w:rFonts w:hint="eastAsia" w:ascii="仿宋_GB2312" w:hAnsi="仿宋" w:eastAsia="仿宋_GB2312" w:cs="仿宋_GB2312"/>
          <w:sz w:val="24"/>
          <w:szCs w:val="24"/>
        </w:rPr>
        <w:t>投标人所投内容不符合采购需求中实质性要求的；</w:t>
      </w:r>
    </w:p>
    <w:p>
      <w:pPr>
        <w:adjustRightInd w:val="0"/>
        <w:snapToGrid w:val="0"/>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13.14</w:t>
      </w:r>
      <w:r>
        <w:rPr>
          <w:rFonts w:hint="eastAsia" w:ascii="仿宋_GB2312" w:hAnsi="仿宋" w:eastAsia="仿宋_GB2312" w:cs="仿宋_GB2312"/>
          <w:sz w:val="24"/>
          <w:szCs w:val="24"/>
        </w:rPr>
        <w:t>投标文件出现不是唯一的、有选择性投标报价的;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13.15</w:t>
      </w:r>
      <w:r>
        <w:rPr>
          <w:rFonts w:hint="eastAsia" w:ascii="仿宋_GB2312" w:hAnsi="仿宋" w:eastAsia="仿宋_GB2312" w:cs="仿宋_GB2312"/>
          <w:sz w:val="24"/>
          <w:szCs w:val="24"/>
        </w:rPr>
        <w:t>投标报价高于本项目采购预算或者最高限价的;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13.16</w:t>
      </w:r>
      <w:r>
        <w:rPr>
          <w:rFonts w:hint="eastAsia" w:ascii="仿宋_GB2312" w:hAnsi="仿宋" w:eastAsia="仿宋_GB2312" w:cs="仿宋_GB2312"/>
          <w:sz w:val="24"/>
          <w:szCs w:val="24"/>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13.17</w:t>
      </w:r>
      <w:r>
        <w:rPr>
          <w:rFonts w:hint="eastAsia" w:ascii="仿宋_GB2312" w:hAnsi="仿宋" w:eastAsia="仿宋_GB2312" w:cs="仿宋_GB2312"/>
          <w:sz w:val="24"/>
          <w:szCs w:val="24"/>
        </w:rPr>
        <w:t>《投标（开标）一览表》填写不完整或字迹不能辨认或有漏项的；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13.18</w:t>
      </w:r>
      <w:r>
        <w:rPr>
          <w:rFonts w:hint="eastAsia" w:ascii="仿宋_GB2312" w:hAnsi="仿宋" w:eastAsia="仿宋_GB2312" w:cs="仿宋_GB2312"/>
          <w:sz w:val="24"/>
          <w:szCs w:val="24"/>
        </w:rPr>
        <w:t>投标人对根据修正原则修正后的报价不确认的；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13.19</w:t>
      </w:r>
      <w:r>
        <w:rPr>
          <w:rFonts w:hint="eastAsia" w:ascii="仿宋_GB2312" w:hAnsi="仿宋" w:eastAsia="仿宋_GB2312" w:cs="仿宋_GB2312"/>
          <w:sz w:val="24"/>
          <w:szCs w:val="24"/>
        </w:rPr>
        <w:t>投标人提供虚假材料投标的（包括但不限于以下情节）；</w:t>
      </w:r>
    </w:p>
    <w:p>
      <w:pPr>
        <w:adjustRightInd w:val="0"/>
        <w:spacing w:line="360" w:lineRule="auto"/>
        <w:ind w:firstLine="720" w:firstLineChars="300"/>
        <w:rPr>
          <w:rFonts w:ascii="仿宋_GB2312" w:hAnsi="仿宋" w:eastAsia="仿宋_GB2312" w:cs="仿宋_GB2312"/>
          <w:sz w:val="24"/>
          <w:szCs w:val="24"/>
        </w:rPr>
      </w:pPr>
      <w:r>
        <w:rPr>
          <w:rFonts w:hint="eastAsia" w:ascii="仿宋_GB2312" w:hAnsi="仿宋" w:eastAsia="仿宋_GB2312" w:cs="Times New Roman"/>
          <w:sz w:val="24"/>
          <w:szCs w:val="24"/>
        </w:rPr>
        <w:t>13.19.1</w:t>
      </w:r>
      <w:r>
        <w:rPr>
          <w:rFonts w:hint="eastAsia" w:ascii="仿宋_GB2312" w:hAnsi="仿宋" w:eastAsia="仿宋_GB2312" w:cs="仿宋_GB2312"/>
          <w:sz w:val="24"/>
          <w:szCs w:val="24"/>
        </w:rPr>
        <w:t>使用伪造、变造的许可证件；</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13.19.2</w:t>
      </w:r>
      <w:r>
        <w:rPr>
          <w:rFonts w:hint="eastAsia" w:ascii="仿宋_GB2312" w:hAnsi="仿宋" w:eastAsia="仿宋_GB2312" w:cs="仿宋_GB2312"/>
          <w:sz w:val="24"/>
          <w:szCs w:val="24"/>
        </w:rPr>
        <w:t>提供虚假的财务状况或者业绩；</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13.19.3</w:t>
      </w:r>
      <w:r>
        <w:rPr>
          <w:rFonts w:hint="eastAsia" w:ascii="仿宋_GB2312" w:hAnsi="仿宋" w:eastAsia="仿宋_GB2312" w:cs="仿宋_GB2312"/>
          <w:sz w:val="24"/>
          <w:szCs w:val="24"/>
        </w:rPr>
        <w:t>提供虚假的项目负责人或者主要技术人员简历、劳动关系证明；</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13.19.4</w:t>
      </w:r>
      <w:r>
        <w:rPr>
          <w:rFonts w:hint="eastAsia" w:ascii="仿宋_GB2312" w:hAnsi="仿宋" w:eastAsia="仿宋_GB2312" w:cs="仿宋_GB2312"/>
          <w:sz w:val="24"/>
          <w:szCs w:val="24"/>
        </w:rPr>
        <w:t>提供虚假的信用状况；</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13.19.5</w:t>
      </w:r>
      <w:r>
        <w:rPr>
          <w:rFonts w:hint="eastAsia" w:ascii="仿宋_GB2312" w:hAnsi="仿宋" w:eastAsia="仿宋_GB2312" w:cs="仿宋_GB2312"/>
          <w:sz w:val="24"/>
          <w:szCs w:val="24"/>
        </w:rPr>
        <w:t>其他弄虚作假的行为。</w:t>
      </w:r>
      <w:r>
        <w:rPr>
          <w:rFonts w:hint="eastAsia" w:ascii="仿宋_GB2312" w:hAnsi="仿宋" w:eastAsia="仿宋_GB2312" w:cs="仿宋_GB2312"/>
          <w:sz w:val="24"/>
          <w:szCs w:val="24"/>
        </w:rPr>
        <w:br w:type="textWrapping"/>
      </w:r>
      <w:r>
        <w:rPr>
          <w:rFonts w:hint="eastAsia" w:ascii="仿宋_GB2312" w:hAnsi="仿宋" w:eastAsia="仿宋_GB2312" w:cs="Times New Roman"/>
          <w:sz w:val="24"/>
          <w:szCs w:val="24"/>
        </w:rPr>
        <w:t xml:space="preserve">    13.20</w:t>
      </w:r>
      <w:r>
        <w:rPr>
          <w:rFonts w:hint="eastAsia" w:ascii="仿宋_GB2312" w:hAnsi="仿宋" w:eastAsia="仿宋_GB2312" w:cs="仿宋_GB2312"/>
          <w:sz w:val="24"/>
          <w:szCs w:val="24"/>
        </w:rPr>
        <w:t>投标人有恶意串通、妨碍其他投标人的竞争行为、损害采购人或者其他投标人的合法权益情形的；有下列情形之一的，属于或视为恶意串通，其投标无效：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w:t>
      </w:r>
      <w:r>
        <w:rPr>
          <w:rFonts w:hint="eastAsia" w:ascii="仿宋_GB2312" w:hAnsi="仿宋" w:eastAsia="仿宋_GB2312" w:cs="仿宋_GB2312"/>
          <w:sz w:val="24"/>
          <w:szCs w:val="24"/>
        </w:rPr>
        <w:t>供应商直接或者间接从采购人或者采购机构处获得其他供应商的相关情况并修改其投标文件或者响应文件；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13.20.2</w:t>
      </w:r>
      <w:r>
        <w:rPr>
          <w:rFonts w:hint="eastAsia" w:ascii="仿宋_GB2312" w:hAnsi="仿宋" w:eastAsia="仿宋_GB2312" w:cs="仿宋_GB2312"/>
          <w:sz w:val="24"/>
          <w:szCs w:val="24"/>
        </w:rPr>
        <w:t>供应商按照采购人或者采购机构的授意撤换、修改投标文件或者响应文件；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13.20.3</w:t>
      </w:r>
      <w:r>
        <w:rPr>
          <w:rFonts w:hint="eastAsia" w:ascii="仿宋_GB2312" w:hAnsi="仿宋" w:eastAsia="仿宋_GB2312" w:cs="仿宋_GB2312"/>
          <w:sz w:val="24"/>
          <w:szCs w:val="24"/>
        </w:rPr>
        <w:t>供应商之间协商报价、技术方案等投标文件或者响应文件的实质性内容；</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13.20.4</w:t>
      </w:r>
      <w:r>
        <w:rPr>
          <w:rFonts w:hint="eastAsia" w:ascii="仿宋_GB2312" w:hAnsi="仿宋" w:eastAsia="仿宋_GB2312" w:cs="仿宋_GB2312"/>
          <w:sz w:val="24"/>
          <w:szCs w:val="24"/>
        </w:rPr>
        <w:t>属于同一集团、协会、商会等组织成员的供应商按照该组织要求协同参加政府采购活动；</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13.20.5</w:t>
      </w:r>
      <w:r>
        <w:rPr>
          <w:rFonts w:hint="eastAsia" w:ascii="仿宋_GB2312" w:hAnsi="仿宋" w:eastAsia="仿宋_GB2312" w:cs="仿宋_GB2312"/>
          <w:sz w:val="24"/>
          <w:szCs w:val="24"/>
        </w:rPr>
        <w:t>供应商之间事先约定由某一特定供应商中标、成交；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13.20.6</w:t>
      </w:r>
      <w:r>
        <w:rPr>
          <w:rFonts w:hint="eastAsia" w:ascii="仿宋_GB2312" w:hAnsi="仿宋" w:eastAsia="仿宋_GB2312" w:cs="仿宋_GB2312"/>
          <w:sz w:val="24"/>
          <w:szCs w:val="24"/>
        </w:rPr>
        <w:t>供应商之间商定部分供应商放弃参加政府采购活动或者放弃中标、成交；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13.20.7</w:t>
      </w:r>
      <w:r>
        <w:rPr>
          <w:rFonts w:hint="eastAsia" w:ascii="仿宋_GB2312" w:hAnsi="仿宋" w:eastAsia="仿宋_GB2312" w:cs="仿宋_GB2312"/>
          <w:sz w:val="24"/>
          <w:szCs w:val="24"/>
        </w:rPr>
        <w:t>供应商与采购人或者采购机构之间、供应商相互之间，为谋求特定供应商中标、成交或者排斥其他供应商的其他串通行为。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13.20.8</w:t>
      </w:r>
      <w:r>
        <w:rPr>
          <w:rFonts w:hint="eastAsia" w:ascii="仿宋_GB2312" w:hAnsi="仿宋" w:eastAsia="仿宋_GB2312" w:cs="仿宋_GB2312"/>
          <w:sz w:val="24"/>
          <w:szCs w:val="24"/>
        </w:rPr>
        <w:t>不同投标人的投标文件由同一单位或者个人编制；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13.20.9</w:t>
      </w:r>
      <w:r>
        <w:rPr>
          <w:rFonts w:hint="eastAsia" w:ascii="仿宋_GB2312" w:hAnsi="仿宋" w:eastAsia="仿宋_GB2312" w:cs="仿宋_GB2312"/>
          <w:sz w:val="24"/>
          <w:szCs w:val="24"/>
        </w:rPr>
        <w:t>不同投标人委托同一单位或者个人办理投标事宜；</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13.20.10</w:t>
      </w:r>
      <w:r>
        <w:rPr>
          <w:rFonts w:hint="eastAsia" w:ascii="仿宋_GB2312" w:hAnsi="仿宋" w:eastAsia="仿宋_GB2312" w:cs="仿宋_GB2312"/>
          <w:sz w:val="24"/>
          <w:szCs w:val="24"/>
        </w:rPr>
        <w:t>不同投标人的投标文件载明的项目管理成员或者联系人员为同一人；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13.20.11</w:t>
      </w:r>
      <w:r>
        <w:rPr>
          <w:rFonts w:hint="eastAsia" w:ascii="仿宋_GB2312" w:hAnsi="仿宋" w:eastAsia="仿宋_GB2312" w:cs="仿宋_GB2312"/>
          <w:sz w:val="24"/>
          <w:szCs w:val="24"/>
        </w:rPr>
        <w:t>不同投标人的投标文件异常一致或者投标报价呈规律性差异；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13.20.12</w:t>
      </w:r>
      <w:r>
        <w:rPr>
          <w:rFonts w:hint="eastAsia" w:ascii="仿宋_GB2312" w:hAnsi="仿宋" w:eastAsia="仿宋_GB2312" w:cs="仿宋_GB2312"/>
          <w:sz w:val="24"/>
          <w:szCs w:val="24"/>
        </w:rPr>
        <w:t>不同投标人的投标文件相互混装；</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13.21</w:t>
      </w:r>
      <w:r>
        <w:rPr>
          <w:rFonts w:hint="eastAsia" w:ascii="仿宋_GB2312" w:hAnsi="仿宋" w:eastAsia="仿宋_GB2312" w:cs="仿宋_GB2312"/>
          <w:sz w:val="24"/>
          <w:szCs w:val="24"/>
        </w:rPr>
        <w:t>投标人仅提交备份投标文件，没有在电子交易平台传输递交投标文件的，投标无效；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13.22</w:t>
      </w:r>
      <w:r>
        <w:rPr>
          <w:rFonts w:hint="eastAsia" w:ascii="仿宋_GB2312" w:hAnsi="仿宋" w:eastAsia="仿宋_GB2312" w:cs="仿宋_GB2312"/>
          <w:sz w:val="24"/>
          <w:szCs w:val="24"/>
        </w:rPr>
        <w:t>法律、法规、规章（适用本市的）及省级以上规范性文件（适用本市的）规定的其他无效情形。</w:t>
      </w:r>
    </w:p>
    <w:p>
      <w:pPr>
        <w:adjustRightInd w:val="0"/>
        <w:spacing w:line="360" w:lineRule="auto"/>
        <w:ind w:firstLine="240" w:firstLineChars="100"/>
        <w:rPr>
          <w:rFonts w:ascii="仿宋_GB2312" w:hAnsi="仿宋" w:eastAsia="仿宋_GB2312" w:cs="仿宋_GB2312"/>
          <w:sz w:val="24"/>
          <w:szCs w:val="21"/>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 xml:space="preserve">五、评标报告。 </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14. 评标报告与推荐中标候选人。</w:t>
      </w:r>
      <w:r>
        <w:rPr>
          <w:rFonts w:hint="eastAsia" w:ascii="仿宋_GB2312" w:hAnsi="仿宋" w:eastAsia="仿宋_GB2312" w:cs="仿宋_GB2312"/>
          <w:sz w:val="24"/>
          <w:szCs w:val="24"/>
        </w:rPr>
        <w:t>评标委员会根据原始评标记录和评标结果编写评标报告，并通过电子交易平台向采购人、采购机构提交。</w:t>
      </w:r>
    </w:p>
    <w:p>
      <w:pPr>
        <w:widowControl/>
        <w:spacing w:before="100" w:beforeAutospacing="1" w:after="100" w:afterAutospacing="1" w:line="360" w:lineRule="auto"/>
        <w:jc w:val="left"/>
        <w:rPr>
          <w:rFonts w:ascii="仿宋_GB2312" w:hAnsi="仿宋" w:eastAsia="仿宋_GB2312" w:cs="仿宋_GB2312"/>
          <w:sz w:val="24"/>
          <w:szCs w:val="24"/>
        </w:rPr>
      </w:pPr>
      <w:r>
        <w:rPr>
          <w:rFonts w:hint="eastAsia" w:ascii="仿宋_GB2312" w:hAnsi="仿宋" w:eastAsia="仿宋_GB2312" w:cs="仿宋_GB2312"/>
          <w:b/>
          <w:sz w:val="24"/>
          <w:szCs w:val="24"/>
        </w:rPr>
        <w:t>15. 评标争议事项处理。</w:t>
      </w:r>
      <w:r>
        <w:rPr>
          <w:rFonts w:hint="eastAsia" w:ascii="仿宋_GB2312" w:hAnsi="仿宋" w:eastAsia="仿宋_GB2312" w:cs="仿宋_GB2312"/>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left"/>
        <w:rPr>
          <w:rFonts w:ascii="仿宋_GB2312" w:hAnsi="ˎ̥" w:eastAsia="仿宋_GB2312" w:cs="宋体"/>
          <w:kern w:val="0"/>
          <w:sz w:val="24"/>
          <w:szCs w:val="24"/>
        </w:rPr>
      </w:pPr>
      <w:r>
        <w:rPr>
          <w:rFonts w:hint="eastAsia" w:ascii="仿宋_GB2312" w:hAnsi="仿宋" w:eastAsia="仿宋_GB2312" w:cs="仿宋_GB2312"/>
          <w:sz w:val="24"/>
          <w:szCs w:val="24"/>
        </w:rPr>
        <w:t xml:space="preserve">                    </w:t>
      </w:r>
    </w:p>
    <w:p>
      <w:pPr>
        <w:widowControl/>
        <w:spacing w:before="100" w:beforeAutospacing="1" w:after="100" w:afterAutospacing="1" w:line="360" w:lineRule="auto"/>
        <w:jc w:val="center"/>
        <w:rPr>
          <w:rFonts w:ascii="仿宋_GB2312" w:hAnsi="仿宋" w:eastAsia="仿宋_GB2312" w:cs="仿宋_GB2312"/>
          <w:b/>
          <w:sz w:val="32"/>
          <w:szCs w:val="24"/>
        </w:rPr>
      </w:pPr>
      <w:r>
        <w:rPr>
          <w:rFonts w:hint="eastAsia" w:ascii="仿宋_GB2312" w:hAnsi="仿宋" w:eastAsia="仿宋_GB2312" w:cs="仿宋_GB2312"/>
          <w:b/>
          <w:sz w:val="32"/>
          <w:szCs w:val="24"/>
        </w:rPr>
        <w:t>六、 废标</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16.废标。</w:t>
      </w:r>
      <w:r>
        <w:rPr>
          <w:rFonts w:hint="eastAsia" w:ascii="仿宋_GB2312" w:hAnsi="仿宋" w:eastAsia="仿宋_GB2312" w:cs="仿宋_GB2312"/>
          <w:sz w:val="24"/>
          <w:szCs w:val="24"/>
        </w:rPr>
        <w:t>根据《中华人民共和国政府采购法》第三十六条之规定，在采购中，出现下列情形之一的，应予废标：</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16.1符合专业条件的供应商或者对招标文件作实质响应的供应商不足3家的；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16.2出现影响采购公正的违法、违规行为的；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16.3投标人的报价均超过了采购预算，采购人不能支付的；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16.4因重大变故，采购任务取消的。</w:t>
      </w:r>
    </w:p>
    <w:p>
      <w:pPr>
        <w:adjustRightInd w:val="0"/>
        <w:snapToGrid w:val="0"/>
        <w:spacing w:after="120" w:line="360" w:lineRule="auto"/>
        <w:ind w:left="420" w:leftChars="200"/>
        <w:rPr>
          <w:rFonts w:ascii="仿宋_GB2312" w:hAnsi="仿宋" w:eastAsia="仿宋_GB2312" w:cs="仿宋_GB2312"/>
          <w:sz w:val="24"/>
          <w:szCs w:val="24"/>
        </w:rPr>
      </w:pPr>
      <w:r>
        <w:rPr>
          <w:rFonts w:hint="eastAsia" w:ascii="仿宋_GB2312" w:hAnsi="仿宋" w:eastAsia="仿宋_GB2312" w:cs="仿宋_GB2312"/>
          <w:sz w:val="24"/>
          <w:szCs w:val="24"/>
        </w:rPr>
        <w:t>废标后，采购机构应当将废标理由通知所有投标人。</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 重新组织采购</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17.修改招标文件，重新组织采购活动。</w:t>
      </w:r>
      <w:r>
        <w:rPr>
          <w:rFonts w:hint="eastAsia" w:ascii="仿宋_GB2312" w:hAnsi="仿宋" w:eastAsia="仿宋_GB2312"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after="120" w:line="360" w:lineRule="auto"/>
        <w:rPr>
          <w:rFonts w:ascii="仿宋_GB2312" w:hAnsi="仿宋" w:eastAsia="仿宋_GB2312" w:cs="仿宋_GB2312"/>
          <w:sz w:val="24"/>
          <w:szCs w:val="24"/>
        </w:rPr>
      </w:pPr>
      <w:r>
        <w:rPr>
          <w:rFonts w:hint="eastAsia" w:ascii="仿宋_GB2312" w:hAnsi="Helvetica" w:eastAsia="仿宋_GB2312" w:cs="Helvetica"/>
          <w:b/>
          <w:kern w:val="0"/>
          <w:sz w:val="24"/>
          <w:szCs w:val="24"/>
        </w:rPr>
        <w:t>18.重新开展采购。</w:t>
      </w:r>
      <w:r>
        <w:rPr>
          <w:rFonts w:hint="eastAsia" w:ascii="仿宋_GB2312" w:hAnsi="仿宋" w:eastAsia="仿宋_GB2312" w:cs="仿宋_GB2312"/>
          <w:sz w:val="24"/>
          <w:szCs w:val="24"/>
        </w:rPr>
        <w:t>有政府采购法第七十一条、第七十二条规定的违法行为之一，影响或者可能影响中标、成交结果的，依照下列规定处理：</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18.1未确定中标或者中标人的，终止本次政府采购活动，重新开展政府采购活动。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18.3政府采购合同已签订但尚未履行的，撤销合同，从合格的中标或者成交候选人中另行确定中标或者中标人；没有合格的中标或者成交候选人的，重新开展政府采购活动。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18.4政府采购合同已经履行，给采购人、供应商造成损失的，由责任人承担赔偿责任。</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18.5政府采购当事人有其他违反政府采购法或者本条例规定的行为，经改正后仍然影响或者可能影响中标、成交结果或者依法被认定为中标、成交无效的，依照18.1-18.4规定处理。</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八、评审过程的保密与录像</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19.保密。</w:t>
      </w:r>
      <w:r>
        <w:rPr>
          <w:rFonts w:hint="eastAsia" w:ascii="仿宋_GB2312" w:hAnsi="仿宋" w:eastAsia="仿宋_GB2312" w:cs="仿宋_GB2312"/>
          <w:sz w:val="24"/>
          <w:szCs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20.录音录像。</w:t>
      </w:r>
      <w:r>
        <w:rPr>
          <w:rFonts w:hint="eastAsia" w:ascii="仿宋_GB2312" w:hAnsi="仿宋" w:eastAsia="仿宋_GB2312" w:cs="仿宋_GB2312"/>
          <w:sz w:val="24"/>
          <w:szCs w:val="24"/>
        </w:rPr>
        <w:t>采购机构对评审工作现场进行全过程录音录像，录音录像资料作为采购项目文件随其他文件一并存档。</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九、具体评标标准</w:t>
      </w:r>
    </w:p>
    <w:p>
      <w:pPr>
        <w:autoSpaceDE w:val="0"/>
        <w:autoSpaceDN w:val="0"/>
        <w:adjustRightInd w:val="0"/>
        <w:spacing w:line="46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sz w:val="24"/>
          <w:szCs w:val="24"/>
        </w:rPr>
        <w:t>一、本项目采用综合评分法</w:t>
      </w:r>
      <w:r>
        <w:rPr>
          <w:rFonts w:hint="eastAsia" w:ascii="仿宋_GB2312" w:hAnsi="宋体" w:eastAsia="仿宋_GB2312" w:cs="Times New Roman"/>
          <w:sz w:val="24"/>
          <w:szCs w:val="24"/>
        </w:rPr>
        <w:t>，评标委员会将对各投标人的投标报价、</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sz w:val="24"/>
          <w:szCs w:val="21"/>
        </w:rPr>
        <w:t>得分且投标报价相同的并列</w:t>
      </w:r>
      <w:r>
        <w:rPr>
          <w:rFonts w:hint="eastAsia" w:ascii="仿宋_GB2312" w:hAnsi="宋体" w:eastAsia="仿宋_GB2312" w:cs="Times New Roman"/>
          <w:sz w:val="24"/>
          <w:szCs w:val="24"/>
        </w:rPr>
        <w:t xml:space="preserve">，并形成评标意见。 </w:t>
      </w:r>
    </w:p>
    <w:p>
      <w:pPr>
        <w:adjustRightInd w:val="0"/>
        <w:spacing w:line="460" w:lineRule="exact"/>
        <w:ind w:left="105" w:leftChars="50" w:firstLine="427" w:firstLineChars="178"/>
        <w:rPr>
          <w:rFonts w:ascii="仿宋_GB2312" w:hAnsi="宋体" w:eastAsia="仿宋_GB2312" w:cs="Times New Roman"/>
          <w:b/>
          <w:sz w:val="24"/>
          <w:szCs w:val="24"/>
        </w:rPr>
      </w:pPr>
      <w:r>
        <w:rPr>
          <w:rFonts w:hint="eastAsia" w:ascii="仿宋_GB2312" w:hAnsi="宋体" w:eastAsia="仿宋_GB2312" w:cs="Times New Roman"/>
          <w:sz w:val="24"/>
          <w:szCs w:val="24"/>
        </w:rPr>
        <w:t>各投标人的综合得分为：投标价格得分+</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得分+投标人的资质和业绩情况得分之和，</w:t>
      </w:r>
      <w:r>
        <w:rPr>
          <w:rFonts w:hint="eastAsia" w:ascii="仿宋_GB2312" w:hAnsi="宋体" w:eastAsia="仿宋_GB2312" w:cs="Times New Roman"/>
          <w:b/>
          <w:sz w:val="24"/>
          <w:szCs w:val="24"/>
        </w:rPr>
        <w:t>总和为</w:t>
      </w:r>
      <w:r>
        <w:rPr>
          <w:rFonts w:hint="eastAsia" w:ascii="仿宋_GB2312" w:hAnsi="宋体" w:eastAsia="仿宋_GB2312" w:cs="Times New Roman"/>
          <w:b/>
          <w:sz w:val="24"/>
          <w:szCs w:val="24"/>
          <w:u w:val="single"/>
        </w:rPr>
        <w:t>100</w:t>
      </w:r>
      <w:r>
        <w:rPr>
          <w:rFonts w:hint="eastAsia" w:ascii="仿宋_GB2312" w:hAnsi="宋体" w:eastAsia="仿宋_GB2312" w:cs="Times New Roman"/>
          <w:b/>
          <w:sz w:val="24"/>
          <w:szCs w:val="24"/>
        </w:rPr>
        <w:t>分</w:t>
      </w:r>
      <w:r>
        <w:rPr>
          <w:rFonts w:hint="eastAsia" w:ascii="仿宋_GB2312" w:hAnsi="宋体" w:eastAsia="仿宋_GB2312" w:cs="Times New Roman"/>
          <w:sz w:val="24"/>
          <w:szCs w:val="24"/>
        </w:rPr>
        <w:t>，其中：</w:t>
      </w:r>
      <w:r>
        <w:rPr>
          <w:rFonts w:hint="eastAsia" w:ascii="仿宋_GB2312" w:hAnsi="仿宋" w:eastAsia="仿宋_GB2312" w:cs="Times New Roman"/>
          <w:b/>
          <w:sz w:val="24"/>
          <w:szCs w:val="24"/>
        </w:rPr>
        <w:t>投标价格得分</w:t>
      </w:r>
      <w:r>
        <w:rPr>
          <w:rFonts w:hint="eastAsia" w:ascii="仿宋_GB2312" w:hAnsi="仿宋" w:eastAsia="仿宋_GB2312" w:cs="Times New Roman"/>
          <w:b/>
          <w:sz w:val="24"/>
          <w:szCs w:val="24"/>
          <w:u w:val="single"/>
          <w:lang w:val="en-US" w:eastAsia="zh-CN"/>
        </w:rPr>
        <w:t>30</w:t>
      </w:r>
      <w:r>
        <w:rPr>
          <w:rFonts w:hint="eastAsia" w:ascii="仿宋_GB2312" w:hAnsi="仿宋" w:eastAsia="仿宋_GB2312" w:cs="Times New Roman"/>
          <w:b/>
          <w:sz w:val="24"/>
          <w:szCs w:val="24"/>
        </w:rPr>
        <w:t>分，</w:t>
      </w:r>
      <w:r>
        <w:rPr>
          <w:rFonts w:hint="eastAsia" w:ascii="仿宋_GB2312" w:hAnsi="仿宋" w:eastAsia="仿宋_GB2312" w:cs="Times New Roman"/>
          <w:b/>
          <w:bCs/>
          <w:sz w:val="24"/>
          <w:szCs w:val="24"/>
        </w:rPr>
        <w:t>技术和服务方案得分</w:t>
      </w:r>
      <w:r>
        <w:rPr>
          <w:rFonts w:hint="eastAsia" w:ascii="仿宋_GB2312" w:hAnsi="仿宋" w:eastAsia="仿宋_GB2312" w:cs="Times New Roman"/>
          <w:b/>
          <w:sz w:val="24"/>
          <w:szCs w:val="24"/>
          <w:u w:val="single"/>
          <w:lang w:val="en-US" w:eastAsia="zh-CN"/>
        </w:rPr>
        <w:t>63</w:t>
      </w:r>
      <w:r>
        <w:rPr>
          <w:rFonts w:hint="eastAsia" w:ascii="仿宋_GB2312" w:hAnsi="仿宋" w:eastAsia="仿宋_GB2312" w:cs="Times New Roman"/>
          <w:b/>
          <w:sz w:val="24"/>
          <w:szCs w:val="24"/>
        </w:rPr>
        <w:t>分，投标人的资质和业绩情况得分</w:t>
      </w:r>
      <w:r>
        <w:rPr>
          <w:rFonts w:hint="eastAsia" w:ascii="仿宋_GB2312" w:hAnsi="仿宋" w:eastAsia="仿宋_GB2312" w:cs="Times New Roman"/>
          <w:b/>
          <w:sz w:val="24"/>
          <w:szCs w:val="24"/>
          <w:u w:val="single"/>
        </w:rPr>
        <w:t xml:space="preserve"> </w:t>
      </w:r>
      <w:r>
        <w:rPr>
          <w:rFonts w:hint="eastAsia" w:ascii="仿宋_GB2312" w:hAnsi="仿宋" w:eastAsia="仿宋_GB2312" w:cs="Times New Roman"/>
          <w:b/>
          <w:sz w:val="24"/>
          <w:szCs w:val="24"/>
          <w:u w:val="single"/>
          <w:lang w:val="en-US" w:eastAsia="zh-CN"/>
        </w:rPr>
        <w:t>7</w:t>
      </w:r>
      <w:r>
        <w:rPr>
          <w:rFonts w:hint="eastAsia" w:ascii="仿宋_GB2312" w:hAnsi="仿宋" w:eastAsia="仿宋_GB2312" w:cs="Times New Roman"/>
          <w:b/>
          <w:sz w:val="24"/>
          <w:szCs w:val="24"/>
        </w:rPr>
        <w:t>分</w:t>
      </w:r>
      <w:r>
        <w:rPr>
          <w:rFonts w:hint="eastAsia" w:ascii="仿宋_GB2312" w:hAnsi="宋体" w:eastAsia="仿宋_GB2312" w:cs="Times New Roman"/>
          <w:b/>
          <w:sz w:val="24"/>
          <w:szCs w:val="24"/>
        </w:rPr>
        <w:t>。</w:t>
      </w:r>
    </w:p>
    <w:p>
      <w:pPr>
        <w:tabs>
          <w:tab w:val="left" w:pos="0"/>
        </w:tabs>
        <w:adjustRightInd w:val="0"/>
        <w:spacing w:line="460" w:lineRule="exact"/>
        <w:ind w:firstLine="542" w:firstLineChars="225"/>
        <w:rPr>
          <w:rFonts w:ascii="仿宋_GB2312" w:hAnsi="宋体" w:eastAsia="仿宋_GB2312" w:cs="Times New Roman"/>
          <w:sz w:val="24"/>
          <w:szCs w:val="24"/>
        </w:rPr>
      </w:pPr>
      <w:r>
        <w:rPr>
          <w:rFonts w:hint="eastAsia" w:ascii="仿宋_GB2312" w:hAnsi="宋体" w:eastAsia="仿宋_GB2312" w:cs="Times New Roman"/>
          <w:b/>
          <w:sz w:val="24"/>
          <w:szCs w:val="24"/>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kern w:val="0"/>
          <w:sz w:val="24"/>
          <w:szCs w:val="24"/>
        </w:rPr>
        <w:t>公式由采购机构计算，</w:t>
      </w:r>
      <w:r>
        <w:rPr>
          <w:rFonts w:hint="eastAsia" w:ascii="仿宋_GB2312" w:hAnsi="宋体" w:eastAsia="仿宋_GB2312" w:cs="Times New Roman"/>
          <w:b/>
          <w:sz w:val="24"/>
          <w:szCs w:val="24"/>
        </w:rPr>
        <w:t>评标委员会审核。</w:t>
      </w:r>
      <w:r>
        <w:rPr>
          <w:rFonts w:hint="eastAsia" w:ascii="仿宋_GB2312" w:hAnsi="宋体" w:eastAsia="仿宋_GB2312" w:cs="Times New Roman"/>
          <w:sz w:val="24"/>
          <w:szCs w:val="24"/>
        </w:rPr>
        <w:t>根据上述评标原则，分值安排如下：</w:t>
      </w:r>
    </w:p>
    <w:p>
      <w:pPr>
        <w:adjustRightInd w:val="0"/>
        <w:spacing w:line="460" w:lineRule="exact"/>
        <w:ind w:firstLine="482" w:firstLineChars="200"/>
        <w:rPr>
          <w:rFonts w:ascii="仿宋_GB2312" w:hAnsi="宋体" w:eastAsia="仿宋_GB2312" w:cs="Times New Roman"/>
          <w:b/>
          <w:color w:val="auto"/>
          <w:sz w:val="24"/>
          <w:szCs w:val="24"/>
          <w:highlight w:val="none"/>
        </w:rPr>
      </w:pPr>
      <w:r>
        <w:rPr>
          <w:rFonts w:hint="eastAsia" w:ascii="仿宋_GB2312" w:hAnsi="宋体" w:eastAsia="仿宋_GB2312" w:cs="Times New Roman"/>
          <w:b/>
          <w:color w:val="auto"/>
          <w:sz w:val="24"/>
          <w:szCs w:val="24"/>
          <w:highlight w:val="none"/>
        </w:rPr>
        <w:t>A、投标价格（A=</w:t>
      </w:r>
      <w:r>
        <w:rPr>
          <w:rFonts w:hint="eastAsia"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lang w:val="en-US" w:eastAsia="zh-CN"/>
        </w:rPr>
        <w:t>3</w:t>
      </w:r>
      <w:r>
        <w:rPr>
          <w:rFonts w:hint="eastAsia" w:ascii="仿宋_GB2312" w:hAnsi="宋体" w:eastAsia="仿宋_GB2312" w:cs="Times New Roman"/>
          <w:b/>
          <w:color w:val="auto"/>
          <w:sz w:val="24"/>
          <w:szCs w:val="24"/>
          <w:highlight w:val="none"/>
          <w:u w:val="single"/>
        </w:rPr>
        <w:t>0</w:t>
      </w:r>
      <w:r>
        <w:rPr>
          <w:rFonts w:hint="eastAsia" w:ascii="仿宋_GB2312" w:hAnsi="宋体" w:eastAsia="仿宋_GB2312" w:cs="Times New Roman"/>
          <w:b/>
          <w:color w:val="auto"/>
          <w:sz w:val="24"/>
          <w:szCs w:val="24"/>
          <w:highlight w:val="none"/>
        </w:rPr>
        <w:t>分）：</w:t>
      </w:r>
    </w:p>
    <w:p>
      <w:pPr>
        <w:adjustRightInd w:val="0"/>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宋体" w:eastAsia="仿宋_GB2312" w:cs="仿宋_GB2312"/>
          <w:b/>
          <w:bCs/>
          <w:color w:val="auto"/>
          <w:sz w:val="24"/>
          <w:szCs w:val="24"/>
          <w:highlight w:val="none"/>
          <w:lang w:val="zh-CN"/>
        </w:rPr>
        <w:t>报价的合理性：</w:t>
      </w:r>
      <w:r>
        <w:rPr>
          <w:rFonts w:hint="eastAsia" w:ascii="仿宋_GB2312" w:hAnsi="宋体" w:eastAsia="仿宋_GB2312" w:cs="Times New Roman"/>
          <w:color w:val="auto"/>
          <w:sz w:val="24"/>
          <w:szCs w:val="24"/>
          <w:highlight w:val="none"/>
        </w:rPr>
        <w:t>评标委员会认为投标人的</w:t>
      </w:r>
      <w:r>
        <w:rPr>
          <w:rFonts w:hint="eastAsia" w:ascii="仿宋_GB2312" w:hAnsi="仿宋" w:eastAsia="仿宋_GB2312" w:cs="仿宋_GB2312"/>
          <w:color w:val="auto"/>
          <w:sz w:val="24"/>
          <w:szCs w:val="24"/>
          <w:highlight w:val="none"/>
        </w:rPr>
        <w:t>报价明显低于其他通过符合性审查投标人的报价，有可能影响产品质量或者不能诚信履约的，应当要求提供其在合理的时间内书面提供书面说明，必要时提交相关证明材料；投标人不能证明其报价合理性的，评标委员会应当将其作为无效投标处理;</w:t>
      </w:r>
    </w:p>
    <w:p>
      <w:pPr>
        <w:adjustRightInd w:val="0"/>
        <w:spacing w:line="460" w:lineRule="exact"/>
        <w:ind w:firstLine="480" w:firstLineChars="200"/>
        <w:rPr>
          <w:rFonts w:ascii="仿宋_GB2312" w:hAnsi="宋体" w:eastAsia="仿宋_GB2312" w:cs="Times New Roman"/>
          <w:color w:val="auto"/>
          <w:sz w:val="24"/>
          <w:szCs w:val="24"/>
          <w:highlight w:val="none"/>
        </w:rPr>
      </w:pPr>
      <w:r>
        <w:rPr>
          <w:rFonts w:hint="eastAsia" w:ascii="仿宋_GB2312" w:hAnsi="宋体" w:eastAsia="仿宋_GB2312" w:cs="仿宋_GB2312"/>
          <w:color w:val="auto"/>
          <w:sz w:val="24"/>
          <w:szCs w:val="24"/>
          <w:highlight w:val="none"/>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仿宋_GB2312"/>
          <w:color w:val="auto"/>
          <w:sz w:val="24"/>
          <w:szCs w:val="24"/>
          <w:highlight w:val="none"/>
          <w:u w:val="single"/>
          <w:lang w:val="zh-CN"/>
        </w:rPr>
        <w:t xml:space="preserve"> </w:t>
      </w:r>
      <w:r>
        <w:rPr>
          <w:rFonts w:hint="eastAsia" w:ascii="仿宋_GB2312" w:hAnsi="宋体" w:eastAsia="仿宋_GB2312" w:cs="仿宋_GB2312"/>
          <w:color w:val="auto"/>
          <w:sz w:val="24"/>
          <w:szCs w:val="24"/>
          <w:highlight w:val="none"/>
          <w:u w:val="single"/>
          <w:lang w:val="en-US" w:eastAsia="zh-CN"/>
        </w:rPr>
        <w:t>3</w:t>
      </w:r>
      <w:r>
        <w:rPr>
          <w:rFonts w:hint="eastAsia" w:ascii="仿宋_GB2312" w:hAnsi="宋体" w:eastAsia="仿宋_GB2312" w:cs="仿宋_GB2312"/>
          <w:color w:val="auto"/>
          <w:sz w:val="24"/>
          <w:szCs w:val="24"/>
          <w:highlight w:val="none"/>
          <w:u w:val="single"/>
          <w:lang w:val="zh-CN"/>
        </w:rPr>
        <w:t xml:space="preserve">0 </w:t>
      </w:r>
      <w:r>
        <w:rPr>
          <w:rFonts w:hint="eastAsia" w:ascii="仿宋_GB2312" w:hAnsi="宋体" w:eastAsia="仿宋_GB2312" w:cs="仿宋_GB2312"/>
          <w:color w:val="auto"/>
          <w:sz w:val="24"/>
          <w:szCs w:val="24"/>
          <w:highlight w:val="none"/>
          <w:lang w:val="zh-CN"/>
        </w:rPr>
        <w:t>分。其他投标人的价格分统一按照下列公式计算：投标报价得分＝(评标基准价/有效投标报价)</w:t>
      </w:r>
      <w:r>
        <w:rPr>
          <w:rFonts w:hint="eastAsia" w:ascii="仿宋_GB2312" w:hAnsi="宋体" w:eastAsia="仿宋_GB2312" w:cs="Times New Roman"/>
          <w:color w:val="auto"/>
          <w:sz w:val="24"/>
          <w:szCs w:val="24"/>
          <w:highlight w:val="none"/>
        </w:rPr>
        <w:t>×</w:t>
      </w:r>
      <w:r>
        <w:rPr>
          <w:rFonts w:hint="eastAsia" w:ascii="仿宋_GB2312" w:hAnsi="宋体" w:eastAsia="仿宋_GB2312" w:cs="仿宋_GB2312"/>
          <w:color w:val="auto"/>
          <w:sz w:val="24"/>
          <w:szCs w:val="24"/>
          <w:highlight w:val="none"/>
          <w:lang w:val="zh-CN"/>
        </w:rPr>
        <w:t>价格权值</w:t>
      </w:r>
      <w:r>
        <w:rPr>
          <w:rFonts w:hint="eastAsia" w:ascii="仿宋_GB2312" w:hAnsi="宋体" w:eastAsia="仿宋_GB2312" w:cs="Times New Roman"/>
          <w:color w:val="auto"/>
          <w:sz w:val="24"/>
          <w:szCs w:val="24"/>
          <w:highlight w:val="none"/>
        </w:rPr>
        <w:t>×</w:t>
      </w:r>
      <w:r>
        <w:rPr>
          <w:rFonts w:hint="eastAsia" w:ascii="仿宋_GB2312" w:hAnsi="宋体" w:eastAsia="仿宋_GB2312" w:cs="仿宋_GB2312"/>
          <w:color w:val="auto"/>
          <w:sz w:val="24"/>
          <w:szCs w:val="24"/>
          <w:highlight w:val="none"/>
          <w:lang w:val="zh-CN"/>
        </w:rPr>
        <w:t>100。</w:t>
      </w:r>
    </w:p>
    <w:p>
      <w:pPr>
        <w:snapToGrid w:val="0"/>
        <w:spacing w:line="460" w:lineRule="exact"/>
        <w:ind w:firstLine="482" w:firstLineChars="200"/>
        <w:rPr>
          <w:rFonts w:ascii="仿宋" w:hAnsi="仿宋" w:eastAsia="仿宋" w:cs="仿宋"/>
          <w:sz w:val="24"/>
        </w:rPr>
      </w:pPr>
      <w:r>
        <w:rPr>
          <w:rFonts w:hint="eastAsia" w:ascii="仿宋" w:hAnsi="仿宋" w:eastAsia="仿宋" w:cs="仿宋"/>
          <w:b/>
          <w:bCs/>
          <w:sz w:val="24"/>
        </w:rPr>
        <w:t xml:space="preserve">B、技术和服务方案（B= </w:t>
      </w:r>
      <w:r>
        <w:rPr>
          <w:rFonts w:hint="eastAsia" w:ascii="仿宋" w:hAnsi="仿宋" w:eastAsia="仿宋" w:cs="仿宋"/>
          <w:b/>
          <w:bCs/>
          <w:sz w:val="24"/>
          <w:lang w:val="en-US" w:eastAsia="zh-CN"/>
        </w:rPr>
        <w:t>63</w:t>
      </w:r>
      <w:r>
        <w:rPr>
          <w:rFonts w:hint="eastAsia" w:ascii="仿宋" w:hAnsi="仿宋" w:eastAsia="仿宋" w:cs="仿宋"/>
          <w:b/>
          <w:bCs/>
          <w:sz w:val="24"/>
        </w:rPr>
        <w:t>分）：</w:t>
      </w:r>
      <w:r>
        <w:rPr>
          <w:rFonts w:hint="eastAsia" w:ascii="仿宋" w:hAnsi="仿宋" w:eastAsia="仿宋" w:cs="仿宋"/>
          <w:sz w:val="24"/>
        </w:rPr>
        <w:t xml:space="preserve"> </w:t>
      </w:r>
    </w:p>
    <w:p>
      <w:pPr>
        <w:keepNext w:val="0"/>
        <w:keepLines w:val="0"/>
        <w:pageBreakBefore w:val="0"/>
        <w:widowControl w:val="0"/>
        <w:kinsoku/>
        <w:wordWrap/>
        <w:overflowPunct/>
        <w:topLinePunct w:val="0"/>
        <w:bidi w:val="0"/>
        <w:adjustRightInd/>
        <w:spacing w:line="480" w:lineRule="atLeas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bCs/>
          <w:sz w:val="24"/>
          <w:szCs w:val="24"/>
          <w:highlight w:val="none"/>
        </w:rPr>
        <w:t>（1）技术方案要求（</w:t>
      </w:r>
      <w:r>
        <w:rPr>
          <w:rFonts w:hint="eastAsia" w:ascii="仿宋_GB2312" w:hAnsi="仿宋_GB2312" w:eastAsia="仿宋_GB2312" w:cs="仿宋_GB2312"/>
          <w:b/>
          <w:bCs/>
          <w:sz w:val="24"/>
          <w:szCs w:val="24"/>
          <w:highlight w:val="none"/>
          <w:lang w:val="en-US" w:eastAsia="zh-CN"/>
        </w:rPr>
        <w:t>43</w:t>
      </w:r>
      <w:r>
        <w:rPr>
          <w:rFonts w:hint="eastAsia" w:ascii="仿宋_GB2312" w:hAnsi="仿宋_GB2312" w:eastAsia="仿宋_GB2312" w:cs="仿宋_GB2312"/>
          <w:b/>
          <w:bCs/>
          <w:sz w:val="24"/>
          <w:szCs w:val="24"/>
          <w:highlight w:val="none"/>
        </w:rPr>
        <w:t>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zh-TW" w:eastAsia="zh-CN"/>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宋体" w:eastAsia="仿宋_GB2312"/>
          <w:bCs/>
          <w:sz w:val="24"/>
          <w:highlight w:val="none"/>
          <w:lang w:val="zh-TW" w:eastAsia="zh-CN"/>
        </w:rPr>
        <w:t>根据投标人对本项目的理解程度，充分考虑用户实际使用场景，提出整体技术解决方案。方案科学、先进、可行的得</w:t>
      </w:r>
      <w:r>
        <w:rPr>
          <w:rFonts w:hint="eastAsia" w:ascii="仿宋_GB2312" w:hAnsi="宋体" w:eastAsia="仿宋_GB2312"/>
          <w:bCs/>
          <w:sz w:val="24"/>
          <w:highlight w:val="none"/>
          <w:lang w:val="en-US" w:eastAsia="zh-CN"/>
        </w:rPr>
        <w:t>5</w:t>
      </w:r>
      <w:r>
        <w:rPr>
          <w:rFonts w:hint="eastAsia" w:ascii="仿宋_GB2312" w:hAnsi="宋体" w:eastAsia="仿宋_GB2312"/>
          <w:bCs/>
          <w:sz w:val="24"/>
          <w:highlight w:val="none"/>
          <w:lang w:val="zh-TW" w:eastAsia="zh-CN"/>
        </w:rPr>
        <w:t>分，方案基本可行的得</w:t>
      </w:r>
      <w:r>
        <w:rPr>
          <w:rFonts w:hint="eastAsia" w:ascii="仿宋_GB2312" w:hAnsi="宋体" w:eastAsia="仿宋_GB2312"/>
          <w:bCs/>
          <w:sz w:val="24"/>
          <w:highlight w:val="none"/>
          <w:lang w:val="en-US" w:eastAsia="zh-CN"/>
        </w:rPr>
        <w:t>2</w:t>
      </w:r>
      <w:r>
        <w:rPr>
          <w:rFonts w:hint="eastAsia" w:ascii="仿宋_GB2312" w:hAnsi="宋体" w:eastAsia="仿宋_GB2312"/>
          <w:bCs/>
          <w:sz w:val="24"/>
          <w:highlight w:val="none"/>
          <w:lang w:val="zh-TW" w:eastAsia="zh-CN"/>
        </w:rPr>
        <w:t>分，与实际情况不符的不得分（</w:t>
      </w:r>
      <w:r>
        <w:rPr>
          <w:rFonts w:hint="eastAsia" w:ascii="仿宋_GB2312" w:hAnsi="宋体" w:eastAsia="仿宋_GB2312"/>
          <w:bCs/>
          <w:sz w:val="24"/>
          <w:highlight w:val="none"/>
          <w:lang w:val="en-US" w:eastAsia="zh-CN"/>
        </w:rPr>
        <w:t>5分</w:t>
      </w:r>
      <w:r>
        <w:rPr>
          <w:rFonts w:hint="eastAsia" w:ascii="仿宋_GB2312" w:hAnsi="宋体" w:eastAsia="仿宋_GB2312"/>
          <w:bCs/>
          <w:sz w:val="24"/>
          <w:highlight w:val="none"/>
          <w:lang w:val="zh-TW"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zh-TW" w:eastAsia="zh-CN"/>
        </w:rPr>
      </w:pPr>
      <w:r>
        <w:rPr>
          <w:rFonts w:hint="eastAsia" w:ascii="仿宋_GB2312" w:hAnsi="宋体" w:eastAsia="仿宋_GB2312"/>
          <w:bCs/>
          <w:sz w:val="24"/>
          <w:highlight w:val="none"/>
          <w:lang w:val="en-US" w:eastAsia="zh-CN"/>
        </w:rPr>
        <w:t>●投标方案对采购需求中投标产品“技术要求”的偏离情况（包括所投标产品的规格型号、详细配置、主要技术参数、随机软件、证明材料等），满足招标文件技术指标的得基准分15分，带“▲”为实际业务需要，不得出现负偏离，否则做无效标处理，对其他参数或功能要求负偏离或未响应的每项扣1分（无实质性意义的负偏离不扣分），若负偏离15分及以上的做无效标处理（15分）</w:t>
      </w:r>
      <w:r>
        <w:rPr>
          <w:rFonts w:hint="eastAsia" w:ascii="仿宋_GB2312" w:hAnsi="宋体" w:eastAsia="仿宋_GB2312"/>
          <w:bCs/>
          <w:sz w:val="24"/>
          <w:highlight w:val="none"/>
          <w:lang w:val="zh-TW"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zh-CN" w:eastAsia="zh-CN"/>
        </w:rPr>
      </w:pPr>
      <w:r>
        <w:rPr>
          <w:rFonts w:hint="eastAsia" w:ascii="仿宋_GB2312" w:hAnsi="宋体" w:eastAsia="仿宋_GB2312"/>
          <w:bCs/>
          <w:sz w:val="24"/>
          <w:highlight w:val="none"/>
          <w:lang w:val="zh-CN" w:eastAsia="zh-CN"/>
        </w:rPr>
        <w:t>注：要求提供测试报告复印件、证书复印件等证明材料而未提供视作一项负偏离。</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zh-CN" w:eastAsia="zh-CN"/>
        </w:rPr>
      </w:pPr>
      <w:r>
        <w:rPr>
          <w:rFonts w:hint="eastAsia" w:ascii="仿宋_GB2312" w:hAnsi="宋体" w:eastAsia="仿宋_GB2312"/>
          <w:bCs/>
          <w:sz w:val="24"/>
          <w:highlight w:val="none"/>
          <w:lang w:val="en-US" w:eastAsia="zh-CN"/>
        </w:rPr>
        <w:t>●</w:t>
      </w:r>
      <w:r>
        <w:rPr>
          <w:rFonts w:hint="eastAsia" w:ascii="仿宋_GB2312" w:hAnsi="宋体" w:eastAsia="仿宋_GB2312"/>
          <w:b w:val="0"/>
          <w:bCs w:val="0"/>
          <w:sz w:val="24"/>
          <w:highlight w:val="none"/>
          <w:lang w:val="en-US" w:eastAsia="zh-CN"/>
        </w:rPr>
        <w:t>投标</w:t>
      </w:r>
      <w:r>
        <w:rPr>
          <w:rFonts w:hint="eastAsia" w:ascii="仿宋_GB2312" w:hAnsi="宋体" w:eastAsia="仿宋_GB2312"/>
          <w:bCs/>
          <w:sz w:val="24"/>
          <w:highlight w:val="none"/>
          <w:lang w:val="en-US" w:eastAsia="zh-CN"/>
        </w:rPr>
        <w:t>人根据采购需求制定</w:t>
      </w:r>
      <w:r>
        <w:rPr>
          <w:rFonts w:hint="eastAsia" w:ascii="仿宋_GB2312" w:hAnsi="宋体" w:eastAsia="仿宋_GB2312"/>
          <w:bCs/>
          <w:sz w:val="24"/>
          <w:highlight w:val="none"/>
          <w:lang w:val="zh-CN" w:eastAsia="zh-CN"/>
        </w:rPr>
        <w:t>**通与临安区公安局固定电话组成广域虚拟网的方案，方案的科学合理，内容详尽且较好满足采购人需求的得</w:t>
      </w:r>
      <w:r>
        <w:rPr>
          <w:rFonts w:hint="eastAsia" w:ascii="仿宋_GB2312" w:hAnsi="宋体" w:eastAsia="仿宋_GB2312"/>
          <w:bCs/>
          <w:sz w:val="24"/>
          <w:highlight w:val="none"/>
          <w:lang w:val="en-US" w:eastAsia="zh-CN"/>
        </w:rPr>
        <w:t>5</w:t>
      </w:r>
      <w:r>
        <w:rPr>
          <w:rFonts w:hint="eastAsia" w:ascii="仿宋_GB2312" w:hAnsi="宋体" w:eastAsia="仿宋_GB2312"/>
          <w:bCs/>
          <w:sz w:val="24"/>
          <w:highlight w:val="none"/>
          <w:lang w:val="zh-CN" w:eastAsia="zh-CN"/>
        </w:rPr>
        <w:t>分；方案基本合理，内容完整的得</w:t>
      </w:r>
      <w:r>
        <w:rPr>
          <w:rFonts w:hint="eastAsia" w:ascii="仿宋_GB2312" w:hAnsi="宋体" w:eastAsia="仿宋_GB2312"/>
          <w:bCs/>
          <w:sz w:val="24"/>
          <w:highlight w:val="none"/>
          <w:lang w:val="en-US" w:eastAsia="zh-CN"/>
        </w:rPr>
        <w:t>3分</w:t>
      </w:r>
      <w:r>
        <w:rPr>
          <w:rFonts w:hint="eastAsia" w:ascii="仿宋_GB2312" w:hAnsi="宋体" w:eastAsia="仿宋_GB2312"/>
          <w:bCs/>
          <w:sz w:val="24"/>
          <w:highlight w:val="none"/>
          <w:lang w:val="zh-CN" w:eastAsia="zh-CN"/>
        </w:rPr>
        <w:t>，内容缺少或部分满足采购人需求的得</w:t>
      </w:r>
      <w:r>
        <w:rPr>
          <w:rFonts w:hint="eastAsia" w:ascii="仿宋_GB2312" w:hAnsi="宋体" w:eastAsia="仿宋_GB2312"/>
          <w:bCs/>
          <w:sz w:val="24"/>
          <w:highlight w:val="none"/>
          <w:lang w:val="en-US" w:eastAsia="zh-CN"/>
        </w:rPr>
        <w:t>1</w:t>
      </w:r>
      <w:r>
        <w:rPr>
          <w:rFonts w:hint="eastAsia" w:ascii="仿宋_GB2312" w:hAnsi="宋体" w:eastAsia="仿宋_GB2312"/>
          <w:bCs/>
          <w:sz w:val="24"/>
          <w:highlight w:val="none"/>
          <w:lang w:val="zh-CN" w:eastAsia="zh-CN"/>
        </w:rPr>
        <w:t>分，无内容或不满足采购人需求的不得分（</w:t>
      </w:r>
      <w:r>
        <w:rPr>
          <w:rFonts w:hint="eastAsia" w:ascii="仿宋_GB2312" w:hAnsi="宋体" w:eastAsia="仿宋_GB2312"/>
          <w:bCs/>
          <w:sz w:val="24"/>
          <w:highlight w:val="none"/>
          <w:lang w:val="en-US" w:eastAsia="zh-CN"/>
        </w:rPr>
        <w:t>5分</w:t>
      </w:r>
      <w:r>
        <w:rPr>
          <w:rFonts w:hint="eastAsia" w:ascii="仿宋_GB2312" w:hAnsi="宋体" w:eastAsia="仿宋_GB2312"/>
          <w:bCs/>
          <w:sz w:val="24"/>
          <w:highlight w:val="none"/>
          <w:lang w:val="zh-CN"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●投标人承诺提供的</w:t>
      </w:r>
      <w:r>
        <w:rPr>
          <w:rFonts w:hint="eastAsia" w:ascii="仿宋_GB2312" w:hAnsi="宋体" w:eastAsia="仿宋_GB2312"/>
          <w:bCs/>
          <w:sz w:val="24"/>
          <w:highlight w:val="none"/>
          <w:lang w:val="zh-CN" w:eastAsia="zh-CN"/>
        </w:rPr>
        <w:t>**通确保在 “浙警云端”</w:t>
      </w:r>
      <w:r>
        <w:rPr>
          <w:rFonts w:hint="eastAsia" w:ascii="仿宋_GB2312" w:hAnsi="宋体" w:eastAsia="仿宋_GB2312"/>
          <w:bCs/>
          <w:sz w:val="24"/>
          <w:highlight w:val="none"/>
          <w:lang w:val="zh-CN" w:eastAsia="zh-CN"/>
        </w:rPr>
        <w:t>移动应用平台平稳运行，提供相关承诺的得</w:t>
      </w:r>
      <w:r>
        <w:rPr>
          <w:rFonts w:hint="eastAsia" w:ascii="仿宋_GB2312" w:hAnsi="宋体" w:eastAsia="仿宋_GB2312"/>
          <w:bCs/>
          <w:sz w:val="24"/>
          <w:highlight w:val="none"/>
          <w:lang w:val="en-US" w:eastAsia="zh-CN"/>
        </w:rPr>
        <w:t>3分，否则不得分（3分）。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●投标人提供临安区域内 4G/5G信号覆盖面情况说明，覆盖率满足招标要求的得4分，正偏离得5分，不满足不得分（5分）；</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根据安全加密服务技术要求，①投标人提供的加密服务方案满足要求的得3分，不满足不得分；②在服务要求基础上，提供加密及算法介绍的，技术先进、可靠的得2分，技术一般的得1分，每提供不得分；总计5分（5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bCs/>
          <w:sz w:val="24"/>
          <w:highlight w:val="none"/>
          <w:lang w:val="zh-CN" w:eastAsia="zh-CN"/>
        </w:rPr>
      </w:pPr>
      <w:r>
        <w:rPr>
          <w:rFonts w:hint="eastAsia" w:ascii="仿宋_GB2312" w:hAnsi="宋体" w:eastAsia="仿宋_GB2312" w:cstheme="minorBidi"/>
          <w:b w:val="0"/>
          <w:bCs/>
          <w:kern w:val="2"/>
          <w:sz w:val="24"/>
          <w:szCs w:val="22"/>
          <w:highlight w:val="none"/>
          <w:lang w:val="en-US" w:eastAsia="zh-CN" w:bidi="ar-SA"/>
        </w:rPr>
        <w:t>●投标人提出与**系统之间的衔接及整合方案，特别是对浙江云上公安平台系统的对接整合能力，提供安全、稳定、成熟可行的方案或提供对接证明材料的得5分；提供合理可行的方案或承诺对接的得3分；无方案、方案不可行且无承诺的不得分（5分）</w:t>
      </w:r>
      <w:r>
        <w:rPr>
          <w:rFonts w:hint="eastAsia" w:ascii="仿宋_GB2312" w:hAnsi="宋体" w:eastAsia="仿宋_GB2312"/>
          <w:bCs/>
          <w:sz w:val="24"/>
          <w:highlight w:val="none"/>
          <w:lang w:val="zh-CN" w:eastAsia="zh-CN"/>
        </w:rPr>
        <w:t>。</w:t>
      </w:r>
    </w:p>
    <w:p>
      <w:pPr>
        <w:keepNext w:val="0"/>
        <w:keepLines w:val="0"/>
        <w:pageBreakBefore w:val="0"/>
        <w:widowControl w:val="0"/>
        <w:kinsoku/>
        <w:wordWrap/>
        <w:overflowPunct/>
        <w:topLinePunct w:val="0"/>
        <w:bidi w:val="0"/>
        <w:adjustRightInd/>
        <w:snapToGrid w:val="0"/>
        <w:spacing w:line="360" w:lineRule="auto"/>
        <w:textAlignment w:val="auto"/>
        <w:rPr>
          <w:rFonts w:ascii="仿宋_GB2312" w:hAnsi="宋体" w:eastAsia="仿宋_GB2312"/>
          <w:b/>
          <w:sz w:val="24"/>
          <w:szCs w:val="24"/>
          <w:highlight w:val="none"/>
        </w:rPr>
      </w:pPr>
      <w:r>
        <w:rPr>
          <w:rFonts w:hint="eastAsia" w:ascii="仿宋_GB2312" w:hAnsi="宋体" w:eastAsia="仿宋_GB2312"/>
          <w:b/>
          <w:sz w:val="24"/>
          <w:szCs w:val="24"/>
          <w:highlight w:val="none"/>
        </w:rPr>
        <w:t>（</w:t>
      </w:r>
      <w:r>
        <w:rPr>
          <w:rFonts w:ascii="仿宋_GB2312" w:hAnsi="宋体" w:eastAsia="仿宋_GB2312"/>
          <w:b/>
          <w:sz w:val="24"/>
          <w:szCs w:val="24"/>
          <w:highlight w:val="none"/>
        </w:rPr>
        <w:t>2</w:t>
      </w:r>
      <w:r>
        <w:rPr>
          <w:rFonts w:hint="eastAsia" w:ascii="仿宋_GB2312" w:hAnsi="宋体" w:eastAsia="仿宋_GB2312"/>
          <w:b/>
          <w:sz w:val="24"/>
          <w:szCs w:val="24"/>
          <w:highlight w:val="none"/>
        </w:rPr>
        <w:t>）组织实施方案（</w:t>
      </w:r>
      <w:r>
        <w:rPr>
          <w:rFonts w:hint="eastAsia" w:ascii="仿宋_GB2312" w:hAnsi="宋体" w:eastAsia="仿宋_GB2312"/>
          <w:b/>
          <w:sz w:val="24"/>
          <w:szCs w:val="24"/>
          <w:highlight w:val="none"/>
          <w:lang w:val="en-US" w:eastAsia="zh-CN"/>
        </w:rPr>
        <w:t>14</w:t>
      </w:r>
      <w:r>
        <w:rPr>
          <w:rFonts w:hint="eastAsia" w:ascii="仿宋_GB2312" w:hAnsi="宋体" w:eastAsia="仿宋_GB2312"/>
          <w:b/>
          <w:sz w:val="24"/>
          <w:szCs w:val="24"/>
          <w:highlight w:val="none"/>
        </w:rPr>
        <w:t>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 实施方案情况：根据</w:t>
      </w:r>
      <w:r>
        <w:rPr>
          <w:rFonts w:hint="eastAsia" w:ascii="仿宋_GB2312" w:hAnsi="宋体" w:eastAsia="仿宋_GB2312" w:cs="仿宋_GB2312"/>
          <w:sz w:val="24"/>
          <w:highlight w:val="none"/>
          <w:lang w:val="zh-CN"/>
        </w:rPr>
        <w:t>投标人提供的实施方案进行打分。实施方案中项目开发安排科学合理，所供货品组织有序，时间安排满足采购人要求（实质性条款不作为评审因素）的</w:t>
      </w:r>
      <w:r>
        <w:rPr>
          <w:rFonts w:hint="eastAsia" w:ascii="仿宋_GB2312" w:hAnsi="宋体" w:eastAsia="仿宋_GB2312" w:cs="仿宋_GB2312"/>
          <w:sz w:val="24"/>
          <w:highlight w:val="none"/>
          <w:lang w:val="zh-CN" w:eastAsia="zh-CN"/>
        </w:rPr>
        <w:t>得</w:t>
      </w:r>
      <w:r>
        <w:rPr>
          <w:rFonts w:hint="eastAsia" w:ascii="仿宋_GB2312" w:hAnsi="宋体" w:eastAsia="仿宋_GB2312" w:cs="仿宋_GB2312"/>
          <w:sz w:val="24"/>
          <w:highlight w:val="none"/>
          <w:lang w:val="en-US" w:eastAsia="zh-CN"/>
        </w:rPr>
        <w:t>5</w:t>
      </w:r>
      <w:r>
        <w:rPr>
          <w:rFonts w:hint="eastAsia" w:ascii="仿宋_GB2312" w:hAnsi="宋体" w:eastAsia="仿宋_GB2312" w:cs="仿宋_GB2312"/>
          <w:sz w:val="24"/>
          <w:highlight w:val="none"/>
          <w:lang w:val="zh-CN" w:eastAsia="zh-CN"/>
        </w:rPr>
        <w:t>分，基本满足采购人要求的得</w:t>
      </w:r>
      <w:r>
        <w:rPr>
          <w:rFonts w:hint="eastAsia" w:ascii="仿宋_GB2312" w:hAnsi="宋体" w:eastAsia="仿宋_GB2312" w:cs="仿宋_GB2312"/>
          <w:sz w:val="24"/>
          <w:highlight w:val="none"/>
          <w:lang w:val="en-US" w:eastAsia="zh-CN"/>
        </w:rPr>
        <w:t>3分，</w:t>
      </w:r>
      <w:r>
        <w:rPr>
          <w:rFonts w:hint="eastAsia" w:ascii="仿宋_GB2312" w:hAnsi="宋体" w:eastAsia="仿宋_GB2312" w:cs="仿宋_GB2312"/>
          <w:sz w:val="24"/>
          <w:highlight w:val="none"/>
          <w:lang w:val="zh-CN" w:eastAsia="zh-CN"/>
        </w:rPr>
        <w:t>不满足不得分（</w:t>
      </w:r>
      <w:r>
        <w:rPr>
          <w:rFonts w:hint="eastAsia" w:ascii="仿宋_GB2312" w:hAnsi="宋体" w:eastAsia="仿宋_GB2312" w:cs="仿宋_GB2312"/>
          <w:sz w:val="24"/>
          <w:highlight w:val="none"/>
          <w:lang w:val="en-US" w:eastAsia="zh-CN"/>
        </w:rPr>
        <w:t>5</w:t>
      </w:r>
      <w:r>
        <w:rPr>
          <w:rFonts w:hint="eastAsia" w:ascii="仿宋_GB2312" w:hAnsi="宋体" w:eastAsia="仿宋_GB2312" w:cs="仿宋_GB2312"/>
          <w:sz w:val="24"/>
          <w:highlight w:val="none"/>
          <w:lang w:val="zh-CN" w:eastAsia="zh-CN"/>
        </w:rPr>
        <w:t>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●投标人是否提出合理可行的功能测试及验收方案。满足得2分，部分满足得1分，不满足不得分（2分）；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投标人提供项目组实施人员名单，①拟派项目经理具有PMP证书的，提供证书及社保证明的得2分；②项目组实施人员具有中级及以上工程师证的,每提供一个资质证书及人员社保证明的得1分,人员不重复加分，最高得3分；合计得</w:t>
      </w:r>
      <w:r>
        <w:rPr>
          <w:rFonts w:hint="eastAsia" w:ascii="仿宋_GB2312" w:hAnsi="宋体" w:eastAsia="仿宋_GB2312" w:cs="仿宋_GB2312"/>
          <w:sz w:val="24"/>
          <w:highlight w:val="none"/>
          <w:lang w:val="en-US" w:eastAsia="zh-CN"/>
        </w:rPr>
        <w:t>5分（5分）</w:t>
      </w:r>
      <w:r>
        <w:rPr>
          <w:rFonts w:hint="eastAsia" w:ascii="仿宋_GB2312" w:hAnsi="宋体" w:eastAsia="仿宋_GB2312" w:cs="仿宋_GB2312"/>
          <w:sz w:val="24"/>
          <w:highlight w:val="none"/>
          <w:lang w:val="zh-CN" w:eastAsia="zh-CN"/>
        </w:rPr>
        <w:t>；</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bCs/>
          <w:sz w:val="24"/>
          <w:highlight w:val="none"/>
        </w:rPr>
      </w:pPr>
      <w:r>
        <w:rPr>
          <w:rFonts w:hint="eastAsia" w:ascii="仿宋_GB2312" w:hAnsi="宋体" w:eastAsia="仿宋_GB2312" w:cs="仿宋_GB2312"/>
          <w:sz w:val="24"/>
          <w:highlight w:val="none"/>
          <w:lang w:val="zh-CN" w:eastAsia="zh-CN"/>
        </w:rPr>
        <w:t>●培训计划包括培训内容、培训时间地点、培训对象，培训师资力量等；根据培训方案内容进行评分，每一项科学合理，利于实际操作的得0.5分，共2分（2分）。</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_GB2312" w:hAnsi="宋体" w:eastAsia="仿宋_GB2312" w:cs="仿宋_GB2312"/>
          <w:sz w:val="24"/>
          <w:highlight w:val="none"/>
          <w:lang w:val="zh-CN"/>
        </w:rPr>
      </w:pPr>
      <w:r>
        <w:rPr>
          <w:rFonts w:hint="eastAsia" w:ascii="仿宋_GB2312" w:hAnsi="宋体" w:eastAsia="仿宋_GB2312"/>
          <w:b/>
          <w:bCs/>
          <w:sz w:val="24"/>
          <w:highlight w:val="none"/>
        </w:rPr>
        <w:t>（</w:t>
      </w:r>
      <w:r>
        <w:rPr>
          <w:rFonts w:hint="eastAsia" w:ascii="仿宋_GB2312" w:hAnsi="宋体" w:eastAsia="仿宋_GB2312"/>
          <w:b/>
          <w:bCs/>
          <w:sz w:val="24"/>
          <w:highlight w:val="none"/>
          <w:lang w:val="en-US" w:eastAsia="zh-CN"/>
        </w:rPr>
        <w:t>3</w:t>
      </w:r>
      <w:r>
        <w:rPr>
          <w:rFonts w:hint="eastAsia" w:ascii="仿宋_GB2312" w:hAnsi="宋体" w:eastAsia="仿宋_GB2312"/>
          <w:b/>
          <w:bCs/>
          <w:sz w:val="24"/>
          <w:highlight w:val="none"/>
        </w:rPr>
        <w:t>）</w:t>
      </w:r>
      <w:r>
        <w:rPr>
          <w:rFonts w:hint="eastAsia" w:ascii="仿宋_GB2312" w:hAnsi="宋体" w:eastAsia="仿宋_GB2312" w:cs="仿宋_GB2312"/>
          <w:b/>
          <w:sz w:val="24"/>
          <w:highlight w:val="none"/>
          <w:lang w:val="zh-CN"/>
        </w:rPr>
        <w:t>售后服务方案（</w:t>
      </w:r>
      <w:r>
        <w:rPr>
          <w:rFonts w:hint="eastAsia" w:ascii="仿宋_GB2312" w:hAnsi="宋体" w:eastAsia="仿宋_GB2312" w:cs="仿宋_GB2312"/>
          <w:b/>
          <w:sz w:val="24"/>
          <w:highlight w:val="none"/>
          <w:lang w:val="en-US" w:eastAsia="zh-CN"/>
        </w:rPr>
        <w:t>6</w:t>
      </w:r>
      <w:r>
        <w:rPr>
          <w:rFonts w:hint="eastAsia" w:ascii="仿宋_GB2312" w:hAnsi="宋体" w:eastAsia="仿宋_GB2312" w:cs="仿宋_GB2312"/>
          <w:b/>
          <w:sz w:val="24"/>
          <w:highlight w:val="none"/>
          <w:lang w:val="zh-CN"/>
        </w:rPr>
        <w:t>分）：</w:t>
      </w:r>
    </w:p>
    <w:p>
      <w:pPr>
        <w:keepNext w:val="0"/>
        <w:keepLines w:val="0"/>
        <w:pageBreakBefore w:val="0"/>
        <w:widowControl w:val="0"/>
        <w:kinsoku/>
        <w:wordWrap/>
        <w:overflowPunct/>
        <w:topLinePunct w:val="0"/>
        <w:autoSpaceDE w:val="0"/>
        <w:autoSpaceDN w:val="0"/>
        <w:bidi w:val="0"/>
        <w:spacing w:line="360" w:lineRule="auto"/>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售后技术服务内，投标人承诺提供提供7×24小时的故障受理服务，对重大故障提供7×24小时的现场支援，故障服务响应时间小于30分钟，即30分钟内公司客服人员对客户提交的故障进行处理和回复。如需要现场服务，保证故障服务的现场响应时间小于4小时，即4小时内有能够处理故障的技术人员到达现场。故障修复时间不大于8小时。</w:t>
      </w:r>
      <w:r>
        <w:rPr>
          <w:rFonts w:hint="eastAsia" w:ascii="仿宋_GB2312" w:hAnsi="宋体" w:eastAsia="仿宋_GB2312" w:cs="仿宋_GB2312"/>
          <w:sz w:val="24"/>
          <w:highlight w:val="none"/>
          <w:lang w:val="en-US" w:eastAsia="zh-CN"/>
        </w:rPr>
        <w:t>提供相应内容承诺的得3分，否则不得分</w:t>
      </w:r>
      <w:r>
        <w:rPr>
          <w:rFonts w:hint="eastAsia" w:ascii="仿宋_GB2312" w:hAnsi="宋体" w:eastAsia="仿宋_GB2312" w:cs="仿宋_GB2312"/>
          <w:sz w:val="24"/>
          <w:highlight w:val="none"/>
          <w:lang w:val="zh-CN"/>
        </w:rPr>
        <w:t>（</w:t>
      </w:r>
      <w:r>
        <w:rPr>
          <w:rFonts w:hint="eastAsia" w:ascii="仿宋_GB2312" w:hAnsi="宋体" w:eastAsia="仿宋_GB2312" w:cs="仿宋_GB2312"/>
          <w:sz w:val="24"/>
          <w:highlight w:val="none"/>
          <w:lang w:val="en-US" w:eastAsia="zh-CN"/>
        </w:rPr>
        <w:t>3分</w:t>
      </w:r>
      <w:r>
        <w:rPr>
          <w:rFonts w:hint="eastAsia" w:ascii="仿宋_GB2312" w:hAnsi="宋体" w:eastAsia="仿宋_GB2312" w:cs="仿宋_GB2312"/>
          <w:sz w:val="24"/>
          <w:highlight w:val="none"/>
          <w:lang w:val="zh-CN"/>
        </w:rPr>
        <w:t>）；</w:t>
      </w:r>
    </w:p>
    <w:p>
      <w:pPr>
        <w:keepNext w:val="0"/>
        <w:keepLines w:val="0"/>
        <w:pageBreakBefore w:val="0"/>
        <w:widowControl w:val="0"/>
        <w:kinsoku/>
        <w:wordWrap/>
        <w:overflowPunct/>
        <w:topLinePunct w:val="0"/>
        <w:autoSpaceDE w:val="0"/>
        <w:autoSpaceDN w:val="0"/>
        <w:bidi w:val="0"/>
        <w:spacing w:line="360" w:lineRule="auto"/>
        <w:ind w:firstLine="482"/>
        <w:textAlignment w:val="auto"/>
        <w:rPr>
          <w:rFonts w:hint="default" w:ascii="仿宋_GB2312" w:hAnsi="宋体" w:eastAsia="仿宋_GB2312" w:cs="仿宋_GB2312"/>
          <w:sz w:val="24"/>
          <w:highlight w:val="none"/>
          <w:lang w:val="en-US" w:eastAsia="zh-CN"/>
        </w:rPr>
      </w:pPr>
      <w:r>
        <w:rPr>
          <w:rFonts w:hint="eastAsia" w:ascii="仿宋_GB2312" w:hAnsi="宋体" w:eastAsia="仿宋_GB2312" w:cs="仿宋_GB2312"/>
          <w:sz w:val="24"/>
          <w:highlight w:val="none"/>
          <w:lang w:val="zh-CN" w:eastAsia="zh-CN"/>
        </w:rPr>
        <w:t>●投标人承诺提供三年设备质保服务，三年的售后技术服务。在服务期内，终端硬件及加密卡非人为损坏7天包退，15</w:t>
      </w:r>
      <w:bookmarkStart w:id="580" w:name="_GoBack"/>
      <w:bookmarkEnd w:id="580"/>
      <w:r>
        <w:rPr>
          <w:rFonts w:hint="eastAsia" w:ascii="仿宋_GB2312" w:hAnsi="宋体" w:eastAsia="仿宋_GB2312" w:cs="仿宋_GB2312"/>
          <w:sz w:val="24"/>
          <w:highlight w:val="none"/>
          <w:lang w:val="zh-CN" w:eastAsia="zh-CN"/>
        </w:rPr>
        <w:t>天包换，三年内免费保修。</w:t>
      </w:r>
      <w:r>
        <w:rPr>
          <w:rFonts w:hint="eastAsia" w:ascii="仿宋_GB2312" w:hAnsi="宋体" w:eastAsia="仿宋_GB2312" w:cs="仿宋_GB2312"/>
          <w:sz w:val="24"/>
          <w:highlight w:val="none"/>
          <w:lang w:val="en-US" w:eastAsia="zh-CN"/>
        </w:rPr>
        <w:t>提供相应内容承诺的得3分，否则不得分</w:t>
      </w:r>
      <w:r>
        <w:rPr>
          <w:rFonts w:hint="eastAsia" w:ascii="仿宋_GB2312" w:hAnsi="宋体" w:eastAsia="仿宋_GB2312" w:cs="仿宋_GB2312"/>
          <w:sz w:val="24"/>
          <w:highlight w:val="none"/>
          <w:lang w:val="zh-CN" w:eastAsia="zh-CN"/>
        </w:rPr>
        <w:t>（</w:t>
      </w:r>
      <w:r>
        <w:rPr>
          <w:rFonts w:hint="eastAsia" w:ascii="仿宋_GB2312" w:hAnsi="宋体" w:eastAsia="仿宋_GB2312" w:cs="仿宋_GB2312"/>
          <w:sz w:val="24"/>
          <w:highlight w:val="none"/>
          <w:lang w:val="en-US" w:eastAsia="zh-CN"/>
        </w:rPr>
        <w:t>3分</w:t>
      </w:r>
      <w:r>
        <w:rPr>
          <w:rFonts w:hint="eastAsia" w:ascii="仿宋_GB2312" w:hAnsi="宋体" w:eastAsia="仿宋_GB2312" w:cs="仿宋_GB2312"/>
          <w:sz w:val="24"/>
          <w:highlight w:val="none"/>
          <w:lang w:val="zh-CN" w:eastAsia="zh-CN"/>
        </w:rPr>
        <w:t>）。</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C、</w:t>
      </w:r>
      <w:r>
        <w:rPr>
          <w:rFonts w:hint="eastAsia" w:ascii="仿宋_GB2312" w:hAnsi="仿宋_GB2312" w:eastAsia="仿宋_GB2312" w:cs="仿宋_GB2312"/>
          <w:b/>
          <w:bCs/>
          <w:sz w:val="24"/>
          <w:highlight w:val="none"/>
          <w:lang w:val="en-US" w:eastAsia="zh-CN"/>
        </w:rPr>
        <w:t>投标人</w:t>
      </w:r>
      <w:r>
        <w:rPr>
          <w:rFonts w:hint="eastAsia" w:ascii="仿宋_GB2312" w:hAnsi="仿宋_GB2312" w:eastAsia="仿宋_GB2312" w:cs="仿宋_GB2312"/>
          <w:b/>
          <w:bCs/>
          <w:sz w:val="24"/>
          <w:highlight w:val="none"/>
        </w:rPr>
        <w:t>的资信情况（</w:t>
      </w:r>
      <w:r>
        <w:rPr>
          <w:rFonts w:hint="eastAsia" w:ascii="仿宋_GB2312" w:hAnsi="仿宋_GB2312" w:eastAsia="仿宋_GB2312" w:cs="仿宋_GB2312"/>
          <w:b/>
          <w:sz w:val="24"/>
          <w:highlight w:val="none"/>
          <w:u w:val="single"/>
          <w:lang w:val="en-US" w:eastAsia="zh-CN"/>
        </w:rPr>
        <w:t>7</w:t>
      </w:r>
      <w:r>
        <w:rPr>
          <w:rFonts w:hint="eastAsia" w:ascii="仿宋_GB2312" w:hAnsi="仿宋_GB2312" w:eastAsia="仿宋_GB2312" w:cs="仿宋_GB2312"/>
          <w:b/>
          <w:bCs/>
          <w:sz w:val="24"/>
          <w:highlight w:val="none"/>
        </w:rPr>
        <w:t>分）：</w:t>
      </w:r>
    </w:p>
    <w:p>
      <w:pPr>
        <w:keepNext w:val="0"/>
        <w:keepLines w:val="0"/>
        <w:pageBreakBefore w:val="0"/>
        <w:widowControl w:val="0"/>
        <w:kinsoku/>
        <w:wordWrap/>
        <w:overflowPunct/>
        <w:topLinePunct w:val="0"/>
        <w:autoSpaceDE w:val="0"/>
        <w:autoSpaceDN w:val="0"/>
        <w:bidi w:val="0"/>
        <w:spacing w:line="360" w:lineRule="auto"/>
        <w:ind w:firstLine="482"/>
        <w:textAlignment w:val="auto"/>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●提供投标人有效期内的质量管理体系认证证书的得2分（</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eastAsia="zh-CN"/>
        </w:rPr>
        <w:t>）；</w:t>
      </w:r>
    </w:p>
    <w:p>
      <w:pPr>
        <w:pStyle w:val="33"/>
        <w:keepNext w:val="0"/>
        <w:keepLines w:val="0"/>
        <w:pageBreakBefore w:val="0"/>
        <w:widowControl w:val="0"/>
        <w:kinsoku/>
        <w:wordWrap/>
        <w:overflowPunct/>
        <w:topLinePunct w:val="0"/>
        <w:bidi w:val="0"/>
        <w:spacing w:line="360" w:lineRule="auto"/>
        <w:ind w:firstLine="470" w:firstLineChars="196"/>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cs="仿宋_GB2312"/>
          <w:sz w:val="24"/>
          <w:highlight w:val="none"/>
          <w:lang w:val="zh-CN"/>
        </w:rPr>
        <w:t>投标人成功案例及业绩：</w:t>
      </w:r>
      <w:r>
        <w:rPr>
          <w:rFonts w:hint="eastAsia" w:ascii="仿宋_GB2312" w:hAnsi="宋体" w:eastAsia="仿宋_GB2312" w:cs="仿宋_GB2312"/>
          <w:sz w:val="24"/>
          <w:highlight w:val="none"/>
          <w:lang w:val="zh-CN" w:eastAsia="zh-CN"/>
        </w:rPr>
        <w:t>自2018年1月1日至</w:t>
      </w:r>
      <w:r>
        <w:rPr>
          <w:rFonts w:hint="eastAsia" w:ascii="仿宋_GB2312" w:hAnsi="宋体" w:eastAsia="仿宋_GB2312" w:cs="仿宋_GB2312"/>
          <w:sz w:val="24"/>
          <w:highlight w:val="none"/>
          <w:lang w:val="zh-CN"/>
        </w:rPr>
        <w:t>投标截止时间前的同类</w:t>
      </w:r>
      <w:r>
        <w:rPr>
          <w:rFonts w:hint="eastAsia" w:ascii="仿宋_GB2312" w:hAnsi="宋体" w:eastAsia="仿宋_GB2312" w:cs="仿宋_GB2312"/>
          <w:sz w:val="24"/>
          <w:highlight w:val="none"/>
          <w:lang w:val="zh-CN" w:eastAsia="zh-CN"/>
        </w:rPr>
        <w:t>终端租赁</w:t>
      </w:r>
      <w:r>
        <w:rPr>
          <w:rFonts w:hint="eastAsia" w:ascii="仿宋_GB2312" w:hAnsi="宋体" w:eastAsia="仿宋_GB2312" w:cs="仿宋_GB2312"/>
          <w:sz w:val="24"/>
          <w:highlight w:val="none"/>
          <w:lang w:val="zh-CN"/>
        </w:rPr>
        <w:t>案例，每提供1个案例得</w:t>
      </w:r>
      <w:r>
        <w:rPr>
          <w:rFonts w:hint="eastAsia" w:ascii="仿宋_GB2312" w:hAnsi="宋体" w:eastAsia="仿宋_GB2312" w:cs="仿宋_GB2312"/>
          <w:sz w:val="24"/>
          <w:highlight w:val="none"/>
          <w:lang w:val="zh-CN" w:eastAsia="zh-CN"/>
        </w:rPr>
        <w:t>1</w:t>
      </w:r>
      <w:r>
        <w:rPr>
          <w:rFonts w:hint="eastAsia" w:ascii="仿宋_GB2312" w:hAnsi="宋体" w:eastAsia="仿宋_GB2312" w:cs="仿宋_GB2312"/>
          <w:sz w:val="24"/>
          <w:highlight w:val="none"/>
          <w:lang w:val="zh-CN"/>
        </w:rPr>
        <w:t>分，最多得</w:t>
      </w:r>
      <w:r>
        <w:rPr>
          <w:rFonts w:hint="eastAsia" w:ascii="仿宋_GB2312" w:hAnsi="宋体" w:eastAsia="仿宋_GB2312" w:cs="仿宋_GB2312"/>
          <w:sz w:val="24"/>
          <w:highlight w:val="none"/>
          <w:lang w:val="zh-CN" w:eastAsia="zh-CN"/>
        </w:rPr>
        <w:t>5</w:t>
      </w:r>
      <w:r>
        <w:rPr>
          <w:rFonts w:hint="eastAsia" w:ascii="仿宋_GB2312" w:hAnsi="宋体" w:eastAsia="仿宋_GB2312" w:cs="仿宋_GB2312"/>
          <w:sz w:val="24"/>
          <w:highlight w:val="none"/>
          <w:lang w:val="zh-CN"/>
        </w:rPr>
        <w:t>分，需提供完整的合同和验收单位盖章的验收报告复印件，否则不得分（</w:t>
      </w:r>
      <w:r>
        <w:rPr>
          <w:rFonts w:hint="eastAsia" w:ascii="仿宋_GB2312" w:hAnsi="宋体" w:eastAsia="仿宋_GB2312" w:cs="仿宋_GB2312"/>
          <w:sz w:val="24"/>
          <w:highlight w:val="none"/>
          <w:lang w:val="en-US" w:eastAsia="zh-CN"/>
        </w:rPr>
        <w:t>5分</w:t>
      </w:r>
      <w:r>
        <w:rPr>
          <w:rFonts w:hint="eastAsia" w:ascii="仿宋_GB2312" w:hAnsi="宋体" w:eastAsia="仿宋_GB2312" w:cs="仿宋_GB2312"/>
          <w:sz w:val="24"/>
          <w:highlight w:val="none"/>
          <w:lang w:val="zh-CN"/>
        </w:rPr>
        <w:t>）。</w:t>
      </w:r>
    </w:p>
    <w:p>
      <w:pPr>
        <w:pStyle w:val="33"/>
        <w:spacing w:line="360" w:lineRule="auto"/>
        <w:ind w:firstLine="472" w:firstLineChars="196"/>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综合得分=A+B+C</w:t>
      </w:r>
      <w:r>
        <w:rPr>
          <w:rFonts w:hint="eastAsia" w:ascii="仿宋_GB2312" w:hAnsi="仿宋" w:eastAsia="仿宋_GB2312" w:cs="仿宋_GB2312"/>
          <w:b/>
          <w:sz w:val="24"/>
          <w:szCs w:val="24"/>
          <w:highlight w:val="none"/>
        </w:rPr>
        <w:t>，精确到小数点后二位。</w:t>
      </w:r>
    </w:p>
    <w:p>
      <w:pPr>
        <w:adjustRightInd w:val="0"/>
        <w:spacing w:line="360" w:lineRule="auto"/>
        <w:ind w:firstLine="467" w:firstLineChars="194"/>
        <w:rPr>
          <w:rFonts w:ascii="仿宋_GB2312" w:hAnsi="仿宋" w:eastAsia="仿宋_GB2312" w:cs="仿宋_GB2312"/>
          <w:b/>
          <w:sz w:val="24"/>
          <w:szCs w:val="24"/>
        </w:rPr>
      </w:pPr>
    </w:p>
    <w:p>
      <w:pPr>
        <w:pStyle w:val="2"/>
        <w:numPr>
          <w:ilvl w:val="0"/>
          <w:numId w:val="0"/>
        </w:numPr>
        <w:ind w:leftChars="0"/>
      </w:pPr>
    </w:p>
    <w:p>
      <w:pPr>
        <w:adjustRightInd w:val="0"/>
        <w:spacing w:line="360" w:lineRule="auto"/>
        <w:ind w:firstLine="467" w:firstLineChars="194"/>
        <w:rPr>
          <w:rFonts w:ascii="仿宋_GB2312" w:hAnsi="仿宋" w:eastAsia="仿宋_GB2312" w:cs="仿宋_GB2312"/>
          <w:b/>
          <w:sz w:val="24"/>
          <w:szCs w:val="24"/>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bookmarkEnd w:id="24"/>
    <w:p>
      <w:pPr>
        <w:spacing w:line="360" w:lineRule="auto"/>
        <w:rPr>
          <w:rFonts w:ascii="仿宋_GB2312" w:hAnsi="楷体" w:eastAsia="仿宋_GB2312"/>
          <w:sz w:val="24"/>
          <w:u w:val="single"/>
        </w:rPr>
      </w:pPr>
      <w:bookmarkStart w:id="403" w:name="第五部分"/>
      <w:bookmarkStart w:id="404" w:name="_Toc86217003"/>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330"/>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330"/>
        <w:rPr>
          <w:rFonts w:ascii="仿宋_GB2312" w:hAnsi="楷体" w:eastAsia="仿宋_GB2312"/>
          <w:szCs w:val="24"/>
        </w:rPr>
      </w:pPr>
    </w:p>
    <w:p>
      <w:pPr>
        <w:pStyle w:val="330"/>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48"/>
        <w:spacing w:before="120"/>
        <w:ind w:firstLine="36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405" w:name="_Toc3029"/>
      <w:bookmarkStart w:id="406" w:name="_Toc24059"/>
      <w:bookmarkStart w:id="407" w:name="_Toc2232"/>
      <w:r>
        <w:rPr>
          <w:rFonts w:hint="eastAsia" w:ascii="仿宋_GB2312" w:hAnsi="楷体" w:eastAsia="仿宋_GB2312"/>
          <w:b/>
          <w:sz w:val="24"/>
        </w:rPr>
        <w:t>1.1 合同组成部分</w:t>
      </w:r>
      <w:bookmarkEnd w:id="405"/>
      <w:bookmarkEnd w:id="406"/>
      <w:bookmarkEnd w:id="407"/>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ascii="仿宋_GB2312" w:hAnsi="楷体" w:eastAsia="仿宋_GB2312"/>
          <w:b/>
          <w:sz w:val="24"/>
        </w:rPr>
      </w:pPr>
      <w:bookmarkStart w:id="408" w:name="_Toc27126"/>
      <w:bookmarkStart w:id="409" w:name="_Toc21295"/>
      <w:bookmarkStart w:id="410" w:name="_Toc24300"/>
      <w:r>
        <w:rPr>
          <w:rFonts w:hint="eastAsia" w:ascii="仿宋_GB2312" w:hAnsi="楷体" w:eastAsia="仿宋_GB2312"/>
          <w:b/>
          <w:sz w:val="24"/>
        </w:rPr>
        <w:t>1.2 标的物</w:t>
      </w:r>
      <w:bookmarkEnd w:id="408"/>
      <w:bookmarkEnd w:id="409"/>
      <w:bookmarkEnd w:id="410"/>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11" w:name="_Toc21631"/>
      <w:bookmarkStart w:id="412" w:name="_Toc21551"/>
      <w:bookmarkStart w:id="413" w:name="_Toc23292"/>
      <w:r>
        <w:rPr>
          <w:rFonts w:hint="eastAsia" w:ascii="仿宋_GB2312" w:hAnsi="楷体" w:eastAsia="仿宋_GB2312"/>
          <w:b/>
          <w:sz w:val="24"/>
        </w:rPr>
        <w:t>1.3 价款</w:t>
      </w:r>
      <w:bookmarkEnd w:id="411"/>
      <w:bookmarkEnd w:id="412"/>
      <w:bookmarkEnd w:id="41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282"/>
              <w:spacing w:line="360" w:lineRule="auto"/>
              <w:ind w:firstLine="48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14" w:name="_Toc10340"/>
      <w:bookmarkStart w:id="415" w:name="_Toc22618"/>
      <w:bookmarkStart w:id="416" w:name="_Toc1814"/>
      <w:r>
        <w:rPr>
          <w:rFonts w:hint="eastAsia" w:ascii="仿宋_GB2312" w:hAnsi="楷体" w:eastAsia="仿宋_GB2312"/>
          <w:b/>
          <w:sz w:val="24"/>
        </w:rPr>
        <w:t>1.4 付款方式和发票开具方式</w:t>
      </w:r>
      <w:bookmarkEnd w:id="414"/>
      <w:bookmarkEnd w:id="415"/>
      <w:bookmarkEnd w:id="416"/>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1</w:t>
      </w:r>
      <w:r>
        <w:rPr>
          <w:rFonts w:hint="eastAsia" w:ascii="仿宋_GB2312" w:hAnsi="楷体" w:eastAsia="仿宋_GB2312"/>
          <w:color w:val="auto"/>
          <w:sz w:val="24"/>
        </w:rPr>
        <w:t>.4.1 付款方式：</w:t>
      </w:r>
      <w:r>
        <w:rPr>
          <w:rFonts w:hint="eastAsia" w:ascii="仿宋_GB2312" w:hAnsi="楷体" w:eastAsia="仿宋_GB2312"/>
          <w:color w:val="auto"/>
          <w:sz w:val="24"/>
          <w:u w:val="single"/>
        </w:rPr>
        <w:t xml:space="preserve">   （分期付款/一次性付款）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2" w:firstLineChars="200"/>
        <w:outlineLvl w:val="0"/>
        <w:rPr>
          <w:rFonts w:ascii="仿宋_GB2312" w:hAnsi="楷体" w:eastAsia="仿宋_GB2312"/>
          <w:b/>
          <w:sz w:val="24"/>
        </w:rPr>
      </w:pPr>
      <w:bookmarkStart w:id="417" w:name="_Toc19304"/>
      <w:bookmarkStart w:id="418" w:name="_Toc32071"/>
      <w:bookmarkStart w:id="419" w:name="_Toc2846"/>
      <w:r>
        <w:rPr>
          <w:rFonts w:hint="eastAsia" w:ascii="仿宋_GB2312" w:hAnsi="楷体" w:eastAsia="仿宋_GB2312"/>
          <w:b/>
          <w:sz w:val="24"/>
        </w:rPr>
        <w:t>1.5 标的物交付期限、地点和方式</w:t>
      </w:r>
      <w:bookmarkEnd w:id="417"/>
      <w:bookmarkEnd w:id="418"/>
      <w:bookmarkEnd w:id="41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20" w:name="_Toc19554"/>
      <w:bookmarkStart w:id="421" w:name="_Toc27250"/>
      <w:bookmarkStart w:id="422" w:name="_Toc21423"/>
      <w:r>
        <w:rPr>
          <w:rFonts w:hint="eastAsia" w:ascii="仿宋_GB2312" w:hAnsi="楷体" w:eastAsia="仿宋_GB2312"/>
          <w:b/>
          <w:sz w:val="24"/>
        </w:rPr>
        <w:t>1.6 违约责任</w:t>
      </w:r>
      <w:bookmarkEnd w:id="420"/>
      <w:bookmarkEnd w:id="421"/>
      <w:bookmarkEnd w:id="422"/>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23" w:name="_Toc16021"/>
      <w:bookmarkStart w:id="424" w:name="_Toc15583"/>
      <w:bookmarkStart w:id="425" w:name="_Toc28375"/>
      <w:r>
        <w:rPr>
          <w:rFonts w:hint="eastAsia" w:ascii="仿宋_GB2312" w:hAnsi="楷体" w:eastAsia="仿宋_GB2312"/>
          <w:b/>
          <w:sz w:val="24"/>
        </w:rPr>
        <w:t>1.7 合同争议的解决</w:t>
      </w:r>
      <w:bookmarkEnd w:id="423"/>
      <w:bookmarkEnd w:id="424"/>
      <w:bookmarkEnd w:id="42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26" w:name="_Toc11173"/>
      <w:bookmarkStart w:id="427" w:name="_Toc15322"/>
      <w:bookmarkStart w:id="428" w:name="_Toc7245"/>
      <w:r>
        <w:rPr>
          <w:rFonts w:hint="eastAsia" w:ascii="仿宋_GB2312" w:hAnsi="楷体" w:eastAsia="仿宋_GB2312"/>
          <w:b/>
          <w:sz w:val="24"/>
        </w:rPr>
        <w:t>1.8 合同生效</w:t>
      </w:r>
      <w:bookmarkEnd w:id="426"/>
      <w:bookmarkEnd w:id="427"/>
      <w:bookmarkEnd w:id="428"/>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jc w:val="left"/>
        <w:rPr>
          <w:rFonts w:ascii="仿宋_GB2312" w:hAnsi="楷体" w:eastAsia="仿宋_GB2312"/>
          <w:b/>
          <w:sz w:val="24"/>
        </w:rPr>
      </w:pPr>
      <w:bookmarkStart w:id="429" w:name="_Toc331685783"/>
      <w:r>
        <w:rPr>
          <w:rFonts w:hint="eastAsia" w:ascii="仿宋_GB2312" w:hAnsi="楷体" w:eastAsia="仿宋_GB2312"/>
          <w:b/>
        </w:rPr>
        <w:br w:type="page"/>
      </w:r>
    </w:p>
    <w:p>
      <w:pPr>
        <w:pStyle w:val="330"/>
        <w:ind w:firstLine="562"/>
        <w:jc w:val="center"/>
        <w:rPr>
          <w:rFonts w:ascii="仿宋_GB2312" w:hAnsi="楷体" w:eastAsia="仿宋_GB2312"/>
          <w:b/>
          <w:sz w:val="28"/>
          <w:szCs w:val="28"/>
        </w:rPr>
      </w:pPr>
      <w:r>
        <w:rPr>
          <w:rFonts w:hint="eastAsia" w:ascii="仿宋_GB2312" w:hAnsi="楷体" w:eastAsia="仿宋_GB2312"/>
          <w:b/>
          <w:sz w:val="28"/>
          <w:szCs w:val="28"/>
        </w:rPr>
        <w:t>第二部分 合同一般条款</w:t>
      </w:r>
      <w:bookmarkEnd w:id="429"/>
    </w:p>
    <w:p>
      <w:pPr>
        <w:spacing w:line="360" w:lineRule="auto"/>
        <w:ind w:firstLine="482" w:firstLineChars="200"/>
        <w:outlineLvl w:val="0"/>
        <w:rPr>
          <w:rFonts w:ascii="仿宋_GB2312" w:hAnsi="楷体" w:eastAsia="仿宋_GB2312"/>
          <w:b/>
          <w:sz w:val="24"/>
        </w:rPr>
      </w:pPr>
      <w:bookmarkStart w:id="430" w:name="_Toc279701240"/>
      <w:bookmarkStart w:id="431" w:name="_Ref467379225"/>
      <w:bookmarkStart w:id="432" w:name="_Ref467379109"/>
      <w:bookmarkStart w:id="433" w:name="_Ref467379094"/>
      <w:bookmarkStart w:id="434" w:name="_Ref467379214"/>
      <w:bookmarkStart w:id="435" w:name="_Ref467378499"/>
      <w:bookmarkStart w:id="436" w:name="_Toc487900349"/>
      <w:bookmarkStart w:id="437" w:name="_Ref467378404"/>
      <w:bookmarkStart w:id="438" w:name="_Ref467379195"/>
      <w:bookmarkStart w:id="439" w:name="_Ref467379101"/>
      <w:bookmarkStart w:id="440" w:name="_Toc28763"/>
      <w:bookmarkStart w:id="441" w:name="_Ref467379205"/>
      <w:bookmarkStart w:id="442" w:name="_Toc259093669"/>
      <w:bookmarkStart w:id="443" w:name="_Toc16917"/>
      <w:bookmarkStart w:id="444" w:name="_Toc19614"/>
      <w:bookmarkStart w:id="445" w:name="_Ref467378463"/>
      <w:r>
        <w:rPr>
          <w:rFonts w:hint="eastAsia" w:ascii="仿宋_GB2312" w:hAnsi="楷体" w:eastAsia="仿宋_GB2312"/>
          <w:b/>
          <w:sz w:val="24"/>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46" w:name="_Ref467378840"/>
      <w:r>
        <w:rPr>
          <w:rFonts w:hint="eastAsia" w:ascii="仿宋_GB2312" w:hAnsi="楷体" w:eastAsia="仿宋_GB2312"/>
          <w:sz w:val="24"/>
        </w:rPr>
        <w:t>2.1.4 “甲方”系指与中标供应商签署合同的采购人</w:t>
      </w:r>
      <w:bookmarkEnd w:id="44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47" w:name="_Ref467379400"/>
      <w:r>
        <w:rPr>
          <w:rFonts w:hint="eastAsia" w:ascii="仿宋_GB2312" w:hAnsi="楷体" w:eastAsia="仿宋_GB2312"/>
          <w:sz w:val="24"/>
        </w:rPr>
        <w:t>2.1.5 “乙方”系指根据合同约定交付标的物的中标供应商</w:t>
      </w:r>
      <w:bookmarkEnd w:id="447"/>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48" w:name="_Ref467379436"/>
      <w:r>
        <w:rPr>
          <w:rFonts w:hint="eastAsia" w:ascii="仿宋_GB2312" w:hAnsi="楷体" w:eastAsia="仿宋_GB2312"/>
          <w:sz w:val="24"/>
        </w:rPr>
        <w:t>2.1.6 “现场”系指合同约定标的物将要运至或者实施或者安装的地点。</w:t>
      </w:r>
      <w:bookmarkEnd w:id="448"/>
    </w:p>
    <w:p>
      <w:pPr>
        <w:spacing w:line="360" w:lineRule="auto"/>
        <w:ind w:firstLine="482" w:firstLineChars="200"/>
        <w:outlineLvl w:val="0"/>
        <w:rPr>
          <w:rFonts w:ascii="仿宋_GB2312" w:hAnsi="楷体" w:eastAsia="仿宋_GB2312"/>
          <w:b/>
          <w:sz w:val="24"/>
        </w:rPr>
      </w:pPr>
      <w:bookmarkStart w:id="449" w:name="_Toc13336"/>
      <w:bookmarkStart w:id="450" w:name="_Toc279701241"/>
      <w:bookmarkStart w:id="451" w:name="_Toc487900350"/>
      <w:bookmarkStart w:id="452" w:name="_Toc27635"/>
      <w:bookmarkStart w:id="453" w:name="_Toc32504"/>
      <w:bookmarkStart w:id="454" w:name="_Toc259093670"/>
      <w:r>
        <w:rPr>
          <w:rFonts w:hint="eastAsia" w:ascii="仿宋_GB2312" w:hAnsi="楷体" w:eastAsia="仿宋_GB2312"/>
          <w:b/>
          <w:sz w:val="24"/>
        </w:rPr>
        <w:t>2.2 技术规范</w:t>
      </w:r>
      <w:bookmarkEnd w:id="449"/>
      <w:bookmarkEnd w:id="450"/>
      <w:bookmarkEnd w:id="451"/>
      <w:bookmarkEnd w:id="452"/>
      <w:bookmarkEnd w:id="453"/>
      <w:bookmarkEnd w:id="454"/>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55" w:name="_Toc487900351"/>
      <w:bookmarkStart w:id="456" w:name="_Toc27853"/>
      <w:bookmarkStart w:id="457" w:name="_Toc259093671"/>
      <w:bookmarkStart w:id="458" w:name="_Toc9829"/>
      <w:bookmarkStart w:id="459" w:name="_Toc279701242"/>
      <w:bookmarkStart w:id="460" w:name="_Toc31634"/>
      <w:r>
        <w:rPr>
          <w:rFonts w:hint="eastAsia" w:ascii="仿宋_GB2312" w:hAnsi="楷体" w:eastAsia="仿宋_GB2312"/>
          <w:b/>
          <w:sz w:val="24"/>
        </w:rPr>
        <w:t>2.3 知识产权</w:t>
      </w:r>
      <w:bookmarkEnd w:id="455"/>
      <w:bookmarkEnd w:id="456"/>
      <w:bookmarkEnd w:id="457"/>
      <w:bookmarkEnd w:id="458"/>
      <w:bookmarkEnd w:id="459"/>
      <w:bookmarkEnd w:id="460"/>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61" w:name="_Toc11932"/>
      <w:bookmarkStart w:id="462" w:name="_Toc4194"/>
      <w:bookmarkStart w:id="463" w:name="_Toc29149"/>
      <w:r>
        <w:rPr>
          <w:rFonts w:hint="eastAsia" w:ascii="仿宋_GB2312" w:hAnsi="楷体" w:eastAsia="仿宋_GB2312"/>
          <w:b/>
          <w:sz w:val="24"/>
        </w:rPr>
        <w:t>2.4 包装和装运</w:t>
      </w:r>
      <w:bookmarkEnd w:id="461"/>
      <w:bookmarkEnd w:id="462"/>
      <w:bookmarkEnd w:id="463"/>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64" w:name="_Toc487900354"/>
      <w:bookmarkStart w:id="465" w:name="_Ref467379542"/>
      <w:bookmarkStart w:id="466" w:name="_Ref467379527"/>
      <w:bookmarkStart w:id="467" w:name="_Ref467379536"/>
      <w:bookmarkStart w:id="468" w:name="_Ref467378541"/>
      <w:bookmarkStart w:id="469" w:name="_Toc259093674"/>
      <w:bookmarkStart w:id="470" w:name="_Toc279701245"/>
      <w:bookmarkStart w:id="471" w:name="_Ref467378591"/>
      <w:bookmarkStart w:id="472" w:name="_Toc26182"/>
      <w:bookmarkStart w:id="473" w:name="_Toc19074"/>
      <w:bookmarkStart w:id="474" w:name="_Toc30272"/>
      <w:r>
        <w:rPr>
          <w:rFonts w:hint="eastAsia" w:ascii="仿宋_GB2312" w:hAnsi="楷体" w:eastAsia="仿宋_GB2312"/>
          <w:b/>
          <w:sz w:val="24"/>
        </w:rPr>
        <w:t>2.</w:t>
      </w:r>
      <w:bookmarkEnd w:id="464"/>
      <w:bookmarkEnd w:id="465"/>
      <w:bookmarkEnd w:id="466"/>
      <w:bookmarkEnd w:id="467"/>
      <w:bookmarkEnd w:id="468"/>
      <w:bookmarkEnd w:id="469"/>
      <w:bookmarkEnd w:id="470"/>
      <w:bookmarkEnd w:id="471"/>
      <w:r>
        <w:rPr>
          <w:rFonts w:hint="eastAsia" w:ascii="仿宋_GB2312" w:hAnsi="楷体" w:eastAsia="仿宋_GB2312"/>
          <w:b/>
          <w:sz w:val="24"/>
        </w:rPr>
        <w:t>5 履约检查和问题反馈</w:t>
      </w:r>
      <w:bookmarkEnd w:id="472"/>
      <w:bookmarkEnd w:id="473"/>
      <w:bookmarkEnd w:id="474"/>
    </w:p>
    <w:p>
      <w:pPr>
        <w:spacing w:line="360" w:lineRule="auto"/>
        <w:ind w:firstLine="480" w:firstLineChars="200"/>
        <w:rPr>
          <w:rFonts w:ascii="仿宋_GB2312" w:hAnsi="楷体" w:eastAsia="仿宋_GB2312"/>
          <w:sz w:val="24"/>
        </w:rPr>
      </w:pPr>
      <w:bookmarkStart w:id="475" w:name="_Ref467379657"/>
      <w:r>
        <w:rPr>
          <w:rFonts w:hint="eastAsia" w:ascii="仿宋_GB2312" w:hAnsi="楷体" w:eastAsia="仿宋_GB2312"/>
          <w:sz w:val="24"/>
        </w:rPr>
        <w:t>2.5.1</w:t>
      </w:r>
      <w:bookmarkEnd w:id="475"/>
      <w:bookmarkStart w:id="476" w:name="_Toc186431854"/>
      <w:bookmarkStart w:id="477" w:name="_Toc259093676"/>
      <w:bookmarkStart w:id="478" w:name="_Ref467379807"/>
      <w:bookmarkStart w:id="479" w:name="_Ref467379793"/>
      <w:bookmarkStart w:id="480" w:name="_Toc279701247"/>
      <w:bookmarkStart w:id="481"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76"/>
      <w:bookmarkStart w:id="482" w:name="_Toc186431855"/>
      <w:r>
        <w:rPr>
          <w:rFonts w:hint="eastAsia" w:ascii="仿宋_GB2312" w:hAnsi="楷体" w:eastAsia="仿宋_GB2312"/>
          <w:sz w:val="24"/>
        </w:rPr>
        <w:t>。</w:t>
      </w:r>
    </w:p>
    <w:bookmarkEnd w:id="482"/>
    <w:p>
      <w:pPr>
        <w:spacing w:line="360" w:lineRule="auto"/>
        <w:ind w:firstLine="482" w:firstLineChars="200"/>
        <w:outlineLvl w:val="0"/>
        <w:rPr>
          <w:rFonts w:ascii="仿宋_GB2312" w:hAnsi="楷体" w:eastAsia="仿宋_GB2312"/>
          <w:b/>
          <w:sz w:val="24"/>
        </w:rPr>
      </w:pPr>
      <w:bookmarkStart w:id="483" w:name="_Toc19219"/>
      <w:bookmarkStart w:id="484" w:name="_Toc28451"/>
      <w:bookmarkStart w:id="485" w:name="_Toc7836"/>
      <w:r>
        <w:rPr>
          <w:rFonts w:hint="eastAsia" w:ascii="仿宋_GB2312" w:hAnsi="楷体" w:eastAsia="仿宋_GB2312"/>
          <w:b/>
          <w:sz w:val="24"/>
        </w:rPr>
        <w:t>2.6 结算方式和付款条件</w:t>
      </w:r>
      <w:bookmarkEnd w:id="477"/>
      <w:bookmarkEnd w:id="478"/>
      <w:bookmarkEnd w:id="479"/>
      <w:bookmarkEnd w:id="480"/>
      <w:bookmarkEnd w:id="481"/>
      <w:bookmarkEnd w:id="483"/>
      <w:bookmarkEnd w:id="484"/>
      <w:bookmarkEnd w:id="485"/>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86" w:name="_Ref467379863"/>
      <w:bookmarkStart w:id="487" w:name="_Ref467379852"/>
      <w:bookmarkStart w:id="488" w:name="_Toc259093677"/>
      <w:bookmarkStart w:id="489" w:name="_Ref467379923"/>
      <w:bookmarkStart w:id="490" w:name="_Toc279701248"/>
      <w:bookmarkStart w:id="491" w:name="_Toc487900358"/>
      <w:bookmarkStart w:id="492" w:name="_Toc774"/>
      <w:bookmarkStart w:id="493" w:name="_Toc16110"/>
      <w:bookmarkStart w:id="494" w:name="_Toc3225"/>
      <w:r>
        <w:rPr>
          <w:rFonts w:hint="eastAsia" w:ascii="仿宋_GB2312" w:hAnsi="楷体" w:eastAsia="仿宋_GB2312"/>
          <w:b/>
          <w:sz w:val="24"/>
        </w:rPr>
        <w:t>2.7 技术资料</w:t>
      </w:r>
      <w:bookmarkEnd w:id="486"/>
      <w:bookmarkEnd w:id="487"/>
      <w:bookmarkEnd w:id="488"/>
      <w:bookmarkEnd w:id="489"/>
      <w:bookmarkEnd w:id="490"/>
      <w:bookmarkEnd w:id="491"/>
      <w:r>
        <w:rPr>
          <w:rFonts w:hint="eastAsia" w:ascii="仿宋_GB2312" w:hAnsi="楷体" w:eastAsia="仿宋_GB2312"/>
          <w:b/>
          <w:sz w:val="24"/>
        </w:rPr>
        <w:t>和保密义务</w:t>
      </w:r>
      <w:bookmarkEnd w:id="492"/>
      <w:bookmarkEnd w:id="493"/>
      <w:bookmarkEnd w:id="494"/>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95" w:name="_Toc7860"/>
      <w:r>
        <w:rPr>
          <w:rFonts w:hint="eastAsia" w:ascii="仿宋_GB2312" w:hAnsi="楷体" w:eastAsia="仿宋_GB2312"/>
          <w:b/>
          <w:sz w:val="24"/>
        </w:rPr>
        <w:t>2.8 质量保证</w:t>
      </w:r>
      <w:bookmarkEnd w:id="495"/>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96" w:name="_Toc17244"/>
      <w:bookmarkStart w:id="497" w:name="_Toc487900362"/>
      <w:bookmarkStart w:id="498" w:name="_Toc259093681"/>
      <w:bookmarkStart w:id="499" w:name="_Toc279701252"/>
      <w:r>
        <w:rPr>
          <w:rFonts w:hint="eastAsia" w:ascii="仿宋_GB2312" w:hAnsi="楷体" w:eastAsia="仿宋_GB2312"/>
          <w:b/>
          <w:sz w:val="24"/>
        </w:rPr>
        <w:t>2.9 标的物的风险负担</w:t>
      </w:r>
      <w:bookmarkEnd w:id="496"/>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500" w:name="_Toc14055"/>
      <w:r>
        <w:rPr>
          <w:rFonts w:hint="eastAsia" w:ascii="仿宋_GB2312" w:hAnsi="楷体" w:eastAsia="仿宋_GB2312"/>
          <w:b/>
          <w:sz w:val="24"/>
        </w:rPr>
        <w:t>2.10 延迟交货</w:t>
      </w:r>
      <w:bookmarkEnd w:id="497"/>
      <w:bookmarkEnd w:id="498"/>
      <w:bookmarkEnd w:id="499"/>
      <w:bookmarkEnd w:id="500"/>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501" w:name="_Toc7502"/>
      <w:bookmarkStart w:id="502" w:name="_Toc259093683"/>
      <w:bookmarkStart w:id="503" w:name="_Toc487900364"/>
      <w:bookmarkStart w:id="504" w:name="_Ref467378121"/>
      <w:bookmarkStart w:id="505" w:name="_Toc279701254"/>
      <w:r>
        <w:rPr>
          <w:rFonts w:hint="eastAsia" w:ascii="仿宋_GB2312" w:hAnsi="楷体" w:eastAsia="仿宋_GB2312"/>
          <w:b/>
          <w:sz w:val="24"/>
        </w:rPr>
        <w:t>2.11 合同变更</w:t>
      </w:r>
      <w:bookmarkEnd w:id="501"/>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506" w:name="_Toc487900369"/>
      <w:bookmarkStart w:id="507" w:name="_Toc279701259"/>
      <w:bookmarkStart w:id="508" w:name="_Toc259093688"/>
    </w:p>
    <w:p>
      <w:pPr>
        <w:spacing w:line="360" w:lineRule="auto"/>
        <w:ind w:firstLine="482" w:firstLineChars="200"/>
        <w:outlineLvl w:val="0"/>
        <w:rPr>
          <w:rFonts w:ascii="仿宋_GB2312" w:hAnsi="楷体" w:eastAsia="仿宋_GB2312"/>
          <w:b/>
          <w:sz w:val="24"/>
        </w:rPr>
      </w:pPr>
      <w:bookmarkStart w:id="509" w:name="_Toc22955"/>
      <w:bookmarkStart w:id="510" w:name="_Toc15237"/>
      <w:bookmarkStart w:id="511" w:name="_Toc10366"/>
      <w:r>
        <w:rPr>
          <w:rFonts w:hint="eastAsia" w:ascii="仿宋_GB2312" w:hAnsi="楷体" w:eastAsia="仿宋_GB2312"/>
          <w:b/>
          <w:sz w:val="24"/>
        </w:rPr>
        <w:t>2.12 合同转让</w:t>
      </w:r>
      <w:bookmarkEnd w:id="506"/>
      <w:bookmarkEnd w:id="507"/>
      <w:bookmarkEnd w:id="508"/>
      <w:r>
        <w:rPr>
          <w:rFonts w:hint="eastAsia" w:ascii="仿宋_GB2312" w:hAnsi="楷体" w:eastAsia="仿宋_GB2312"/>
          <w:b/>
          <w:sz w:val="24"/>
        </w:rPr>
        <w:t>和分包</w:t>
      </w:r>
      <w:bookmarkEnd w:id="509"/>
      <w:bookmarkEnd w:id="510"/>
      <w:bookmarkEnd w:id="511"/>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12" w:name="_Toc16508"/>
      <w:bookmarkStart w:id="513" w:name="_Toc13566"/>
      <w:bookmarkStart w:id="514" w:name="_Toc14066"/>
      <w:r>
        <w:rPr>
          <w:rFonts w:hint="eastAsia" w:ascii="仿宋_GB2312" w:hAnsi="楷体" w:eastAsia="仿宋_GB2312"/>
          <w:b/>
          <w:sz w:val="24"/>
        </w:rPr>
        <w:t>2.13 不可抗力</w:t>
      </w:r>
      <w:bookmarkEnd w:id="512"/>
      <w:bookmarkEnd w:id="513"/>
      <w:bookmarkEnd w:id="514"/>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15" w:name="_Toc689"/>
      <w:bookmarkStart w:id="516" w:name="_Toc6969"/>
      <w:bookmarkStart w:id="517" w:name="_Toc279701255"/>
      <w:bookmarkStart w:id="518" w:name="_Toc487900365"/>
      <w:bookmarkStart w:id="519" w:name="_Toc30676"/>
      <w:bookmarkStart w:id="520" w:name="_Toc259093684"/>
      <w:r>
        <w:rPr>
          <w:rFonts w:hint="eastAsia" w:ascii="仿宋_GB2312" w:hAnsi="楷体" w:eastAsia="仿宋_GB2312"/>
          <w:b/>
          <w:sz w:val="24"/>
        </w:rPr>
        <w:t>2.14 税费</w:t>
      </w:r>
      <w:bookmarkEnd w:id="515"/>
      <w:bookmarkEnd w:id="516"/>
      <w:bookmarkEnd w:id="517"/>
      <w:bookmarkEnd w:id="518"/>
      <w:bookmarkEnd w:id="519"/>
      <w:bookmarkEnd w:id="520"/>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21" w:name="_Toc259093687"/>
      <w:bookmarkStart w:id="522" w:name="_Toc279701258"/>
      <w:bookmarkStart w:id="523" w:name="_Toc8298"/>
      <w:bookmarkStart w:id="524" w:name="_Toc487900368"/>
      <w:bookmarkStart w:id="525" w:name="_Toc16959"/>
      <w:bookmarkStart w:id="526" w:name="_Toc7102"/>
      <w:r>
        <w:rPr>
          <w:rFonts w:hint="eastAsia" w:ascii="仿宋_GB2312" w:hAnsi="楷体" w:eastAsia="仿宋_GB2312"/>
          <w:b/>
          <w:sz w:val="24"/>
        </w:rPr>
        <w:t>2.15 乙方破产</w:t>
      </w:r>
      <w:bookmarkEnd w:id="521"/>
      <w:bookmarkEnd w:id="522"/>
      <w:bookmarkEnd w:id="523"/>
      <w:bookmarkEnd w:id="524"/>
      <w:bookmarkEnd w:id="525"/>
      <w:bookmarkEnd w:id="526"/>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27" w:name="_Toc15387"/>
      <w:bookmarkStart w:id="528" w:name="_Toc29333"/>
      <w:bookmarkStart w:id="529" w:name="_Toc6134"/>
      <w:r>
        <w:rPr>
          <w:rFonts w:hint="eastAsia" w:ascii="仿宋_GB2312" w:hAnsi="楷体" w:eastAsia="仿宋_GB2312"/>
          <w:b/>
          <w:sz w:val="24"/>
        </w:rPr>
        <w:t>2.16 合同中止、终止</w:t>
      </w:r>
      <w:bookmarkEnd w:id="527"/>
      <w:bookmarkEnd w:id="528"/>
      <w:bookmarkEnd w:id="529"/>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2.16.</w:t>
      </w:r>
      <w:r>
        <w:rPr>
          <w:rFonts w:hint="eastAsia" w:ascii="仿宋_GB2312" w:hAnsi="楷体" w:eastAsia="仿宋_GB2312"/>
          <w:color w:val="auto"/>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outlineLvl w:val="0"/>
        <w:rPr>
          <w:rFonts w:ascii="仿宋_GB2312" w:hAnsi="楷体" w:eastAsia="仿宋_GB2312"/>
          <w:b/>
          <w:color w:val="auto"/>
          <w:sz w:val="24"/>
        </w:rPr>
      </w:pPr>
      <w:bookmarkStart w:id="530" w:name="_Toc14563"/>
      <w:bookmarkStart w:id="531" w:name="_Toc1125"/>
      <w:bookmarkStart w:id="532" w:name="_Toc6596"/>
      <w:r>
        <w:rPr>
          <w:rFonts w:hint="eastAsia" w:ascii="仿宋_GB2312" w:hAnsi="楷体" w:eastAsia="仿宋_GB2312"/>
          <w:b/>
          <w:color w:val="auto"/>
          <w:sz w:val="24"/>
        </w:rPr>
        <w:t>2.17 检验和验收</w:t>
      </w:r>
      <w:bookmarkEnd w:id="530"/>
      <w:bookmarkEnd w:id="531"/>
      <w:bookmarkEnd w:id="532"/>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color w:val="auto"/>
          <w:sz w:val="24"/>
        </w:rPr>
        <w:t>2.17.1标的物</w:t>
      </w:r>
      <w:r>
        <w:rPr>
          <w:rFonts w:hint="eastAsia" w:ascii="仿宋_GB2312" w:hAnsi="楷体" w:eastAsia="仿宋_GB2312"/>
          <w:sz w:val="24"/>
        </w:rPr>
        <w:t>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502"/>
    <w:bookmarkEnd w:id="503"/>
    <w:bookmarkEnd w:id="504"/>
    <w:bookmarkEnd w:id="505"/>
    <w:p>
      <w:pPr>
        <w:spacing w:line="360" w:lineRule="auto"/>
        <w:ind w:firstLine="482" w:firstLineChars="200"/>
        <w:outlineLvl w:val="0"/>
        <w:rPr>
          <w:rFonts w:ascii="仿宋_GB2312" w:hAnsi="楷体" w:eastAsia="仿宋_GB2312"/>
          <w:b/>
          <w:sz w:val="24"/>
        </w:rPr>
      </w:pPr>
      <w:bookmarkStart w:id="533" w:name="_Toc487900371"/>
      <w:bookmarkStart w:id="534" w:name="_Toc279701261"/>
      <w:bookmarkStart w:id="535" w:name="_Toc259093690"/>
      <w:bookmarkStart w:id="536" w:name="_Toc11284"/>
      <w:bookmarkStart w:id="537" w:name="_Toc19604"/>
      <w:bookmarkStart w:id="538" w:name="_Toc25182"/>
      <w:r>
        <w:rPr>
          <w:rFonts w:hint="eastAsia" w:ascii="仿宋_GB2312" w:hAnsi="楷体" w:eastAsia="仿宋_GB2312"/>
          <w:b/>
          <w:sz w:val="24"/>
        </w:rPr>
        <w:t>2.18 通知</w:t>
      </w:r>
      <w:bookmarkEnd w:id="533"/>
      <w:bookmarkEnd w:id="534"/>
      <w:bookmarkEnd w:id="535"/>
      <w:r>
        <w:rPr>
          <w:rFonts w:hint="eastAsia" w:ascii="仿宋_GB2312" w:hAnsi="楷体" w:eastAsia="仿宋_GB2312"/>
          <w:b/>
          <w:sz w:val="24"/>
        </w:rPr>
        <w:t>和送达</w:t>
      </w:r>
      <w:bookmarkEnd w:id="536"/>
      <w:bookmarkEnd w:id="537"/>
      <w:bookmarkEnd w:id="538"/>
    </w:p>
    <w:p>
      <w:pPr>
        <w:spacing w:line="360" w:lineRule="auto"/>
        <w:ind w:firstLine="480" w:firstLineChars="200"/>
        <w:rPr>
          <w:rFonts w:ascii="仿宋_GB2312" w:hAnsi="楷体" w:eastAsia="仿宋_GB2312"/>
          <w:sz w:val="24"/>
        </w:rPr>
      </w:pPr>
      <w:bookmarkStart w:id="539" w:name="_Toc6698"/>
      <w:bookmarkStart w:id="540" w:name="_Toc3135"/>
      <w:bookmarkStart w:id="541" w:name="_Toc259093691"/>
      <w:bookmarkStart w:id="542" w:name="_Toc279701262"/>
      <w:bookmarkStart w:id="543" w:name="_Toc487900372"/>
      <w:r>
        <w:rPr>
          <w:rFonts w:hint="eastAsia" w:ascii="仿宋_GB2312" w:hAnsi="楷体" w:eastAsia="仿宋_GB2312"/>
          <w:sz w:val="24"/>
        </w:rPr>
        <w:t>2.18.1 任何一方因</w:t>
      </w:r>
      <w:r>
        <w:rPr>
          <w:rFonts w:hint="eastAsia" w:ascii="仿宋_GB2312" w:hAnsi="楷体" w:eastAsia="仿宋_GB2312"/>
          <w:color w:val="auto"/>
          <w:sz w:val="24"/>
        </w:rPr>
        <w:t>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w:t>
      </w:r>
      <w:r>
        <w:rPr>
          <w:rFonts w:hint="eastAsia" w:ascii="仿宋_GB2312" w:hAnsi="楷体" w:eastAsia="仿宋_GB2312"/>
          <w:sz w:val="24"/>
        </w:rPr>
        <w:t>面通知对方当事人，在对方当事人收到有关变更通知之前，变更前的约定送达方式或者地址仍视为有效。</w:t>
      </w:r>
      <w:bookmarkEnd w:id="539"/>
      <w:bookmarkEnd w:id="540"/>
    </w:p>
    <w:p>
      <w:pPr>
        <w:spacing w:line="360" w:lineRule="auto"/>
        <w:ind w:firstLine="480" w:firstLineChars="200"/>
        <w:rPr>
          <w:rFonts w:ascii="仿宋_GB2312" w:hAnsi="楷体" w:eastAsia="仿宋_GB2312"/>
          <w:sz w:val="24"/>
        </w:rPr>
      </w:pPr>
      <w:bookmarkStart w:id="544" w:name="_Toc23294"/>
      <w:bookmarkStart w:id="545"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4"/>
      <w:bookmarkEnd w:id="545"/>
    </w:p>
    <w:p>
      <w:pPr>
        <w:spacing w:line="360" w:lineRule="auto"/>
        <w:ind w:firstLine="482" w:firstLineChars="200"/>
        <w:outlineLvl w:val="0"/>
        <w:rPr>
          <w:rFonts w:ascii="仿宋_GB2312" w:hAnsi="楷体" w:eastAsia="仿宋_GB2312"/>
          <w:b/>
          <w:sz w:val="24"/>
        </w:rPr>
      </w:pPr>
      <w:bookmarkStart w:id="546" w:name="_Toc4355"/>
      <w:bookmarkStart w:id="547" w:name="_Toc18540"/>
      <w:bookmarkStart w:id="548" w:name="_Toc30599"/>
      <w:r>
        <w:rPr>
          <w:rFonts w:hint="eastAsia" w:ascii="仿宋_GB2312" w:hAnsi="楷体" w:eastAsia="仿宋_GB2312"/>
          <w:b/>
          <w:sz w:val="24"/>
        </w:rPr>
        <w:t>2.19 计量单位</w:t>
      </w:r>
      <w:bookmarkEnd w:id="541"/>
      <w:bookmarkEnd w:id="542"/>
      <w:bookmarkEnd w:id="543"/>
      <w:bookmarkEnd w:id="546"/>
      <w:bookmarkEnd w:id="547"/>
      <w:bookmarkEnd w:id="548"/>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sz w:val="24"/>
        </w:rPr>
      </w:pPr>
      <w:bookmarkStart w:id="549" w:name="_Toc18567"/>
      <w:bookmarkStart w:id="550" w:name="_Toc279701263"/>
      <w:bookmarkStart w:id="551" w:name="_Toc487900373"/>
      <w:bookmarkStart w:id="552" w:name="_Toc10330"/>
      <w:bookmarkStart w:id="553" w:name="_Toc259093692"/>
      <w:bookmarkStart w:id="554" w:name="_Toc12773"/>
      <w:r>
        <w:rPr>
          <w:rFonts w:hint="eastAsia" w:ascii="仿宋_GB2312" w:hAnsi="楷体" w:eastAsia="仿宋_GB2312"/>
          <w:b/>
          <w:sz w:val="24"/>
        </w:rPr>
        <w:t>2.20 合同使用的文字和适用的法律</w:t>
      </w:r>
      <w:bookmarkEnd w:id="549"/>
      <w:bookmarkEnd w:id="550"/>
      <w:bookmarkEnd w:id="551"/>
      <w:bookmarkEnd w:id="552"/>
      <w:bookmarkEnd w:id="553"/>
      <w:bookmarkEnd w:id="554"/>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555" w:name="_Toc259093693"/>
      <w:bookmarkStart w:id="556" w:name="_Toc12004"/>
      <w:bookmarkStart w:id="557" w:name="_Toc3148"/>
      <w:bookmarkStart w:id="558" w:name="_Toc279701264"/>
      <w:bookmarkStart w:id="559" w:name="_Toc16673"/>
      <w:bookmarkStart w:id="560" w:name="_Toc487900374"/>
      <w:r>
        <w:rPr>
          <w:rFonts w:hint="eastAsia" w:ascii="仿宋_GB2312" w:hAnsi="楷体" w:eastAsia="仿宋_GB2312"/>
          <w:b/>
          <w:color w:val="auto"/>
          <w:sz w:val="24"/>
        </w:rPr>
        <w:t>2.21 履约保证金</w:t>
      </w:r>
      <w:bookmarkEnd w:id="555"/>
      <w:bookmarkEnd w:id="556"/>
      <w:bookmarkEnd w:id="557"/>
      <w:bookmarkEnd w:id="558"/>
      <w:bookmarkEnd w:id="55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，以支票、汇票、本票或者金融机构、担保机构出具的保函等非现金形式，提交合同价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%（不超过10%）的履约保证金；</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2.21.2  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内或者标的物质量保证期内不予退还或者应完全有效，前述约定期间届满或者标的物质量保证期届满之日起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个工作日内，甲方应将履约保证金退还乙方；</w:t>
      </w:r>
    </w:p>
    <w:p>
      <w:pPr>
        <w:spacing w:line="360" w:lineRule="auto"/>
        <w:ind w:firstLine="480" w:firstLineChars="200"/>
        <w:rPr>
          <w:rFonts w:ascii="仿宋_GB2312" w:hAnsi="楷体" w:eastAsia="仿宋_GB2312"/>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w:t>
      </w:r>
      <w:r>
        <w:rPr>
          <w:rFonts w:hint="eastAsia" w:ascii="仿宋_GB2312" w:hAnsi="楷体" w:eastAsia="仿宋_GB2312"/>
          <w:sz w:val="24"/>
        </w:rPr>
        <w:t>方承担合同约定的超过履约保证金的违约责任的权利。</w:t>
      </w:r>
    </w:p>
    <w:bookmarkEnd w:id="560"/>
    <w:p>
      <w:pPr>
        <w:spacing w:line="360" w:lineRule="auto"/>
        <w:ind w:firstLine="482" w:firstLineChars="200"/>
        <w:outlineLvl w:val="0"/>
        <w:rPr>
          <w:rFonts w:ascii="仿宋_GB2312" w:hAnsi="楷体" w:eastAsia="仿宋_GB2312"/>
          <w:b/>
          <w:sz w:val="24"/>
        </w:rPr>
      </w:pPr>
      <w:bookmarkStart w:id="561" w:name="_Toc6885"/>
      <w:bookmarkStart w:id="562" w:name="_Toc14001"/>
      <w:bookmarkStart w:id="563" w:name="_Toc19890"/>
      <w:r>
        <w:rPr>
          <w:rFonts w:hint="eastAsia" w:ascii="仿宋_GB2312" w:hAnsi="楷体" w:eastAsia="仿宋_GB2312"/>
          <w:b/>
          <w:sz w:val="24"/>
        </w:rPr>
        <w:t>2.22 合同份数</w:t>
      </w:r>
      <w:bookmarkEnd w:id="561"/>
      <w:bookmarkEnd w:id="562"/>
      <w:bookmarkEnd w:id="563"/>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0"/>
        <w:jc w:val="center"/>
        <w:rPr>
          <w:rFonts w:ascii="仿宋_GB2312" w:hAnsi="楷体" w:eastAsia="仿宋_GB2312"/>
          <w:b/>
          <w:szCs w:val="24"/>
        </w:rPr>
      </w:pPr>
      <w:r>
        <w:rPr>
          <w:rFonts w:hint="eastAsia" w:ascii="仿宋_GB2312" w:hAnsi="楷体" w:eastAsia="仿宋_GB2312"/>
          <w:szCs w:val="24"/>
        </w:rPr>
        <w:br w:type="page"/>
      </w:r>
      <w:bookmarkStart w:id="564" w:name="_Toc331685784"/>
      <w:r>
        <w:rPr>
          <w:rFonts w:hint="eastAsia" w:ascii="仿宋_GB2312" w:hAnsi="楷体" w:eastAsia="仿宋_GB2312"/>
          <w:b/>
          <w:szCs w:val="24"/>
        </w:rPr>
        <w:t xml:space="preserve">第三部分  </w:t>
      </w:r>
      <w:r>
        <w:rPr>
          <w:rFonts w:hint="eastAsia" w:ascii="仿宋_GB2312" w:hAnsi="仿宋" w:eastAsia="仿宋_GB2312"/>
          <w:b/>
          <w:color w:val="000000"/>
        </w:rPr>
        <w:t>※</w:t>
      </w:r>
      <w:r>
        <w:rPr>
          <w:rFonts w:hint="eastAsia" w:ascii="仿宋_GB2312" w:hAnsi="楷体" w:eastAsia="仿宋_GB2312"/>
          <w:b/>
          <w:szCs w:val="24"/>
        </w:rPr>
        <w:t>合同专用条款</w:t>
      </w:r>
      <w:bookmarkEnd w:id="564"/>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5"/>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25"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bl>
    <w:p>
      <w:pPr>
        <w:spacing w:line="360" w:lineRule="auto"/>
        <w:rPr>
          <w:rFonts w:ascii="仿宋_GB2312" w:hAnsi="仿宋" w:eastAsia="仿宋_GB2312" w:cs="仿宋_GB2312"/>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widowControl/>
        <w:ind w:firstLine="1446" w:firstLineChars="400"/>
        <w:jc w:val="center"/>
        <w:rPr>
          <w:rFonts w:ascii="仿宋_GB2312" w:hAnsi="仿宋" w:eastAsia="仿宋_GB2312" w:cs="仿宋_GB2312"/>
          <w:b/>
          <w:sz w:val="36"/>
          <w:szCs w:val="20"/>
        </w:rPr>
      </w:pPr>
      <w:r>
        <w:rPr>
          <w:rFonts w:hint="eastAsia" w:ascii="仿宋_GB2312" w:hAnsi="仿宋" w:eastAsia="仿宋_GB2312" w:cs="仿宋_GB2312"/>
          <w:b/>
          <w:sz w:val="36"/>
          <w:szCs w:val="20"/>
        </w:rPr>
        <w:t>第六部分</w:t>
      </w:r>
      <w:bookmarkEnd w:id="403"/>
      <w:r>
        <w:rPr>
          <w:rFonts w:hint="eastAsia" w:ascii="仿宋_GB2312" w:hAnsi="仿宋" w:eastAsia="仿宋_GB2312" w:cs="仿宋_GB2312"/>
          <w:b/>
          <w:sz w:val="36"/>
          <w:szCs w:val="20"/>
        </w:rPr>
        <w:t xml:space="preserve"> </w:t>
      </w:r>
      <w:bookmarkEnd w:id="404"/>
      <w:r>
        <w:rPr>
          <w:rFonts w:hint="eastAsia" w:ascii="仿宋_GB2312" w:hAnsi="仿宋" w:eastAsia="仿宋_GB2312" w:cs="仿宋_GB2312"/>
          <w:b/>
          <w:sz w:val="36"/>
          <w:szCs w:val="20"/>
        </w:rPr>
        <w:t>应提交的有关格式范例</w:t>
      </w:r>
    </w:p>
    <w:p>
      <w:pPr>
        <w:adjustRightInd w:val="0"/>
        <w:spacing w:line="360" w:lineRule="auto"/>
        <w:ind w:firstLine="480" w:firstLineChars="200"/>
        <w:outlineLvl w:val="0"/>
        <w:rPr>
          <w:rFonts w:ascii="仿宋_GB2312" w:hAnsi="仿宋" w:eastAsia="仿宋_GB2312" w:cs="仿宋_GB2312"/>
          <w:sz w:val="24"/>
          <w:szCs w:val="24"/>
        </w:rPr>
      </w:pPr>
      <w:r>
        <w:rPr>
          <w:rFonts w:hint="eastAsia" w:ascii="仿宋_GB2312" w:hAnsi="仿宋" w:eastAsia="仿宋_GB2312" w:cs="仿宋_GB2312"/>
          <w:sz w:val="24"/>
          <w:szCs w:val="24"/>
        </w:rPr>
        <w:t>投标人按照以下格式编制投标文件。</w:t>
      </w:r>
    </w:p>
    <w:p>
      <w:pPr>
        <w:adjustRightInd w:val="0"/>
        <w:spacing w:line="360" w:lineRule="auto"/>
        <w:jc w:val="center"/>
        <w:outlineLvl w:val="0"/>
        <w:rPr>
          <w:rFonts w:ascii="仿宋_GB2312" w:hAnsi="仿宋" w:eastAsia="仿宋_GB2312" w:cs="仿宋_GB2312"/>
          <w:sz w:val="36"/>
          <w:szCs w:val="36"/>
          <w:lang w:val="zh-CN"/>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 xml:space="preserve"> </w:t>
      </w:r>
      <w:r>
        <w:rPr>
          <w:rFonts w:hint="eastAsia" w:ascii="仿宋_GB2312" w:hAnsi="仿宋" w:eastAsia="仿宋_GB2312" w:cs="仿宋_GB2312"/>
          <w:b/>
          <w:kern w:val="0"/>
          <w:sz w:val="36"/>
          <w:szCs w:val="36"/>
        </w:rPr>
        <w:t>资格文件部分</w:t>
      </w: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cs="Times New Roman"/>
          <w:sz w:val="24"/>
          <w:szCs w:val="24"/>
        </w:rPr>
        <w:t>营业执照(或事业法人登记证或其他工商等登记证明材料)复印件（投标人为自然人的，须提供</w:t>
      </w:r>
      <w:r>
        <w:rPr>
          <w:rFonts w:hint="eastAsia" w:ascii="仿宋_GB2312" w:hAnsi="仿宋" w:eastAsia="仿宋_GB2312" w:cs="Helvetica"/>
          <w:kern w:val="0"/>
          <w:sz w:val="24"/>
          <w:szCs w:val="24"/>
        </w:rPr>
        <w:t>自然人的身份证明</w:t>
      </w:r>
      <w:r>
        <w:rPr>
          <w:rFonts w:hint="eastAsia" w:ascii="仿宋_GB2312" w:hAnsi="仿宋" w:eastAsia="仿宋_GB2312" w:cs="Times New Roman"/>
          <w:sz w:val="24"/>
          <w:szCs w:val="24"/>
        </w:rPr>
        <w:t>）</w:t>
      </w:r>
      <w:r>
        <w:rPr>
          <w:rFonts w:hint="eastAsia" w:ascii="仿宋_GB2312" w:hAnsi="仿宋" w:eastAsia="仿宋_GB2312" w:cs="仿宋_GB2312"/>
          <w:kern w:val="0"/>
          <w:sz w:val="24"/>
          <w:szCs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（4）符合参与政府采购活动的资格条件并且没有税收缴纳、社会保障等方面的失信记录的承诺函…</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sz w:val="24"/>
        </w:rPr>
      </w:pPr>
      <w:r>
        <w:rPr>
          <w:rFonts w:hint="eastAsia" w:ascii="仿宋" w:hAnsi="仿宋" w:eastAsia="仿宋" w:cs="仿宋_GB2312"/>
          <w:kern w:val="0"/>
          <w:sz w:val="24"/>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）以联合体形式投标的，提供联合体协议；本项目不接受联合体投标或者投标人不以联合体形式投标的，则不需要提供…………………………………………………（页码）</w:t>
      </w:r>
    </w:p>
    <w:p>
      <w:pPr>
        <w:adjustRightInd w:val="0"/>
        <w:snapToGrid w:val="0"/>
        <w:spacing w:line="360" w:lineRule="auto"/>
        <w:rPr>
          <w:rFonts w:ascii="仿宋_GB2312" w:hAnsi="仿宋" w:eastAsia="仿宋_GB2312" w:cs="仿宋_GB2312"/>
          <w:color w:val="FF0000"/>
          <w:kern w:val="0"/>
          <w:sz w:val="24"/>
          <w:szCs w:val="24"/>
        </w:rPr>
      </w:pPr>
    </w:p>
    <w:p>
      <w:pPr>
        <w:adjustRightInd w:val="0"/>
        <w:spacing w:line="360" w:lineRule="auto"/>
        <w:rPr>
          <w:rFonts w:ascii="仿宋_GB2312" w:hAnsi="仿宋" w:eastAsia="仿宋_GB2312" w:cs="Times New Roman"/>
          <w:sz w:val="24"/>
          <w:szCs w:val="24"/>
        </w:rPr>
      </w:pPr>
    </w:p>
    <w:p>
      <w:pPr>
        <w:adjustRightInd w:val="0"/>
        <w:snapToGrid w:val="0"/>
        <w:spacing w:line="360" w:lineRule="auto"/>
        <w:rPr>
          <w:rFonts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w:t>
      </w:r>
    </w:p>
    <w:p>
      <w:pPr>
        <w:adjustRightInd w:val="0"/>
        <w:spacing w:line="360" w:lineRule="auto"/>
        <w:jc w:val="center"/>
        <w:rPr>
          <w:rFonts w:ascii="仿宋_GB2312" w:hAnsi="仿宋" w:eastAsia="仿宋_GB2312" w:cs="仿宋_GB2312"/>
          <w:b/>
          <w:sz w:val="30"/>
          <w:szCs w:val="30"/>
        </w:rPr>
      </w:pPr>
    </w:p>
    <w:p>
      <w:pPr>
        <w:adjustRightInd w:val="0"/>
        <w:snapToGrid w:val="0"/>
        <w:spacing w:line="360" w:lineRule="auto"/>
        <w:ind w:firstLine="576"/>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投标人名称(电子签名)：                              </w:t>
      </w:r>
    </w:p>
    <w:p>
      <w:pPr>
        <w:adjustRightInd w:val="0"/>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szCs w:val="24"/>
          <w:lang w:val="zh-CN"/>
        </w:rPr>
        <w:t xml:space="preserve">                   日期：  年  月   日</w:t>
      </w:r>
    </w:p>
    <w:p>
      <w:pPr>
        <w:spacing w:line="360" w:lineRule="auto"/>
        <w:jc w:val="center"/>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法定代表人（签章）</w:t>
      </w:r>
      <w:r>
        <w:rPr>
          <w:rFonts w:hint="eastAsia" w:ascii="仿宋_GB2312" w:hAnsi="仿宋" w:eastAsia="仿宋_GB2312" w:cs="仿宋_GB2312"/>
          <w:kern w:val="0"/>
          <w:sz w:val="24"/>
          <w:lang w:val="zh-CN"/>
        </w:rPr>
        <w:t>：</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646"/>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pStyle w:val="646"/>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四、</w:t>
      </w:r>
      <w:r>
        <w:rPr>
          <w:rFonts w:hint="eastAsia" w:ascii="仿宋_GB2312" w:hAnsi="仿宋" w:eastAsia="仿宋_GB2312" w:cs="仿宋_GB2312"/>
          <w:b/>
          <w:kern w:val="0"/>
          <w:sz w:val="32"/>
          <w:szCs w:val="32"/>
        </w:rPr>
        <w:t>符合参与政府采购活动的资格条件并且没有税收缴纳、社会保障等方面的失信记录的承诺函</w:t>
      </w:r>
    </w:p>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adjustRightInd w:val="0"/>
        <w:spacing w:line="360" w:lineRule="auto"/>
        <w:ind w:firstLine="480" w:firstLineChars="200"/>
        <w:rPr>
          <w:rFonts w:hint="eastAsia" w:ascii="仿宋_GB2312" w:hAnsi="仿宋" w:eastAsia="仿宋_GB2312" w:cs="仿宋_GB2312"/>
          <w:kern w:val="0"/>
          <w:sz w:val="24"/>
          <w:szCs w:val="24"/>
          <w:lang w:val="en-US" w:eastAsia="zh-CN"/>
        </w:rPr>
      </w:pPr>
      <w:r>
        <w:rPr>
          <w:rFonts w:hint="eastAsia" w:ascii="仿宋_GB2312" w:hAnsi="仿宋" w:eastAsia="仿宋_GB2312" w:cs="仿宋_GB2312"/>
          <w:sz w:val="24"/>
        </w:rPr>
        <w:t>我方郑重承诺，我方符合参与</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政府采购活动的资格条件并且没有税收缴纳、社会保障等方面的失信记录。</w:t>
      </w: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en-US" w:eastAsia="zh-CN"/>
        </w:rPr>
        <w:t xml:space="preserve">                  </w:t>
      </w:r>
    </w:p>
    <w:p>
      <w:pPr>
        <w:adjustRightInd w:val="0"/>
        <w:spacing w:line="360" w:lineRule="auto"/>
        <w:ind w:firstLine="4560" w:firstLineChars="19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投标人名称(电子签名)：                              </w:t>
      </w:r>
    </w:p>
    <w:p>
      <w:pPr>
        <w:adjustRightInd w:val="0"/>
        <w:snapToGrid w:val="0"/>
        <w:spacing w:line="360" w:lineRule="auto"/>
        <w:ind w:right="480"/>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en-US" w:eastAsia="zh-CN"/>
        </w:rPr>
        <w:t xml:space="preserve">     </w:t>
      </w:r>
      <w:r>
        <w:rPr>
          <w:rFonts w:hint="eastAsia" w:ascii="仿宋_GB2312" w:hAnsi="仿宋" w:eastAsia="仿宋_GB2312" w:cs="仿宋_GB2312"/>
          <w:kern w:val="0"/>
          <w:sz w:val="24"/>
          <w:szCs w:val="24"/>
          <w:lang w:val="zh-CN"/>
        </w:rPr>
        <w:t xml:space="preserve"> 日期：  年  月   日</w:t>
      </w:r>
    </w:p>
    <w:p>
      <w:pPr>
        <w:snapToGrid w:val="0"/>
        <w:spacing w:line="360" w:lineRule="auto"/>
        <w:ind w:right="480"/>
        <w:jc w:val="center"/>
        <w:rPr>
          <w:rFonts w:hint="default" w:ascii="仿宋_GB2312" w:hAnsi="仿宋" w:eastAsia="仿宋_GB2312" w:cs="仿宋_GB2312"/>
          <w:kern w:val="0"/>
          <w:sz w:val="24"/>
          <w:lang w:val="en-US" w:eastAsia="zh-CN"/>
        </w:rPr>
      </w:pP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hint="eastAsia" w:ascii="仿宋_GB2312" w:hAnsi="仿宋" w:eastAsia="仿宋_GB2312" w:cs="仿宋_GB2312"/>
          <w:b/>
          <w:kern w:val="0"/>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32"/>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rPr>
          <w:rFonts w:hint="eastAsia" w:ascii="仿宋_GB2312" w:hAnsi="仿宋" w:eastAsia="仿宋_GB2312" w:cs="仿宋_GB2312"/>
          <w:b/>
          <w:bCs/>
          <w:sz w:val="32"/>
          <w:szCs w:val="32"/>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2"/>
          <w:szCs w:val="32"/>
          <w:lang w:eastAsia="zh-CN"/>
        </w:rPr>
        <w:t>九</w:t>
      </w:r>
      <w:r>
        <w:rPr>
          <w:rFonts w:hint="eastAsia" w:ascii="仿宋" w:hAnsi="仿宋" w:eastAsia="仿宋" w:cs="仿宋_GB2312"/>
          <w:b/>
          <w:sz w:val="30"/>
          <w:szCs w:val="30"/>
        </w:rPr>
        <w:t>、联合体协议</w:t>
      </w:r>
    </w:p>
    <w:p>
      <w:pPr>
        <w:widowControl/>
        <w:adjustRightInd w:val="0"/>
        <w:spacing w:line="360" w:lineRule="auto"/>
        <w:ind w:firstLine="480" w:firstLineChars="200"/>
        <w:jc w:val="left"/>
        <w:rPr>
          <w:rFonts w:ascii="仿宋_GB2312" w:hAnsi="仿宋" w:eastAsia="仿宋_GB2312" w:cs="仿宋_GB2312"/>
          <w:sz w:val="24"/>
          <w:szCs w:val="24"/>
        </w:rPr>
      </w:pPr>
      <w:r>
        <w:rPr>
          <w:rFonts w:hint="eastAsia" w:ascii="仿宋_GB2312" w:hAnsi="仿宋" w:eastAsia="仿宋_GB2312" w:cs="仿宋_GB2312"/>
          <w:sz w:val="24"/>
          <w:szCs w:val="24"/>
        </w:rPr>
        <w:t>（以联合体形式投标的，提供联合体协议；本项目不接受联合体投标或者投标人不以联合体形式投标的，则不需要提供）</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甲方：</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乙方：</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各方经协商一致，决定组成一个联合体，以一个投标人的身份就</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 xml:space="preserve">共同投标。 </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一、各方一致决定，</w:t>
      </w:r>
      <w:r>
        <w:rPr>
          <w:rFonts w:hint="eastAsia" w:ascii="仿宋_GB2312" w:hAnsi="仿宋" w:eastAsia="仿宋_GB2312" w:cs="Arial"/>
          <w:sz w:val="24"/>
          <w:szCs w:val="24"/>
        </w:rPr>
        <w:t>指定</w:t>
      </w:r>
      <w:r>
        <w:rPr>
          <w:rFonts w:hint="eastAsia" w:ascii="仿宋_GB2312" w:hAnsi="仿宋" w:eastAsia="仿宋_GB2312" w:cs="Times New Roman"/>
          <w:szCs w:val="24"/>
          <w:u w:val="single"/>
        </w:rPr>
        <w:t xml:space="preserve">   </w:t>
      </w:r>
      <w:r>
        <w:rPr>
          <w:rFonts w:hint="eastAsia" w:ascii="仿宋_GB2312" w:hAnsi="仿宋" w:eastAsia="仿宋_GB2312" w:cs="Arial"/>
          <w:sz w:val="24"/>
          <w:szCs w:val="24"/>
        </w:rPr>
        <w:t>方牵头人，代表所有联合体成员负责投标和合同实施阶段的主办、协调工作</w:t>
      </w:r>
      <w:r>
        <w:rPr>
          <w:rFonts w:hint="eastAsia" w:ascii="仿宋_GB2312" w:hAnsi="仿宋" w:eastAsia="仿宋_GB2312" w:cs="仿宋_GB2312"/>
          <w:kern w:val="0"/>
          <w:sz w:val="24"/>
          <w:szCs w:val="24"/>
          <w:lang w:val="zh-CN"/>
        </w:rPr>
        <w:t>。</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二、</w:t>
      </w:r>
      <w:r>
        <w:rPr>
          <w:rFonts w:hint="eastAsia" w:ascii="仿宋_GB2312" w:hAnsi="仿宋" w:eastAsia="仿宋_GB2312" w:cs="Arial"/>
          <w:sz w:val="24"/>
          <w:szCs w:val="24"/>
        </w:rPr>
        <w:t>所有联合体成员各方签署授权书，授权书载明的</w:t>
      </w:r>
      <w:r>
        <w:rPr>
          <w:rFonts w:hint="eastAsia" w:ascii="仿宋_GB2312" w:hAnsi="仿宋" w:eastAsia="仿宋_GB2312" w:cs="仿宋_GB2312"/>
          <w:kern w:val="0"/>
          <w:sz w:val="24"/>
          <w:szCs w:val="24"/>
          <w:lang w:val="zh-CN"/>
        </w:rPr>
        <w:t>授权代表根据招标文件规定及投标内容而对采购人、采购机构所作的任何合法承诺，包括书面澄清及相应等均对联合投标各方产生约束力。</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三、本次联合投标中，分工如下：甲方承担的工作和义务为：</w:t>
      </w:r>
      <w:r>
        <w:rPr>
          <w:rFonts w:hint="eastAsia" w:ascii="仿宋_GB2312" w:hAnsi="仿宋" w:eastAsia="仿宋_GB2312" w:cs="Times New Roman"/>
          <w:szCs w:val="24"/>
          <w:u w:val="single"/>
        </w:rPr>
        <w:t xml:space="preserve">             </w:t>
      </w:r>
      <w:r>
        <w:rPr>
          <w:rFonts w:hint="eastAsia" w:ascii="仿宋_GB2312" w:hAnsi="仿宋" w:eastAsia="仿宋_GB2312" w:cs="仿宋_GB2312"/>
          <w:kern w:val="0"/>
          <w:sz w:val="24"/>
          <w:szCs w:val="24"/>
          <w:lang w:val="zh-CN"/>
        </w:rPr>
        <w:t>；乙方承担的工作和义务为：</w:t>
      </w:r>
      <w:r>
        <w:rPr>
          <w:rFonts w:hint="eastAsia" w:ascii="仿宋_GB2312" w:hAnsi="仿宋" w:eastAsia="仿宋_GB2312" w:cs="Times New Roman"/>
          <w:szCs w:val="24"/>
          <w:u w:val="single"/>
        </w:rPr>
        <w:t xml:space="preserve">            </w:t>
      </w:r>
      <w:r>
        <w:rPr>
          <w:rFonts w:hint="eastAsia" w:ascii="仿宋_GB2312" w:hAnsi="仿宋" w:eastAsia="仿宋_GB2312" w:cs="仿宋_GB2312"/>
          <w:kern w:val="0"/>
          <w:sz w:val="24"/>
          <w:szCs w:val="24"/>
          <w:lang w:val="zh-CN"/>
        </w:rPr>
        <w:t xml:space="preserve"> ；……</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四、如果中标，</w:t>
      </w:r>
      <w:r>
        <w:rPr>
          <w:rFonts w:hint="eastAsia" w:ascii="仿宋_GB2312" w:hAnsi="仿宋" w:eastAsia="仿宋_GB2312" w:cs="Times New Roman"/>
          <w:sz w:val="24"/>
          <w:szCs w:val="24"/>
        </w:rPr>
        <w:t>联合体各成员方共同与采购人签订合同，并就采购合同约定的事项对采购人承担连带责任。</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五、有关本次联合投标的其他事宜：</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1、联合体各方不再单独参加或者与其他供应商另外组成联合体参加同一合同项下的政府采购活动。</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3、本协议提交采购人、采购机构后，联合体各方不得以任何形式对上述内容进行修改或撤销。</w:t>
      </w:r>
    </w:p>
    <w:p>
      <w:pPr>
        <w:adjustRightInd w:val="0"/>
        <w:snapToGrid w:val="0"/>
        <w:spacing w:line="360" w:lineRule="auto"/>
        <w:ind w:firstLine="576"/>
        <w:rPr>
          <w:rFonts w:ascii="仿宋_GB2312" w:hAnsi="仿宋" w:eastAsia="仿宋_GB2312" w:cs="仿宋_GB2312"/>
          <w:kern w:val="0"/>
          <w:sz w:val="24"/>
          <w:szCs w:val="24"/>
          <w:lang w:val="zh-CN"/>
        </w:rPr>
      </w:pPr>
    </w:p>
    <w:p>
      <w:pPr>
        <w:adjustRightInd w:val="0"/>
        <w:snapToGrid w:val="0"/>
        <w:spacing w:line="360" w:lineRule="auto"/>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甲方单位：           （公章/ 电子签名）     乙方单位： （公章/ 电子签名）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kern w:val="0"/>
          <w:sz w:val="24"/>
          <w:szCs w:val="24"/>
          <w:lang w:val="zh-CN"/>
        </w:rPr>
        <w:t xml:space="preserve">  日期：    年   月   日                  日期：    年   月   日</w:t>
      </w:r>
    </w:p>
    <w:p>
      <w:pPr>
        <w:pStyle w:val="78"/>
        <w:rPr>
          <w:rFonts w:hint="eastAsia" w:ascii="仿宋_GB2312" w:hAnsi="仿宋" w:eastAsia="仿宋_GB2312" w:cs="仿宋_GB2312"/>
          <w:kern w:val="0"/>
          <w:sz w:val="24"/>
          <w:szCs w:val="24"/>
          <w:lang w:val="zh-CN"/>
        </w:rPr>
      </w:pPr>
    </w:p>
    <w:p>
      <w:pPr>
        <w:adjustRightInd w:val="0"/>
        <w:snapToGrid w:val="0"/>
        <w:spacing w:line="360" w:lineRule="auto"/>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（1）投标响应函……………………………………………………（页码）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（2）投标（开标）一览表…………………………………………（页码）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（3）中小企业声明函………………………………………………（页码）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(投标人全称)授权</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(全权代表姓名)</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(职务、职称)为全权代表，参加贵方组织的XXXXXX项目【招标编号：XXX】招标的有关活动，并对此项目进行投标。为此：</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1、我方同意在投标人</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规定的开标日期起遵守本投标文件中的承诺且在投标有效期满之前均具有约束力。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(1)具有独立承担民事责任的能力；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(2)遵守国家法律、行政法规，具有良好的信誉和商业道德；</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(3)具有履行合同的能力和良好的履行合同记录；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(4)良好的资金、财务状况；</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(5)产品及生产所需装备符合中国政府规定的相应技术标准和环保标准；</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(6)没有违反政府采购法规、政策的记录；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(7)没有发生重大经济纠纷和走私犯罪记录。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3、我方中标后拟在中标后将</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工作分包，分包承担主体是</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，我方承诺分包承担主体具备相应资质条件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，且不再次分包。（不再将工作进行分包或本项目不允许分包的，下划线处填写“/”。）</w:t>
      </w:r>
    </w:p>
    <w:p>
      <w:pPr>
        <w:adjustRightInd w:val="0"/>
        <w:snapToGrid w:val="0"/>
        <w:spacing w:line="360" w:lineRule="auto"/>
        <w:ind w:firstLine="480" w:firstLineChars="200"/>
        <w:rPr>
          <w:rFonts w:ascii="仿宋_GB2312" w:hAnsi="仿宋" w:eastAsia="仿宋_GB2312" w:cs="仿宋_GB2312"/>
          <w:snapToGrid w:val="0"/>
          <w:sz w:val="24"/>
          <w:szCs w:val="21"/>
        </w:rPr>
      </w:pPr>
      <w:r>
        <w:rPr>
          <w:rFonts w:hint="eastAsia" w:ascii="仿宋_GB2312" w:hAnsi="仿宋" w:eastAsia="仿宋_GB2312" w:cs="仿宋_GB2312"/>
          <w:snapToGrid w:val="0"/>
          <w:sz w:val="24"/>
          <w:szCs w:val="21"/>
        </w:rPr>
        <w:t>4、提供</w:t>
      </w:r>
      <w:r>
        <w:rPr>
          <w:rFonts w:hint="eastAsia" w:ascii="仿宋_GB2312" w:hAnsi="仿宋" w:eastAsia="仿宋_GB2312" w:cs="仿宋_GB2312"/>
          <w:snapToGrid w:val="0"/>
          <w:kern w:val="44"/>
          <w:sz w:val="24"/>
          <w:szCs w:val="21"/>
        </w:rPr>
        <w:t>投标人须知</w:t>
      </w:r>
      <w:r>
        <w:rPr>
          <w:rFonts w:hint="eastAsia" w:ascii="仿宋_GB2312" w:hAnsi="仿宋" w:eastAsia="仿宋_GB2312" w:cs="仿宋_GB2312"/>
          <w:snapToGrid w:val="0"/>
          <w:sz w:val="24"/>
          <w:szCs w:val="21"/>
        </w:rPr>
        <w:t>规定的全部投标文件</w:t>
      </w:r>
      <w:r>
        <w:rPr>
          <w:rFonts w:hint="eastAsia" w:ascii="仿宋_GB2312" w:hAnsi="仿宋" w:eastAsia="仿宋_GB2312" w:cs="仿宋_GB2312"/>
          <w:snapToGrid w:val="0"/>
          <w:kern w:val="44"/>
          <w:sz w:val="24"/>
          <w:szCs w:val="21"/>
        </w:rPr>
        <w:t>。</w:t>
      </w:r>
      <w:r>
        <w:rPr>
          <w:rFonts w:hint="eastAsia" w:ascii="仿宋_GB2312" w:hAnsi="仿宋" w:eastAsia="仿宋_GB2312" w:cs="仿宋_GB2312"/>
          <w:snapToGrid w:val="0"/>
          <w:sz w:val="24"/>
          <w:szCs w:val="21"/>
        </w:rPr>
        <w:t>具体内容为：</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(2)投标</w:t>
      </w:r>
      <w:r>
        <w:rPr>
          <w:rFonts w:hint="eastAsia" w:ascii="仿宋_GB2312" w:hAnsi="仿宋" w:eastAsia="仿宋_GB2312" w:cs="仿宋_GB2312"/>
          <w:kern w:val="0"/>
          <w:sz w:val="24"/>
          <w:szCs w:val="24"/>
          <w:lang w:val="zh-CN"/>
        </w:rPr>
        <w:t>技术文件和</w:t>
      </w:r>
      <w:r>
        <w:rPr>
          <w:rFonts w:hint="eastAsia" w:ascii="仿宋_GB2312" w:hAnsi="仿宋" w:eastAsia="仿宋_GB2312" w:cs="仿宋_GB2312"/>
          <w:sz w:val="24"/>
          <w:szCs w:val="24"/>
          <w:lang w:val="zh-CN"/>
        </w:rPr>
        <w:t>商务文件</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要求投标人提交的全部文件；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 (4)按招标文件要求提供和交付的货物和服务的投标报价详见投标(开标)一览表；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(5)保证忠实地执行双方所签订的合同，并承担合同规定的责任和义务；</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(6)保证遵守招标文件中的其他有关规定。</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5、我方承诺投标有效期从提交投标文件的截止之日起</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天，不少于招标文件中载明的投标有效期（从提交投标文件的截止之日起90天）。</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6、我方完全理解贵方不一定要接受最低价的投标。</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8、我方已详细审核全部招标文件，包括招标文件修改书(如果有)、参考资料及有关附件，确认无误。</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a)提供虚假材料谋取中标、成交的；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b)采取不正当手段诋毁、排挤其他供应商的；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c)与采购人、其它供应商或者采购机构恶意串通的；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d)向采购人、采购机构行贿或者提供其他不正当利益的；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e)在招标采购过程中与采购人进行协商谈判的；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f)拒绝有关部门监督检查或提供虚假情况的。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供应商有前款第a)至e)项情形之一的，中标、成交无效。</w:t>
      </w:r>
    </w:p>
    <w:p>
      <w:pPr>
        <w:adjustRightInd w:val="0"/>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 xml:space="preserve">投标人名称（电子签名）：                          </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日期：  年   月   日</w:t>
      </w:r>
    </w:p>
    <w:p>
      <w:pPr>
        <w:adjustRightInd w:val="0"/>
        <w:snapToGrid w:val="0"/>
        <w:spacing w:line="360" w:lineRule="auto"/>
        <w:ind w:left="420" w:leftChars="200" w:firstLine="4200" w:firstLineChars="1750"/>
        <w:rPr>
          <w:rFonts w:ascii="仿宋_GB2312" w:hAnsi="仿宋" w:eastAsia="仿宋_GB2312" w:cs="仿宋_GB2312"/>
          <w:kern w:val="0"/>
          <w:sz w:val="24"/>
          <w:szCs w:val="24"/>
          <w:u w:val="single"/>
          <w:lang w:val="zh-CN"/>
        </w:rPr>
      </w:pP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联系人：</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 xml:space="preserve">联系电话： </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联系地址：</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邮政编码：</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传真号码：</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b/>
          <w:kern w:val="0"/>
          <w:sz w:val="24"/>
          <w:szCs w:val="24"/>
          <w:lang w:val="zh-CN"/>
        </w:rPr>
        <w:t>注：未按照本投标响应函要求填报的将被视为非实质性响应投标，从而可能导致该投标被拒绝。</w:t>
      </w:r>
    </w:p>
    <w:p>
      <w:pPr>
        <w:adjustRightInd w:val="0"/>
        <w:snapToGrid w:val="0"/>
        <w:spacing w:before="120" w:after="120" w:line="360" w:lineRule="auto"/>
        <w:ind w:firstLine="643"/>
        <w:jc w:val="center"/>
        <w:rPr>
          <w:rFonts w:ascii="仿宋_GB2312" w:hAnsi="仿宋" w:eastAsia="仿宋_GB2312" w:cs="仿宋_GB2312"/>
          <w:b/>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仿宋_GB2312"/>
          <w:b/>
          <w:sz w:val="32"/>
          <w:szCs w:val="32"/>
        </w:rPr>
      </w:pPr>
      <w:r>
        <w:rPr>
          <w:rFonts w:hint="eastAsia" w:ascii="仿宋_GB2312" w:hAnsi="仿宋" w:eastAsia="仿宋_GB2312" w:cs="仿宋_GB2312"/>
          <w:b/>
          <w:sz w:val="32"/>
          <w:szCs w:val="32"/>
        </w:rPr>
        <w:t>二、投标(开标)一览表</w:t>
      </w:r>
    </w:p>
    <w:p>
      <w:pPr>
        <w:adjustRightInd w:val="0"/>
        <w:snapToGrid w:val="0"/>
        <w:spacing w:line="360" w:lineRule="auto"/>
        <w:rPr>
          <w:rFonts w:ascii="仿宋_GB2312" w:hAnsi="仿宋" w:eastAsia="仿宋_GB2312" w:cs="仿宋_GB2312"/>
          <w:kern w:val="0"/>
          <w:sz w:val="24"/>
          <w:szCs w:val="24"/>
        </w:rPr>
      </w:pPr>
      <w:bookmarkStart w:id="565"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rPr>
        <w:t>XXXXXX项目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XXX】的实施</w:t>
      </w:r>
      <w:r>
        <w:rPr>
          <w:rFonts w:hint="eastAsia" w:ascii="仿宋_GB2312" w:hAnsi="仿宋" w:eastAsia="仿宋_GB2312" w:cs="仿宋_GB2312"/>
          <w:kern w:val="0"/>
          <w:sz w:val="24"/>
          <w:szCs w:val="24"/>
          <w:lang w:val="zh-CN"/>
        </w:rPr>
        <w:t>。</w:t>
      </w:r>
    </w:p>
    <w:p>
      <w:pPr>
        <w:adjustRightInd w:val="0"/>
        <w:spacing w:line="360" w:lineRule="auto"/>
        <w:jc w:val="center"/>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投标(开标)一览表(单位均为人民币元)</w:t>
      </w:r>
    </w:p>
    <w:tbl>
      <w:tblPr>
        <w:tblStyle w:val="62"/>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52"/>
        <w:gridCol w:w="1683"/>
        <w:gridCol w:w="1281"/>
        <w:gridCol w:w="1092"/>
        <w:gridCol w:w="133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7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987"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b/>
                <w:sz w:val="24"/>
              </w:rPr>
              <w:t>名称</w:t>
            </w:r>
          </w:p>
        </w:tc>
        <w:tc>
          <w:tcPr>
            <w:tcW w:w="897"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cs="Times New Roman"/>
                <w:b/>
                <w:sz w:val="24"/>
                <w:szCs w:val="24"/>
              </w:rPr>
              <w:t>具体服务</w:t>
            </w:r>
            <w:r>
              <w:rPr>
                <w:rFonts w:hint="eastAsia" w:ascii="仿宋_GB2312" w:hAnsi="仿宋" w:eastAsia="仿宋_GB2312" w:cs="Times New Roman"/>
                <w:b/>
                <w:sz w:val="24"/>
                <w:szCs w:val="24"/>
                <w:lang w:eastAsia="zh-CN"/>
              </w:rPr>
              <w:t>（或规格型号）</w:t>
            </w:r>
          </w:p>
        </w:tc>
        <w:tc>
          <w:tcPr>
            <w:tcW w:w="682"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cs="仿宋_GB2312"/>
                <w:b/>
                <w:sz w:val="24"/>
                <w:szCs w:val="24"/>
                <w:lang w:eastAsia="zh-CN"/>
              </w:rPr>
              <w:t>工作量（数量）</w:t>
            </w:r>
          </w:p>
        </w:tc>
        <w:tc>
          <w:tcPr>
            <w:tcW w:w="58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709"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69"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987" w:type="pct"/>
            <w:vAlign w:val="center"/>
          </w:tcPr>
          <w:p>
            <w:pPr>
              <w:adjustRightInd w:val="0"/>
              <w:snapToGrid w:val="0"/>
              <w:spacing w:line="360" w:lineRule="auto"/>
              <w:jc w:val="center"/>
              <w:rPr>
                <w:rFonts w:ascii="仿宋_GB2312" w:hAnsi="Times New Roman" w:eastAsia="仿宋_GB2312" w:cs="Times New Roman"/>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987" w:type="pct"/>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bl>
    <w:p>
      <w:pPr>
        <w:adjustRightInd w:val="0"/>
        <w:snapToGrid w:val="0"/>
        <w:spacing w:line="360" w:lineRule="auto"/>
        <w:ind w:left="480"/>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注：</w:t>
      </w:r>
    </w:p>
    <w:p>
      <w:pPr>
        <w:adjustRightInd w:val="0"/>
        <w:spacing w:line="360" w:lineRule="auto"/>
        <w:ind w:left="-2" w:leftChars="-1"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1、投标人需按本表格式填写，不得自行更改。</w:t>
      </w:r>
    </w:p>
    <w:p>
      <w:pPr>
        <w:adjustRightInd w:val="0"/>
        <w:snapToGrid w:val="0"/>
        <w:spacing w:line="360" w:lineRule="auto"/>
        <w:ind w:left="48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2、有关本项目实施所涉及的一切费用（详见前附表）均计入报价。</w:t>
      </w:r>
      <w:r>
        <w:rPr>
          <w:rFonts w:hint="eastAsia" w:ascii="仿宋_GB2312" w:hAnsi="仿宋" w:eastAsia="仿宋_GB2312" w:cs="Arial"/>
          <w:b/>
          <w:snapToGrid w:val="0"/>
          <w:color w:val="auto"/>
          <w:sz w:val="24"/>
          <w:szCs w:val="21"/>
        </w:rPr>
        <w:t>▲</w:t>
      </w:r>
      <w:r>
        <w:rPr>
          <w:rFonts w:hint="eastAsia" w:ascii="仿宋_GB2312" w:hAnsi="仿宋" w:eastAsia="仿宋_GB2312" w:cs="仿宋_GB2312"/>
          <w:b/>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kern w:val="0"/>
          <w:sz w:val="24"/>
          <w:szCs w:val="24"/>
          <w:lang w:val="zh-CN"/>
        </w:rPr>
        <w:t>各项明细费用请按实填写（不得出现“0元”“免费赠送”等形式的无偿报价）。</w:t>
      </w:r>
    </w:p>
    <w:p>
      <w:pPr>
        <w:adjustRightInd w:val="0"/>
        <w:snapToGrid w:val="0"/>
        <w:spacing w:line="360" w:lineRule="auto"/>
        <w:ind w:firstLine="480" w:firstLineChars="200"/>
        <w:jc w:val="left"/>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en-US" w:eastAsia="zh-CN"/>
        </w:rPr>
        <w:t>3</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、特别提示：采购机构将对项目名称和项目编号，中标供应商名称、地址和中标金额，主要中标标的的名称、具体服务、数量、单价、服务要求等予以公示。</w:t>
      </w:r>
    </w:p>
    <w:p>
      <w:pPr>
        <w:pStyle w:val="78"/>
        <w:ind w:firstLine="480" w:firstLineChars="200"/>
        <w:rPr>
          <w:lang w:val="zh-CN"/>
        </w:rPr>
      </w:pPr>
      <w:r>
        <w:rPr>
          <w:rFonts w:hint="eastAsia" w:hAnsi="仿宋" w:cs="仿宋_GB2312"/>
          <w:kern w:val="0"/>
          <w:sz w:val="24"/>
          <w:lang w:val="en-US" w:eastAsia="zh-CN"/>
        </w:rPr>
        <w:t>4</w:t>
      </w:r>
      <w:r>
        <w:rPr>
          <w:rFonts w:hint="eastAsia" w:ascii="仿宋_GB2312" w:hAnsi="仿宋" w:eastAsia="仿宋_GB2312" w:cs="仿宋_GB2312"/>
          <w:kern w:val="0"/>
          <w:sz w:val="24"/>
          <w:lang w:val="zh-CN"/>
        </w:rPr>
        <w:t>、以上表格要求细分项目及报价，在“规格型号（或具体服务）”一栏中，货物类项目填写规格型号，服务类项目填写具体服务。</w:t>
      </w:r>
    </w:p>
    <w:p>
      <w:pPr>
        <w:adjustRightInd w:val="0"/>
        <w:spacing w:line="360" w:lineRule="auto"/>
        <w:ind w:firstLine="480" w:firstLineChars="200"/>
        <w:rPr>
          <w:rFonts w:ascii="仿宋_GB2312" w:hAnsi="仿宋" w:eastAsia="仿宋_GB2312" w:cs="仿宋_GB2312"/>
          <w:kern w:val="0"/>
          <w:sz w:val="24"/>
          <w:szCs w:val="24"/>
          <w:u w:val="single"/>
          <w:lang w:val="zh-CN"/>
        </w:rPr>
      </w:pPr>
      <w:r>
        <w:rPr>
          <w:rFonts w:hint="eastAsia" w:ascii="仿宋_GB2312" w:hAnsi="仿宋" w:eastAsia="仿宋_GB2312" w:cs="仿宋_GB2312"/>
          <w:kern w:val="0"/>
          <w:sz w:val="24"/>
          <w:lang w:val="en-US" w:eastAsia="zh-CN"/>
        </w:rPr>
        <w:t>5</w:t>
      </w:r>
      <w:r>
        <w:rPr>
          <w:rFonts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w:t>
      </w:r>
      <w:r>
        <w:rPr>
          <w:rFonts w:ascii="仿宋_GB2312" w:hAnsi="仿宋" w:eastAsia="仿宋_GB2312" w:cs="仿宋_GB2312"/>
          <w:kern w:val="0"/>
          <w:sz w:val="24"/>
          <w:szCs w:val="24"/>
          <w:lang w:val="zh-CN"/>
        </w:rPr>
        <w:t>提供</w:t>
      </w:r>
      <w:r>
        <w:rPr>
          <w:rFonts w:hint="eastAsia" w:ascii="仿宋_GB2312" w:hAnsi="仿宋" w:eastAsia="仿宋_GB2312" w:cs="仿宋_GB2312"/>
          <w:kern w:val="0"/>
          <w:sz w:val="24"/>
          <w:szCs w:val="24"/>
          <w:lang w:val="zh-CN"/>
        </w:rPr>
        <w:t>的中小企业</w:t>
      </w:r>
      <w:r>
        <w:rPr>
          <w:rFonts w:ascii="仿宋_GB2312" w:hAnsi="仿宋" w:eastAsia="仿宋_GB2312" w:cs="仿宋_GB2312"/>
          <w:kern w:val="0"/>
          <w:sz w:val="24"/>
          <w:szCs w:val="24"/>
          <w:lang w:val="zh-CN"/>
        </w:rPr>
        <w:t>声明函内容不实的，属于提供虚假材料谋取中标、成交，依照《中华人民共和国政府采购法》等国家有关规定追究相应责任。</w:t>
      </w:r>
    </w:p>
    <w:p>
      <w:pPr>
        <w:adjustRightInd w:val="0"/>
        <w:snapToGrid w:val="0"/>
        <w:spacing w:line="360" w:lineRule="auto"/>
        <w:ind w:firstLine="482" w:firstLineChars="200"/>
        <w:jc w:val="right"/>
        <w:rPr>
          <w:rFonts w:ascii="仿宋_GB2312" w:hAnsi="仿宋" w:eastAsia="仿宋_GB2312" w:cs="Times New Roman"/>
          <w:b/>
          <w:kern w:val="0"/>
          <w:sz w:val="24"/>
          <w:szCs w:val="24"/>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right"/>
        <w:rPr>
          <w:rFonts w:ascii="仿宋_GB2312" w:hAnsi="仿宋" w:eastAsia="仿宋_GB2312" w:cs="仿宋_GB2312"/>
          <w:sz w:val="24"/>
          <w:szCs w:val="24"/>
        </w:rPr>
      </w:pPr>
      <w:r>
        <w:rPr>
          <w:rFonts w:hint="eastAsia" w:ascii="仿宋_GB2312" w:hAnsi="仿宋" w:eastAsia="仿宋_GB2312" w:cs="仿宋_GB2312"/>
          <w:sz w:val="24"/>
          <w:szCs w:val="24"/>
          <w:lang w:eastAsia="zh-CN"/>
        </w:rPr>
        <w:t>投标</w:t>
      </w:r>
      <w:r>
        <w:rPr>
          <w:rFonts w:hint="eastAsia" w:ascii="仿宋_GB2312" w:hAnsi="仿宋" w:eastAsia="仿宋_GB2312" w:cs="仿宋_GB2312"/>
          <w:sz w:val="24"/>
          <w:szCs w:val="24"/>
        </w:rPr>
        <w:t>人名称（电子签名）：</w:t>
      </w:r>
    </w:p>
    <w:p>
      <w:pPr>
        <w:adjustRightInd w:val="0"/>
        <w:spacing w:line="360" w:lineRule="auto"/>
        <w:ind w:right="480"/>
        <w:jc w:val="center"/>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日期：  年   月   日</w:t>
      </w:r>
    </w:p>
    <w:bookmarkEnd w:id="565"/>
    <w:p>
      <w:pPr>
        <w:adjustRightInd w:val="0"/>
        <w:spacing w:line="360" w:lineRule="auto"/>
        <w:jc w:val="right"/>
        <w:outlineLvl w:val="0"/>
        <w:rPr>
          <w:rFonts w:ascii="仿宋_GB2312" w:hAnsi="仿宋" w:eastAsia="仿宋_GB2312" w:cs="仿宋_GB2312"/>
          <w:sz w:val="36"/>
          <w:szCs w:val="36"/>
          <w:lang w:val="zh-CN"/>
        </w:rPr>
        <w:sectPr>
          <w:pgSz w:w="11906" w:h="16838"/>
          <w:pgMar w:top="1276" w:right="1418" w:bottom="1247"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Times New Roman"/>
          <w:szCs w:val="24"/>
        </w:rPr>
      </w:pPr>
      <w:r>
        <w:rPr>
          <w:rFonts w:hint="eastAsia" w:ascii="仿宋_GB2312" w:hAnsi="仿宋" w:eastAsia="仿宋_GB2312" w:cs="仿宋_GB2312"/>
          <w:b/>
          <w:sz w:val="32"/>
          <w:szCs w:val="32"/>
        </w:rPr>
        <w:t>三、中小企业声明函</w:t>
      </w:r>
    </w:p>
    <w:p>
      <w:pPr>
        <w:adjustRightInd w:val="0"/>
        <w:spacing w:line="360" w:lineRule="auto"/>
        <w:ind w:firstLine="360" w:firstLineChars="150"/>
        <w:jc w:val="left"/>
        <w:rPr>
          <w:rFonts w:ascii="仿宋_GB2312" w:hAnsi="宋体" w:eastAsia="仿宋_GB2312" w:cs="Times New Roman"/>
          <w:sz w:val="24"/>
          <w:szCs w:val="24"/>
        </w:rPr>
      </w:pPr>
      <w:r>
        <w:rPr>
          <w:rFonts w:hint="eastAsia" w:ascii="仿宋_GB2312" w:hAnsi="宋体" w:eastAsia="仿宋_GB2312" w:cs="Times New Roman"/>
          <w:sz w:val="24"/>
          <w:szCs w:val="24"/>
        </w:rPr>
        <w:t>本公司（联合体）郑重声明，根据《政府采购促进中小企业发展管理办法》（财库﹝</w:t>
      </w:r>
      <w:r>
        <w:rPr>
          <w:rFonts w:ascii="仿宋_GB2312" w:hAnsi="宋体" w:eastAsia="仿宋_GB2312" w:cs="Times New Roman"/>
          <w:sz w:val="24"/>
          <w:szCs w:val="24"/>
        </w:rPr>
        <w:t xml:space="preserve">2020﹞46 </w:t>
      </w:r>
      <w:r>
        <w:rPr>
          <w:rFonts w:hint="eastAsia" w:ascii="仿宋_GB2312" w:hAnsi="宋体" w:eastAsia="仿宋_GB2312" w:cs="Times New Roman"/>
          <w:sz w:val="24"/>
          <w:szCs w:val="24"/>
        </w:rPr>
        <w:t>号）的规定，本公司（联合体）参加</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（单位名称）</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的</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（项目名称）</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ascii="仿宋_GB2312" w:hAnsi="宋体" w:eastAsia="仿宋_GB2312" w:cs="Times New Roman"/>
          <w:sz w:val="24"/>
          <w:szCs w:val="24"/>
        </w:rPr>
      </w:pPr>
      <w:r>
        <w:rPr>
          <w:rFonts w:ascii="仿宋_GB2312" w:hAnsi="宋体" w:eastAsia="仿宋_GB2312" w:cs="Times New Roman"/>
          <w:sz w:val="24"/>
          <w:szCs w:val="24"/>
        </w:rPr>
        <w:t>1.</w:t>
      </w:r>
      <w:r>
        <w:rPr>
          <w:rFonts w:hint="eastAsia" w:ascii="仿宋_GB2312" w:hAnsi="宋体" w:eastAsia="仿宋_GB2312" w:cs="Times New Roman"/>
          <w:sz w:val="24"/>
          <w:szCs w:val="24"/>
          <w:u w:val="single"/>
        </w:rPr>
        <w:t>（</w:t>
      </w:r>
      <w:r>
        <w:rPr>
          <w:rFonts w:hint="eastAsia" w:ascii="仿宋_GB2312" w:hAnsi="仿宋" w:eastAsia="仿宋_GB2312" w:cs="Times New Roman"/>
          <w:b/>
          <w:bCs/>
          <w:color w:val="auto"/>
          <w:sz w:val="24"/>
          <w:szCs w:val="24"/>
          <w:u w:val="single"/>
        </w:rPr>
        <w:t>**通</w:t>
      </w:r>
      <w:r>
        <w:rPr>
          <w:rFonts w:hint="eastAsia" w:ascii="仿宋_GB2312" w:hAnsi="仿宋" w:eastAsia="仿宋_GB2312" w:cs="Times New Roman"/>
          <w:b/>
          <w:bCs/>
          <w:color w:val="auto"/>
          <w:sz w:val="24"/>
          <w:szCs w:val="24"/>
          <w:highlight w:val="none"/>
          <w:u w:val="single"/>
        </w:rPr>
        <w:t>租赁</w:t>
      </w:r>
      <w:r>
        <w:rPr>
          <w:rFonts w:hint="eastAsia" w:ascii="仿宋_GB2312" w:hAnsi="宋体" w:eastAsia="仿宋_GB2312" w:cs="Times New Roman"/>
          <w:sz w:val="24"/>
          <w:szCs w:val="24"/>
          <w:u w:val="single"/>
        </w:rPr>
        <w:t>）</w:t>
      </w:r>
      <w:r>
        <w:rPr>
          <w:rFonts w:ascii="仿宋_GB2312" w:hAnsi="宋体" w:eastAsia="仿宋_GB2312" w:cs="Times New Roman"/>
          <w:sz w:val="24"/>
          <w:szCs w:val="24"/>
        </w:rPr>
        <w:t xml:space="preserve"> ，属于 </w:t>
      </w:r>
      <w:r>
        <w:rPr>
          <w:rFonts w:hint="eastAsia" w:ascii="仿宋_GB2312" w:hAnsi="宋体" w:eastAsia="仿宋_GB2312" w:cs="Times New Roman"/>
          <w:sz w:val="24"/>
          <w:szCs w:val="24"/>
          <w:u w:val="single"/>
        </w:rPr>
        <w:t>（</w:t>
      </w:r>
      <w:r>
        <w:rPr>
          <w:rFonts w:hint="eastAsia" w:ascii="仿宋_GB2312" w:hAnsi="仿宋" w:eastAsia="仿宋_GB2312" w:cs="Times New Roman"/>
          <w:b/>
          <w:bCs/>
          <w:color w:val="auto"/>
          <w:sz w:val="24"/>
          <w:szCs w:val="24"/>
          <w:highlight w:val="none"/>
          <w:u w:val="single"/>
          <w:lang w:val="en-US" w:eastAsia="zh-CN"/>
        </w:rPr>
        <w:t>租赁和商务</w:t>
      </w:r>
      <w:r>
        <w:rPr>
          <w:rFonts w:hint="eastAsia" w:ascii="仿宋_GB2312" w:hAnsi="仿宋" w:eastAsia="仿宋_GB2312" w:cs="Times New Roman"/>
          <w:b/>
          <w:bCs/>
          <w:color w:val="auto"/>
          <w:sz w:val="24"/>
          <w:szCs w:val="24"/>
          <w:u w:val="single"/>
          <w:lang w:val="en-US" w:eastAsia="zh-CN"/>
        </w:rPr>
        <w:t>服务业</w:t>
      </w:r>
      <w:r>
        <w:rPr>
          <w:rFonts w:hint="eastAsia" w:ascii="仿宋_GB2312" w:hAnsi="宋体" w:eastAsia="仿宋_GB2312" w:cs="Times New Roman"/>
          <w:sz w:val="24"/>
          <w:szCs w:val="24"/>
          <w:u w:val="single"/>
        </w:rPr>
        <w:t>）</w:t>
      </w:r>
      <w:r>
        <w:rPr>
          <w:rFonts w:ascii="仿宋_GB2312" w:hAnsi="宋体" w:eastAsia="仿宋_GB2312" w:cs="Times New Roman"/>
          <w:sz w:val="24"/>
          <w:szCs w:val="24"/>
        </w:rPr>
        <w:t xml:space="preserve"> ；承建（承接）企业为 </w:t>
      </w:r>
      <w:r>
        <w:rPr>
          <w:rFonts w:hint="eastAsia" w:ascii="仿宋_GB2312" w:hAnsi="宋体" w:eastAsia="仿宋_GB2312" w:cs="Times New Roman"/>
          <w:sz w:val="24"/>
          <w:szCs w:val="24"/>
          <w:u w:val="single"/>
        </w:rPr>
        <w:t>（企业名称）</w:t>
      </w:r>
      <w:r>
        <w:rPr>
          <w:rFonts w:ascii="仿宋_GB2312" w:hAnsi="宋体" w:eastAsia="仿宋_GB2312" w:cs="Times New Roman"/>
          <w:sz w:val="24"/>
          <w:szCs w:val="24"/>
        </w:rPr>
        <w:t xml:space="preserve"> ，从业人员</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人，营业收入为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万元，资产总额为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万元属于</w:t>
      </w:r>
      <w:r>
        <w:rPr>
          <w:rFonts w:ascii="仿宋_GB2312" w:hAnsi="宋体" w:eastAsia="仿宋_GB2312" w:cs="Times New Roman"/>
          <w:sz w:val="24"/>
          <w:szCs w:val="24"/>
          <w:u w:val="single"/>
        </w:rPr>
        <w:t xml:space="preserve"> （中型企业、小型企业、微型企业） </w:t>
      </w:r>
      <w:r>
        <w:rPr>
          <w:rFonts w:hint="eastAsia" w:ascii="仿宋_GB2312" w:hAnsi="宋体" w:eastAsia="仿宋_GB2312" w:cs="Times New Roman"/>
          <w:sz w:val="24"/>
          <w:szCs w:val="24"/>
        </w:rPr>
        <w:t>；</w:t>
      </w:r>
    </w:p>
    <w:p>
      <w:pPr>
        <w:adjustRightInd w:val="0"/>
        <w:spacing w:line="360" w:lineRule="auto"/>
        <w:ind w:firstLine="480" w:firstLineChars="200"/>
        <w:jc w:val="left"/>
        <w:rPr>
          <w:rFonts w:ascii="仿宋_GB2312" w:hAnsi="宋体" w:eastAsia="仿宋_GB2312" w:cs="Times New Roman"/>
          <w:sz w:val="24"/>
          <w:szCs w:val="24"/>
        </w:rPr>
      </w:pPr>
      <w:r>
        <w:rPr>
          <w:rFonts w:ascii="仿宋_GB2312" w:hAnsi="宋体" w:eastAsia="仿宋_GB2312" w:cs="Times New Roman"/>
          <w:sz w:val="24"/>
          <w:szCs w:val="24"/>
        </w:rPr>
        <w:t>2.</w:t>
      </w:r>
      <w:r>
        <w:rPr>
          <w:rFonts w:hint="eastAsia" w:ascii="仿宋_GB2312" w:hAnsi="宋体" w:eastAsia="仿宋_GB2312" w:cs="Times New Roman"/>
          <w:sz w:val="24"/>
          <w:szCs w:val="24"/>
          <w:u w:val="single"/>
        </w:rPr>
        <w:t>（标的名称）</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，属于</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（采购文件中明确的所属行业）</w:t>
      </w:r>
      <w:r>
        <w:rPr>
          <w:rFonts w:ascii="仿宋_GB2312" w:hAnsi="宋体" w:eastAsia="仿宋_GB2312" w:cs="Times New Roman"/>
          <w:sz w:val="24"/>
          <w:szCs w:val="24"/>
        </w:rPr>
        <w:t xml:space="preserve"> ；承建（承接）企业为 </w:t>
      </w:r>
      <w:r>
        <w:rPr>
          <w:rFonts w:hint="eastAsia" w:ascii="仿宋_GB2312" w:hAnsi="宋体" w:eastAsia="仿宋_GB2312" w:cs="Times New Roman"/>
          <w:sz w:val="24"/>
          <w:szCs w:val="24"/>
          <w:u w:val="single"/>
        </w:rPr>
        <w:t>（企业名称）</w:t>
      </w:r>
      <w:r>
        <w:rPr>
          <w:rFonts w:ascii="仿宋_GB2312" w:hAnsi="宋体" w:eastAsia="仿宋_GB2312" w:cs="Times New Roman"/>
          <w:sz w:val="24"/>
          <w:szCs w:val="24"/>
        </w:rPr>
        <w:t xml:space="preserve"> ，从业人员</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人，营业收入为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万元，资产总额为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万元，属于</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（中型企业、小型企业、微型企业）</w:t>
      </w:r>
      <w:r>
        <w:rPr>
          <w:rFonts w:ascii="仿宋_GB2312" w:hAnsi="宋体" w:eastAsia="仿宋_GB2312" w:cs="Times New Roman"/>
          <w:sz w:val="24"/>
          <w:szCs w:val="24"/>
        </w:rPr>
        <w:t xml:space="preserve"> ；</w:t>
      </w:r>
    </w:p>
    <w:p>
      <w:pPr>
        <w:adjustRightIn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w:t>
      </w:r>
    </w:p>
    <w:p>
      <w:pPr>
        <w:adjustRightIn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本企业对上述声明内容的真实性负责。如有虚假，将依法承担相应责任。</w:t>
      </w:r>
    </w:p>
    <w:p>
      <w:pPr>
        <w:adjustRightInd w:val="0"/>
        <w:spacing w:line="360" w:lineRule="auto"/>
        <w:ind w:right="1040"/>
        <w:jc w:val="right"/>
        <w:rPr>
          <w:rFonts w:ascii="仿宋_GB2312" w:hAnsi="宋体" w:eastAsia="仿宋_GB2312" w:cs="Times New Roman"/>
          <w:sz w:val="24"/>
          <w:szCs w:val="24"/>
        </w:rPr>
      </w:pPr>
      <w:r>
        <w:rPr>
          <w:rFonts w:hint="eastAsia" w:ascii="仿宋_GB2312" w:hAnsi="仿宋" w:eastAsia="仿宋_GB2312" w:cs="仿宋_GB2312"/>
          <w:sz w:val="24"/>
          <w:szCs w:val="24"/>
        </w:rPr>
        <w:t>投标人</w:t>
      </w:r>
      <w:r>
        <w:rPr>
          <w:rFonts w:hint="eastAsia" w:ascii="仿宋_GB2312" w:hAnsi="宋体" w:eastAsia="仿宋_GB2312" w:cs="Times New Roman"/>
          <w:sz w:val="24"/>
          <w:szCs w:val="24"/>
        </w:rPr>
        <w:t>名称（盖章</w:t>
      </w:r>
      <w:r>
        <w:rPr>
          <w:rFonts w:ascii="仿宋_GB2312" w:hAnsi="宋体" w:eastAsia="仿宋_GB2312" w:cs="Times New Roman"/>
          <w:sz w:val="24"/>
          <w:szCs w:val="24"/>
        </w:rPr>
        <w:t>/</w:t>
      </w:r>
      <w:r>
        <w:rPr>
          <w:rFonts w:hint="eastAsia" w:ascii="仿宋_GB2312" w:hAnsi="仿宋" w:eastAsia="仿宋_GB2312" w:cs="仿宋_GB2312"/>
          <w:sz w:val="24"/>
          <w:szCs w:val="24"/>
        </w:rPr>
        <w:t>电子签名</w:t>
      </w:r>
      <w:r>
        <w:rPr>
          <w:rFonts w:hint="eastAsia" w:ascii="仿宋_GB2312" w:hAnsi="宋体" w:eastAsia="仿宋_GB2312" w:cs="Times New Roman"/>
          <w:sz w:val="24"/>
          <w:szCs w:val="24"/>
        </w:rPr>
        <w:t>）：</w:t>
      </w:r>
    </w:p>
    <w:p>
      <w:pPr>
        <w:adjustRightInd w:val="0"/>
        <w:spacing w:line="360" w:lineRule="auto"/>
        <w:ind w:right="1120" w:firstLine="4680" w:firstLineChars="1950"/>
        <w:rPr>
          <w:rFonts w:ascii="仿宋_GB2312" w:hAnsi="宋体" w:eastAsia="仿宋_GB2312" w:cs="Times New Roman"/>
          <w:sz w:val="24"/>
          <w:szCs w:val="24"/>
        </w:rPr>
      </w:pPr>
      <w:r>
        <w:rPr>
          <w:rFonts w:hint="eastAsia" w:ascii="仿宋_GB2312" w:hAnsi="宋体" w:eastAsia="仿宋_GB2312" w:cs="Times New Roman"/>
          <w:sz w:val="24"/>
          <w:szCs w:val="24"/>
        </w:rPr>
        <w:t>日</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期：</w:t>
      </w:r>
    </w:p>
    <w:p>
      <w:pPr>
        <w:adjustRightInd w:val="0"/>
        <w:spacing w:line="360" w:lineRule="auto"/>
        <w:ind w:firstLine="310" w:firstLineChars="147"/>
        <w:jc w:val="left"/>
        <w:rPr>
          <w:rFonts w:ascii="仿宋_GB2312" w:hAnsi="仿宋" w:eastAsia="仿宋_GB2312" w:cs="仿宋_GB2312"/>
          <w:sz w:val="24"/>
          <w:szCs w:val="24"/>
        </w:rPr>
      </w:pPr>
      <w:r>
        <w:rPr>
          <w:rFonts w:hint="eastAsia" w:ascii="仿宋_GB2312" w:hAnsi="宋体" w:eastAsia="仿宋_GB2312" w:cs="Times New Roman"/>
          <w:b/>
          <w:szCs w:val="21"/>
        </w:rPr>
        <w:t>从业人员、营业收入、资产总额填报上一年度数据，无上一年度数据的新成立企业可不填报。</w:t>
      </w:r>
    </w:p>
    <w:p>
      <w:pPr>
        <w:adjustRightInd w:val="0"/>
        <w:spacing w:line="360" w:lineRule="auto"/>
        <w:ind w:right="420"/>
        <w:rPr>
          <w:rFonts w:hint="eastAsia" w:ascii="仿宋_GB2312" w:hAnsi="仿宋" w:eastAsia="仿宋_GB2312" w:cs="仿宋_GB2312"/>
          <w:sz w:val="22"/>
          <w:szCs w:val="22"/>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2"/>
          <w:szCs w:val="22"/>
        </w:rPr>
        <w:t xml:space="preserve"> 注：</w:t>
      </w:r>
      <w:r>
        <w:rPr>
          <w:rFonts w:hint="eastAsia" w:ascii="仿宋_GB2312" w:hAnsi="仿宋" w:eastAsia="仿宋_GB2312" w:cs="Times New Roman"/>
          <w:b/>
          <w:sz w:val="22"/>
          <w:szCs w:val="22"/>
        </w:rPr>
        <w:t>投标人提供的中小企业声明函与实际情况不符的，投标价格不可享受价格扣除。</w:t>
      </w:r>
      <w:r>
        <w:rPr>
          <w:rFonts w:hint="eastAsia" w:ascii="仿宋_GB2312" w:hAnsi="仿宋" w:eastAsia="仿宋_GB2312" w:cs="仿宋_GB2312"/>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）资信文件复印件（如果要求提供）…………………………</w:t>
      </w:r>
      <w:r>
        <w:rPr>
          <w:rFonts w:hint="eastAsia" w:ascii="仿宋_GB2312" w:hAnsi="仿宋_GB2312" w:eastAsia="仿宋_GB2312" w:cs="仿宋_GB2312"/>
          <w:lang w:val="zh-CN"/>
        </w:rPr>
        <w:t>…</w:t>
      </w:r>
      <w:r>
        <w:rPr>
          <w:rFonts w:hint="eastAsia" w:ascii="仿宋_GB2312" w:hAnsi="仿宋_GB2312" w:eastAsia="仿宋_GB2312" w:cs="仿宋_GB2312"/>
        </w:rPr>
        <w:t>…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zh-CN"/>
        </w:rPr>
        <w:t>主要业绩证明… ……………………………………………………</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bookmarkStart w:id="566" w:name="OLE_LINK6"/>
      <w:bookmarkStart w:id="567" w:name="OLE_LINK7"/>
      <w:bookmarkStart w:id="568" w:name="OLE_LINK5"/>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）其他商务文件或说明</w:t>
      </w:r>
      <w:r>
        <w:rPr>
          <w:rFonts w:hint="eastAsia" w:ascii="仿宋_GB2312" w:hAnsi="仿宋_GB2312" w:eastAsia="仿宋_GB2312" w:cs="仿宋_GB2312"/>
          <w:lang w:val="zh-CN"/>
        </w:rPr>
        <w:t xml:space="preserve">……………………………………………… </w:t>
      </w:r>
      <w:r>
        <w:rPr>
          <w:rFonts w:hint="eastAsia" w:ascii="仿宋_GB2312" w:hAnsi="仿宋_GB2312" w:eastAsia="仿宋_GB2312" w:cs="仿宋_GB2312"/>
        </w:rPr>
        <w:t>（页码）</w:t>
      </w:r>
      <w:bookmarkEnd w:id="566"/>
      <w:bookmarkEnd w:id="567"/>
    </w:p>
    <w:bookmarkEnd w:id="568"/>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）技术（服务）方案……………………………………………………（页码）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）技术（服务）偏离说明表……………………………………………（页码）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）组织实施方案…………………………………………………………（页码）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）人员投入计划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）材料、设备、工具等投入计划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9</w:t>
      </w:r>
      <w:r>
        <w:rPr>
          <w:rFonts w:hint="eastAsia" w:ascii="仿宋_GB2312" w:hAnsi="仿宋_GB2312" w:eastAsia="仿宋_GB2312" w:cs="仿宋_GB2312"/>
        </w:rPr>
        <w:t xml:space="preserve">）各项服务承诺 </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r>
        <w:rPr>
          <w:rFonts w:hint="eastAsia" w:ascii="仿宋_GB2312" w:hAnsi="仿宋_GB2312" w:eastAsia="仿宋_GB2312" w:cs="仿宋_GB2312"/>
          <w:lang w:val="zh-CN"/>
        </w:rPr>
        <w:t>认为需要的其他技术文件或说明…………………………………</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r>
        <w:rPr>
          <w:rFonts w:hint="eastAsia" w:ascii="仿宋_GB2312" w:hAnsi="仿宋_GB2312" w:eastAsia="仿宋_GB2312" w:cs="仿宋_GB2312"/>
          <w:lang w:val="zh-CN"/>
        </w:rPr>
        <w:t>关于对招标文件中商务、合同有关条款的拒绝声明…</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tabs>
          <w:tab w:val="left" w:pos="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）廉政承诺书</w:t>
      </w:r>
      <w:r>
        <w:rPr>
          <w:rFonts w:hint="eastAsia" w:ascii="仿宋_GB2312" w:hAnsi="仿宋_GB2312" w:eastAsia="仿宋_GB2312" w:cs="仿宋_GB2312"/>
        </w:rPr>
        <w:t xml:space="preserve"> </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lang w:val="zh-CN"/>
        </w:rPr>
      </w:pPr>
    </w:p>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注：以上目录是基本格式要求，各投标人可根据自身情况进一步细化。</w:t>
      </w: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、资信文件复印件（如果要求提供）</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hint="eastAsia" w:ascii="仿宋" w:hAnsi="仿宋" w:eastAsia="仿宋" w:cs="仿宋"/>
          <w:b/>
          <w:bCs/>
          <w:sz w:val="32"/>
          <w:szCs w:val="32"/>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jc w:val="center"/>
        <w:rPr>
          <w:rFonts w:hint="eastAsia" w:ascii="仿宋" w:hAnsi="仿宋" w:eastAsia="仿宋" w:cs="仿宋"/>
          <w:b/>
          <w:bCs/>
          <w:sz w:val="32"/>
          <w:szCs w:val="32"/>
        </w:rPr>
      </w:pPr>
      <w:r>
        <w:rPr>
          <w:rFonts w:hint="eastAsia" w:ascii="仿宋" w:hAnsi="仿宋" w:eastAsia="仿宋" w:cs="仿宋"/>
          <w:kern w:val="0"/>
          <w:sz w:val="24"/>
          <w:lang w:val="zh-CN"/>
        </w:rPr>
        <w:t xml:space="preserve">                   日期：  年  月</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sz w:val="24"/>
        </w:rPr>
        <w:t>电子签名</w:t>
      </w:r>
      <w:r>
        <w:rPr>
          <w:rFonts w:hint="eastAsia" w:ascii="仿宋" w:hAnsi="仿宋" w:eastAsia="仿宋" w:cs="仿宋"/>
          <w:kern w:val="0"/>
          <w:sz w:val="24"/>
        </w:rPr>
        <w:t xml:space="preserve">）：                       </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日期：  年  月   日</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bookmarkStart w:id="569" w:name="OLE_LINK16"/>
      <w:bookmarkStart w:id="570" w:name="OLE_LINK17"/>
      <w:r>
        <w:rPr>
          <w:rFonts w:hint="eastAsia" w:ascii="仿宋" w:hAnsi="仿宋" w:eastAsia="仿宋" w:cs="仿宋"/>
          <w:b/>
          <w:bCs/>
          <w:sz w:val="32"/>
          <w:szCs w:val="32"/>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w:t>
      </w:r>
      <w:bookmarkStart w:id="571" w:name="OLE_LINK10"/>
      <w:bookmarkStart w:id="572" w:name="OLE_LINK11"/>
      <w:r>
        <w:rPr>
          <w:rFonts w:hint="eastAsia" w:ascii="仿宋" w:hAnsi="仿宋" w:eastAsia="仿宋" w:cs="仿宋"/>
          <w:sz w:val="24"/>
        </w:rPr>
        <w:t>其他商务文件或说明由投标人根据采购需求自行编制</w:t>
      </w:r>
      <w:bookmarkEnd w:id="571"/>
      <w:bookmarkEnd w:id="572"/>
      <w:r>
        <w:rPr>
          <w:rFonts w:hint="eastAsia" w:ascii="仿宋" w:hAnsi="仿宋" w:eastAsia="仿宋" w:cs="仿宋"/>
          <w:sz w:val="24"/>
        </w:rPr>
        <w:t>）</w:t>
      </w:r>
    </w:p>
    <w:bookmarkEnd w:id="569"/>
    <w:bookmarkEnd w:id="570"/>
    <w:p>
      <w:pPr>
        <w:spacing w:line="360" w:lineRule="auto"/>
        <w:jc w:val="center"/>
        <w:rPr>
          <w:rFonts w:hint="eastAsia" w:ascii="仿宋" w:hAnsi="仿宋" w:eastAsia="仿宋" w:cs="仿宋"/>
          <w:sz w:val="24"/>
        </w:rPr>
      </w:pPr>
    </w:p>
    <w:p>
      <w:pPr>
        <w:autoSpaceDE w:val="0"/>
        <w:autoSpaceDN w:val="0"/>
        <w:spacing w:line="360" w:lineRule="auto"/>
        <w:ind w:firstLine="4800" w:firstLineChars="2000"/>
        <w:rPr>
          <w:rFonts w:hint="eastAsia"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hint="eastAsia" w:ascii="仿宋" w:hAnsi="仿宋" w:eastAsia="仿宋" w:cs="仿宋"/>
          <w:kern w:val="0"/>
          <w:sz w:val="24"/>
          <w:lang w:val="zh-CN"/>
        </w:rPr>
      </w:pPr>
    </w:p>
    <w:p>
      <w:pPr>
        <w:autoSpaceDE w:val="0"/>
        <w:autoSpaceDN w:val="0"/>
        <w:spacing w:line="360" w:lineRule="auto"/>
        <w:rPr>
          <w:rFonts w:hint="eastAsia" w:ascii="仿宋" w:hAnsi="仿宋" w:eastAsia="仿宋" w:cs="仿宋"/>
          <w:kern w:val="0"/>
          <w:sz w:val="24"/>
          <w:lang w:val="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bCs/>
          <w:sz w:val="32"/>
          <w:szCs w:val="32"/>
        </w:rPr>
      </w:pPr>
      <w:r>
        <w:rPr>
          <w:rFonts w:hint="eastAsia" w:ascii="仿宋" w:hAnsi="仿宋" w:eastAsia="仿宋" w:cs="仿宋"/>
          <w:b/>
          <w:sz w:val="32"/>
          <w:szCs w:val="32"/>
          <w:lang w:eastAsia="zh-CN"/>
        </w:rPr>
        <w:t>四</w:t>
      </w:r>
      <w:r>
        <w:rPr>
          <w:rFonts w:hint="eastAsia" w:ascii="仿宋" w:hAnsi="仿宋" w:eastAsia="仿宋" w:cs="仿宋"/>
          <w:b/>
          <w:bCs/>
          <w:sz w:val="32"/>
          <w:szCs w:val="32"/>
        </w:rPr>
        <w:t>、技术和服务方案</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pStyle w:val="78"/>
        <w:rPr>
          <w:rFonts w:hint="eastAsia" w:ascii="仿宋" w:hAnsi="仿宋" w:eastAsia="仿宋" w:cs="仿宋"/>
          <w:sz w:val="24"/>
        </w:rPr>
      </w:pPr>
    </w:p>
    <w:p>
      <w:pPr>
        <w:autoSpaceDE w:val="0"/>
        <w:autoSpaceDN w:val="0"/>
        <w:spacing w:line="360" w:lineRule="auto"/>
        <w:ind w:firstLine="4800" w:firstLineChars="2000"/>
        <w:rPr>
          <w:rFonts w:hint="eastAsia"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78"/>
        <w:rPr>
          <w:rFonts w:hint="eastAsia" w:ascii="仿宋" w:hAnsi="仿宋" w:eastAsia="仿宋" w:cs="仿宋"/>
          <w:sz w:val="24"/>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r>
        <w:rPr>
          <w:rFonts w:hint="eastAsia" w:ascii="仿宋" w:hAnsi="仿宋" w:eastAsia="仿宋" w:cs="仿宋"/>
          <w:b/>
          <w:bCs/>
          <w:kern w:val="0"/>
          <w:sz w:val="24"/>
          <w:lang w:val="zh-CN"/>
        </w:rPr>
        <w:t xml:space="preserve">                        </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、技术和服务偏离说明表</w:t>
      </w:r>
    </w:p>
    <w:p>
      <w:pPr>
        <w:spacing w:line="360" w:lineRule="auto"/>
        <w:jc w:val="center"/>
        <w:rPr>
          <w:rFonts w:hint="eastAsia" w:ascii="仿宋" w:hAnsi="仿宋" w:eastAsia="仿宋" w:cs="仿宋"/>
          <w:b/>
          <w:bCs/>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r>
    </w:tbl>
    <w:p>
      <w:pPr>
        <w:autoSpaceDE w:val="0"/>
        <w:autoSpaceDN w:val="0"/>
        <w:spacing w:line="360" w:lineRule="auto"/>
        <w:ind w:firstLine="5040" w:firstLineChars="2100"/>
        <w:rPr>
          <w:rFonts w:hint="eastAsia" w:ascii="仿宋" w:hAnsi="仿宋" w:eastAsia="仿宋" w:cs="仿宋"/>
          <w:kern w:val="0"/>
          <w:sz w:val="24"/>
          <w:lang w:val="zh-CN"/>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六、组织实施方案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kern w:val="0"/>
          <w:sz w:val="24"/>
          <w:lang w:val="zh-CN"/>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rPr>
        <w:t>投标人名称（电子签名）：</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hint="eastAsia" w:ascii="仿宋" w:hAnsi="仿宋" w:eastAsia="仿宋" w:cs="仿宋"/>
          <w:b/>
          <w:bCs/>
          <w:sz w:val="32"/>
          <w:szCs w:val="32"/>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adjustRightInd w:val="0"/>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_GB2312" w:hAnsi="仿宋" w:eastAsia="仿宋_GB2312" w:cs="仿宋_GB2312"/>
          <w:b/>
          <w:bCs/>
          <w:sz w:val="32"/>
          <w:szCs w:val="32"/>
        </w:rPr>
        <w:t>人员投入计划</w:t>
      </w:r>
    </w:p>
    <w:p>
      <w:pPr>
        <w:autoSpaceDE w:val="0"/>
        <w:autoSpaceDN w:val="0"/>
        <w:adjustRightInd w:val="0"/>
        <w:spacing w:line="360" w:lineRule="auto"/>
        <w:jc w:val="center"/>
        <w:rPr>
          <w:rFonts w:ascii="仿宋_GB2312" w:hAnsi="仿宋" w:eastAsia="仿宋_GB2312" w:cs="仿宋_GB2312"/>
          <w:kern w:val="0"/>
          <w:sz w:val="24"/>
          <w:szCs w:val="24"/>
        </w:rPr>
      </w:pPr>
      <w:r>
        <w:rPr>
          <w:rFonts w:hint="eastAsia" w:ascii="仿宋_GB2312" w:hAnsi="仿宋" w:eastAsia="仿宋_GB2312" w:cs="仿宋_GB2312"/>
          <w:sz w:val="24"/>
          <w:szCs w:val="24"/>
        </w:rPr>
        <w:t>（由投标人根据采购需求及招标文件要求编制）</w:t>
      </w:r>
    </w:p>
    <w:p>
      <w:pPr>
        <w:autoSpaceDE w:val="0"/>
        <w:autoSpaceDN w:val="0"/>
        <w:adjustRightInd w:val="0"/>
        <w:spacing w:line="360" w:lineRule="auto"/>
        <w:ind w:firstLine="4440" w:firstLineChars="1850"/>
        <w:rPr>
          <w:rFonts w:ascii="仿宋_GB2312" w:hAnsi="仿宋" w:eastAsia="仿宋_GB2312" w:cs="仿宋_GB2312"/>
          <w:kern w:val="0"/>
          <w:sz w:val="24"/>
          <w:szCs w:val="24"/>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投标人名称（电子签名）：</w:t>
      </w:r>
    </w:p>
    <w:p>
      <w:pPr>
        <w:autoSpaceDE w:val="0"/>
        <w:autoSpaceDN w:val="0"/>
        <w:adjustRightInd w:val="0"/>
        <w:spacing w:line="360" w:lineRule="auto"/>
        <w:rPr>
          <w:rFonts w:ascii="仿宋_GB2312" w:hAnsi="仿宋" w:eastAsia="仿宋_GB2312" w:cs="仿宋_GB2312"/>
          <w:b/>
          <w:bCs/>
          <w:sz w:val="24"/>
          <w:szCs w:val="24"/>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lang w:eastAsia="zh-CN"/>
        </w:rPr>
      </w:pPr>
    </w:p>
    <w:p>
      <w:pPr>
        <w:adjustRightInd w:val="0"/>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_GB2312" w:hAnsi="仿宋" w:eastAsia="仿宋_GB2312" w:cs="仿宋_GB2312"/>
          <w:b/>
          <w:bCs/>
          <w:sz w:val="32"/>
          <w:szCs w:val="32"/>
        </w:rPr>
        <w:t>材料、设备、工具等投入计划</w:t>
      </w:r>
    </w:p>
    <w:p>
      <w:pPr>
        <w:adjustRightInd w:val="0"/>
        <w:spacing w:line="360" w:lineRule="auto"/>
        <w:jc w:val="center"/>
        <w:rPr>
          <w:rFonts w:ascii="仿宋_GB2312" w:hAnsi="仿宋" w:eastAsia="仿宋_GB2312" w:cs="仿宋_GB2312"/>
          <w:b/>
          <w:bCs/>
          <w:sz w:val="24"/>
          <w:szCs w:val="24"/>
        </w:rPr>
      </w:pPr>
      <w:r>
        <w:rPr>
          <w:rFonts w:hint="eastAsia" w:ascii="仿宋_GB2312" w:hAnsi="仿宋" w:eastAsia="仿宋_GB2312" w:cs="仿宋_GB2312"/>
          <w:sz w:val="24"/>
          <w:szCs w:val="24"/>
        </w:rPr>
        <w:t>（由投标人根据采购需求及招标文件要求编制）</w:t>
      </w:r>
    </w:p>
    <w:p>
      <w:pPr>
        <w:autoSpaceDE w:val="0"/>
        <w:autoSpaceDN w:val="0"/>
        <w:adjustRightInd w:val="0"/>
        <w:spacing w:line="360" w:lineRule="auto"/>
        <w:ind w:firstLine="4440" w:firstLineChars="185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投标人名称（电子签名）：</w:t>
      </w:r>
    </w:p>
    <w:p>
      <w:pPr>
        <w:autoSpaceDE w:val="0"/>
        <w:autoSpaceDN w:val="0"/>
        <w:adjustRightInd w:val="0"/>
        <w:spacing w:line="360" w:lineRule="auto"/>
        <w:rPr>
          <w:rFonts w:ascii="仿宋_GB2312" w:hAnsi="仿宋" w:eastAsia="仿宋_GB2312" w:cs="仿宋_GB2312"/>
          <w:kern w:val="0"/>
          <w:sz w:val="24"/>
          <w:szCs w:val="24"/>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autoSpaceDE w:val="0"/>
        <w:autoSpaceDN w:val="0"/>
        <w:spacing w:line="360" w:lineRule="auto"/>
        <w:rPr>
          <w:rFonts w:hint="eastAsia" w:ascii="仿宋" w:hAnsi="仿宋" w:eastAsia="仿宋" w:cs="仿宋"/>
          <w:b/>
          <w:sz w:val="36"/>
          <w:szCs w:val="36"/>
        </w:rPr>
      </w:pPr>
    </w:p>
    <w:p>
      <w:pPr>
        <w:spacing w:line="360" w:lineRule="auto"/>
        <w:jc w:val="both"/>
        <w:rPr>
          <w:rFonts w:hint="eastAsia" w:ascii="仿宋" w:hAnsi="仿宋" w:eastAsia="仿宋" w:cs="仿宋"/>
          <w:b/>
          <w:bCs/>
          <w:sz w:val="32"/>
          <w:szCs w:val="32"/>
          <w:lang w:eastAsia="zh-CN"/>
        </w:rPr>
      </w:pPr>
    </w:p>
    <w:p>
      <w:pPr>
        <w:adjustRightInd w:val="0"/>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各项服务承诺</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（由投标人根据采购需求及招标文件要求编制）</w:t>
      </w:r>
    </w:p>
    <w:p>
      <w:pPr>
        <w:adjustRightInd w:val="0"/>
        <w:spacing w:line="360" w:lineRule="auto"/>
        <w:jc w:val="center"/>
        <w:rPr>
          <w:rFonts w:ascii="仿宋_GB2312" w:hAnsi="仿宋" w:eastAsia="仿宋_GB2312" w:cs="仿宋_GB2312"/>
          <w:sz w:val="18"/>
          <w:szCs w:val="18"/>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投标人名称（电子签名）：</w:t>
      </w:r>
    </w:p>
    <w:p>
      <w:pPr>
        <w:autoSpaceDE w:val="0"/>
        <w:autoSpaceDN w:val="0"/>
        <w:adjustRightInd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autoSpaceDE w:val="0"/>
        <w:autoSpaceDN w:val="0"/>
        <w:spacing w:line="360" w:lineRule="auto"/>
        <w:rPr>
          <w:rFonts w:hint="eastAsia" w:ascii="仿宋" w:hAnsi="仿宋" w:eastAsia="仿宋" w:cs="仿宋"/>
          <w:b/>
          <w:bCs/>
          <w:sz w:val="18"/>
          <w:szCs w:val="18"/>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adjustRightInd w:val="0"/>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rPr>
        <w:t>十、</w:t>
      </w:r>
      <w:r>
        <w:rPr>
          <w:rFonts w:hint="eastAsia" w:ascii="仿宋_GB2312" w:hAnsi="仿宋" w:eastAsia="仿宋_GB2312" w:cs="仿宋_GB2312"/>
          <w:b/>
          <w:bCs/>
          <w:sz w:val="32"/>
          <w:szCs w:val="32"/>
        </w:rPr>
        <w:t>认为需要的其他技术文件或说明</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（由投标人根据采购需求自行编制）</w:t>
      </w:r>
    </w:p>
    <w:p>
      <w:pPr>
        <w:adjustRightInd w:val="0"/>
        <w:spacing w:line="360" w:lineRule="auto"/>
        <w:jc w:val="center"/>
        <w:rPr>
          <w:rFonts w:ascii="仿宋_GB2312" w:hAnsi="仿宋" w:eastAsia="仿宋_GB2312" w:cs="仿宋_GB2312"/>
          <w:sz w:val="24"/>
          <w:szCs w:val="24"/>
        </w:rPr>
      </w:pPr>
    </w:p>
    <w:p>
      <w:pPr>
        <w:autoSpaceDE w:val="0"/>
        <w:autoSpaceDN w:val="0"/>
        <w:adjustRightInd w:val="0"/>
        <w:spacing w:line="360" w:lineRule="auto"/>
        <w:ind w:firstLine="4800" w:firstLineChars="2000"/>
        <w:rPr>
          <w:rFonts w:ascii="仿宋_GB2312" w:hAnsi="仿宋" w:eastAsia="仿宋_GB2312" w:cs="仿宋_GB2312"/>
          <w:sz w:val="24"/>
          <w:szCs w:val="24"/>
        </w:rPr>
      </w:pPr>
      <w:r>
        <w:rPr>
          <w:rFonts w:hint="eastAsia" w:ascii="仿宋_GB2312" w:hAnsi="仿宋" w:eastAsia="仿宋_GB2312" w:cs="仿宋_GB2312"/>
          <w:kern w:val="0"/>
          <w:sz w:val="24"/>
          <w:szCs w:val="24"/>
        </w:rPr>
        <w:t xml:space="preserve">投标人名称（电子签名）：                       </w:t>
      </w:r>
    </w:p>
    <w:p>
      <w:pPr>
        <w:autoSpaceDE w:val="0"/>
        <w:autoSpaceDN w:val="0"/>
        <w:adjustRightInd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adjustRightInd w:val="0"/>
        <w:spacing w:line="360" w:lineRule="auto"/>
        <w:jc w:val="center"/>
        <w:rPr>
          <w:rFonts w:ascii="仿宋_GB2312" w:hAnsi="仿宋" w:eastAsia="仿宋_GB2312" w:cs="仿宋_GB2312"/>
          <w:b/>
          <w:bCs/>
          <w:sz w:val="30"/>
          <w:szCs w:val="30"/>
        </w:rPr>
      </w:pPr>
    </w:p>
    <w:p>
      <w:pPr>
        <w:adjustRightInd w:val="0"/>
        <w:spacing w:line="360" w:lineRule="auto"/>
        <w:jc w:val="center"/>
        <w:rPr>
          <w:rFonts w:ascii="仿宋_GB2312" w:hAnsi="仿宋" w:eastAsia="仿宋_GB2312" w:cs="仿宋_GB2312"/>
          <w:b/>
          <w:bCs/>
          <w:sz w:val="30"/>
          <w:szCs w:val="30"/>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adjustRightInd w:val="0"/>
        <w:spacing w:line="360" w:lineRule="auto"/>
        <w:jc w:val="center"/>
        <w:rPr>
          <w:rFonts w:ascii="仿宋_GB2312" w:hAnsi="仿宋" w:eastAsia="仿宋_GB2312" w:cs="仿宋_GB2312"/>
          <w:b/>
          <w:kern w:val="0"/>
          <w:sz w:val="30"/>
          <w:szCs w:val="30"/>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（由投标人根据采购需求自行编制）</w:t>
      </w:r>
    </w:p>
    <w:p>
      <w:pPr>
        <w:adjustRightInd w:val="0"/>
        <w:spacing w:line="360" w:lineRule="auto"/>
        <w:rPr>
          <w:rFonts w:ascii="仿宋_GB2312" w:hAnsi="仿宋" w:eastAsia="仿宋_GB2312" w:cs="仿宋_GB2312"/>
          <w:sz w:val="24"/>
          <w:szCs w:val="24"/>
        </w:rPr>
      </w:pPr>
    </w:p>
    <w:p>
      <w:pPr>
        <w:autoSpaceDE w:val="0"/>
        <w:autoSpaceDN w:val="0"/>
        <w:adjustRightInd w:val="0"/>
        <w:spacing w:line="360" w:lineRule="auto"/>
        <w:ind w:firstLine="5040" w:firstLineChars="21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 xml:space="preserve">投标人名称（电子签名）：      </w:t>
      </w:r>
    </w:p>
    <w:p>
      <w:pPr>
        <w:autoSpaceDE w:val="0"/>
        <w:autoSpaceDN w:val="0"/>
        <w:adjustRightInd w:val="0"/>
        <w:spacing w:line="360" w:lineRule="auto"/>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pStyle w:val="78"/>
        <w:rPr>
          <w:rFonts w:hint="eastAsia" w:ascii="仿宋_GB2312" w:hAnsi="仿宋" w:eastAsia="仿宋_GB2312" w:cs="仿宋_GB2312"/>
          <w:kern w:val="0"/>
          <w:sz w:val="24"/>
          <w:szCs w:val="24"/>
          <w:lang w:val="zh-CN"/>
        </w:rPr>
      </w:pPr>
    </w:p>
    <w:p>
      <w:pPr>
        <w:pStyle w:val="78"/>
        <w:rPr>
          <w:rFonts w:hint="eastAsia" w:ascii="仿宋_GB2312" w:hAnsi="仿宋" w:eastAsia="仿宋_GB2312" w:cs="仿宋_GB2312"/>
          <w:kern w:val="0"/>
          <w:sz w:val="24"/>
          <w:szCs w:val="24"/>
          <w:lang w:val="zh-CN"/>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_GB2312" w:hAnsi="仿宋" w:eastAsia="仿宋_GB2312" w:cs="仿宋_GB2312"/>
          <w:b/>
          <w:bCs/>
          <w:sz w:val="30"/>
          <w:szCs w:val="30"/>
        </w:rPr>
        <w:t>廉政承诺书</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rFonts w:ascii="Times New Roman" w:hAnsi="Times New Roman" w:eastAsia="宋体" w:cs="Times New Roman"/>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78"/>
        <w:rPr>
          <w:rFonts w:hint="eastAsia"/>
        </w:rPr>
      </w:pP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573" w:name="_Toc465665161"/>
      <w:r>
        <w:rPr>
          <w:rFonts w:hint="eastAsia" w:ascii="仿宋" w:hAnsi="仿宋" w:eastAsia="仿宋" w:cs="仿宋"/>
        </w:rPr>
        <w:t>附件</w:t>
      </w:r>
      <w:bookmarkEnd w:id="573"/>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74" w:name="OLE_LINK14"/>
      <w:bookmarkStart w:id="575" w:name="OLE_LINK13"/>
      <w:r>
        <w:rPr>
          <w:rFonts w:hint="eastAsia" w:ascii="仿宋" w:hAnsi="仿宋" w:eastAsia="仿宋" w:cs="仿宋"/>
          <w:b/>
          <w:spacing w:val="6"/>
          <w:sz w:val="32"/>
          <w:szCs w:val="32"/>
        </w:rPr>
        <w:t>残疾人福利性单位声明函</w:t>
      </w:r>
    </w:p>
    <w:bookmarkEnd w:id="574"/>
    <w:bookmarkEnd w:id="575"/>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3"/>
        <w:jc w:val="both"/>
        <w:rPr>
          <w:rFonts w:hint="eastAsia" w:ascii="仿宋" w:hAnsi="仿宋" w:eastAsia="仿宋" w:cs="仿宋"/>
          <w:b/>
          <w:bCs/>
          <w:sz w:val="32"/>
          <w:szCs w:val="32"/>
          <w:lang w:val="en-US" w:eastAsia="zh-CN"/>
        </w:rPr>
      </w:pPr>
    </w:p>
    <w:p>
      <w:pPr>
        <w:pStyle w:val="23"/>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附件2（开标记录开启后，请将此附件填写完整发送至邮箱：649656585@qq.com）：</w:t>
      </w:r>
    </w:p>
    <w:p>
      <w:pPr>
        <w:pStyle w:val="23"/>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3"/>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23"/>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23"/>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pStyle w:val="78"/>
        <w:rPr>
          <w:rFonts w:hint="eastAsia"/>
        </w:rPr>
      </w:pPr>
    </w:p>
    <w:p>
      <w:pPr>
        <w:spacing w:beforeLines="50" w:beforeAutospacing="0" w:afterLines="50" w:afterAutospacing="0" w:line="240" w:lineRule="auto"/>
        <w:jc w:val="both"/>
        <w:rPr>
          <w:rFonts w:hint="eastAsia" w:ascii="仿宋" w:hAnsi="仿宋" w:eastAsia="仿宋" w:cs="仿宋"/>
          <w:b/>
          <w:bCs/>
          <w:snapToGrid w:val="0"/>
          <w:kern w:val="2"/>
          <w:sz w:val="32"/>
          <w:szCs w:val="32"/>
          <w:lang w:val="en-US" w:eastAsia="zh-CN" w:bidi="ar-SA"/>
        </w:rPr>
      </w:pPr>
      <w:r>
        <w:rPr>
          <w:rFonts w:hint="eastAsia" w:ascii="仿宋" w:hAnsi="仿宋" w:eastAsia="仿宋" w:cs="仿宋"/>
          <w:b/>
          <w:bCs/>
          <w:snapToGrid w:val="0"/>
          <w:kern w:val="2"/>
          <w:sz w:val="32"/>
          <w:szCs w:val="32"/>
          <w:lang w:val="en-US" w:eastAsia="zh-CN" w:bidi="ar-SA"/>
        </w:rPr>
        <w:t>附件3：成本测算表</w:t>
      </w:r>
    </w:p>
    <w:p>
      <w:pPr>
        <w:spacing w:beforeLines="50" w:beforeAutospacing="0" w:afterLines="50" w:afterAutospacing="0" w:line="24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1.</w:t>
      </w:r>
      <w:r>
        <w:rPr>
          <w:rFonts w:hint="eastAsia" w:ascii="仿宋_GB2312" w:hAnsi="仿宋_GB2312" w:eastAsia="仿宋_GB2312" w:cs="仿宋_GB2312"/>
          <w:b/>
          <w:sz w:val="36"/>
          <w:szCs w:val="36"/>
        </w:rPr>
        <w:t>服务内容成本测算表</w:t>
      </w:r>
    </w:p>
    <w:p>
      <w:pPr>
        <w:pStyle w:val="33"/>
        <w:spacing w:beforeLines="100" w:beforeAutospacing="0" w:afterLines="5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金额单位：元</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2842"/>
        <w:gridCol w:w="5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一、直接成本</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1、工人工资</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2、工资附加</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二、管理费用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1工资、福利费用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2、保险费用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3、办公费用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4、其他应交税费</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三、财务费用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四、管理费用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六、税金</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成本合计</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30" w:type="pct"/>
            <w:vAlign w:val="center"/>
          </w:tcPr>
          <w:p>
            <w:pPr>
              <w:pStyle w:val="25"/>
              <w:spacing w:before="0" w:beforeAutospacing="0" w:after="0" w:afterAutospacing="0" w:line="240" w:lineRule="auto"/>
              <w:ind w:firstLine="0"/>
              <w:rPr>
                <w:rFonts w:hint="eastAsia" w:ascii="仿宋_GB2312" w:hAnsi="仿宋_GB2312" w:eastAsia="仿宋_GB2312" w:cs="仿宋_GB2312"/>
                <w:b/>
                <w:szCs w:val="24"/>
              </w:rPr>
            </w:pPr>
            <w:r>
              <w:rPr>
                <w:rFonts w:hint="eastAsia" w:ascii="仿宋_GB2312" w:hAnsi="仿宋_GB2312" w:eastAsia="仿宋_GB2312" w:cs="仿宋_GB2312"/>
                <w:b/>
                <w:szCs w:val="24"/>
              </w:rPr>
              <w:t>备注说明：</w:t>
            </w:r>
          </w:p>
        </w:tc>
        <w:tc>
          <w:tcPr>
            <w:tcW w:w="2969" w:type="pct"/>
          </w:tcPr>
          <w:p>
            <w:pPr>
              <w:pStyle w:val="33"/>
              <w:spacing w:line="240" w:lineRule="auto"/>
              <w:rPr>
                <w:rFonts w:hint="eastAsia" w:ascii="仿宋_GB2312" w:hAnsi="仿宋_GB2312" w:eastAsia="仿宋_GB2312" w:cs="仿宋_GB2312"/>
                <w:sz w:val="24"/>
                <w:szCs w:val="24"/>
              </w:rPr>
            </w:pPr>
          </w:p>
        </w:tc>
      </w:tr>
    </w:tbl>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说明：1.供应商可结合企业实际对表内项目进行适当调整，但要求能真实、准确地反映企业成本</w:t>
      </w:r>
    </w:p>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 一个服务内容的成本用一张成本表罗列，投标供应商根据项目服务内容范围自行增加。 </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投标供应商名称（盖章）：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法定代表人或授权代表（签字）：                </w:t>
      </w:r>
    </w:p>
    <w:p>
      <w:pPr>
        <w:adjustRightInd w:val="0"/>
        <w:spacing w:before="0" w:beforeAutospacing="0" w:after="0" w:afterAutospacing="0" w:line="240" w:lineRule="auto"/>
        <w:ind w:right="48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投标日期:</w:t>
      </w: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36"/>
          <w:szCs w:val="36"/>
          <w:lang w:val="en-US" w:eastAsia="zh-CN"/>
        </w:rPr>
        <w:t>2.</w:t>
      </w:r>
      <w:r>
        <w:rPr>
          <w:rFonts w:hint="eastAsia" w:ascii="仿宋_GB2312" w:hAnsi="仿宋_GB2312" w:eastAsia="仿宋_GB2312" w:cs="仿宋_GB2312"/>
          <w:b/>
          <w:sz w:val="36"/>
          <w:szCs w:val="36"/>
        </w:rPr>
        <w:t>项目成本汇总表</w:t>
      </w:r>
    </w:p>
    <w:p>
      <w:pPr>
        <w:spacing w:beforeLines="50" w:beforeAutospacing="0" w:afterLines="50" w:afterAutospacing="0"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项目名称                                             品目编号/品目名称</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1628"/>
        <w:gridCol w:w="1628"/>
        <w:gridCol w:w="964"/>
        <w:gridCol w:w="2627"/>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877"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服务内容</w:t>
            </w:r>
          </w:p>
        </w:tc>
        <w:tc>
          <w:tcPr>
            <w:tcW w:w="877"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质量标准</w:t>
            </w:r>
          </w:p>
        </w:tc>
        <w:tc>
          <w:tcPr>
            <w:tcW w:w="519"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41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成本总计（元）</w:t>
            </w:r>
          </w:p>
        </w:tc>
        <w:tc>
          <w:tcPr>
            <w:tcW w:w="790" w:type="pct"/>
            <w:tcBorders>
              <w:left w:val="single" w:color="auto" w:sz="4" w:space="0"/>
            </w:tcBorders>
            <w:vAlign w:val="center"/>
          </w:tcPr>
          <w:p>
            <w:pPr>
              <w:pStyle w:val="25"/>
              <w:spacing w:before="0" w:beforeAutospacing="0" w:after="0" w:afterAutospacing="0" w:line="240" w:lineRule="auto"/>
              <w:ind w:left="0" w:leftChars="0"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4480" w:type="pct"/>
            <w:gridSpan w:val="5"/>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其他项目成本：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项目成本总计（人民币/元）   大写：                        小写：</w:t>
            </w:r>
          </w:p>
        </w:tc>
      </w:tr>
    </w:tbl>
    <w:p>
      <w:pPr>
        <w:spacing w:beforeLines="50" w:beforeAutospacing="0" w:afterLines="50" w:afterAutospacing="0" w:line="240" w:lineRule="auto"/>
        <w:ind w:firstLine="480" w:firstLineChars="200"/>
        <w:rPr>
          <w:rFonts w:hint="eastAsia" w:ascii="仿宋_GB2312" w:hAnsi="仿宋_GB2312" w:eastAsia="仿宋_GB2312" w:cs="仿宋_GB2312"/>
          <w:sz w:val="24"/>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投标供应商名称（盖章）：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法定代表人或授权代表（签字）：                </w:t>
      </w:r>
    </w:p>
    <w:p>
      <w:pPr>
        <w:adjustRightInd w:val="0"/>
        <w:spacing w:before="0" w:beforeAutospacing="0" w:after="0" w:afterAutospacing="0" w:line="240" w:lineRule="auto"/>
        <w:ind w:right="48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投标日期：</w:t>
      </w:r>
    </w:p>
    <w:p>
      <w:pPr>
        <w:widowControl/>
        <w:spacing w:beforeLines="100" w:beforeAutospacing="0" w:afterLines="50" w:afterAutospacing="0" w:line="240" w:lineRule="auto"/>
        <w:jc w:val="left"/>
        <w:rPr>
          <w:rFonts w:hint="eastAsia" w:ascii="仿宋_GB2312" w:hAnsi="仿宋_GB2312" w:eastAsia="仿宋_GB2312" w:cs="仿宋_GB2312"/>
          <w:sz w:val="24"/>
        </w:rPr>
      </w:pPr>
    </w:p>
    <w:p>
      <w:pPr>
        <w:widowControl/>
        <w:spacing w:beforeLines="100" w:beforeAutospacing="0" w:afterLines="50" w:afterAutospacing="0" w:line="240" w:lineRule="auto"/>
        <w:jc w:val="left"/>
        <w:rPr>
          <w:rFonts w:asciiTheme="minorEastAsia" w:hAnsiTheme="minorEastAsia" w:eastAsiaTheme="minorEastAsia" w:cstheme="minorEastAsia"/>
          <w:sz w:val="24"/>
        </w:rPr>
      </w:pPr>
    </w:p>
    <w:p>
      <w:pPr>
        <w:spacing w:line="240" w:lineRule="auto"/>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sz w:val="24"/>
          <w:lang w:eastAsia="zh-CN"/>
        </w:rPr>
        <w:t>。</w:t>
      </w:r>
    </w:p>
    <w:p>
      <w:pPr>
        <w:jc w:val="left"/>
        <w:rPr>
          <w:rFonts w:hint="eastAsia" w:ascii="仿宋" w:hAnsi="仿宋" w:eastAsia="仿宋" w:cs="仿宋"/>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3"/>
        <w:rPr>
          <w:rFonts w:hint="eastAsia" w:ascii="仿宋" w:hAnsi="仿宋" w:eastAsia="仿宋" w:cs="仿宋"/>
          <w:b/>
          <w:bCs/>
          <w:sz w:val="24"/>
        </w:rPr>
      </w:pPr>
    </w:p>
    <w:p/>
    <w:sectPr>
      <w:headerReference r:id="rId15" w:type="first"/>
      <w:footerReference r:id="rId18" w:type="first"/>
      <w:headerReference r:id="rId14" w:type="default"/>
      <w:footerReference r:id="rId16" w:type="default"/>
      <w:footerReference r:id="rId17" w:type="even"/>
      <w:pgSz w:w="11906" w:h="16838"/>
      <w:pgMar w:top="1440" w:right="1417" w:bottom="1440"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76" w:name="_Toc164085800"/>
    <w:bookmarkStart w:id="577" w:name="_Toc36110187"/>
    <w:bookmarkStart w:id="578" w:name="_Toc131845147"/>
    <w:bookmarkStart w:id="579" w:name="_Toc91899912"/>
    <w:r>
      <w:rPr>
        <w:rFonts w:hint="eastAsia" w:ascii="仿宋_GB2312" w:eastAsia="仿宋_GB2312"/>
        <w:kern w:val="0"/>
        <w:szCs w:val="21"/>
      </w:rPr>
      <w:t xml:space="preserve"> 页</w:t>
    </w:r>
    <w:bookmarkEnd w:id="576"/>
    <w:bookmarkEnd w:id="577"/>
    <w:bookmarkEnd w:id="578"/>
    <w:bookmarkEnd w:id="5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C1AF7"/>
    <w:multiLevelType w:val="singleLevel"/>
    <w:tmpl w:val="8DAC1AF7"/>
    <w:lvl w:ilvl="0" w:tentative="0">
      <w:start w:val="1"/>
      <w:numFmt w:val="bullet"/>
      <w:lvlText w:val=""/>
      <w:lvlJc w:val="left"/>
      <w:pPr>
        <w:ind w:left="420" w:hanging="420"/>
      </w:pPr>
      <w:rPr>
        <w:rFonts w:hint="default" w:ascii="Wingdings" w:hAnsi="Wingdings"/>
      </w:rPr>
    </w:lvl>
  </w:abstractNum>
  <w:abstractNum w:abstractNumId="1">
    <w:nsid w:val="E1C8AD46"/>
    <w:multiLevelType w:val="singleLevel"/>
    <w:tmpl w:val="E1C8AD46"/>
    <w:lvl w:ilvl="0" w:tentative="0">
      <w:start w:val="1"/>
      <w:numFmt w:val="bullet"/>
      <w:lvlText w:val=""/>
      <w:lvlJc w:val="left"/>
      <w:pPr>
        <w:ind w:left="420" w:hanging="420"/>
      </w:pPr>
      <w:rPr>
        <w:rFonts w:hint="default" w:ascii="Wingdings" w:hAnsi="Wingdings"/>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1558D77"/>
    <w:multiLevelType w:val="singleLevel"/>
    <w:tmpl w:val="31558D77"/>
    <w:lvl w:ilvl="0" w:tentative="0">
      <w:start w:val="1"/>
      <w:numFmt w:val="bullet"/>
      <w:lvlText w:val=""/>
      <w:lvlJc w:val="left"/>
      <w:pPr>
        <w:ind w:left="420" w:hanging="420"/>
      </w:pPr>
      <w:rPr>
        <w:rFonts w:hint="default" w:ascii="Wingdings" w:hAnsi="Wingdings"/>
      </w:rPr>
    </w:lvl>
  </w:abstractNum>
  <w:abstractNum w:abstractNumId="9">
    <w:nsid w:val="4A51A2E2"/>
    <w:multiLevelType w:val="singleLevel"/>
    <w:tmpl w:val="4A51A2E2"/>
    <w:lvl w:ilvl="0" w:tentative="0">
      <w:start w:val="1"/>
      <w:numFmt w:val="decimal"/>
      <w:suff w:val="nothing"/>
      <w:lvlText w:val="%1、"/>
      <w:lvlJc w:val="left"/>
    </w:lvl>
  </w:abstractNum>
  <w:abstractNum w:abstractNumId="10">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D9F9E47"/>
    <w:multiLevelType w:val="singleLevel"/>
    <w:tmpl w:val="6D9F9E47"/>
    <w:lvl w:ilvl="0" w:tentative="0">
      <w:start w:val="1"/>
      <w:numFmt w:val="decimal"/>
      <w:lvlText w:val="%1."/>
      <w:lvlJc w:val="left"/>
      <w:pPr>
        <w:tabs>
          <w:tab w:val="left" w:pos="312"/>
        </w:tabs>
      </w:pPr>
    </w:lvl>
  </w:abstractNum>
  <w:abstractNum w:abstractNumId="12">
    <w:nsid w:val="6DC2BBD6"/>
    <w:multiLevelType w:val="singleLevel"/>
    <w:tmpl w:val="6DC2BBD6"/>
    <w:lvl w:ilvl="0" w:tentative="0">
      <w:start w:val="1"/>
      <w:numFmt w:val="chineseCounting"/>
      <w:suff w:val="nothing"/>
      <w:lvlText w:val="%1、"/>
      <w:lvlJc w:val="left"/>
      <w:rPr>
        <w:rFonts w:hint="eastAsia"/>
      </w:rPr>
    </w:lvl>
  </w:abstractNum>
  <w:abstractNum w:abstractNumId="13">
    <w:nsid w:val="727D3C51"/>
    <w:multiLevelType w:val="singleLevel"/>
    <w:tmpl w:val="727D3C51"/>
    <w:lvl w:ilvl="0" w:tentative="0">
      <w:start w:val="1"/>
      <w:numFmt w:val="bullet"/>
      <w:lvlText w:val=""/>
      <w:lvlJc w:val="left"/>
      <w:pPr>
        <w:ind w:left="420" w:hanging="420"/>
      </w:pPr>
      <w:rPr>
        <w:rFonts w:hint="default" w:ascii="Wingdings" w:hAnsi="Wingdings"/>
      </w:rPr>
    </w:lvl>
  </w:abstractNum>
  <w:abstractNum w:abstractNumId="14">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E265E1C"/>
    <w:multiLevelType w:val="multilevel"/>
    <w:tmpl w:val="7E265E1C"/>
    <w:lvl w:ilvl="0" w:tentative="0">
      <w:start w:val="1"/>
      <w:numFmt w:val="decimal"/>
      <w:pStyle w:val="22"/>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2"/>
  </w:num>
  <w:num w:numId="4">
    <w:abstractNumId w:val="15"/>
  </w:num>
  <w:num w:numId="5">
    <w:abstractNumId w:val="3"/>
  </w:num>
  <w:num w:numId="6">
    <w:abstractNumId w:val="10"/>
  </w:num>
  <w:num w:numId="7">
    <w:abstractNumId w:val="14"/>
  </w:num>
  <w:num w:numId="8">
    <w:abstractNumId w:val="5"/>
  </w:num>
  <w:num w:numId="9">
    <w:abstractNumId w:val="12"/>
  </w:num>
  <w:num w:numId="10">
    <w:abstractNumId w:val="0"/>
  </w:num>
  <w:num w:numId="11">
    <w:abstractNumId w:val="8"/>
  </w:num>
  <w:num w:numId="12">
    <w:abstractNumId w:val="9"/>
  </w:num>
  <w:num w:numId="13">
    <w:abstractNumId w:val="11"/>
  </w:num>
  <w:num w:numId="14">
    <w:abstractNumId w:val="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2AB59A4"/>
    <w:rsid w:val="03E4546F"/>
    <w:rsid w:val="061D6415"/>
    <w:rsid w:val="06E7120B"/>
    <w:rsid w:val="0A796241"/>
    <w:rsid w:val="0B386BEB"/>
    <w:rsid w:val="0CC15827"/>
    <w:rsid w:val="0D0053A3"/>
    <w:rsid w:val="102F1BCC"/>
    <w:rsid w:val="142A4E26"/>
    <w:rsid w:val="14525AFA"/>
    <w:rsid w:val="15196FCE"/>
    <w:rsid w:val="17DF3DFB"/>
    <w:rsid w:val="18470515"/>
    <w:rsid w:val="1DD42D71"/>
    <w:rsid w:val="20F5288B"/>
    <w:rsid w:val="21FC04CF"/>
    <w:rsid w:val="2264722D"/>
    <w:rsid w:val="226E2A1D"/>
    <w:rsid w:val="24326138"/>
    <w:rsid w:val="24695B19"/>
    <w:rsid w:val="24DA7D36"/>
    <w:rsid w:val="26887452"/>
    <w:rsid w:val="284306C8"/>
    <w:rsid w:val="28702058"/>
    <w:rsid w:val="29337492"/>
    <w:rsid w:val="2B2E72E7"/>
    <w:rsid w:val="2B9C55E1"/>
    <w:rsid w:val="2E360AAE"/>
    <w:rsid w:val="343239C5"/>
    <w:rsid w:val="34F801C2"/>
    <w:rsid w:val="351D7670"/>
    <w:rsid w:val="38AA4650"/>
    <w:rsid w:val="39103069"/>
    <w:rsid w:val="39591C4C"/>
    <w:rsid w:val="3B125890"/>
    <w:rsid w:val="3C236133"/>
    <w:rsid w:val="3C3E672F"/>
    <w:rsid w:val="3D022ADB"/>
    <w:rsid w:val="401660CE"/>
    <w:rsid w:val="41FF6AB1"/>
    <w:rsid w:val="4355147F"/>
    <w:rsid w:val="4476214B"/>
    <w:rsid w:val="44EC7A84"/>
    <w:rsid w:val="45134C6A"/>
    <w:rsid w:val="45821A21"/>
    <w:rsid w:val="47BB18F5"/>
    <w:rsid w:val="490F3BDA"/>
    <w:rsid w:val="4DD87C1F"/>
    <w:rsid w:val="4DF66F7D"/>
    <w:rsid w:val="4E870AB4"/>
    <w:rsid w:val="52307328"/>
    <w:rsid w:val="52C97159"/>
    <w:rsid w:val="53FC15E1"/>
    <w:rsid w:val="55134D06"/>
    <w:rsid w:val="55F2292A"/>
    <w:rsid w:val="56FD4155"/>
    <w:rsid w:val="57146A34"/>
    <w:rsid w:val="5B15071F"/>
    <w:rsid w:val="5B5E41E5"/>
    <w:rsid w:val="5B69662C"/>
    <w:rsid w:val="5C074F1A"/>
    <w:rsid w:val="5C594A23"/>
    <w:rsid w:val="5E5174B2"/>
    <w:rsid w:val="5F9649AA"/>
    <w:rsid w:val="60671434"/>
    <w:rsid w:val="61C3677E"/>
    <w:rsid w:val="61E80A83"/>
    <w:rsid w:val="62481371"/>
    <w:rsid w:val="633B46F9"/>
    <w:rsid w:val="63A8413D"/>
    <w:rsid w:val="65C565B3"/>
    <w:rsid w:val="65EA7EB6"/>
    <w:rsid w:val="68545800"/>
    <w:rsid w:val="6A531ED1"/>
    <w:rsid w:val="6C345328"/>
    <w:rsid w:val="6D5E3F8F"/>
    <w:rsid w:val="6EF654F9"/>
    <w:rsid w:val="6F064489"/>
    <w:rsid w:val="6F977C04"/>
    <w:rsid w:val="715F196E"/>
    <w:rsid w:val="721273BE"/>
    <w:rsid w:val="722F7C72"/>
    <w:rsid w:val="74762743"/>
    <w:rsid w:val="74D359B3"/>
    <w:rsid w:val="751B5B3E"/>
    <w:rsid w:val="75AE1161"/>
    <w:rsid w:val="78A22E7F"/>
    <w:rsid w:val="7C236DE8"/>
    <w:rsid w:val="7DD01402"/>
    <w:rsid w:val="7DEE3818"/>
    <w:rsid w:val="7E00497E"/>
    <w:rsid w:val="7E3B2F63"/>
    <w:rsid w:val="7E554397"/>
    <w:rsid w:val="7F12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2">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4">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6">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7">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8">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9">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0">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2">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6">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7">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19">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0">
    <w:name w:val="Salutation"/>
    <w:basedOn w:val="1"/>
    <w:next w:val="1"/>
    <w:link w:val="92"/>
    <w:qFormat/>
    <w:uiPriority w:val="0"/>
    <w:pPr>
      <w:adjustRightInd w:val="0"/>
    </w:pPr>
    <w:rPr>
      <w:rFonts w:ascii="仿宋_GB2312" w:eastAsia="仿宋_GB2312"/>
      <w:sz w:val="28"/>
    </w:rPr>
  </w:style>
  <w:style w:type="paragraph" w:styleId="21">
    <w:name w:val="Body Text 3"/>
    <w:basedOn w:val="1"/>
    <w:link w:val="93"/>
    <w:qFormat/>
    <w:uiPriority w:val="0"/>
    <w:pPr>
      <w:adjustRightInd w:val="0"/>
      <w:jc w:val="center"/>
    </w:pPr>
  </w:style>
  <w:style w:type="paragraph" w:styleId="22">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3">
    <w:name w:val="Body Text"/>
    <w:basedOn w:val="1"/>
    <w:next w:val="24"/>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4">
    <w:name w:val="Body Text First Indent"/>
    <w:basedOn w:val="23"/>
    <w:link w:val="109"/>
    <w:qFormat/>
    <w:uiPriority w:val="0"/>
    <w:pPr>
      <w:ind w:firstLine="420"/>
    </w:pPr>
    <w:rPr>
      <w:rFonts w:hAnsiTheme="minorHAnsi" w:eastAsiaTheme="minorEastAsia" w:cstheme="minorBidi"/>
      <w:snapToGrid/>
      <w:szCs w:val="22"/>
    </w:rPr>
  </w:style>
  <w:style w:type="paragraph" w:styleId="25">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5"/>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19"/>
    <w:next w:val="19"/>
    <w:link w:val="290"/>
    <w:qFormat/>
    <w:uiPriority w:val="0"/>
    <w:rPr>
      <w:b/>
      <w:bCs/>
      <w:lang w:val="zh-CN"/>
    </w:rPr>
  </w:style>
  <w:style w:type="paragraph" w:styleId="61">
    <w:name w:val="Body Text First Indent 2"/>
    <w:basedOn w:val="25"/>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2"/>
    <w:qFormat/>
    <w:uiPriority w:val="0"/>
    <w:rPr>
      <w:rFonts w:ascii="仿宋_GB2312" w:hAnsi="仿宋" w:eastAsia="仿宋_GB2312" w:cs="Times New Roman"/>
      <w:b/>
      <w:bCs/>
      <w:sz w:val="32"/>
      <w:szCs w:val="32"/>
      <w:lang w:val="zh-CN"/>
    </w:rPr>
  </w:style>
  <w:style w:type="character" w:customStyle="1" w:styleId="83">
    <w:name w:val="标题 3 Char"/>
    <w:basedOn w:val="69"/>
    <w:link w:val="4"/>
    <w:qFormat/>
    <w:uiPriority w:val="0"/>
    <w:rPr>
      <w:rFonts w:ascii="Times New Roman" w:hAnsi="Times New Roman" w:eastAsia="宋体" w:cs="Times New Roman"/>
      <w:b/>
      <w:bCs/>
      <w:sz w:val="32"/>
      <w:szCs w:val="32"/>
    </w:rPr>
  </w:style>
  <w:style w:type="character" w:customStyle="1" w:styleId="84">
    <w:name w:val="标题 4 Char"/>
    <w:basedOn w:val="69"/>
    <w:link w:val="5"/>
    <w:qFormat/>
    <w:uiPriority w:val="0"/>
    <w:rPr>
      <w:rFonts w:ascii="Arial" w:hAnsi="Arial" w:eastAsia="黑体" w:cs="Times New Roman"/>
      <w:b/>
      <w:bCs/>
      <w:sz w:val="28"/>
      <w:szCs w:val="28"/>
      <w:lang w:val="zh-CN"/>
    </w:rPr>
  </w:style>
  <w:style w:type="character" w:customStyle="1" w:styleId="85">
    <w:name w:val="标题 5 Char"/>
    <w:basedOn w:val="69"/>
    <w:link w:val="6"/>
    <w:qFormat/>
    <w:uiPriority w:val="0"/>
    <w:rPr>
      <w:rFonts w:ascii="Times New Roman" w:hAnsi="Times New Roman" w:eastAsia="宋体" w:cs="Times New Roman"/>
      <w:b/>
      <w:bCs/>
      <w:sz w:val="28"/>
      <w:szCs w:val="28"/>
      <w:lang w:val="zh-CN"/>
    </w:rPr>
  </w:style>
  <w:style w:type="character" w:customStyle="1" w:styleId="86">
    <w:name w:val="标题 6 Char"/>
    <w:basedOn w:val="69"/>
    <w:link w:val="7"/>
    <w:qFormat/>
    <w:uiPriority w:val="0"/>
    <w:rPr>
      <w:rFonts w:ascii="Arial" w:hAnsi="Arial" w:eastAsia="黑体" w:cs="Times New Roman"/>
      <w:b/>
      <w:bCs/>
      <w:sz w:val="24"/>
      <w:szCs w:val="24"/>
      <w:lang w:val="zh-CN"/>
    </w:rPr>
  </w:style>
  <w:style w:type="character" w:customStyle="1" w:styleId="87">
    <w:name w:val="标题 7 Char"/>
    <w:basedOn w:val="69"/>
    <w:link w:val="8"/>
    <w:qFormat/>
    <w:uiPriority w:val="0"/>
    <w:rPr>
      <w:rFonts w:ascii="Times New Roman" w:hAnsi="Times New Roman" w:eastAsia="宋体" w:cs="Times New Roman"/>
      <w:b/>
      <w:bCs/>
      <w:sz w:val="24"/>
      <w:szCs w:val="24"/>
      <w:lang w:val="zh-CN"/>
    </w:rPr>
  </w:style>
  <w:style w:type="character" w:customStyle="1" w:styleId="88">
    <w:name w:val="标题 8 Char"/>
    <w:basedOn w:val="69"/>
    <w:link w:val="9"/>
    <w:qFormat/>
    <w:uiPriority w:val="0"/>
    <w:rPr>
      <w:rFonts w:ascii="Arial" w:hAnsi="Arial" w:eastAsia="黑体" w:cs="Times New Roman"/>
      <w:sz w:val="24"/>
      <w:szCs w:val="24"/>
      <w:lang w:val="zh-CN"/>
    </w:rPr>
  </w:style>
  <w:style w:type="character" w:customStyle="1" w:styleId="89">
    <w:name w:val="标题 9 Char"/>
    <w:basedOn w:val="69"/>
    <w:link w:val="10"/>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0"/>
    <w:qFormat/>
    <w:uiPriority w:val="0"/>
    <w:rPr>
      <w:rFonts w:ascii="仿宋_GB2312" w:eastAsia="仿宋_GB2312"/>
      <w:sz w:val="28"/>
    </w:rPr>
  </w:style>
  <w:style w:type="character" w:customStyle="1" w:styleId="93">
    <w:name w:val="正文文本 3 Char"/>
    <w:basedOn w:val="69"/>
    <w:link w:val="21"/>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4"/>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3"/>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5"/>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5"/>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5"/>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5"/>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19"/>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8"/>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5"/>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4"/>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5"/>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2"/>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5"/>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6"/>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6"/>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7"/>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8"/>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4"/>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2"/>
    <w:next w:val="1"/>
    <w:qFormat/>
    <w:uiPriority w:val="0"/>
    <w:pPr>
      <w:numPr>
        <w:ilvl w:val="1"/>
        <w:numId w:val="6"/>
      </w:numPr>
    </w:pPr>
    <w:rPr>
      <w:rFonts w:ascii="Times New Roman" w:eastAsia="宋体"/>
      <w:i/>
      <w:sz w:val="36"/>
      <w:szCs w:val="36"/>
      <w:lang w:val="en-US"/>
    </w:rPr>
  </w:style>
  <w:style w:type="paragraph" w:customStyle="1" w:styleId="47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5"/>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5"/>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5"/>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6"/>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2"/>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6"/>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2"/>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2"/>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4"/>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5"/>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4"/>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19"/>
    <w:next w:val="19"/>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footer9.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customXml/item2.xml" Type="http://schemas.openxmlformats.org/officeDocument/2006/relationships/customXml"/><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21</TotalTime>
  <ScaleCrop>false</ScaleCrop>
  <LinksUpToDate>false</LinksUpToDate>
  <CharactersWithSpaces>45682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2021-03-04T02:54:00Z</dcterms:created>
  <dc:creator>mb</dc:creator>
  <cp:lastModifiedBy>Administrator</cp:lastModifiedBy>
  <dcterms:modified xsi:type="dcterms:W3CDTF">2021-12-27T05:39:40Z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F0D3B767158F4509A37E4175EB2E56E9</vt:lpwstr>
  </property>
</Properties>
</file>