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10"/>
        <w:jc w:val="center"/>
        <w:rPr>
          <w:rFonts w:ascii="宋体" w:hAnsi="宋体"/>
          <w:b/>
          <w:spacing w:val="40"/>
          <w:sz w:val="36"/>
          <w:szCs w:val="36"/>
        </w:rPr>
      </w:pPr>
      <w:r>
        <w:rPr>
          <w:rFonts w:hint="eastAsia" w:ascii="宋体" w:hAnsi="宋体"/>
          <w:b/>
          <w:spacing w:val="40"/>
          <w:sz w:val="36"/>
          <w:szCs w:val="36"/>
        </w:rPr>
        <w:t>临安区降水全指标自动监测系统采购项目</w:t>
      </w:r>
    </w:p>
    <w:p>
      <w:pPr>
        <w:ind w:right="-110"/>
        <w:jc w:val="center"/>
        <w:rPr>
          <w:rFonts w:ascii="宋体" w:hAnsi="宋体"/>
          <w:b/>
          <w:spacing w:val="28"/>
          <w:sz w:val="36"/>
          <w:szCs w:val="36"/>
        </w:rPr>
      </w:pPr>
      <w:r>
        <w:rPr>
          <w:rFonts w:hint="eastAsia" w:ascii="宋体" w:hAnsi="宋体"/>
          <w:b/>
          <w:spacing w:val="28"/>
          <w:sz w:val="36"/>
          <w:szCs w:val="36"/>
        </w:rPr>
        <w:t>公开招标文件</w:t>
      </w:r>
    </w:p>
    <w:p>
      <w:pPr>
        <w:spacing w:beforeLines="100" w:line="240" w:lineRule="atLeast"/>
        <w:ind w:right="-108"/>
        <w:jc w:val="center"/>
        <w:rPr>
          <w:rFonts w:ascii="宋体" w:hAnsi="宋体"/>
          <w:sz w:val="36"/>
          <w:szCs w:val="36"/>
        </w:rPr>
      </w:pPr>
    </w:p>
    <w:p>
      <w:pPr>
        <w:spacing w:beforeLines="100" w:line="240" w:lineRule="atLeast"/>
        <w:ind w:right="-108"/>
        <w:rPr>
          <w:rFonts w:ascii="宋体" w:hAnsi="宋体"/>
          <w:sz w:val="30"/>
          <w:szCs w:val="30"/>
        </w:rPr>
      </w:pPr>
      <w:r>
        <w:rPr>
          <w:rFonts w:hint="eastAsia" w:ascii="宋体" w:hAnsi="宋体"/>
          <w:sz w:val="24"/>
        </w:rPr>
        <w:t xml:space="preserve">                     </w:t>
      </w:r>
      <w:r>
        <w:rPr>
          <w:rFonts w:hint="eastAsia" w:ascii="宋体" w:hAnsi="宋体"/>
          <w:sz w:val="30"/>
          <w:szCs w:val="30"/>
        </w:rPr>
        <w:t>（项目编号</w:t>
      </w:r>
      <w:r>
        <w:rPr>
          <w:rFonts w:ascii="宋体" w:hAnsi="宋体"/>
          <w:sz w:val="30"/>
          <w:szCs w:val="30"/>
        </w:rPr>
        <w:t>LZC-GK-</w:t>
      </w:r>
      <w:r>
        <w:rPr>
          <w:rFonts w:hint="eastAsia" w:ascii="宋体" w:hAnsi="宋体"/>
          <w:sz w:val="30"/>
          <w:szCs w:val="30"/>
        </w:rPr>
        <w:t>2020</w:t>
      </w:r>
      <w:r>
        <w:rPr>
          <w:rFonts w:ascii="宋体" w:hAnsi="宋体"/>
          <w:sz w:val="30"/>
          <w:szCs w:val="30"/>
        </w:rPr>
        <w:t>-</w:t>
      </w:r>
      <w:r>
        <w:rPr>
          <w:rFonts w:hint="eastAsia" w:ascii="宋体" w:hAnsi="宋体"/>
          <w:sz w:val="30"/>
          <w:szCs w:val="30"/>
        </w:rPr>
        <w:t>06301）</w:t>
      </w:r>
    </w:p>
    <w:p>
      <w:pPr>
        <w:spacing w:after="100" w:afterAutospacing="1" w:line="800" w:lineRule="exact"/>
        <w:ind w:right="-108"/>
        <w:jc w:val="center"/>
        <w:rPr>
          <w:rFonts w:ascii="宋体" w:hAnsi="宋体"/>
          <w:spacing w:val="40"/>
          <w:sz w:val="24"/>
        </w:rPr>
      </w:pPr>
    </w:p>
    <w:p>
      <w:pPr>
        <w:spacing w:after="100" w:afterAutospacing="1" w:line="800" w:lineRule="exact"/>
        <w:ind w:right="-108"/>
        <w:jc w:val="center"/>
        <w:rPr>
          <w:rFonts w:ascii="宋体" w:hAnsi="宋体"/>
          <w:spacing w:val="40"/>
          <w:sz w:val="24"/>
        </w:rPr>
      </w:pPr>
    </w:p>
    <w:p>
      <w:pPr>
        <w:spacing w:after="100" w:afterAutospacing="1" w:line="800" w:lineRule="exact"/>
        <w:ind w:right="-108"/>
        <w:jc w:val="center"/>
        <w:rPr>
          <w:rFonts w:ascii="宋体" w:hAnsi="宋体"/>
          <w:spacing w:val="40"/>
          <w:sz w:val="24"/>
        </w:rPr>
      </w:pPr>
    </w:p>
    <w:p>
      <w:pPr>
        <w:spacing w:after="100" w:afterAutospacing="1" w:line="800" w:lineRule="exact"/>
        <w:ind w:right="-108"/>
        <w:rPr>
          <w:rFonts w:ascii="宋体" w:hAnsi="宋体"/>
          <w:spacing w:val="40"/>
          <w:sz w:val="24"/>
        </w:rPr>
      </w:pPr>
    </w:p>
    <w:p>
      <w:pPr>
        <w:spacing w:line="500" w:lineRule="exact"/>
        <w:ind w:right="532" w:firstLine="800" w:firstLineChars="250"/>
        <w:rPr>
          <w:rFonts w:ascii="宋体" w:hAnsi="宋体"/>
          <w:sz w:val="32"/>
          <w:szCs w:val="32"/>
        </w:rPr>
      </w:pPr>
      <w:r>
        <w:rPr>
          <w:rFonts w:hint="eastAsia" w:ascii="宋体" w:hAnsi="宋体"/>
          <w:sz w:val="32"/>
          <w:szCs w:val="32"/>
        </w:rPr>
        <w:t>采购单位：杭州市生态环境局临安分局</w:t>
      </w:r>
    </w:p>
    <w:p>
      <w:pPr>
        <w:spacing w:line="500" w:lineRule="exact"/>
        <w:ind w:right="532" w:firstLine="800" w:firstLineChars="250"/>
        <w:rPr>
          <w:rFonts w:ascii="宋体" w:hAnsi="宋体"/>
          <w:sz w:val="32"/>
          <w:szCs w:val="32"/>
        </w:rPr>
      </w:pPr>
      <w:r>
        <w:rPr>
          <w:rFonts w:hint="eastAsia" w:ascii="宋体" w:hAnsi="宋体"/>
          <w:sz w:val="32"/>
          <w:szCs w:val="32"/>
        </w:rPr>
        <w:t>采购机构：杭州市公共资源交易中心临安分中心</w:t>
      </w:r>
    </w:p>
    <w:p>
      <w:pPr>
        <w:spacing w:line="500" w:lineRule="exact"/>
        <w:ind w:right="532" w:firstLine="800" w:firstLineChars="250"/>
        <w:rPr>
          <w:rFonts w:ascii="宋体" w:hAnsi="宋体"/>
          <w:sz w:val="32"/>
          <w:szCs w:val="32"/>
        </w:rPr>
      </w:pPr>
      <w:r>
        <w:rPr>
          <w:rFonts w:hint="eastAsia" w:ascii="宋体" w:hAnsi="宋体"/>
          <w:sz w:val="32"/>
          <w:szCs w:val="32"/>
        </w:rPr>
        <w:t>备案单位：杭州市临安区政府采购办公室</w:t>
      </w:r>
    </w:p>
    <w:p>
      <w:pPr>
        <w:spacing w:line="500" w:lineRule="exact"/>
        <w:ind w:right="532" w:firstLine="800" w:firstLineChars="250"/>
        <w:rPr>
          <w:rFonts w:ascii="宋体" w:hAnsi="宋体"/>
          <w:sz w:val="32"/>
          <w:szCs w:val="32"/>
        </w:rPr>
      </w:pPr>
      <w:r>
        <w:rPr>
          <w:rFonts w:hint="eastAsia" w:ascii="宋体" w:hAnsi="宋体"/>
          <w:sz w:val="32"/>
          <w:szCs w:val="32"/>
        </w:rPr>
        <w:t>地    址：杭州市临安区行政服务中心B座四楼</w:t>
      </w:r>
    </w:p>
    <w:p>
      <w:pPr>
        <w:pStyle w:val="19"/>
        <w:rPr>
          <w:rFonts w:ascii="宋体" w:hAnsi="宋体"/>
          <w:sz w:val="24"/>
        </w:rPr>
      </w:pPr>
    </w:p>
    <w:p>
      <w:pPr>
        <w:pStyle w:val="9"/>
        <w:spacing w:before="156" w:after="156" w:line="360" w:lineRule="auto"/>
        <w:jc w:val="center"/>
        <w:rPr>
          <w:rFonts w:hAnsi="宋体"/>
          <w:b/>
        </w:rPr>
      </w:pPr>
    </w:p>
    <w:p>
      <w:pPr>
        <w:pStyle w:val="9"/>
        <w:spacing w:before="156" w:after="156" w:line="360" w:lineRule="auto"/>
        <w:rPr>
          <w:rFonts w:hAnsi="宋体"/>
          <w:b/>
        </w:rPr>
      </w:pPr>
    </w:p>
    <w:p>
      <w:pPr>
        <w:pStyle w:val="9"/>
        <w:spacing w:before="156" w:after="156" w:line="360" w:lineRule="auto"/>
        <w:rPr>
          <w:rFonts w:hAnsi="宋体"/>
          <w:b/>
        </w:rPr>
      </w:pPr>
    </w:p>
    <w:p>
      <w:pPr>
        <w:pStyle w:val="9"/>
        <w:spacing w:before="156" w:after="156" w:line="360" w:lineRule="auto"/>
        <w:rPr>
          <w:rFonts w:hAnsi="宋体"/>
          <w:b/>
        </w:rPr>
      </w:pPr>
    </w:p>
    <w:p>
      <w:pPr>
        <w:pStyle w:val="9"/>
        <w:spacing w:before="156" w:after="156" w:line="360" w:lineRule="auto"/>
        <w:jc w:val="center"/>
        <w:rPr>
          <w:rFonts w:hAnsi="宋体"/>
          <w:b/>
          <w:sz w:val="32"/>
          <w:szCs w:val="32"/>
        </w:rPr>
      </w:pPr>
    </w:p>
    <w:p>
      <w:pPr>
        <w:pStyle w:val="9"/>
        <w:spacing w:before="156" w:after="156" w:line="360" w:lineRule="auto"/>
        <w:jc w:val="center"/>
        <w:rPr>
          <w:rFonts w:hAnsi="宋体"/>
          <w:b/>
          <w:sz w:val="32"/>
          <w:szCs w:val="32"/>
        </w:rPr>
      </w:pPr>
    </w:p>
    <w:p>
      <w:pPr>
        <w:pStyle w:val="9"/>
        <w:spacing w:before="156" w:after="156" w:line="360" w:lineRule="auto"/>
        <w:jc w:val="center"/>
        <w:rPr>
          <w:rFonts w:hAnsi="宋体"/>
          <w:b/>
          <w:sz w:val="32"/>
          <w:szCs w:val="32"/>
        </w:rPr>
      </w:pPr>
      <w:r>
        <w:rPr>
          <w:rFonts w:hint="eastAsia" w:hAnsi="宋体"/>
          <w:b/>
          <w:sz w:val="32"/>
          <w:szCs w:val="32"/>
        </w:rPr>
        <w:t>目    录</w:t>
      </w:r>
    </w:p>
    <w:p>
      <w:pPr>
        <w:pStyle w:val="9"/>
        <w:spacing w:before="156" w:after="156" w:line="360" w:lineRule="auto"/>
        <w:jc w:val="center"/>
        <w:rPr>
          <w:rFonts w:hAnsi="宋体"/>
          <w:sz w:val="32"/>
          <w:szCs w:val="32"/>
        </w:rPr>
      </w:pPr>
    </w:p>
    <w:p>
      <w:pPr>
        <w:spacing w:beforeLines="50" w:line="480" w:lineRule="exact"/>
        <w:ind w:left="165"/>
        <w:rPr>
          <w:rFonts w:ascii="宋体" w:hAnsi="宋体"/>
          <w:sz w:val="32"/>
          <w:szCs w:val="32"/>
        </w:rPr>
      </w:pPr>
      <w:r>
        <w:rPr>
          <w:rFonts w:hint="eastAsia" w:ascii="宋体" w:hAnsi="宋体"/>
          <w:sz w:val="32"/>
          <w:szCs w:val="32"/>
        </w:rPr>
        <w:t>第一章    采购公告………………………………………3</w:t>
      </w:r>
    </w:p>
    <w:p>
      <w:pPr>
        <w:spacing w:beforeLines="50" w:line="480" w:lineRule="exact"/>
        <w:ind w:left="165"/>
        <w:rPr>
          <w:rFonts w:ascii="宋体" w:hAnsi="宋体"/>
          <w:sz w:val="32"/>
          <w:szCs w:val="32"/>
        </w:rPr>
      </w:pPr>
      <w:r>
        <w:rPr>
          <w:rFonts w:hint="eastAsia" w:ascii="宋体" w:hAnsi="宋体"/>
          <w:sz w:val="32"/>
          <w:szCs w:val="32"/>
        </w:rPr>
        <w:t>第二章    投标须知………………………………………5</w:t>
      </w:r>
    </w:p>
    <w:p>
      <w:pPr>
        <w:spacing w:beforeLines="50" w:line="480" w:lineRule="exact"/>
        <w:ind w:left="165"/>
        <w:rPr>
          <w:rFonts w:ascii="宋体" w:hAnsi="宋体"/>
          <w:sz w:val="32"/>
          <w:szCs w:val="32"/>
        </w:rPr>
      </w:pPr>
      <w:r>
        <w:rPr>
          <w:rFonts w:hint="eastAsia" w:ascii="宋体" w:hAnsi="宋体"/>
          <w:sz w:val="32"/>
          <w:szCs w:val="32"/>
        </w:rPr>
        <w:t>第三章    评标办法及评标标准…………………………19</w:t>
      </w:r>
    </w:p>
    <w:p>
      <w:pPr>
        <w:spacing w:beforeLines="50" w:line="480" w:lineRule="exact"/>
        <w:ind w:left="165"/>
        <w:rPr>
          <w:rFonts w:ascii="宋体" w:hAnsi="宋体"/>
          <w:sz w:val="32"/>
          <w:szCs w:val="32"/>
        </w:rPr>
      </w:pPr>
      <w:r>
        <w:rPr>
          <w:rFonts w:hint="eastAsia" w:ascii="宋体" w:hAnsi="宋体"/>
          <w:sz w:val="32"/>
          <w:szCs w:val="32"/>
        </w:rPr>
        <w:t>第四章    采购需求………………………………………24</w:t>
      </w:r>
    </w:p>
    <w:p>
      <w:pPr>
        <w:spacing w:beforeLines="50" w:line="480" w:lineRule="exact"/>
        <w:ind w:left="165"/>
        <w:rPr>
          <w:rFonts w:ascii="宋体" w:hAnsi="宋体"/>
          <w:sz w:val="32"/>
          <w:szCs w:val="32"/>
        </w:rPr>
      </w:pPr>
      <w:r>
        <w:rPr>
          <w:rFonts w:hint="eastAsia" w:ascii="宋体" w:hAnsi="宋体"/>
          <w:sz w:val="32"/>
          <w:szCs w:val="32"/>
        </w:rPr>
        <w:t>第五章    政府采购合同主要条款………………………29</w:t>
      </w:r>
    </w:p>
    <w:p>
      <w:pPr>
        <w:spacing w:beforeLines="50" w:line="480" w:lineRule="exact"/>
        <w:ind w:left="165"/>
        <w:rPr>
          <w:rFonts w:ascii="宋体" w:hAnsi="宋体"/>
          <w:sz w:val="32"/>
          <w:szCs w:val="32"/>
        </w:rPr>
      </w:pPr>
      <w:r>
        <w:rPr>
          <w:rFonts w:hint="eastAsia" w:ascii="宋体" w:hAnsi="宋体"/>
          <w:sz w:val="32"/>
          <w:szCs w:val="32"/>
        </w:rPr>
        <w:t>第六章    投标文件格式…………………………………32</w:t>
      </w:r>
    </w:p>
    <w:p>
      <w:pPr>
        <w:pStyle w:val="9"/>
        <w:snapToGrid w:val="0"/>
        <w:spacing w:before="156" w:afterLines="100" w:line="240" w:lineRule="auto"/>
        <w:jc w:val="center"/>
        <w:outlineLvl w:val="0"/>
        <w:rPr>
          <w:rFonts w:hAnsi="宋体"/>
          <w:b/>
          <w:sz w:val="32"/>
          <w:szCs w:val="32"/>
        </w:rPr>
      </w:pPr>
      <w:r>
        <w:rPr>
          <w:rFonts w:hAnsi="宋体"/>
        </w:rPr>
        <w:br w:type="page"/>
      </w:r>
      <w:r>
        <w:rPr>
          <w:rFonts w:hint="eastAsia" w:hAnsi="宋体"/>
          <w:b/>
          <w:sz w:val="32"/>
          <w:szCs w:val="32"/>
        </w:rPr>
        <w:t>第一章  采购公告</w:t>
      </w:r>
    </w:p>
    <w:p>
      <w:pPr>
        <w:spacing w:line="360" w:lineRule="auto"/>
        <w:ind w:firstLine="480" w:firstLineChars="200"/>
        <w:rPr>
          <w:rFonts w:ascii="宋体" w:hAnsi="宋体"/>
          <w:sz w:val="24"/>
          <w:u w:val="single"/>
        </w:rPr>
      </w:pPr>
      <w:r>
        <w:rPr>
          <w:rFonts w:hint="eastAsia" w:ascii="宋体" w:hAnsi="宋体"/>
          <w:sz w:val="24"/>
        </w:rPr>
        <w:t>受杭州市生态环境局临安分局的委托，杭州市公共资源交易中心临安分中心（以下简称“采购机构”），就以下临安区降水全指标自动监测系统采购项目进行公开采购，现欢迎有供货能力的合格供应商参加投标。</w:t>
      </w:r>
    </w:p>
    <w:p>
      <w:pPr>
        <w:snapToGrid w:val="0"/>
        <w:spacing w:line="360" w:lineRule="auto"/>
        <w:ind w:firstLine="480" w:firstLineChars="200"/>
        <w:rPr>
          <w:rFonts w:ascii="宋体" w:hAnsi="宋体"/>
          <w:sz w:val="24"/>
        </w:rPr>
      </w:pPr>
      <w:r>
        <w:rPr>
          <w:rFonts w:hint="eastAsia" w:ascii="宋体" w:hAnsi="宋体" w:cs="Arial"/>
          <w:sz w:val="24"/>
        </w:rPr>
        <w:t>一、</w:t>
      </w:r>
      <w:r>
        <w:rPr>
          <w:rFonts w:hint="eastAsia" w:ascii="宋体" w:hAnsi="宋体" w:cs="Arial"/>
          <w:b/>
          <w:bCs/>
          <w:sz w:val="24"/>
        </w:rPr>
        <w:t>项目编号：</w:t>
      </w:r>
      <w:r>
        <w:rPr>
          <w:rFonts w:ascii="宋体" w:hAnsi="宋体"/>
          <w:sz w:val="24"/>
        </w:rPr>
        <w:t>LZC-GK-</w:t>
      </w:r>
      <w:r>
        <w:rPr>
          <w:rFonts w:hint="eastAsia" w:ascii="宋体" w:hAnsi="宋体"/>
          <w:sz w:val="24"/>
        </w:rPr>
        <w:t>2020</w:t>
      </w:r>
      <w:r>
        <w:rPr>
          <w:rFonts w:ascii="宋体" w:hAnsi="宋体"/>
          <w:sz w:val="24"/>
        </w:rPr>
        <w:t>-</w:t>
      </w:r>
      <w:r>
        <w:rPr>
          <w:rFonts w:hint="eastAsia" w:ascii="宋体" w:hAnsi="宋体"/>
          <w:sz w:val="24"/>
        </w:rPr>
        <w:t>06301</w:t>
      </w:r>
    </w:p>
    <w:p>
      <w:pPr>
        <w:snapToGrid w:val="0"/>
        <w:spacing w:line="360" w:lineRule="auto"/>
        <w:ind w:firstLine="482" w:firstLineChars="200"/>
        <w:rPr>
          <w:rFonts w:ascii="宋体" w:hAnsi="宋体" w:cs="Arial"/>
          <w:b/>
          <w:bCs/>
          <w:sz w:val="24"/>
        </w:rPr>
      </w:pPr>
      <w:r>
        <w:rPr>
          <w:rFonts w:hint="eastAsia" w:ascii="宋体" w:hAnsi="宋体" w:cs="Arial"/>
          <w:b/>
          <w:sz w:val="24"/>
        </w:rPr>
        <w:t>二、</w:t>
      </w:r>
      <w:r>
        <w:rPr>
          <w:rFonts w:hint="eastAsia" w:ascii="宋体" w:hAnsi="宋体" w:cs="Arial"/>
          <w:b/>
          <w:bCs/>
          <w:sz w:val="24"/>
        </w:rPr>
        <w:t>采购内容及数量</w:t>
      </w:r>
    </w:p>
    <w:tbl>
      <w:tblPr>
        <w:tblStyle w:val="15"/>
        <w:tblW w:w="98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55"/>
        <w:gridCol w:w="816"/>
        <w:gridCol w:w="2520"/>
        <w:gridCol w:w="18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46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Arial"/>
                <w:bCs/>
                <w:sz w:val="24"/>
                <w:highlight w:val="yellow"/>
              </w:rPr>
            </w:pPr>
            <w:r>
              <w:rPr>
                <w:rFonts w:hint="eastAsia" w:ascii="宋体" w:hAnsi="宋体" w:cs="Arial"/>
                <w:bCs/>
                <w:sz w:val="24"/>
              </w:rPr>
              <w:t>项目名称</w:t>
            </w:r>
          </w:p>
        </w:tc>
        <w:tc>
          <w:tcPr>
            <w:tcW w:w="8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Arial"/>
                <w:bCs/>
                <w:sz w:val="24"/>
                <w:highlight w:val="yellow"/>
              </w:rPr>
            </w:pPr>
            <w:r>
              <w:rPr>
                <w:rFonts w:hint="eastAsia" w:ascii="宋体" w:hAnsi="宋体" w:cs="Arial"/>
                <w:bCs/>
                <w:sz w:val="24"/>
              </w:rPr>
              <w:t>数量</w:t>
            </w:r>
          </w:p>
        </w:tc>
        <w:tc>
          <w:tcPr>
            <w:tcW w:w="252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Arial"/>
                <w:bCs/>
                <w:sz w:val="24"/>
              </w:rPr>
            </w:pPr>
            <w:r>
              <w:rPr>
                <w:rFonts w:hint="eastAsia" w:ascii="宋体" w:hAnsi="宋体" w:cs="Arial"/>
                <w:bCs/>
                <w:sz w:val="24"/>
              </w:rPr>
              <w:t>技术要求</w:t>
            </w:r>
          </w:p>
        </w:tc>
        <w:tc>
          <w:tcPr>
            <w:tcW w:w="181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Arial"/>
                <w:bCs/>
                <w:sz w:val="24"/>
                <w:highlight w:val="yellow"/>
              </w:rPr>
            </w:pPr>
            <w:r>
              <w:rPr>
                <w:rFonts w:hint="eastAsia" w:ascii="宋体" w:hAnsi="宋体" w:cs="Arial"/>
                <w:bCs/>
                <w:sz w:val="24"/>
              </w:rPr>
              <w:t>上限价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78" w:hRule="atLeast"/>
          <w:jc w:val="center"/>
        </w:trPr>
        <w:tc>
          <w:tcPr>
            <w:tcW w:w="4655" w:type="dxa"/>
            <w:tcBorders>
              <w:top w:val="single" w:color="auto" w:sz="4" w:space="0"/>
              <w:left w:val="single" w:color="auto" w:sz="4" w:space="0"/>
              <w:right w:val="single" w:color="auto" w:sz="4" w:space="0"/>
            </w:tcBorders>
            <w:vAlign w:val="center"/>
          </w:tcPr>
          <w:p>
            <w:pPr>
              <w:snapToGrid w:val="0"/>
              <w:spacing w:line="360" w:lineRule="auto"/>
              <w:rPr>
                <w:rFonts w:ascii="宋体" w:hAnsi="宋体"/>
                <w:sz w:val="24"/>
              </w:rPr>
            </w:pPr>
            <w:r>
              <w:rPr>
                <w:rFonts w:hint="eastAsia" w:ascii="宋体" w:hAnsi="宋体"/>
                <w:sz w:val="24"/>
              </w:rPr>
              <w:t>临安区降水全指标自动监测系统采购项目</w:t>
            </w:r>
          </w:p>
        </w:tc>
        <w:tc>
          <w:tcPr>
            <w:tcW w:w="816"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Arial"/>
                <w:bCs/>
                <w:sz w:val="24"/>
              </w:rPr>
            </w:pPr>
            <w:r>
              <w:rPr>
                <w:rFonts w:hint="eastAsia" w:ascii="宋体" w:hAnsi="宋体" w:cs="Arial"/>
                <w:bCs/>
                <w:sz w:val="24"/>
              </w:rPr>
              <w:t>1批</w:t>
            </w:r>
          </w:p>
        </w:tc>
        <w:tc>
          <w:tcPr>
            <w:tcW w:w="2520" w:type="dxa"/>
            <w:tcBorders>
              <w:top w:val="single" w:color="auto" w:sz="4" w:space="0"/>
              <w:left w:val="single" w:color="auto" w:sz="4" w:space="0"/>
              <w:right w:val="single" w:color="auto" w:sz="4" w:space="0"/>
            </w:tcBorders>
          </w:tcPr>
          <w:p>
            <w:pPr>
              <w:snapToGrid w:val="0"/>
              <w:spacing w:line="360" w:lineRule="auto"/>
              <w:rPr>
                <w:rFonts w:ascii="宋体" w:hAnsi="宋体" w:cs="Arial"/>
                <w:bCs/>
                <w:sz w:val="24"/>
              </w:rPr>
            </w:pPr>
          </w:p>
          <w:p>
            <w:pPr>
              <w:snapToGrid w:val="0"/>
              <w:spacing w:line="360" w:lineRule="auto"/>
              <w:rPr>
                <w:rFonts w:ascii="宋体" w:hAnsi="宋体" w:cs="Arial"/>
                <w:bCs/>
                <w:sz w:val="24"/>
              </w:rPr>
            </w:pPr>
            <w:r>
              <w:rPr>
                <w:rFonts w:hint="eastAsia" w:ascii="宋体" w:hAnsi="宋体" w:cs="Arial"/>
                <w:bCs/>
                <w:sz w:val="24"/>
              </w:rPr>
              <w:t>详见第四章采购需求</w:t>
            </w:r>
          </w:p>
        </w:tc>
        <w:tc>
          <w:tcPr>
            <w:tcW w:w="1813"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Arial"/>
                <w:bCs/>
                <w:sz w:val="24"/>
              </w:rPr>
            </w:pPr>
            <w:r>
              <w:rPr>
                <w:rFonts w:hint="eastAsia" w:ascii="宋体" w:hAnsi="宋体" w:cs="Arial"/>
                <w:bCs/>
                <w:sz w:val="24"/>
              </w:rPr>
              <w:t>140万元</w:t>
            </w:r>
          </w:p>
        </w:tc>
      </w:tr>
    </w:tbl>
    <w:p>
      <w:pPr>
        <w:snapToGrid w:val="0"/>
        <w:spacing w:line="360" w:lineRule="auto"/>
        <w:ind w:firstLine="482" w:firstLineChars="200"/>
        <w:rPr>
          <w:rFonts w:ascii="宋体" w:hAnsi="宋体" w:cs="Arial"/>
          <w:b/>
          <w:bCs/>
          <w:sz w:val="24"/>
        </w:rPr>
      </w:pPr>
      <w:r>
        <w:rPr>
          <w:rFonts w:hint="eastAsia" w:ascii="宋体" w:hAnsi="宋体" w:cs="Arial"/>
          <w:b/>
          <w:sz w:val="24"/>
        </w:rPr>
        <w:t>三</w:t>
      </w:r>
      <w:r>
        <w:rPr>
          <w:rFonts w:hint="eastAsia" w:ascii="宋体" w:hAnsi="宋体" w:cs="Arial"/>
          <w:sz w:val="24"/>
        </w:rPr>
        <w:t>、</w:t>
      </w:r>
      <w:r>
        <w:rPr>
          <w:rFonts w:hint="eastAsia" w:ascii="宋体" w:hAnsi="宋体" w:cs="Arial"/>
          <w:b/>
          <w:bCs/>
          <w:sz w:val="24"/>
        </w:rPr>
        <w:t>合格供应商资格要求</w:t>
      </w:r>
    </w:p>
    <w:p>
      <w:pPr>
        <w:snapToGrid w:val="0"/>
        <w:spacing w:line="360" w:lineRule="auto"/>
        <w:ind w:firstLine="480" w:firstLineChars="200"/>
        <w:rPr>
          <w:rFonts w:ascii="宋体" w:hAnsi="宋体"/>
          <w:sz w:val="24"/>
        </w:rPr>
      </w:pPr>
      <w:r>
        <w:rPr>
          <w:rFonts w:hint="eastAsia" w:ascii="宋体" w:hAnsi="宋体"/>
          <w:sz w:val="24"/>
        </w:rPr>
        <w:t>1.符合《中华人民共和国政府采购法》第二十二条之规定；</w:t>
      </w:r>
    </w:p>
    <w:p>
      <w:pPr>
        <w:snapToGrid w:val="0"/>
        <w:spacing w:line="360" w:lineRule="auto"/>
        <w:ind w:firstLine="480" w:firstLineChars="200"/>
        <w:rPr>
          <w:rFonts w:ascii="宋体" w:hAnsi="宋体"/>
          <w:sz w:val="24"/>
        </w:rPr>
      </w:pPr>
      <w:r>
        <w:rPr>
          <w:rFonts w:hint="eastAsia" w:ascii="宋体" w:hAnsi="宋体"/>
          <w:sz w:val="24"/>
        </w:rPr>
        <w:t>2.未被“信用中国”（www.creditchina.gov.cn）、中国政府采购网（www.ccgp.gov.cn）列入失信被执行人、重大税收违法案件当事人名单、政府采购严重违法失信行为记录名单； </w:t>
      </w:r>
    </w:p>
    <w:p>
      <w:pPr>
        <w:snapToGrid w:val="0"/>
        <w:spacing w:line="360" w:lineRule="auto"/>
        <w:ind w:firstLine="480" w:firstLineChars="200"/>
        <w:rPr>
          <w:rFonts w:ascii="宋体" w:hAnsi="宋体"/>
          <w:sz w:val="24"/>
        </w:rPr>
      </w:pPr>
      <w:r>
        <w:rPr>
          <w:rFonts w:hint="eastAsia" w:ascii="宋体" w:hAnsi="宋体"/>
          <w:sz w:val="24"/>
        </w:rPr>
        <w:t>3.不允许联合体投标。</w:t>
      </w:r>
    </w:p>
    <w:p>
      <w:pPr>
        <w:snapToGrid w:val="0"/>
        <w:spacing w:line="360" w:lineRule="auto"/>
        <w:ind w:firstLine="482" w:firstLineChars="200"/>
        <w:rPr>
          <w:rFonts w:ascii="宋体" w:hAnsi="宋体"/>
          <w:b/>
          <w:sz w:val="24"/>
        </w:rPr>
      </w:pPr>
      <w:r>
        <w:rPr>
          <w:rFonts w:hint="eastAsia" w:ascii="宋体" w:hAnsi="宋体"/>
          <w:b/>
          <w:sz w:val="24"/>
        </w:rPr>
        <w:t>四、投标报名</w:t>
      </w:r>
    </w:p>
    <w:p>
      <w:pPr>
        <w:snapToGrid w:val="0"/>
        <w:spacing w:line="360" w:lineRule="auto"/>
        <w:ind w:firstLine="482" w:firstLineChars="200"/>
        <w:rPr>
          <w:rFonts w:ascii="宋体" w:hAnsi="宋体"/>
          <w:b/>
          <w:sz w:val="24"/>
        </w:rPr>
      </w:pPr>
      <w:r>
        <w:rPr>
          <w:rFonts w:hint="eastAsia" w:ascii="宋体" w:hAnsi="宋体"/>
          <w:b/>
          <w:sz w:val="24"/>
        </w:rPr>
        <w:t>本项目实行网上报名，不接受现场报名。投标截止时间前，供应商自行登录浙江政府采购网（http://www.zjzfcg.gov.cn）进行报名。</w:t>
      </w:r>
    </w:p>
    <w:p>
      <w:pPr>
        <w:snapToGrid w:val="0"/>
        <w:spacing w:line="360" w:lineRule="auto"/>
        <w:ind w:firstLine="438" w:firstLineChars="200"/>
        <w:rPr>
          <w:rFonts w:ascii="宋体" w:hAnsi="宋体"/>
          <w:b/>
          <w:spacing w:val="-23"/>
          <w:sz w:val="24"/>
        </w:rPr>
      </w:pPr>
      <w:r>
        <w:rPr>
          <w:rFonts w:hint="eastAsia" w:ascii="宋体" w:hAnsi="宋体"/>
          <w:b/>
          <w:spacing w:val="-11"/>
          <w:sz w:val="24"/>
        </w:rPr>
        <w:t>《供应商网上报名操作指南》网址：浙江政府采购网，位置：“首页-办事指南-省采中心-网上报名”</w:t>
      </w:r>
      <w:r>
        <w:rPr>
          <w:rFonts w:hint="eastAsia" w:ascii="宋体" w:hAnsi="宋体"/>
          <w:b/>
          <w:spacing w:val="-23"/>
          <w:sz w:val="24"/>
        </w:rPr>
        <w:t>（http://www.zjzfcg.gov.cn/bs_other/2018-03-30/12002.html?_=2018-03-30 11:40:47）。</w:t>
      </w:r>
    </w:p>
    <w:p>
      <w:pPr>
        <w:snapToGrid w:val="0"/>
        <w:spacing w:line="360" w:lineRule="auto"/>
        <w:ind w:firstLine="542" w:firstLineChars="225"/>
        <w:rPr>
          <w:rFonts w:ascii="宋体" w:hAnsi="宋体" w:cs="Arial"/>
          <w:sz w:val="24"/>
        </w:rPr>
      </w:pPr>
      <w:r>
        <w:rPr>
          <w:rFonts w:hint="eastAsia" w:ascii="宋体" w:hAnsi="宋体" w:cs="Arial"/>
          <w:b/>
          <w:bCs/>
          <w:sz w:val="24"/>
        </w:rPr>
        <w:t>五、采购文件的获取</w:t>
      </w:r>
      <w:r>
        <w:rPr>
          <w:rFonts w:hint="eastAsia" w:ascii="宋体" w:hAnsi="宋体" w:cs="Arial"/>
          <w:sz w:val="24"/>
        </w:rPr>
        <w:t>：</w:t>
      </w:r>
    </w:p>
    <w:p>
      <w:pPr>
        <w:spacing w:line="360" w:lineRule="auto"/>
        <w:ind w:firstLine="480" w:firstLineChars="200"/>
        <w:rPr>
          <w:rFonts w:ascii="宋体" w:hAnsi="宋体"/>
          <w:color w:val="000000"/>
          <w:sz w:val="24"/>
        </w:rPr>
      </w:pPr>
      <w:r>
        <w:rPr>
          <w:rFonts w:hint="eastAsia" w:ascii="宋体" w:hAnsi="宋体"/>
          <w:color w:val="000000"/>
          <w:sz w:val="24"/>
        </w:rPr>
        <w:t>自本公告发布之日起在公告附件中免费下载，下载地址：</w:t>
      </w:r>
    </w:p>
    <w:p>
      <w:pPr>
        <w:spacing w:line="360" w:lineRule="auto"/>
        <w:ind w:firstLine="480" w:firstLineChars="200"/>
        <w:rPr>
          <w:rFonts w:ascii="宋体" w:hAnsi="宋体"/>
          <w:color w:val="000000"/>
          <w:sz w:val="24"/>
        </w:rPr>
      </w:pPr>
      <w:r>
        <w:rPr>
          <w:rFonts w:ascii="宋体" w:hAnsi="宋体"/>
          <w:color w:val="000000"/>
          <w:sz w:val="24"/>
        </w:rPr>
        <w:t>浙江省政府采购网（</w:t>
      </w:r>
      <w:r>
        <w:fldChar w:fldCharType="begin"/>
      </w:r>
      <w:r>
        <w:instrText xml:space="preserve"> HYPERLINK "http://www.zjzfcg.gov.cn" </w:instrText>
      </w:r>
      <w:r>
        <w:fldChar w:fldCharType="separate"/>
      </w:r>
      <w:r>
        <w:rPr>
          <w:rFonts w:ascii="宋体" w:hAnsi="宋体"/>
          <w:color w:val="000000"/>
          <w:sz w:val="24"/>
        </w:rPr>
        <w:t>http://www.zjzfcg.gov.cn</w:t>
      </w:r>
      <w:r>
        <w:rPr>
          <w:rFonts w:ascii="宋体" w:hAnsi="宋体"/>
          <w:color w:val="000000"/>
          <w:sz w:val="24"/>
        </w:rPr>
        <w:fldChar w:fldCharType="end"/>
      </w:r>
      <w:r>
        <w:rPr>
          <w:rFonts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杭州市</w:t>
      </w:r>
      <w:r>
        <w:rPr>
          <w:rFonts w:ascii="宋体" w:hAnsi="宋体"/>
          <w:color w:val="000000"/>
          <w:sz w:val="24"/>
        </w:rPr>
        <w:t>公共资源交易网：</w:t>
      </w:r>
      <w:r>
        <w:rPr>
          <w:rFonts w:hint="eastAsia" w:ascii="宋体" w:hAnsi="宋体"/>
          <w:color w:val="000000"/>
          <w:sz w:val="24"/>
        </w:rPr>
        <w:t>（</w:t>
      </w:r>
      <w:r>
        <w:fldChar w:fldCharType="begin"/>
      </w:r>
      <w:r>
        <w:instrText xml:space="preserve"> HYPERLINK "https://www.hzctc.cn/Index/Home" </w:instrText>
      </w:r>
      <w:r>
        <w:fldChar w:fldCharType="separate"/>
      </w:r>
      <w:r>
        <w:rPr>
          <w:rStyle w:val="18"/>
          <w:rFonts w:ascii="宋体" w:hAnsi="宋体" w:cs="宋体"/>
          <w:sz w:val="24"/>
        </w:rPr>
        <w:t>https://www.hzctc.cn/Index/Home</w:t>
      </w:r>
      <w:r>
        <w:rPr>
          <w:rStyle w:val="18"/>
          <w:rFonts w:ascii="宋体" w:hAnsi="宋体" w:cs="宋体"/>
          <w:sz w:val="24"/>
        </w:rPr>
        <w:fldChar w:fldCharType="end"/>
      </w:r>
      <w:r>
        <w:rPr>
          <w:rFonts w:hint="eastAsia"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临安区政府采购网(</w:t>
      </w:r>
      <w:r>
        <w:fldChar w:fldCharType="begin"/>
      </w:r>
      <w:r>
        <w:instrText xml:space="preserve"> HYPERLINK "http://www.linan.gov.cn/col/col1366369/" </w:instrText>
      </w:r>
      <w:r>
        <w:fldChar w:fldCharType="separate"/>
      </w:r>
      <w:r>
        <w:rPr>
          <w:rStyle w:val="18"/>
          <w:rFonts w:ascii="宋体" w:hAnsi="宋体"/>
          <w:sz w:val="24"/>
        </w:rPr>
        <w:t>http://www.linan.gov.cn/col/col1366369/</w:t>
      </w:r>
      <w:r>
        <w:rPr>
          <w:rStyle w:val="18"/>
          <w:rFonts w:ascii="宋体" w:hAnsi="宋体"/>
          <w:sz w:val="24"/>
        </w:rPr>
        <w:fldChar w:fldCharType="end"/>
      </w:r>
      <w:r>
        <w:rPr>
          <w:rFonts w:hint="eastAsia" w:ascii="宋体" w:hAnsi="宋体"/>
          <w:color w:val="000000"/>
          <w:sz w:val="24"/>
        </w:rPr>
        <w:t>)</w:t>
      </w:r>
    </w:p>
    <w:p>
      <w:pPr>
        <w:snapToGrid w:val="0"/>
        <w:spacing w:line="360" w:lineRule="auto"/>
        <w:ind w:firstLine="482"/>
        <w:rPr>
          <w:rFonts w:ascii="宋体" w:hAnsi="宋体"/>
          <w:b/>
          <w:kern w:val="0"/>
          <w:sz w:val="24"/>
        </w:rPr>
      </w:pPr>
      <w:r>
        <w:rPr>
          <w:rFonts w:hint="eastAsia" w:ascii="宋体" w:hAnsi="宋体"/>
          <w:b/>
          <w:sz w:val="24"/>
        </w:rPr>
        <w:t>（注：采购公告上附件里的采购文件仅供阅览使用，报名成功后才视作供应商依法获取采购文件，未进行报名的供应商，对采购文件提起的质疑，将不予受理。）</w:t>
      </w:r>
    </w:p>
    <w:p>
      <w:pPr>
        <w:spacing w:line="360" w:lineRule="auto"/>
        <w:ind w:firstLine="482" w:firstLineChars="200"/>
        <w:rPr>
          <w:rFonts w:ascii="宋体" w:hAnsi="宋体" w:cs="Arial"/>
          <w:sz w:val="24"/>
        </w:rPr>
      </w:pPr>
      <w:r>
        <w:rPr>
          <w:rFonts w:hint="eastAsia" w:ascii="宋体" w:hAnsi="宋体" w:cs="Arial"/>
          <w:b/>
          <w:bCs/>
          <w:sz w:val="24"/>
        </w:rPr>
        <w:t>六、投标保证金</w:t>
      </w:r>
      <w:r>
        <w:rPr>
          <w:rFonts w:hint="eastAsia" w:ascii="宋体" w:hAnsi="宋体" w:cs="Arial"/>
          <w:sz w:val="24"/>
        </w:rPr>
        <w:t>：无</w:t>
      </w:r>
    </w:p>
    <w:p>
      <w:pPr>
        <w:snapToGrid w:val="0"/>
        <w:spacing w:line="360" w:lineRule="auto"/>
        <w:ind w:firstLine="482" w:firstLineChars="200"/>
        <w:rPr>
          <w:rFonts w:ascii="宋体" w:hAnsi="宋体"/>
          <w:b/>
          <w:sz w:val="24"/>
        </w:rPr>
      </w:pPr>
      <w:r>
        <w:rPr>
          <w:rFonts w:hint="eastAsia" w:ascii="宋体" w:hAnsi="宋体"/>
          <w:b/>
          <w:sz w:val="24"/>
        </w:rPr>
        <w:t>七、投标说明</w:t>
      </w:r>
    </w:p>
    <w:p>
      <w:pPr>
        <w:pStyle w:val="9"/>
        <w:adjustRightInd w:val="0"/>
        <w:snapToGrid w:val="0"/>
        <w:spacing w:before="156" w:after="156" w:line="360" w:lineRule="auto"/>
        <w:ind w:firstLine="484" w:firstLineChars="201"/>
        <w:rPr>
          <w:rFonts w:hAnsi="宋体"/>
          <w:b/>
        </w:rPr>
      </w:pPr>
      <w:r>
        <w:rPr>
          <w:rFonts w:hint="eastAsia" w:hAnsi="宋体"/>
          <w:b/>
        </w:rPr>
        <w:t>1.</w:t>
      </w:r>
      <w:r>
        <w:rPr>
          <w:rFonts w:hAnsi="宋体"/>
          <w:b/>
        </w:rPr>
        <w:t>本项目实行</w:t>
      </w:r>
      <w:r>
        <w:rPr>
          <w:rFonts w:hint="eastAsia" w:hAnsi="宋体"/>
          <w:b/>
        </w:rPr>
        <w:t>电子投标，投标人无须提交纸质投标文件，无须授权代表参加开标会议。应按照本项目招标文件和政采云平台的要求编制、加密并递交投标文件。供应商在使用系统进行投标的过程中遇到涉及平台使用的任何问题，可致电政采云平台技术支持热线咨询，联系方式：</w:t>
      </w:r>
      <w:r>
        <w:rPr>
          <w:rFonts w:hAnsi="宋体"/>
          <w:b/>
        </w:rPr>
        <w:t>400-881-7190</w:t>
      </w:r>
      <w:r>
        <w:rPr>
          <w:rFonts w:hint="eastAsia" w:hAnsi="宋体"/>
          <w:b/>
        </w:rPr>
        <w:t>。</w:t>
      </w:r>
    </w:p>
    <w:p>
      <w:pPr>
        <w:pStyle w:val="9"/>
        <w:adjustRightInd w:val="0"/>
        <w:snapToGrid w:val="0"/>
        <w:spacing w:before="156" w:after="156" w:line="360" w:lineRule="auto"/>
        <w:ind w:firstLine="484" w:firstLineChars="201"/>
        <w:rPr>
          <w:rFonts w:hAnsi="宋体"/>
          <w:b/>
        </w:rPr>
      </w:pPr>
      <w:r>
        <w:rPr>
          <w:rFonts w:hint="eastAsia" w:hAnsi="宋体"/>
          <w:b/>
        </w:rPr>
        <w:t>2.投标人</w:t>
      </w:r>
      <w:r>
        <w:rPr>
          <w:rFonts w:hAnsi="宋体"/>
          <w:b/>
        </w:rPr>
        <w:t>应在开标前完成CA数字证书办理。（办理流程详见</w:t>
      </w:r>
      <w:r>
        <w:fldChar w:fldCharType="begin"/>
      </w:r>
      <w:r>
        <w:instrText xml:space="preserve"> HYPERLINK "http://www.zjzfcg.gov.cn/bidClientTemplate/2019-05-27/12945.html" </w:instrText>
      </w:r>
      <w:r>
        <w:fldChar w:fldCharType="separate"/>
      </w:r>
      <w:r>
        <w:rPr>
          <w:rFonts w:hAnsi="宋体"/>
          <w:b/>
        </w:rPr>
        <w:t>http://www.zjzfcg.gov.cn/bidClientTemplate/2019-05-27/12945.html</w:t>
      </w:r>
      <w:r>
        <w:rPr>
          <w:rFonts w:hAnsi="宋体"/>
          <w:b/>
        </w:rPr>
        <w:fldChar w:fldCharType="end"/>
      </w:r>
      <w:r>
        <w:rPr>
          <w:rFonts w:hAnsi="宋体"/>
          <w:b/>
        </w:rPr>
        <w:t>）。完成CA数字证书办理</w:t>
      </w:r>
      <w:r>
        <w:rPr>
          <w:rFonts w:hint="eastAsia" w:hAnsi="宋体"/>
          <w:b/>
        </w:rPr>
        <w:t>预计一周左右，建议各投标人抓紧时间办理。</w:t>
      </w:r>
    </w:p>
    <w:p>
      <w:pPr>
        <w:pStyle w:val="9"/>
        <w:adjustRightInd w:val="0"/>
        <w:snapToGrid w:val="0"/>
        <w:spacing w:before="156" w:after="156" w:line="360" w:lineRule="auto"/>
        <w:ind w:firstLine="484" w:firstLineChars="201"/>
        <w:rPr>
          <w:rFonts w:hAnsi="宋体"/>
          <w:b/>
        </w:rPr>
      </w:pPr>
      <w:r>
        <w:rPr>
          <w:rFonts w:hint="eastAsia" w:hAnsi="宋体"/>
          <w:b/>
        </w:rPr>
        <w:t>3.</w:t>
      </w:r>
      <w:r>
        <w:rPr>
          <w:rFonts w:hAnsi="宋体"/>
          <w:b/>
        </w:rPr>
        <w:t>投标人通过</w:t>
      </w:r>
      <w:r>
        <w:rPr>
          <w:rFonts w:hint="eastAsia" w:hAnsi="宋体"/>
          <w:b/>
        </w:rPr>
        <w:t>“</w:t>
      </w:r>
      <w:r>
        <w:rPr>
          <w:rFonts w:hAnsi="宋体"/>
          <w:b/>
        </w:rPr>
        <w:t>政采云</w:t>
      </w:r>
      <w:r>
        <w:rPr>
          <w:rFonts w:hint="eastAsia" w:hAnsi="宋体"/>
          <w:b/>
        </w:rPr>
        <w:t>”</w:t>
      </w:r>
      <w:r>
        <w:rPr>
          <w:rFonts w:hAnsi="宋体"/>
          <w:b/>
        </w:rPr>
        <w:t>平台电子投标工具制作投标文件，电子投标工具请供应商自行前往</w:t>
      </w:r>
      <w:r>
        <w:rPr>
          <w:rFonts w:hint="eastAsia" w:hAnsi="宋体"/>
          <w:b/>
        </w:rPr>
        <w:t>浙江省政府采购网下载并安装，（下载网址：</w:t>
      </w:r>
      <w:r>
        <w:fldChar w:fldCharType="begin"/>
      </w:r>
      <w:r>
        <w:instrText xml:space="preserve"> HYPERLINK "http://www.zjzfcg.gov.cn/bidClientTemplate/2019-05-27/12946.html" </w:instrText>
      </w:r>
      <w:r>
        <w:fldChar w:fldCharType="separate"/>
      </w:r>
      <w:r>
        <w:rPr>
          <w:rFonts w:hAnsi="宋体"/>
          <w:b/>
        </w:rPr>
        <w:t>http://www.zjzfcg.gov.cn/bidClientTemplate/2019-05-27/12946.html</w:t>
      </w:r>
      <w:r>
        <w:rPr>
          <w:rFonts w:hAnsi="宋体"/>
          <w:b/>
        </w:rPr>
        <w:fldChar w:fldCharType="end"/>
      </w:r>
      <w:r>
        <w:rPr>
          <w:rFonts w:hint="eastAsia" w:hAnsi="宋体"/>
          <w:b/>
        </w:rPr>
        <w:t>）</w:t>
      </w:r>
      <w:r>
        <w:rPr>
          <w:rFonts w:hAnsi="宋体"/>
          <w:b/>
        </w:rPr>
        <w:t>，</w:t>
      </w:r>
      <w:r>
        <w:rPr>
          <w:rFonts w:hint="eastAsia" w:hAnsi="宋体"/>
          <w:b/>
        </w:rPr>
        <w:t>电子投标</w:t>
      </w:r>
      <w:r>
        <w:rPr>
          <w:rFonts w:hAnsi="宋体"/>
          <w:b/>
        </w:rPr>
        <w:t>具体流程详见本招标公告附件：“</w:t>
      </w:r>
      <w:r>
        <w:fldChar w:fldCharType="begin"/>
      </w:r>
      <w:r>
        <w:instrText xml:space="preserve"> HYPERLINK "file:///C:\\Users\\Administrator\\Documents\\WeChat%20Files\\w830616\\FileStorage\\File\\Documents\\WeChat%20Files\\w830616\\FileStorage\\Gao\\Documents\\WeChat%20Files\\hawer122\\FileStorage\\File\\2019-06\\电子化投标操作指南.pdf" </w:instrText>
      </w:r>
      <w:r>
        <w:fldChar w:fldCharType="separate"/>
      </w:r>
      <w:r>
        <w:rPr>
          <w:rFonts w:hAnsi="宋体"/>
          <w:b/>
        </w:rPr>
        <w:t>政采云供应商项目采购-电子招投标操作指南.pdf</w:t>
      </w:r>
      <w:r>
        <w:rPr>
          <w:rFonts w:hAnsi="宋体"/>
          <w:b/>
        </w:rPr>
        <w:fldChar w:fldCharType="end"/>
      </w:r>
      <w:r>
        <w:rPr>
          <w:rFonts w:hAnsi="宋体"/>
          <w:b/>
        </w:rPr>
        <w:t>”。</w:t>
      </w:r>
    </w:p>
    <w:p>
      <w:pPr>
        <w:snapToGrid w:val="0"/>
        <w:spacing w:line="360" w:lineRule="auto"/>
        <w:ind w:firstLine="482" w:firstLineChars="200"/>
        <w:jc w:val="left"/>
        <w:rPr>
          <w:rFonts w:ascii="宋体" w:hAnsi="宋体" w:cs="Arial"/>
          <w:sz w:val="24"/>
        </w:rPr>
      </w:pPr>
      <w:r>
        <w:rPr>
          <w:rFonts w:hint="eastAsia" w:ascii="宋体" w:hAnsi="宋体" w:cs="Arial"/>
          <w:b/>
          <w:bCs/>
          <w:sz w:val="24"/>
        </w:rPr>
        <w:t>八、投标截止时间和地点</w:t>
      </w:r>
      <w:r>
        <w:rPr>
          <w:rFonts w:hint="eastAsia" w:ascii="宋体" w:hAnsi="宋体" w:cs="Arial"/>
          <w:sz w:val="24"/>
        </w:rPr>
        <w:t>：</w:t>
      </w:r>
    </w:p>
    <w:p>
      <w:pPr>
        <w:pStyle w:val="9"/>
        <w:adjustRightInd w:val="0"/>
        <w:snapToGrid w:val="0"/>
        <w:spacing w:before="156" w:after="156" w:line="360" w:lineRule="auto"/>
        <w:ind w:firstLine="484" w:firstLineChars="201"/>
        <w:rPr>
          <w:rFonts w:hAnsi="宋体" w:cs="Arial"/>
          <w:b/>
        </w:rPr>
      </w:pPr>
      <w:r>
        <w:rPr>
          <w:rFonts w:hint="eastAsia" w:hAnsi="宋体" w:cs="Arial"/>
          <w:b/>
        </w:rPr>
        <w:t>本项目于2020年7月</w:t>
      </w:r>
      <w:r>
        <w:rPr>
          <w:rFonts w:hint="eastAsia" w:hAnsi="宋体" w:cs="Arial"/>
          <w:b/>
          <w:lang w:val="en-US" w:eastAsia="zh-CN"/>
        </w:rPr>
        <w:t>22</w:t>
      </w:r>
      <w:r>
        <w:rPr>
          <w:rFonts w:hint="eastAsia" w:hAnsi="宋体" w:cs="Arial"/>
          <w:b/>
        </w:rPr>
        <w:t>日9:00投标截止。</w:t>
      </w:r>
    </w:p>
    <w:p>
      <w:pPr>
        <w:pStyle w:val="9"/>
        <w:adjustRightInd w:val="0"/>
        <w:snapToGrid w:val="0"/>
        <w:spacing w:before="156" w:after="156" w:line="360" w:lineRule="auto"/>
        <w:ind w:firstLine="482" w:firstLineChars="201"/>
        <w:rPr>
          <w:rFonts w:hAnsi="宋体" w:cs="Arial"/>
        </w:rPr>
      </w:pPr>
      <w:r>
        <w:rPr>
          <w:rFonts w:hint="eastAsia" w:hAnsi="宋体" w:cs="Arial"/>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snapToGrid w:val="0"/>
        <w:spacing w:line="360" w:lineRule="auto"/>
        <w:ind w:firstLine="455" w:firstLineChars="189"/>
        <w:rPr>
          <w:rFonts w:ascii="宋体" w:hAnsi="宋体" w:cs="Arial"/>
          <w:b/>
          <w:sz w:val="24"/>
        </w:rPr>
      </w:pPr>
      <w:r>
        <w:rPr>
          <w:rFonts w:hint="eastAsia" w:ascii="宋体" w:hAnsi="宋体" w:cs="Arial"/>
          <w:b/>
          <w:sz w:val="24"/>
        </w:rPr>
        <w:t>九、业务咨询：</w:t>
      </w:r>
    </w:p>
    <w:p>
      <w:pPr>
        <w:snapToGrid w:val="0"/>
        <w:spacing w:line="360" w:lineRule="auto"/>
        <w:ind w:firstLine="480" w:firstLineChars="200"/>
        <w:rPr>
          <w:rFonts w:ascii="宋体" w:hAnsi="宋体" w:cs="Arial"/>
          <w:sz w:val="24"/>
        </w:rPr>
      </w:pPr>
      <w:r>
        <w:rPr>
          <w:rFonts w:hint="eastAsia" w:ascii="宋体" w:hAnsi="宋体"/>
          <w:sz w:val="24"/>
        </w:rPr>
        <w:t xml:space="preserve">杭州市公共资源交易中心临安分中心     </w:t>
      </w:r>
      <w:r>
        <w:rPr>
          <w:rFonts w:hint="eastAsia" w:ascii="宋体" w:hAnsi="宋体" w:cs="Arial"/>
          <w:sz w:val="24"/>
        </w:rPr>
        <w:t>联系人：陈君</w:t>
      </w:r>
    </w:p>
    <w:p>
      <w:pPr>
        <w:snapToGrid w:val="0"/>
        <w:spacing w:line="360" w:lineRule="auto"/>
        <w:ind w:firstLine="480" w:firstLineChars="200"/>
        <w:rPr>
          <w:rFonts w:ascii="宋体" w:hAnsi="宋体" w:cs="Arial"/>
          <w:sz w:val="24"/>
        </w:rPr>
      </w:pPr>
      <w:r>
        <w:rPr>
          <w:rFonts w:hint="eastAsia" w:ascii="宋体" w:hAnsi="宋体" w:cs="Arial"/>
          <w:sz w:val="24"/>
        </w:rPr>
        <w:t>联系电话：0571-23616011              传真：0571-23616610</w:t>
      </w:r>
    </w:p>
    <w:p>
      <w:pPr>
        <w:snapToGrid w:val="0"/>
        <w:spacing w:line="360" w:lineRule="auto"/>
        <w:ind w:firstLine="480" w:firstLineChars="200"/>
        <w:rPr>
          <w:rFonts w:ascii="宋体" w:hAnsi="宋体" w:cs="Arial"/>
          <w:sz w:val="24"/>
        </w:rPr>
      </w:pPr>
      <w:r>
        <w:rPr>
          <w:rFonts w:hint="eastAsia" w:ascii="宋体" w:hAnsi="宋体" w:cs="Arial"/>
          <w:sz w:val="24"/>
        </w:rPr>
        <w:t>质疑答复岗联系人：王晖               联系电话：0571-23616016</w:t>
      </w:r>
    </w:p>
    <w:p>
      <w:pPr>
        <w:snapToGrid w:val="0"/>
        <w:spacing w:line="360" w:lineRule="auto"/>
        <w:ind w:firstLine="480" w:firstLineChars="200"/>
        <w:rPr>
          <w:rFonts w:ascii="宋体" w:hAnsi="宋体" w:cs="Arial"/>
          <w:sz w:val="24"/>
        </w:rPr>
      </w:pPr>
      <w:r>
        <w:rPr>
          <w:rFonts w:hint="eastAsia" w:ascii="宋体" w:hAnsi="宋体" w:cs="Arial"/>
          <w:sz w:val="24"/>
        </w:rPr>
        <w:t>采购单位联系人：许振波               联系电话：18368038358</w:t>
      </w:r>
    </w:p>
    <w:p>
      <w:pPr>
        <w:snapToGrid w:val="0"/>
        <w:spacing w:line="500" w:lineRule="exact"/>
        <w:ind w:firstLine="480" w:firstLineChars="200"/>
        <w:rPr>
          <w:rFonts w:ascii="宋体" w:hAnsi="宋体" w:cs="Arial"/>
          <w:sz w:val="24"/>
        </w:rPr>
      </w:pPr>
    </w:p>
    <w:p>
      <w:pPr>
        <w:snapToGrid w:val="0"/>
        <w:spacing w:line="500" w:lineRule="exact"/>
        <w:ind w:left="238"/>
        <w:jc w:val="center"/>
        <w:rPr>
          <w:rFonts w:ascii="宋体" w:hAnsi="宋体"/>
          <w:sz w:val="24"/>
        </w:rPr>
      </w:pPr>
      <w:r>
        <w:rPr>
          <w:rFonts w:hint="eastAsia" w:ascii="宋体" w:hAnsi="宋体" w:cs="Arial"/>
          <w:sz w:val="24"/>
        </w:rPr>
        <w:t xml:space="preserve">                        </w:t>
      </w:r>
      <w:r>
        <w:rPr>
          <w:rFonts w:hint="eastAsia" w:ascii="宋体" w:hAnsi="宋体"/>
          <w:sz w:val="24"/>
        </w:rPr>
        <w:t xml:space="preserve">杭州市公共资源交易中心临安分中心                               </w:t>
      </w:r>
    </w:p>
    <w:p>
      <w:pPr>
        <w:snapToGrid w:val="0"/>
        <w:spacing w:line="500" w:lineRule="exact"/>
        <w:ind w:left="238"/>
        <w:jc w:val="center"/>
        <w:rPr>
          <w:rFonts w:ascii="宋体" w:hAnsi="宋体"/>
          <w:sz w:val="24"/>
        </w:rPr>
      </w:pPr>
      <w:r>
        <w:rPr>
          <w:rFonts w:hint="eastAsia" w:ascii="宋体" w:hAnsi="宋体"/>
          <w:sz w:val="24"/>
        </w:rPr>
        <w:t xml:space="preserve">                     2020年</w:t>
      </w:r>
      <w:r>
        <w:rPr>
          <w:rFonts w:hint="eastAsia" w:ascii="宋体" w:hAnsi="宋体"/>
          <w:sz w:val="24"/>
          <w:lang w:val="en-US" w:eastAsia="zh-CN"/>
        </w:rPr>
        <w:t>7</w:t>
      </w:r>
      <w:r>
        <w:rPr>
          <w:rFonts w:hint="eastAsia" w:ascii="宋体" w:hAnsi="宋体"/>
          <w:sz w:val="24"/>
        </w:rPr>
        <w:t>月</w:t>
      </w:r>
      <w:r>
        <w:rPr>
          <w:rFonts w:hint="eastAsia" w:ascii="宋体" w:hAnsi="宋体"/>
          <w:sz w:val="24"/>
          <w:lang w:val="en-US" w:eastAsia="zh-CN"/>
        </w:rPr>
        <w:t>1</w:t>
      </w:r>
      <w:r>
        <w:rPr>
          <w:rFonts w:hint="eastAsia" w:ascii="宋体" w:hAnsi="宋体"/>
          <w:sz w:val="24"/>
        </w:rPr>
        <w:t>日</w:t>
      </w:r>
    </w:p>
    <w:p>
      <w:pPr>
        <w:pStyle w:val="9"/>
        <w:snapToGrid w:val="0"/>
        <w:spacing w:beforeLines="0" w:afterLines="0" w:line="500" w:lineRule="exact"/>
        <w:jc w:val="center"/>
        <w:outlineLvl w:val="0"/>
        <w:rPr>
          <w:rFonts w:hAnsi="宋体"/>
          <w:b/>
          <w:sz w:val="32"/>
          <w:szCs w:val="32"/>
        </w:rPr>
      </w:pPr>
      <w:r>
        <w:rPr>
          <w:rFonts w:hint="eastAsia" w:hAnsi="宋体"/>
          <w:b/>
          <w:sz w:val="32"/>
          <w:szCs w:val="32"/>
        </w:rPr>
        <w:t>第二章  投标须知</w:t>
      </w:r>
    </w:p>
    <w:tbl>
      <w:tblPr>
        <w:tblStyle w:val="1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2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序号</w:t>
            </w:r>
          </w:p>
        </w:tc>
        <w:tc>
          <w:tcPr>
            <w:tcW w:w="82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1680" w:firstLineChars="700"/>
              <w:rPr>
                <w:rFonts w:ascii="宋体" w:hAnsi="宋体"/>
                <w:sz w:val="24"/>
              </w:rPr>
            </w:pPr>
            <w:r>
              <w:rPr>
                <w:rFonts w:hint="eastAsia" w:ascii="宋体" w:hAnsi="宋体"/>
                <w:sz w:val="24"/>
              </w:rPr>
              <w:t>内    容    及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1</w:t>
            </w:r>
          </w:p>
        </w:tc>
        <w:tc>
          <w:tcPr>
            <w:tcW w:w="8239" w:type="dxa"/>
            <w:tcBorders>
              <w:top w:val="single" w:color="auto" w:sz="4" w:space="0"/>
              <w:left w:val="single" w:color="auto" w:sz="4" w:space="0"/>
              <w:bottom w:val="single" w:color="auto" w:sz="4" w:space="0"/>
              <w:right w:val="single" w:color="auto" w:sz="4" w:space="0"/>
            </w:tcBorders>
            <w:vAlign w:val="center"/>
          </w:tcPr>
          <w:p>
            <w:pPr>
              <w:pStyle w:val="9"/>
              <w:spacing w:beforeLines="0" w:afterLines="0"/>
              <w:ind w:firstLine="4" w:firstLineChars="2"/>
              <w:jc w:val="left"/>
              <w:rPr>
                <w:rFonts w:hAnsi="宋体"/>
                <w:color w:val="FF0000"/>
              </w:rPr>
            </w:pPr>
            <w:r>
              <w:rPr>
                <w:rFonts w:hint="eastAsia" w:hAnsi="宋体"/>
              </w:rPr>
              <w:t>项目名称：临安区降水全指标自动监测系统采购项目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2</w:t>
            </w:r>
          </w:p>
        </w:tc>
        <w:tc>
          <w:tcPr>
            <w:tcW w:w="82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 w:val="24"/>
              </w:rPr>
            </w:pPr>
            <w:r>
              <w:rPr>
                <w:rFonts w:hint="eastAsia" w:ascii="宋体" w:hAnsi="宋体"/>
                <w:sz w:val="24"/>
              </w:rPr>
              <w:t>投标保证金应按《采购公告》五规定交纳。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3</w:t>
            </w:r>
          </w:p>
        </w:tc>
        <w:tc>
          <w:tcPr>
            <w:tcW w:w="82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 w:val="24"/>
              </w:rPr>
            </w:pPr>
            <w:r>
              <w:rPr>
                <w:rFonts w:hint="eastAsia" w:ascii="宋体" w:hAnsi="宋体"/>
                <w:sz w:val="24"/>
              </w:rPr>
              <w:t>答疑与澄清：投标供应商如认为招标文件表述不清晰、存在歧视性或者其他违法内容的，应当以书面形式要求采购机构或采购人作出书面解释、澄清或者向采购机构提出书面质疑，逾期不再受理。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4</w:t>
            </w:r>
          </w:p>
        </w:tc>
        <w:tc>
          <w:tcPr>
            <w:tcW w:w="82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 w:val="24"/>
              </w:rPr>
            </w:pPr>
            <w:r>
              <w:rPr>
                <w:rFonts w:hint="eastAsia" w:ascii="宋体" w:hAnsi="宋体"/>
                <w:sz w:val="24"/>
              </w:rPr>
              <w:t>投标截止时间：2020年7月</w:t>
            </w:r>
            <w:r>
              <w:rPr>
                <w:rFonts w:hint="eastAsia" w:ascii="宋体" w:hAnsi="宋体"/>
                <w:sz w:val="24"/>
                <w:lang w:val="en-US" w:eastAsia="zh-CN"/>
              </w:rPr>
              <w:t>22</w:t>
            </w:r>
            <w:r>
              <w:rPr>
                <w:rFonts w:hint="eastAsia" w:ascii="宋体" w:hAnsi="宋体"/>
                <w:sz w:val="24"/>
              </w:rPr>
              <w:t>日9时00分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5</w:t>
            </w:r>
          </w:p>
        </w:tc>
        <w:tc>
          <w:tcPr>
            <w:tcW w:w="82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 w:val="24"/>
              </w:rPr>
            </w:pPr>
            <w:r>
              <w:rPr>
                <w:rFonts w:hint="eastAsia" w:ascii="宋体" w:hAnsi="宋体"/>
                <w:sz w:val="24"/>
              </w:rPr>
              <w:t>开标时间、地点：2020年7月</w:t>
            </w:r>
            <w:r>
              <w:rPr>
                <w:rFonts w:hint="eastAsia" w:ascii="宋体" w:hAnsi="宋体"/>
                <w:sz w:val="24"/>
                <w:lang w:val="en-US" w:eastAsia="zh-CN"/>
              </w:rPr>
              <w:t>22</w:t>
            </w:r>
            <w:r>
              <w:rPr>
                <w:rFonts w:hint="eastAsia" w:ascii="宋体" w:hAnsi="宋体"/>
                <w:sz w:val="24"/>
              </w:rPr>
              <w:t>日9时00分</w:t>
            </w:r>
            <w:r>
              <w:rPr>
                <w:rFonts w:ascii="宋体" w:hAnsi="宋体"/>
                <w:sz w:val="24"/>
              </w:rPr>
              <w:t>.</w:t>
            </w:r>
            <w:r>
              <w:rPr>
                <w:rFonts w:hint="eastAsia" w:ascii="宋体" w:hAnsi="宋体"/>
                <w:sz w:val="24"/>
              </w:rPr>
              <w:t>本项目采用全流程电子化交易，无须参加现场开标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6</w:t>
            </w:r>
          </w:p>
        </w:tc>
        <w:tc>
          <w:tcPr>
            <w:tcW w:w="82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b/>
                <w:sz w:val="24"/>
              </w:rPr>
            </w:pPr>
            <w:r>
              <w:rPr>
                <w:rFonts w:hint="eastAsia" w:ascii="宋体" w:hAnsi="宋体"/>
                <w:b/>
                <w:sz w:val="24"/>
              </w:rPr>
              <w:t>本项目实行网上投标。</w:t>
            </w:r>
            <w:r>
              <w:rPr>
                <w:rFonts w:hint="eastAsia" w:ascii="宋体" w:hAnsi="宋体"/>
                <w:b/>
                <w:sz w:val="24"/>
              </w:rPr>
              <w:cr/>
            </w:r>
            <w:r>
              <w:rPr>
                <w:rFonts w:hint="eastAsia" w:ascii="宋体" w:hAnsi="宋体" w:cs="Arial"/>
                <w:b/>
                <w:sz w:val="24"/>
              </w:rPr>
              <w:t>目前政府采购全流程电子化交易，</w:t>
            </w:r>
            <w:r>
              <w:rPr>
                <w:rFonts w:hint="eastAsia" w:ascii="宋体" w:hAnsi="宋体"/>
                <w:b/>
                <w:sz w:val="24"/>
              </w:rPr>
              <w:t>供应商应准备电子投标文件投标文件：</w:t>
            </w:r>
            <w:r>
              <w:rPr>
                <w:rFonts w:hint="eastAsia" w:ascii="宋体" w:hAnsi="宋体"/>
                <w:b/>
                <w:sz w:val="24"/>
              </w:rPr>
              <w:cr/>
            </w:r>
            <w:r>
              <w:rPr>
                <w:rFonts w:hint="eastAsia" w:ascii="宋体" w:hAnsi="宋体"/>
                <w:b/>
                <w:sz w:val="24"/>
              </w:rPr>
              <w:t>电子投标文件，按政采云平台项目采购-电子招投标操作指南及本招标文件要求递交。</w:t>
            </w:r>
            <w:r>
              <w:rPr>
                <w:rFonts w:hint="eastAsia" w:ascii="宋体" w:hAnsi="宋体"/>
                <w:b/>
                <w:sz w:val="24"/>
              </w:rPr>
              <w:cr/>
            </w:r>
            <w:r>
              <w:rPr>
                <w:rFonts w:hint="eastAsia" w:ascii="宋体" w:hAnsi="宋体"/>
                <w:b/>
                <w:sz w:val="24"/>
              </w:rPr>
              <w:t>投标文件均由资质文件、技术及商务文件、报价文件组成。</w:t>
            </w:r>
            <w:r>
              <w:rPr>
                <w:rFonts w:hint="eastAsia" w:ascii="宋体" w:hAnsi="宋体" w:cs="Arial"/>
                <w:b/>
                <w:sz w:val="24"/>
              </w:rPr>
              <w:t>投标人务必按时自行解密，规定时间内解密失败者作无效响应处理。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7</w:t>
            </w:r>
          </w:p>
        </w:tc>
        <w:tc>
          <w:tcPr>
            <w:tcW w:w="82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rPr>
            </w:pPr>
            <w:r>
              <w:rPr>
                <w:rFonts w:hint="eastAsia" w:ascii="宋体" w:hAnsi="宋体"/>
                <w:b/>
                <w:sz w:val="24"/>
              </w:rPr>
              <w:t>投标文件的接受：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8</w:t>
            </w:r>
          </w:p>
        </w:tc>
        <w:tc>
          <w:tcPr>
            <w:tcW w:w="823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sz w:val="24"/>
              </w:rPr>
            </w:pPr>
            <w:r>
              <w:rPr>
                <w:rFonts w:hint="eastAsia" w:ascii="宋体" w:hAnsi="宋体"/>
                <w:sz w:val="24"/>
              </w:rPr>
              <w:t>评审结果公示：评审结束后两个工作日内，中标公示于临安区公共资源交易网，公示无异议后</w:t>
            </w:r>
            <w:r>
              <w:rPr>
                <w:rFonts w:hint="eastAsia" w:ascii="宋体" w:hAnsi="宋体" w:cs="Arial"/>
                <w:sz w:val="24"/>
              </w:rPr>
              <w:t>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9</w:t>
            </w:r>
          </w:p>
        </w:tc>
        <w:tc>
          <w:tcPr>
            <w:tcW w:w="823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sz w:val="24"/>
              </w:rPr>
            </w:pPr>
            <w:r>
              <w:rPr>
                <w:rFonts w:hint="eastAsia" w:ascii="宋体" w:hAnsi="宋体"/>
                <w:sz w:val="24"/>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10</w:t>
            </w:r>
          </w:p>
        </w:tc>
        <w:tc>
          <w:tcPr>
            <w:tcW w:w="8239" w:type="dxa"/>
            <w:tcBorders>
              <w:top w:val="single" w:color="auto" w:sz="4" w:space="0"/>
              <w:left w:val="single" w:color="auto" w:sz="4" w:space="0"/>
              <w:bottom w:val="single" w:color="auto" w:sz="4" w:space="0"/>
              <w:right w:val="single" w:color="auto" w:sz="4" w:space="0"/>
            </w:tcBorders>
            <w:vAlign w:val="center"/>
          </w:tcPr>
          <w:p>
            <w:pPr>
              <w:pStyle w:val="9"/>
              <w:adjustRightInd w:val="0"/>
              <w:snapToGrid w:val="0"/>
              <w:spacing w:beforeLines="0" w:afterLines="0"/>
              <w:rPr>
                <w:rFonts w:hAnsi="宋体" w:cs="Arial"/>
              </w:rPr>
            </w:pPr>
            <w:r>
              <w:rPr>
                <w:rFonts w:hint="eastAsia" w:hAnsi="宋体"/>
              </w:rPr>
              <w:t>付款方式：国库集中支付（采购人自行支付），详见采购需求。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11</w:t>
            </w:r>
          </w:p>
        </w:tc>
        <w:tc>
          <w:tcPr>
            <w:tcW w:w="8239" w:type="dxa"/>
            <w:tcBorders>
              <w:top w:val="single" w:color="auto" w:sz="4" w:space="0"/>
              <w:left w:val="single" w:color="auto" w:sz="4" w:space="0"/>
              <w:bottom w:val="single" w:color="auto" w:sz="4" w:space="0"/>
              <w:right w:val="single" w:color="auto" w:sz="4" w:space="0"/>
            </w:tcBorders>
            <w:vAlign w:val="center"/>
          </w:tcPr>
          <w:p>
            <w:pPr>
              <w:pStyle w:val="9"/>
              <w:adjustRightInd w:val="0"/>
              <w:spacing w:before="156" w:after="156"/>
              <w:rPr>
                <w:rFonts w:hAnsi="宋体"/>
              </w:rPr>
            </w:pPr>
            <w:r>
              <w:rPr>
                <w:rFonts w:hint="eastAsia" w:hAnsi="宋体"/>
              </w:rPr>
              <w:t>信用记录：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12</w:t>
            </w:r>
          </w:p>
        </w:tc>
        <w:tc>
          <w:tcPr>
            <w:tcW w:w="8239" w:type="dxa"/>
            <w:tcBorders>
              <w:top w:val="single" w:color="auto" w:sz="4" w:space="0"/>
              <w:left w:val="single" w:color="auto" w:sz="4" w:space="0"/>
              <w:bottom w:val="single" w:color="auto" w:sz="4" w:space="0"/>
              <w:right w:val="single" w:color="auto" w:sz="4" w:space="0"/>
            </w:tcBorders>
            <w:vAlign w:val="center"/>
          </w:tcPr>
          <w:p>
            <w:pPr>
              <w:pStyle w:val="9"/>
              <w:adjustRightInd w:val="0"/>
              <w:spacing w:before="156" w:after="156"/>
              <w:rPr>
                <w:rFonts w:hAnsi="宋体"/>
              </w:rPr>
            </w:pPr>
            <w:r>
              <w:rPr>
                <w:rFonts w:hint="eastAsia" w:hAnsi="宋体"/>
              </w:rPr>
              <w:t>政府采购节能环保产品：投标产品若属于节能环保产品的，请提供财政部、环境保护保部发布有效期内环境标志产品政府采购清单以及财政部、发改委联合发布有效期内节能产品政府采购清单。</w:t>
            </w:r>
          </w:p>
          <w:p>
            <w:pPr>
              <w:pStyle w:val="9"/>
              <w:adjustRightInd w:val="0"/>
              <w:spacing w:before="156" w:after="156"/>
              <w:rPr>
                <w:rFonts w:hAnsi="宋体"/>
              </w:rPr>
            </w:pPr>
            <w:r>
              <w:rPr>
                <w:rFonts w:hint="eastAsia" w:hAnsi="宋体"/>
              </w:rPr>
              <w:t>招标需求中要求提供的产品属于节能清单中政府强制采购节能产品品目的，投标人须提供该清单内产品，否则其投标将作为无效标处理。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13</w:t>
            </w:r>
          </w:p>
        </w:tc>
        <w:tc>
          <w:tcPr>
            <w:tcW w:w="8239" w:type="dxa"/>
            <w:tcBorders>
              <w:top w:val="single" w:color="auto" w:sz="4" w:space="0"/>
              <w:left w:val="single" w:color="auto" w:sz="4" w:space="0"/>
              <w:bottom w:val="single" w:color="auto" w:sz="4" w:space="0"/>
              <w:right w:val="single" w:color="auto" w:sz="4" w:space="0"/>
            </w:tcBorders>
            <w:vAlign w:val="center"/>
          </w:tcPr>
          <w:p>
            <w:pPr>
              <w:pStyle w:val="9"/>
              <w:adjustRightInd w:val="0"/>
              <w:spacing w:before="156" w:after="156"/>
              <w:rPr>
                <w:rFonts w:hAnsi="宋体"/>
              </w:rPr>
            </w:pPr>
            <w:r>
              <w:rPr>
                <w:rFonts w:hint="eastAsia" w:hAnsi="宋体"/>
              </w:rPr>
              <w:t xml:space="preserve">小微企业有关政策：1、根据财库〔2011〕181号的相关规定，在评审时对小型和微型企业的投标报价给予 </w:t>
            </w:r>
            <w:bookmarkStart w:id="0" w:name="小微企业价格扣除比例2"/>
            <w:r>
              <w:rPr>
                <w:rFonts w:hAnsi="宋体"/>
              </w:rPr>
              <w:t>6</w:t>
            </w:r>
            <w:bookmarkEnd w:id="0"/>
            <w:r>
              <w:rPr>
                <w:rFonts w:hint="eastAsia" w:hAnsi="宋体"/>
              </w:rPr>
              <w:t xml:space="preserve"> %的扣除，取扣除后的价格作为最终投标报价（此最终投标报价仅作为价格分计算）。属于小型和微型企业的，投标文件中投标人必须提供的《中小企业声明函》以及本单位、制造商（如有）“国家企业信用信息公示系统——小微企业名录”页面查询结果（查询时间为投标前一周内，并加盖本单位公章），并在报价明细表中说明制造商情况。</w:t>
            </w:r>
          </w:p>
          <w:p>
            <w:pPr>
              <w:pStyle w:val="9"/>
              <w:adjustRightInd w:val="0"/>
              <w:spacing w:before="156" w:after="156"/>
              <w:rPr>
                <w:rFonts w:hAnsi="宋体"/>
              </w:rPr>
            </w:pPr>
            <w:r>
              <w:rPr>
                <w:rFonts w:hint="eastAsia" w:hAnsi="宋体"/>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    (2-3%)的价格扣除，须同时提供联合体协议约定（包含小型、微型企业的协议合同份额）。</w:t>
            </w:r>
          </w:p>
          <w:p>
            <w:pPr>
              <w:pStyle w:val="9"/>
              <w:adjustRightInd w:val="0"/>
              <w:spacing w:before="156" w:after="156"/>
              <w:rPr>
                <w:rFonts w:hAnsi="宋体"/>
              </w:rPr>
            </w:pPr>
            <w:r>
              <w:rPr>
                <w:rFonts w:hint="eastAsia" w:hAnsi="宋体"/>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pStyle w:val="9"/>
              <w:adjustRightInd w:val="0"/>
              <w:spacing w:before="156" w:after="156"/>
              <w:rPr>
                <w:rFonts w:hAnsi="宋体"/>
              </w:rPr>
            </w:pPr>
            <w:r>
              <w:rPr>
                <w:rFonts w:hint="eastAsia" w:hAnsi="宋体"/>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pStyle w:val="9"/>
              <w:adjustRightInd w:val="0"/>
              <w:spacing w:before="156" w:after="156"/>
              <w:rPr>
                <w:rFonts w:hAnsi="宋体"/>
              </w:rPr>
            </w:pPr>
            <w:r>
              <w:rPr>
                <w:rFonts w:hint="eastAsia" w:hAnsi="宋体"/>
              </w:rPr>
              <w:t>(注：未提供以上材料的，均不给予价格扣除）。</w:t>
            </w:r>
          </w:p>
          <w:p>
            <w:pPr>
              <w:pStyle w:val="9"/>
              <w:adjustRightInd w:val="0"/>
              <w:spacing w:before="156" w:after="156"/>
              <w:rPr>
                <w:rFonts w:hAnsi="宋体"/>
                <w:b/>
              </w:rPr>
            </w:pPr>
            <w:r>
              <w:rPr>
                <w:rFonts w:hint="eastAsia" w:hAnsi="宋体"/>
              </w:rPr>
              <w:t>4、</w:t>
            </w:r>
            <w:r>
              <w:rPr>
                <w:rFonts w:hint="eastAsia" w:hAnsi="宋体"/>
                <w:szCs w:val="20"/>
              </w:rPr>
              <w:t>凡已在浙江政府采购网网上注册入库，并取得临安区政府采购合同的中小企业供应商，均可申请政府采购信用融资。咨询电话：63728425。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14</w:t>
            </w:r>
          </w:p>
        </w:tc>
        <w:tc>
          <w:tcPr>
            <w:tcW w:w="8239" w:type="dxa"/>
            <w:tcBorders>
              <w:top w:val="single" w:color="auto" w:sz="4" w:space="0"/>
              <w:left w:val="single" w:color="auto" w:sz="4" w:space="0"/>
              <w:bottom w:val="single" w:color="auto" w:sz="4" w:space="0"/>
              <w:right w:val="single" w:color="auto" w:sz="4" w:space="0"/>
            </w:tcBorders>
            <w:vAlign w:val="center"/>
          </w:tcPr>
          <w:p>
            <w:pPr>
              <w:pStyle w:val="9"/>
              <w:adjustRightInd w:val="0"/>
              <w:spacing w:before="156" w:after="156"/>
              <w:rPr>
                <w:rFonts w:hAnsi="宋体"/>
              </w:rPr>
            </w:pPr>
            <w:r>
              <w:rPr>
                <w:rFonts w:hint="eastAsia" w:hAnsi="宋体"/>
              </w:rPr>
              <w:t>投标文件有效期：90天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15</w:t>
            </w:r>
          </w:p>
        </w:tc>
        <w:tc>
          <w:tcPr>
            <w:tcW w:w="8239" w:type="dxa"/>
            <w:tcBorders>
              <w:top w:val="single" w:color="auto" w:sz="4" w:space="0"/>
              <w:left w:val="single" w:color="auto" w:sz="4" w:space="0"/>
              <w:bottom w:val="single" w:color="auto" w:sz="4" w:space="0"/>
              <w:right w:val="single" w:color="auto" w:sz="4" w:space="0"/>
            </w:tcBorders>
            <w:vAlign w:val="center"/>
          </w:tcPr>
          <w:p>
            <w:pPr>
              <w:pStyle w:val="9"/>
              <w:adjustRightInd w:val="0"/>
              <w:spacing w:before="156" w:after="156"/>
              <w:rPr>
                <w:rFonts w:hAnsi="宋体"/>
              </w:rPr>
            </w:pPr>
            <w:r>
              <w:rPr>
                <w:rFonts w:hint="eastAsia" w:hAnsi="宋体"/>
              </w:rPr>
              <w:t>解释：本采购文件的解释权属于杭州市公共资源交易中心临安分中心。</w:t>
            </w:r>
          </w:p>
        </w:tc>
      </w:tr>
    </w:tbl>
    <w:p>
      <w:pPr>
        <w:pStyle w:val="9"/>
        <w:snapToGrid w:val="0"/>
        <w:spacing w:beforeLines="0" w:afterLines="0" w:line="380" w:lineRule="exact"/>
        <w:ind w:firstLine="482" w:firstLineChars="200"/>
        <w:outlineLvl w:val="1"/>
        <w:rPr>
          <w:rFonts w:hAnsi="宋体"/>
          <w:b/>
        </w:rPr>
      </w:pPr>
      <w:r>
        <w:rPr>
          <w:rFonts w:hint="eastAsia" w:hAnsi="宋体"/>
          <w:b/>
        </w:rPr>
        <w:t>一、总  则</w:t>
      </w:r>
    </w:p>
    <w:p>
      <w:pPr>
        <w:snapToGrid w:val="0"/>
        <w:spacing w:line="380" w:lineRule="exact"/>
        <w:ind w:firstLine="355" w:firstLineChars="148"/>
        <w:jc w:val="left"/>
        <w:outlineLvl w:val="2"/>
        <w:rPr>
          <w:rFonts w:ascii="宋体" w:hAnsi="宋体"/>
          <w:sz w:val="24"/>
        </w:rPr>
      </w:pPr>
      <w:r>
        <w:rPr>
          <w:rFonts w:hint="eastAsia" w:ascii="宋体" w:hAnsi="宋体"/>
          <w:sz w:val="24"/>
        </w:rPr>
        <w:t>（一）适用范围</w:t>
      </w:r>
    </w:p>
    <w:p>
      <w:pPr>
        <w:snapToGrid w:val="0"/>
        <w:spacing w:line="380" w:lineRule="exact"/>
        <w:ind w:firstLine="480" w:firstLineChars="200"/>
        <w:rPr>
          <w:rFonts w:ascii="宋体" w:hAnsi="宋体" w:cs="Arial"/>
          <w:sz w:val="24"/>
        </w:rPr>
      </w:pPr>
      <w:r>
        <w:rPr>
          <w:rFonts w:hint="eastAsia" w:ascii="宋体" w:hAnsi="宋体" w:cs="Arial"/>
          <w:sz w:val="24"/>
        </w:rPr>
        <w:t>仅适用于本次采购文件文件中采购项目的的投标、验收、合同履约、付款等行为（法律、法规另有规定的，从其规定）。</w:t>
      </w:r>
    </w:p>
    <w:p>
      <w:pPr>
        <w:snapToGrid w:val="0"/>
        <w:spacing w:line="380" w:lineRule="exact"/>
        <w:ind w:firstLine="352" w:firstLineChars="147"/>
        <w:jc w:val="left"/>
        <w:outlineLvl w:val="2"/>
        <w:rPr>
          <w:rFonts w:ascii="宋体" w:hAnsi="宋体"/>
          <w:sz w:val="24"/>
        </w:rPr>
      </w:pPr>
      <w:r>
        <w:rPr>
          <w:rFonts w:hint="eastAsia" w:ascii="宋体" w:hAnsi="宋体"/>
          <w:sz w:val="24"/>
        </w:rPr>
        <w:t>（二）定义</w:t>
      </w:r>
    </w:p>
    <w:p>
      <w:pPr>
        <w:snapToGrid w:val="0"/>
        <w:spacing w:line="380" w:lineRule="exact"/>
        <w:ind w:firstLine="480" w:firstLineChars="200"/>
        <w:rPr>
          <w:rFonts w:ascii="宋体" w:hAnsi="宋体" w:cs="Arial"/>
          <w:sz w:val="24"/>
        </w:rPr>
      </w:pPr>
      <w:r>
        <w:rPr>
          <w:rFonts w:hint="eastAsia" w:ascii="宋体" w:hAnsi="宋体" w:cs="Arial"/>
          <w:sz w:val="24"/>
        </w:rPr>
        <w:t>1.“采购机构”系指组织本次采购的</w:t>
      </w:r>
      <w:r>
        <w:rPr>
          <w:rFonts w:hint="eastAsia" w:ascii="宋体" w:hAnsi="宋体"/>
          <w:sz w:val="24"/>
        </w:rPr>
        <w:t>杭州市公共资源交易中心临安分中心</w:t>
      </w:r>
      <w:r>
        <w:rPr>
          <w:rFonts w:hint="eastAsia" w:ascii="宋体" w:hAnsi="宋体" w:cs="Arial"/>
          <w:sz w:val="24"/>
        </w:rPr>
        <w:t>。</w:t>
      </w:r>
    </w:p>
    <w:p>
      <w:pPr>
        <w:snapToGrid w:val="0"/>
        <w:spacing w:line="460" w:lineRule="exact"/>
        <w:ind w:firstLine="480" w:firstLineChars="200"/>
        <w:rPr>
          <w:rFonts w:ascii="宋体" w:hAnsi="宋体" w:cs="Arial"/>
          <w:sz w:val="24"/>
        </w:rPr>
      </w:pPr>
      <w:r>
        <w:rPr>
          <w:rFonts w:hint="eastAsia" w:ascii="宋体" w:hAnsi="宋体" w:cs="Arial"/>
          <w:sz w:val="24"/>
        </w:rPr>
        <w:t>2.“投标人”系指向采购机构提交投标文件的单位。</w:t>
      </w:r>
    </w:p>
    <w:p>
      <w:pPr>
        <w:snapToGrid w:val="0"/>
        <w:spacing w:line="380" w:lineRule="exact"/>
        <w:ind w:firstLine="480" w:firstLineChars="200"/>
        <w:rPr>
          <w:rFonts w:ascii="宋体" w:hAnsi="宋体" w:cs="Arial"/>
          <w:sz w:val="24"/>
        </w:rPr>
      </w:pPr>
      <w:r>
        <w:rPr>
          <w:rFonts w:hint="eastAsia" w:ascii="宋体" w:hAnsi="宋体" w:cs="Arial"/>
          <w:sz w:val="24"/>
        </w:rPr>
        <w:t>3、“采购人” 系指委托采购机构采购本次项目的国家机关、事业单位和团体组织。</w:t>
      </w:r>
    </w:p>
    <w:p>
      <w:pPr>
        <w:snapToGrid w:val="0"/>
        <w:spacing w:line="380" w:lineRule="exact"/>
        <w:ind w:firstLine="480" w:firstLineChars="200"/>
        <w:rPr>
          <w:rFonts w:ascii="宋体" w:hAnsi="宋体" w:cs="Arial"/>
          <w:sz w:val="24"/>
        </w:rPr>
      </w:pPr>
      <w:r>
        <w:rPr>
          <w:rFonts w:hint="eastAsia" w:ascii="宋体" w:hAnsi="宋体" w:cs="Arial"/>
          <w:sz w:val="24"/>
        </w:rPr>
        <w:t>4.“产品”系指供方按采购文件规定，须向采购人提供的一切设备、保险、税金、备品备件、工具、手册及其它有关技术资料和材料。</w:t>
      </w:r>
    </w:p>
    <w:p>
      <w:pPr>
        <w:snapToGrid w:val="0"/>
        <w:spacing w:line="380" w:lineRule="exact"/>
        <w:ind w:firstLine="480" w:firstLineChars="200"/>
        <w:rPr>
          <w:rFonts w:ascii="宋体" w:hAnsi="宋体" w:cs="Arial"/>
          <w:sz w:val="24"/>
        </w:rPr>
      </w:pPr>
      <w:r>
        <w:rPr>
          <w:rFonts w:hint="eastAsia" w:ascii="宋体" w:hAnsi="宋体" w:cs="Arial"/>
          <w:sz w:val="24"/>
        </w:rPr>
        <w:t>5.“服务”系指采购文件规定供方须承担的安装、调试、技术协助、校准、培训、技术指导以及其他类似的义务。</w:t>
      </w:r>
    </w:p>
    <w:p>
      <w:pPr>
        <w:snapToGrid w:val="0"/>
        <w:spacing w:line="380" w:lineRule="exact"/>
        <w:ind w:firstLine="480" w:firstLineChars="200"/>
        <w:rPr>
          <w:rFonts w:ascii="宋体" w:hAnsi="宋体" w:cs="Arial"/>
          <w:sz w:val="24"/>
        </w:rPr>
      </w:pPr>
      <w:r>
        <w:rPr>
          <w:rFonts w:hint="eastAsia" w:ascii="宋体" w:hAnsi="宋体" w:cs="Arial"/>
          <w:sz w:val="24"/>
        </w:rPr>
        <w:t>6.“项目”系指投标人按采购文件规定向采购人提供的产品和服务。</w:t>
      </w:r>
    </w:p>
    <w:p>
      <w:pPr>
        <w:snapToGrid w:val="0"/>
        <w:spacing w:line="380" w:lineRule="exact"/>
        <w:ind w:firstLine="470" w:firstLineChars="196"/>
        <w:jc w:val="left"/>
        <w:outlineLvl w:val="2"/>
        <w:rPr>
          <w:rFonts w:ascii="宋体" w:hAnsi="宋体"/>
          <w:sz w:val="24"/>
        </w:rPr>
      </w:pPr>
      <w:r>
        <w:rPr>
          <w:rFonts w:hint="eastAsia" w:ascii="宋体" w:hAnsi="宋体"/>
          <w:sz w:val="24"/>
        </w:rPr>
        <w:t>（三）开标委托</w:t>
      </w:r>
    </w:p>
    <w:p>
      <w:pPr>
        <w:snapToGrid w:val="0"/>
        <w:spacing w:line="380" w:lineRule="exact"/>
        <w:ind w:firstLine="480" w:firstLineChars="200"/>
        <w:rPr>
          <w:rFonts w:ascii="宋体" w:hAnsi="宋体" w:cs="Arial"/>
          <w:sz w:val="24"/>
        </w:rPr>
      </w:pPr>
      <w:r>
        <w:rPr>
          <w:rFonts w:hint="eastAsia" w:ascii="宋体" w:hAnsi="宋体" w:cs="Arial"/>
          <w:sz w:val="24"/>
        </w:rPr>
        <w:t>全权代表须携带有效身份证件。如全权代表不是法定代表人，须有法定代表人出具的授权委托书（正本用原件，副本可用复印件并加盖公章，格式见第六部分）。</w:t>
      </w:r>
    </w:p>
    <w:p>
      <w:pPr>
        <w:snapToGrid w:val="0"/>
        <w:spacing w:line="380" w:lineRule="exact"/>
        <w:ind w:firstLine="470" w:firstLineChars="196"/>
        <w:jc w:val="left"/>
        <w:outlineLvl w:val="2"/>
        <w:rPr>
          <w:rFonts w:ascii="宋体" w:hAnsi="宋体"/>
          <w:sz w:val="24"/>
        </w:rPr>
      </w:pPr>
      <w:r>
        <w:rPr>
          <w:rFonts w:hint="eastAsia" w:ascii="宋体" w:hAnsi="宋体"/>
          <w:sz w:val="24"/>
        </w:rPr>
        <w:t>（四）投标费用</w:t>
      </w:r>
    </w:p>
    <w:p>
      <w:pPr>
        <w:snapToGrid w:val="0"/>
        <w:spacing w:line="380" w:lineRule="exact"/>
        <w:ind w:firstLine="480" w:firstLineChars="200"/>
        <w:rPr>
          <w:rFonts w:ascii="宋体" w:hAnsi="宋体" w:cs="Arial"/>
          <w:sz w:val="24"/>
        </w:rPr>
      </w:pPr>
      <w:r>
        <w:rPr>
          <w:rFonts w:hint="eastAsia" w:ascii="宋体" w:hAnsi="宋体" w:cs="Arial"/>
          <w:sz w:val="24"/>
        </w:rPr>
        <w:t>不论采购结果如何，投标人均应自行承担所有与投标有关的全部费用（采购文件有其他规定的除外）。</w:t>
      </w:r>
    </w:p>
    <w:p>
      <w:pPr>
        <w:snapToGrid w:val="0"/>
        <w:spacing w:line="380" w:lineRule="exact"/>
        <w:ind w:firstLine="470" w:firstLineChars="196"/>
        <w:jc w:val="left"/>
        <w:outlineLvl w:val="2"/>
        <w:rPr>
          <w:rFonts w:ascii="宋体" w:hAnsi="宋体" w:cs="Arial"/>
          <w:sz w:val="24"/>
        </w:rPr>
      </w:pPr>
      <w:r>
        <w:rPr>
          <w:rFonts w:hint="eastAsia" w:ascii="宋体" w:hAnsi="宋体"/>
          <w:sz w:val="24"/>
        </w:rPr>
        <w:t>（</w:t>
      </w:r>
      <w:r>
        <w:rPr>
          <w:rFonts w:hint="eastAsia" w:ascii="宋体" w:hAnsi="宋体" w:cs="Arial"/>
          <w:sz w:val="24"/>
        </w:rPr>
        <w:t>五）特别说明：</w:t>
      </w:r>
    </w:p>
    <w:p>
      <w:pPr>
        <w:pStyle w:val="9"/>
        <w:snapToGrid w:val="0"/>
        <w:spacing w:beforeLines="0" w:afterLines="0" w:line="380" w:lineRule="exact"/>
        <w:ind w:left="2" w:leftChars="1" w:firstLine="480" w:firstLineChars="200"/>
        <w:rPr>
          <w:rFonts w:hAnsi="宋体" w:cs="Arial"/>
        </w:rPr>
      </w:pPr>
      <w:r>
        <w:rPr>
          <w:rFonts w:hint="eastAsia" w:hAnsi="宋体" w:cs="Arial"/>
        </w:rPr>
        <w:t>1.投标人投标所使用的资格、信誉、荣誉、业绩与企业认证必须为本法人所拥有。投标人投标所使用的采购项目实施人员必须为本法人员工（或必须为本法人或控股公司正式员工）。</w:t>
      </w:r>
    </w:p>
    <w:p>
      <w:pPr>
        <w:pStyle w:val="9"/>
        <w:snapToGrid w:val="0"/>
        <w:spacing w:beforeLines="0" w:afterLines="0" w:line="380" w:lineRule="exact"/>
        <w:ind w:left="2" w:leftChars="1" w:firstLine="480" w:firstLineChars="200"/>
        <w:rPr>
          <w:rFonts w:hAnsi="宋体" w:cs="Arial"/>
        </w:rPr>
      </w:pPr>
      <w:r>
        <w:rPr>
          <w:rFonts w:hint="eastAsia" w:hAnsi="宋体" w:cs="Arial"/>
        </w:rPr>
        <w:t>2. 投标人应仔细阅读采购文件的所有内容，按照采购文件的要求提交投标文件，并对所提供的全部资料的真实性承担法律责任。</w:t>
      </w:r>
    </w:p>
    <w:p>
      <w:pPr>
        <w:pStyle w:val="9"/>
        <w:snapToGrid w:val="0"/>
        <w:spacing w:beforeLines="0" w:afterLines="0" w:line="380" w:lineRule="exact"/>
        <w:ind w:firstLine="470" w:firstLineChars="196"/>
        <w:outlineLvl w:val="2"/>
        <w:rPr>
          <w:rFonts w:hAnsi="宋体" w:cs="Arial"/>
        </w:rPr>
      </w:pPr>
      <w:r>
        <w:rPr>
          <w:rFonts w:hint="eastAsia" w:hAnsi="宋体" w:cs="Arial"/>
        </w:rPr>
        <w:t>（六）质疑</w:t>
      </w:r>
    </w:p>
    <w:p>
      <w:pPr>
        <w:widowControl/>
        <w:spacing w:line="380" w:lineRule="exact"/>
        <w:ind w:firstLine="480" w:firstLineChars="200"/>
        <w:jc w:val="left"/>
        <w:rPr>
          <w:rFonts w:ascii="宋体" w:hAnsi="宋体" w:cs="Arial"/>
          <w:sz w:val="24"/>
        </w:rPr>
      </w:pPr>
      <w:r>
        <w:rPr>
          <w:rFonts w:hint="eastAsia" w:ascii="宋体" w:hAnsi="宋体" w:cs="Arial"/>
          <w:sz w:val="24"/>
        </w:rPr>
        <w:t>质疑应当采用加盖投标人公章的书面形式，质疑书应明确阐述采购过程或成交结果中使自己合法权益受到损害的实质性内容，提供相关事实、依据和证据及其来源或线索，便于有关单位调查、答复和处理，否则，采购机构将不予受理。</w:t>
      </w:r>
    </w:p>
    <w:p>
      <w:pPr>
        <w:pStyle w:val="9"/>
        <w:snapToGrid w:val="0"/>
        <w:spacing w:beforeLines="0" w:afterLines="0" w:line="380" w:lineRule="exact"/>
        <w:ind w:firstLine="360" w:firstLineChars="150"/>
        <w:outlineLvl w:val="2"/>
        <w:rPr>
          <w:rFonts w:hAnsi="宋体" w:cs="Arial"/>
        </w:rPr>
      </w:pPr>
      <w:r>
        <w:rPr>
          <w:rFonts w:hint="eastAsia" w:hAnsi="宋体" w:cs="Arial"/>
        </w:rPr>
        <w:t xml:space="preserve">（七）采购文件的澄清与修改 </w:t>
      </w:r>
    </w:p>
    <w:p>
      <w:pPr>
        <w:pStyle w:val="9"/>
        <w:snapToGrid w:val="0"/>
        <w:spacing w:beforeLines="0" w:afterLines="0" w:line="380" w:lineRule="exact"/>
        <w:ind w:firstLine="480" w:firstLineChars="200"/>
        <w:rPr>
          <w:rFonts w:hAnsi="宋体"/>
        </w:rPr>
      </w:pPr>
      <w:r>
        <w:rPr>
          <w:rFonts w:hint="eastAsia" w:hAnsi="宋体"/>
        </w:rPr>
        <w:t>1.</w:t>
      </w:r>
      <w:r>
        <w:rPr>
          <w:rFonts w:hint="eastAsia" w:hAnsi="宋体" w:cs="Arial"/>
        </w:rPr>
        <w:t xml:space="preserve"> 投标人</w:t>
      </w:r>
      <w:r>
        <w:rPr>
          <w:rFonts w:hint="eastAsia" w:hAnsi="宋体"/>
          <w:bCs/>
        </w:rPr>
        <w:t>应认真阅读本采购文件，发现其中有误或有不合理要求的，投标人应当以书面形式向</w:t>
      </w:r>
      <w:r>
        <w:rPr>
          <w:rFonts w:hint="eastAsia" w:hAnsi="宋体"/>
        </w:rPr>
        <w:t>杭州市公共资源交易中心临安分中心</w:t>
      </w:r>
      <w:r>
        <w:rPr>
          <w:rFonts w:hint="eastAsia" w:hAnsi="宋体"/>
          <w:bCs/>
        </w:rPr>
        <w:t>提出</w:t>
      </w:r>
      <w:r>
        <w:rPr>
          <w:rFonts w:hint="eastAsia" w:hAnsi="宋体"/>
        </w:rPr>
        <w:t>。交易中心将在规定的时间内，在财政部门指定的政府采购信息发布媒体上发布更正公告。</w:t>
      </w:r>
    </w:p>
    <w:p>
      <w:pPr>
        <w:pStyle w:val="9"/>
        <w:snapToGrid w:val="0"/>
        <w:spacing w:beforeLines="0" w:afterLines="0" w:line="380" w:lineRule="exact"/>
        <w:ind w:firstLine="480" w:firstLineChars="200"/>
        <w:rPr>
          <w:rFonts w:hAnsi="宋体"/>
        </w:rPr>
      </w:pPr>
      <w:r>
        <w:rPr>
          <w:rFonts w:hint="eastAsia" w:hAnsi="宋体"/>
        </w:rPr>
        <w:t>2.采购文件澄清、答复、修改、补充的内容为采购文件的组成部分。当采购文件与采购文件的答复、澄清、修改、补充通知就同一内容的表述不一致时，以最后发出的书面文件为准。</w:t>
      </w:r>
    </w:p>
    <w:p>
      <w:pPr>
        <w:pStyle w:val="9"/>
        <w:snapToGrid w:val="0"/>
        <w:spacing w:beforeLines="0" w:afterLines="0" w:line="380" w:lineRule="exact"/>
        <w:ind w:firstLine="477" w:firstLineChars="198"/>
        <w:outlineLvl w:val="1"/>
        <w:rPr>
          <w:rFonts w:hAnsi="宋体"/>
          <w:b/>
        </w:rPr>
      </w:pPr>
      <w:r>
        <w:rPr>
          <w:rFonts w:hint="eastAsia" w:hAnsi="宋体"/>
          <w:b/>
        </w:rPr>
        <w:t>二、</w:t>
      </w:r>
      <w:r>
        <w:rPr>
          <w:rFonts w:hint="eastAsia" w:hAnsi="宋体" w:cs="Arial"/>
          <w:b/>
        </w:rPr>
        <w:t>投标</w:t>
      </w:r>
      <w:r>
        <w:rPr>
          <w:rFonts w:hint="eastAsia" w:hAnsi="宋体"/>
          <w:b/>
        </w:rPr>
        <w:t>文件的编制</w:t>
      </w:r>
    </w:p>
    <w:p>
      <w:pPr>
        <w:snapToGrid w:val="0"/>
        <w:spacing w:line="360" w:lineRule="auto"/>
        <w:ind w:firstLine="472" w:firstLineChars="196"/>
        <w:jc w:val="left"/>
        <w:rPr>
          <w:rFonts w:ascii="宋体" w:hAnsi="宋体"/>
          <w:b/>
          <w:sz w:val="24"/>
        </w:rPr>
      </w:pPr>
      <w:r>
        <w:rPr>
          <w:rFonts w:hint="eastAsia" w:ascii="宋体" w:hAnsi="宋体"/>
          <w:b/>
          <w:sz w:val="24"/>
        </w:rPr>
        <w:t>（一）投标文件的形式</w:t>
      </w:r>
    </w:p>
    <w:p>
      <w:pPr>
        <w:adjustRightInd w:val="0"/>
        <w:snapToGrid w:val="0"/>
        <w:spacing w:line="360" w:lineRule="auto"/>
        <w:ind w:firstLine="482" w:firstLineChars="200"/>
        <w:rPr>
          <w:rFonts w:ascii="宋体" w:hAnsi="宋体"/>
          <w:b/>
          <w:sz w:val="24"/>
        </w:rPr>
      </w:pPr>
      <w:r>
        <w:rPr>
          <w:rFonts w:hint="eastAsia" w:ascii="宋体" w:hAnsi="宋体"/>
          <w:b/>
          <w:sz w:val="24"/>
        </w:rPr>
        <w:t>投标文件分为电子投标文件。电子投标文件，按“政采云供应商项目采购-电子招投标操作指南”及本招标文件要求制作、加密并递交。</w:t>
      </w:r>
    </w:p>
    <w:p>
      <w:pPr>
        <w:snapToGrid w:val="0"/>
        <w:spacing w:line="360" w:lineRule="auto"/>
        <w:ind w:firstLine="482" w:firstLineChars="200"/>
        <w:jc w:val="left"/>
        <w:outlineLvl w:val="0"/>
        <w:rPr>
          <w:rFonts w:ascii="宋体" w:hAnsi="宋体"/>
          <w:b/>
          <w:sz w:val="24"/>
        </w:rPr>
      </w:pPr>
      <w:r>
        <w:rPr>
          <w:rFonts w:hint="eastAsia" w:ascii="宋体" w:hAnsi="宋体"/>
          <w:b/>
          <w:sz w:val="24"/>
        </w:rPr>
        <w:t>（二）投标文件的组成</w:t>
      </w:r>
    </w:p>
    <w:p>
      <w:pPr>
        <w:adjustRightInd w:val="0"/>
        <w:snapToGrid w:val="0"/>
        <w:spacing w:line="360" w:lineRule="auto"/>
        <w:ind w:firstLine="482" w:firstLineChars="200"/>
        <w:rPr>
          <w:rFonts w:ascii="宋体" w:hAnsi="宋体"/>
          <w:b/>
          <w:sz w:val="24"/>
        </w:rPr>
      </w:pPr>
      <w:r>
        <w:rPr>
          <w:rFonts w:hint="eastAsia" w:ascii="宋体" w:hAnsi="宋体"/>
          <w:b/>
          <w:sz w:val="24"/>
        </w:rPr>
        <w:t>投标文件组成均为资质文件、技术及商务文件、投标报价文件三部份组成。其中电子投标文件中所须加盖公章部分均采用CA签章。</w:t>
      </w:r>
    </w:p>
    <w:p>
      <w:pPr>
        <w:snapToGrid w:val="0"/>
        <w:spacing w:line="360" w:lineRule="auto"/>
        <w:ind w:firstLine="482" w:firstLineChars="200"/>
        <w:jc w:val="left"/>
        <w:rPr>
          <w:rFonts w:ascii="宋体" w:hAnsi="宋体"/>
          <w:b/>
          <w:sz w:val="24"/>
        </w:rPr>
      </w:pPr>
      <w:r>
        <w:rPr>
          <w:rFonts w:hint="eastAsia" w:ascii="宋体" w:hAnsi="宋体"/>
          <w:b/>
          <w:sz w:val="24"/>
        </w:rPr>
        <w:t>1.资质文件（不含报价）：</w:t>
      </w:r>
    </w:p>
    <w:p>
      <w:pPr>
        <w:snapToGrid w:val="0"/>
        <w:spacing w:line="360" w:lineRule="auto"/>
        <w:ind w:firstLine="360" w:firstLineChars="150"/>
        <w:jc w:val="left"/>
        <w:rPr>
          <w:rFonts w:ascii="宋体" w:hAnsi="宋体"/>
          <w:sz w:val="24"/>
        </w:rPr>
      </w:pPr>
      <w:r>
        <w:rPr>
          <w:rFonts w:hint="eastAsia" w:ascii="宋体" w:hAnsi="宋体"/>
          <w:sz w:val="24"/>
        </w:rPr>
        <w:t>（1）投标声明书 (格式见附件，含重大违法记录声明)；</w:t>
      </w:r>
    </w:p>
    <w:p>
      <w:pPr>
        <w:snapToGrid w:val="0"/>
        <w:spacing w:line="360" w:lineRule="auto"/>
        <w:ind w:firstLine="360" w:firstLineChars="150"/>
        <w:jc w:val="left"/>
        <w:rPr>
          <w:rFonts w:ascii="宋体" w:hAnsi="宋体"/>
          <w:sz w:val="24"/>
        </w:rPr>
      </w:pPr>
      <w:r>
        <w:rPr>
          <w:rFonts w:hint="eastAsia" w:ascii="宋体" w:hAnsi="宋体"/>
          <w:sz w:val="24"/>
        </w:rPr>
        <w:t>（2）提供自招标公告发布之日起至投标截止日内任意时间的“信用中国”网站（www.creditchina.gov.cn）、中国政府采购网（www.ccgp.gov.cn）投标人信用查询网页截图。（以开标当日采购人或由采购人委托的评标委员会核实的查询结果为准）</w:t>
      </w:r>
    </w:p>
    <w:p>
      <w:pPr>
        <w:snapToGrid w:val="0"/>
        <w:spacing w:line="360" w:lineRule="auto"/>
        <w:ind w:firstLine="360" w:firstLineChars="150"/>
        <w:jc w:val="left"/>
        <w:rPr>
          <w:rFonts w:ascii="宋体" w:hAnsi="宋体"/>
          <w:sz w:val="24"/>
        </w:rPr>
      </w:pPr>
      <w:r>
        <w:rPr>
          <w:rFonts w:hint="eastAsia" w:ascii="宋体" w:hAnsi="宋体"/>
          <w:sz w:val="24"/>
        </w:rPr>
        <w:t>（3）法定代表人授权委托书(格式见附件)；</w:t>
      </w:r>
    </w:p>
    <w:p>
      <w:pPr>
        <w:snapToGrid w:val="0"/>
        <w:spacing w:line="360" w:lineRule="auto"/>
        <w:ind w:firstLine="360" w:firstLineChars="150"/>
        <w:jc w:val="left"/>
        <w:rPr>
          <w:rFonts w:ascii="宋体" w:hAnsi="宋体"/>
          <w:sz w:val="24"/>
        </w:rPr>
      </w:pPr>
      <w:r>
        <w:rPr>
          <w:rFonts w:hint="eastAsia" w:ascii="宋体" w:hAnsi="宋体"/>
          <w:sz w:val="24"/>
        </w:rPr>
        <w:t>（4）提供有效的营业执照复印件并加盖公司公章；事业单位的，则提供有效的《事业单位法人证书》副本复印件并加盖单位公章；自然人的，则提供有效的身份证复印件并签字；</w:t>
      </w:r>
    </w:p>
    <w:p>
      <w:pPr>
        <w:snapToGrid w:val="0"/>
        <w:spacing w:line="360" w:lineRule="auto"/>
        <w:ind w:firstLine="360" w:firstLineChars="150"/>
        <w:jc w:val="left"/>
        <w:rPr>
          <w:rFonts w:ascii="宋体" w:hAnsi="宋体"/>
          <w:sz w:val="24"/>
        </w:rPr>
      </w:pPr>
      <w:r>
        <w:rPr>
          <w:rFonts w:hint="eastAsia" w:ascii="宋体" w:hAnsi="宋体"/>
          <w:sz w:val="24"/>
        </w:rPr>
        <w:t>（5）提供有效的依法缴纳税收证明（完税凭证或税务部门出具的证明）；</w:t>
      </w:r>
    </w:p>
    <w:p>
      <w:pPr>
        <w:snapToGrid w:val="0"/>
        <w:spacing w:line="360" w:lineRule="auto"/>
        <w:ind w:firstLine="360" w:firstLineChars="150"/>
        <w:jc w:val="left"/>
        <w:rPr>
          <w:rFonts w:ascii="宋体" w:hAnsi="宋体"/>
          <w:sz w:val="24"/>
        </w:rPr>
      </w:pPr>
      <w:r>
        <w:rPr>
          <w:rFonts w:hint="eastAsia" w:ascii="宋体" w:hAnsi="宋体"/>
          <w:sz w:val="24"/>
        </w:rPr>
        <w:t>（6）提供有效的依法缴纳社会保障资金证明（缴纳凭证或人社部门出具的证明）；</w:t>
      </w:r>
    </w:p>
    <w:p>
      <w:pPr>
        <w:snapToGrid w:val="0"/>
        <w:spacing w:line="360" w:lineRule="auto"/>
        <w:ind w:firstLine="360" w:firstLineChars="150"/>
        <w:jc w:val="left"/>
        <w:rPr>
          <w:rFonts w:ascii="宋体" w:hAnsi="宋体"/>
          <w:sz w:val="24"/>
        </w:rPr>
      </w:pPr>
      <w:r>
        <w:rPr>
          <w:rFonts w:hint="eastAsia" w:ascii="宋体" w:hAnsi="宋体"/>
          <w:sz w:val="24"/>
        </w:rPr>
        <w:t>（7）联合投标协议书（若需要）;</w:t>
      </w:r>
    </w:p>
    <w:p>
      <w:pPr>
        <w:snapToGrid w:val="0"/>
        <w:spacing w:line="360" w:lineRule="auto"/>
        <w:ind w:firstLine="360" w:firstLineChars="150"/>
        <w:jc w:val="left"/>
        <w:rPr>
          <w:rFonts w:ascii="宋体" w:hAnsi="宋体"/>
          <w:sz w:val="24"/>
        </w:rPr>
      </w:pPr>
      <w:r>
        <w:rPr>
          <w:rFonts w:hint="eastAsia" w:ascii="宋体" w:hAnsi="宋体"/>
          <w:sz w:val="24"/>
        </w:rPr>
        <w:t>（8）联合投标授权委托书（若需要）;</w:t>
      </w:r>
    </w:p>
    <w:p>
      <w:pPr>
        <w:spacing w:line="380" w:lineRule="exact"/>
        <w:ind w:firstLine="360" w:firstLineChars="150"/>
        <w:rPr>
          <w:rFonts w:ascii="宋体" w:hAnsi="宋体"/>
          <w:sz w:val="24"/>
        </w:rPr>
      </w:pPr>
      <w:r>
        <w:rPr>
          <w:rFonts w:hint="eastAsia" w:ascii="宋体" w:hAnsi="宋体"/>
          <w:sz w:val="24"/>
        </w:rPr>
        <w:t>（9）提供采购公告中符合投标人特定条件要求的有效的其他资质复印件并加盖公司公章及需要说明的资料。</w:t>
      </w:r>
    </w:p>
    <w:p>
      <w:pPr>
        <w:spacing w:line="380" w:lineRule="exact"/>
        <w:ind w:firstLine="361" w:firstLineChars="150"/>
        <w:rPr>
          <w:rFonts w:ascii="宋体" w:hAnsi="宋体"/>
          <w:b/>
          <w:bCs/>
          <w:sz w:val="24"/>
        </w:rPr>
      </w:pPr>
      <w:r>
        <w:rPr>
          <w:rFonts w:hint="eastAsia" w:ascii="宋体" w:hAnsi="宋体"/>
          <w:b/>
          <w:bCs/>
          <w:sz w:val="24"/>
        </w:rPr>
        <w:t>注：以上目录是编制资信及商务内容的基本格式要求，</w:t>
      </w:r>
      <w:r>
        <w:rPr>
          <w:rFonts w:hint="eastAsia" w:ascii="宋体" w:hAnsi="宋体"/>
          <w:b/>
          <w:sz w:val="24"/>
        </w:rPr>
        <w:t>投标人</w:t>
      </w:r>
      <w:r>
        <w:rPr>
          <w:rFonts w:hint="eastAsia" w:ascii="宋体" w:hAnsi="宋体"/>
          <w:b/>
          <w:bCs/>
          <w:sz w:val="24"/>
        </w:rPr>
        <w:t>可根据自身情况进一步细化。</w:t>
      </w:r>
    </w:p>
    <w:p>
      <w:pPr>
        <w:snapToGrid w:val="0"/>
        <w:spacing w:line="360" w:lineRule="auto"/>
        <w:ind w:firstLine="600" w:firstLineChars="249"/>
        <w:jc w:val="left"/>
        <w:rPr>
          <w:rFonts w:ascii="宋体" w:hAnsi="宋体"/>
          <w:b/>
          <w:color w:val="000000"/>
          <w:sz w:val="24"/>
        </w:rPr>
      </w:pPr>
      <w:r>
        <w:rPr>
          <w:rFonts w:hint="eastAsia" w:ascii="宋体" w:hAnsi="宋体"/>
          <w:b/>
          <w:color w:val="000000"/>
          <w:sz w:val="24"/>
        </w:rPr>
        <w:t>2.技术及商务文件（不含报价）：</w:t>
      </w:r>
    </w:p>
    <w:p>
      <w:pPr>
        <w:snapToGrid w:val="0"/>
        <w:spacing w:line="360" w:lineRule="auto"/>
        <w:ind w:firstLine="480" w:firstLineChars="200"/>
        <w:jc w:val="left"/>
        <w:rPr>
          <w:rFonts w:ascii="宋体" w:hAnsi="宋体"/>
          <w:sz w:val="24"/>
        </w:rPr>
      </w:pPr>
      <w:r>
        <w:rPr>
          <w:rFonts w:hint="eastAsia" w:ascii="宋体" w:hAnsi="宋体"/>
          <w:sz w:val="24"/>
        </w:rPr>
        <w:t>（1）评分对应表（格式见附件，主要用于评委对应评分内容）</w:t>
      </w:r>
    </w:p>
    <w:p>
      <w:pPr>
        <w:snapToGrid w:val="0"/>
        <w:spacing w:line="360" w:lineRule="auto"/>
        <w:ind w:firstLine="480" w:firstLineChars="200"/>
        <w:jc w:val="left"/>
        <w:rPr>
          <w:rFonts w:ascii="宋体" w:hAnsi="宋体"/>
          <w:sz w:val="24"/>
        </w:rPr>
      </w:pPr>
      <w:r>
        <w:rPr>
          <w:rFonts w:hint="eastAsia" w:ascii="宋体" w:hAnsi="宋体"/>
          <w:sz w:val="24"/>
        </w:rPr>
        <w:t>（2）投标项目明细清单（含货物、服务等）；</w:t>
      </w:r>
    </w:p>
    <w:p>
      <w:pPr>
        <w:snapToGrid w:val="0"/>
        <w:spacing w:line="360" w:lineRule="auto"/>
        <w:ind w:firstLine="480" w:firstLineChars="200"/>
        <w:jc w:val="left"/>
        <w:rPr>
          <w:rFonts w:ascii="宋体" w:hAnsi="宋体"/>
          <w:sz w:val="24"/>
        </w:rPr>
      </w:pPr>
      <w:r>
        <w:rPr>
          <w:rFonts w:hint="eastAsia" w:ascii="宋体" w:hAnsi="宋体"/>
          <w:sz w:val="24"/>
        </w:rPr>
        <w:t>（3）技术响应表（格式见附件）；</w:t>
      </w:r>
    </w:p>
    <w:p>
      <w:pPr>
        <w:snapToGrid w:val="0"/>
        <w:spacing w:line="360" w:lineRule="auto"/>
        <w:ind w:firstLine="480" w:firstLineChars="200"/>
        <w:jc w:val="left"/>
        <w:rPr>
          <w:rFonts w:ascii="宋体" w:hAnsi="宋体"/>
          <w:sz w:val="24"/>
        </w:rPr>
      </w:pPr>
      <w:r>
        <w:rPr>
          <w:rFonts w:hint="eastAsia" w:ascii="宋体" w:hAnsi="宋体"/>
          <w:sz w:val="24"/>
        </w:rPr>
        <w:t>（4）项目总体解决方案（可包含且不限于对项目总体要求的理解、项目总体架构及技术解决方案等）；</w:t>
      </w:r>
    </w:p>
    <w:p>
      <w:pPr>
        <w:snapToGrid w:val="0"/>
        <w:spacing w:line="360" w:lineRule="auto"/>
        <w:ind w:firstLine="480" w:firstLineChars="200"/>
        <w:jc w:val="left"/>
        <w:rPr>
          <w:rFonts w:ascii="宋体" w:hAnsi="宋体"/>
          <w:sz w:val="24"/>
        </w:rPr>
      </w:pPr>
      <w:r>
        <w:rPr>
          <w:rFonts w:hint="eastAsia" w:ascii="宋体" w:hAnsi="宋体"/>
          <w:sz w:val="24"/>
        </w:rPr>
        <w:t>（5）项目实施计划（可包含且不限于保证工期的施工组织方案及人力资源安排、项目组人员清单等）（格式见附件）；</w:t>
      </w:r>
    </w:p>
    <w:p>
      <w:pPr>
        <w:snapToGrid w:val="0"/>
        <w:spacing w:line="360" w:lineRule="auto"/>
        <w:ind w:firstLine="480" w:firstLineChars="200"/>
        <w:jc w:val="left"/>
        <w:rPr>
          <w:rFonts w:ascii="宋体" w:hAnsi="宋体"/>
          <w:sz w:val="24"/>
        </w:rPr>
      </w:pPr>
      <w:r>
        <w:rPr>
          <w:rFonts w:hint="eastAsia" w:ascii="宋体" w:hAnsi="宋体"/>
          <w:sz w:val="24"/>
        </w:rPr>
        <w:t>（6）列入政府采购节能环保清单的证明资料（若有）；</w:t>
      </w:r>
    </w:p>
    <w:p>
      <w:pPr>
        <w:snapToGrid w:val="0"/>
        <w:spacing w:line="360" w:lineRule="auto"/>
        <w:ind w:firstLine="480" w:firstLineChars="200"/>
        <w:jc w:val="left"/>
        <w:rPr>
          <w:rFonts w:ascii="宋体" w:hAnsi="宋体"/>
          <w:sz w:val="24"/>
        </w:rPr>
      </w:pPr>
      <w:r>
        <w:rPr>
          <w:rFonts w:hint="eastAsia" w:ascii="宋体" w:hAnsi="宋体"/>
          <w:sz w:val="24"/>
        </w:rPr>
        <w:t>（7）商务响应表（格式见附件）；</w:t>
      </w:r>
    </w:p>
    <w:p>
      <w:pPr>
        <w:snapToGrid w:val="0"/>
        <w:spacing w:line="360" w:lineRule="auto"/>
        <w:ind w:firstLine="480" w:firstLineChars="200"/>
        <w:jc w:val="left"/>
        <w:rPr>
          <w:rFonts w:ascii="宋体" w:hAnsi="宋体"/>
          <w:sz w:val="24"/>
        </w:rPr>
      </w:pPr>
      <w:r>
        <w:rPr>
          <w:rFonts w:hint="eastAsia" w:ascii="宋体" w:hAnsi="宋体"/>
          <w:sz w:val="24"/>
        </w:rPr>
        <w:t>（8）售后服务计划（可包含且不限于对用户故障的响应、处理、定期巡检、备品备件、常用耗材提供、驻点人员情况等）；</w:t>
      </w:r>
    </w:p>
    <w:p>
      <w:pPr>
        <w:snapToGrid w:val="0"/>
        <w:spacing w:line="360" w:lineRule="auto"/>
        <w:ind w:firstLine="480" w:firstLineChars="200"/>
        <w:jc w:val="left"/>
        <w:rPr>
          <w:rFonts w:ascii="宋体" w:hAnsi="宋体"/>
          <w:sz w:val="24"/>
        </w:rPr>
      </w:pPr>
      <w:r>
        <w:rPr>
          <w:rFonts w:hint="eastAsia" w:ascii="宋体" w:hAnsi="宋体"/>
          <w:sz w:val="24"/>
        </w:rPr>
        <w:t>（9）技术培训计划（若有）；</w:t>
      </w:r>
    </w:p>
    <w:p>
      <w:pPr>
        <w:snapToGrid w:val="0"/>
        <w:spacing w:line="360" w:lineRule="auto"/>
        <w:ind w:firstLine="480" w:firstLineChars="200"/>
        <w:jc w:val="left"/>
        <w:rPr>
          <w:rFonts w:ascii="宋体" w:hAnsi="宋体"/>
          <w:sz w:val="24"/>
        </w:rPr>
      </w:pPr>
      <w:r>
        <w:rPr>
          <w:rFonts w:hint="eastAsia" w:ascii="宋体" w:hAnsi="宋体"/>
          <w:sz w:val="24"/>
        </w:rPr>
        <w:t>（10）投标人履约能力（可包含且不限于技术力量情况、投标人各项能力证书）；</w:t>
      </w:r>
    </w:p>
    <w:p>
      <w:pPr>
        <w:snapToGrid w:val="0"/>
        <w:spacing w:line="360" w:lineRule="auto"/>
        <w:ind w:firstLine="480" w:firstLineChars="200"/>
        <w:jc w:val="left"/>
        <w:rPr>
          <w:rFonts w:ascii="宋体" w:hAnsi="宋体"/>
          <w:sz w:val="24"/>
        </w:rPr>
      </w:pPr>
      <w:r>
        <w:rPr>
          <w:rFonts w:hint="eastAsia" w:ascii="宋体" w:hAnsi="宋体"/>
          <w:sz w:val="24"/>
        </w:rPr>
        <w:t>（11）案例的业绩证明（投标人业绩情况一览表、合同复印件等）（格式见附件）；</w:t>
      </w:r>
    </w:p>
    <w:p>
      <w:pPr>
        <w:snapToGrid w:val="0"/>
        <w:spacing w:line="360" w:lineRule="auto"/>
        <w:ind w:firstLine="480" w:firstLineChars="200"/>
        <w:jc w:val="left"/>
        <w:rPr>
          <w:rFonts w:ascii="宋体" w:hAnsi="宋体"/>
          <w:sz w:val="24"/>
        </w:rPr>
      </w:pPr>
      <w:r>
        <w:rPr>
          <w:rFonts w:hint="eastAsia" w:ascii="宋体" w:hAnsi="宋体"/>
          <w:sz w:val="24"/>
        </w:rPr>
        <w:t>（12）投标方认为需要的其他文件资料。</w:t>
      </w:r>
      <w:r>
        <w:rPr>
          <w:rFonts w:hint="eastAsia" w:ascii="宋体" w:hAnsi="宋体" w:cs="仿宋_GB2312"/>
          <w:kern w:val="0"/>
          <w:sz w:val="24"/>
          <w:lang w:val="zh-CN"/>
        </w:rPr>
        <w:t xml:space="preserve"> </w:t>
      </w:r>
    </w:p>
    <w:p>
      <w:pPr>
        <w:snapToGrid w:val="0"/>
        <w:spacing w:line="380" w:lineRule="exact"/>
        <w:ind w:firstLine="472" w:firstLineChars="196"/>
        <w:jc w:val="left"/>
        <w:rPr>
          <w:rFonts w:ascii="宋体" w:hAnsi="宋体"/>
          <w:b/>
          <w:bCs/>
          <w:sz w:val="24"/>
        </w:rPr>
      </w:pPr>
      <w:r>
        <w:rPr>
          <w:rFonts w:hint="eastAsia" w:ascii="宋体" w:hAnsi="宋体"/>
          <w:b/>
          <w:bCs/>
          <w:sz w:val="24"/>
        </w:rPr>
        <w:t>注：以上目录是编制技术响应内容的基本格式要求，供参考，</w:t>
      </w:r>
      <w:r>
        <w:rPr>
          <w:rFonts w:hint="eastAsia" w:ascii="宋体" w:hAnsi="宋体"/>
          <w:b/>
          <w:sz w:val="24"/>
        </w:rPr>
        <w:t>投标人</w:t>
      </w:r>
      <w:r>
        <w:rPr>
          <w:rFonts w:hint="eastAsia" w:ascii="宋体" w:hAnsi="宋体"/>
          <w:b/>
          <w:bCs/>
          <w:sz w:val="24"/>
        </w:rPr>
        <w:t>可根据自身情况进一步补充、细化、优化。</w:t>
      </w:r>
    </w:p>
    <w:p>
      <w:pPr>
        <w:snapToGrid w:val="0"/>
        <w:spacing w:line="380" w:lineRule="exact"/>
        <w:ind w:firstLine="470" w:firstLineChars="196"/>
        <w:jc w:val="left"/>
        <w:rPr>
          <w:rFonts w:ascii="宋体" w:hAnsi="宋体"/>
          <w:sz w:val="24"/>
        </w:rPr>
      </w:pPr>
      <w:r>
        <w:rPr>
          <w:rFonts w:hint="eastAsia" w:ascii="宋体" w:hAnsi="宋体"/>
          <w:sz w:val="24"/>
        </w:rPr>
        <w:t>3.报价文件：</w:t>
      </w:r>
    </w:p>
    <w:p>
      <w:pPr>
        <w:spacing w:line="380" w:lineRule="exact"/>
        <w:ind w:firstLine="480" w:firstLineChars="200"/>
        <w:rPr>
          <w:rFonts w:ascii="宋体" w:hAnsi="宋体"/>
          <w:kern w:val="0"/>
          <w:sz w:val="24"/>
        </w:rPr>
      </w:pPr>
      <w:r>
        <w:rPr>
          <w:rFonts w:hint="eastAsia" w:ascii="宋体" w:hAnsi="宋体"/>
          <w:kern w:val="0"/>
          <w:sz w:val="24"/>
        </w:rPr>
        <w:t>（1）报价一览表</w:t>
      </w:r>
    </w:p>
    <w:p>
      <w:pPr>
        <w:spacing w:line="380" w:lineRule="exact"/>
        <w:ind w:firstLine="480" w:firstLineChars="200"/>
        <w:rPr>
          <w:rFonts w:ascii="宋体" w:hAnsi="宋体"/>
          <w:kern w:val="0"/>
          <w:sz w:val="24"/>
        </w:rPr>
      </w:pPr>
      <w:r>
        <w:rPr>
          <w:rFonts w:hint="eastAsia" w:ascii="宋体" w:hAnsi="宋体"/>
          <w:kern w:val="0"/>
          <w:sz w:val="24"/>
        </w:rPr>
        <w:t>（2）报价明细清单</w:t>
      </w:r>
    </w:p>
    <w:p>
      <w:pPr>
        <w:spacing w:line="380" w:lineRule="exact"/>
        <w:ind w:firstLine="480" w:firstLineChars="200"/>
        <w:rPr>
          <w:rFonts w:ascii="宋体" w:hAnsi="宋体"/>
          <w:kern w:val="0"/>
          <w:sz w:val="24"/>
        </w:rPr>
      </w:pPr>
      <w:r>
        <w:rPr>
          <w:rFonts w:hint="eastAsia" w:ascii="宋体" w:hAnsi="宋体"/>
          <w:sz w:val="24"/>
        </w:rPr>
        <w:t>（3）小微企业声明函及相关资料、残疾人福利性单位相关资料（如有）</w:t>
      </w:r>
    </w:p>
    <w:p>
      <w:pPr>
        <w:spacing w:line="380" w:lineRule="exact"/>
        <w:ind w:firstLine="480" w:firstLineChars="200"/>
        <w:rPr>
          <w:rFonts w:ascii="宋体" w:hAnsi="宋体"/>
          <w:kern w:val="0"/>
          <w:sz w:val="24"/>
        </w:rPr>
      </w:pPr>
      <w:r>
        <w:rPr>
          <w:rFonts w:hint="eastAsia" w:ascii="宋体" w:hAnsi="宋体"/>
          <w:kern w:val="0"/>
          <w:sz w:val="24"/>
        </w:rPr>
        <w:t>（4）采购文件要求的或投标人认为需要的其它资料</w:t>
      </w:r>
    </w:p>
    <w:p>
      <w:pPr>
        <w:tabs>
          <w:tab w:val="left" w:pos="360"/>
          <w:tab w:val="left" w:pos="540"/>
        </w:tabs>
        <w:spacing w:line="380" w:lineRule="exact"/>
        <w:ind w:right="15" w:rightChars="7" w:firstLine="480" w:firstLineChars="200"/>
        <w:rPr>
          <w:rFonts w:ascii="宋体" w:hAnsi="宋体"/>
          <w:sz w:val="24"/>
        </w:rPr>
      </w:pPr>
      <w:r>
        <w:rPr>
          <w:rFonts w:hint="eastAsia" w:ascii="宋体" w:hAnsi="宋体"/>
          <w:sz w:val="24"/>
        </w:rPr>
        <w:t>4.资格后审等所需原件包括下列内容：（若有）</w:t>
      </w:r>
    </w:p>
    <w:p>
      <w:pPr>
        <w:tabs>
          <w:tab w:val="left" w:pos="360"/>
          <w:tab w:val="left" w:pos="540"/>
        </w:tabs>
        <w:spacing w:line="380" w:lineRule="exact"/>
        <w:ind w:right="15" w:rightChars="7" w:firstLine="600" w:firstLineChars="250"/>
        <w:rPr>
          <w:rFonts w:ascii="宋体" w:hAnsi="宋体"/>
          <w:sz w:val="24"/>
        </w:rPr>
      </w:pPr>
      <w:r>
        <w:rPr>
          <w:rFonts w:hint="eastAsia" w:ascii="宋体" w:hAnsi="宋体"/>
          <w:sz w:val="24"/>
        </w:rPr>
        <w:t>采购文件要求提供原件的材料。</w:t>
      </w:r>
    </w:p>
    <w:p>
      <w:pPr>
        <w:pStyle w:val="13"/>
        <w:widowControl w:val="0"/>
        <w:spacing w:before="0" w:afterLines="0" w:line="380" w:lineRule="exact"/>
        <w:ind w:firstLine="480" w:firstLineChars="200"/>
        <w:rPr>
          <w:color w:val="auto"/>
        </w:rPr>
      </w:pPr>
      <w:r>
        <w:rPr>
          <w:rFonts w:hint="eastAsia"/>
          <w:color w:val="auto"/>
        </w:rPr>
        <w:t>为便于专家评标：a、以上资格后审、资信评审而要求</w:t>
      </w:r>
      <w:r>
        <w:rPr>
          <w:rFonts w:hint="eastAsia"/>
        </w:rPr>
        <w:t>投标人</w:t>
      </w:r>
      <w:r>
        <w:rPr>
          <w:rFonts w:hint="eastAsia"/>
          <w:color w:val="auto"/>
        </w:rPr>
        <w:t>提供企业资料原件的，</w:t>
      </w:r>
      <w:r>
        <w:rPr>
          <w:rFonts w:hint="eastAsia"/>
        </w:rPr>
        <w:t>投标人</w:t>
      </w:r>
      <w:r>
        <w:rPr>
          <w:rFonts w:hint="eastAsia"/>
          <w:color w:val="auto"/>
        </w:rPr>
        <w:t>应另袋单独密封包装在一个袋内；b、以上原件采购文件若要求提供复印件的仍需将复印件装订进</w:t>
      </w:r>
      <w:r>
        <w:rPr>
          <w:rFonts w:hint="eastAsia" w:cs="Arial"/>
        </w:rPr>
        <w:t>投标响应</w:t>
      </w:r>
      <w:r>
        <w:rPr>
          <w:rFonts w:hint="eastAsia"/>
          <w:color w:val="auto"/>
        </w:rPr>
        <w:t>文件。</w:t>
      </w:r>
    </w:p>
    <w:p>
      <w:pPr>
        <w:snapToGrid w:val="0"/>
        <w:spacing w:line="380" w:lineRule="exact"/>
        <w:ind w:firstLine="470" w:firstLineChars="196"/>
        <w:jc w:val="left"/>
        <w:outlineLvl w:val="2"/>
        <w:rPr>
          <w:rFonts w:ascii="宋体" w:hAnsi="宋体"/>
          <w:sz w:val="24"/>
        </w:rPr>
      </w:pPr>
      <w:r>
        <w:rPr>
          <w:rFonts w:hint="eastAsia" w:ascii="宋体" w:hAnsi="宋体"/>
          <w:sz w:val="24"/>
        </w:rPr>
        <w:t>（二）投标文件的语言及计量</w:t>
      </w:r>
    </w:p>
    <w:p>
      <w:pPr>
        <w:snapToGrid w:val="0"/>
        <w:spacing w:line="380" w:lineRule="exact"/>
        <w:ind w:firstLine="480" w:firstLineChars="200"/>
        <w:jc w:val="left"/>
        <w:rPr>
          <w:rFonts w:ascii="宋体" w:hAnsi="宋体"/>
          <w:sz w:val="24"/>
        </w:rPr>
      </w:pPr>
      <w:r>
        <w:rPr>
          <w:rFonts w:hint="eastAsia" w:ascii="宋体" w:hAnsi="宋体"/>
          <w:sz w:val="24"/>
        </w:rPr>
        <w:t>1.投标文件以及投标人与采购机构就有关投标事宜的所有来往函电，均应以中文汉语书写。除签名、盖章、专用名称等特殊情形外，以中文汉语以外的文字表述的投标文件视同未提供。</w:t>
      </w:r>
    </w:p>
    <w:p>
      <w:pPr>
        <w:snapToGrid w:val="0"/>
        <w:spacing w:line="380" w:lineRule="exact"/>
        <w:ind w:firstLine="480" w:firstLineChars="200"/>
        <w:jc w:val="left"/>
        <w:rPr>
          <w:rFonts w:ascii="宋体" w:hAnsi="宋体"/>
          <w:sz w:val="24"/>
        </w:rPr>
      </w:pPr>
      <w:r>
        <w:rPr>
          <w:rFonts w:hint="eastAsia" w:ascii="宋体" w:hAnsi="宋体"/>
          <w:sz w:val="24"/>
        </w:rPr>
        <w:t>2.</w:t>
      </w:r>
      <w:r>
        <w:rPr>
          <w:rFonts w:hint="eastAsia" w:ascii="宋体" w:hAnsi="宋体" w:cs="Arial"/>
          <w:sz w:val="24"/>
        </w:rPr>
        <w:t>投标</w:t>
      </w:r>
      <w:r>
        <w:rPr>
          <w:rFonts w:hint="eastAsia" w:ascii="宋体" w:hAnsi="宋体"/>
          <w:sz w:val="24"/>
        </w:rPr>
        <w:t>计量单位，采购文件已有明确规定的，使用采购文件规定的计量单位，采购文件没有规定的，应采用中华人民共和国法定计量单位（货币单位：人民币元），否则视同未响应。</w:t>
      </w:r>
    </w:p>
    <w:p>
      <w:pPr>
        <w:snapToGrid w:val="0"/>
        <w:spacing w:line="380" w:lineRule="exact"/>
        <w:ind w:firstLine="470" w:firstLineChars="196"/>
        <w:jc w:val="left"/>
        <w:outlineLvl w:val="2"/>
        <w:rPr>
          <w:rFonts w:ascii="宋体" w:hAnsi="宋体"/>
          <w:sz w:val="24"/>
        </w:rPr>
      </w:pPr>
      <w:r>
        <w:rPr>
          <w:rFonts w:hint="eastAsia" w:ascii="宋体" w:hAnsi="宋体"/>
          <w:sz w:val="24"/>
        </w:rPr>
        <w:t>（三）投标报价</w:t>
      </w:r>
    </w:p>
    <w:p>
      <w:pPr>
        <w:tabs>
          <w:tab w:val="left" w:pos="525"/>
        </w:tabs>
        <w:snapToGrid w:val="0"/>
        <w:spacing w:line="380" w:lineRule="exact"/>
        <w:ind w:firstLine="480" w:firstLineChars="200"/>
        <w:jc w:val="left"/>
        <w:rPr>
          <w:rFonts w:ascii="宋体" w:hAnsi="宋体"/>
          <w:sz w:val="24"/>
        </w:rPr>
      </w:pPr>
      <w:r>
        <w:rPr>
          <w:rFonts w:hint="eastAsia" w:ascii="宋体" w:hAnsi="宋体"/>
          <w:sz w:val="24"/>
        </w:rPr>
        <w:t>1.投标文件只允许有一个报价，报价应按采购文件中相关附表格式填报</w:t>
      </w:r>
    </w:p>
    <w:p>
      <w:pPr>
        <w:pStyle w:val="9"/>
        <w:snapToGrid w:val="0"/>
        <w:spacing w:beforeLines="0" w:afterLines="0" w:line="380" w:lineRule="exact"/>
        <w:ind w:firstLine="480" w:firstLineChars="200"/>
        <w:jc w:val="left"/>
        <w:rPr>
          <w:rFonts w:hAnsi="宋体"/>
        </w:rPr>
      </w:pPr>
      <w:r>
        <w:rPr>
          <w:rFonts w:hint="eastAsia" w:hAnsi="宋体"/>
        </w:rPr>
        <w:t>2.投标报价是履行合同的最终价格，应包括货款、标准附件、备品备件、专用工具、包装、运输、装卸、保险、税金、货到就位以及安装、调试、培训、保修等一切税金和费用。</w:t>
      </w:r>
    </w:p>
    <w:p>
      <w:pPr>
        <w:snapToGrid w:val="0"/>
        <w:spacing w:line="380" w:lineRule="exact"/>
        <w:ind w:firstLine="470" w:firstLineChars="196"/>
        <w:jc w:val="left"/>
        <w:outlineLvl w:val="2"/>
        <w:rPr>
          <w:rFonts w:ascii="宋体" w:hAnsi="宋体"/>
          <w:sz w:val="24"/>
        </w:rPr>
      </w:pPr>
      <w:r>
        <w:rPr>
          <w:rFonts w:hint="eastAsia" w:ascii="宋体" w:hAnsi="宋体"/>
          <w:sz w:val="24"/>
        </w:rPr>
        <w:t>（四）投标文件的有效期</w:t>
      </w:r>
    </w:p>
    <w:p>
      <w:pPr>
        <w:snapToGrid w:val="0"/>
        <w:spacing w:line="380" w:lineRule="exact"/>
        <w:ind w:firstLine="480" w:firstLineChars="200"/>
        <w:jc w:val="left"/>
        <w:rPr>
          <w:rFonts w:ascii="宋体" w:hAnsi="宋体"/>
          <w:sz w:val="24"/>
        </w:rPr>
      </w:pPr>
      <w:r>
        <w:rPr>
          <w:rFonts w:hint="eastAsia" w:ascii="宋体" w:hAnsi="宋体"/>
          <w:sz w:val="24"/>
        </w:rPr>
        <w:t>1.自投标截止日起90天内投标文件应保持有效。有效期不足的投标文件将被拒绝。</w:t>
      </w:r>
    </w:p>
    <w:p>
      <w:pPr>
        <w:snapToGrid w:val="0"/>
        <w:spacing w:line="380" w:lineRule="exact"/>
        <w:ind w:firstLine="480" w:firstLineChars="200"/>
        <w:jc w:val="left"/>
        <w:rPr>
          <w:rFonts w:ascii="宋体" w:hAnsi="宋体"/>
          <w:sz w:val="24"/>
        </w:rPr>
      </w:pPr>
      <w:r>
        <w:rPr>
          <w:rFonts w:hint="eastAsia" w:ascii="宋体" w:hAnsi="宋体"/>
          <w:sz w:val="24"/>
        </w:rPr>
        <w:t>2.成交供应商的投标文件自开标之日起至合同履行完毕止均应保持有效。</w:t>
      </w:r>
    </w:p>
    <w:p>
      <w:pPr>
        <w:snapToGrid w:val="0"/>
        <w:spacing w:line="380" w:lineRule="exact"/>
        <w:ind w:firstLine="470" w:firstLineChars="196"/>
        <w:jc w:val="left"/>
        <w:outlineLvl w:val="0"/>
        <w:rPr>
          <w:rFonts w:ascii="宋体" w:hAnsi="宋体"/>
          <w:sz w:val="24"/>
        </w:rPr>
      </w:pPr>
      <w:r>
        <w:rPr>
          <w:rFonts w:hint="eastAsia" w:ascii="宋体" w:hAnsi="宋体"/>
          <w:sz w:val="24"/>
        </w:rPr>
        <w:t>（五）投标保证金（若有）</w:t>
      </w:r>
    </w:p>
    <w:p>
      <w:pPr>
        <w:snapToGrid w:val="0"/>
        <w:spacing w:line="380" w:lineRule="exact"/>
        <w:ind w:firstLine="480" w:firstLineChars="200"/>
        <w:jc w:val="left"/>
        <w:rPr>
          <w:rFonts w:ascii="宋体" w:hAnsi="宋体"/>
          <w:sz w:val="24"/>
        </w:rPr>
      </w:pPr>
      <w:r>
        <w:rPr>
          <w:rFonts w:hint="eastAsia" w:ascii="宋体" w:hAnsi="宋体"/>
          <w:sz w:val="24"/>
        </w:rPr>
        <w:t>1.投标人须按规定提交投标保证金。</w:t>
      </w:r>
    </w:p>
    <w:p>
      <w:pPr>
        <w:snapToGrid w:val="0"/>
        <w:spacing w:line="380" w:lineRule="exact"/>
        <w:ind w:firstLine="480" w:firstLineChars="200"/>
        <w:jc w:val="left"/>
        <w:rPr>
          <w:rFonts w:ascii="宋体" w:hAnsi="宋体"/>
          <w:sz w:val="24"/>
        </w:rPr>
      </w:pPr>
      <w:r>
        <w:rPr>
          <w:rFonts w:hint="eastAsia" w:ascii="宋体" w:hAnsi="宋体"/>
          <w:sz w:val="24"/>
        </w:rPr>
        <w:t xml:space="preserve">2.保证金形式：汇票、电汇、支票等非现金方式。 </w:t>
      </w:r>
    </w:p>
    <w:p>
      <w:pPr>
        <w:snapToGrid w:val="0"/>
        <w:spacing w:line="380" w:lineRule="exact"/>
        <w:ind w:firstLine="480" w:firstLineChars="200"/>
        <w:jc w:val="left"/>
        <w:rPr>
          <w:rFonts w:ascii="宋体" w:hAnsi="宋体"/>
          <w:sz w:val="24"/>
        </w:rPr>
      </w:pPr>
      <w:r>
        <w:rPr>
          <w:rFonts w:hint="eastAsia" w:ascii="宋体" w:hAnsi="宋体"/>
          <w:sz w:val="24"/>
        </w:rPr>
        <w:t>3.保证金不计息。</w:t>
      </w:r>
    </w:p>
    <w:p>
      <w:pPr>
        <w:snapToGrid w:val="0"/>
        <w:spacing w:line="380" w:lineRule="exact"/>
        <w:ind w:firstLine="480" w:firstLineChars="200"/>
        <w:jc w:val="left"/>
        <w:rPr>
          <w:rFonts w:ascii="宋体" w:hAnsi="宋体"/>
          <w:sz w:val="24"/>
        </w:rPr>
      </w:pPr>
      <w:r>
        <w:rPr>
          <w:rFonts w:hint="eastAsia" w:ascii="宋体" w:hAnsi="宋体"/>
          <w:sz w:val="24"/>
        </w:rPr>
        <w:t>4.投标保证金的交付时间以专户实际收到交纳资金为准。</w:t>
      </w:r>
    </w:p>
    <w:p>
      <w:pPr>
        <w:snapToGrid w:val="0"/>
        <w:spacing w:line="380" w:lineRule="exact"/>
        <w:ind w:firstLine="480" w:firstLineChars="200"/>
        <w:jc w:val="left"/>
        <w:rPr>
          <w:rFonts w:ascii="宋体" w:hAnsi="宋体"/>
          <w:sz w:val="24"/>
        </w:rPr>
      </w:pPr>
      <w:r>
        <w:rPr>
          <w:rFonts w:hint="eastAsia" w:ascii="宋体" w:hAnsi="宋体"/>
          <w:sz w:val="24"/>
        </w:rPr>
        <w:t>5.投标人在交纳投标保证金时，需在进账凭证上注明用途和项目编号，以便查实核对。</w:t>
      </w:r>
    </w:p>
    <w:p>
      <w:pPr>
        <w:snapToGrid w:val="0"/>
        <w:spacing w:line="380" w:lineRule="exact"/>
        <w:ind w:firstLine="470" w:firstLineChars="196"/>
        <w:jc w:val="left"/>
        <w:rPr>
          <w:rFonts w:ascii="宋体" w:hAnsi="宋体"/>
          <w:bCs/>
          <w:sz w:val="24"/>
        </w:rPr>
      </w:pPr>
      <w:r>
        <w:rPr>
          <w:rFonts w:hint="eastAsia" w:ascii="宋体" w:hAnsi="宋体"/>
          <w:bCs/>
          <w:sz w:val="24"/>
        </w:rPr>
        <w:t>6.</w:t>
      </w:r>
      <w:r>
        <w:rPr>
          <w:rFonts w:hint="eastAsia" w:ascii="宋体" w:hAnsi="宋体"/>
          <w:sz w:val="24"/>
        </w:rPr>
        <w:t xml:space="preserve"> 投标人</w:t>
      </w:r>
      <w:r>
        <w:rPr>
          <w:rFonts w:hint="eastAsia" w:ascii="宋体" w:hAnsi="宋体"/>
          <w:bCs/>
          <w:sz w:val="24"/>
        </w:rPr>
        <w:t>有下列情形之一的，投标保证金将不予退还：</w:t>
      </w:r>
    </w:p>
    <w:p>
      <w:pPr>
        <w:snapToGrid w:val="0"/>
        <w:spacing w:line="380" w:lineRule="exact"/>
        <w:ind w:firstLine="470" w:firstLineChars="196"/>
        <w:jc w:val="left"/>
        <w:rPr>
          <w:rFonts w:ascii="宋体" w:hAnsi="宋体"/>
          <w:sz w:val="24"/>
        </w:rPr>
      </w:pPr>
      <w:r>
        <w:rPr>
          <w:rFonts w:hint="eastAsia" w:ascii="宋体" w:hAnsi="宋体"/>
          <w:sz w:val="24"/>
        </w:rPr>
        <w:t>（1）投标人在投标截止时间后撤回投标文件的</w:t>
      </w:r>
    </w:p>
    <w:p>
      <w:pPr>
        <w:snapToGrid w:val="0"/>
        <w:spacing w:line="380" w:lineRule="exact"/>
        <w:ind w:firstLine="470" w:firstLineChars="196"/>
        <w:jc w:val="left"/>
        <w:rPr>
          <w:rFonts w:ascii="宋体" w:hAnsi="宋体"/>
          <w:sz w:val="24"/>
        </w:rPr>
      </w:pPr>
      <w:r>
        <w:rPr>
          <w:rFonts w:hint="eastAsia" w:ascii="宋体" w:hAnsi="宋体"/>
          <w:sz w:val="24"/>
        </w:rPr>
        <w:t>（2）投标人在投标过程中弄虚作假，提供虚假材料的</w:t>
      </w:r>
    </w:p>
    <w:p>
      <w:pPr>
        <w:snapToGrid w:val="0"/>
        <w:spacing w:line="380" w:lineRule="exact"/>
        <w:ind w:firstLine="470" w:firstLineChars="196"/>
        <w:rPr>
          <w:rFonts w:ascii="宋体" w:hAnsi="宋体"/>
          <w:sz w:val="24"/>
        </w:rPr>
      </w:pPr>
      <w:r>
        <w:rPr>
          <w:rFonts w:hint="eastAsia" w:ascii="宋体" w:hAnsi="宋体"/>
          <w:sz w:val="24"/>
        </w:rPr>
        <w:t>（3）投标人无故放弃或无正当理由不与采购人签订合同的</w:t>
      </w:r>
    </w:p>
    <w:p>
      <w:pPr>
        <w:snapToGrid w:val="0"/>
        <w:spacing w:line="380" w:lineRule="exact"/>
        <w:ind w:firstLine="470" w:firstLineChars="196"/>
        <w:rPr>
          <w:rFonts w:ascii="宋体" w:hAnsi="宋体"/>
          <w:bCs/>
          <w:sz w:val="24"/>
        </w:rPr>
      </w:pPr>
      <w:r>
        <w:rPr>
          <w:rFonts w:hint="eastAsia" w:ascii="宋体" w:hAnsi="宋体"/>
          <w:sz w:val="24"/>
        </w:rPr>
        <w:t>（4）</w:t>
      </w:r>
      <w:r>
        <w:rPr>
          <w:rFonts w:hint="eastAsia" w:ascii="宋体" w:hAnsi="宋体"/>
          <w:bCs/>
          <w:sz w:val="24"/>
        </w:rPr>
        <w:t>将中标项目转让给他人或者在</w:t>
      </w:r>
      <w:r>
        <w:rPr>
          <w:rFonts w:hint="eastAsia" w:ascii="宋体" w:hAnsi="宋体"/>
          <w:sz w:val="24"/>
        </w:rPr>
        <w:t>投标</w:t>
      </w:r>
      <w:r>
        <w:rPr>
          <w:rFonts w:hint="eastAsia" w:ascii="宋体" w:hAnsi="宋体"/>
          <w:bCs/>
          <w:sz w:val="24"/>
        </w:rPr>
        <w:t>文件中未说明且未经采购单位同意，将中标项目分包给他人的</w:t>
      </w:r>
    </w:p>
    <w:p>
      <w:pPr>
        <w:snapToGrid w:val="0"/>
        <w:spacing w:line="380" w:lineRule="exact"/>
        <w:ind w:firstLine="475" w:firstLineChars="198"/>
        <w:rPr>
          <w:rFonts w:ascii="宋体" w:hAnsi="宋体"/>
          <w:sz w:val="24"/>
        </w:rPr>
      </w:pPr>
      <w:r>
        <w:rPr>
          <w:rFonts w:hint="eastAsia" w:ascii="宋体" w:hAnsi="宋体"/>
          <w:sz w:val="24"/>
        </w:rPr>
        <w:t>（5）未按规定提交履约保证金的</w:t>
      </w:r>
    </w:p>
    <w:p>
      <w:pPr>
        <w:snapToGrid w:val="0"/>
        <w:spacing w:line="380" w:lineRule="exact"/>
        <w:ind w:firstLine="475" w:firstLineChars="198"/>
        <w:rPr>
          <w:rFonts w:ascii="宋体" w:hAnsi="宋体"/>
          <w:sz w:val="24"/>
        </w:rPr>
      </w:pPr>
      <w:r>
        <w:rPr>
          <w:rFonts w:hint="eastAsia" w:ascii="宋体" w:hAnsi="宋体"/>
          <w:sz w:val="24"/>
        </w:rPr>
        <w:t>（6）其他严重扰乱招投标程序的</w:t>
      </w:r>
    </w:p>
    <w:p>
      <w:pPr>
        <w:snapToGrid w:val="0"/>
        <w:spacing w:line="380" w:lineRule="exact"/>
        <w:ind w:firstLine="475" w:firstLineChars="198"/>
        <w:rPr>
          <w:rFonts w:ascii="宋体" w:hAnsi="宋体"/>
          <w:sz w:val="24"/>
        </w:rPr>
      </w:pPr>
      <w:r>
        <w:rPr>
          <w:rFonts w:hint="eastAsia" w:ascii="宋体" w:hAnsi="宋体"/>
          <w:sz w:val="24"/>
        </w:rPr>
        <w:t>7.投标保证金的退还：</w:t>
      </w:r>
      <w:r>
        <w:rPr>
          <w:rFonts w:hint="eastAsia" w:ascii="宋体" w:hAnsi="宋体"/>
          <w:sz w:val="24"/>
          <w:lang w:val="zh-CN"/>
        </w:rPr>
        <w:t>未成交人投标保证金在成交通知书发出后5个工作日内退还。成交人的投标保证金在合同签订后5个工作日内凭鉴证合同退还。</w:t>
      </w:r>
    </w:p>
    <w:p>
      <w:pPr>
        <w:snapToGrid w:val="0"/>
        <w:spacing w:line="380" w:lineRule="exact"/>
        <w:ind w:firstLine="470" w:firstLineChars="196"/>
        <w:jc w:val="left"/>
        <w:outlineLvl w:val="2"/>
        <w:rPr>
          <w:rFonts w:ascii="宋体" w:hAnsi="宋体"/>
          <w:sz w:val="24"/>
        </w:rPr>
      </w:pPr>
      <w:r>
        <w:rPr>
          <w:rFonts w:hint="eastAsia" w:ascii="宋体" w:hAnsi="宋体"/>
          <w:sz w:val="24"/>
        </w:rPr>
        <w:t>（六）投标文件的签署和份数</w:t>
      </w:r>
    </w:p>
    <w:p>
      <w:pPr>
        <w:spacing w:line="360" w:lineRule="auto"/>
        <w:ind w:firstLine="482" w:firstLineChars="200"/>
        <w:rPr>
          <w:rFonts w:ascii="宋体" w:hAnsi="宋体"/>
          <w:b/>
          <w:sz w:val="24"/>
        </w:rPr>
      </w:pPr>
      <w:r>
        <w:rPr>
          <w:rFonts w:hint="eastAsia" w:ascii="宋体" w:hAnsi="宋体"/>
          <w:b/>
          <w:sz w:val="24"/>
        </w:rPr>
        <w:t>投标人应根据“政采云供应商项目采购-电子招投标操作指南”及本招标文件规定的格式和顺序编制电子投标文件并进行关联定位。</w:t>
      </w:r>
    </w:p>
    <w:p>
      <w:pPr>
        <w:pStyle w:val="3"/>
        <w:snapToGrid w:val="0"/>
        <w:spacing w:line="380" w:lineRule="exact"/>
        <w:ind w:firstLine="457" w:firstLineChars="196"/>
        <w:outlineLvl w:val="1"/>
        <w:rPr>
          <w:rFonts w:hAnsi="宋体"/>
          <w:b/>
          <w:snapToGrid w:val="0"/>
          <w:sz w:val="24"/>
          <w:szCs w:val="24"/>
        </w:rPr>
      </w:pPr>
      <w:r>
        <w:rPr>
          <w:rFonts w:hint="eastAsia" w:hAnsi="宋体"/>
          <w:b/>
          <w:sz w:val="24"/>
          <w:szCs w:val="24"/>
        </w:rPr>
        <w:t>三、开标</w:t>
      </w:r>
    </w:p>
    <w:p>
      <w:pPr>
        <w:pStyle w:val="3"/>
        <w:spacing w:line="360" w:lineRule="auto"/>
        <w:jc w:val="left"/>
        <w:outlineLvl w:val="1"/>
        <w:rPr>
          <w:rFonts w:hAnsi="宋体"/>
          <w:b/>
          <w:bCs/>
          <w:sz w:val="24"/>
        </w:rPr>
      </w:pPr>
      <w:bookmarkStart w:id="1" w:name="_Toc177870554"/>
      <w:r>
        <w:rPr>
          <w:rFonts w:hint="eastAsia" w:hAnsi="宋体"/>
          <w:b/>
          <w:bCs/>
          <w:sz w:val="24"/>
        </w:rPr>
        <w:t>（一）组织开标程序</w:t>
      </w:r>
    </w:p>
    <w:p>
      <w:pPr>
        <w:pStyle w:val="9"/>
        <w:spacing w:before="156" w:after="156" w:line="360" w:lineRule="auto"/>
        <w:ind w:firstLine="470" w:firstLineChars="196"/>
        <w:rPr>
          <w:rFonts w:hAnsi="宋体"/>
          <w:bCs/>
        </w:rPr>
      </w:pPr>
      <w:r>
        <w:rPr>
          <w:rFonts w:hint="eastAsia" w:hAnsi="宋体"/>
          <w:bCs/>
        </w:rPr>
        <w:t>招标方将按照招标文件规定的时间、地点和程序组织开标，各投标人无须参加现场开标会议，请自行登录政采云平台关注开标信息。</w:t>
      </w:r>
    </w:p>
    <w:p>
      <w:pPr>
        <w:pStyle w:val="9"/>
        <w:spacing w:before="156" w:after="156" w:line="360" w:lineRule="auto"/>
        <w:ind w:firstLine="551"/>
        <w:rPr>
          <w:rFonts w:hAnsi="宋体"/>
          <w:bCs/>
        </w:rPr>
      </w:pPr>
      <w:r>
        <w:rPr>
          <w:rFonts w:hint="eastAsia" w:hAnsi="宋体"/>
          <w:bCs/>
        </w:rPr>
        <w:t>1.开标会由招标方主持，主持人介绍开标现场的人员情况，宣读递交投标文件的投标人名单、开标纪律、应当回避的情形等注意事项。</w:t>
      </w:r>
    </w:p>
    <w:p>
      <w:pPr>
        <w:pStyle w:val="9"/>
        <w:spacing w:before="156" w:after="156" w:line="360" w:lineRule="auto"/>
        <w:ind w:firstLine="551"/>
        <w:rPr>
          <w:rFonts w:hAnsi="宋体"/>
          <w:b/>
          <w:bCs/>
        </w:rPr>
      </w:pPr>
      <w:r>
        <w:rPr>
          <w:rFonts w:hint="eastAsia" w:hAnsi="宋体"/>
          <w:b/>
          <w:bCs/>
        </w:rPr>
        <w:t>2.电子招投标开标及评审程序</w:t>
      </w:r>
    </w:p>
    <w:p>
      <w:pPr>
        <w:pStyle w:val="9"/>
        <w:snapToGrid w:val="0"/>
        <w:spacing w:before="156" w:after="156" w:line="360" w:lineRule="auto"/>
        <w:ind w:firstLine="472" w:firstLineChars="196"/>
        <w:rPr>
          <w:rFonts w:hAnsi="宋体"/>
          <w:b/>
          <w:bCs/>
        </w:rPr>
      </w:pPr>
      <w:r>
        <w:rPr>
          <w:rFonts w:hint="eastAsia" w:hAnsi="宋体"/>
          <w:b/>
          <w:bCs/>
        </w:rPr>
        <w:t>2.1</w:t>
      </w:r>
      <w:r>
        <w:rPr>
          <w:rFonts w:hAnsi="宋体"/>
          <w:b/>
          <w:bCs/>
        </w:rPr>
        <w:t>投标截止时间后</w:t>
      </w:r>
      <w:r>
        <w:rPr>
          <w:rFonts w:hint="eastAsia" w:hAnsi="宋体"/>
          <w:b/>
          <w:bCs/>
        </w:rPr>
        <w:t>，投标人</w:t>
      </w:r>
      <w:r>
        <w:rPr>
          <w:rFonts w:hAnsi="宋体"/>
          <w:b/>
          <w:bCs/>
        </w:rPr>
        <w:t>登录</w:t>
      </w:r>
      <w:r>
        <w:rPr>
          <w:rFonts w:hint="eastAsia" w:hAnsi="宋体"/>
          <w:b/>
          <w:bCs/>
        </w:rPr>
        <w:t>政采云平台</w:t>
      </w:r>
      <w:r>
        <w:rPr>
          <w:rFonts w:hAnsi="宋体"/>
          <w:b/>
          <w:bCs/>
        </w:rPr>
        <w:t>，用“</w:t>
      </w:r>
      <w:r>
        <w:rPr>
          <w:rFonts w:hint="eastAsia" w:hAnsi="宋体"/>
          <w:b/>
          <w:bCs/>
        </w:rPr>
        <w:t>项目采购-开标评标</w:t>
      </w:r>
      <w:r>
        <w:rPr>
          <w:rFonts w:hAnsi="宋体"/>
          <w:b/>
          <w:bCs/>
        </w:rPr>
        <w:t>”功能</w:t>
      </w:r>
      <w:r>
        <w:rPr>
          <w:rFonts w:hint="eastAsia" w:hAnsi="宋体"/>
          <w:b/>
          <w:bCs/>
        </w:rPr>
        <w:t>对电子投标文件进行在线解密</w:t>
      </w:r>
      <w:r>
        <w:rPr>
          <w:rFonts w:hAnsi="宋体"/>
          <w:b/>
          <w:bCs/>
        </w:rPr>
        <w:t>。</w:t>
      </w:r>
      <w:r>
        <w:rPr>
          <w:rFonts w:hint="eastAsia" w:hAnsi="宋体"/>
          <w:b/>
          <w:bCs/>
        </w:rPr>
        <w:t>在线解密电子投标文件时间为开标时间起半个小时内。</w:t>
      </w:r>
    </w:p>
    <w:p>
      <w:pPr>
        <w:pStyle w:val="9"/>
        <w:snapToGrid w:val="0"/>
        <w:spacing w:before="156" w:after="156" w:line="360" w:lineRule="auto"/>
        <w:ind w:firstLine="472" w:firstLineChars="196"/>
        <w:rPr>
          <w:rFonts w:hAnsi="宋体"/>
          <w:b/>
          <w:bCs/>
        </w:rPr>
      </w:pPr>
      <w:r>
        <w:rPr>
          <w:rFonts w:hint="eastAsia" w:hAnsi="宋体"/>
          <w:b/>
          <w:bCs/>
        </w:rPr>
        <w:t>2.2.评标委员会对资格和商务技术响应文件进行评审；</w:t>
      </w:r>
    </w:p>
    <w:p>
      <w:pPr>
        <w:pStyle w:val="9"/>
        <w:snapToGrid w:val="0"/>
        <w:spacing w:before="156" w:after="156" w:line="360" w:lineRule="auto"/>
        <w:ind w:firstLine="472" w:firstLineChars="196"/>
        <w:rPr>
          <w:rFonts w:hAnsi="宋体"/>
          <w:b/>
          <w:bCs/>
        </w:rPr>
      </w:pPr>
      <w:r>
        <w:rPr>
          <w:rFonts w:hint="eastAsia" w:hAnsi="宋体"/>
          <w:b/>
          <w:bCs/>
        </w:rPr>
        <w:t>2.3在系统上公开资格和商务技术评审结果；</w:t>
      </w:r>
    </w:p>
    <w:p>
      <w:pPr>
        <w:pStyle w:val="9"/>
        <w:snapToGrid w:val="0"/>
        <w:spacing w:before="156" w:after="156" w:line="360" w:lineRule="auto"/>
        <w:ind w:firstLine="472" w:firstLineChars="196"/>
        <w:rPr>
          <w:rFonts w:hAnsi="宋体"/>
          <w:b/>
          <w:bCs/>
        </w:rPr>
      </w:pPr>
      <w:r>
        <w:rPr>
          <w:rFonts w:hint="eastAsia" w:hAnsi="宋体"/>
          <w:b/>
          <w:bCs/>
        </w:rPr>
        <w:t>2.4在系统上公开报价开标情况；</w:t>
      </w:r>
    </w:p>
    <w:p>
      <w:pPr>
        <w:pStyle w:val="9"/>
        <w:snapToGrid w:val="0"/>
        <w:spacing w:before="156" w:after="156" w:line="360" w:lineRule="auto"/>
        <w:ind w:firstLine="472" w:firstLineChars="196"/>
        <w:rPr>
          <w:rFonts w:hAnsi="宋体"/>
          <w:b/>
          <w:bCs/>
        </w:rPr>
      </w:pPr>
      <w:r>
        <w:rPr>
          <w:rFonts w:hint="eastAsia" w:hAnsi="宋体"/>
          <w:b/>
          <w:bCs/>
        </w:rPr>
        <w:t>2.5评标委员会对报价情况进行评审；</w:t>
      </w:r>
    </w:p>
    <w:p>
      <w:pPr>
        <w:pStyle w:val="9"/>
        <w:snapToGrid w:val="0"/>
        <w:spacing w:before="156" w:after="156" w:line="360" w:lineRule="auto"/>
        <w:ind w:firstLine="472" w:firstLineChars="196"/>
        <w:rPr>
          <w:rFonts w:hAnsi="宋体"/>
          <w:b/>
          <w:bCs/>
        </w:rPr>
      </w:pPr>
      <w:r>
        <w:rPr>
          <w:rFonts w:hint="eastAsia" w:hAnsi="宋体"/>
          <w:b/>
          <w:bCs/>
        </w:rPr>
        <w:t>2.6在系统上公布评审结果。</w:t>
      </w:r>
    </w:p>
    <w:p>
      <w:pPr>
        <w:pStyle w:val="9"/>
        <w:snapToGrid w:val="0"/>
        <w:spacing w:before="156" w:after="156" w:line="360" w:lineRule="auto"/>
        <w:ind w:firstLine="472" w:firstLineChars="196"/>
        <w:rPr>
          <w:rFonts w:hAnsi="宋体"/>
          <w:b/>
          <w:bCs/>
        </w:rPr>
      </w:pPr>
      <w:r>
        <w:rPr>
          <w:rFonts w:hint="eastAsia" w:hAnsi="宋体"/>
          <w:b/>
          <w:bCs/>
        </w:rPr>
        <w:t>特别说明：1、政采云公司如对电子化开标及评审程序有调整的，按调整后的程序操作。</w:t>
      </w:r>
    </w:p>
    <w:p>
      <w:pPr>
        <w:pStyle w:val="9"/>
        <w:snapToGrid w:val="0"/>
        <w:spacing w:before="156" w:after="156" w:line="360" w:lineRule="auto"/>
        <w:ind w:firstLine="472" w:firstLineChars="196"/>
        <w:rPr>
          <w:rFonts w:ascii="仿宋" w:hAnsi="仿宋" w:eastAsia="仿宋"/>
          <w:b/>
          <w:bCs/>
          <w:sz w:val="28"/>
          <w:szCs w:val="28"/>
        </w:rPr>
      </w:pPr>
      <w:r>
        <w:rPr>
          <w:rFonts w:hint="eastAsia" w:hAnsi="宋体" w:cs="Arial"/>
          <w:b/>
        </w:rPr>
        <w:t>2、目前政府采购全流程电子化交易，投标人须在规定时间内自行解密。</w:t>
      </w:r>
    </w:p>
    <w:p>
      <w:pPr>
        <w:spacing w:line="360" w:lineRule="auto"/>
        <w:ind w:firstLine="482" w:firstLineChars="200"/>
        <w:rPr>
          <w:rFonts w:ascii="宋体" w:hAnsi="宋体"/>
          <w:b/>
          <w:bCs/>
          <w:sz w:val="24"/>
        </w:rPr>
      </w:pPr>
      <w:r>
        <w:rPr>
          <w:rFonts w:hint="eastAsia" w:ascii="宋体" w:hAnsi="宋体"/>
          <w:b/>
          <w:bCs/>
          <w:sz w:val="24"/>
        </w:rPr>
        <w:t>3.本项目原则上采用政采云电子招投标开标及评审程序，但有下情形之一的，按以下情况处理：</w:t>
      </w:r>
    </w:p>
    <w:p>
      <w:pPr>
        <w:pStyle w:val="9"/>
        <w:adjustRightInd w:val="0"/>
        <w:snapToGrid w:val="0"/>
        <w:spacing w:before="156" w:after="156" w:line="360" w:lineRule="auto"/>
        <w:ind w:firstLine="484" w:firstLineChars="201"/>
        <w:rPr>
          <w:rFonts w:hAnsi="宋体"/>
          <w:b/>
          <w:kern w:val="0"/>
        </w:rPr>
      </w:pPr>
      <w:r>
        <w:rPr>
          <w:rFonts w:hint="eastAsia" w:hAnsi="宋体" w:cs="Arial"/>
          <w:b/>
        </w:rPr>
        <w:t>3.1若个别投标人在规定时间内无法解密或解密失败的作无效投标处理</w:t>
      </w:r>
      <w:r>
        <w:rPr>
          <w:rFonts w:hint="eastAsia" w:hAnsi="宋体"/>
          <w:b/>
          <w:kern w:val="0"/>
        </w:rPr>
        <w:t>。解密成功的投标人不足三家的，本项目流标重新组织采购活动。</w:t>
      </w:r>
    </w:p>
    <w:p>
      <w:pPr>
        <w:pStyle w:val="9"/>
        <w:adjustRightInd w:val="0"/>
        <w:snapToGrid w:val="0"/>
        <w:spacing w:before="156" w:after="156" w:line="360" w:lineRule="auto"/>
        <w:ind w:firstLine="484" w:firstLineChars="201"/>
        <w:rPr>
          <w:rFonts w:hAnsi="宋体" w:cs="Arial"/>
        </w:rPr>
      </w:pPr>
      <w:r>
        <w:rPr>
          <w:rFonts w:hint="eastAsia" w:hAnsi="宋体"/>
          <w:b/>
          <w:kern w:val="0"/>
        </w:rPr>
        <w:t>3.2若因政采云平台原因无法读取或</w:t>
      </w:r>
      <w:r>
        <w:rPr>
          <w:rFonts w:hAnsi="宋体"/>
          <w:b/>
          <w:kern w:val="0"/>
        </w:rPr>
        <w:t>电子</w:t>
      </w:r>
      <w:r>
        <w:rPr>
          <w:rFonts w:hint="eastAsia" w:hAnsi="宋体"/>
          <w:b/>
          <w:kern w:val="0"/>
        </w:rPr>
        <w:t>开</w:t>
      </w:r>
      <w:r>
        <w:rPr>
          <w:rFonts w:hAnsi="宋体"/>
          <w:b/>
          <w:kern w:val="0"/>
        </w:rPr>
        <w:t>评标无法正常进行</w:t>
      </w:r>
      <w:r>
        <w:rPr>
          <w:rFonts w:hint="eastAsia" w:hAnsi="宋体"/>
          <w:b/>
          <w:kern w:val="0"/>
        </w:rPr>
        <w:t>，交易中心将情况上报行业监管部门同意后，重新组织采购活动。</w:t>
      </w:r>
    </w:p>
    <w:p>
      <w:pPr>
        <w:snapToGrid w:val="0"/>
        <w:spacing w:line="360" w:lineRule="auto"/>
        <w:ind w:firstLine="318" w:firstLineChars="132"/>
        <w:jc w:val="left"/>
        <w:outlineLvl w:val="0"/>
        <w:rPr>
          <w:rFonts w:ascii="宋体" w:hAnsi="宋体"/>
          <w:b/>
          <w:sz w:val="24"/>
        </w:rPr>
      </w:pPr>
      <w:r>
        <w:rPr>
          <w:rFonts w:hint="eastAsia" w:ascii="宋体" w:hAnsi="宋体"/>
          <w:b/>
          <w:sz w:val="24"/>
        </w:rPr>
        <w:t>（二）组织评标程序</w:t>
      </w:r>
    </w:p>
    <w:p>
      <w:pPr>
        <w:snapToGrid w:val="0"/>
        <w:spacing w:line="360" w:lineRule="auto"/>
        <w:ind w:firstLine="316" w:firstLineChars="132"/>
        <w:jc w:val="left"/>
        <w:outlineLvl w:val="0"/>
        <w:rPr>
          <w:rFonts w:ascii="宋体" w:hAnsi="宋体"/>
          <w:sz w:val="24"/>
        </w:rPr>
      </w:pPr>
      <w:r>
        <w:rPr>
          <w:rFonts w:hint="eastAsia" w:ascii="宋体" w:hAnsi="宋体"/>
          <w:sz w:val="24"/>
        </w:rPr>
        <w:t>招标方将按照招标文件规定的时间、地点和程序组织评标，各评审专家及相关人员应参加评审活动并接受核验、签到，无关人员不得进入评审现场。</w:t>
      </w:r>
    </w:p>
    <w:p>
      <w:pPr>
        <w:snapToGrid w:val="0"/>
        <w:spacing w:line="360" w:lineRule="auto"/>
        <w:ind w:firstLine="316" w:firstLineChars="132"/>
        <w:jc w:val="left"/>
        <w:outlineLvl w:val="0"/>
        <w:rPr>
          <w:rFonts w:ascii="宋体" w:hAnsi="宋体"/>
          <w:sz w:val="24"/>
        </w:rPr>
      </w:pPr>
      <w:r>
        <w:rPr>
          <w:rFonts w:hint="eastAsia" w:ascii="宋体" w:hAnsi="宋体"/>
          <w:sz w:val="24"/>
        </w:rPr>
        <w:t>1.按规定统一收缴、保存评标现场相关人员通讯工具。</w:t>
      </w:r>
    </w:p>
    <w:p>
      <w:pPr>
        <w:snapToGrid w:val="0"/>
        <w:spacing w:line="360" w:lineRule="auto"/>
        <w:ind w:firstLine="316" w:firstLineChars="132"/>
        <w:jc w:val="left"/>
        <w:outlineLvl w:val="0"/>
        <w:rPr>
          <w:rFonts w:ascii="宋体" w:hAnsi="宋体"/>
          <w:sz w:val="24"/>
        </w:rPr>
      </w:pPr>
      <w:r>
        <w:rPr>
          <w:rFonts w:hint="eastAsia" w:ascii="宋体" w:hAnsi="宋体"/>
          <w:sz w:val="24"/>
        </w:rPr>
        <w:t>2.介绍评审现场的人员情况，宣布评审工作纪律，告知评审人员应当回避情形；组织推选评标委员会组长。</w:t>
      </w:r>
    </w:p>
    <w:p>
      <w:pPr>
        <w:snapToGrid w:val="0"/>
        <w:spacing w:line="360" w:lineRule="auto"/>
        <w:ind w:firstLine="316" w:firstLineChars="132"/>
        <w:jc w:val="left"/>
        <w:outlineLvl w:val="0"/>
        <w:rPr>
          <w:rFonts w:ascii="宋体" w:hAnsi="宋体"/>
          <w:sz w:val="24"/>
        </w:rPr>
      </w:pPr>
      <w:r>
        <w:rPr>
          <w:rFonts w:hint="eastAsia" w:ascii="宋体" w:hAnsi="宋体"/>
          <w:sz w:val="24"/>
        </w:rPr>
        <w:t>3.宣读提交投标文件的供应商名单，组织评标委员会各位成员签订《政府采购评审人员廉洁自律承诺书》。</w:t>
      </w:r>
    </w:p>
    <w:p>
      <w:pPr>
        <w:snapToGrid w:val="0"/>
        <w:spacing w:line="360" w:lineRule="auto"/>
        <w:ind w:firstLine="316" w:firstLineChars="132"/>
        <w:jc w:val="left"/>
        <w:outlineLvl w:val="0"/>
        <w:rPr>
          <w:rFonts w:ascii="宋体" w:hAnsi="宋体"/>
          <w:sz w:val="24"/>
        </w:rPr>
      </w:pPr>
      <w:r>
        <w:rPr>
          <w:rFonts w:hint="eastAsia" w:ascii="宋体" w:hAnsi="宋体"/>
          <w:sz w:val="24"/>
        </w:rPr>
        <w:t>4.采购人可以在评标前说明项目背景和采购需求，说明内容不得含有歧视性、倾向性意见，不得超出招标文件所述范围。说明应当提交书面材料，并随采购文件一并存档。</w:t>
      </w:r>
    </w:p>
    <w:p>
      <w:pPr>
        <w:snapToGrid w:val="0"/>
        <w:spacing w:line="360" w:lineRule="auto"/>
        <w:ind w:firstLine="316" w:firstLineChars="132"/>
        <w:jc w:val="left"/>
        <w:outlineLvl w:val="0"/>
        <w:rPr>
          <w:rFonts w:ascii="宋体" w:hAnsi="宋体"/>
          <w:sz w:val="24"/>
        </w:rPr>
      </w:pPr>
      <w:r>
        <w:rPr>
          <w:rFonts w:hint="eastAsia" w:ascii="宋体" w:hAnsi="宋体"/>
          <w:sz w:val="24"/>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snapToGrid w:val="0"/>
        <w:spacing w:line="360" w:lineRule="auto"/>
        <w:ind w:firstLine="316" w:firstLineChars="132"/>
        <w:jc w:val="left"/>
        <w:outlineLvl w:val="0"/>
        <w:rPr>
          <w:rFonts w:ascii="宋体" w:hAnsi="宋体"/>
          <w:sz w:val="24"/>
        </w:rPr>
      </w:pPr>
      <w:r>
        <w:rPr>
          <w:rFonts w:hint="eastAsia" w:ascii="宋体" w:hAnsi="宋体"/>
          <w:sz w:val="24"/>
        </w:rPr>
        <w:t>6.采购人代表或由采购人委托的评标委员会对投标人资格文件进行审查并以开标当日为准对投标人“信用中国”网站（www.creditchina.gov.cn）、中国政府采购网（www.ccgp.gov.cn）信用记录情况进行核实，资格不符合的，应组织相关投标人代表进行陈述、澄清或申辩。</w:t>
      </w:r>
    </w:p>
    <w:p>
      <w:pPr>
        <w:snapToGrid w:val="0"/>
        <w:spacing w:line="360" w:lineRule="auto"/>
        <w:ind w:firstLine="316" w:firstLineChars="132"/>
        <w:jc w:val="left"/>
        <w:outlineLvl w:val="0"/>
        <w:rPr>
          <w:rFonts w:ascii="宋体" w:hAnsi="宋体"/>
          <w:sz w:val="24"/>
        </w:rPr>
      </w:pPr>
      <w:r>
        <w:rPr>
          <w:rFonts w:hint="eastAsia" w:ascii="宋体" w:hAnsi="宋体"/>
          <w:sz w:val="24"/>
        </w:rPr>
        <w:t>7.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snapToGrid w:val="0"/>
        <w:spacing w:line="360" w:lineRule="auto"/>
        <w:ind w:firstLine="316" w:firstLineChars="132"/>
        <w:jc w:val="left"/>
        <w:outlineLvl w:val="0"/>
        <w:rPr>
          <w:rFonts w:ascii="宋体" w:hAnsi="宋体"/>
          <w:sz w:val="24"/>
        </w:rPr>
      </w:pPr>
      <w:r>
        <w:rPr>
          <w:rFonts w:hint="eastAsia" w:ascii="宋体" w:hAnsi="宋体"/>
          <w:sz w:val="24"/>
        </w:rPr>
        <w:t>8.做好评审现场相关记录，协助评标委员会组长做好评审报告起草、有关内容电脑文字录入等工作，并要求评标委员会各成员签字确认。</w:t>
      </w:r>
    </w:p>
    <w:p>
      <w:pPr>
        <w:snapToGrid w:val="0"/>
        <w:spacing w:line="360" w:lineRule="auto"/>
        <w:ind w:firstLine="316" w:firstLineChars="132"/>
        <w:jc w:val="left"/>
        <w:outlineLvl w:val="0"/>
        <w:rPr>
          <w:rFonts w:ascii="宋体" w:hAnsi="宋体"/>
          <w:sz w:val="24"/>
        </w:rPr>
      </w:pPr>
      <w:r>
        <w:rPr>
          <w:rFonts w:hint="eastAsia" w:ascii="宋体" w:hAnsi="宋体"/>
          <w:sz w:val="24"/>
        </w:rPr>
        <w:t>9.评审结束后，招标方应对评标委员会各成员的专业水平、职业道德、遵纪守法等情况进行评价；同时按规定向评审专家发放评审费，并交还评审人员及其他现场相关人员的通讯工具。</w:t>
      </w:r>
    </w:p>
    <w:p>
      <w:pPr>
        <w:snapToGrid w:val="0"/>
        <w:spacing w:line="360" w:lineRule="auto"/>
        <w:ind w:firstLine="318" w:firstLineChars="132"/>
        <w:jc w:val="left"/>
        <w:outlineLvl w:val="0"/>
        <w:rPr>
          <w:rFonts w:ascii="宋体" w:hAnsi="宋体"/>
          <w:b/>
          <w:sz w:val="24"/>
        </w:rPr>
      </w:pPr>
      <w:r>
        <w:rPr>
          <w:rFonts w:hint="eastAsia" w:ascii="宋体" w:hAnsi="宋体"/>
          <w:b/>
          <w:sz w:val="24"/>
        </w:rPr>
        <w:t>（三）评审程序</w:t>
      </w:r>
    </w:p>
    <w:p>
      <w:pPr>
        <w:snapToGrid w:val="0"/>
        <w:spacing w:line="360" w:lineRule="auto"/>
        <w:ind w:firstLine="316" w:firstLineChars="132"/>
        <w:jc w:val="left"/>
        <w:outlineLvl w:val="0"/>
        <w:rPr>
          <w:rFonts w:ascii="宋体" w:hAnsi="宋体"/>
          <w:sz w:val="24"/>
        </w:rPr>
      </w:pPr>
      <w:r>
        <w:rPr>
          <w:rFonts w:hint="eastAsia" w:ascii="宋体" w:hAnsi="宋体"/>
          <w:sz w:val="24"/>
        </w:rPr>
        <w:t>1.在评审专家中推选评标委员会组长。</w:t>
      </w:r>
    </w:p>
    <w:p>
      <w:pPr>
        <w:snapToGrid w:val="0"/>
        <w:spacing w:line="360" w:lineRule="auto"/>
        <w:ind w:firstLine="316" w:firstLineChars="132"/>
        <w:jc w:val="left"/>
        <w:outlineLvl w:val="0"/>
        <w:rPr>
          <w:rFonts w:ascii="宋体" w:hAnsi="宋体"/>
          <w:sz w:val="24"/>
        </w:rPr>
      </w:pPr>
      <w:r>
        <w:rPr>
          <w:rFonts w:hint="eastAsia" w:ascii="宋体" w:hAnsi="宋体"/>
          <w:sz w:val="24"/>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snapToGrid w:val="0"/>
        <w:spacing w:line="360" w:lineRule="auto"/>
        <w:ind w:firstLine="316" w:firstLineChars="132"/>
        <w:jc w:val="left"/>
        <w:outlineLvl w:val="0"/>
        <w:rPr>
          <w:rFonts w:ascii="宋体" w:hAnsi="宋体"/>
          <w:sz w:val="24"/>
        </w:rPr>
      </w:pPr>
      <w:r>
        <w:rPr>
          <w:rFonts w:hint="eastAsia" w:ascii="宋体" w:hAnsi="宋体"/>
          <w:sz w:val="24"/>
        </w:rPr>
        <w:t>3.评审人员对各投标人投标文件的有效性、符合性、完整性和响应程度进行审查，确定是否对招标文件作出实质性响应。</w:t>
      </w:r>
    </w:p>
    <w:p>
      <w:pPr>
        <w:snapToGrid w:val="0"/>
        <w:spacing w:line="360" w:lineRule="auto"/>
        <w:ind w:firstLine="316" w:firstLineChars="132"/>
        <w:jc w:val="left"/>
        <w:outlineLvl w:val="0"/>
        <w:rPr>
          <w:rFonts w:ascii="宋体" w:hAnsi="宋体"/>
          <w:sz w:val="24"/>
        </w:rPr>
      </w:pPr>
      <w:r>
        <w:rPr>
          <w:rFonts w:hint="eastAsia" w:ascii="宋体" w:hAnsi="宋体"/>
          <w:sz w:val="24"/>
        </w:rPr>
        <w:t>4.评审人员按招标文件规定的评审方法和评审标准，依法独立对投标人投标文件进行评估、比较，并给予评价或打分，不受任何单位和个人的干预。</w:t>
      </w:r>
    </w:p>
    <w:p>
      <w:pPr>
        <w:snapToGrid w:val="0"/>
        <w:spacing w:line="360" w:lineRule="auto"/>
        <w:ind w:firstLine="316" w:firstLineChars="132"/>
        <w:jc w:val="left"/>
        <w:outlineLvl w:val="0"/>
        <w:rPr>
          <w:rFonts w:ascii="宋体" w:hAnsi="宋体"/>
          <w:sz w:val="24"/>
        </w:rPr>
      </w:pPr>
      <w:r>
        <w:rPr>
          <w:rFonts w:hint="eastAsia" w:ascii="宋体" w:hAnsi="宋体"/>
          <w:sz w:val="24"/>
        </w:rPr>
        <w:t>5.评审人员对各供应商投标文件非实质性内容有疑议或异议，或者审查发现明显的文字或计算错误等，及时向评标委员会组长提出。经评标委员会商议认为需要供应商作出必要澄清或说明的，应通知该投标人以书面形式作出澄清或说明。授权代表未到场或拒绝澄清说明或澄清说明的内容改变了投标文件的实质性内容的，评标委员会有权对该投标文件作出不利于投标人的评判。书面通知及澄清说明文件应作为政府采购项目档案归档留存。</w:t>
      </w:r>
    </w:p>
    <w:p>
      <w:pPr>
        <w:snapToGrid w:val="0"/>
        <w:spacing w:line="360" w:lineRule="auto"/>
        <w:ind w:firstLine="316" w:firstLineChars="132"/>
        <w:jc w:val="left"/>
        <w:outlineLvl w:val="0"/>
        <w:rPr>
          <w:rFonts w:ascii="宋体" w:hAnsi="宋体"/>
          <w:sz w:val="24"/>
        </w:rPr>
      </w:pPr>
      <w:r>
        <w:rPr>
          <w:rFonts w:hint="eastAsia" w:ascii="宋体" w:hAnsi="宋体"/>
          <w:sz w:val="24"/>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snapToGrid w:val="0"/>
        <w:spacing w:line="360" w:lineRule="auto"/>
        <w:ind w:firstLine="316" w:firstLineChars="132"/>
        <w:jc w:val="left"/>
        <w:outlineLvl w:val="0"/>
        <w:rPr>
          <w:rFonts w:ascii="宋体" w:hAnsi="宋体"/>
          <w:sz w:val="24"/>
        </w:rPr>
      </w:pPr>
      <w:r>
        <w:rPr>
          <w:rFonts w:hint="eastAsia" w:ascii="宋体" w:hAnsi="宋体"/>
          <w:sz w:val="24"/>
        </w:rPr>
        <w:t xml:space="preserve">7.评标委员会根据评审汇总情况和招标文件规定确定中标候选供应商排序名单。 </w:t>
      </w:r>
    </w:p>
    <w:p>
      <w:pPr>
        <w:snapToGrid w:val="0"/>
        <w:spacing w:line="360" w:lineRule="auto"/>
        <w:ind w:firstLine="316" w:firstLineChars="132"/>
        <w:jc w:val="left"/>
        <w:outlineLvl w:val="0"/>
        <w:rPr>
          <w:rFonts w:ascii="宋体" w:hAnsi="宋体"/>
          <w:sz w:val="24"/>
        </w:rPr>
      </w:pPr>
      <w:r>
        <w:rPr>
          <w:rFonts w:hint="eastAsia" w:ascii="宋体" w:hAnsi="宋体"/>
          <w:sz w:val="24"/>
        </w:rPr>
        <w:t>8.起草评审报告，所有评审人员须在评审报告上签字确认。</w:t>
      </w:r>
    </w:p>
    <w:p>
      <w:pPr>
        <w:snapToGrid w:val="0"/>
        <w:spacing w:line="360" w:lineRule="auto"/>
        <w:ind w:firstLine="318" w:firstLineChars="132"/>
        <w:outlineLvl w:val="0"/>
        <w:rPr>
          <w:rFonts w:ascii="宋体" w:hAnsi="宋体"/>
          <w:b/>
          <w:bCs/>
          <w:sz w:val="28"/>
          <w:szCs w:val="28"/>
        </w:rPr>
      </w:pPr>
      <w:r>
        <w:rPr>
          <w:rFonts w:hint="eastAsia" w:ascii="宋体" w:hAnsi="宋体"/>
          <w:b/>
          <w:sz w:val="24"/>
        </w:rPr>
        <w:t>（四）</w:t>
      </w:r>
      <w:r>
        <w:rPr>
          <w:rFonts w:hint="eastAsia" w:ascii="宋体" w:hAnsi="宋体"/>
          <w:b/>
          <w:bCs/>
          <w:sz w:val="28"/>
          <w:szCs w:val="28"/>
        </w:rPr>
        <w:t>评审原则</w:t>
      </w:r>
    </w:p>
    <w:p>
      <w:pPr>
        <w:snapToGrid w:val="0"/>
        <w:spacing w:line="360" w:lineRule="auto"/>
        <w:ind w:firstLine="316" w:firstLineChars="132"/>
        <w:jc w:val="left"/>
        <w:outlineLvl w:val="0"/>
        <w:rPr>
          <w:rFonts w:ascii="宋体" w:hAnsi="宋体"/>
          <w:sz w:val="24"/>
        </w:rPr>
      </w:pPr>
      <w:r>
        <w:rPr>
          <w:rFonts w:hint="eastAsia" w:ascii="宋体" w:hAnsi="宋体"/>
          <w:sz w:val="24"/>
        </w:rPr>
        <w:t>1.评标委员会必须公平、公正、客观，不带任何倾向性和启发性；不得向外界透露任何与评标有关的内容；任何单位和个人不得干扰、影响评标的正常进行；评标委员会及有关工作人员不得私下与投标人接触。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60" w:lineRule="auto"/>
        <w:ind w:firstLine="316" w:firstLineChars="132"/>
        <w:jc w:val="left"/>
        <w:outlineLvl w:val="0"/>
        <w:rPr>
          <w:rFonts w:ascii="宋体" w:hAnsi="宋体"/>
          <w:sz w:val="24"/>
        </w:rPr>
      </w:pPr>
      <w:r>
        <w:rPr>
          <w:rFonts w:hint="eastAsia" w:ascii="宋体" w:hAnsi="宋体"/>
          <w:sz w:val="24"/>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snapToGrid w:val="0"/>
        <w:spacing w:line="360" w:lineRule="auto"/>
        <w:ind w:firstLine="316" w:firstLineChars="132"/>
        <w:jc w:val="left"/>
        <w:outlineLvl w:val="0"/>
        <w:rPr>
          <w:rFonts w:ascii="宋体" w:hAnsi="宋体"/>
          <w:sz w:val="24"/>
        </w:rPr>
      </w:pPr>
      <w:r>
        <w:rPr>
          <w:rFonts w:hint="eastAsia" w:ascii="宋体" w:hAnsi="宋体"/>
          <w:sz w:val="24"/>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snapToGrid w:val="0"/>
        <w:spacing w:line="360" w:lineRule="auto"/>
        <w:ind w:firstLine="318" w:firstLineChars="132"/>
        <w:jc w:val="left"/>
        <w:outlineLvl w:val="0"/>
        <w:rPr>
          <w:rFonts w:ascii="宋体" w:hAnsi="宋体"/>
          <w:b/>
          <w:sz w:val="24"/>
        </w:rPr>
      </w:pPr>
      <w:r>
        <w:rPr>
          <w:rFonts w:hint="eastAsia" w:ascii="宋体" w:hAnsi="宋体"/>
          <w:b/>
          <w:sz w:val="24"/>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napToGrid w:val="0"/>
        <w:spacing w:line="360" w:lineRule="auto"/>
        <w:ind w:firstLine="318" w:firstLineChars="132"/>
        <w:jc w:val="left"/>
        <w:outlineLvl w:val="0"/>
        <w:rPr>
          <w:rFonts w:ascii="宋体" w:hAnsi="宋体"/>
          <w:b/>
          <w:sz w:val="24"/>
        </w:rPr>
      </w:pPr>
      <w:r>
        <w:rPr>
          <w:rFonts w:hint="eastAsia" w:ascii="宋体" w:hAnsi="宋体"/>
          <w:b/>
          <w:sz w:val="24"/>
        </w:rPr>
        <w:t>非单一产品采购项目，采购人应当根据采购项目技术构成、产品价格比重等合理确定核心产品，并在招标文件中载明。多家投标人提供的核心产品品牌相同的，按前款规定处理。</w:t>
      </w:r>
    </w:p>
    <w:p>
      <w:pPr>
        <w:pStyle w:val="11"/>
        <w:spacing w:line="380" w:lineRule="exact"/>
        <w:ind w:left="724" w:leftChars="230" w:hanging="241" w:hangingChars="100"/>
        <w:outlineLvl w:val="1"/>
        <w:rPr>
          <w:rFonts w:ascii="宋体" w:hAnsi="宋体"/>
          <w:b/>
          <w:sz w:val="24"/>
          <w:szCs w:val="24"/>
        </w:rPr>
      </w:pPr>
      <w:r>
        <w:rPr>
          <w:rFonts w:hint="eastAsia" w:ascii="宋体" w:hAnsi="宋体"/>
          <w:b/>
          <w:sz w:val="24"/>
          <w:szCs w:val="24"/>
        </w:rPr>
        <w:t>四、评标</w:t>
      </w:r>
      <w:bookmarkEnd w:id="1"/>
    </w:p>
    <w:p>
      <w:pPr>
        <w:pStyle w:val="11"/>
        <w:spacing w:line="380" w:lineRule="exact"/>
        <w:ind w:left="724" w:leftChars="230" w:hanging="241" w:hangingChars="100"/>
        <w:rPr>
          <w:rFonts w:ascii="宋体" w:hAnsi="宋体"/>
          <w:b/>
          <w:sz w:val="24"/>
          <w:szCs w:val="24"/>
        </w:rPr>
      </w:pPr>
      <w:r>
        <w:rPr>
          <w:rFonts w:hint="eastAsia" w:ascii="宋体" w:hAnsi="宋体"/>
          <w:b/>
          <w:sz w:val="24"/>
          <w:szCs w:val="24"/>
        </w:rPr>
        <w:t>详见第三章评标办法及评标标准</w:t>
      </w:r>
    </w:p>
    <w:p>
      <w:pPr>
        <w:pStyle w:val="11"/>
        <w:spacing w:line="380" w:lineRule="exact"/>
        <w:ind w:left="724" w:leftChars="230" w:hanging="241" w:hangingChars="100"/>
        <w:rPr>
          <w:rFonts w:ascii="宋体" w:hAnsi="宋体"/>
          <w:b/>
          <w:sz w:val="24"/>
          <w:szCs w:val="24"/>
        </w:rPr>
      </w:pPr>
      <w:r>
        <w:rPr>
          <w:rFonts w:hint="eastAsia" w:ascii="宋体" w:hAnsi="宋体"/>
          <w:b/>
          <w:sz w:val="24"/>
          <w:szCs w:val="24"/>
        </w:rPr>
        <w:t>五、定标</w:t>
      </w:r>
    </w:p>
    <w:p>
      <w:pPr>
        <w:snapToGrid w:val="0"/>
        <w:spacing w:line="380" w:lineRule="exact"/>
        <w:ind w:firstLine="319" w:firstLineChars="133"/>
        <w:rPr>
          <w:rFonts w:ascii="宋体" w:hAnsi="宋体"/>
          <w:sz w:val="24"/>
        </w:rPr>
      </w:pPr>
      <w:r>
        <w:rPr>
          <w:rFonts w:hint="eastAsia" w:ascii="宋体" w:hAnsi="宋体"/>
          <w:sz w:val="24"/>
        </w:rPr>
        <w:t>（一）确定成交人。本项目由采购人确定成交人。</w:t>
      </w:r>
      <w:bookmarkStart w:id="2" w:name="_Toc170792772"/>
      <w:bookmarkStart w:id="3" w:name="_Toc107820051"/>
    </w:p>
    <w:p>
      <w:pPr>
        <w:snapToGrid w:val="0"/>
        <w:spacing w:line="380" w:lineRule="exact"/>
        <w:ind w:firstLine="436" w:firstLineChars="182"/>
        <w:rPr>
          <w:rFonts w:ascii="宋体" w:hAnsi="宋体"/>
          <w:sz w:val="24"/>
        </w:rPr>
      </w:pPr>
      <w:r>
        <w:rPr>
          <w:rFonts w:hint="eastAsia" w:ascii="宋体" w:hAnsi="宋体"/>
          <w:sz w:val="24"/>
        </w:rPr>
        <w:t>1.评标结束，评审报告经采购人确认后，将采购结果发布采购公告的网站上，进行7个工作日的预成交公示。</w:t>
      </w:r>
    </w:p>
    <w:p>
      <w:pPr>
        <w:snapToGrid w:val="0"/>
        <w:spacing w:line="380" w:lineRule="exact"/>
        <w:ind w:firstLine="436" w:firstLineChars="182"/>
        <w:rPr>
          <w:rFonts w:ascii="宋体" w:hAnsi="宋体"/>
          <w:sz w:val="24"/>
        </w:rPr>
      </w:pPr>
      <w:r>
        <w:rPr>
          <w:rFonts w:hint="eastAsia" w:ascii="宋体" w:hAnsi="宋体"/>
          <w:sz w:val="24"/>
        </w:rPr>
        <w:t>2.采购人对评标结果无异议的，采购人应在收到评标报告后5个工作日内对评标结果进行确认。如有投标人对评标结果提出质疑的，采购人可在质疑处理完毕后确定成交人。</w:t>
      </w:r>
    </w:p>
    <w:p>
      <w:pPr>
        <w:snapToGrid w:val="0"/>
        <w:spacing w:line="380" w:lineRule="exact"/>
        <w:ind w:firstLine="319" w:firstLineChars="133"/>
        <w:rPr>
          <w:rFonts w:ascii="宋体" w:hAnsi="宋体"/>
          <w:sz w:val="24"/>
        </w:rPr>
      </w:pPr>
      <w:r>
        <w:rPr>
          <w:rFonts w:hint="eastAsia" w:ascii="宋体" w:hAnsi="宋体"/>
          <w:sz w:val="24"/>
        </w:rPr>
        <w:t>（二）采购人依法确定成交人后，采购机构以书面形式发出《成交通知书》。</w:t>
      </w:r>
    </w:p>
    <w:p>
      <w:pPr>
        <w:snapToGrid w:val="0"/>
        <w:spacing w:line="380" w:lineRule="exact"/>
        <w:ind w:firstLine="436" w:firstLineChars="181"/>
        <w:outlineLvl w:val="1"/>
        <w:rPr>
          <w:rFonts w:ascii="宋体" w:hAnsi="宋体"/>
          <w:b/>
          <w:sz w:val="24"/>
        </w:rPr>
      </w:pPr>
      <w:r>
        <w:rPr>
          <w:rFonts w:hint="eastAsia" w:ascii="宋体" w:hAnsi="宋体"/>
          <w:b/>
          <w:sz w:val="24"/>
        </w:rPr>
        <w:t>六、</w:t>
      </w:r>
      <w:bookmarkStart w:id="4" w:name="_Toc177870556"/>
      <w:r>
        <w:rPr>
          <w:rFonts w:hint="eastAsia" w:ascii="宋体" w:hAnsi="宋体"/>
          <w:b/>
          <w:sz w:val="24"/>
        </w:rPr>
        <w:t>合同</w:t>
      </w:r>
      <w:bookmarkEnd w:id="2"/>
      <w:bookmarkEnd w:id="3"/>
      <w:r>
        <w:rPr>
          <w:rFonts w:hint="eastAsia" w:ascii="宋体" w:hAnsi="宋体"/>
          <w:b/>
          <w:sz w:val="24"/>
        </w:rPr>
        <w:t>授予</w:t>
      </w:r>
      <w:bookmarkEnd w:id="4"/>
    </w:p>
    <w:p>
      <w:pPr>
        <w:snapToGrid w:val="0"/>
        <w:spacing w:line="380" w:lineRule="exact"/>
        <w:ind w:firstLine="319" w:firstLineChars="133"/>
        <w:rPr>
          <w:rFonts w:ascii="宋体" w:hAnsi="宋体"/>
          <w:sz w:val="24"/>
        </w:rPr>
      </w:pPr>
      <w:r>
        <w:rPr>
          <w:rFonts w:hint="eastAsia" w:ascii="宋体" w:hAnsi="宋体"/>
          <w:sz w:val="24"/>
        </w:rPr>
        <w:t>（一）签订合同</w:t>
      </w:r>
    </w:p>
    <w:p>
      <w:pPr>
        <w:snapToGrid w:val="0"/>
        <w:spacing w:line="380" w:lineRule="exact"/>
        <w:ind w:firstLine="436" w:firstLineChars="182"/>
        <w:rPr>
          <w:rFonts w:ascii="宋体" w:hAnsi="宋体"/>
          <w:sz w:val="24"/>
        </w:rPr>
      </w:pPr>
      <w:r>
        <w:rPr>
          <w:rFonts w:ascii="宋体" w:hAnsi="宋体"/>
          <w:sz w:val="24"/>
        </w:rPr>
        <w:t>1.</w:t>
      </w:r>
      <w:r>
        <w:rPr>
          <w:rFonts w:hint="eastAsia" w:ascii="宋体" w:hAnsi="宋体"/>
          <w:sz w:val="24"/>
        </w:rPr>
        <w:t>成交人应自成交通知书发出后</w:t>
      </w:r>
      <w:r>
        <w:rPr>
          <w:rFonts w:hint="eastAsia" w:ascii="宋体" w:hAnsi="宋体"/>
          <w:sz w:val="24"/>
          <w:u w:val="single"/>
        </w:rPr>
        <w:t>30</w:t>
      </w:r>
      <w:r>
        <w:rPr>
          <w:rFonts w:hint="eastAsia" w:ascii="宋体" w:hAnsi="宋体"/>
          <w:sz w:val="24"/>
        </w:rPr>
        <w:t>日内与采购人签定合同。</w:t>
      </w:r>
    </w:p>
    <w:p>
      <w:pPr>
        <w:snapToGrid w:val="0"/>
        <w:spacing w:line="380" w:lineRule="exact"/>
        <w:ind w:firstLine="436" w:firstLineChars="182"/>
        <w:rPr>
          <w:rFonts w:ascii="宋体" w:hAnsi="宋体"/>
          <w:sz w:val="24"/>
        </w:rPr>
      </w:pPr>
      <w:r>
        <w:rPr>
          <w:rFonts w:hint="eastAsia" w:ascii="宋体" w:hAnsi="宋体"/>
          <w:sz w:val="24"/>
        </w:rPr>
        <w:t>2.成交人拖延、拒签合同的,将被扣罚投标保证金并取消成交资格。</w:t>
      </w:r>
    </w:p>
    <w:p>
      <w:pPr>
        <w:pStyle w:val="11"/>
        <w:spacing w:line="380" w:lineRule="exact"/>
        <w:ind w:firstLine="319" w:firstLineChars="133"/>
        <w:rPr>
          <w:rFonts w:ascii="宋体" w:hAnsi="宋体"/>
          <w:sz w:val="24"/>
          <w:szCs w:val="24"/>
        </w:rPr>
      </w:pPr>
      <w:r>
        <w:rPr>
          <w:rFonts w:hint="eastAsia" w:ascii="宋体" w:hAnsi="宋体"/>
          <w:sz w:val="24"/>
          <w:szCs w:val="24"/>
        </w:rPr>
        <w:t>（二）履约保证金</w:t>
      </w:r>
    </w:p>
    <w:p>
      <w:pPr>
        <w:snapToGrid w:val="0"/>
        <w:spacing w:line="380" w:lineRule="exact"/>
        <w:ind w:firstLine="480" w:firstLineChars="200"/>
        <w:jc w:val="left"/>
        <w:rPr>
          <w:rFonts w:ascii="宋体" w:hAnsi="宋体"/>
          <w:sz w:val="24"/>
        </w:rPr>
      </w:pPr>
      <w:r>
        <w:rPr>
          <w:rFonts w:hint="eastAsia" w:ascii="宋体" w:hAnsi="宋体"/>
          <w:sz w:val="24"/>
        </w:rPr>
        <w:t>详见第四章采购需求。</w:t>
      </w:r>
    </w:p>
    <w:p>
      <w:pPr>
        <w:pStyle w:val="9"/>
        <w:snapToGrid w:val="0"/>
        <w:spacing w:beforeLines="0" w:afterLines="0" w:line="380" w:lineRule="exact"/>
        <w:ind w:firstLine="475" w:firstLineChars="197"/>
        <w:outlineLvl w:val="1"/>
        <w:rPr>
          <w:rFonts w:hAnsi="宋体"/>
          <w:b/>
        </w:rPr>
      </w:pPr>
      <w:r>
        <w:rPr>
          <w:rFonts w:hint="eastAsia" w:hAnsi="宋体"/>
          <w:b/>
        </w:rPr>
        <w:t>七、货款的结算</w:t>
      </w:r>
    </w:p>
    <w:p>
      <w:pPr>
        <w:snapToGrid w:val="0"/>
        <w:spacing w:line="380" w:lineRule="exact"/>
        <w:ind w:firstLine="480" w:firstLineChars="200"/>
        <w:jc w:val="left"/>
        <w:rPr>
          <w:rFonts w:ascii="宋体" w:hAnsi="宋体"/>
          <w:sz w:val="24"/>
        </w:rPr>
      </w:pPr>
      <w:r>
        <w:rPr>
          <w:rFonts w:hint="eastAsia" w:ascii="宋体" w:hAnsi="宋体"/>
          <w:sz w:val="24"/>
        </w:rPr>
        <w:t>详见第四章采购需求。</w:t>
      </w:r>
    </w:p>
    <w:p>
      <w:pPr>
        <w:snapToGrid w:val="0"/>
        <w:spacing w:line="380" w:lineRule="exact"/>
        <w:ind w:firstLine="482" w:firstLineChars="200"/>
        <w:jc w:val="left"/>
        <w:rPr>
          <w:rFonts w:ascii="宋体" w:hAnsi="宋体"/>
          <w:b/>
          <w:sz w:val="24"/>
        </w:rPr>
      </w:pPr>
      <w:r>
        <w:rPr>
          <w:rFonts w:hint="eastAsia" w:ascii="宋体" w:hAnsi="宋体"/>
          <w:b/>
          <w:sz w:val="24"/>
        </w:rPr>
        <w:t>八、其它</w:t>
      </w:r>
    </w:p>
    <w:p>
      <w:pPr>
        <w:widowControl/>
        <w:shd w:val="clear" w:color="auto" w:fill="FFFFFF"/>
        <w:spacing w:line="380" w:lineRule="exact"/>
        <w:ind w:firstLine="480"/>
        <w:jc w:val="left"/>
        <w:rPr>
          <w:rFonts w:ascii="宋体" w:hAnsi="宋体" w:cs="Arial"/>
          <w:kern w:val="0"/>
          <w:sz w:val="24"/>
        </w:rPr>
      </w:pPr>
      <w:r>
        <w:rPr>
          <w:rFonts w:hint="eastAsia" w:ascii="宋体" w:hAnsi="宋体" w:cs="Arial"/>
          <w:sz w:val="24"/>
        </w:rPr>
        <w:t>▲</w:t>
      </w:r>
      <w:r>
        <w:rPr>
          <w:rFonts w:ascii="宋体" w:hAnsi="宋体" w:cs="Arial"/>
          <w:sz w:val="24"/>
        </w:rPr>
        <w:t>《中华人民共和国政府采购法》</w:t>
      </w:r>
      <w:r>
        <w:rPr>
          <w:rFonts w:ascii="宋体" w:hAnsi="宋体" w:cs="Arial"/>
          <w:kern w:val="0"/>
          <w:sz w:val="24"/>
        </w:rPr>
        <w:t>第七十七条 供应商有下列情形之一的，处以采购金额千分之五以上千分之十以下的罚款，列入</w:t>
      </w:r>
      <w:r>
        <w:fldChar w:fldCharType="begin"/>
      </w:r>
      <w:r>
        <w:instrText xml:space="preserve"> HYPERLINK "http://baike.baidu.com/view/2183629.htm" \t "_blank" </w:instrText>
      </w:r>
      <w:r>
        <w:fldChar w:fldCharType="separate"/>
      </w:r>
      <w:r>
        <w:rPr>
          <w:rFonts w:ascii="宋体" w:hAnsi="宋体" w:cs="Arial"/>
          <w:kern w:val="0"/>
          <w:sz w:val="24"/>
        </w:rPr>
        <w:t>不良行为记录</w:t>
      </w:r>
      <w:r>
        <w:rPr>
          <w:rFonts w:ascii="宋体" w:hAnsi="宋体" w:cs="Arial"/>
          <w:kern w:val="0"/>
          <w:sz w:val="24"/>
        </w:rPr>
        <w:fldChar w:fldCharType="end"/>
      </w:r>
      <w:r>
        <w:rPr>
          <w:rFonts w:ascii="宋体" w:hAnsi="宋体" w:cs="Arial"/>
          <w:kern w:val="0"/>
          <w:sz w:val="24"/>
        </w:rPr>
        <w:t>名单，在一至三年内禁止参加政府采购活动，有违法所得的，并处没收违法所得，情节严重的，由</w:t>
      </w:r>
      <w:r>
        <w:fldChar w:fldCharType="begin"/>
      </w:r>
      <w:r>
        <w:instrText xml:space="preserve"> HYPERLINK "http://baike.baidu.com/view/2292396.htm" \t "_blank" </w:instrText>
      </w:r>
      <w:r>
        <w:fldChar w:fldCharType="separate"/>
      </w:r>
      <w:r>
        <w:rPr>
          <w:rFonts w:ascii="宋体" w:hAnsi="宋体" w:cs="Arial"/>
          <w:kern w:val="0"/>
          <w:sz w:val="24"/>
        </w:rPr>
        <w:t>工商行政管理机关</w:t>
      </w:r>
      <w:r>
        <w:rPr>
          <w:rFonts w:ascii="宋体" w:hAnsi="宋体" w:cs="Arial"/>
          <w:kern w:val="0"/>
          <w:sz w:val="24"/>
        </w:rPr>
        <w:fldChar w:fldCharType="end"/>
      </w:r>
      <w:r>
        <w:rPr>
          <w:rFonts w:ascii="宋体" w:hAnsi="宋体" w:cs="Arial"/>
          <w:kern w:val="0"/>
          <w:sz w:val="24"/>
        </w:rPr>
        <w:t>吊销营业执照；构成犯罪的，依法追究刑事责任：</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（一）提供虚假材料谋取中标、成交的；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（二）采取不正当手段诋毁、排挤其他供应商的；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（三）与采购人、其他供应商或者采购代理机构恶意串通的；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（四）向采购人、采购代理机构行贿或者提供其他不正当利益的；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（五）在招标采购过程中与采购人进行协商投标的；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（六）拒绝有关部门监督检查或者提供虚假情况的。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供应商有前款第（一）至（五）项情形之一的，中标、成交无效。</w:t>
      </w:r>
    </w:p>
    <w:p>
      <w:pPr>
        <w:widowControl/>
        <w:spacing w:line="380" w:lineRule="exact"/>
        <w:ind w:firstLine="480" w:firstLineChars="200"/>
        <w:jc w:val="left"/>
        <w:rPr>
          <w:rFonts w:ascii="宋体" w:hAnsi="宋体" w:cs="宋体"/>
          <w:kern w:val="0"/>
          <w:sz w:val="24"/>
        </w:rPr>
      </w:pPr>
      <w:r>
        <w:rPr>
          <w:rFonts w:hint="eastAsia" w:ascii="宋体" w:hAnsi="宋体" w:cs="Arial"/>
          <w:sz w:val="24"/>
        </w:rPr>
        <w:t>▲</w:t>
      </w:r>
      <w:r>
        <w:rPr>
          <w:rFonts w:ascii="宋体" w:hAnsi="宋体"/>
          <w:sz w:val="24"/>
        </w:rPr>
        <w:t>《中华人民共和国政府采购法实施条例》</w:t>
      </w:r>
      <w:r>
        <w:rPr>
          <w:rFonts w:ascii="宋体" w:hAnsi="宋体" w:cs="宋体"/>
          <w:bCs/>
          <w:kern w:val="0"/>
          <w:sz w:val="24"/>
        </w:rPr>
        <w:t>第七十二条</w:t>
      </w:r>
      <w:r>
        <w:rPr>
          <w:rFonts w:ascii="宋体" w:hAnsi="宋体" w:cs="宋体"/>
          <w:kern w:val="0"/>
          <w:sz w:val="24"/>
        </w:rPr>
        <w:t>　供应商有下列情形之一的，依照政府采购法第七十七条第一款的规定追究法律责任：</w:t>
      </w:r>
    </w:p>
    <w:p>
      <w:pPr>
        <w:widowControl/>
        <w:spacing w:line="380" w:lineRule="exact"/>
        <w:jc w:val="left"/>
        <w:rPr>
          <w:rFonts w:ascii="宋体" w:hAnsi="宋体" w:cs="宋体"/>
          <w:kern w:val="0"/>
          <w:sz w:val="24"/>
        </w:rPr>
      </w:pPr>
      <w:r>
        <w:rPr>
          <w:rFonts w:ascii="宋体" w:hAnsi="宋体" w:cs="宋体"/>
          <w:kern w:val="0"/>
          <w:sz w:val="24"/>
        </w:rPr>
        <w:t>　　（一）向评标委员会、竞争性投标小组或者询价小组成员行贿或者提供其他不正当利益；</w:t>
      </w:r>
    </w:p>
    <w:p>
      <w:pPr>
        <w:widowControl/>
        <w:spacing w:line="380" w:lineRule="exact"/>
        <w:jc w:val="left"/>
        <w:rPr>
          <w:rFonts w:ascii="宋体" w:hAnsi="宋体" w:cs="宋体"/>
          <w:kern w:val="0"/>
          <w:sz w:val="24"/>
        </w:rPr>
      </w:pPr>
      <w:r>
        <w:rPr>
          <w:rFonts w:ascii="宋体" w:hAnsi="宋体" w:cs="宋体"/>
          <w:kern w:val="0"/>
          <w:sz w:val="24"/>
        </w:rPr>
        <w:t>　　（二）中标或者成交后无正当理由拒不与采购人签订政府采购合同；</w:t>
      </w:r>
    </w:p>
    <w:p>
      <w:pPr>
        <w:widowControl/>
        <w:spacing w:line="380" w:lineRule="exact"/>
        <w:jc w:val="left"/>
        <w:rPr>
          <w:rFonts w:ascii="宋体" w:hAnsi="宋体" w:cs="宋体"/>
          <w:kern w:val="0"/>
          <w:sz w:val="24"/>
        </w:rPr>
      </w:pPr>
      <w:r>
        <w:rPr>
          <w:rFonts w:ascii="宋体" w:hAnsi="宋体" w:cs="宋体"/>
          <w:kern w:val="0"/>
          <w:sz w:val="24"/>
        </w:rPr>
        <w:t>　　（三）未按照采购文件确定的事项签订政府采购合同；</w:t>
      </w:r>
    </w:p>
    <w:p>
      <w:pPr>
        <w:widowControl/>
        <w:spacing w:line="380" w:lineRule="exact"/>
        <w:jc w:val="left"/>
        <w:rPr>
          <w:rFonts w:ascii="宋体" w:hAnsi="宋体" w:cs="宋体"/>
          <w:kern w:val="0"/>
          <w:sz w:val="24"/>
        </w:rPr>
      </w:pPr>
      <w:r>
        <w:rPr>
          <w:rFonts w:ascii="宋体" w:hAnsi="宋体" w:cs="宋体"/>
          <w:kern w:val="0"/>
          <w:sz w:val="24"/>
        </w:rPr>
        <w:t>　　（四）将政府采购合同转包；</w:t>
      </w:r>
    </w:p>
    <w:p>
      <w:pPr>
        <w:widowControl/>
        <w:spacing w:line="380" w:lineRule="exact"/>
        <w:jc w:val="left"/>
        <w:rPr>
          <w:rFonts w:ascii="宋体" w:hAnsi="宋体" w:cs="宋体"/>
          <w:kern w:val="0"/>
          <w:sz w:val="24"/>
        </w:rPr>
      </w:pPr>
      <w:r>
        <w:rPr>
          <w:rFonts w:ascii="宋体" w:hAnsi="宋体" w:cs="宋体"/>
          <w:kern w:val="0"/>
          <w:sz w:val="24"/>
        </w:rPr>
        <w:t>　　（五）提供假冒伪劣产品；</w:t>
      </w:r>
    </w:p>
    <w:p>
      <w:pPr>
        <w:widowControl/>
        <w:spacing w:line="380" w:lineRule="exact"/>
        <w:jc w:val="left"/>
        <w:rPr>
          <w:rFonts w:ascii="宋体" w:hAnsi="宋体" w:cs="宋体"/>
          <w:kern w:val="0"/>
          <w:sz w:val="24"/>
        </w:rPr>
      </w:pPr>
      <w:r>
        <w:rPr>
          <w:rFonts w:ascii="宋体" w:hAnsi="宋体" w:cs="宋体"/>
          <w:kern w:val="0"/>
          <w:sz w:val="24"/>
        </w:rPr>
        <w:t>　　（六）擅自变更、中止或者终止政府采购合同。</w:t>
      </w:r>
    </w:p>
    <w:p>
      <w:pPr>
        <w:widowControl/>
        <w:spacing w:line="380" w:lineRule="exact"/>
        <w:jc w:val="left"/>
        <w:rPr>
          <w:rFonts w:ascii="宋体" w:hAnsi="宋体" w:cs="宋体"/>
          <w:kern w:val="0"/>
          <w:sz w:val="24"/>
        </w:rPr>
      </w:pPr>
      <w:r>
        <w:rPr>
          <w:rFonts w:ascii="宋体" w:hAnsi="宋体" w:cs="宋体"/>
          <w:kern w:val="0"/>
          <w:sz w:val="24"/>
        </w:rPr>
        <w:t>　　供应商有前款第一项规定情形的，中标、成交无效。评审阶段资格发生变化，供应商未依照本条例第二十一条的规定通知采购人和采购代理机构的，处以采购金额5‰的罚款，列入不良行为记录名单，中标、成交无效。</w:t>
      </w:r>
    </w:p>
    <w:p>
      <w:pPr>
        <w:widowControl/>
        <w:spacing w:line="380" w:lineRule="exact"/>
        <w:jc w:val="left"/>
        <w:rPr>
          <w:rFonts w:ascii="宋体" w:hAnsi="宋体" w:cs="宋体"/>
          <w:kern w:val="0"/>
          <w:sz w:val="24"/>
        </w:rPr>
      </w:pPr>
      <w:r>
        <w:rPr>
          <w:rFonts w:ascii="宋体" w:hAnsi="宋体" w:cs="宋体"/>
          <w:kern w:val="0"/>
          <w:sz w:val="24"/>
        </w:rPr>
        <w:t>　　</w:t>
      </w:r>
      <w:r>
        <w:rPr>
          <w:rFonts w:hint="eastAsia" w:ascii="宋体" w:hAnsi="宋体" w:cs="Arial"/>
          <w:sz w:val="24"/>
        </w:rPr>
        <w:t>▲</w:t>
      </w:r>
      <w:r>
        <w:rPr>
          <w:rFonts w:ascii="宋体" w:hAnsi="宋体"/>
          <w:sz w:val="24"/>
        </w:rPr>
        <w:t>《中华人民共和国政府采购法实施条例》</w:t>
      </w:r>
      <w:r>
        <w:rPr>
          <w:rFonts w:ascii="宋体" w:hAnsi="宋体" w:cs="宋体"/>
          <w:bCs/>
          <w:kern w:val="0"/>
          <w:sz w:val="24"/>
        </w:rPr>
        <w:t>第七十三条</w:t>
      </w:r>
      <w:r>
        <w:rPr>
          <w:rFonts w:ascii="宋体" w:hAnsi="宋体" w:cs="宋体"/>
          <w:kern w:val="0"/>
          <w:sz w:val="24"/>
        </w:rPr>
        <w:t>　供应商捏造事实、提供虚假材料或者以非法手段取得证明材料进行投诉的，由财政部门列入不良行为记录名单，禁止其1至3年内参加政府采购活动。</w:t>
      </w:r>
    </w:p>
    <w:p>
      <w:pPr>
        <w:widowControl/>
        <w:spacing w:line="380" w:lineRule="exact"/>
        <w:jc w:val="left"/>
        <w:rPr>
          <w:rFonts w:ascii="宋体" w:hAnsi="宋体" w:cs="宋体"/>
          <w:kern w:val="0"/>
          <w:sz w:val="24"/>
        </w:rPr>
      </w:pPr>
      <w:r>
        <w:rPr>
          <w:rFonts w:ascii="宋体" w:hAnsi="宋体" w:cs="宋体"/>
          <w:kern w:val="0"/>
          <w:sz w:val="24"/>
        </w:rPr>
        <w:t>　　</w:t>
      </w:r>
      <w:r>
        <w:rPr>
          <w:rFonts w:hint="eastAsia" w:ascii="宋体" w:hAnsi="宋体" w:cs="Arial"/>
          <w:sz w:val="24"/>
        </w:rPr>
        <w:t>▲</w:t>
      </w:r>
      <w:r>
        <w:rPr>
          <w:rFonts w:ascii="宋体" w:hAnsi="宋体"/>
          <w:sz w:val="24"/>
        </w:rPr>
        <w:t>《中华人民共和国政府采购法实施条例》</w:t>
      </w:r>
      <w:r>
        <w:rPr>
          <w:rFonts w:ascii="宋体" w:hAnsi="宋体" w:cs="宋体"/>
          <w:bCs/>
          <w:kern w:val="0"/>
          <w:sz w:val="24"/>
        </w:rPr>
        <w:t>第七十四条</w:t>
      </w:r>
      <w:r>
        <w:rPr>
          <w:rFonts w:ascii="宋体" w:hAnsi="宋体" w:cs="宋体"/>
          <w:kern w:val="0"/>
          <w:sz w:val="24"/>
        </w:rPr>
        <w:t>　有下列情形之一的，属于恶意串通，对供应商依照政府采购法第七十七条第一款的规定追究法律责任，对采购人、采购代理机构及其工作人员依照政府采购法第七十二条的规定追究法律责任：</w:t>
      </w:r>
    </w:p>
    <w:p>
      <w:pPr>
        <w:widowControl/>
        <w:spacing w:line="380" w:lineRule="exact"/>
        <w:jc w:val="left"/>
        <w:rPr>
          <w:rFonts w:ascii="宋体" w:hAnsi="宋体" w:cs="宋体"/>
          <w:kern w:val="0"/>
          <w:sz w:val="24"/>
        </w:rPr>
      </w:pPr>
      <w:r>
        <w:rPr>
          <w:rFonts w:ascii="宋体" w:hAnsi="宋体" w:cs="宋体"/>
          <w:kern w:val="0"/>
          <w:sz w:val="24"/>
        </w:rPr>
        <w:t>　　（一）供应商直接或者间接从采购人或者采购代理机构处获得其他供应商的相关情况并修改其投标文件或者响应文件；</w:t>
      </w:r>
    </w:p>
    <w:p>
      <w:pPr>
        <w:widowControl/>
        <w:spacing w:line="380" w:lineRule="exact"/>
        <w:jc w:val="left"/>
        <w:rPr>
          <w:rFonts w:ascii="宋体" w:hAnsi="宋体" w:cs="宋体"/>
          <w:kern w:val="0"/>
          <w:sz w:val="24"/>
        </w:rPr>
      </w:pPr>
      <w:r>
        <w:rPr>
          <w:rFonts w:ascii="宋体" w:hAnsi="宋体" w:cs="宋体"/>
          <w:kern w:val="0"/>
          <w:sz w:val="24"/>
        </w:rPr>
        <w:t>　　（二）供应商按照采购人或者采购代理机构的授意撤换、修改投标文件或者响应文件；</w:t>
      </w:r>
    </w:p>
    <w:p>
      <w:pPr>
        <w:widowControl/>
        <w:spacing w:line="380" w:lineRule="exact"/>
        <w:jc w:val="left"/>
        <w:rPr>
          <w:rFonts w:ascii="宋体" w:hAnsi="宋体" w:cs="宋体"/>
          <w:kern w:val="0"/>
          <w:sz w:val="24"/>
        </w:rPr>
      </w:pPr>
      <w:r>
        <w:rPr>
          <w:rFonts w:ascii="宋体" w:hAnsi="宋体" w:cs="宋体"/>
          <w:kern w:val="0"/>
          <w:sz w:val="24"/>
        </w:rPr>
        <w:t>　　（三）供应商之间协商报价、技术方案等投标文件或者响应文件的实质性内容；</w:t>
      </w:r>
    </w:p>
    <w:p>
      <w:pPr>
        <w:widowControl/>
        <w:spacing w:line="380" w:lineRule="exact"/>
        <w:jc w:val="left"/>
        <w:rPr>
          <w:rFonts w:ascii="宋体" w:hAnsi="宋体" w:cs="宋体"/>
          <w:kern w:val="0"/>
          <w:sz w:val="24"/>
        </w:rPr>
      </w:pPr>
      <w:r>
        <w:rPr>
          <w:rFonts w:ascii="宋体" w:hAnsi="宋体" w:cs="宋体"/>
          <w:kern w:val="0"/>
          <w:sz w:val="24"/>
        </w:rPr>
        <w:t>　　（四）属于同一集团、协会、商会等组织成员的供应商按照该组织要求协同参加政府采购活动；</w:t>
      </w:r>
    </w:p>
    <w:p>
      <w:pPr>
        <w:widowControl/>
        <w:spacing w:line="380" w:lineRule="exact"/>
        <w:jc w:val="left"/>
        <w:rPr>
          <w:rFonts w:ascii="宋体" w:hAnsi="宋体" w:cs="宋体"/>
          <w:kern w:val="0"/>
          <w:sz w:val="24"/>
        </w:rPr>
      </w:pPr>
      <w:r>
        <w:rPr>
          <w:rFonts w:ascii="宋体" w:hAnsi="宋体" w:cs="宋体"/>
          <w:kern w:val="0"/>
          <w:sz w:val="24"/>
        </w:rPr>
        <w:t>　　（五）供应商之间事先约定由某一特定供应商中标、成交；</w:t>
      </w:r>
    </w:p>
    <w:p>
      <w:pPr>
        <w:widowControl/>
        <w:spacing w:line="380" w:lineRule="exact"/>
        <w:jc w:val="left"/>
        <w:rPr>
          <w:rFonts w:ascii="宋体" w:hAnsi="宋体" w:cs="宋体"/>
          <w:kern w:val="0"/>
          <w:sz w:val="24"/>
        </w:rPr>
      </w:pPr>
      <w:r>
        <w:rPr>
          <w:rFonts w:ascii="宋体" w:hAnsi="宋体" w:cs="宋体"/>
          <w:kern w:val="0"/>
          <w:sz w:val="24"/>
        </w:rPr>
        <w:t>　　（六）供应商之间商定部分供应商放弃参加政府采购活动或者放弃中标、成交；</w:t>
      </w:r>
    </w:p>
    <w:p>
      <w:pPr>
        <w:widowControl/>
        <w:spacing w:line="380" w:lineRule="exact"/>
        <w:jc w:val="left"/>
        <w:rPr>
          <w:rFonts w:ascii="宋体" w:hAnsi="宋体"/>
          <w:sz w:val="24"/>
        </w:rPr>
      </w:pPr>
      <w:r>
        <w:rPr>
          <w:rFonts w:ascii="宋体" w:hAnsi="宋体" w:cs="宋体"/>
          <w:kern w:val="0"/>
          <w:sz w:val="24"/>
        </w:rPr>
        <w:t>　　（七）供应商与采购人或者采购代理机构之间、供应商相互之间，为谋求特定供应商中标、成交或者排斥其他供应商的其他串通行为。</w:t>
      </w:r>
    </w:p>
    <w:p>
      <w:pPr>
        <w:spacing w:line="400" w:lineRule="exact"/>
        <w:rPr>
          <w:rFonts w:ascii="宋体" w:hAnsi="宋体"/>
          <w:b/>
          <w:sz w:val="32"/>
          <w:szCs w:val="32"/>
        </w:rPr>
      </w:pPr>
    </w:p>
    <w:p>
      <w:pPr>
        <w:spacing w:line="400" w:lineRule="exact"/>
        <w:jc w:val="center"/>
        <w:rPr>
          <w:rFonts w:ascii="宋体" w:hAnsi="宋体"/>
          <w:b/>
          <w:sz w:val="32"/>
          <w:szCs w:val="32"/>
        </w:rPr>
      </w:pPr>
      <w:r>
        <w:rPr>
          <w:rFonts w:hint="eastAsia" w:ascii="宋体" w:hAnsi="宋体"/>
          <w:b/>
          <w:sz w:val="32"/>
          <w:szCs w:val="32"/>
        </w:rPr>
        <w:t>第三章  评标办法及评标标准</w:t>
      </w:r>
    </w:p>
    <w:p>
      <w:pPr>
        <w:spacing w:line="400" w:lineRule="exact"/>
        <w:ind w:firstLine="460" w:firstLineChars="192"/>
        <w:rPr>
          <w:rFonts w:ascii="宋体" w:hAnsi="宋体"/>
          <w:sz w:val="24"/>
        </w:rPr>
      </w:pPr>
    </w:p>
    <w:p>
      <w:pPr>
        <w:spacing w:line="400" w:lineRule="exact"/>
        <w:ind w:firstLine="482" w:firstLineChars="200"/>
        <w:rPr>
          <w:rFonts w:ascii="宋体" w:hAnsi="宋体"/>
          <w:sz w:val="24"/>
        </w:rPr>
      </w:pPr>
      <w:r>
        <w:rPr>
          <w:rFonts w:hint="eastAsia" w:ascii="宋体" w:hAnsi="宋体"/>
          <w:b/>
          <w:sz w:val="24"/>
        </w:rPr>
        <w:t xml:space="preserve">第一条  </w:t>
      </w:r>
      <w:r>
        <w:rPr>
          <w:rFonts w:hint="eastAsia" w:ascii="宋体" w:hAnsi="宋体"/>
          <w:sz w:val="24"/>
        </w:rPr>
        <w:t>评标按下列程序进行：</w:t>
      </w:r>
    </w:p>
    <w:p>
      <w:pPr>
        <w:spacing w:line="400" w:lineRule="exact"/>
        <w:ind w:firstLine="480" w:firstLineChars="200"/>
        <w:rPr>
          <w:rFonts w:ascii="宋体" w:hAnsi="宋体"/>
          <w:sz w:val="24"/>
        </w:rPr>
      </w:pPr>
      <w:r>
        <w:rPr>
          <w:rFonts w:hint="eastAsia" w:ascii="宋体" w:hAnsi="宋体"/>
          <w:sz w:val="24"/>
        </w:rPr>
        <w:t>（一）依法组建评标委员会；</w:t>
      </w:r>
    </w:p>
    <w:p>
      <w:pPr>
        <w:spacing w:line="400" w:lineRule="exact"/>
        <w:ind w:firstLine="480" w:firstLineChars="200"/>
        <w:rPr>
          <w:rFonts w:ascii="宋体" w:hAnsi="宋体"/>
          <w:sz w:val="24"/>
        </w:rPr>
      </w:pPr>
      <w:r>
        <w:rPr>
          <w:rFonts w:hint="eastAsia" w:ascii="宋体" w:hAnsi="宋体"/>
          <w:sz w:val="24"/>
        </w:rPr>
        <w:t>（二）评标前准备；</w:t>
      </w:r>
    </w:p>
    <w:p>
      <w:pPr>
        <w:spacing w:line="400" w:lineRule="exact"/>
        <w:ind w:firstLine="480" w:firstLineChars="200"/>
        <w:rPr>
          <w:rFonts w:ascii="宋体" w:hAnsi="宋体"/>
          <w:sz w:val="24"/>
        </w:rPr>
      </w:pPr>
      <w:r>
        <w:rPr>
          <w:rFonts w:hint="eastAsia" w:ascii="宋体" w:hAnsi="宋体"/>
          <w:sz w:val="24"/>
        </w:rPr>
        <w:t>（三）资格审查；</w:t>
      </w:r>
    </w:p>
    <w:p>
      <w:pPr>
        <w:spacing w:line="400" w:lineRule="exact"/>
        <w:ind w:firstLine="480" w:firstLineChars="200"/>
        <w:rPr>
          <w:rFonts w:ascii="宋体" w:hAnsi="宋体"/>
          <w:sz w:val="24"/>
        </w:rPr>
      </w:pPr>
      <w:r>
        <w:rPr>
          <w:rFonts w:hint="eastAsia" w:ascii="宋体" w:hAnsi="宋体"/>
          <w:sz w:val="24"/>
        </w:rPr>
        <w:t>（四）技术标评审；</w:t>
      </w:r>
    </w:p>
    <w:p>
      <w:pPr>
        <w:spacing w:line="400" w:lineRule="exact"/>
        <w:ind w:firstLine="480" w:firstLineChars="200"/>
        <w:rPr>
          <w:rFonts w:ascii="宋体" w:hAnsi="宋体"/>
          <w:sz w:val="24"/>
        </w:rPr>
      </w:pPr>
      <w:r>
        <w:rPr>
          <w:rFonts w:hint="eastAsia" w:ascii="宋体" w:hAnsi="宋体"/>
          <w:sz w:val="24"/>
        </w:rPr>
        <w:t>（五）报价评审</w:t>
      </w:r>
    </w:p>
    <w:p>
      <w:pPr>
        <w:spacing w:line="400" w:lineRule="exact"/>
        <w:ind w:firstLine="480" w:firstLineChars="200"/>
        <w:rPr>
          <w:rFonts w:ascii="宋体" w:hAnsi="宋体"/>
          <w:sz w:val="24"/>
        </w:rPr>
      </w:pPr>
      <w:r>
        <w:rPr>
          <w:rFonts w:hint="eastAsia" w:ascii="宋体" w:hAnsi="宋体"/>
          <w:sz w:val="24"/>
        </w:rPr>
        <w:t>（六）完成评标报告。</w:t>
      </w:r>
    </w:p>
    <w:p>
      <w:pPr>
        <w:tabs>
          <w:tab w:val="center" w:pos="4153"/>
          <w:tab w:val="right" w:pos="8306"/>
        </w:tabs>
        <w:snapToGrid w:val="0"/>
        <w:spacing w:line="400" w:lineRule="exact"/>
        <w:ind w:firstLine="482" w:firstLineChars="200"/>
        <w:jc w:val="left"/>
        <w:rPr>
          <w:rFonts w:ascii="宋体" w:hAnsi="宋体"/>
          <w:sz w:val="24"/>
        </w:rPr>
      </w:pPr>
      <w:r>
        <w:rPr>
          <w:rFonts w:hint="eastAsia" w:ascii="宋体" w:hAnsi="宋体"/>
          <w:b/>
          <w:sz w:val="24"/>
        </w:rPr>
        <w:t>第二条</w:t>
      </w:r>
      <w:r>
        <w:rPr>
          <w:rFonts w:hint="eastAsia" w:ascii="宋体" w:hAnsi="宋体"/>
          <w:sz w:val="24"/>
        </w:rPr>
        <w:t xml:space="preserve">  采购机构依法组建由5人以上（含）奇数的人员组成的评标委员会，负责对投标文件进行审查、质询、评审和比较等。投标小组由采购单位代表和政府采购专家组成，其中政府采购专家人数不少于成员总数的三分之二。</w:t>
      </w:r>
    </w:p>
    <w:p>
      <w:pPr>
        <w:tabs>
          <w:tab w:val="center" w:pos="4153"/>
          <w:tab w:val="right" w:pos="8306"/>
        </w:tabs>
        <w:snapToGrid w:val="0"/>
        <w:spacing w:line="400" w:lineRule="exact"/>
        <w:ind w:firstLine="557" w:firstLineChars="231"/>
        <w:jc w:val="left"/>
        <w:rPr>
          <w:rFonts w:ascii="宋体" w:hAnsi="宋体"/>
          <w:sz w:val="24"/>
        </w:rPr>
      </w:pPr>
      <w:r>
        <w:rPr>
          <w:rFonts w:hint="eastAsia" w:ascii="宋体" w:hAnsi="宋体"/>
          <w:b/>
          <w:sz w:val="24"/>
        </w:rPr>
        <w:t xml:space="preserve">第三条 </w:t>
      </w:r>
      <w:r>
        <w:rPr>
          <w:rFonts w:hint="eastAsia" w:ascii="宋体" w:hAnsi="宋体"/>
          <w:sz w:val="24"/>
        </w:rPr>
        <w:t xml:space="preserve"> 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400" w:lineRule="exact"/>
        <w:ind w:firstLine="482" w:firstLineChars="200"/>
        <w:rPr>
          <w:rFonts w:ascii="宋体" w:hAnsi="宋体"/>
          <w:b/>
          <w:sz w:val="24"/>
        </w:rPr>
      </w:pPr>
      <w:r>
        <w:rPr>
          <w:rFonts w:hint="eastAsia" w:ascii="宋体" w:hAnsi="宋体"/>
          <w:b/>
          <w:sz w:val="24"/>
        </w:rPr>
        <w:t>第四条</w:t>
      </w:r>
      <w:r>
        <w:rPr>
          <w:rFonts w:hint="eastAsia" w:ascii="宋体" w:hAnsi="宋体"/>
          <w:sz w:val="24"/>
        </w:rPr>
        <w:t xml:space="preserve">  </w:t>
      </w:r>
      <w:r>
        <w:rPr>
          <w:rFonts w:hint="eastAsia" w:ascii="宋体" w:hAnsi="宋体"/>
          <w:b/>
          <w:sz w:val="24"/>
        </w:rPr>
        <w:t>本项目先开资信、技术文件，再开报价文件。其中资信和技术分占70%，报价分占30%。</w:t>
      </w:r>
    </w:p>
    <w:p>
      <w:pPr>
        <w:spacing w:line="400" w:lineRule="exact"/>
        <w:ind w:firstLine="463" w:firstLineChars="192"/>
        <w:rPr>
          <w:rFonts w:ascii="宋体" w:hAnsi="宋体"/>
          <w:b/>
          <w:sz w:val="24"/>
        </w:rPr>
      </w:pPr>
      <w:r>
        <w:rPr>
          <w:rFonts w:hint="eastAsia" w:ascii="宋体" w:hAnsi="宋体"/>
          <w:b/>
          <w:sz w:val="24"/>
        </w:rPr>
        <w:t>第五条  本项目采用综合评分法。即在全部满足采购文件实质性要求的前提下，评标委员会对通过评审的所有投标人以总分由高到低推荐前两名为中标候选人，并进行采购结果公示。</w:t>
      </w:r>
    </w:p>
    <w:p>
      <w:pPr>
        <w:spacing w:line="400" w:lineRule="exact"/>
        <w:ind w:firstLine="463" w:firstLineChars="192"/>
        <w:rPr>
          <w:rFonts w:ascii="宋体" w:hAnsi="宋体"/>
          <w:b/>
          <w:sz w:val="24"/>
        </w:rPr>
      </w:pPr>
      <w:r>
        <w:rPr>
          <w:rFonts w:hint="eastAsia" w:ascii="宋体" w:hAnsi="宋体"/>
          <w:b/>
          <w:sz w:val="24"/>
        </w:rPr>
        <w:t>公示结束后，经采购人确定，原则上选择第一中标候选人为成交供应商，如第一中标候选人出现无法履约等情形，可选择第二中标候选人为成交供应商。</w:t>
      </w:r>
    </w:p>
    <w:p>
      <w:pPr>
        <w:widowControl/>
        <w:spacing w:line="300" w:lineRule="exact"/>
        <w:rPr>
          <w:rFonts w:ascii="宋体" w:hAnsi="宋体"/>
          <w:b/>
          <w:sz w:val="24"/>
        </w:rPr>
      </w:pPr>
      <w:r>
        <w:rPr>
          <w:rFonts w:hint="eastAsia" w:ascii="宋体" w:hAnsi="宋体"/>
          <w:b/>
          <w:sz w:val="24"/>
        </w:rPr>
        <w:t>▲资信及商务、技术评分表</w:t>
      </w:r>
    </w:p>
    <w:tbl>
      <w:tblPr>
        <w:tblStyle w:val="15"/>
        <w:tblW w:w="9555"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51"/>
        <w:gridCol w:w="1434"/>
        <w:gridCol w:w="75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17" w:hRule="atLeast"/>
          <w:tblCellSpacing w:w="0" w:type="dxa"/>
        </w:trPr>
        <w:tc>
          <w:tcPr>
            <w:tcW w:w="551" w:type="dxa"/>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434" w:type="dxa"/>
            <w:vAlign w:val="center"/>
          </w:tcPr>
          <w:p>
            <w:pPr>
              <w:widowControl/>
              <w:jc w:val="center"/>
              <w:rPr>
                <w:rFonts w:ascii="宋体" w:hAnsi="宋体" w:cs="宋体"/>
                <w:b/>
                <w:bCs/>
                <w:kern w:val="0"/>
                <w:sz w:val="24"/>
              </w:rPr>
            </w:pPr>
            <w:r>
              <w:rPr>
                <w:rFonts w:hint="eastAsia" w:ascii="宋体" w:hAnsi="宋体" w:cs="宋体"/>
                <w:b/>
                <w:bCs/>
                <w:kern w:val="0"/>
                <w:sz w:val="24"/>
              </w:rPr>
              <w:t>考评项目</w:t>
            </w:r>
          </w:p>
        </w:tc>
        <w:tc>
          <w:tcPr>
            <w:tcW w:w="7570" w:type="dxa"/>
            <w:vAlign w:val="center"/>
          </w:tcPr>
          <w:p>
            <w:pPr>
              <w:widowControl/>
              <w:jc w:val="center"/>
              <w:rPr>
                <w:rFonts w:ascii="宋体" w:hAnsi="宋体" w:cs="宋体"/>
                <w:b/>
                <w:bCs/>
                <w:kern w:val="0"/>
                <w:sz w:val="24"/>
              </w:rPr>
            </w:pPr>
            <w:r>
              <w:rPr>
                <w:rFonts w:hint="eastAsia" w:ascii="宋体" w:hAnsi="宋体" w:cs="宋体"/>
                <w:b/>
                <w:bCs/>
                <w:kern w:val="0"/>
                <w:sz w:val="24"/>
              </w:rPr>
              <w:t>评分标准（细则）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trPr>
        <w:tc>
          <w:tcPr>
            <w:tcW w:w="551" w:type="dxa"/>
            <w:vAlign w:val="center"/>
          </w:tcPr>
          <w:p>
            <w:pPr>
              <w:spacing w:line="360" w:lineRule="auto"/>
              <w:jc w:val="center"/>
              <w:rPr>
                <w:rFonts w:ascii="宋体" w:hAnsi="宋体" w:cs="宋体"/>
                <w:sz w:val="24"/>
              </w:rPr>
            </w:pPr>
            <w:r>
              <w:rPr>
                <w:rFonts w:hint="eastAsia" w:ascii="宋体" w:hAnsi="宋体" w:cs="宋体"/>
                <w:sz w:val="24"/>
              </w:rPr>
              <w:t>1</w:t>
            </w:r>
          </w:p>
        </w:tc>
        <w:tc>
          <w:tcPr>
            <w:tcW w:w="1434" w:type="dxa"/>
            <w:vAlign w:val="center"/>
          </w:tcPr>
          <w:p>
            <w:pPr>
              <w:spacing w:line="360" w:lineRule="auto"/>
              <w:jc w:val="center"/>
              <w:rPr>
                <w:rFonts w:ascii="宋体" w:hAnsi="宋体" w:cs="宋体"/>
                <w:sz w:val="24"/>
              </w:rPr>
            </w:pPr>
            <w:r>
              <w:rPr>
                <w:rFonts w:hint="eastAsia" w:ascii="宋体" w:hAnsi="宋体" w:cs="宋体"/>
                <w:sz w:val="24"/>
              </w:rPr>
              <w:t>技术参数</w:t>
            </w:r>
          </w:p>
          <w:p>
            <w:pPr>
              <w:spacing w:line="360" w:lineRule="auto"/>
              <w:jc w:val="center"/>
              <w:rPr>
                <w:rFonts w:ascii="宋体" w:hAnsi="宋体" w:cs="宋体"/>
                <w:sz w:val="24"/>
              </w:rPr>
            </w:pPr>
            <w:r>
              <w:rPr>
                <w:rFonts w:hint="eastAsia" w:ascii="宋体" w:hAnsi="宋体" w:cs="宋体"/>
                <w:sz w:val="24"/>
              </w:rPr>
              <w:t>（0-35分）</w:t>
            </w:r>
          </w:p>
        </w:tc>
        <w:tc>
          <w:tcPr>
            <w:tcW w:w="7570" w:type="dxa"/>
            <w:vAlign w:val="center"/>
          </w:tcPr>
          <w:p>
            <w:pPr>
              <w:spacing w:line="360" w:lineRule="auto"/>
              <w:rPr>
                <w:rFonts w:ascii="宋体" w:hAnsi="宋体" w:cs="宋体"/>
                <w:sz w:val="24"/>
              </w:rPr>
            </w:pPr>
            <w:r>
              <w:rPr>
                <w:rFonts w:hint="eastAsia" w:ascii="宋体" w:hAnsi="宋体" w:cs="宋体"/>
                <w:sz w:val="24"/>
              </w:rPr>
              <w:t>评委对投标的产品的技术参数、主要材料及配件进行分析、比较，均满足且与招标需求一致的，得35分；打“★”的为重要性指标，每有一项实质性负偏离的扣3分，其他一般指标每有一项实质性负偏离的扣1分，扣完为止(要求提供相关证明资料的技术指标，必需提供证明资料，否则以负偏离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trPr>
        <w:tc>
          <w:tcPr>
            <w:tcW w:w="551" w:type="dxa"/>
            <w:vAlign w:val="center"/>
          </w:tcPr>
          <w:p>
            <w:pPr>
              <w:spacing w:line="360" w:lineRule="auto"/>
              <w:jc w:val="center"/>
              <w:rPr>
                <w:rFonts w:ascii="宋体" w:hAnsi="宋体" w:cs="宋体"/>
                <w:sz w:val="24"/>
              </w:rPr>
            </w:pPr>
            <w:r>
              <w:rPr>
                <w:rFonts w:hint="eastAsia" w:ascii="宋体" w:hAnsi="宋体" w:cs="宋体"/>
                <w:sz w:val="24"/>
              </w:rPr>
              <w:t>2</w:t>
            </w:r>
          </w:p>
        </w:tc>
        <w:tc>
          <w:tcPr>
            <w:tcW w:w="1434" w:type="dxa"/>
            <w:vAlign w:val="center"/>
          </w:tcPr>
          <w:p>
            <w:pPr>
              <w:spacing w:line="360" w:lineRule="auto"/>
              <w:ind w:firstLine="240" w:firstLineChars="100"/>
              <w:rPr>
                <w:rFonts w:ascii="宋体" w:hAnsi="宋体" w:cs="宋体"/>
                <w:sz w:val="24"/>
              </w:rPr>
            </w:pPr>
            <w:r>
              <w:rPr>
                <w:rFonts w:hint="eastAsia" w:ascii="宋体" w:hAnsi="宋体" w:cs="宋体"/>
                <w:sz w:val="24"/>
              </w:rPr>
              <w:t>产品认证</w:t>
            </w:r>
          </w:p>
          <w:p>
            <w:pPr>
              <w:spacing w:line="360" w:lineRule="auto"/>
              <w:ind w:firstLine="240" w:firstLineChars="100"/>
              <w:rPr>
                <w:rFonts w:ascii="宋体" w:hAnsi="宋体" w:cs="宋体"/>
                <w:sz w:val="24"/>
              </w:rPr>
            </w:pPr>
            <w:r>
              <w:rPr>
                <w:rFonts w:hint="eastAsia" w:ascii="宋体" w:hAnsi="宋体" w:cs="宋体"/>
                <w:sz w:val="24"/>
              </w:rPr>
              <w:t>（0-3分）</w:t>
            </w:r>
          </w:p>
        </w:tc>
        <w:tc>
          <w:tcPr>
            <w:tcW w:w="7570" w:type="dxa"/>
            <w:vAlign w:val="center"/>
          </w:tcPr>
          <w:p>
            <w:pPr>
              <w:spacing w:line="360" w:lineRule="auto"/>
              <w:rPr>
                <w:rFonts w:ascii="宋体" w:hAnsi="宋体" w:cs="宋体"/>
                <w:sz w:val="24"/>
              </w:rPr>
            </w:pPr>
            <w:r>
              <w:rPr>
                <w:rFonts w:hint="eastAsia" w:ascii="宋体" w:hAnsi="宋体" w:cs="宋体"/>
                <w:sz w:val="24"/>
              </w:rPr>
              <w:t>全性能降水自动监测系统具有中国环境保护产品认证证书的得3分。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trPr>
        <w:tc>
          <w:tcPr>
            <w:tcW w:w="551" w:type="dxa"/>
            <w:vAlign w:val="center"/>
          </w:tcPr>
          <w:p>
            <w:pPr>
              <w:spacing w:line="360" w:lineRule="auto"/>
              <w:jc w:val="center"/>
              <w:rPr>
                <w:rFonts w:ascii="宋体" w:hAnsi="宋体" w:cs="宋体"/>
                <w:sz w:val="24"/>
              </w:rPr>
            </w:pPr>
            <w:r>
              <w:rPr>
                <w:rFonts w:hint="eastAsia" w:ascii="宋体" w:hAnsi="宋体" w:cs="宋体"/>
                <w:sz w:val="24"/>
              </w:rPr>
              <w:t>3</w:t>
            </w:r>
          </w:p>
        </w:tc>
        <w:tc>
          <w:tcPr>
            <w:tcW w:w="1434" w:type="dxa"/>
            <w:vAlign w:val="center"/>
          </w:tcPr>
          <w:p>
            <w:pPr>
              <w:spacing w:line="360" w:lineRule="auto"/>
              <w:ind w:left="240" w:hanging="240" w:hangingChars="100"/>
              <w:rPr>
                <w:rFonts w:ascii="宋体" w:hAnsi="宋体" w:cs="宋体"/>
                <w:sz w:val="24"/>
              </w:rPr>
            </w:pPr>
            <w:r>
              <w:rPr>
                <w:rFonts w:hint="eastAsia" w:ascii="宋体" w:hAnsi="宋体" w:cs="宋体"/>
                <w:sz w:val="24"/>
              </w:rPr>
              <w:t>运维实施方案（0-5分）</w:t>
            </w:r>
          </w:p>
        </w:tc>
        <w:tc>
          <w:tcPr>
            <w:tcW w:w="7570" w:type="dxa"/>
            <w:vAlign w:val="center"/>
          </w:tcPr>
          <w:p>
            <w:pPr>
              <w:spacing w:line="360" w:lineRule="auto"/>
              <w:rPr>
                <w:rFonts w:ascii="宋体" w:hAnsi="宋体" w:cs="宋体"/>
                <w:sz w:val="24"/>
              </w:rPr>
            </w:pPr>
            <w:r>
              <w:rPr>
                <w:rFonts w:hint="eastAsia" w:ascii="宋体" w:hAnsi="宋体" w:cs="宋体"/>
                <w:sz w:val="24"/>
              </w:rPr>
              <w:t xml:space="preserve">根据投标单位针对本项目的运维方案是否具有合理性、可行性进、先进性行打分；最高得5分。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trPr>
        <w:tc>
          <w:tcPr>
            <w:tcW w:w="551" w:type="dxa"/>
            <w:vAlign w:val="center"/>
          </w:tcPr>
          <w:p>
            <w:pPr>
              <w:spacing w:line="360" w:lineRule="auto"/>
              <w:jc w:val="center"/>
              <w:rPr>
                <w:rFonts w:ascii="宋体" w:hAnsi="宋体" w:cs="宋体"/>
                <w:sz w:val="24"/>
              </w:rPr>
            </w:pPr>
            <w:r>
              <w:rPr>
                <w:rFonts w:hint="eastAsia" w:ascii="宋体" w:hAnsi="宋体" w:cs="宋体"/>
                <w:sz w:val="24"/>
              </w:rPr>
              <w:t>4</w:t>
            </w:r>
          </w:p>
        </w:tc>
        <w:tc>
          <w:tcPr>
            <w:tcW w:w="1434" w:type="dxa"/>
            <w:vAlign w:val="center"/>
          </w:tcPr>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项目实施方案（0-4分）</w:t>
            </w:r>
          </w:p>
          <w:p>
            <w:pPr>
              <w:spacing w:line="360" w:lineRule="auto"/>
              <w:rPr>
                <w:rFonts w:ascii="宋体" w:hAnsi="宋体" w:cs="宋体"/>
                <w:sz w:val="24"/>
              </w:rPr>
            </w:pPr>
          </w:p>
        </w:tc>
        <w:tc>
          <w:tcPr>
            <w:tcW w:w="7570" w:type="dxa"/>
            <w:vAlign w:val="center"/>
          </w:tcPr>
          <w:p>
            <w:pPr>
              <w:spacing w:line="360" w:lineRule="auto"/>
              <w:rPr>
                <w:rFonts w:ascii="宋体" w:hAnsi="宋体" w:cs="宋体"/>
                <w:sz w:val="24"/>
              </w:rPr>
            </w:pPr>
            <w:r>
              <w:rPr>
                <w:rFonts w:hint="eastAsia" w:ascii="宋体" w:hAnsi="宋体" w:cs="宋体"/>
                <w:sz w:val="24"/>
              </w:rPr>
              <w:t>评标委员会根据投标人的项目实施计划、生产排期详细完整程度，符合项目进度要求，投入人员数量和综合素质进行综合打分，最高得4分。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trPr>
        <w:tc>
          <w:tcPr>
            <w:tcW w:w="551" w:type="dxa"/>
            <w:vAlign w:val="center"/>
          </w:tcPr>
          <w:p>
            <w:pPr>
              <w:spacing w:line="360" w:lineRule="auto"/>
              <w:jc w:val="center"/>
              <w:rPr>
                <w:rFonts w:ascii="宋体" w:hAnsi="宋体" w:cs="宋体"/>
                <w:sz w:val="24"/>
              </w:rPr>
            </w:pPr>
            <w:r>
              <w:rPr>
                <w:rFonts w:hint="eastAsia" w:ascii="宋体" w:hAnsi="宋体" w:cs="宋体"/>
                <w:sz w:val="24"/>
              </w:rPr>
              <w:t>5</w:t>
            </w:r>
          </w:p>
        </w:tc>
        <w:tc>
          <w:tcPr>
            <w:tcW w:w="1434" w:type="dxa"/>
            <w:vAlign w:val="center"/>
          </w:tcPr>
          <w:p>
            <w:pPr>
              <w:spacing w:line="360" w:lineRule="auto"/>
              <w:rPr>
                <w:rFonts w:ascii="宋体" w:hAnsi="宋体" w:cs="宋体"/>
                <w:sz w:val="24"/>
              </w:rPr>
            </w:pPr>
            <w:r>
              <w:rPr>
                <w:rFonts w:hint="eastAsia" w:ascii="宋体" w:hAnsi="宋体" w:cs="宋体"/>
                <w:sz w:val="24"/>
              </w:rPr>
              <w:t>售后服务方案（0-4分）</w:t>
            </w:r>
          </w:p>
        </w:tc>
        <w:tc>
          <w:tcPr>
            <w:tcW w:w="7570" w:type="dxa"/>
            <w:vAlign w:val="center"/>
          </w:tcPr>
          <w:p>
            <w:pPr>
              <w:spacing w:line="360" w:lineRule="auto"/>
              <w:rPr>
                <w:rFonts w:ascii="宋体" w:hAnsi="宋体" w:cs="宋体"/>
                <w:sz w:val="24"/>
              </w:rPr>
            </w:pPr>
            <w:r>
              <w:rPr>
                <w:rFonts w:hint="eastAsia" w:ascii="宋体" w:hAnsi="宋体" w:cs="宋体"/>
                <w:sz w:val="24"/>
              </w:rPr>
              <w:t>评标委员会根据投标人的售后服务方案的完整性、合理性、针对性，专业服务力量和服务保障方案的详细程度进行综合打分，最高得4分。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trPr>
        <w:tc>
          <w:tcPr>
            <w:tcW w:w="551" w:type="dxa"/>
            <w:vAlign w:val="center"/>
          </w:tcPr>
          <w:p>
            <w:pPr>
              <w:spacing w:line="360" w:lineRule="auto"/>
              <w:jc w:val="center"/>
              <w:rPr>
                <w:rFonts w:ascii="宋体" w:hAnsi="宋体" w:cs="宋体"/>
                <w:sz w:val="24"/>
              </w:rPr>
            </w:pPr>
            <w:r>
              <w:rPr>
                <w:rFonts w:hint="eastAsia" w:ascii="宋体" w:hAnsi="宋体" w:cs="宋体"/>
                <w:sz w:val="24"/>
              </w:rPr>
              <w:t>6</w:t>
            </w:r>
          </w:p>
        </w:tc>
        <w:tc>
          <w:tcPr>
            <w:tcW w:w="1434" w:type="dxa"/>
            <w:vAlign w:val="center"/>
          </w:tcPr>
          <w:p>
            <w:pPr>
              <w:spacing w:line="360" w:lineRule="auto"/>
              <w:rPr>
                <w:rFonts w:ascii="宋体" w:hAnsi="宋体" w:cs="宋体"/>
                <w:sz w:val="24"/>
              </w:rPr>
            </w:pPr>
            <w:r>
              <w:rPr>
                <w:rFonts w:hint="eastAsia" w:ascii="宋体" w:hAnsi="宋体" w:cs="宋体"/>
                <w:sz w:val="24"/>
              </w:rPr>
              <w:t>安装调试验收（0-3分）</w:t>
            </w:r>
          </w:p>
        </w:tc>
        <w:tc>
          <w:tcPr>
            <w:tcW w:w="7570" w:type="dxa"/>
            <w:vAlign w:val="center"/>
          </w:tcPr>
          <w:p>
            <w:pPr>
              <w:spacing w:line="360" w:lineRule="auto"/>
              <w:rPr>
                <w:rFonts w:ascii="宋体" w:hAnsi="宋体" w:cs="宋体"/>
                <w:sz w:val="24"/>
              </w:rPr>
            </w:pPr>
            <w:r>
              <w:rPr>
                <w:rFonts w:hint="eastAsia" w:ascii="宋体" w:hAnsi="宋体" w:cs="宋体"/>
                <w:sz w:val="24"/>
              </w:rPr>
              <w:t>评标委员会根据投标人的安装、调试、验收方法或方案的详细完整度、合理性、可行性进行综合打分，最高得3分。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trPr>
        <w:tc>
          <w:tcPr>
            <w:tcW w:w="551" w:type="dxa"/>
            <w:vAlign w:val="center"/>
          </w:tcPr>
          <w:p>
            <w:pPr>
              <w:spacing w:line="360" w:lineRule="auto"/>
              <w:jc w:val="center"/>
              <w:rPr>
                <w:rFonts w:ascii="宋体" w:hAnsi="宋体" w:cs="宋体"/>
                <w:sz w:val="24"/>
              </w:rPr>
            </w:pPr>
            <w:r>
              <w:rPr>
                <w:rFonts w:hint="eastAsia" w:ascii="宋体" w:hAnsi="宋体" w:cs="宋体"/>
                <w:sz w:val="24"/>
              </w:rPr>
              <w:t>7</w:t>
            </w:r>
          </w:p>
        </w:tc>
        <w:tc>
          <w:tcPr>
            <w:tcW w:w="1434" w:type="dxa"/>
            <w:vAlign w:val="center"/>
          </w:tcPr>
          <w:p>
            <w:pPr>
              <w:spacing w:line="360" w:lineRule="auto"/>
              <w:jc w:val="center"/>
              <w:rPr>
                <w:rFonts w:ascii="宋体" w:hAnsi="宋体" w:cs="宋体"/>
                <w:sz w:val="24"/>
              </w:rPr>
            </w:pPr>
            <w:r>
              <w:rPr>
                <w:rFonts w:hint="eastAsia" w:ascii="宋体" w:hAnsi="宋体" w:cs="宋体"/>
                <w:sz w:val="24"/>
              </w:rPr>
              <w:t>培训</w:t>
            </w:r>
          </w:p>
          <w:p>
            <w:pPr>
              <w:spacing w:line="360" w:lineRule="auto"/>
              <w:jc w:val="center"/>
              <w:rPr>
                <w:rFonts w:ascii="宋体" w:hAnsi="宋体" w:cs="宋体"/>
                <w:sz w:val="24"/>
              </w:rPr>
            </w:pPr>
            <w:r>
              <w:rPr>
                <w:rFonts w:hint="eastAsia" w:ascii="宋体" w:hAnsi="宋体" w:cs="宋体"/>
                <w:sz w:val="24"/>
              </w:rPr>
              <w:t>（0-3分）</w:t>
            </w:r>
          </w:p>
        </w:tc>
        <w:tc>
          <w:tcPr>
            <w:tcW w:w="7570" w:type="dxa"/>
            <w:vAlign w:val="center"/>
          </w:tcPr>
          <w:p>
            <w:pPr>
              <w:spacing w:line="360" w:lineRule="auto"/>
              <w:rPr>
                <w:rFonts w:ascii="宋体" w:hAnsi="宋体" w:cs="宋体"/>
                <w:sz w:val="24"/>
              </w:rPr>
            </w:pPr>
            <w:r>
              <w:rPr>
                <w:rFonts w:hint="eastAsia" w:ascii="宋体" w:hAnsi="宋体" w:cs="宋体"/>
                <w:sz w:val="24"/>
              </w:rPr>
              <w:t>评标委员会根据投标人的培训工作的目标、任务、计划、组织等安排是否合理、清晰、可行进行综合评定，最高得3分。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trPr>
        <w:tc>
          <w:tcPr>
            <w:tcW w:w="551" w:type="dxa"/>
            <w:vAlign w:val="center"/>
          </w:tcPr>
          <w:p>
            <w:pPr>
              <w:spacing w:line="360" w:lineRule="auto"/>
              <w:jc w:val="center"/>
              <w:rPr>
                <w:rFonts w:ascii="宋体" w:hAnsi="宋体" w:cs="宋体"/>
                <w:sz w:val="24"/>
              </w:rPr>
            </w:pPr>
            <w:r>
              <w:rPr>
                <w:rFonts w:hint="eastAsia" w:ascii="宋体" w:hAnsi="宋体" w:cs="宋体"/>
                <w:sz w:val="24"/>
              </w:rPr>
              <w:t>8</w:t>
            </w:r>
          </w:p>
        </w:tc>
        <w:tc>
          <w:tcPr>
            <w:tcW w:w="1434" w:type="dxa"/>
            <w:vAlign w:val="center"/>
          </w:tcPr>
          <w:p>
            <w:pPr>
              <w:spacing w:line="360" w:lineRule="auto"/>
              <w:jc w:val="center"/>
              <w:rPr>
                <w:rFonts w:ascii="宋体" w:hAnsi="宋体" w:cs="宋体"/>
                <w:sz w:val="24"/>
              </w:rPr>
            </w:pPr>
            <w:r>
              <w:rPr>
                <w:rFonts w:hint="eastAsia" w:ascii="宋体" w:hAnsi="宋体" w:cs="宋体"/>
                <w:sz w:val="24"/>
              </w:rPr>
              <w:t>质保期</w:t>
            </w:r>
          </w:p>
          <w:p>
            <w:pPr>
              <w:spacing w:line="360" w:lineRule="auto"/>
              <w:jc w:val="center"/>
              <w:rPr>
                <w:rFonts w:ascii="宋体" w:hAnsi="宋体" w:cs="宋体"/>
                <w:sz w:val="24"/>
              </w:rPr>
            </w:pPr>
            <w:r>
              <w:rPr>
                <w:rFonts w:hint="eastAsia" w:ascii="宋体" w:hAnsi="宋体" w:cs="宋体"/>
                <w:sz w:val="24"/>
              </w:rPr>
              <w:t>（0-3分）</w:t>
            </w:r>
          </w:p>
        </w:tc>
        <w:tc>
          <w:tcPr>
            <w:tcW w:w="7570" w:type="dxa"/>
            <w:vAlign w:val="center"/>
          </w:tcPr>
          <w:p>
            <w:pPr>
              <w:spacing w:line="360" w:lineRule="auto"/>
              <w:rPr>
                <w:rFonts w:ascii="宋体" w:hAnsi="宋体" w:cs="宋体"/>
                <w:sz w:val="24"/>
              </w:rPr>
            </w:pPr>
            <w:r>
              <w:rPr>
                <w:rFonts w:hint="eastAsia" w:ascii="宋体" w:hAnsi="宋体" w:cs="宋体"/>
                <w:sz w:val="24"/>
              </w:rPr>
              <w:t>评标委员会根据投标人的质保期超过招标文件规定的，每增加1年得1分,最高得3分。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37" w:hRule="atLeast"/>
          <w:tblCellSpacing w:w="0" w:type="dxa"/>
        </w:trPr>
        <w:tc>
          <w:tcPr>
            <w:tcW w:w="551" w:type="dxa"/>
            <w:vAlign w:val="center"/>
          </w:tcPr>
          <w:p>
            <w:pPr>
              <w:spacing w:line="360" w:lineRule="auto"/>
              <w:jc w:val="center"/>
              <w:rPr>
                <w:rFonts w:ascii="宋体" w:hAnsi="宋体" w:cs="宋体"/>
                <w:sz w:val="24"/>
              </w:rPr>
            </w:pPr>
            <w:r>
              <w:rPr>
                <w:rFonts w:hint="eastAsia" w:ascii="宋体" w:hAnsi="宋体" w:cs="宋体"/>
                <w:sz w:val="24"/>
              </w:rPr>
              <w:t>9</w:t>
            </w:r>
          </w:p>
        </w:tc>
        <w:tc>
          <w:tcPr>
            <w:tcW w:w="1434" w:type="dxa"/>
            <w:vAlign w:val="center"/>
          </w:tcPr>
          <w:p>
            <w:pPr>
              <w:spacing w:line="360" w:lineRule="auto"/>
              <w:jc w:val="center"/>
              <w:rPr>
                <w:rFonts w:ascii="宋体" w:hAnsi="宋体" w:cs="宋体"/>
                <w:sz w:val="24"/>
              </w:rPr>
            </w:pPr>
            <w:r>
              <w:rPr>
                <w:rFonts w:hint="eastAsia" w:ascii="宋体" w:hAnsi="宋体" w:cs="宋体"/>
                <w:sz w:val="24"/>
              </w:rPr>
              <w:t>标书制作质量（0-2分）</w:t>
            </w:r>
          </w:p>
        </w:tc>
        <w:tc>
          <w:tcPr>
            <w:tcW w:w="7570" w:type="dxa"/>
            <w:vAlign w:val="center"/>
          </w:tcPr>
          <w:p>
            <w:pPr>
              <w:spacing w:line="360" w:lineRule="auto"/>
              <w:rPr>
                <w:rFonts w:ascii="宋体" w:hAnsi="宋体" w:cs="宋体"/>
                <w:sz w:val="24"/>
              </w:rPr>
            </w:pPr>
            <w:r>
              <w:rPr>
                <w:rFonts w:hint="eastAsia" w:ascii="宋体" w:hAnsi="宋体" w:cs="宋体"/>
                <w:sz w:val="24"/>
              </w:rPr>
              <w:t>评委根据投标文件内容编排顺序、格式是否符合招标文件要求，条理是否清晰，有无缺页、漏项等情况进行综合打分。最高得2分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trPr>
        <w:tc>
          <w:tcPr>
            <w:tcW w:w="551" w:type="dxa"/>
            <w:vAlign w:val="center"/>
          </w:tcPr>
          <w:p>
            <w:pPr>
              <w:spacing w:line="360" w:lineRule="auto"/>
              <w:jc w:val="center"/>
              <w:rPr>
                <w:rFonts w:ascii="宋体" w:hAnsi="宋体" w:cs="宋体"/>
                <w:sz w:val="24"/>
              </w:rPr>
            </w:pPr>
            <w:r>
              <w:rPr>
                <w:rFonts w:hint="eastAsia" w:ascii="宋体" w:hAnsi="宋体" w:cs="宋体"/>
                <w:sz w:val="24"/>
              </w:rPr>
              <w:t>10</w:t>
            </w:r>
          </w:p>
        </w:tc>
        <w:tc>
          <w:tcPr>
            <w:tcW w:w="1434" w:type="dxa"/>
            <w:vAlign w:val="center"/>
          </w:tcPr>
          <w:p>
            <w:pPr>
              <w:jc w:val="center"/>
              <w:rPr>
                <w:rFonts w:ascii="宋体" w:hAnsi="宋体" w:cs="宋体"/>
                <w:sz w:val="24"/>
              </w:rPr>
            </w:pPr>
            <w:r>
              <w:rPr>
                <w:rFonts w:hint="eastAsia" w:ascii="宋体" w:hAnsi="宋体" w:cs="宋体"/>
                <w:sz w:val="24"/>
              </w:rPr>
              <w:t>业绩</w:t>
            </w:r>
          </w:p>
          <w:p>
            <w:pPr>
              <w:jc w:val="center"/>
              <w:rPr>
                <w:rFonts w:ascii="宋体" w:hAnsi="宋体" w:cs="宋体"/>
                <w:sz w:val="24"/>
              </w:rPr>
            </w:pPr>
            <w:r>
              <w:rPr>
                <w:rFonts w:hint="eastAsia" w:ascii="宋体" w:hAnsi="宋体" w:cs="宋体"/>
                <w:sz w:val="24"/>
              </w:rPr>
              <w:t>（0-8分）</w:t>
            </w:r>
          </w:p>
        </w:tc>
        <w:tc>
          <w:tcPr>
            <w:tcW w:w="7570" w:type="dxa"/>
            <w:vAlign w:val="center"/>
          </w:tcPr>
          <w:p>
            <w:pPr>
              <w:spacing w:line="360" w:lineRule="auto"/>
              <w:rPr>
                <w:rFonts w:ascii="宋体" w:hAnsi="宋体" w:cs="宋体"/>
                <w:sz w:val="24"/>
              </w:rPr>
            </w:pPr>
            <w:r>
              <w:rPr>
                <w:rFonts w:hint="eastAsia" w:ascii="宋体" w:hAnsi="宋体" w:cs="宋体"/>
                <w:sz w:val="24"/>
              </w:rPr>
              <w:t>投标人自2016年1月1日以来，同类型项目成功案例，每个得2分，最多得8分，没有不得分；（提供相应证明材料复印件）</w:t>
            </w:r>
          </w:p>
        </w:tc>
      </w:tr>
    </w:tbl>
    <w:p>
      <w:pPr>
        <w:widowControl/>
        <w:spacing w:line="360" w:lineRule="exact"/>
        <w:ind w:left="729" w:leftChars="3" w:right="-514" w:rightChars="-245" w:hanging="723" w:hangingChars="300"/>
        <w:rPr>
          <w:rFonts w:ascii="宋体" w:hAnsi="宋体"/>
          <w:b/>
          <w:sz w:val="24"/>
        </w:rPr>
      </w:pPr>
      <w:r>
        <w:rPr>
          <w:rFonts w:hint="eastAsia" w:ascii="宋体" w:hAnsi="宋体"/>
          <w:b/>
          <w:sz w:val="24"/>
        </w:rPr>
        <w:t>备注：为方便专家评审，请各供应商将本表编入投标文件，并置于投标文件目录之前。</w:t>
      </w:r>
    </w:p>
    <w:p>
      <w:pPr>
        <w:adjustRightInd w:val="0"/>
        <w:snapToGrid w:val="0"/>
        <w:spacing w:line="400" w:lineRule="exact"/>
        <w:rPr>
          <w:rFonts w:ascii="宋体" w:hAnsi="宋体"/>
          <w:b/>
          <w:sz w:val="24"/>
        </w:rPr>
      </w:pPr>
      <w:r>
        <w:rPr>
          <w:rFonts w:hint="eastAsia" w:ascii="宋体" w:hAnsi="宋体"/>
          <w:b/>
          <w:sz w:val="24"/>
        </w:rPr>
        <w:t xml:space="preserve"> 第六条  评标步骤</w:t>
      </w:r>
    </w:p>
    <w:p>
      <w:pPr>
        <w:snapToGrid w:val="0"/>
        <w:spacing w:line="420" w:lineRule="exact"/>
        <w:ind w:firstLine="482" w:firstLineChars="200"/>
        <w:rPr>
          <w:rFonts w:ascii="宋体" w:hAnsi="宋体"/>
          <w:b/>
          <w:sz w:val="24"/>
        </w:rPr>
      </w:pPr>
      <w:r>
        <w:rPr>
          <w:rFonts w:hint="eastAsia" w:ascii="宋体" w:hAnsi="宋体"/>
          <w:b/>
          <w:sz w:val="24"/>
        </w:rPr>
        <w:t>1、在资格审查时，如发现下列情形之一的，</w:t>
      </w:r>
      <w:r>
        <w:rPr>
          <w:rFonts w:hint="eastAsia" w:ascii="宋体" w:hAnsi="宋体" w:cs="Arial"/>
          <w:b/>
          <w:sz w:val="24"/>
        </w:rPr>
        <w:t>投标</w:t>
      </w:r>
      <w:r>
        <w:rPr>
          <w:rFonts w:hint="eastAsia" w:ascii="宋体" w:hAnsi="宋体"/>
          <w:b/>
          <w:sz w:val="24"/>
        </w:rPr>
        <w:t>文件将被视为无效投标：</w:t>
      </w:r>
    </w:p>
    <w:p>
      <w:pPr>
        <w:snapToGrid w:val="0"/>
        <w:spacing w:line="460" w:lineRule="exact"/>
        <w:ind w:firstLine="480" w:firstLineChars="200"/>
        <w:rPr>
          <w:rFonts w:ascii="宋体" w:hAnsi="宋体"/>
          <w:sz w:val="24"/>
        </w:rPr>
      </w:pPr>
      <w:r>
        <w:rPr>
          <w:rFonts w:hint="eastAsia" w:ascii="宋体" w:hAnsi="宋体"/>
          <w:sz w:val="24"/>
        </w:rPr>
        <w:t>1）</w:t>
      </w:r>
      <w:r>
        <w:rPr>
          <w:rFonts w:hint="eastAsia" w:ascii="宋体" w:hAnsi="宋体"/>
          <w:b/>
          <w:bCs/>
          <w:sz w:val="24"/>
        </w:rPr>
        <w:t>投标人因自身原因解密失败的；</w:t>
      </w:r>
    </w:p>
    <w:p>
      <w:pPr>
        <w:snapToGrid w:val="0"/>
        <w:spacing w:line="420" w:lineRule="exact"/>
        <w:ind w:firstLine="480" w:firstLineChars="200"/>
        <w:rPr>
          <w:rFonts w:ascii="宋体" w:hAnsi="宋体"/>
          <w:sz w:val="24"/>
        </w:rPr>
      </w:pPr>
      <w:r>
        <w:rPr>
          <w:rFonts w:hint="eastAsia" w:ascii="宋体" w:hAnsi="宋体"/>
          <w:sz w:val="24"/>
        </w:rPr>
        <w:t>2）</w:t>
      </w:r>
      <w:r>
        <w:rPr>
          <w:rFonts w:hint="eastAsia" w:ascii="宋体" w:hAnsi="宋体" w:cs="Arial"/>
          <w:sz w:val="24"/>
        </w:rPr>
        <w:t>投标人</w:t>
      </w:r>
      <w:r>
        <w:rPr>
          <w:rFonts w:hint="eastAsia" w:ascii="宋体" w:hAnsi="宋体"/>
          <w:sz w:val="24"/>
        </w:rPr>
        <w:t>未能提供合格的资格文件；</w:t>
      </w:r>
    </w:p>
    <w:p>
      <w:pPr>
        <w:snapToGrid w:val="0"/>
        <w:spacing w:line="420" w:lineRule="exact"/>
        <w:ind w:firstLine="480" w:firstLineChars="200"/>
        <w:rPr>
          <w:rFonts w:ascii="宋体" w:hAnsi="宋体"/>
          <w:sz w:val="24"/>
        </w:rPr>
      </w:pPr>
      <w:r>
        <w:rPr>
          <w:rFonts w:hint="eastAsia" w:ascii="宋体" w:hAnsi="宋体"/>
          <w:snapToGrid w:val="0"/>
          <w:sz w:val="24"/>
        </w:rPr>
        <w:t>3）</w:t>
      </w:r>
      <w:r>
        <w:rPr>
          <w:rFonts w:hint="eastAsia" w:ascii="宋体" w:hAnsi="宋体" w:cs="Arial"/>
          <w:sz w:val="24"/>
        </w:rPr>
        <w:t>投标人</w:t>
      </w:r>
      <w:r>
        <w:rPr>
          <w:rFonts w:hint="eastAsia" w:ascii="宋体" w:hAnsi="宋体"/>
          <w:sz w:val="24"/>
        </w:rPr>
        <w:t>应盖公章而未盖公章、未有效授权、法定代表人授权书填写不完整或有涂改的；</w:t>
      </w:r>
    </w:p>
    <w:p>
      <w:pPr>
        <w:snapToGrid w:val="0"/>
        <w:spacing w:line="420" w:lineRule="exact"/>
        <w:ind w:firstLine="480" w:firstLineChars="200"/>
        <w:rPr>
          <w:rFonts w:ascii="宋体" w:hAnsi="宋体"/>
          <w:sz w:val="24"/>
        </w:rPr>
      </w:pPr>
      <w:r>
        <w:rPr>
          <w:rFonts w:hint="eastAsia" w:ascii="宋体" w:hAnsi="宋体"/>
          <w:sz w:val="24"/>
        </w:rPr>
        <w:t>4）</w:t>
      </w:r>
      <w:r>
        <w:rPr>
          <w:rFonts w:hint="eastAsia" w:ascii="宋体" w:hAnsi="宋体" w:cs="Arial"/>
          <w:sz w:val="24"/>
        </w:rPr>
        <w:t>投标</w:t>
      </w:r>
      <w:r>
        <w:rPr>
          <w:rFonts w:hint="eastAsia" w:ascii="宋体" w:hAnsi="宋体"/>
          <w:sz w:val="24"/>
        </w:rPr>
        <w:t>文件内容虚假的；</w:t>
      </w:r>
    </w:p>
    <w:p>
      <w:pPr>
        <w:snapToGrid w:val="0"/>
        <w:spacing w:line="420" w:lineRule="exact"/>
        <w:ind w:firstLine="480" w:firstLineChars="200"/>
        <w:rPr>
          <w:rFonts w:ascii="宋体" w:hAnsi="宋体"/>
          <w:sz w:val="24"/>
        </w:rPr>
      </w:pPr>
      <w:r>
        <w:rPr>
          <w:rFonts w:hint="eastAsia" w:ascii="宋体" w:hAnsi="宋体"/>
          <w:sz w:val="24"/>
        </w:rPr>
        <w:t>5）</w:t>
      </w:r>
      <w:r>
        <w:rPr>
          <w:rFonts w:hint="eastAsia" w:ascii="宋体" w:hAnsi="宋体" w:cs="Arial"/>
          <w:sz w:val="24"/>
        </w:rPr>
        <w:t>投标</w:t>
      </w:r>
      <w:r>
        <w:rPr>
          <w:rFonts w:hint="eastAsia" w:ascii="宋体" w:hAnsi="宋体"/>
          <w:sz w:val="24"/>
        </w:rPr>
        <w:t>文件的实质性内容未使用中文表述、意思表述不明确、前后矛盾或者使用计量单位不符合采购文件要求的（经评标委员会认定允许其当场更正的笔误除外）；</w:t>
      </w:r>
    </w:p>
    <w:p>
      <w:pPr>
        <w:snapToGrid w:val="0"/>
        <w:spacing w:line="420" w:lineRule="exact"/>
        <w:ind w:firstLine="480" w:firstLineChars="200"/>
        <w:rPr>
          <w:rFonts w:ascii="宋体" w:hAnsi="宋体"/>
          <w:sz w:val="24"/>
        </w:rPr>
      </w:pPr>
      <w:r>
        <w:rPr>
          <w:rFonts w:hint="eastAsia" w:ascii="宋体" w:hAnsi="宋体"/>
          <w:sz w:val="24"/>
        </w:rPr>
        <w:t>6）</w:t>
      </w:r>
      <w:r>
        <w:rPr>
          <w:rFonts w:hint="eastAsia" w:ascii="宋体" w:hAnsi="宋体" w:cs="Arial"/>
          <w:sz w:val="24"/>
        </w:rPr>
        <w:t>投标</w:t>
      </w:r>
      <w:r>
        <w:rPr>
          <w:rFonts w:hint="eastAsia" w:ascii="宋体" w:hAnsi="宋体"/>
          <w:sz w:val="24"/>
        </w:rPr>
        <w:t>文件的关键内容字迹模糊、无法辨认的,或者</w:t>
      </w:r>
      <w:r>
        <w:rPr>
          <w:rFonts w:hint="eastAsia" w:ascii="宋体" w:hAnsi="宋体" w:cs="Arial"/>
          <w:sz w:val="24"/>
        </w:rPr>
        <w:t>投标</w:t>
      </w:r>
      <w:r>
        <w:rPr>
          <w:rFonts w:hint="eastAsia" w:ascii="宋体" w:hAnsi="宋体"/>
          <w:sz w:val="24"/>
        </w:rPr>
        <w:t>文件中经修正的内容字迹模糊难以辩认或者修改处未按规定签名盖章的；</w:t>
      </w:r>
    </w:p>
    <w:p>
      <w:pPr>
        <w:snapToGrid w:val="0"/>
        <w:spacing w:line="420" w:lineRule="exact"/>
        <w:ind w:firstLine="480" w:firstLineChars="200"/>
        <w:rPr>
          <w:rFonts w:ascii="宋体" w:hAnsi="宋体"/>
          <w:sz w:val="24"/>
        </w:rPr>
      </w:pPr>
      <w:r>
        <w:rPr>
          <w:rFonts w:hint="eastAsia" w:ascii="宋体" w:hAnsi="宋体"/>
          <w:sz w:val="24"/>
        </w:rPr>
        <w:t>7）</w:t>
      </w:r>
      <w:r>
        <w:rPr>
          <w:rFonts w:hint="eastAsia" w:ascii="宋体" w:hAnsi="宋体" w:cs="Arial"/>
          <w:sz w:val="24"/>
        </w:rPr>
        <w:t>投标</w:t>
      </w:r>
      <w:r>
        <w:rPr>
          <w:rFonts w:hint="eastAsia" w:ascii="宋体" w:hAnsi="宋体"/>
          <w:sz w:val="24"/>
        </w:rPr>
        <w:t>有效期、交货期、质保期等不能满足采购文件实质性要求的；</w:t>
      </w:r>
    </w:p>
    <w:p>
      <w:pPr>
        <w:snapToGrid w:val="0"/>
        <w:spacing w:line="420" w:lineRule="exact"/>
        <w:ind w:firstLine="480" w:firstLineChars="200"/>
        <w:rPr>
          <w:rFonts w:ascii="宋体" w:hAnsi="宋体"/>
          <w:sz w:val="24"/>
        </w:rPr>
      </w:pPr>
      <w:r>
        <w:rPr>
          <w:rFonts w:hint="eastAsia" w:ascii="宋体" w:hAnsi="宋体"/>
          <w:sz w:val="24"/>
        </w:rPr>
        <w:t>8）</w:t>
      </w:r>
      <w:r>
        <w:rPr>
          <w:rFonts w:hint="eastAsia" w:ascii="宋体" w:hAnsi="宋体" w:cs="Arial"/>
          <w:sz w:val="24"/>
        </w:rPr>
        <w:t>投标人</w:t>
      </w:r>
      <w:r>
        <w:rPr>
          <w:rFonts w:hint="eastAsia" w:ascii="宋体" w:hAnsi="宋体"/>
          <w:sz w:val="24"/>
        </w:rPr>
        <w:t>拒绝按采购文件修正原则对</w:t>
      </w:r>
      <w:r>
        <w:rPr>
          <w:rFonts w:hint="eastAsia" w:ascii="宋体" w:hAnsi="宋体" w:cs="Arial"/>
          <w:sz w:val="24"/>
        </w:rPr>
        <w:t>投标</w:t>
      </w:r>
      <w:r>
        <w:rPr>
          <w:rFonts w:hint="eastAsia" w:ascii="宋体" w:hAnsi="宋体"/>
          <w:sz w:val="24"/>
        </w:rPr>
        <w:t>文件进行修正的；</w:t>
      </w:r>
    </w:p>
    <w:p>
      <w:pPr>
        <w:snapToGrid w:val="0"/>
        <w:spacing w:line="420" w:lineRule="exact"/>
        <w:ind w:firstLine="480" w:firstLineChars="200"/>
        <w:rPr>
          <w:rFonts w:ascii="宋体" w:hAnsi="宋体"/>
          <w:sz w:val="24"/>
        </w:rPr>
      </w:pPr>
      <w:r>
        <w:rPr>
          <w:rFonts w:hint="eastAsia" w:ascii="宋体" w:hAnsi="宋体"/>
          <w:sz w:val="24"/>
        </w:rPr>
        <w:t>9）不符合法律、法规和本采购文件规定的其他实质性要求的。</w:t>
      </w:r>
    </w:p>
    <w:p>
      <w:pPr>
        <w:snapToGrid w:val="0"/>
        <w:spacing w:line="420" w:lineRule="exact"/>
        <w:ind w:left="720" w:leftChars="228" w:hanging="241" w:hangingChars="100"/>
        <w:rPr>
          <w:rFonts w:ascii="宋体" w:hAnsi="宋体"/>
          <w:b/>
          <w:sz w:val="24"/>
        </w:rPr>
      </w:pPr>
      <w:r>
        <w:rPr>
          <w:rFonts w:hint="eastAsia" w:ascii="宋体" w:hAnsi="宋体"/>
          <w:b/>
          <w:sz w:val="24"/>
        </w:rPr>
        <w:t>2、在技术评议时，如发现下列情形之一的，</w:t>
      </w:r>
      <w:r>
        <w:rPr>
          <w:rFonts w:hint="eastAsia" w:ascii="宋体" w:hAnsi="宋体" w:cs="Arial"/>
          <w:b/>
          <w:sz w:val="24"/>
        </w:rPr>
        <w:t>投标</w:t>
      </w:r>
      <w:r>
        <w:rPr>
          <w:rFonts w:hint="eastAsia" w:ascii="宋体" w:hAnsi="宋体"/>
          <w:b/>
          <w:sz w:val="24"/>
        </w:rPr>
        <w:t>文件将被视为无效：</w:t>
      </w:r>
    </w:p>
    <w:p>
      <w:pPr>
        <w:snapToGrid w:val="0"/>
        <w:spacing w:line="420" w:lineRule="exact"/>
        <w:ind w:left="719" w:leftChars="228" w:hanging="240" w:hangingChars="100"/>
        <w:rPr>
          <w:rFonts w:ascii="宋体" w:hAnsi="宋体"/>
          <w:sz w:val="24"/>
        </w:rPr>
      </w:pPr>
      <w:r>
        <w:rPr>
          <w:rFonts w:hint="eastAsia" w:ascii="宋体" w:hAnsi="宋体"/>
          <w:sz w:val="24"/>
        </w:rPr>
        <w:t>1）明显不符合采购文件中规定的采购需求的响应方案；</w:t>
      </w:r>
    </w:p>
    <w:p>
      <w:pPr>
        <w:snapToGrid w:val="0"/>
        <w:spacing w:line="420" w:lineRule="exact"/>
        <w:ind w:firstLine="480" w:firstLineChars="200"/>
        <w:rPr>
          <w:rFonts w:ascii="宋体" w:hAnsi="宋体"/>
          <w:sz w:val="24"/>
        </w:rPr>
      </w:pPr>
      <w:r>
        <w:rPr>
          <w:rFonts w:hint="eastAsia" w:ascii="宋体" w:hAnsi="宋体"/>
          <w:sz w:val="24"/>
        </w:rPr>
        <w:t>2）与采购文件有重大偏离的</w:t>
      </w:r>
      <w:r>
        <w:rPr>
          <w:rFonts w:hint="eastAsia" w:ascii="宋体" w:hAnsi="宋体" w:cs="Arial"/>
          <w:sz w:val="24"/>
        </w:rPr>
        <w:t>响应</w:t>
      </w:r>
      <w:r>
        <w:rPr>
          <w:rFonts w:hint="eastAsia" w:ascii="宋体" w:hAnsi="宋体"/>
          <w:sz w:val="24"/>
        </w:rPr>
        <w:t>文件；</w:t>
      </w:r>
      <w:bookmarkStart w:id="17" w:name="_GoBack"/>
      <w:bookmarkEnd w:id="17"/>
    </w:p>
    <w:p>
      <w:pPr>
        <w:snapToGrid w:val="0"/>
        <w:spacing w:line="420" w:lineRule="exact"/>
        <w:ind w:left="719" w:leftChars="228" w:hanging="240" w:hangingChars="100"/>
        <w:jc w:val="left"/>
        <w:rPr>
          <w:rFonts w:ascii="宋体" w:hAnsi="宋体"/>
          <w:sz w:val="24"/>
        </w:rPr>
      </w:pPr>
      <w:r>
        <w:rPr>
          <w:rFonts w:hint="eastAsia" w:ascii="宋体" w:hAnsi="宋体"/>
          <w:sz w:val="24"/>
        </w:rPr>
        <w:t>3）不响应或者擅自改变采购文件实质性要求或者</w:t>
      </w:r>
      <w:r>
        <w:rPr>
          <w:rFonts w:hint="eastAsia" w:ascii="宋体" w:hAnsi="宋体" w:cs="Arial"/>
          <w:sz w:val="24"/>
        </w:rPr>
        <w:t>投标</w:t>
      </w:r>
      <w:r>
        <w:rPr>
          <w:rFonts w:hint="eastAsia" w:ascii="宋体" w:hAnsi="宋体"/>
          <w:sz w:val="24"/>
        </w:rPr>
        <w:t>文件有采购人不能接受的附加条件的；</w:t>
      </w:r>
    </w:p>
    <w:p>
      <w:pPr>
        <w:snapToGrid w:val="0"/>
        <w:spacing w:line="420" w:lineRule="exact"/>
        <w:ind w:left="719" w:leftChars="228" w:hanging="240" w:hangingChars="100"/>
        <w:rPr>
          <w:rFonts w:ascii="宋体" w:hAnsi="宋体"/>
          <w:sz w:val="24"/>
        </w:rPr>
      </w:pPr>
      <w:r>
        <w:rPr>
          <w:rFonts w:hint="eastAsia" w:ascii="宋体" w:hAnsi="宋体"/>
          <w:sz w:val="24"/>
        </w:rPr>
        <w:t>4）</w:t>
      </w:r>
      <w:r>
        <w:rPr>
          <w:rFonts w:hint="eastAsia" w:ascii="宋体" w:hAnsi="宋体" w:cs="Arial"/>
          <w:sz w:val="24"/>
        </w:rPr>
        <w:t>投标人</w:t>
      </w:r>
      <w:r>
        <w:rPr>
          <w:rFonts w:hint="eastAsia" w:ascii="宋体" w:hAnsi="宋体"/>
          <w:sz w:val="24"/>
        </w:rPr>
        <w:t>技术方案不明确，存在一个或一个以上备选（替代）方案的；</w:t>
      </w:r>
    </w:p>
    <w:p>
      <w:pPr>
        <w:snapToGrid w:val="0"/>
        <w:spacing w:line="420" w:lineRule="exact"/>
        <w:ind w:left="719" w:leftChars="228" w:hanging="240" w:hangingChars="100"/>
        <w:rPr>
          <w:rFonts w:ascii="宋体" w:hAnsi="宋体"/>
          <w:sz w:val="24"/>
        </w:rPr>
      </w:pPr>
      <w:r>
        <w:rPr>
          <w:rFonts w:hint="eastAsia" w:ascii="宋体" w:hAnsi="宋体"/>
          <w:sz w:val="24"/>
        </w:rPr>
        <w:t>5）资信及商务文件、技术文件中出现投标报价信息的。</w:t>
      </w:r>
    </w:p>
    <w:p>
      <w:pPr>
        <w:adjustRightInd w:val="0"/>
        <w:snapToGrid w:val="0"/>
        <w:spacing w:line="400" w:lineRule="exact"/>
        <w:rPr>
          <w:rFonts w:ascii="宋体" w:hAnsi="宋体"/>
          <w:b/>
          <w:sz w:val="24"/>
        </w:rPr>
      </w:pPr>
      <w:r>
        <w:rPr>
          <w:rFonts w:hint="eastAsia" w:ascii="宋体" w:hAnsi="宋体"/>
          <w:b/>
          <w:sz w:val="24"/>
        </w:rPr>
        <w:t xml:space="preserve">  ▲公开招标：先公布无效投标的投标人名单、投标无效的原因及有效投标的评分结果，再开报价文件。如投标有效供应商不足三家，经评标委员会确定为废标。</w:t>
      </w:r>
    </w:p>
    <w:p>
      <w:pPr>
        <w:adjustRightInd w:val="0"/>
        <w:snapToGrid w:val="0"/>
        <w:spacing w:line="400" w:lineRule="exact"/>
        <w:ind w:firstLine="472" w:firstLineChars="196"/>
        <w:rPr>
          <w:rFonts w:ascii="宋体" w:hAnsi="宋体"/>
          <w:b/>
          <w:sz w:val="24"/>
        </w:rPr>
      </w:pPr>
      <w:r>
        <w:rPr>
          <w:rFonts w:hint="eastAsia" w:ascii="宋体" w:hAnsi="宋体"/>
          <w:b/>
          <w:sz w:val="24"/>
        </w:rPr>
        <w:t>3、报价计算</w:t>
      </w:r>
    </w:p>
    <w:p>
      <w:pPr>
        <w:snapToGrid w:val="0"/>
        <w:spacing w:line="420" w:lineRule="exact"/>
        <w:ind w:firstLine="480" w:firstLineChars="200"/>
        <w:rPr>
          <w:rFonts w:ascii="宋体" w:hAnsi="宋体"/>
          <w:sz w:val="24"/>
        </w:rPr>
      </w:pPr>
      <w:r>
        <w:rPr>
          <w:rFonts w:hint="eastAsia" w:ascii="宋体" w:hAnsi="宋体"/>
          <w:sz w:val="24"/>
        </w:rPr>
        <w:t>1）全部报价中，超过项目上限价的报价无效。</w:t>
      </w:r>
    </w:p>
    <w:p>
      <w:pPr>
        <w:snapToGrid w:val="0"/>
        <w:spacing w:line="420" w:lineRule="exact"/>
        <w:ind w:firstLine="480" w:firstLineChars="200"/>
        <w:rPr>
          <w:rFonts w:ascii="宋体" w:hAnsi="宋体"/>
          <w:sz w:val="24"/>
        </w:rPr>
      </w:pPr>
      <w:r>
        <w:rPr>
          <w:rFonts w:hint="eastAsia" w:ascii="宋体" w:hAnsi="宋体"/>
          <w:sz w:val="24"/>
        </w:rPr>
        <w:t>2）以全部有效报价的最低价作为评标基准价，其最低报价为满分；各投标方的投标报价分统一按照[投标报价得分=（评标基准价/投标报价）*价格权值*100]的计算公式计算。</w:t>
      </w:r>
    </w:p>
    <w:p>
      <w:pPr>
        <w:snapToGrid w:val="0"/>
        <w:spacing w:line="420" w:lineRule="exact"/>
        <w:ind w:firstLine="480" w:firstLineChars="200"/>
        <w:rPr>
          <w:rFonts w:ascii="宋体" w:hAnsi="宋体"/>
          <w:sz w:val="24"/>
        </w:rPr>
      </w:pPr>
      <w:r>
        <w:rPr>
          <w:rFonts w:hint="eastAsia" w:ascii="宋体" w:hAnsi="宋体"/>
          <w:sz w:val="24"/>
        </w:rPr>
        <w:t>3）如得分相同，投标报价低者为中标供应商；如得分且投标报价相联同的，技术性能得分高者为中标供应商。</w:t>
      </w:r>
    </w:p>
    <w:p>
      <w:pPr>
        <w:snapToGrid w:val="0"/>
        <w:spacing w:line="420" w:lineRule="exact"/>
        <w:ind w:firstLine="480" w:firstLineChars="200"/>
        <w:rPr>
          <w:rFonts w:ascii="宋体" w:hAnsi="宋体"/>
          <w:sz w:val="24"/>
        </w:rPr>
      </w:pPr>
      <w:r>
        <w:rPr>
          <w:rFonts w:hint="eastAsia" w:ascii="宋体" w:hAnsi="宋体"/>
          <w:sz w:val="24"/>
        </w:rPr>
        <w:t>4）报价包括所选设备材料制造、运输、安装、土建、调试、税金及保修期间的维修等费用。</w:t>
      </w:r>
    </w:p>
    <w:p>
      <w:pPr>
        <w:snapToGrid w:val="0"/>
        <w:spacing w:line="400" w:lineRule="exact"/>
        <w:ind w:firstLine="482" w:firstLineChars="200"/>
        <w:outlineLvl w:val="2"/>
        <w:rPr>
          <w:rFonts w:ascii="宋体" w:hAnsi="宋体"/>
          <w:b/>
          <w:sz w:val="24"/>
        </w:rPr>
      </w:pPr>
      <w:r>
        <w:rPr>
          <w:rFonts w:hint="eastAsia" w:ascii="宋体" w:hAnsi="宋体"/>
          <w:b/>
          <w:sz w:val="24"/>
        </w:rPr>
        <w:t>4、错误修正</w:t>
      </w:r>
    </w:p>
    <w:p>
      <w:pPr>
        <w:snapToGrid w:val="0"/>
        <w:spacing w:line="400" w:lineRule="exact"/>
        <w:ind w:left="719" w:leftChars="228" w:hanging="240" w:hangingChars="100"/>
        <w:rPr>
          <w:rFonts w:ascii="宋体" w:hAnsi="宋体"/>
          <w:sz w:val="24"/>
        </w:rPr>
      </w:pPr>
      <w:r>
        <w:rPr>
          <w:rFonts w:hint="eastAsia" w:ascii="宋体" w:hAnsi="宋体" w:cs="Arial"/>
          <w:sz w:val="24"/>
        </w:rPr>
        <w:t>报价</w:t>
      </w:r>
      <w:r>
        <w:rPr>
          <w:rFonts w:hint="eastAsia" w:ascii="宋体" w:hAnsi="宋体"/>
          <w:sz w:val="24"/>
        </w:rPr>
        <w:t>文件如果出现计算或表达上的错误，修正错误的原则如下：</w:t>
      </w:r>
    </w:p>
    <w:p>
      <w:pPr>
        <w:snapToGrid w:val="0"/>
        <w:spacing w:line="400" w:lineRule="exact"/>
        <w:ind w:firstLine="480" w:firstLineChars="200"/>
        <w:rPr>
          <w:rFonts w:ascii="宋体" w:hAnsi="宋体" w:cs="Arial"/>
          <w:kern w:val="0"/>
          <w:sz w:val="24"/>
        </w:rPr>
      </w:pPr>
      <w:r>
        <w:rPr>
          <w:rFonts w:hint="eastAsia" w:ascii="宋体" w:hAnsi="宋体"/>
          <w:sz w:val="24"/>
        </w:rPr>
        <w:t>1.报价一览表总价与报价明细表汇总数不一致的，</w:t>
      </w:r>
      <w:r>
        <w:rPr>
          <w:rFonts w:hint="eastAsia" w:ascii="宋体" w:hAnsi="宋体" w:cs="Arial"/>
          <w:kern w:val="0"/>
          <w:sz w:val="24"/>
        </w:rPr>
        <w:t>以开标一览表为准；</w:t>
      </w:r>
    </w:p>
    <w:p>
      <w:pPr>
        <w:snapToGrid w:val="0"/>
        <w:spacing w:line="400" w:lineRule="exact"/>
        <w:ind w:firstLine="480" w:firstLineChars="200"/>
        <w:rPr>
          <w:rFonts w:ascii="宋体" w:hAnsi="宋体"/>
          <w:sz w:val="24"/>
        </w:rPr>
      </w:pPr>
      <w:r>
        <w:rPr>
          <w:rFonts w:hint="eastAsia" w:ascii="宋体" w:hAnsi="宋体"/>
          <w:sz w:val="24"/>
        </w:rPr>
        <w:t>2.大写金额和小写金额不一致的，以大写金额为准；</w:t>
      </w:r>
    </w:p>
    <w:p>
      <w:pPr>
        <w:snapToGrid w:val="0"/>
        <w:spacing w:line="400" w:lineRule="exact"/>
        <w:ind w:firstLine="480" w:firstLineChars="200"/>
        <w:rPr>
          <w:rFonts w:ascii="宋体" w:hAnsi="宋体"/>
          <w:sz w:val="24"/>
        </w:rPr>
      </w:pPr>
      <w:r>
        <w:rPr>
          <w:rFonts w:hint="eastAsia" w:ascii="宋体" w:hAnsi="宋体"/>
          <w:sz w:val="24"/>
        </w:rPr>
        <w:t>3.总价金额与单价汇总金额不一致的，以单价金额计算结果为准；</w:t>
      </w:r>
    </w:p>
    <w:p>
      <w:pPr>
        <w:snapToGrid w:val="0"/>
        <w:spacing w:line="400" w:lineRule="exact"/>
        <w:ind w:firstLine="480" w:firstLineChars="200"/>
        <w:rPr>
          <w:rFonts w:ascii="宋体" w:hAnsi="宋体"/>
          <w:sz w:val="24"/>
        </w:rPr>
      </w:pPr>
      <w:r>
        <w:rPr>
          <w:rFonts w:hint="eastAsia" w:ascii="宋体" w:hAnsi="宋体"/>
          <w:sz w:val="24"/>
        </w:rPr>
        <w:t>4.对不同文字文本</w:t>
      </w:r>
      <w:r>
        <w:rPr>
          <w:rFonts w:hint="eastAsia" w:ascii="宋体" w:hAnsi="宋体" w:cs="Arial"/>
          <w:sz w:val="24"/>
        </w:rPr>
        <w:t>投标</w:t>
      </w:r>
      <w:r>
        <w:rPr>
          <w:rFonts w:hint="eastAsia" w:ascii="宋体" w:hAnsi="宋体"/>
          <w:sz w:val="24"/>
        </w:rPr>
        <w:t>文件的解释发生异议的，以中文正本为准。</w:t>
      </w:r>
    </w:p>
    <w:p>
      <w:pPr>
        <w:snapToGrid w:val="0"/>
        <w:spacing w:line="400" w:lineRule="exact"/>
        <w:ind w:firstLine="480" w:firstLineChars="200"/>
        <w:rPr>
          <w:rFonts w:ascii="宋体" w:hAnsi="宋体"/>
          <w:bCs/>
          <w:sz w:val="24"/>
        </w:rPr>
      </w:pPr>
      <w:r>
        <w:rPr>
          <w:rFonts w:hint="eastAsia" w:ascii="宋体" w:hAnsi="宋体"/>
          <w:bCs/>
          <w:sz w:val="24"/>
        </w:rPr>
        <w:t>按上述修正错误的原则及方法调整或修正</w:t>
      </w:r>
      <w:r>
        <w:rPr>
          <w:rFonts w:hint="eastAsia" w:ascii="宋体" w:hAnsi="宋体" w:cs="Arial"/>
          <w:sz w:val="24"/>
        </w:rPr>
        <w:t>投标</w:t>
      </w:r>
      <w:r>
        <w:rPr>
          <w:rFonts w:hint="eastAsia" w:ascii="宋体" w:hAnsi="宋体"/>
          <w:sz w:val="24"/>
        </w:rPr>
        <w:t>文件</w:t>
      </w:r>
      <w:r>
        <w:rPr>
          <w:rFonts w:hint="eastAsia" w:ascii="宋体" w:hAnsi="宋体"/>
          <w:bCs/>
          <w:sz w:val="24"/>
        </w:rPr>
        <w:t>的报价，</w:t>
      </w:r>
      <w:r>
        <w:rPr>
          <w:rFonts w:hint="eastAsia" w:ascii="宋体" w:hAnsi="宋体" w:cs="Arial"/>
          <w:sz w:val="24"/>
        </w:rPr>
        <w:t>投标</w:t>
      </w:r>
      <w:r>
        <w:rPr>
          <w:rFonts w:hint="eastAsia" w:ascii="宋体" w:hAnsi="宋体"/>
          <w:sz w:val="24"/>
        </w:rPr>
        <w:t>人</w:t>
      </w:r>
      <w:r>
        <w:rPr>
          <w:rFonts w:hint="eastAsia" w:ascii="宋体" w:hAnsi="宋体"/>
          <w:bCs/>
          <w:sz w:val="24"/>
        </w:rPr>
        <w:t>同意并签字确认后，调整后的报价对</w:t>
      </w:r>
      <w:r>
        <w:rPr>
          <w:rFonts w:hint="eastAsia" w:ascii="宋体" w:hAnsi="宋体" w:cs="Arial"/>
          <w:sz w:val="24"/>
        </w:rPr>
        <w:t>投标</w:t>
      </w:r>
      <w:r>
        <w:rPr>
          <w:rFonts w:hint="eastAsia" w:ascii="宋体" w:hAnsi="宋体"/>
          <w:sz w:val="24"/>
        </w:rPr>
        <w:t>人</w:t>
      </w:r>
      <w:r>
        <w:rPr>
          <w:rFonts w:hint="eastAsia" w:ascii="宋体" w:hAnsi="宋体"/>
          <w:bCs/>
          <w:sz w:val="24"/>
        </w:rPr>
        <w:t>具有约束作用。如果</w:t>
      </w:r>
      <w:r>
        <w:rPr>
          <w:rFonts w:hint="eastAsia" w:ascii="宋体" w:hAnsi="宋体" w:cs="Arial"/>
          <w:sz w:val="24"/>
        </w:rPr>
        <w:t>投标</w:t>
      </w:r>
      <w:r>
        <w:rPr>
          <w:rFonts w:hint="eastAsia" w:ascii="宋体" w:hAnsi="宋体"/>
          <w:sz w:val="24"/>
        </w:rPr>
        <w:t>人</w:t>
      </w:r>
      <w:r>
        <w:rPr>
          <w:rFonts w:hint="eastAsia" w:ascii="宋体" w:hAnsi="宋体"/>
          <w:bCs/>
          <w:sz w:val="24"/>
        </w:rPr>
        <w:t>不接受修正后的报价，则其投标将作为无效处理。</w:t>
      </w:r>
    </w:p>
    <w:p>
      <w:pPr>
        <w:snapToGrid w:val="0"/>
        <w:spacing w:line="400" w:lineRule="exact"/>
        <w:ind w:left="720" w:leftChars="228" w:hanging="241" w:hangingChars="100"/>
        <w:rPr>
          <w:rFonts w:ascii="宋体" w:hAnsi="宋体"/>
          <w:b/>
          <w:sz w:val="24"/>
        </w:rPr>
      </w:pPr>
      <w:r>
        <w:rPr>
          <w:rFonts w:hint="eastAsia" w:ascii="宋体" w:hAnsi="宋体"/>
          <w:b/>
          <w:sz w:val="24"/>
        </w:rPr>
        <w:t>5、在报价评议时，如发现下列情形之一的，</w:t>
      </w:r>
      <w:r>
        <w:rPr>
          <w:rFonts w:hint="eastAsia" w:ascii="宋体" w:hAnsi="宋体" w:cs="Arial"/>
          <w:b/>
          <w:sz w:val="24"/>
        </w:rPr>
        <w:t>投标</w:t>
      </w:r>
      <w:r>
        <w:rPr>
          <w:rFonts w:hint="eastAsia" w:ascii="宋体" w:hAnsi="宋体"/>
          <w:b/>
          <w:sz w:val="24"/>
        </w:rPr>
        <w:t>文件将被视为无效：</w:t>
      </w:r>
    </w:p>
    <w:p>
      <w:pPr>
        <w:snapToGrid w:val="0"/>
        <w:spacing w:line="400" w:lineRule="exact"/>
        <w:ind w:left="719" w:leftChars="228" w:hanging="240" w:hangingChars="100"/>
        <w:rPr>
          <w:rFonts w:ascii="宋体" w:hAnsi="宋体"/>
          <w:sz w:val="24"/>
        </w:rPr>
      </w:pPr>
      <w:r>
        <w:rPr>
          <w:rFonts w:hint="eastAsia" w:ascii="宋体" w:hAnsi="宋体"/>
          <w:sz w:val="24"/>
        </w:rPr>
        <w:t>1）以赠送方式的报价；</w:t>
      </w:r>
    </w:p>
    <w:p>
      <w:pPr>
        <w:snapToGrid w:val="0"/>
        <w:spacing w:line="400" w:lineRule="exact"/>
        <w:ind w:left="719" w:leftChars="228" w:hanging="240" w:hangingChars="100"/>
        <w:rPr>
          <w:rFonts w:ascii="宋体" w:hAnsi="宋体"/>
          <w:sz w:val="24"/>
        </w:rPr>
      </w:pPr>
      <w:r>
        <w:rPr>
          <w:rFonts w:hint="eastAsia" w:ascii="宋体" w:hAnsi="宋体"/>
          <w:sz w:val="24"/>
        </w:rPr>
        <w:t>2）投标报价超出上限价的；</w:t>
      </w:r>
    </w:p>
    <w:p>
      <w:pPr>
        <w:pStyle w:val="9"/>
        <w:snapToGrid w:val="0"/>
        <w:spacing w:beforeLines="0" w:afterLines="0"/>
        <w:ind w:firstLine="480" w:firstLineChars="200"/>
        <w:rPr>
          <w:rFonts w:hAnsi="宋体"/>
        </w:rPr>
      </w:pPr>
      <w:r>
        <w:rPr>
          <w:rFonts w:hint="eastAsia" w:hAnsi="宋体"/>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line="400" w:lineRule="exact"/>
        <w:ind w:firstLine="482" w:firstLineChars="200"/>
        <w:rPr>
          <w:rFonts w:ascii="宋体" w:hAnsi="宋体"/>
          <w:bCs/>
          <w:sz w:val="24"/>
        </w:rPr>
      </w:pPr>
      <w:r>
        <w:rPr>
          <w:rFonts w:hint="eastAsia" w:ascii="宋体" w:hAnsi="宋体"/>
          <w:b/>
          <w:sz w:val="24"/>
        </w:rPr>
        <w:t>6、不符合法律、法规和本采购文件规定的其他实质性要求的（</w:t>
      </w:r>
      <w:r>
        <w:rPr>
          <w:rFonts w:hint="eastAsia" w:ascii="宋体" w:hAnsi="宋体"/>
          <w:bCs/>
          <w:sz w:val="24"/>
        </w:rPr>
        <w:t>实质上没有响应投标文件要求的投标将被视为无效，但经评标委员会认定属于投标人疏忽、笔误所造成的差错，应当允许其在开标结束之前进行修改或者补正</w:t>
      </w:r>
      <w:r>
        <w:rPr>
          <w:rFonts w:hint="eastAsia" w:ascii="宋体" w:hAnsi="宋体"/>
          <w:b/>
          <w:sz w:val="24"/>
        </w:rPr>
        <w:t>）</w:t>
      </w:r>
      <w:r>
        <w:rPr>
          <w:rFonts w:hint="eastAsia" w:ascii="宋体" w:hAnsi="宋体"/>
          <w:bCs/>
          <w:sz w:val="24"/>
        </w:rPr>
        <w:t>。</w:t>
      </w:r>
    </w:p>
    <w:p>
      <w:pPr>
        <w:adjustRightInd w:val="0"/>
        <w:snapToGrid w:val="0"/>
        <w:spacing w:line="400" w:lineRule="exact"/>
        <w:ind w:firstLine="482" w:firstLineChars="200"/>
        <w:rPr>
          <w:rFonts w:ascii="宋体" w:hAnsi="宋体"/>
          <w:b/>
          <w:sz w:val="24"/>
        </w:rPr>
      </w:pPr>
      <w:bookmarkStart w:id="5" w:name="_Toc91899903"/>
      <w:r>
        <w:rPr>
          <w:rFonts w:hint="eastAsia" w:ascii="宋体" w:hAnsi="宋体"/>
          <w:b/>
          <w:sz w:val="24"/>
        </w:rPr>
        <w:t>第七条  开标内容的保密</w:t>
      </w:r>
    </w:p>
    <w:p>
      <w:pPr>
        <w:adjustRightInd w:val="0"/>
        <w:snapToGrid w:val="0"/>
        <w:spacing w:line="400" w:lineRule="exact"/>
        <w:ind w:firstLine="480" w:firstLineChars="200"/>
        <w:rPr>
          <w:rFonts w:ascii="宋体" w:hAnsi="宋体"/>
          <w:sz w:val="24"/>
        </w:rPr>
      </w:pPr>
      <w:r>
        <w:rPr>
          <w:rFonts w:hint="eastAsia" w:ascii="宋体" w:hAnsi="宋体"/>
          <w:sz w:val="24"/>
        </w:rPr>
        <w:t>1）开标开始后，直到宣布成交结果止，凡属于审查、澄清、评价和比较的所有资料，都不应向</w:t>
      </w:r>
      <w:r>
        <w:rPr>
          <w:rFonts w:hint="eastAsia" w:ascii="宋体" w:hAnsi="宋体"/>
          <w:bCs/>
          <w:sz w:val="24"/>
        </w:rPr>
        <w:t>投标人</w:t>
      </w:r>
      <w:r>
        <w:rPr>
          <w:rFonts w:hint="eastAsia" w:ascii="宋体" w:hAnsi="宋体"/>
          <w:sz w:val="24"/>
        </w:rPr>
        <w:t>或与开标无关的其他人泄露。</w:t>
      </w:r>
    </w:p>
    <w:p>
      <w:pPr>
        <w:adjustRightInd w:val="0"/>
        <w:snapToGrid w:val="0"/>
        <w:spacing w:line="400" w:lineRule="exact"/>
        <w:ind w:firstLine="480" w:firstLineChars="200"/>
        <w:rPr>
          <w:rFonts w:ascii="宋体" w:hAnsi="宋体"/>
          <w:sz w:val="24"/>
        </w:rPr>
      </w:pPr>
      <w:r>
        <w:rPr>
          <w:rFonts w:hint="eastAsia" w:ascii="宋体" w:hAnsi="宋体"/>
          <w:sz w:val="24"/>
        </w:rPr>
        <w:t>2）在</w:t>
      </w:r>
      <w:r>
        <w:rPr>
          <w:rFonts w:hint="eastAsia" w:ascii="宋体" w:hAnsi="宋体"/>
          <w:bCs/>
          <w:sz w:val="24"/>
        </w:rPr>
        <w:t>投标</w:t>
      </w:r>
      <w:r>
        <w:rPr>
          <w:rFonts w:hint="eastAsia" w:ascii="宋体" w:hAnsi="宋体"/>
          <w:sz w:val="24"/>
        </w:rPr>
        <w:t>文件的审查、澄清、评价和比较以及确定成交供应商过程中，</w:t>
      </w:r>
      <w:r>
        <w:rPr>
          <w:rFonts w:hint="eastAsia" w:ascii="宋体" w:hAnsi="宋体"/>
          <w:bCs/>
          <w:sz w:val="24"/>
        </w:rPr>
        <w:t>投标人</w:t>
      </w:r>
      <w:r>
        <w:rPr>
          <w:rFonts w:hint="eastAsia" w:ascii="宋体" w:hAnsi="宋体"/>
          <w:sz w:val="24"/>
        </w:rPr>
        <w:t>对采购机构和评审小组施加影响的任何行为，都将导致取消资格。</w:t>
      </w:r>
    </w:p>
    <w:p>
      <w:pPr>
        <w:adjustRightInd w:val="0"/>
        <w:snapToGrid w:val="0"/>
        <w:spacing w:line="400" w:lineRule="exact"/>
        <w:ind w:firstLine="482" w:firstLineChars="200"/>
        <w:rPr>
          <w:rFonts w:ascii="宋体" w:hAnsi="宋体"/>
          <w:b/>
          <w:sz w:val="24"/>
        </w:rPr>
      </w:pPr>
      <w:r>
        <w:rPr>
          <w:rFonts w:hint="eastAsia" w:ascii="宋体" w:hAnsi="宋体"/>
          <w:b/>
          <w:sz w:val="24"/>
        </w:rPr>
        <w:t xml:space="preserve">第八条  </w:t>
      </w:r>
      <w:r>
        <w:rPr>
          <w:rFonts w:hint="eastAsia" w:ascii="宋体" w:hAnsi="宋体"/>
          <w:b/>
          <w:bCs/>
          <w:sz w:val="24"/>
        </w:rPr>
        <w:t>投标</w:t>
      </w:r>
      <w:r>
        <w:rPr>
          <w:rFonts w:hint="eastAsia" w:ascii="宋体" w:hAnsi="宋体"/>
          <w:b/>
          <w:sz w:val="24"/>
        </w:rPr>
        <w:t>文件的澄清</w:t>
      </w:r>
    </w:p>
    <w:p>
      <w:pPr>
        <w:adjustRightInd w:val="0"/>
        <w:snapToGrid w:val="0"/>
        <w:spacing w:line="400" w:lineRule="exact"/>
        <w:ind w:firstLine="480" w:firstLineChars="200"/>
        <w:rPr>
          <w:rFonts w:ascii="宋体" w:hAnsi="宋体"/>
          <w:sz w:val="24"/>
        </w:rPr>
      </w:pPr>
      <w:r>
        <w:rPr>
          <w:rFonts w:hint="eastAsia" w:ascii="宋体" w:hAnsi="宋体"/>
          <w:sz w:val="24"/>
        </w:rPr>
        <w:t>对</w:t>
      </w:r>
      <w:r>
        <w:rPr>
          <w:rFonts w:hint="eastAsia" w:ascii="宋体" w:hAnsi="宋体"/>
          <w:bCs/>
          <w:sz w:val="24"/>
        </w:rPr>
        <w:t>投标</w:t>
      </w:r>
      <w:r>
        <w:rPr>
          <w:rFonts w:hint="eastAsia" w:ascii="宋体" w:hAnsi="宋体"/>
          <w:sz w:val="24"/>
        </w:rPr>
        <w:t>文件中含义不明、表述不一致或有明显计算错误等内容，评审小组将对</w:t>
      </w:r>
      <w:r>
        <w:rPr>
          <w:rFonts w:hint="eastAsia" w:ascii="宋体" w:hAnsi="宋体"/>
          <w:bCs/>
          <w:sz w:val="24"/>
        </w:rPr>
        <w:t>投标人</w:t>
      </w:r>
      <w:r>
        <w:rPr>
          <w:rFonts w:hint="eastAsia" w:ascii="宋体" w:hAnsi="宋体"/>
          <w:sz w:val="24"/>
        </w:rPr>
        <w:t>进行询标，并要求</w:t>
      </w:r>
      <w:r>
        <w:rPr>
          <w:rFonts w:hint="eastAsia" w:ascii="宋体" w:hAnsi="宋体"/>
          <w:bCs/>
          <w:sz w:val="24"/>
        </w:rPr>
        <w:t>投标人</w:t>
      </w:r>
      <w:r>
        <w:rPr>
          <w:rFonts w:hint="eastAsia" w:ascii="宋体" w:hAnsi="宋体"/>
          <w:sz w:val="24"/>
        </w:rPr>
        <w:t>作书面澄清；</w:t>
      </w:r>
      <w:r>
        <w:rPr>
          <w:rFonts w:hint="eastAsia" w:ascii="宋体" w:hAnsi="宋体"/>
          <w:bCs/>
          <w:sz w:val="24"/>
        </w:rPr>
        <w:t>投标人</w:t>
      </w:r>
      <w:r>
        <w:rPr>
          <w:rFonts w:hint="eastAsia" w:ascii="宋体" w:hAnsi="宋体"/>
          <w:sz w:val="24"/>
        </w:rPr>
        <w:t>的书面澄清，应由法定代表人或授权代表签字，作为</w:t>
      </w:r>
      <w:r>
        <w:rPr>
          <w:rFonts w:hint="eastAsia" w:ascii="宋体" w:hAnsi="宋体"/>
          <w:bCs/>
          <w:sz w:val="24"/>
        </w:rPr>
        <w:t>投标</w:t>
      </w:r>
      <w:r>
        <w:rPr>
          <w:rFonts w:hint="eastAsia" w:ascii="宋体" w:hAnsi="宋体"/>
          <w:sz w:val="24"/>
        </w:rPr>
        <w:t>文件的补充部分。</w:t>
      </w:r>
      <w:bookmarkEnd w:id="5"/>
    </w:p>
    <w:p>
      <w:pPr>
        <w:adjustRightInd w:val="0"/>
        <w:snapToGrid w:val="0"/>
        <w:spacing w:line="400" w:lineRule="exact"/>
        <w:ind w:firstLine="480" w:firstLineChars="200"/>
        <w:rPr>
          <w:rFonts w:ascii="宋体" w:hAnsi="宋体"/>
          <w:sz w:val="24"/>
        </w:rPr>
      </w:pPr>
    </w:p>
    <w:p>
      <w:pPr>
        <w:adjustRightInd w:val="0"/>
        <w:snapToGrid w:val="0"/>
        <w:spacing w:line="400" w:lineRule="exact"/>
        <w:ind w:firstLine="480" w:firstLineChars="200"/>
        <w:rPr>
          <w:rFonts w:ascii="宋体" w:hAnsi="宋体"/>
          <w:sz w:val="24"/>
        </w:rPr>
      </w:pPr>
    </w:p>
    <w:p>
      <w:pPr>
        <w:pStyle w:val="3"/>
        <w:rPr>
          <w:rFonts w:hAnsi="宋体"/>
          <w:sz w:val="24"/>
        </w:rPr>
      </w:pPr>
    </w:p>
    <w:p>
      <w:pPr>
        <w:pStyle w:val="3"/>
        <w:rPr>
          <w:rFonts w:hAnsi="宋体"/>
          <w:sz w:val="24"/>
        </w:rPr>
      </w:pPr>
    </w:p>
    <w:p>
      <w:pPr>
        <w:pStyle w:val="3"/>
        <w:rPr>
          <w:rFonts w:hAnsi="宋体"/>
          <w:sz w:val="24"/>
        </w:rPr>
      </w:pPr>
    </w:p>
    <w:p>
      <w:pPr>
        <w:numPr>
          <w:ilvl w:val="0"/>
          <w:numId w:val="2"/>
        </w:numPr>
        <w:snapToGrid w:val="0"/>
        <w:spacing w:beforeLines="50" w:afterLines="50"/>
        <w:jc w:val="center"/>
        <w:rPr>
          <w:rFonts w:ascii="宋体" w:hAnsi="宋体"/>
          <w:b/>
          <w:sz w:val="32"/>
          <w:szCs w:val="32"/>
        </w:rPr>
      </w:pPr>
      <w:r>
        <w:rPr>
          <w:rFonts w:hint="eastAsia" w:ascii="宋体" w:hAnsi="宋体"/>
          <w:b/>
          <w:sz w:val="32"/>
          <w:szCs w:val="32"/>
        </w:rPr>
        <w:t>项目技术规范、服务要求、采购需求</w:t>
      </w:r>
    </w:p>
    <w:p>
      <w:pPr>
        <w:pStyle w:val="4"/>
        <w:keepLines/>
        <w:widowControl w:val="0"/>
        <w:numPr>
          <w:ilvl w:val="0"/>
          <w:numId w:val="3"/>
        </w:numPr>
        <w:tabs>
          <w:tab w:val="left" w:pos="0"/>
        </w:tabs>
        <w:jc w:val="both"/>
        <w:rPr>
          <w:rFonts w:ascii="宋体" w:hAnsi="宋体" w:eastAsia="宋体"/>
          <w:sz w:val="24"/>
          <w:szCs w:val="24"/>
        </w:rPr>
      </w:pPr>
      <w:r>
        <w:rPr>
          <w:rFonts w:hint="eastAsia"/>
          <w:sz w:val="24"/>
          <w:szCs w:val="24"/>
        </w:rPr>
        <w:t>采购</w:t>
      </w:r>
      <w:r>
        <w:rPr>
          <w:rFonts w:hint="eastAsia" w:ascii="宋体" w:hAnsi="宋体" w:eastAsia="宋体"/>
          <w:sz w:val="24"/>
          <w:szCs w:val="24"/>
        </w:rPr>
        <w:t>货物一览表</w:t>
      </w:r>
    </w:p>
    <w:tbl>
      <w:tblPr>
        <w:tblStyle w:val="15"/>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0"/>
        <w:gridCol w:w="991"/>
        <w:gridCol w:w="3466"/>
        <w:gridCol w:w="1253"/>
        <w:gridCol w:w="1469"/>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2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ind w:firstLine="0" w:firstLineChars="0"/>
              <w:jc w:val="center"/>
              <w:rPr>
                <w:rFonts w:cs="宋体"/>
                <w:b/>
                <w:bCs/>
                <w:color w:val="000000"/>
              </w:rPr>
            </w:pPr>
            <w:r>
              <w:rPr>
                <w:rFonts w:hint="eastAsia" w:cs="宋体"/>
                <w:b/>
                <w:bCs/>
                <w:color w:val="000000"/>
              </w:rPr>
              <w:t>项目</w:t>
            </w:r>
          </w:p>
        </w:tc>
        <w:tc>
          <w:tcPr>
            <w:tcW w:w="99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ind w:firstLine="0" w:firstLineChars="0"/>
              <w:jc w:val="center"/>
              <w:rPr>
                <w:rFonts w:cs="宋体"/>
                <w:b/>
                <w:bCs/>
                <w:color w:val="000000"/>
              </w:rPr>
            </w:pPr>
            <w:r>
              <w:rPr>
                <w:rFonts w:hint="eastAsia" w:cs="宋体"/>
                <w:b/>
                <w:bCs/>
                <w:color w:val="000000"/>
              </w:rPr>
              <w:t>序号</w:t>
            </w:r>
          </w:p>
        </w:tc>
        <w:tc>
          <w:tcPr>
            <w:tcW w:w="34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ind w:firstLine="0" w:firstLineChars="0"/>
              <w:jc w:val="center"/>
              <w:rPr>
                <w:rFonts w:cs="宋体"/>
                <w:b/>
                <w:bCs/>
                <w:color w:val="000000"/>
              </w:rPr>
            </w:pPr>
            <w:r>
              <w:rPr>
                <w:rFonts w:hint="eastAsia" w:cs="宋体"/>
                <w:b/>
                <w:bCs/>
                <w:color w:val="000000"/>
              </w:rPr>
              <w:t>名称</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ind w:firstLine="0" w:firstLineChars="0"/>
              <w:jc w:val="center"/>
              <w:rPr>
                <w:rFonts w:cs="宋体"/>
                <w:b/>
                <w:bCs/>
                <w:color w:val="000000"/>
              </w:rPr>
            </w:pPr>
            <w:r>
              <w:rPr>
                <w:rFonts w:hint="eastAsia" w:cs="宋体"/>
                <w:b/>
                <w:bCs/>
                <w:color w:val="000000"/>
              </w:rPr>
              <w:t>单位</w:t>
            </w:r>
          </w:p>
        </w:tc>
        <w:tc>
          <w:tcPr>
            <w:tcW w:w="14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ind w:firstLine="0" w:firstLineChars="0"/>
              <w:jc w:val="center"/>
              <w:rPr>
                <w:rFonts w:cs="宋体"/>
                <w:b/>
                <w:bCs/>
                <w:color w:val="000000"/>
              </w:rPr>
            </w:pPr>
            <w:r>
              <w:rPr>
                <w:rFonts w:hint="eastAsia" w:cs="宋体"/>
                <w:b/>
                <w:bCs/>
                <w:color w:val="000000"/>
              </w:rPr>
              <w:t>数量</w:t>
            </w:r>
          </w:p>
        </w:tc>
        <w:tc>
          <w:tcPr>
            <w:tcW w:w="69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ind w:firstLine="0" w:firstLineChars="0"/>
              <w:jc w:val="center"/>
              <w:rPr>
                <w:rFonts w:cs="宋体"/>
                <w:b/>
                <w:bCs/>
                <w:color w:val="000000"/>
              </w:rPr>
            </w:pPr>
            <w:r>
              <w:rPr>
                <w:rFonts w:hint="eastAsia" w:cs="宋体"/>
                <w:b/>
                <w:bCs/>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20" w:type="dxa"/>
            <w:vMerge w:val="restart"/>
            <w:tcBorders>
              <w:top w:val="single" w:color="auto" w:sz="4" w:space="0"/>
              <w:left w:val="single" w:color="auto" w:sz="4" w:space="0"/>
              <w:right w:val="single" w:color="auto" w:sz="4" w:space="0"/>
            </w:tcBorders>
            <w:shd w:val="clear" w:color="auto" w:fill="FFFFFF"/>
            <w:vAlign w:val="center"/>
          </w:tcPr>
          <w:p>
            <w:pPr>
              <w:pStyle w:val="21"/>
              <w:ind w:firstLine="0" w:firstLineChars="0"/>
              <w:jc w:val="center"/>
              <w:rPr>
                <w:rFonts w:cs="宋体"/>
                <w:color w:val="000000"/>
              </w:rPr>
            </w:pPr>
            <w:r>
              <w:rPr>
                <w:rFonts w:hint="eastAsia" w:cs="宋体"/>
                <w:color w:val="000000"/>
              </w:rPr>
              <w:t>降水全指标自动监测系统</w:t>
            </w:r>
          </w:p>
        </w:tc>
        <w:tc>
          <w:tcPr>
            <w:tcW w:w="99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ind w:firstLine="0" w:firstLineChars="0"/>
              <w:jc w:val="center"/>
              <w:rPr>
                <w:rFonts w:cs="宋体"/>
                <w:color w:val="000000"/>
              </w:rPr>
            </w:pPr>
            <w:r>
              <w:rPr>
                <w:rFonts w:hint="eastAsia" w:cs="宋体"/>
                <w:color w:val="000000"/>
              </w:rPr>
              <w:t>1</w:t>
            </w:r>
          </w:p>
        </w:tc>
        <w:tc>
          <w:tcPr>
            <w:tcW w:w="34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ind w:firstLine="0" w:firstLineChars="0"/>
              <w:jc w:val="center"/>
              <w:rPr>
                <w:rFonts w:cs="宋体"/>
                <w:color w:val="000000"/>
              </w:rPr>
            </w:pPr>
            <w:r>
              <w:rPr>
                <w:rFonts w:hint="eastAsia" w:cs="宋体"/>
                <w:color w:val="000000"/>
              </w:rPr>
              <w:t>降雨自动采样器</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ind w:firstLine="0" w:firstLineChars="0"/>
              <w:jc w:val="center"/>
              <w:rPr>
                <w:rFonts w:cs="宋体"/>
                <w:color w:val="000000"/>
              </w:rPr>
            </w:pPr>
            <w:r>
              <w:rPr>
                <w:rFonts w:hint="eastAsia" w:cs="宋体"/>
                <w:color w:val="000000"/>
              </w:rPr>
              <w:t>台</w:t>
            </w:r>
          </w:p>
        </w:tc>
        <w:tc>
          <w:tcPr>
            <w:tcW w:w="14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ind w:firstLine="0" w:firstLineChars="0"/>
              <w:jc w:val="center"/>
              <w:rPr>
                <w:rFonts w:cs="宋体"/>
                <w:color w:val="000000"/>
              </w:rPr>
            </w:pPr>
            <w:r>
              <w:rPr>
                <w:rFonts w:hint="eastAsia" w:cs="宋体"/>
                <w:color w:val="000000"/>
              </w:rPr>
              <w:t>1</w:t>
            </w:r>
          </w:p>
        </w:tc>
        <w:tc>
          <w:tcPr>
            <w:tcW w:w="69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ind w:firstLine="0" w:firstLineChars="0"/>
              <w:jc w:val="center"/>
              <w:rPr>
                <w:rFonts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2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99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ind w:firstLine="0" w:firstLineChars="0"/>
              <w:jc w:val="center"/>
              <w:rPr>
                <w:rFonts w:cs="宋体"/>
                <w:color w:val="000000"/>
              </w:rPr>
            </w:pPr>
            <w:r>
              <w:rPr>
                <w:rFonts w:hint="eastAsia" w:cs="宋体"/>
                <w:color w:val="000000"/>
              </w:rPr>
              <w:t>2</w:t>
            </w:r>
          </w:p>
        </w:tc>
        <w:tc>
          <w:tcPr>
            <w:tcW w:w="34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ind w:firstLine="0" w:firstLineChars="0"/>
              <w:jc w:val="center"/>
              <w:rPr>
                <w:rFonts w:cs="宋体"/>
                <w:color w:val="000000"/>
              </w:rPr>
            </w:pPr>
            <w:r>
              <w:rPr>
                <w:rFonts w:hint="eastAsia" w:cs="宋体"/>
                <w:color w:val="000000"/>
              </w:rPr>
              <w:t>全性能降水自动监测系统</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ind w:firstLine="0" w:firstLineChars="0"/>
              <w:jc w:val="center"/>
              <w:rPr>
                <w:rFonts w:cs="宋体"/>
                <w:color w:val="000000"/>
              </w:rPr>
            </w:pPr>
            <w:r>
              <w:rPr>
                <w:rFonts w:hint="eastAsia" w:cs="宋体"/>
                <w:color w:val="000000"/>
              </w:rPr>
              <w:t>套</w:t>
            </w:r>
          </w:p>
        </w:tc>
        <w:tc>
          <w:tcPr>
            <w:tcW w:w="14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ind w:firstLine="0" w:firstLineChars="0"/>
              <w:jc w:val="center"/>
              <w:rPr>
                <w:rFonts w:cs="宋体"/>
                <w:color w:val="000000"/>
              </w:rPr>
            </w:pPr>
            <w:r>
              <w:rPr>
                <w:rFonts w:hint="eastAsia" w:cs="宋体"/>
                <w:color w:val="000000"/>
              </w:rPr>
              <w:t>1</w:t>
            </w:r>
          </w:p>
        </w:tc>
        <w:tc>
          <w:tcPr>
            <w:tcW w:w="69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ind w:firstLine="0" w:firstLineChars="0"/>
              <w:jc w:val="center"/>
              <w:rPr>
                <w:rFonts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2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99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ind w:firstLine="0" w:firstLineChars="0"/>
              <w:jc w:val="center"/>
              <w:rPr>
                <w:rFonts w:cs="宋体"/>
                <w:color w:val="000000"/>
              </w:rPr>
            </w:pPr>
            <w:r>
              <w:rPr>
                <w:rFonts w:hint="eastAsia" w:cs="宋体"/>
                <w:color w:val="000000"/>
              </w:rPr>
              <w:t>3</w:t>
            </w:r>
          </w:p>
        </w:tc>
        <w:tc>
          <w:tcPr>
            <w:tcW w:w="34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ind w:firstLine="0" w:firstLineChars="0"/>
              <w:jc w:val="center"/>
              <w:rPr>
                <w:rFonts w:cs="宋体"/>
                <w:color w:val="000000"/>
              </w:rPr>
            </w:pPr>
            <w:r>
              <w:rPr>
                <w:rFonts w:hint="eastAsia" w:cs="宋体"/>
                <w:color w:val="000000"/>
              </w:rPr>
              <w:t>一体式站房</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ind w:firstLine="0" w:firstLineChars="0"/>
              <w:jc w:val="center"/>
              <w:rPr>
                <w:rFonts w:cs="宋体"/>
                <w:color w:val="000000"/>
              </w:rPr>
            </w:pPr>
            <w:r>
              <w:rPr>
                <w:rFonts w:hint="eastAsia" w:cs="宋体"/>
                <w:color w:val="000000"/>
              </w:rPr>
              <w:t>套</w:t>
            </w:r>
          </w:p>
        </w:tc>
        <w:tc>
          <w:tcPr>
            <w:tcW w:w="14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ind w:firstLine="0" w:firstLineChars="0"/>
              <w:jc w:val="center"/>
              <w:rPr>
                <w:rFonts w:cs="宋体"/>
                <w:color w:val="000000"/>
              </w:rPr>
            </w:pPr>
            <w:r>
              <w:rPr>
                <w:rFonts w:hint="eastAsia" w:cs="宋体"/>
                <w:color w:val="000000"/>
              </w:rPr>
              <w:t>1</w:t>
            </w:r>
          </w:p>
        </w:tc>
        <w:tc>
          <w:tcPr>
            <w:tcW w:w="69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ind w:firstLine="0" w:firstLineChars="0"/>
              <w:jc w:val="center"/>
              <w:rPr>
                <w:rFonts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2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99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ind w:firstLine="0" w:firstLineChars="0"/>
              <w:jc w:val="center"/>
              <w:rPr>
                <w:rFonts w:cs="宋体"/>
                <w:color w:val="000000"/>
              </w:rPr>
            </w:pPr>
            <w:r>
              <w:rPr>
                <w:rFonts w:hint="eastAsia" w:cs="宋体"/>
                <w:color w:val="000000"/>
              </w:rPr>
              <w:t>4</w:t>
            </w:r>
          </w:p>
        </w:tc>
        <w:tc>
          <w:tcPr>
            <w:tcW w:w="34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ind w:firstLine="0" w:firstLineChars="0"/>
              <w:jc w:val="center"/>
              <w:rPr>
                <w:rFonts w:cs="宋体"/>
                <w:color w:val="000000"/>
              </w:rPr>
            </w:pPr>
            <w:r>
              <w:rPr>
                <w:rFonts w:hint="eastAsia" w:cs="宋体"/>
                <w:color w:val="000000"/>
              </w:rPr>
              <w:t>运维服务</w:t>
            </w:r>
          </w:p>
        </w:tc>
        <w:tc>
          <w:tcPr>
            <w:tcW w:w="125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ind w:firstLine="0" w:firstLineChars="0"/>
              <w:jc w:val="center"/>
              <w:rPr>
                <w:rFonts w:cs="宋体"/>
                <w:color w:val="000000"/>
              </w:rPr>
            </w:pPr>
            <w:r>
              <w:rPr>
                <w:rFonts w:hint="eastAsia" w:cs="宋体"/>
                <w:color w:val="000000"/>
              </w:rPr>
              <w:t>年</w:t>
            </w:r>
          </w:p>
        </w:tc>
        <w:tc>
          <w:tcPr>
            <w:tcW w:w="14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ind w:firstLine="0" w:firstLineChars="0"/>
              <w:jc w:val="center"/>
              <w:rPr>
                <w:rFonts w:cs="宋体"/>
                <w:color w:val="000000"/>
              </w:rPr>
            </w:pPr>
            <w:r>
              <w:rPr>
                <w:rFonts w:hint="eastAsia" w:cs="宋体"/>
                <w:color w:val="000000"/>
              </w:rPr>
              <w:t>1</w:t>
            </w:r>
          </w:p>
        </w:tc>
        <w:tc>
          <w:tcPr>
            <w:tcW w:w="69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ind w:firstLine="0" w:firstLineChars="0"/>
              <w:jc w:val="center"/>
              <w:rPr>
                <w:rFonts w:cs="宋体"/>
                <w:color w:val="000000"/>
              </w:rPr>
            </w:pPr>
          </w:p>
        </w:tc>
      </w:tr>
    </w:tbl>
    <w:p>
      <w:pPr>
        <w:rPr>
          <w:rFonts w:ascii="宋体" w:hAnsi="宋体" w:cs="宋体"/>
          <w:b/>
          <w:color w:val="000000"/>
          <w:sz w:val="24"/>
        </w:rPr>
      </w:pPr>
      <w:r>
        <w:rPr>
          <w:rFonts w:hint="eastAsia" w:ascii="宋体" w:hAnsi="宋体" w:cs="宋体"/>
          <w:bCs/>
          <w:sz w:val="24"/>
        </w:rPr>
        <w:t>注明：货物应随机配备一套备品备件及耗材。</w:t>
      </w:r>
    </w:p>
    <w:p>
      <w:pPr>
        <w:pStyle w:val="4"/>
        <w:keepLines/>
        <w:widowControl w:val="0"/>
        <w:numPr>
          <w:ilvl w:val="0"/>
          <w:numId w:val="3"/>
        </w:numPr>
        <w:tabs>
          <w:tab w:val="left" w:pos="0"/>
        </w:tabs>
        <w:jc w:val="both"/>
        <w:rPr>
          <w:sz w:val="24"/>
          <w:szCs w:val="24"/>
        </w:rPr>
      </w:pPr>
      <w:r>
        <w:rPr>
          <w:rFonts w:hint="eastAsia"/>
          <w:sz w:val="24"/>
          <w:szCs w:val="24"/>
        </w:rPr>
        <w:t>项目建设技术指标要求</w:t>
      </w:r>
    </w:p>
    <w:tbl>
      <w:tblPr>
        <w:tblStyle w:val="15"/>
        <w:tblW w:w="9643" w:type="dxa"/>
        <w:tblInd w:w="152" w:type="dxa"/>
        <w:tblLayout w:type="fixed"/>
        <w:tblCellMar>
          <w:top w:w="0" w:type="dxa"/>
          <w:left w:w="108" w:type="dxa"/>
          <w:bottom w:w="0" w:type="dxa"/>
          <w:right w:w="108" w:type="dxa"/>
        </w:tblCellMar>
      </w:tblPr>
      <w:tblGrid>
        <w:gridCol w:w="598"/>
        <w:gridCol w:w="1710"/>
        <w:gridCol w:w="7335"/>
      </w:tblGrid>
      <w:tr>
        <w:tblPrEx>
          <w:tblCellMar>
            <w:top w:w="0" w:type="dxa"/>
            <w:left w:w="108" w:type="dxa"/>
            <w:bottom w:w="0" w:type="dxa"/>
            <w:right w:w="108" w:type="dxa"/>
          </w:tblCellMar>
        </w:tblPrEx>
        <w:trPr>
          <w:trHeight w:val="698" w:hRule="atLeast"/>
          <w:tblHeader/>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hAnsi="宋体" w:cs="宋体"/>
                <w:b/>
                <w:sz w:val="24"/>
              </w:rPr>
            </w:pPr>
            <w:r>
              <w:rPr>
                <w:rFonts w:hint="eastAsia" w:ascii="宋体" w:hAnsi="宋体" w:cs="宋体"/>
                <w:b/>
                <w:sz w:val="24"/>
              </w:rPr>
              <w:t>序号</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jc w:val="center"/>
              <w:rPr>
                <w:rFonts w:ascii="宋体" w:hAnsi="宋体" w:cs="宋体"/>
                <w:b/>
                <w:sz w:val="24"/>
              </w:rPr>
            </w:pPr>
            <w:r>
              <w:rPr>
                <w:rFonts w:hint="eastAsia" w:ascii="宋体" w:hAnsi="宋体" w:cs="宋体"/>
                <w:b/>
                <w:sz w:val="24"/>
              </w:rPr>
              <w:t>货物名称</w:t>
            </w:r>
          </w:p>
        </w:tc>
        <w:tc>
          <w:tcPr>
            <w:tcW w:w="7335"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hAnsi="宋体" w:cs="宋体"/>
                <w:b/>
                <w:sz w:val="24"/>
              </w:rPr>
            </w:pPr>
            <w:r>
              <w:rPr>
                <w:rFonts w:hint="eastAsia" w:ascii="宋体" w:hAnsi="宋体" w:cs="宋体"/>
                <w:b/>
                <w:sz w:val="24"/>
              </w:rPr>
              <w:t>技术要求</w:t>
            </w:r>
          </w:p>
        </w:tc>
      </w:tr>
      <w:tr>
        <w:tblPrEx>
          <w:tblCellMar>
            <w:top w:w="0" w:type="dxa"/>
            <w:left w:w="108" w:type="dxa"/>
            <w:bottom w:w="0" w:type="dxa"/>
            <w:right w:w="108" w:type="dxa"/>
          </w:tblCellMar>
        </w:tblPrEx>
        <w:trPr>
          <w:trHeight w:val="609" w:hRule="atLeast"/>
        </w:trPr>
        <w:tc>
          <w:tcPr>
            <w:tcW w:w="598" w:type="dxa"/>
            <w:vMerge w:val="restart"/>
            <w:tcBorders>
              <w:top w:val="single" w:color="000000" w:sz="4" w:space="0"/>
              <w:left w:val="single" w:color="000000" w:sz="4" w:space="0"/>
              <w:bottom w:val="nil"/>
              <w:right w:val="single" w:color="000000" w:sz="4" w:space="0"/>
            </w:tcBorders>
            <w:vAlign w:val="center"/>
          </w:tcPr>
          <w:p>
            <w:pPr>
              <w:spacing w:line="300" w:lineRule="auto"/>
              <w:rPr>
                <w:rFonts w:ascii="宋体" w:hAnsi="宋体" w:cs="宋体"/>
                <w:sz w:val="24"/>
              </w:rPr>
            </w:pPr>
            <w:r>
              <w:rPr>
                <w:rFonts w:hint="eastAsia" w:ascii="宋体" w:hAnsi="宋体" w:cs="宋体"/>
                <w:sz w:val="24"/>
              </w:rPr>
              <w:t>1</w:t>
            </w:r>
          </w:p>
        </w:tc>
        <w:tc>
          <w:tcPr>
            <w:tcW w:w="1710" w:type="dxa"/>
            <w:vMerge w:val="restart"/>
            <w:tcBorders>
              <w:top w:val="single" w:color="000000" w:sz="4" w:space="0"/>
              <w:left w:val="single" w:color="000000" w:sz="4" w:space="0"/>
              <w:bottom w:val="nil"/>
              <w:right w:val="single" w:color="000000" w:sz="4" w:space="0"/>
            </w:tcBorders>
            <w:vAlign w:val="center"/>
          </w:tcPr>
          <w:p>
            <w:pPr>
              <w:spacing w:line="300" w:lineRule="auto"/>
              <w:jc w:val="center"/>
              <w:rPr>
                <w:rFonts w:ascii="宋体" w:hAnsi="宋体" w:cs="宋体"/>
                <w:sz w:val="24"/>
              </w:rPr>
            </w:pPr>
            <w:r>
              <w:rPr>
                <w:rFonts w:hint="eastAsia" w:ascii="宋体" w:hAnsi="宋体" w:cs="宋体"/>
                <w:sz w:val="24"/>
              </w:rPr>
              <w:t>降雨自动采样器</w:t>
            </w:r>
          </w:p>
        </w:tc>
        <w:tc>
          <w:tcPr>
            <w:tcW w:w="7335" w:type="dxa"/>
            <w:tcBorders>
              <w:top w:val="single" w:color="000000" w:sz="4" w:space="0"/>
              <w:left w:val="single" w:color="000000" w:sz="4" w:space="0"/>
              <w:bottom w:val="single" w:color="000000" w:sz="4" w:space="0"/>
              <w:right w:val="single" w:color="000000" w:sz="4" w:space="0"/>
            </w:tcBorders>
            <w:vAlign w:val="center"/>
          </w:tcPr>
          <w:p>
            <w:pPr>
              <w:numPr>
                <w:ilvl w:val="0"/>
                <w:numId w:val="4"/>
              </w:numPr>
              <w:spacing w:line="300" w:lineRule="auto"/>
              <w:rPr>
                <w:rFonts w:ascii="宋体" w:hAnsi="宋体" w:cs="宋体"/>
                <w:sz w:val="24"/>
              </w:rPr>
            </w:pPr>
            <w:r>
              <w:rPr>
                <w:rFonts w:hint="eastAsia" w:ascii="宋体" w:hAnsi="宋体" w:cs="宋体"/>
                <w:sz w:val="24"/>
              </w:rPr>
              <w:t>外观、采样功能、样品保存功能、查询功能、防尘功能、感雨器灵敏度、加热功能、采样器材料、电压适应性等应符合《降雨自动采样器技术要求及检测方法》HJ/T 174-2005标准要求。</w:t>
            </w:r>
          </w:p>
        </w:tc>
      </w:tr>
      <w:tr>
        <w:tblPrEx>
          <w:tblCellMar>
            <w:top w:w="0" w:type="dxa"/>
            <w:left w:w="108" w:type="dxa"/>
            <w:bottom w:w="0" w:type="dxa"/>
            <w:right w:w="108" w:type="dxa"/>
          </w:tblCellMar>
        </w:tblPrEx>
        <w:trPr>
          <w:trHeight w:val="609" w:hRule="atLeast"/>
        </w:trPr>
        <w:tc>
          <w:tcPr>
            <w:tcW w:w="598"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sz w:val="24"/>
              </w:rPr>
            </w:pPr>
          </w:p>
        </w:tc>
        <w:tc>
          <w:tcPr>
            <w:tcW w:w="171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sz w:val="24"/>
              </w:rPr>
            </w:pPr>
          </w:p>
        </w:tc>
        <w:tc>
          <w:tcPr>
            <w:tcW w:w="7335" w:type="dxa"/>
            <w:tcBorders>
              <w:top w:val="single" w:color="000000" w:sz="4" w:space="0"/>
              <w:left w:val="single" w:color="000000" w:sz="4" w:space="0"/>
              <w:bottom w:val="single" w:color="000000" w:sz="4" w:space="0"/>
              <w:right w:val="single" w:color="000000" w:sz="4" w:space="0"/>
            </w:tcBorders>
            <w:vAlign w:val="center"/>
          </w:tcPr>
          <w:p>
            <w:pPr>
              <w:numPr>
                <w:ilvl w:val="0"/>
                <w:numId w:val="4"/>
              </w:numPr>
              <w:spacing w:line="300" w:lineRule="auto"/>
              <w:rPr>
                <w:rFonts w:ascii="宋体" w:hAnsi="宋体" w:cs="宋体"/>
                <w:sz w:val="24"/>
              </w:rPr>
            </w:pPr>
            <w:r>
              <w:rPr>
                <w:rFonts w:hint="eastAsia" w:ascii="宋体" w:hAnsi="宋体" w:cs="宋体"/>
                <w:sz w:val="24"/>
              </w:rPr>
              <w:t>应采用电极材质抗高温抗腐蚀合金感雨片，可在长期日晒雨淋和酸雨侵蚀的环境下，保证感雨片的稳定和寿命。</w:t>
            </w:r>
          </w:p>
        </w:tc>
      </w:tr>
      <w:tr>
        <w:tblPrEx>
          <w:tblCellMar>
            <w:top w:w="0" w:type="dxa"/>
            <w:left w:w="108" w:type="dxa"/>
            <w:bottom w:w="0" w:type="dxa"/>
            <w:right w:w="108" w:type="dxa"/>
          </w:tblCellMar>
        </w:tblPrEx>
        <w:trPr>
          <w:trHeight w:val="470" w:hRule="atLeast"/>
        </w:trPr>
        <w:tc>
          <w:tcPr>
            <w:tcW w:w="598"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sz w:val="24"/>
              </w:rPr>
            </w:pPr>
          </w:p>
        </w:tc>
        <w:tc>
          <w:tcPr>
            <w:tcW w:w="171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sz w:val="24"/>
              </w:rPr>
            </w:pPr>
          </w:p>
        </w:tc>
        <w:tc>
          <w:tcPr>
            <w:tcW w:w="7335" w:type="dxa"/>
            <w:tcBorders>
              <w:top w:val="single" w:color="000000" w:sz="4" w:space="0"/>
              <w:left w:val="single" w:color="000000" w:sz="4" w:space="0"/>
              <w:bottom w:val="single" w:color="000000" w:sz="4" w:space="0"/>
              <w:right w:val="single" w:color="000000" w:sz="4" w:space="0"/>
            </w:tcBorders>
            <w:vAlign w:val="center"/>
          </w:tcPr>
          <w:p>
            <w:pPr>
              <w:numPr>
                <w:ilvl w:val="0"/>
                <w:numId w:val="4"/>
              </w:numPr>
              <w:spacing w:line="300" w:lineRule="auto"/>
              <w:rPr>
                <w:rFonts w:ascii="宋体" w:hAnsi="宋体" w:cs="宋体"/>
                <w:sz w:val="24"/>
              </w:rPr>
            </w:pPr>
            <w:r>
              <w:rPr>
                <w:rFonts w:hint="eastAsia" w:ascii="宋体" w:hAnsi="宋体" w:cs="Arial"/>
                <w:b/>
                <w:sz w:val="24"/>
              </w:rPr>
              <w:t>★</w:t>
            </w:r>
            <w:r>
              <w:rPr>
                <w:rFonts w:hint="eastAsia" w:ascii="宋体" w:hAnsi="宋体" w:cs="宋体"/>
                <w:sz w:val="24"/>
              </w:rPr>
              <w:t>应具有交变抗电离和</w:t>
            </w:r>
            <w:r>
              <w:rPr>
                <w:rFonts w:hint="eastAsia" w:ascii="宋体" w:hAnsi="宋体" w:cs="宋体"/>
                <w:kern w:val="0"/>
                <w:sz w:val="24"/>
              </w:rPr>
              <w:t>动态温控防凝露功能，</w:t>
            </w:r>
            <w:r>
              <w:rPr>
                <w:rFonts w:hint="eastAsia" w:ascii="宋体" w:hAnsi="宋体" w:cs="宋体"/>
                <w:sz w:val="24"/>
              </w:rPr>
              <w:t>可使传感器寿命更长，灵敏度更高并</w:t>
            </w:r>
            <w:r>
              <w:rPr>
                <w:rFonts w:hint="eastAsia" w:ascii="宋体" w:hAnsi="宋体" w:cs="宋体"/>
                <w:kern w:val="0"/>
                <w:sz w:val="24"/>
              </w:rPr>
              <w:t>可避免露水、大雾、霜降等环境因素造成误动作</w:t>
            </w:r>
            <w:r>
              <w:rPr>
                <w:rFonts w:hint="eastAsia" w:ascii="宋体" w:hAnsi="宋体" w:cs="宋体"/>
                <w:sz w:val="24"/>
              </w:rPr>
              <w:t>。</w:t>
            </w:r>
          </w:p>
        </w:tc>
      </w:tr>
      <w:tr>
        <w:tblPrEx>
          <w:tblCellMar>
            <w:top w:w="0" w:type="dxa"/>
            <w:left w:w="108" w:type="dxa"/>
            <w:bottom w:w="0" w:type="dxa"/>
            <w:right w:w="108" w:type="dxa"/>
          </w:tblCellMar>
        </w:tblPrEx>
        <w:trPr>
          <w:trHeight w:val="470" w:hRule="atLeast"/>
        </w:trPr>
        <w:tc>
          <w:tcPr>
            <w:tcW w:w="598"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sz w:val="24"/>
              </w:rPr>
            </w:pPr>
          </w:p>
        </w:tc>
        <w:tc>
          <w:tcPr>
            <w:tcW w:w="171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sz w:val="24"/>
              </w:rPr>
            </w:pPr>
          </w:p>
        </w:tc>
        <w:tc>
          <w:tcPr>
            <w:tcW w:w="7335" w:type="dxa"/>
            <w:tcBorders>
              <w:top w:val="single" w:color="000000" w:sz="4" w:space="0"/>
              <w:left w:val="single" w:color="000000" w:sz="4" w:space="0"/>
              <w:bottom w:val="single" w:color="000000" w:sz="4" w:space="0"/>
              <w:right w:val="single" w:color="000000" w:sz="4" w:space="0"/>
            </w:tcBorders>
            <w:vAlign w:val="center"/>
          </w:tcPr>
          <w:p>
            <w:pPr>
              <w:numPr>
                <w:ilvl w:val="0"/>
                <w:numId w:val="4"/>
              </w:numPr>
              <w:spacing w:line="300" w:lineRule="auto"/>
              <w:rPr>
                <w:rFonts w:ascii="宋体" w:hAnsi="宋体" w:cs="宋体"/>
                <w:sz w:val="24"/>
              </w:rPr>
            </w:pPr>
            <w:r>
              <w:rPr>
                <w:rFonts w:hint="eastAsia" w:ascii="宋体" w:hAnsi="宋体" w:cs="宋体"/>
                <w:kern w:val="0"/>
                <w:sz w:val="24"/>
              </w:rPr>
              <w:t>仪器应采用四联杆传动机构</w:t>
            </w:r>
            <w:r>
              <w:rPr>
                <w:rFonts w:hint="eastAsia" w:ascii="宋体" w:hAnsi="宋体" w:cs="宋体"/>
                <w:sz w:val="24"/>
              </w:rPr>
              <w:t>。</w:t>
            </w:r>
          </w:p>
        </w:tc>
      </w:tr>
      <w:tr>
        <w:tblPrEx>
          <w:tblCellMar>
            <w:top w:w="0" w:type="dxa"/>
            <w:left w:w="108" w:type="dxa"/>
            <w:bottom w:w="0" w:type="dxa"/>
            <w:right w:w="108" w:type="dxa"/>
          </w:tblCellMar>
        </w:tblPrEx>
        <w:trPr>
          <w:trHeight w:val="470" w:hRule="atLeast"/>
        </w:trPr>
        <w:tc>
          <w:tcPr>
            <w:tcW w:w="598"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sz w:val="24"/>
              </w:rPr>
            </w:pPr>
          </w:p>
        </w:tc>
        <w:tc>
          <w:tcPr>
            <w:tcW w:w="171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sz w:val="24"/>
              </w:rPr>
            </w:pPr>
          </w:p>
        </w:tc>
        <w:tc>
          <w:tcPr>
            <w:tcW w:w="7335" w:type="dxa"/>
            <w:tcBorders>
              <w:top w:val="single" w:color="000000" w:sz="4" w:space="0"/>
              <w:left w:val="single" w:color="000000" w:sz="4" w:space="0"/>
              <w:bottom w:val="single" w:color="000000" w:sz="4" w:space="0"/>
              <w:right w:val="single" w:color="000000" w:sz="4" w:space="0"/>
            </w:tcBorders>
            <w:vAlign w:val="center"/>
          </w:tcPr>
          <w:p>
            <w:pPr>
              <w:numPr>
                <w:ilvl w:val="0"/>
                <w:numId w:val="4"/>
              </w:numPr>
              <w:spacing w:line="300" w:lineRule="auto"/>
              <w:rPr>
                <w:rFonts w:ascii="宋体" w:hAnsi="宋体" w:cs="宋体"/>
                <w:sz w:val="24"/>
              </w:rPr>
            </w:pPr>
            <w:r>
              <w:rPr>
                <w:rFonts w:hint="eastAsia" w:ascii="宋体" w:hAnsi="宋体" w:cs="宋体"/>
                <w:sz w:val="24"/>
              </w:rPr>
              <w:t>产品结构件应全部采用304不锈钢材料制作，室外工艺保温喷涂，采样桶上边沿高度大于1.2米。</w:t>
            </w:r>
          </w:p>
        </w:tc>
      </w:tr>
      <w:tr>
        <w:tblPrEx>
          <w:tblCellMar>
            <w:top w:w="0" w:type="dxa"/>
            <w:left w:w="108" w:type="dxa"/>
            <w:bottom w:w="0" w:type="dxa"/>
            <w:right w:w="108" w:type="dxa"/>
          </w:tblCellMar>
        </w:tblPrEx>
        <w:trPr>
          <w:trHeight w:val="470" w:hRule="atLeast"/>
        </w:trPr>
        <w:tc>
          <w:tcPr>
            <w:tcW w:w="598"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sz w:val="24"/>
              </w:rPr>
            </w:pPr>
          </w:p>
        </w:tc>
        <w:tc>
          <w:tcPr>
            <w:tcW w:w="171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sz w:val="24"/>
              </w:rPr>
            </w:pPr>
          </w:p>
        </w:tc>
        <w:tc>
          <w:tcPr>
            <w:tcW w:w="7335" w:type="dxa"/>
            <w:tcBorders>
              <w:top w:val="single" w:color="000000" w:sz="4" w:space="0"/>
              <w:left w:val="single" w:color="000000" w:sz="4" w:space="0"/>
              <w:bottom w:val="single" w:color="000000" w:sz="4" w:space="0"/>
              <w:right w:val="single" w:color="000000" w:sz="4" w:space="0"/>
            </w:tcBorders>
            <w:vAlign w:val="center"/>
          </w:tcPr>
          <w:p>
            <w:pPr>
              <w:numPr>
                <w:ilvl w:val="0"/>
                <w:numId w:val="4"/>
              </w:numPr>
              <w:spacing w:line="300" w:lineRule="auto"/>
              <w:rPr>
                <w:rFonts w:ascii="宋体" w:hAnsi="宋体" w:cs="宋体"/>
                <w:sz w:val="24"/>
              </w:rPr>
            </w:pPr>
            <w:r>
              <w:rPr>
                <w:rFonts w:hint="eastAsia" w:ascii="宋体" w:hAnsi="宋体" w:cs="宋体"/>
                <w:sz w:val="24"/>
              </w:rPr>
              <w:t>主机控制部分应采用嵌入式系统，性能好，功能全，应具有看门狗功能，确保仪器高可靠性；并可调开关盖延迟时间。</w:t>
            </w:r>
          </w:p>
        </w:tc>
      </w:tr>
      <w:tr>
        <w:tblPrEx>
          <w:tblCellMar>
            <w:top w:w="0" w:type="dxa"/>
            <w:left w:w="108" w:type="dxa"/>
            <w:bottom w:w="0" w:type="dxa"/>
            <w:right w:w="108" w:type="dxa"/>
          </w:tblCellMar>
        </w:tblPrEx>
        <w:trPr>
          <w:trHeight w:val="470" w:hRule="atLeast"/>
        </w:trPr>
        <w:tc>
          <w:tcPr>
            <w:tcW w:w="598"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sz w:val="24"/>
              </w:rPr>
            </w:pPr>
          </w:p>
        </w:tc>
        <w:tc>
          <w:tcPr>
            <w:tcW w:w="171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sz w:val="24"/>
              </w:rPr>
            </w:pPr>
          </w:p>
        </w:tc>
        <w:tc>
          <w:tcPr>
            <w:tcW w:w="7335" w:type="dxa"/>
            <w:tcBorders>
              <w:top w:val="single" w:color="000000" w:sz="4" w:space="0"/>
              <w:left w:val="single" w:color="000000" w:sz="4" w:space="0"/>
              <w:bottom w:val="single" w:color="000000" w:sz="4" w:space="0"/>
              <w:right w:val="single" w:color="000000" w:sz="4" w:space="0"/>
            </w:tcBorders>
            <w:vAlign w:val="center"/>
          </w:tcPr>
          <w:p>
            <w:pPr>
              <w:numPr>
                <w:ilvl w:val="0"/>
                <w:numId w:val="4"/>
              </w:numPr>
              <w:spacing w:line="300" w:lineRule="auto"/>
              <w:rPr>
                <w:rFonts w:ascii="宋体" w:hAnsi="宋体" w:cs="宋体"/>
                <w:sz w:val="24"/>
              </w:rPr>
            </w:pPr>
            <w:r>
              <w:rPr>
                <w:rFonts w:hint="eastAsia" w:ascii="宋体" w:hAnsi="宋体" w:cs="宋体"/>
                <w:sz w:val="24"/>
              </w:rPr>
              <w:t>仪器控制部分的显示屏应采用抗高、低温的工业级OLED中文显示，使露天工作的采样器在光线较暗和强日光照射下均能清晰地显示各项信息。</w:t>
            </w:r>
          </w:p>
        </w:tc>
      </w:tr>
      <w:tr>
        <w:tblPrEx>
          <w:tblCellMar>
            <w:top w:w="0" w:type="dxa"/>
            <w:left w:w="108" w:type="dxa"/>
            <w:bottom w:w="0" w:type="dxa"/>
            <w:right w:w="108" w:type="dxa"/>
          </w:tblCellMar>
        </w:tblPrEx>
        <w:trPr>
          <w:trHeight w:val="470" w:hRule="atLeast"/>
        </w:trPr>
        <w:tc>
          <w:tcPr>
            <w:tcW w:w="598"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sz w:val="24"/>
              </w:rPr>
            </w:pPr>
          </w:p>
        </w:tc>
        <w:tc>
          <w:tcPr>
            <w:tcW w:w="171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sz w:val="24"/>
              </w:rPr>
            </w:pPr>
          </w:p>
        </w:tc>
        <w:tc>
          <w:tcPr>
            <w:tcW w:w="7335" w:type="dxa"/>
            <w:tcBorders>
              <w:top w:val="single" w:color="000000" w:sz="4" w:space="0"/>
              <w:left w:val="single" w:color="000000" w:sz="4" w:space="0"/>
              <w:bottom w:val="single" w:color="000000" w:sz="4" w:space="0"/>
              <w:right w:val="single" w:color="000000" w:sz="4" w:space="0"/>
            </w:tcBorders>
            <w:vAlign w:val="center"/>
          </w:tcPr>
          <w:p>
            <w:pPr>
              <w:numPr>
                <w:ilvl w:val="0"/>
                <w:numId w:val="4"/>
              </w:numPr>
              <w:spacing w:line="300" w:lineRule="auto"/>
              <w:rPr>
                <w:rFonts w:ascii="宋体" w:hAnsi="宋体" w:cs="宋体"/>
                <w:sz w:val="24"/>
              </w:rPr>
            </w:pPr>
            <w:r>
              <w:rPr>
                <w:rFonts w:hint="eastAsia" w:ascii="宋体" w:hAnsi="宋体" w:cs="宋体"/>
                <w:sz w:val="24"/>
              </w:rPr>
              <w:t>样品采集桶应采用抗紫外线化学稳定性好的惰性材质，接雨漏斗内径为300±2mm。</w:t>
            </w:r>
          </w:p>
        </w:tc>
      </w:tr>
      <w:tr>
        <w:tblPrEx>
          <w:tblCellMar>
            <w:top w:w="0" w:type="dxa"/>
            <w:left w:w="108" w:type="dxa"/>
            <w:bottom w:w="0" w:type="dxa"/>
            <w:right w:w="108" w:type="dxa"/>
          </w:tblCellMar>
        </w:tblPrEx>
        <w:trPr>
          <w:trHeight w:val="470" w:hRule="atLeast"/>
        </w:trPr>
        <w:tc>
          <w:tcPr>
            <w:tcW w:w="598"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sz w:val="24"/>
              </w:rPr>
            </w:pPr>
          </w:p>
        </w:tc>
        <w:tc>
          <w:tcPr>
            <w:tcW w:w="171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sz w:val="24"/>
              </w:rPr>
            </w:pPr>
          </w:p>
        </w:tc>
        <w:tc>
          <w:tcPr>
            <w:tcW w:w="7335" w:type="dxa"/>
            <w:tcBorders>
              <w:top w:val="single" w:color="000000" w:sz="4" w:space="0"/>
              <w:left w:val="single" w:color="000000" w:sz="4" w:space="0"/>
              <w:bottom w:val="single" w:color="000000" w:sz="4" w:space="0"/>
              <w:right w:val="single" w:color="000000" w:sz="4" w:space="0"/>
            </w:tcBorders>
            <w:vAlign w:val="center"/>
          </w:tcPr>
          <w:p>
            <w:pPr>
              <w:numPr>
                <w:ilvl w:val="0"/>
                <w:numId w:val="4"/>
              </w:numPr>
              <w:spacing w:line="300" w:lineRule="auto"/>
              <w:rPr>
                <w:rFonts w:ascii="宋体" w:hAnsi="宋体" w:cs="宋体"/>
                <w:sz w:val="24"/>
              </w:rPr>
            </w:pPr>
            <w:r>
              <w:rPr>
                <w:rFonts w:hint="eastAsia" w:ascii="宋体" w:hAnsi="宋体" w:cs="宋体"/>
                <w:sz w:val="24"/>
              </w:rPr>
              <w:t>防尘盖应准确平稳地将采样桶口置于防尘盖海绵体内，保证采样桶的密闭性，减少污染和水汽蒸发，确保样品真实性，防冻雨设计。</w:t>
            </w:r>
          </w:p>
        </w:tc>
      </w:tr>
      <w:tr>
        <w:tblPrEx>
          <w:tblCellMar>
            <w:top w:w="0" w:type="dxa"/>
            <w:left w:w="108" w:type="dxa"/>
            <w:bottom w:w="0" w:type="dxa"/>
            <w:right w:w="108" w:type="dxa"/>
          </w:tblCellMar>
        </w:tblPrEx>
        <w:trPr>
          <w:trHeight w:val="470" w:hRule="atLeast"/>
        </w:trPr>
        <w:tc>
          <w:tcPr>
            <w:tcW w:w="598"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sz w:val="24"/>
              </w:rPr>
            </w:pPr>
          </w:p>
        </w:tc>
        <w:tc>
          <w:tcPr>
            <w:tcW w:w="171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sz w:val="24"/>
              </w:rPr>
            </w:pPr>
          </w:p>
        </w:tc>
        <w:tc>
          <w:tcPr>
            <w:tcW w:w="7335" w:type="dxa"/>
            <w:tcBorders>
              <w:top w:val="single" w:color="000000" w:sz="4" w:space="0"/>
              <w:left w:val="single" w:color="000000" w:sz="4" w:space="0"/>
              <w:bottom w:val="single" w:color="000000" w:sz="4" w:space="0"/>
              <w:right w:val="single" w:color="000000" w:sz="4" w:space="0"/>
            </w:tcBorders>
            <w:vAlign w:val="center"/>
          </w:tcPr>
          <w:p>
            <w:pPr>
              <w:numPr>
                <w:ilvl w:val="0"/>
                <w:numId w:val="4"/>
              </w:numPr>
              <w:spacing w:line="300" w:lineRule="auto"/>
              <w:rPr>
                <w:rFonts w:ascii="宋体" w:hAnsi="宋体" w:cs="宋体"/>
                <w:sz w:val="24"/>
              </w:rPr>
            </w:pPr>
            <w:r>
              <w:rPr>
                <w:rFonts w:hint="eastAsia" w:ascii="宋体" w:hAnsi="宋体" w:cs="宋体"/>
                <w:sz w:val="24"/>
              </w:rPr>
              <w:t>在采集降水样品时，防尘盖底部受到有效保护，避免悬浮颗粒物和风沙的污染，保证关盖后样品不受污染。</w:t>
            </w:r>
          </w:p>
        </w:tc>
      </w:tr>
      <w:tr>
        <w:tblPrEx>
          <w:tblCellMar>
            <w:top w:w="0" w:type="dxa"/>
            <w:left w:w="108" w:type="dxa"/>
            <w:bottom w:w="0" w:type="dxa"/>
            <w:right w:w="108" w:type="dxa"/>
          </w:tblCellMar>
        </w:tblPrEx>
        <w:trPr>
          <w:trHeight w:val="470" w:hRule="atLeast"/>
        </w:trPr>
        <w:tc>
          <w:tcPr>
            <w:tcW w:w="598"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sz w:val="24"/>
              </w:rPr>
            </w:pPr>
          </w:p>
        </w:tc>
        <w:tc>
          <w:tcPr>
            <w:tcW w:w="171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sz w:val="24"/>
              </w:rPr>
            </w:pPr>
          </w:p>
        </w:tc>
        <w:tc>
          <w:tcPr>
            <w:tcW w:w="7335" w:type="dxa"/>
            <w:tcBorders>
              <w:top w:val="single" w:color="000000" w:sz="4" w:space="0"/>
              <w:left w:val="single" w:color="000000" w:sz="4" w:space="0"/>
              <w:bottom w:val="single" w:color="000000" w:sz="4" w:space="0"/>
              <w:right w:val="single" w:color="000000" w:sz="4" w:space="0"/>
            </w:tcBorders>
            <w:vAlign w:val="center"/>
          </w:tcPr>
          <w:p>
            <w:pPr>
              <w:numPr>
                <w:ilvl w:val="0"/>
                <w:numId w:val="4"/>
              </w:numPr>
              <w:spacing w:line="300" w:lineRule="auto"/>
              <w:rPr>
                <w:rFonts w:ascii="宋体" w:hAnsi="宋体" w:cs="宋体"/>
                <w:sz w:val="24"/>
              </w:rPr>
            </w:pPr>
            <w:r>
              <w:rPr>
                <w:rFonts w:hint="eastAsia" w:ascii="宋体" w:hAnsi="宋体" w:cs="宋体"/>
                <w:sz w:val="24"/>
              </w:rPr>
              <w:t>自动贮存各种信息（内置存储器可存8年以上数据，包括降雨启始时间、结束时间、降雨量、停电、上电、故障等信息）。</w:t>
            </w:r>
          </w:p>
        </w:tc>
      </w:tr>
      <w:tr>
        <w:tblPrEx>
          <w:tblCellMar>
            <w:top w:w="0" w:type="dxa"/>
            <w:left w:w="108" w:type="dxa"/>
            <w:bottom w:w="0" w:type="dxa"/>
            <w:right w:w="108" w:type="dxa"/>
          </w:tblCellMar>
        </w:tblPrEx>
        <w:trPr>
          <w:trHeight w:val="470" w:hRule="atLeast"/>
        </w:trPr>
        <w:tc>
          <w:tcPr>
            <w:tcW w:w="598"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sz w:val="24"/>
              </w:rPr>
            </w:pPr>
          </w:p>
        </w:tc>
        <w:tc>
          <w:tcPr>
            <w:tcW w:w="171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sz w:val="24"/>
              </w:rPr>
            </w:pPr>
          </w:p>
        </w:tc>
        <w:tc>
          <w:tcPr>
            <w:tcW w:w="7335" w:type="dxa"/>
            <w:tcBorders>
              <w:top w:val="single" w:color="000000" w:sz="4" w:space="0"/>
              <w:left w:val="single" w:color="000000" w:sz="4" w:space="0"/>
              <w:bottom w:val="single" w:color="000000" w:sz="4" w:space="0"/>
              <w:right w:val="single" w:color="000000" w:sz="4" w:space="0"/>
            </w:tcBorders>
            <w:vAlign w:val="center"/>
          </w:tcPr>
          <w:p>
            <w:pPr>
              <w:numPr>
                <w:ilvl w:val="0"/>
                <w:numId w:val="4"/>
              </w:numPr>
              <w:spacing w:line="300" w:lineRule="auto"/>
              <w:rPr>
                <w:rFonts w:ascii="宋体" w:hAnsi="宋体" w:cs="宋体"/>
                <w:sz w:val="24"/>
              </w:rPr>
            </w:pPr>
            <w:r>
              <w:rPr>
                <w:rFonts w:hint="eastAsia" w:ascii="宋体" w:hAnsi="宋体" w:cs="宋体"/>
                <w:sz w:val="24"/>
              </w:rPr>
              <w:t>应配备标准RS-232/485串口,可远程通讯读取采样器数据。</w:t>
            </w:r>
          </w:p>
        </w:tc>
      </w:tr>
      <w:tr>
        <w:tblPrEx>
          <w:tblCellMar>
            <w:top w:w="0" w:type="dxa"/>
            <w:left w:w="108" w:type="dxa"/>
            <w:bottom w:w="0" w:type="dxa"/>
            <w:right w:w="108" w:type="dxa"/>
          </w:tblCellMar>
        </w:tblPrEx>
        <w:trPr>
          <w:trHeight w:val="470" w:hRule="atLeast"/>
        </w:trPr>
        <w:tc>
          <w:tcPr>
            <w:tcW w:w="598"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sz w:val="24"/>
              </w:rPr>
            </w:pPr>
          </w:p>
        </w:tc>
        <w:tc>
          <w:tcPr>
            <w:tcW w:w="171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sz w:val="24"/>
              </w:rPr>
            </w:pPr>
          </w:p>
        </w:tc>
        <w:tc>
          <w:tcPr>
            <w:tcW w:w="7335" w:type="dxa"/>
            <w:tcBorders>
              <w:top w:val="single" w:color="000000" w:sz="4" w:space="0"/>
              <w:left w:val="single" w:color="000000" w:sz="4" w:space="0"/>
              <w:bottom w:val="single" w:color="000000" w:sz="4" w:space="0"/>
              <w:right w:val="single" w:color="000000" w:sz="4" w:space="0"/>
            </w:tcBorders>
            <w:vAlign w:val="center"/>
          </w:tcPr>
          <w:p>
            <w:pPr>
              <w:numPr>
                <w:ilvl w:val="0"/>
                <w:numId w:val="4"/>
              </w:numPr>
              <w:spacing w:line="300" w:lineRule="auto"/>
              <w:rPr>
                <w:rFonts w:ascii="宋体" w:hAnsi="宋体" w:cs="宋体"/>
                <w:sz w:val="24"/>
              </w:rPr>
            </w:pPr>
            <w:r>
              <w:rPr>
                <w:rFonts w:hint="eastAsia" w:ascii="宋体" w:hAnsi="宋体" w:cs="宋体"/>
                <w:sz w:val="24"/>
              </w:rPr>
              <w:t>仪器应具有故障自检和报警功能，以及停电自动数据保护功能，停电、故障和非法开机时能发出报警。</w:t>
            </w:r>
          </w:p>
        </w:tc>
      </w:tr>
      <w:tr>
        <w:tblPrEx>
          <w:tblCellMar>
            <w:top w:w="0" w:type="dxa"/>
            <w:left w:w="108" w:type="dxa"/>
            <w:bottom w:w="0" w:type="dxa"/>
            <w:right w:w="108" w:type="dxa"/>
          </w:tblCellMar>
        </w:tblPrEx>
        <w:trPr>
          <w:trHeight w:val="470" w:hRule="atLeast"/>
        </w:trPr>
        <w:tc>
          <w:tcPr>
            <w:tcW w:w="598"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sz w:val="24"/>
              </w:rPr>
            </w:pPr>
          </w:p>
        </w:tc>
        <w:tc>
          <w:tcPr>
            <w:tcW w:w="171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sz w:val="24"/>
              </w:rPr>
            </w:pPr>
          </w:p>
        </w:tc>
        <w:tc>
          <w:tcPr>
            <w:tcW w:w="7335" w:type="dxa"/>
            <w:tcBorders>
              <w:top w:val="single" w:color="000000" w:sz="4" w:space="0"/>
              <w:left w:val="single" w:color="000000" w:sz="4" w:space="0"/>
              <w:bottom w:val="single" w:color="000000" w:sz="4" w:space="0"/>
              <w:right w:val="single" w:color="000000" w:sz="4" w:space="0"/>
            </w:tcBorders>
            <w:vAlign w:val="center"/>
          </w:tcPr>
          <w:p>
            <w:pPr>
              <w:numPr>
                <w:ilvl w:val="0"/>
                <w:numId w:val="4"/>
              </w:numPr>
              <w:spacing w:line="300" w:lineRule="auto"/>
              <w:rPr>
                <w:rFonts w:ascii="宋体" w:hAnsi="宋体" w:cs="宋体"/>
                <w:sz w:val="24"/>
              </w:rPr>
            </w:pPr>
            <w:r>
              <w:rPr>
                <w:rFonts w:hint="eastAsia" w:ascii="宋体" w:hAnsi="宋体" w:cs="宋体"/>
                <w:sz w:val="24"/>
              </w:rPr>
              <w:t>电源输入应具有稳压、防雷和过载保护功能。</w:t>
            </w:r>
          </w:p>
        </w:tc>
      </w:tr>
      <w:tr>
        <w:tblPrEx>
          <w:tblCellMar>
            <w:top w:w="0" w:type="dxa"/>
            <w:left w:w="108" w:type="dxa"/>
            <w:bottom w:w="0" w:type="dxa"/>
            <w:right w:w="108" w:type="dxa"/>
          </w:tblCellMar>
        </w:tblPrEx>
        <w:trPr>
          <w:trHeight w:val="470" w:hRule="atLeast"/>
        </w:trPr>
        <w:tc>
          <w:tcPr>
            <w:tcW w:w="598"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sz w:val="24"/>
              </w:rPr>
            </w:pPr>
          </w:p>
        </w:tc>
        <w:tc>
          <w:tcPr>
            <w:tcW w:w="171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sz w:val="24"/>
              </w:rPr>
            </w:pPr>
          </w:p>
        </w:tc>
        <w:tc>
          <w:tcPr>
            <w:tcW w:w="7335" w:type="dxa"/>
            <w:tcBorders>
              <w:top w:val="single" w:color="000000" w:sz="4" w:space="0"/>
              <w:left w:val="single" w:color="000000" w:sz="4" w:space="0"/>
              <w:bottom w:val="single" w:color="000000" w:sz="4" w:space="0"/>
              <w:right w:val="single" w:color="000000" w:sz="4" w:space="0"/>
            </w:tcBorders>
            <w:vAlign w:val="center"/>
          </w:tcPr>
          <w:p>
            <w:pPr>
              <w:numPr>
                <w:ilvl w:val="0"/>
                <w:numId w:val="4"/>
              </w:numPr>
              <w:spacing w:line="300" w:lineRule="auto"/>
              <w:rPr>
                <w:rFonts w:ascii="宋体" w:hAnsi="宋体" w:cs="宋体"/>
                <w:sz w:val="24"/>
              </w:rPr>
            </w:pPr>
            <w:r>
              <w:rPr>
                <w:rFonts w:hint="eastAsia" w:ascii="宋体" w:hAnsi="宋体" w:cs="宋体"/>
                <w:sz w:val="24"/>
              </w:rPr>
              <w:t>开盖延时：≤10s（可设）。</w:t>
            </w:r>
          </w:p>
        </w:tc>
      </w:tr>
      <w:tr>
        <w:tblPrEx>
          <w:tblCellMar>
            <w:top w:w="0" w:type="dxa"/>
            <w:left w:w="108" w:type="dxa"/>
            <w:bottom w:w="0" w:type="dxa"/>
            <w:right w:w="108" w:type="dxa"/>
          </w:tblCellMar>
        </w:tblPrEx>
        <w:trPr>
          <w:trHeight w:val="470" w:hRule="atLeast"/>
        </w:trPr>
        <w:tc>
          <w:tcPr>
            <w:tcW w:w="598"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sz w:val="24"/>
              </w:rPr>
            </w:pPr>
          </w:p>
        </w:tc>
        <w:tc>
          <w:tcPr>
            <w:tcW w:w="171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sz w:val="24"/>
              </w:rPr>
            </w:pPr>
          </w:p>
        </w:tc>
        <w:tc>
          <w:tcPr>
            <w:tcW w:w="7335" w:type="dxa"/>
            <w:tcBorders>
              <w:top w:val="single" w:color="000000" w:sz="4" w:space="0"/>
              <w:left w:val="single" w:color="000000" w:sz="4" w:space="0"/>
              <w:bottom w:val="single" w:color="000000" w:sz="4" w:space="0"/>
              <w:right w:val="single" w:color="000000" w:sz="4" w:space="0"/>
            </w:tcBorders>
            <w:vAlign w:val="center"/>
          </w:tcPr>
          <w:p>
            <w:pPr>
              <w:numPr>
                <w:ilvl w:val="0"/>
                <w:numId w:val="4"/>
              </w:numPr>
              <w:spacing w:line="300" w:lineRule="auto"/>
              <w:rPr>
                <w:rFonts w:ascii="宋体" w:hAnsi="宋体" w:cs="宋体"/>
                <w:sz w:val="24"/>
              </w:rPr>
            </w:pPr>
            <w:r>
              <w:rPr>
                <w:rFonts w:hint="eastAsia" w:ascii="宋体" w:hAnsi="宋体" w:cs="宋体"/>
                <w:sz w:val="24"/>
              </w:rPr>
              <w:t>关盖延时：≤200s（可设）。</w:t>
            </w:r>
          </w:p>
        </w:tc>
      </w:tr>
      <w:tr>
        <w:tblPrEx>
          <w:tblCellMar>
            <w:top w:w="0" w:type="dxa"/>
            <w:left w:w="108" w:type="dxa"/>
            <w:bottom w:w="0" w:type="dxa"/>
            <w:right w:w="108" w:type="dxa"/>
          </w:tblCellMar>
        </w:tblPrEx>
        <w:trPr>
          <w:trHeight w:val="470" w:hRule="atLeast"/>
        </w:trPr>
        <w:tc>
          <w:tcPr>
            <w:tcW w:w="598"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sz w:val="24"/>
              </w:rPr>
            </w:pPr>
          </w:p>
        </w:tc>
        <w:tc>
          <w:tcPr>
            <w:tcW w:w="171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sz w:val="24"/>
              </w:rPr>
            </w:pPr>
          </w:p>
        </w:tc>
        <w:tc>
          <w:tcPr>
            <w:tcW w:w="7335" w:type="dxa"/>
            <w:tcBorders>
              <w:top w:val="single" w:color="000000" w:sz="4" w:space="0"/>
              <w:left w:val="single" w:color="000000" w:sz="4" w:space="0"/>
              <w:bottom w:val="single" w:color="000000" w:sz="4" w:space="0"/>
              <w:right w:val="single" w:color="000000" w:sz="4" w:space="0"/>
            </w:tcBorders>
            <w:vAlign w:val="center"/>
          </w:tcPr>
          <w:p>
            <w:pPr>
              <w:numPr>
                <w:ilvl w:val="0"/>
                <w:numId w:val="4"/>
              </w:numPr>
              <w:spacing w:line="300" w:lineRule="auto"/>
              <w:rPr>
                <w:rFonts w:ascii="宋体" w:hAnsi="宋体" w:cs="宋体"/>
                <w:sz w:val="24"/>
              </w:rPr>
            </w:pPr>
            <w:r>
              <w:rPr>
                <w:rFonts w:hint="eastAsia" w:ascii="宋体" w:hAnsi="宋体" w:cs="宋体"/>
                <w:sz w:val="24"/>
              </w:rPr>
              <w:t>计时误差：≤±0.1%。</w:t>
            </w:r>
          </w:p>
        </w:tc>
      </w:tr>
      <w:tr>
        <w:tblPrEx>
          <w:tblCellMar>
            <w:top w:w="0" w:type="dxa"/>
            <w:left w:w="108" w:type="dxa"/>
            <w:bottom w:w="0" w:type="dxa"/>
            <w:right w:w="108" w:type="dxa"/>
          </w:tblCellMar>
        </w:tblPrEx>
        <w:trPr>
          <w:trHeight w:val="470" w:hRule="atLeast"/>
        </w:trPr>
        <w:tc>
          <w:tcPr>
            <w:tcW w:w="598"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sz w:val="24"/>
              </w:rPr>
            </w:pPr>
          </w:p>
        </w:tc>
        <w:tc>
          <w:tcPr>
            <w:tcW w:w="171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sz w:val="24"/>
              </w:rPr>
            </w:pPr>
          </w:p>
        </w:tc>
        <w:tc>
          <w:tcPr>
            <w:tcW w:w="7335" w:type="dxa"/>
            <w:tcBorders>
              <w:top w:val="single" w:color="000000" w:sz="4" w:space="0"/>
              <w:left w:val="single" w:color="000000" w:sz="4" w:space="0"/>
              <w:bottom w:val="single" w:color="000000" w:sz="4" w:space="0"/>
              <w:right w:val="single" w:color="000000" w:sz="4" w:space="0"/>
            </w:tcBorders>
            <w:vAlign w:val="center"/>
          </w:tcPr>
          <w:p>
            <w:pPr>
              <w:numPr>
                <w:ilvl w:val="0"/>
                <w:numId w:val="4"/>
              </w:numPr>
              <w:spacing w:line="300" w:lineRule="auto"/>
              <w:rPr>
                <w:rFonts w:ascii="宋体" w:hAnsi="宋体" w:cs="宋体"/>
                <w:sz w:val="24"/>
              </w:rPr>
            </w:pPr>
            <w:r>
              <w:rPr>
                <w:rFonts w:hint="eastAsia" w:ascii="宋体" w:hAnsi="宋体" w:cs="宋体"/>
                <w:sz w:val="24"/>
              </w:rPr>
              <w:t>采样器噪声：≤60dB。</w:t>
            </w:r>
          </w:p>
        </w:tc>
      </w:tr>
      <w:tr>
        <w:tblPrEx>
          <w:tblCellMar>
            <w:top w:w="0" w:type="dxa"/>
            <w:left w:w="108" w:type="dxa"/>
            <w:bottom w:w="0" w:type="dxa"/>
            <w:right w:w="108" w:type="dxa"/>
          </w:tblCellMar>
        </w:tblPrEx>
        <w:trPr>
          <w:trHeight w:val="470" w:hRule="atLeast"/>
        </w:trPr>
        <w:tc>
          <w:tcPr>
            <w:tcW w:w="598"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sz w:val="24"/>
              </w:rPr>
            </w:pPr>
          </w:p>
        </w:tc>
        <w:tc>
          <w:tcPr>
            <w:tcW w:w="171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sz w:val="24"/>
              </w:rPr>
            </w:pPr>
          </w:p>
        </w:tc>
        <w:tc>
          <w:tcPr>
            <w:tcW w:w="7335" w:type="dxa"/>
            <w:tcBorders>
              <w:top w:val="single" w:color="000000" w:sz="4" w:space="0"/>
              <w:left w:val="single" w:color="000000" w:sz="4" w:space="0"/>
              <w:bottom w:val="single" w:color="000000" w:sz="4" w:space="0"/>
              <w:right w:val="single" w:color="000000" w:sz="4" w:space="0"/>
            </w:tcBorders>
            <w:vAlign w:val="center"/>
          </w:tcPr>
          <w:p>
            <w:pPr>
              <w:numPr>
                <w:ilvl w:val="0"/>
                <w:numId w:val="4"/>
              </w:numPr>
              <w:spacing w:line="300" w:lineRule="auto"/>
              <w:rPr>
                <w:rFonts w:ascii="宋体" w:hAnsi="宋体" w:cs="宋体"/>
                <w:sz w:val="24"/>
              </w:rPr>
            </w:pPr>
            <w:r>
              <w:rPr>
                <w:rFonts w:hint="eastAsia" w:ascii="宋体" w:hAnsi="宋体" w:cs="宋体"/>
                <w:sz w:val="24"/>
              </w:rPr>
              <w:t>MTBF：≥2000h。</w:t>
            </w:r>
          </w:p>
        </w:tc>
      </w:tr>
      <w:tr>
        <w:tblPrEx>
          <w:tblCellMar>
            <w:top w:w="0" w:type="dxa"/>
            <w:left w:w="108" w:type="dxa"/>
            <w:bottom w:w="0" w:type="dxa"/>
            <w:right w:w="108" w:type="dxa"/>
          </w:tblCellMar>
        </w:tblPrEx>
        <w:trPr>
          <w:trHeight w:val="470" w:hRule="atLeast"/>
        </w:trPr>
        <w:tc>
          <w:tcPr>
            <w:tcW w:w="598"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sz w:val="24"/>
              </w:rPr>
            </w:pPr>
          </w:p>
        </w:tc>
        <w:tc>
          <w:tcPr>
            <w:tcW w:w="171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sz w:val="24"/>
              </w:rPr>
            </w:pPr>
          </w:p>
        </w:tc>
        <w:tc>
          <w:tcPr>
            <w:tcW w:w="7335" w:type="dxa"/>
            <w:tcBorders>
              <w:top w:val="single" w:color="000000" w:sz="4" w:space="0"/>
              <w:left w:val="single" w:color="000000" w:sz="4" w:space="0"/>
              <w:bottom w:val="single" w:color="000000" w:sz="4" w:space="0"/>
              <w:right w:val="single" w:color="000000" w:sz="4" w:space="0"/>
            </w:tcBorders>
            <w:vAlign w:val="center"/>
          </w:tcPr>
          <w:p>
            <w:pPr>
              <w:numPr>
                <w:ilvl w:val="0"/>
                <w:numId w:val="4"/>
              </w:numPr>
              <w:spacing w:line="300" w:lineRule="auto"/>
              <w:rPr>
                <w:rFonts w:ascii="宋体" w:hAnsi="宋体" w:cs="宋体"/>
                <w:sz w:val="24"/>
              </w:rPr>
            </w:pPr>
            <w:r>
              <w:rPr>
                <w:rFonts w:hint="eastAsia" w:ascii="宋体" w:hAnsi="宋体" w:cs="Arial"/>
                <w:b/>
                <w:sz w:val="24"/>
              </w:rPr>
              <w:t>★</w:t>
            </w:r>
            <w:r>
              <w:rPr>
                <w:rFonts w:hint="eastAsia" w:ascii="宋体" w:hAnsi="宋体" w:cs="宋体"/>
                <w:sz w:val="24"/>
              </w:rPr>
              <w:t>防护等级不低于IP54（需提供具有CMA和CNAS资质的检测机构出具的证书）</w:t>
            </w:r>
          </w:p>
        </w:tc>
      </w:tr>
      <w:tr>
        <w:tblPrEx>
          <w:tblCellMar>
            <w:top w:w="0" w:type="dxa"/>
            <w:left w:w="108" w:type="dxa"/>
            <w:bottom w:w="0" w:type="dxa"/>
            <w:right w:w="108" w:type="dxa"/>
          </w:tblCellMar>
        </w:tblPrEx>
        <w:trPr>
          <w:trHeight w:val="470" w:hRule="atLeast"/>
        </w:trPr>
        <w:tc>
          <w:tcPr>
            <w:tcW w:w="598"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sz w:val="24"/>
              </w:rPr>
            </w:pPr>
          </w:p>
        </w:tc>
        <w:tc>
          <w:tcPr>
            <w:tcW w:w="171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sz w:val="24"/>
              </w:rPr>
            </w:pPr>
          </w:p>
        </w:tc>
        <w:tc>
          <w:tcPr>
            <w:tcW w:w="7335" w:type="dxa"/>
            <w:tcBorders>
              <w:top w:val="single" w:color="000000" w:sz="4" w:space="0"/>
              <w:left w:val="single" w:color="000000" w:sz="4" w:space="0"/>
              <w:bottom w:val="single" w:color="000000" w:sz="4" w:space="0"/>
              <w:right w:val="single" w:color="000000" w:sz="4" w:space="0"/>
            </w:tcBorders>
            <w:vAlign w:val="center"/>
          </w:tcPr>
          <w:p>
            <w:pPr>
              <w:numPr>
                <w:ilvl w:val="0"/>
                <w:numId w:val="4"/>
              </w:numPr>
              <w:spacing w:line="300" w:lineRule="auto"/>
              <w:rPr>
                <w:rFonts w:ascii="宋体" w:hAnsi="宋体" w:cs="宋体"/>
                <w:sz w:val="24"/>
              </w:rPr>
            </w:pPr>
            <w:r>
              <w:rPr>
                <w:rFonts w:hint="eastAsia" w:ascii="宋体" w:hAnsi="宋体" w:cs="宋体"/>
                <w:sz w:val="24"/>
              </w:rPr>
              <w:t>降雨量测量误差：±0.4mm（≤10mm），降雨量＞10mm时测量误差≤±4%。</w:t>
            </w:r>
          </w:p>
        </w:tc>
      </w:tr>
      <w:tr>
        <w:tblPrEx>
          <w:tblCellMar>
            <w:top w:w="0" w:type="dxa"/>
            <w:left w:w="108" w:type="dxa"/>
            <w:bottom w:w="0" w:type="dxa"/>
            <w:right w:w="108" w:type="dxa"/>
          </w:tblCellMar>
        </w:tblPrEx>
        <w:trPr>
          <w:trHeight w:val="170" w:hRule="atLeast"/>
        </w:trPr>
        <w:tc>
          <w:tcPr>
            <w:tcW w:w="598"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hAnsi="宋体" w:cs="宋体"/>
                <w:sz w:val="24"/>
              </w:rPr>
            </w:pPr>
            <w:r>
              <w:rPr>
                <w:rFonts w:hint="eastAsia" w:ascii="宋体" w:hAnsi="宋体" w:cs="宋体"/>
                <w:sz w:val="24"/>
              </w:rPr>
              <w:t>2</w:t>
            </w:r>
          </w:p>
        </w:tc>
        <w:tc>
          <w:tcPr>
            <w:tcW w:w="1710"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auto"/>
              <w:rPr>
                <w:rFonts w:ascii="宋体" w:hAnsi="宋体" w:cs="宋体"/>
                <w:sz w:val="24"/>
              </w:rPr>
            </w:pPr>
            <w:r>
              <w:rPr>
                <w:rFonts w:hint="eastAsia" w:ascii="宋体" w:hAnsi="宋体" w:cs="宋体"/>
                <w:sz w:val="24"/>
              </w:rPr>
              <w:t>全性能降水自动监测系统</w:t>
            </w:r>
          </w:p>
        </w:tc>
        <w:tc>
          <w:tcPr>
            <w:tcW w:w="7335" w:type="dxa"/>
            <w:tcBorders>
              <w:top w:val="single" w:color="000000" w:sz="4" w:space="0"/>
              <w:left w:val="single" w:color="000000" w:sz="4" w:space="0"/>
              <w:bottom w:val="single" w:color="000000" w:sz="4" w:space="0"/>
              <w:right w:val="single" w:color="000000" w:sz="4" w:space="0"/>
            </w:tcBorders>
          </w:tcPr>
          <w:p>
            <w:pPr>
              <w:numPr>
                <w:ilvl w:val="0"/>
                <w:numId w:val="5"/>
              </w:numPr>
              <w:spacing w:line="300" w:lineRule="auto"/>
              <w:rPr>
                <w:rFonts w:ascii="宋体" w:hAnsi="宋体" w:cs="宋体"/>
                <w:sz w:val="24"/>
              </w:rPr>
            </w:pPr>
            <w:r>
              <w:rPr>
                <w:rFonts w:hint="eastAsia" w:ascii="宋体" w:hAnsi="宋体" w:cs="宋体"/>
                <w:sz w:val="24"/>
              </w:rPr>
              <w:t>系统应具有雨水中阴阳离子在线监测以及pH自动校准功能。</w:t>
            </w:r>
          </w:p>
        </w:tc>
      </w:tr>
      <w:tr>
        <w:tblPrEx>
          <w:tblCellMar>
            <w:top w:w="0" w:type="dxa"/>
            <w:left w:w="108" w:type="dxa"/>
            <w:bottom w:w="0" w:type="dxa"/>
            <w:right w:w="108" w:type="dxa"/>
          </w:tblCellMar>
        </w:tblPrEx>
        <w:trPr>
          <w:trHeight w:val="170" w:hRule="atLeast"/>
        </w:trPr>
        <w:tc>
          <w:tcPr>
            <w:tcW w:w="59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71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7335" w:type="dxa"/>
            <w:tcBorders>
              <w:top w:val="single" w:color="000000" w:sz="4" w:space="0"/>
              <w:left w:val="single" w:color="000000" w:sz="4" w:space="0"/>
              <w:bottom w:val="single" w:color="000000" w:sz="4" w:space="0"/>
              <w:right w:val="single" w:color="000000" w:sz="4" w:space="0"/>
            </w:tcBorders>
          </w:tcPr>
          <w:p>
            <w:pPr>
              <w:pStyle w:val="22"/>
              <w:numPr>
                <w:ilvl w:val="0"/>
                <w:numId w:val="5"/>
              </w:numPr>
              <w:spacing w:line="300" w:lineRule="auto"/>
              <w:ind w:firstLineChars="0"/>
              <w:rPr>
                <w:rFonts w:ascii="宋体" w:hAnsi="宋体" w:cs="宋体"/>
                <w:sz w:val="24"/>
              </w:rPr>
            </w:pPr>
            <w:r>
              <w:rPr>
                <w:rFonts w:hint="eastAsia" w:ascii="宋体" w:hAnsi="宋体" w:cs="Arial"/>
                <w:b/>
                <w:sz w:val="24"/>
              </w:rPr>
              <w:t>★</w:t>
            </w:r>
            <w:r>
              <w:rPr>
                <w:rFonts w:hint="eastAsia" w:ascii="宋体" w:hAnsi="宋体" w:cs="宋体"/>
                <w:sz w:val="24"/>
              </w:rPr>
              <w:t>监测仪电源输入端对外壳（接地端）的绝缘电阻≥150MΩ（需提供降水监测设备检测报告证明）。</w:t>
            </w:r>
          </w:p>
        </w:tc>
      </w:tr>
      <w:tr>
        <w:tblPrEx>
          <w:tblCellMar>
            <w:top w:w="0" w:type="dxa"/>
            <w:left w:w="108" w:type="dxa"/>
            <w:bottom w:w="0" w:type="dxa"/>
            <w:right w:w="108" w:type="dxa"/>
          </w:tblCellMar>
        </w:tblPrEx>
        <w:trPr>
          <w:trHeight w:val="170" w:hRule="atLeast"/>
        </w:trPr>
        <w:tc>
          <w:tcPr>
            <w:tcW w:w="59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71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7335" w:type="dxa"/>
            <w:tcBorders>
              <w:top w:val="single" w:color="000000" w:sz="4" w:space="0"/>
              <w:left w:val="single" w:color="000000" w:sz="4" w:space="0"/>
              <w:bottom w:val="single" w:color="000000" w:sz="4" w:space="0"/>
              <w:right w:val="single" w:color="000000" w:sz="4" w:space="0"/>
            </w:tcBorders>
          </w:tcPr>
          <w:p>
            <w:pPr>
              <w:numPr>
                <w:ilvl w:val="0"/>
                <w:numId w:val="5"/>
              </w:numPr>
              <w:spacing w:line="300" w:lineRule="auto"/>
              <w:rPr>
                <w:rFonts w:ascii="宋体" w:hAnsi="宋体" w:cs="宋体"/>
                <w:sz w:val="24"/>
              </w:rPr>
            </w:pPr>
            <w:r>
              <w:rPr>
                <w:rFonts w:hint="eastAsia" w:ascii="宋体" w:hAnsi="宋体" w:cs="Arial"/>
                <w:b/>
                <w:sz w:val="24"/>
              </w:rPr>
              <w:t>★</w:t>
            </w:r>
            <w:r>
              <w:rPr>
                <w:rFonts w:hint="eastAsia" w:ascii="宋体" w:hAnsi="宋体" w:cs="宋体"/>
                <w:sz w:val="24"/>
              </w:rPr>
              <w:t>监测仪电源输入端对外壳之间施加50Hz、1500V的交流电压1min，应无异常现象（需提供降水监测设备检测报告证明）。</w:t>
            </w:r>
          </w:p>
        </w:tc>
      </w:tr>
      <w:tr>
        <w:tblPrEx>
          <w:tblCellMar>
            <w:top w:w="0" w:type="dxa"/>
            <w:left w:w="108" w:type="dxa"/>
            <w:bottom w:w="0" w:type="dxa"/>
            <w:right w:w="108" w:type="dxa"/>
          </w:tblCellMar>
        </w:tblPrEx>
        <w:trPr>
          <w:trHeight w:val="170" w:hRule="atLeast"/>
        </w:trPr>
        <w:tc>
          <w:tcPr>
            <w:tcW w:w="59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71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7335" w:type="dxa"/>
            <w:tcBorders>
              <w:top w:val="single" w:color="000000" w:sz="4" w:space="0"/>
              <w:left w:val="single" w:color="000000" w:sz="4" w:space="0"/>
              <w:bottom w:val="single" w:color="000000" w:sz="4" w:space="0"/>
              <w:right w:val="single" w:color="000000" w:sz="4" w:space="0"/>
            </w:tcBorders>
          </w:tcPr>
          <w:p>
            <w:pPr>
              <w:numPr>
                <w:ilvl w:val="0"/>
                <w:numId w:val="5"/>
              </w:numPr>
              <w:spacing w:line="300" w:lineRule="auto"/>
              <w:rPr>
                <w:rFonts w:ascii="宋体" w:hAnsi="宋体" w:cs="宋体"/>
                <w:sz w:val="24"/>
              </w:rPr>
            </w:pPr>
            <w:r>
              <w:rPr>
                <w:rFonts w:hint="eastAsia" w:ascii="宋体" w:hAnsi="宋体" w:cs="宋体"/>
                <w:sz w:val="24"/>
              </w:rPr>
              <w:t>系统应具有数据存储及通讯功能（需提供中环协委托机构出具的降水监测设备检测报告证明）。</w:t>
            </w:r>
          </w:p>
        </w:tc>
      </w:tr>
      <w:tr>
        <w:tblPrEx>
          <w:tblCellMar>
            <w:top w:w="0" w:type="dxa"/>
            <w:left w:w="108" w:type="dxa"/>
            <w:bottom w:w="0" w:type="dxa"/>
            <w:right w:w="108" w:type="dxa"/>
          </w:tblCellMar>
        </w:tblPrEx>
        <w:trPr>
          <w:trHeight w:val="170" w:hRule="atLeast"/>
        </w:trPr>
        <w:tc>
          <w:tcPr>
            <w:tcW w:w="59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71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7335" w:type="dxa"/>
            <w:tcBorders>
              <w:top w:val="single" w:color="000000" w:sz="4" w:space="0"/>
              <w:left w:val="single" w:color="000000" w:sz="4" w:space="0"/>
              <w:bottom w:val="single" w:color="000000" w:sz="4" w:space="0"/>
              <w:right w:val="single" w:color="000000" w:sz="4" w:space="0"/>
            </w:tcBorders>
          </w:tcPr>
          <w:p>
            <w:pPr>
              <w:numPr>
                <w:ilvl w:val="0"/>
                <w:numId w:val="5"/>
              </w:numPr>
              <w:spacing w:line="300" w:lineRule="auto"/>
              <w:rPr>
                <w:rFonts w:ascii="宋体" w:hAnsi="宋体" w:cs="宋体"/>
                <w:sz w:val="24"/>
              </w:rPr>
            </w:pPr>
            <w:r>
              <w:rPr>
                <w:rFonts w:hint="eastAsia" w:ascii="宋体" w:hAnsi="宋体" w:cs="宋体"/>
                <w:sz w:val="24"/>
              </w:rPr>
              <w:t>系统应采用连续自动电解再生微膜抑制器，可免除配制硫酸等抑制液烦恼。</w:t>
            </w:r>
          </w:p>
        </w:tc>
      </w:tr>
      <w:tr>
        <w:tblPrEx>
          <w:tblCellMar>
            <w:top w:w="0" w:type="dxa"/>
            <w:left w:w="108" w:type="dxa"/>
            <w:bottom w:w="0" w:type="dxa"/>
            <w:right w:w="108" w:type="dxa"/>
          </w:tblCellMar>
        </w:tblPrEx>
        <w:trPr>
          <w:trHeight w:val="170" w:hRule="atLeast"/>
        </w:trPr>
        <w:tc>
          <w:tcPr>
            <w:tcW w:w="59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71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7335" w:type="dxa"/>
            <w:tcBorders>
              <w:top w:val="single" w:color="000000" w:sz="4" w:space="0"/>
              <w:left w:val="single" w:color="000000" w:sz="4" w:space="0"/>
              <w:bottom w:val="single" w:color="000000" w:sz="4" w:space="0"/>
              <w:right w:val="single" w:color="000000" w:sz="4" w:space="0"/>
            </w:tcBorders>
          </w:tcPr>
          <w:p>
            <w:pPr>
              <w:numPr>
                <w:ilvl w:val="0"/>
                <w:numId w:val="5"/>
              </w:numPr>
              <w:spacing w:line="300" w:lineRule="auto"/>
              <w:rPr>
                <w:rFonts w:ascii="宋体" w:hAnsi="宋体" w:cs="宋体"/>
                <w:sz w:val="24"/>
              </w:rPr>
            </w:pPr>
            <w:r>
              <w:rPr>
                <w:rFonts w:hint="eastAsia" w:ascii="宋体" w:hAnsi="宋体" w:cs="宋体"/>
                <w:sz w:val="24"/>
              </w:rPr>
              <w:t>检测器应采用数字型控温电导池，检测频率100Hz、耐压能力10MPa，并且应具有死体积小、高效控温、温度补偿等功能。</w:t>
            </w:r>
          </w:p>
        </w:tc>
      </w:tr>
      <w:tr>
        <w:tblPrEx>
          <w:tblCellMar>
            <w:top w:w="0" w:type="dxa"/>
            <w:left w:w="108" w:type="dxa"/>
            <w:bottom w:w="0" w:type="dxa"/>
            <w:right w:w="108" w:type="dxa"/>
          </w:tblCellMar>
        </w:tblPrEx>
        <w:trPr>
          <w:trHeight w:val="170" w:hRule="atLeast"/>
        </w:trPr>
        <w:tc>
          <w:tcPr>
            <w:tcW w:w="59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71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7335" w:type="dxa"/>
            <w:tcBorders>
              <w:top w:val="single" w:color="000000" w:sz="4" w:space="0"/>
              <w:left w:val="single" w:color="000000" w:sz="4" w:space="0"/>
              <w:bottom w:val="single" w:color="000000" w:sz="4" w:space="0"/>
              <w:right w:val="single" w:color="000000" w:sz="4" w:space="0"/>
            </w:tcBorders>
          </w:tcPr>
          <w:p>
            <w:pPr>
              <w:numPr>
                <w:ilvl w:val="0"/>
                <w:numId w:val="5"/>
              </w:numPr>
              <w:spacing w:line="300" w:lineRule="auto"/>
              <w:rPr>
                <w:rFonts w:ascii="宋体" w:hAnsi="宋体" w:cs="宋体"/>
                <w:sz w:val="24"/>
              </w:rPr>
            </w:pPr>
            <w:r>
              <w:rPr>
                <w:rFonts w:hint="eastAsia" w:ascii="宋体" w:hAnsi="宋体" w:cs="宋体"/>
                <w:sz w:val="24"/>
              </w:rPr>
              <w:t>检测器应自带“自动范围设定”数字控制功能，提供动态检测范围，允许一次进样可同时检测高含量和低含量组分。</w:t>
            </w:r>
          </w:p>
        </w:tc>
      </w:tr>
      <w:tr>
        <w:tblPrEx>
          <w:tblCellMar>
            <w:top w:w="0" w:type="dxa"/>
            <w:left w:w="108" w:type="dxa"/>
            <w:bottom w:w="0" w:type="dxa"/>
            <w:right w:w="108" w:type="dxa"/>
          </w:tblCellMar>
        </w:tblPrEx>
        <w:trPr>
          <w:trHeight w:val="170" w:hRule="atLeast"/>
        </w:trPr>
        <w:tc>
          <w:tcPr>
            <w:tcW w:w="59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71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7335" w:type="dxa"/>
            <w:tcBorders>
              <w:top w:val="single" w:color="000000" w:sz="4" w:space="0"/>
              <w:left w:val="single" w:color="000000" w:sz="4" w:space="0"/>
              <w:bottom w:val="single" w:color="000000" w:sz="4" w:space="0"/>
              <w:right w:val="single" w:color="000000" w:sz="4" w:space="0"/>
            </w:tcBorders>
          </w:tcPr>
          <w:p>
            <w:pPr>
              <w:numPr>
                <w:ilvl w:val="0"/>
                <w:numId w:val="5"/>
              </w:numPr>
              <w:spacing w:line="300" w:lineRule="auto"/>
              <w:rPr>
                <w:rFonts w:ascii="宋体" w:hAnsi="宋体" w:cs="宋体"/>
                <w:sz w:val="24"/>
              </w:rPr>
            </w:pPr>
            <w:r>
              <w:rPr>
                <w:rFonts w:hint="eastAsia" w:ascii="宋体" w:hAnsi="宋体" w:cs="宋体"/>
                <w:sz w:val="24"/>
              </w:rPr>
              <w:t>系统应采用电解淋洗液发生器，只需定期补充纯水即可在线产生所需浓度淋洗液，且可兼容KOH、NaOH、MSA等淋洗液的梯度淋洗要求。</w:t>
            </w:r>
          </w:p>
        </w:tc>
      </w:tr>
      <w:tr>
        <w:tblPrEx>
          <w:tblCellMar>
            <w:top w:w="0" w:type="dxa"/>
            <w:left w:w="108" w:type="dxa"/>
            <w:bottom w:w="0" w:type="dxa"/>
            <w:right w:w="108" w:type="dxa"/>
          </w:tblCellMar>
        </w:tblPrEx>
        <w:trPr>
          <w:trHeight w:val="170" w:hRule="atLeast"/>
        </w:trPr>
        <w:tc>
          <w:tcPr>
            <w:tcW w:w="59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71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7335" w:type="dxa"/>
            <w:tcBorders>
              <w:top w:val="single" w:color="000000" w:sz="4" w:space="0"/>
              <w:left w:val="single" w:color="000000" w:sz="4" w:space="0"/>
              <w:bottom w:val="single" w:color="000000" w:sz="4" w:space="0"/>
              <w:right w:val="single" w:color="000000" w:sz="4" w:space="0"/>
            </w:tcBorders>
          </w:tcPr>
          <w:p>
            <w:pPr>
              <w:numPr>
                <w:ilvl w:val="0"/>
                <w:numId w:val="5"/>
              </w:numPr>
              <w:spacing w:line="300" w:lineRule="auto"/>
              <w:rPr>
                <w:rFonts w:ascii="宋体" w:hAnsi="宋体" w:cs="宋体"/>
                <w:sz w:val="24"/>
              </w:rPr>
            </w:pPr>
            <w:r>
              <w:rPr>
                <w:rFonts w:hint="eastAsia" w:ascii="宋体" w:hAnsi="宋体" w:cs="宋体"/>
                <w:sz w:val="24"/>
              </w:rPr>
              <w:t>自动贮存各种信息（内置存储器可存8年以上数据，包括停电、上电、故障等信息）。</w:t>
            </w:r>
          </w:p>
        </w:tc>
      </w:tr>
      <w:tr>
        <w:tblPrEx>
          <w:tblCellMar>
            <w:top w:w="0" w:type="dxa"/>
            <w:left w:w="108" w:type="dxa"/>
            <w:bottom w:w="0" w:type="dxa"/>
            <w:right w:w="108" w:type="dxa"/>
          </w:tblCellMar>
        </w:tblPrEx>
        <w:trPr>
          <w:trHeight w:val="170" w:hRule="atLeast"/>
        </w:trPr>
        <w:tc>
          <w:tcPr>
            <w:tcW w:w="59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71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7335" w:type="dxa"/>
            <w:tcBorders>
              <w:top w:val="single" w:color="000000" w:sz="4" w:space="0"/>
              <w:left w:val="single" w:color="000000" w:sz="4" w:space="0"/>
              <w:bottom w:val="single" w:color="000000" w:sz="4" w:space="0"/>
              <w:right w:val="single" w:color="000000" w:sz="4" w:space="0"/>
            </w:tcBorders>
          </w:tcPr>
          <w:p>
            <w:pPr>
              <w:numPr>
                <w:ilvl w:val="0"/>
                <w:numId w:val="5"/>
              </w:numPr>
              <w:spacing w:line="300" w:lineRule="auto"/>
              <w:rPr>
                <w:rFonts w:ascii="宋体" w:hAnsi="宋体" w:cs="宋体"/>
                <w:sz w:val="24"/>
              </w:rPr>
            </w:pPr>
            <w:r>
              <w:rPr>
                <w:rFonts w:hint="eastAsia" w:ascii="宋体" w:hAnsi="宋体" w:cs="宋体"/>
                <w:sz w:val="24"/>
              </w:rPr>
              <w:t>可实现雨水样品的在线自动过滤，过滤方法采用与实验室完全一致的方法。</w:t>
            </w:r>
          </w:p>
        </w:tc>
      </w:tr>
      <w:tr>
        <w:tblPrEx>
          <w:tblCellMar>
            <w:top w:w="0" w:type="dxa"/>
            <w:left w:w="108" w:type="dxa"/>
            <w:bottom w:w="0" w:type="dxa"/>
            <w:right w:w="108" w:type="dxa"/>
          </w:tblCellMar>
        </w:tblPrEx>
        <w:trPr>
          <w:trHeight w:val="170" w:hRule="atLeast"/>
        </w:trPr>
        <w:tc>
          <w:tcPr>
            <w:tcW w:w="59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71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7335" w:type="dxa"/>
            <w:tcBorders>
              <w:top w:val="single" w:color="000000" w:sz="4" w:space="0"/>
              <w:left w:val="single" w:color="000000" w:sz="4" w:space="0"/>
              <w:bottom w:val="single" w:color="000000" w:sz="4" w:space="0"/>
              <w:right w:val="single" w:color="000000" w:sz="4" w:space="0"/>
            </w:tcBorders>
          </w:tcPr>
          <w:p>
            <w:pPr>
              <w:numPr>
                <w:ilvl w:val="0"/>
                <w:numId w:val="5"/>
              </w:numPr>
              <w:spacing w:line="300" w:lineRule="auto"/>
              <w:rPr>
                <w:rFonts w:ascii="宋体" w:hAnsi="宋体" w:cs="宋体"/>
                <w:sz w:val="24"/>
              </w:rPr>
            </w:pPr>
            <w:r>
              <w:rPr>
                <w:rFonts w:hint="eastAsia" w:ascii="宋体" w:hAnsi="宋体" w:cs="宋体"/>
                <w:sz w:val="24"/>
              </w:rPr>
              <w:t>管路应具有无残留自动切换功能。</w:t>
            </w:r>
          </w:p>
        </w:tc>
      </w:tr>
      <w:tr>
        <w:tblPrEx>
          <w:tblCellMar>
            <w:top w:w="0" w:type="dxa"/>
            <w:left w:w="108" w:type="dxa"/>
            <w:bottom w:w="0" w:type="dxa"/>
            <w:right w:w="108" w:type="dxa"/>
          </w:tblCellMar>
        </w:tblPrEx>
        <w:trPr>
          <w:trHeight w:val="170" w:hRule="atLeast"/>
        </w:trPr>
        <w:tc>
          <w:tcPr>
            <w:tcW w:w="59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71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7335" w:type="dxa"/>
            <w:tcBorders>
              <w:top w:val="single" w:color="000000" w:sz="4" w:space="0"/>
              <w:left w:val="single" w:color="000000" w:sz="4" w:space="0"/>
              <w:bottom w:val="single" w:color="000000" w:sz="4" w:space="0"/>
              <w:right w:val="single" w:color="000000" w:sz="4" w:space="0"/>
            </w:tcBorders>
          </w:tcPr>
          <w:p>
            <w:pPr>
              <w:numPr>
                <w:ilvl w:val="0"/>
                <w:numId w:val="5"/>
              </w:numPr>
              <w:spacing w:line="300" w:lineRule="auto"/>
              <w:rPr>
                <w:rFonts w:ascii="宋体" w:hAnsi="宋体" w:cs="宋体"/>
                <w:sz w:val="24"/>
              </w:rPr>
            </w:pPr>
            <w:r>
              <w:rPr>
                <w:rFonts w:hint="eastAsia" w:ascii="宋体" w:hAnsi="宋体" w:cs="宋体"/>
                <w:sz w:val="24"/>
              </w:rPr>
              <w:t>系统应具有样品自动进样及终点判断功能。</w:t>
            </w:r>
          </w:p>
        </w:tc>
      </w:tr>
      <w:tr>
        <w:tblPrEx>
          <w:tblCellMar>
            <w:top w:w="0" w:type="dxa"/>
            <w:left w:w="108" w:type="dxa"/>
            <w:bottom w:w="0" w:type="dxa"/>
            <w:right w:w="108" w:type="dxa"/>
          </w:tblCellMar>
        </w:tblPrEx>
        <w:trPr>
          <w:trHeight w:val="170" w:hRule="atLeast"/>
        </w:trPr>
        <w:tc>
          <w:tcPr>
            <w:tcW w:w="59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71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7335" w:type="dxa"/>
            <w:tcBorders>
              <w:top w:val="single" w:color="000000" w:sz="4" w:space="0"/>
              <w:left w:val="single" w:color="000000" w:sz="4" w:space="0"/>
              <w:bottom w:val="single" w:color="000000" w:sz="4" w:space="0"/>
              <w:right w:val="single" w:color="000000" w:sz="4" w:space="0"/>
            </w:tcBorders>
          </w:tcPr>
          <w:p>
            <w:pPr>
              <w:numPr>
                <w:ilvl w:val="0"/>
                <w:numId w:val="5"/>
              </w:numPr>
              <w:spacing w:line="300" w:lineRule="auto"/>
              <w:rPr>
                <w:rFonts w:ascii="宋体" w:hAnsi="宋体" w:cs="宋体"/>
                <w:sz w:val="24"/>
              </w:rPr>
            </w:pPr>
            <w:r>
              <w:rPr>
                <w:rFonts w:hint="eastAsia" w:ascii="宋体" w:hAnsi="宋体" w:cs="Arial"/>
                <w:b/>
                <w:sz w:val="24"/>
              </w:rPr>
              <w:t>★</w:t>
            </w:r>
            <w:r>
              <w:rPr>
                <w:rFonts w:hint="eastAsia" w:ascii="宋体" w:hAnsi="宋体" w:cs="宋体"/>
                <w:sz w:val="24"/>
              </w:rPr>
              <w:t>应采用管路增压清洗装置，保证系统清洗无死角。</w:t>
            </w:r>
          </w:p>
        </w:tc>
      </w:tr>
      <w:tr>
        <w:tblPrEx>
          <w:tblCellMar>
            <w:top w:w="0" w:type="dxa"/>
            <w:left w:w="108" w:type="dxa"/>
            <w:bottom w:w="0" w:type="dxa"/>
            <w:right w:w="108" w:type="dxa"/>
          </w:tblCellMar>
        </w:tblPrEx>
        <w:trPr>
          <w:trHeight w:val="516" w:hRule="atLeast"/>
        </w:trPr>
        <w:tc>
          <w:tcPr>
            <w:tcW w:w="59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71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7335" w:type="dxa"/>
            <w:tcBorders>
              <w:top w:val="single" w:color="000000" w:sz="4" w:space="0"/>
              <w:left w:val="single" w:color="000000" w:sz="4" w:space="0"/>
              <w:bottom w:val="single" w:color="000000" w:sz="4" w:space="0"/>
              <w:right w:val="single" w:color="000000" w:sz="4" w:space="0"/>
            </w:tcBorders>
          </w:tcPr>
          <w:p>
            <w:pPr>
              <w:numPr>
                <w:ilvl w:val="0"/>
                <w:numId w:val="5"/>
              </w:numPr>
              <w:spacing w:line="300" w:lineRule="auto"/>
              <w:rPr>
                <w:rFonts w:ascii="宋体" w:hAnsi="宋体" w:cs="宋体"/>
                <w:sz w:val="24"/>
              </w:rPr>
            </w:pPr>
            <w:r>
              <w:rPr>
                <w:rFonts w:hint="eastAsia" w:ascii="宋体" w:hAnsi="宋体" w:cs="宋体"/>
                <w:sz w:val="24"/>
              </w:rPr>
              <w:t>参数要求（提供降水监测设备检测报告证明）</w:t>
            </w:r>
          </w:p>
          <w:p>
            <w:pPr>
              <w:spacing w:line="300" w:lineRule="auto"/>
              <w:rPr>
                <w:rFonts w:ascii="宋体" w:hAnsi="宋体" w:cs="宋体"/>
                <w:sz w:val="24"/>
              </w:rPr>
            </w:pPr>
            <w:r>
              <w:rPr>
                <w:rFonts w:hint="eastAsia" w:ascii="宋体" w:hAnsi="宋体" w:cs="Arial"/>
                <w:b/>
                <w:sz w:val="24"/>
              </w:rPr>
              <w:t>★</w:t>
            </w:r>
            <w:r>
              <w:rPr>
                <w:rFonts w:hint="eastAsia" w:ascii="宋体" w:hAnsi="宋体" w:cs="宋体"/>
                <w:sz w:val="24"/>
              </w:rPr>
              <w:t>（1）钙离子参数要求</w:t>
            </w:r>
          </w:p>
          <w:p>
            <w:pPr>
              <w:numPr>
                <w:ilvl w:val="0"/>
                <w:numId w:val="6"/>
              </w:numPr>
              <w:spacing w:line="300" w:lineRule="auto"/>
              <w:rPr>
                <w:rFonts w:ascii="宋体" w:hAnsi="宋体" w:cs="宋体"/>
                <w:sz w:val="24"/>
              </w:rPr>
            </w:pPr>
            <w:r>
              <w:rPr>
                <w:rFonts w:hint="eastAsia" w:ascii="宋体" w:hAnsi="宋体" w:cs="宋体"/>
                <w:sz w:val="24"/>
              </w:rPr>
              <w:t>测量范围：0～10mg/L</w:t>
            </w:r>
          </w:p>
          <w:p>
            <w:pPr>
              <w:numPr>
                <w:ilvl w:val="0"/>
                <w:numId w:val="6"/>
              </w:numPr>
              <w:spacing w:line="300" w:lineRule="auto"/>
              <w:rPr>
                <w:rFonts w:ascii="宋体" w:hAnsi="宋体" w:cs="宋体"/>
                <w:sz w:val="24"/>
              </w:rPr>
            </w:pPr>
            <w:r>
              <w:rPr>
                <w:rFonts w:hint="eastAsia" w:ascii="宋体" w:hAnsi="宋体" w:cs="宋体"/>
                <w:sz w:val="24"/>
              </w:rPr>
              <w:t>检出限：≤0.02mg/L</w:t>
            </w:r>
          </w:p>
          <w:p>
            <w:pPr>
              <w:numPr>
                <w:ilvl w:val="0"/>
                <w:numId w:val="6"/>
              </w:numPr>
              <w:spacing w:line="300" w:lineRule="auto"/>
              <w:rPr>
                <w:rFonts w:ascii="宋体" w:hAnsi="宋体" w:cs="宋体"/>
                <w:sz w:val="24"/>
              </w:rPr>
            </w:pPr>
            <w:r>
              <w:rPr>
                <w:rFonts w:hint="eastAsia" w:ascii="宋体" w:hAnsi="宋体" w:cs="宋体"/>
                <w:sz w:val="24"/>
              </w:rPr>
              <w:t>示值误差：≤±5%F.S</w:t>
            </w:r>
          </w:p>
          <w:p>
            <w:pPr>
              <w:numPr>
                <w:ilvl w:val="0"/>
                <w:numId w:val="6"/>
              </w:numPr>
              <w:spacing w:line="300" w:lineRule="auto"/>
              <w:rPr>
                <w:rFonts w:ascii="宋体" w:hAnsi="宋体" w:cs="宋体"/>
                <w:sz w:val="24"/>
              </w:rPr>
            </w:pPr>
            <w:r>
              <w:rPr>
                <w:rFonts w:hint="eastAsia" w:ascii="宋体" w:hAnsi="宋体" w:cs="宋体"/>
                <w:sz w:val="24"/>
              </w:rPr>
              <w:t>重复性：≤5%</w:t>
            </w:r>
          </w:p>
          <w:p>
            <w:pPr>
              <w:numPr>
                <w:ilvl w:val="0"/>
                <w:numId w:val="6"/>
              </w:numPr>
              <w:spacing w:line="300" w:lineRule="auto"/>
              <w:rPr>
                <w:rFonts w:ascii="宋体" w:hAnsi="宋体" w:cs="宋体"/>
                <w:sz w:val="24"/>
              </w:rPr>
            </w:pPr>
            <w:r>
              <w:rPr>
                <w:rFonts w:hint="eastAsia" w:ascii="宋体" w:hAnsi="宋体" w:cs="宋体"/>
                <w:sz w:val="24"/>
              </w:rPr>
              <w:t>零点漂移：≤±5%F.S</w:t>
            </w:r>
          </w:p>
          <w:p>
            <w:pPr>
              <w:numPr>
                <w:ilvl w:val="0"/>
                <w:numId w:val="6"/>
              </w:numPr>
              <w:spacing w:line="300" w:lineRule="auto"/>
              <w:rPr>
                <w:rFonts w:ascii="宋体" w:hAnsi="宋体" w:cs="宋体"/>
                <w:sz w:val="24"/>
              </w:rPr>
            </w:pPr>
            <w:r>
              <w:rPr>
                <w:rFonts w:hint="eastAsia" w:ascii="宋体" w:hAnsi="宋体" w:cs="宋体"/>
                <w:sz w:val="24"/>
              </w:rPr>
              <w:t>量程漂移：≤±5%F.S</w:t>
            </w:r>
          </w:p>
          <w:p>
            <w:pPr>
              <w:numPr>
                <w:ilvl w:val="0"/>
                <w:numId w:val="6"/>
              </w:numPr>
              <w:spacing w:line="300" w:lineRule="auto"/>
              <w:rPr>
                <w:rFonts w:ascii="宋体" w:hAnsi="宋体" w:cs="宋体"/>
                <w:sz w:val="24"/>
              </w:rPr>
            </w:pPr>
            <w:r>
              <w:rPr>
                <w:rFonts w:hint="eastAsia" w:ascii="宋体" w:hAnsi="宋体" w:cs="宋体"/>
                <w:sz w:val="24"/>
              </w:rPr>
              <w:t>仪器线性：≥0.995</w:t>
            </w:r>
          </w:p>
          <w:p>
            <w:pPr>
              <w:spacing w:line="300" w:lineRule="auto"/>
              <w:rPr>
                <w:rFonts w:ascii="宋体" w:hAnsi="宋体" w:cs="宋体"/>
                <w:sz w:val="24"/>
              </w:rPr>
            </w:pPr>
            <w:r>
              <w:rPr>
                <w:rFonts w:hint="eastAsia" w:ascii="宋体" w:hAnsi="宋体" w:cs="Arial"/>
                <w:b/>
                <w:sz w:val="24"/>
              </w:rPr>
              <w:t>★</w:t>
            </w:r>
            <w:r>
              <w:rPr>
                <w:rFonts w:hint="eastAsia" w:ascii="宋体" w:hAnsi="宋体" w:cs="宋体"/>
                <w:sz w:val="24"/>
              </w:rPr>
              <w:t>（2）镁离子参数要求：</w:t>
            </w:r>
          </w:p>
          <w:p>
            <w:pPr>
              <w:numPr>
                <w:ilvl w:val="0"/>
                <w:numId w:val="7"/>
              </w:numPr>
              <w:spacing w:line="300" w:lineRule="auto"/>
              <w:rPr>
                <w:rFonts w:ascii="宋体" w:hAnsi="宋体" w:cs="宋体"/>
                <w:sz w:val="24"/>
              </w:rPr>
            </w:pPr>
            <w:r>
              <w:rPr>
                <w:rFonts w:hint="eastAsia" w:ascii="宋体" w:hAnsi="宋体" w:cs="宋体"/>
                <w:sz w:val="24"/>
              </w:rPr>
              <w:t>测量范围：0～10mg/L</w:t>
            </w:r>
          </w:p>
          <w:p>
            <w:pPr>
              <w:numPr>
                <w:ilvl w:val="0"/>
                <w:numId w:val="7"/>
              </w:numPr>
              <w:spacing w:line="300" w:lineRule="auto"/>
              <w:rPr>
                <w:rFonts w:ascii="宋体" w:hAnsi="宋体" w:cs="宋体"/>
                <w:sz w:val="24"/>
              </w:rPr>
            </w:pPr>
            <w:r>
              <w:rPr>
                <w:rFonts w:hint="eastAsia" w:ascii="宋体" w:hAnsi="宋体" w:cs="宋体"/>
                <w:sz w:val="24"/>
              </w:rPr>
              <w:t>检出限：≤0.02mg/L</w:t>
            </w:r>
          </w:p>
          <w:p>
            <w:pPr>
              <w:numPr>
                <w:ilvl w:val="0"/>
                <w:numId w:val="7"/>
              </w:numPr>
              <w:spacing w:line="300" w:lineRule="auto"/>
              <w:rPr>
                <w:rFonts w:ascii="宋体" w:hAnsi="宋体" w:cs="宋体"/>
                <w:sz w:val="24"/>
              </w:rPr>
            </w:pPr>
            <w:r>
              <w:rPr>
                <w:rFonts w:hint="eastAsia" w:ascii="宋体" w:hAnsi="宋体" w:cs="宋体"/>
                <w:sz w:val="24"/>
              </w:rPr>
              <w:t>示值误差：≤±5%F.S</w:t>
            </w:r>
          </w:p>
          <w:p>
            <w:pPr>
              <w:numPr>
                <w:ilvl w:val="0"/>
                <w:numId w:val="7"/>
              </w:numPr>
              <w:spacing w:line="300" w:lineRule="auto"/>
              <w:rPr>
                <w:rFonts w:ascii="宋体" w:hAnsi="宋体" w:cs="宋体"/>
                <w:sz w:val="24"/>
              </w:rPr>
            </w:pPr>
            <w:r>
              <w:rPr>
                <w:rFonts w:hint="eastAsia" w:ascii="宋体" w:hAnsi="宋体" w:cs="宋体"/>
                <w:sz w:val="24"/>
              </w:rPr>
              <w:t>重复性：≤5%</w:t>
            </w:r>
          </w:p>
          <w:p>
            <w:pPr>
              <w:numPr>
                <w:ilvl w:val="0"/>
                <w:numId w:val="7"/>
              </w:numPr>
              <w:spacing w:line="300" w:lineRule="auto"/>
              <w:rPr>
                <w:rFonts w:ascii="宋体" w:hAnsi="宋体" w:cs="宋体"/>
                <w:sz w:val="24"/>
              </w:rPr>
            </w:pPr>
            <w:r>
              <w:rPr>
                <w:rFonts w:hint="eastAsia" w:ascii="宋体" w:hAnsi="宋体" w:cs="宋体"/>
                <w:sz w:val="24"/>
              </w:rPr>
              <w:t>零点漂移：≤±5%F.S</w:t>
            </w:r>
          </w:p>
          <w:p>
            <w:pPr>
              <w:numPr>
                <w:ilvl w:val="0"/>
                <w:numId w:val="7"/>
              </w:numPr>
              <w:spacing w:line="300" w:lineRule="auto"/>
              <w:rPr>
                <w:rFonts w:ascii="宋体" w:hAnsi="宋体" w:cs="宋体"/>
                <w:sz w:val="24"/>
              </w:rPr>
            </w:pPr>
            <w:r>
              <w:rPr>
                <w:rFonts w:hint="eastAsia" w:ascii="宋体" w:hAnsi="宋体" w:cs="宋体"/>
                <w:sz w:val="24"/>
              </w:rPr>
              <w:t>量程漂移：≤±5%F.S</w:t>
            </w:r>
          </w:p>
          <w:p>
            <w:pPr>
              <w:numPr>
                <w:ilvl w:val="0"/>
                <w:numId w:val="7"/>
              </w:numPr>
              <w:spacing w:line="300" w:lineRule="auto"/>
              <w:rPr>
                <w:rFonts w:ascii="宋体" w:hAnsi="宋体" w:cs="宋体"/>
                <w:sz w:val="24"/>
              </w:rPr>
            </w:pPr>
            <w:r>
              <w:rPr>
                <w:rFonts w:hint="eastAsia" w:ascii="宋体" w:hAnsi="宋体" w:cs="宋体"/>
                <w:sz w:val="24"/>
              </w:rPr>
              <w:t>仪器线性：≥0.995</w:t>
            </w:r>
          </w:p>
          <w:p>
            <w:pPr>
              <w:spacing w:line="300" w:lineRule="auto"/>
              <w:rPr>
                <w:rFonts w:ascii="宋体" w:hAnsi="宋体" w:cs="宋体"/>
                <w:sz w:val="24"/>
              </w:rPr>
            </w:pPr>
            <w:r>
              <w:rPr>
                <w:rFonts w:hint="eastAsia" w:ascii="宋体" w:hAnsi="宋体" w:cs="宋体"/>
                <w:sz w:val="24"/>
              </w:rPr>
              <w:t>（3）钾离子参数要求：</w:t>
            </w:r>
          </w:p>
          <w:p>
            <w:pPr>
              <w:numPr>
                <w:ilvl w:val="0"/>
                <w:numId w:val="8"/>
              </w:numPr>
              <w:spacing w:line="300" w:lineRule="auto"/>
              <w:rPr>
                <w:rFonts w:ascii="宋体" w:hAnsi="宋体" w:cs="宋体"/>
                <w:sz w:val="24"/>
              </w:rPr>
            </w:pPr>
            <w:r>
              <w:rPr>
                <w:rFonts w:hint="eastAsia" w:ascii="宋体" w:hAnsi="宋体" w:cs="宋体"/>
                <w:sz w:val="24"/>
              </w:rPr>
              <w:t>测量范围：0～10mg/L</w:t>
            </w:r>
          </w:p>
          <w:p>
            <w:pPr>
              <w:numPr>
                <w:ilvl w:val="0"/>
                <w:numId w:val="8"/>
              </w:numPr>
              <w:spacing w:line="300" w:lineRule="auto"/>
              <w:rPr>
                <w:rFonts w:ascii="宋体" w:hAnsi="宋体" w:cs="宋体"/>
                <w:sz w:val="24"/>
              </w:rPr>
            </w:pPr>
            <w:r>
              <w:rPr>
                <w:rFonts w:hint="eastAsia" w:ascii="宋体" w:hAnsi="宋体" w:cs="宋体"/>
                <w:sz w:val="24"/>
              </w:rPr>
              <w:t>检出限：≤0.02mg/L</w:t>
            </w:r>
          </w:p>
          <w:p>
            <w:pPr>
              <w:numPr>
                <w:ilvl w:val="0"/>
                <w:numId w:val="8"/>
              </w:numPr>
              <w:spacing w:line="300" w:lineRule="auto"/>
              <w:rPr>
                <w:rFonts w:ascii="宋体" w:hAnsi="宋体" w:cs="宋体"/>
                <w:sz w:val="24"/>
              </w:rPr>
            </w:pPr>
            <w:r>
              <w:rPr>
                <w:rFonts w:hint="eastAsia" w:ascii="宋体" w:hAnsi="宋体" w:cs="宋体"/>
                <w:sz w:val="24"/>
              </w:rPr>
              <w:t>示值误差：≤±5%F.S</w:t>
            </w:r>
          </w:p>
          <w:p>
            <w:pPr>
              <w:numPr>
                <w:ilvl w:val="0"/>
                <w:numId w:val="8"/>
              </w:numPr>
              <w:spacing w:line="300" w:lineRule="auto"/>
              <w:rPr>
                <w:rFonts w:ascii="宋体" w:hAnsi="宋体" w:cs="宋体"/>
                <w:sz w:val="24"/>
              </w:rPr>
            </w:pPr>
            <w:r>
              <w:rPr>
                <w:rFonts w:hint="eastAsia" w:ascii="宋体" w:hAnsi="宋体" w:cs="宋体"/>
                <w:sz w:val="24"/>
              </w:rPr>
              <w:t>重复性：≤5%</w:t>
            </w:r>
          </w:p>
          <w:p>
            <w:pPr>
              <w:numPr>
                <w:ilvl w:val="0"/>
                <w:numId w:val="8"/>
              </w:numPr>
              <w:spacing w:line="300" w:lineRule="auto"/>
              <w:rPr>
                <w:rFonts w:ascii="宋体" w:hAnsi="宋体" w:cs="宋体"/>
                <w:sz w:val="24"/>
              </w:rPr>
            </w:pPr>
            <w:r>
              <w:rPr>
                <w:rFonts w:hint="eastAsia" w:ascii="宋体" w:hAnsi="宋体" w:cs="宋体"/>
                <w:sz w:val="24"/>
              </w:rPr>
              <w:t>零点漂移：≤±5%F.S</w:t>
            </w:r>
          </w:p>
          <w:p>
            <w:pPr>
              <w:numPr>
                <w:ilvl w:val="0"/>
                <w:numId w:val="8"/>
              </w:numPr>
              <w:spacing w:line="300" w:lineRule="auto"/>
              <w:rPr>
                <w:rFonts w:ascii="宋体" w:hAnsi="宋体" w:cs="宋体"/>
                <w:sz w:val="24"/>
              </w:rPr>
            </w:pPr>
            <w:r>
              <w:rPr>
                <w:rFonts w:hint="eastAsia" w:ascii="宋体" w:hAnsi="宋体" w:cs="宋体"/>
                <w:sz w:val="24"/>
              </w:rPr>
              <w:t>量程漂移：≤±5%F.S</w:t>
            </w:r>
          </w:p>
          <w:p>
            <w:pPr>
              <w:numPr>
                <w:ilvl w:val="0"/>
                <w:numId w:val="8"/>
              </w:numPr>
              <w:spacing w:line="300" w:lineRule="auto"/>
              <w:rPr>
                <w:rFonts w:ascii="宋体" w:hAnsi="宋体" w:cs="宋体"/>
                <w:sz w:val="24"/>
              </w:rPr>
            </w:pPr>
            <w:r>
              <w:rPr>
                <w:rFonts w:hint="eastAsia" w:ascii="宋体" w:hAnsi="宋体" w:cs="宋体"/>
                <w:sz w:val="24"/>
              </w:rPr>
              <w:t>仪器线性：≥0.995</w:t>
            </w:r>
          </w:p>
          <w:p>
            <w:pPr>
              <w:spacing w:line="300" w:lineRule="auto"/>
              <w:rPr>
                <w:rFonts w:ascii="宋体" w:hAnsi="宋体" w:cs="宋体"/>
                <w:sz w:val="24"/>
              </w:rPr>
            </w:pPr>
            <w:r>
              <w:rPr>
                <w:rFonts w:hint="eastAsia" w:ascii="宋体" w:hAnsi="宋体" w:cs="宋体"/>
                <w:sz w:val="24"/>
              </w:rPr>
              <w:t>（4）钠离子参数要求：</w:t>
            </w:r>
          </w:p>
          <w:p>
            <w:pPr>
              <w:numPr>
                <w:ilvl w:val="0"/>
                <w:numId w:val="9"/>
              </w:numPr>
              <w:spacing w:line="300" w:lineRule="auto"/>
              <w:rPr>
                <w:rFonts w:ascii="宋体" w:hAnsi="宋体" w:cs="宋体"/>
                <w:sz w:val="24"/>
              </w:rPr>
            </w:pPr>
            <w:r>
              <w:rPr>
                <w:rFonts w:hint="eastAsia" w:ascii="宋体" w:hAnsi="宋体" w:cs="宋体"/>
                <w:sz w:val="24"/>
              </w:rPr>
              <w:t>测量范围：0～10mg/L</w:t>
            </w:r>
          </w:p>
          <w:p>
            <w:pPr>
              <w:numPr>
                <w:ilvl w:val="0"/>
                <w:numId w:val="9"/>
              </w:numPr>
              <w:spacing w:line="300" w:lineRule="auto"/>
              <w:rPr>
                <w:rFonts w:ascii="宋体" w:hAnsi="宋体" w:cs="宋体"/>
                <w:sz w:val="24"/>
              </w:rPr>
            </w:pPr>
            <w:r>
              <w:rPr>
                <w:rFonts w:hint="eastAsia" w:ascii="宋体" w:hAnsi="宋体" w:cs="宋体"/>
                <w:sz w:val="24"/>
              </w:rPr>
              <w:t>检出限：≤0.02mg/L</w:t>
            </w:r>
          </w:p>
          <w:p>
            <w:pPr>
              <w:numPr>
                <w:ilvl w:val="0"/>
                <w:numId w:val="9"/>
              </w:numPr>
              <w:spacing w:line="300" w:lineRule="auto"/>
              <w:rPr>
                <w:rFonts w:ascii="宋体" w:hAnsi="宋体" w:cs="宋体"/>
                <w:sz w:val="24"/>
              </w:rPr>
            </w:pPr>
            <w:r>
              <w:rPr>
                <w:rFonts w:hint="eastAsia" w:ascii="宋体" w:hAnsi="宋体" w:cs="宋体"/>
                <w:sz w:val="24"/>
              </w:rPr>
              <w:t>示值误差：≤±5%F.S</w:t>
            </w:r>
          </w:p>
          <w:p>
            <w:pPr>
              <w:numPr>
                <w:ilvl w:val="0"/>
                <w:numId w:val="9"/>
              </w:numPr>
              <w:spacing w:line="300" w:lineRule="auto"/>
              <w:rPr>
                <w:rFonts w:ascii="宋体" w:hAnsi="宋体" w:cs="宋体"/>
                <w:sz w:val="24"/>
              </w:rPr>
            </w:pPr>
            <w:r>
              <w:rPr>
                <w:rFonts w:hint="eastAsia" w:ascii="宋体" w:hAnsi="宋体" w:cs="宋体"/>
                <w:sz w:val="24"/>
              </w:rPr>
              <w:t>重复性：≤5%</w:t>
            </w:r>
          </w:p>
          <w:p>
            <w:pPr>
              <w:numPr>
                <w:ilvl w:val="0"/>
                <w:numId w:val="9"/>
              </w:numPr>
              <w:spacing w:line="300" w:lineRule="auto"/>
              <w:rPr>
                <w:rFonts w:ascii="宋体" w:hAnsi="宋体" w:cs="宋体"/>
                <w:sz w:val="24"/>
              </w:rPr>
            </w:pPr>
            <w:r>
              <w:rPr>
                <w:rFonts w:hint="eastAsia" w:ascii="宋体" w:hAnsi="宋体" w:cs="宋体"/>
                <w:sz w:val="24"/>
              </w:rPr>
              <w:t>零点漂移：≤±5%F.S</w:t>
            </w:r>
          </w:p>
          <w:p>
            <w:pPr>
              <w:numPr>
                <w:ilvl w:val="0"/>
                <w:numId w:val="9"/>
              </w:numPr>
              <w:spacing w:line="300" w:lineRule="auto"/>
              <w:rPr>
                <w:rFonts w:ascii="宋体" w:hAnsi="宋体" w:cs="宋体"/>
                <w:sz w:val="24"/>
              </w:rPr>
            </w:pPr>
            <w:r>
              <w:rPr>
                <w:rFonts w:hint="eastAsia" w:ascii="宋体" w:hAnsi="宋体" w:cs="宋体"/>
                <w:sz w:val="24"/>
              </w:rPr>
              <w:t>量程漂移：≤±5%F.S</w:t>
            </w:r>
          </w:p>
          <w:p>
            <w:pPr>
              <w:numPr>
                <w:ilvl w:val="0"/>
                <w:numId w:val="9"/>
              </w:numPr>
              <w:spacing w:line="300" w:lineRule="auto"/>
              <w:rPr>
                <w:rFonts w:ascii="宋体" w:hAnsi="宋体" w:cs="宋体"/>
                <w:sz w:val="24"/>
              </w:rPr>
            </w:pPr>
            <w:r>
              <w:rPr>
                <w:rFonts w:hint="eastAsia" w:ascii="宋体" w:hAnsi="宋体" w:cs="宋体"/>
                <w:sz w:val="24"/>
              </w:rPr>
              <w:t>仪器线性：≥0.995</w:t>
            </w:r>
          </w:p>
          <w:p>
            <w:pPr>
              <w:spacing w:line="300" w:lineRule="auto"/>
              <w:rPr>
                <w:rFonts w:ascii="宋体" w:hAnsi="宋体" w:cs="宋体"/>
                <w:sz w:val="24"/>
              </w:rPr>
            </w:pPr>
            <w:r>
              <w:rPr>
                <w:rFonts w:hint="eastAsia" w:ascii="宋体" w:hAnsi="宋体" w:cs="宋体"/>
                <w:sz w:val="24"/>
              </w:rPr>
              <w:t>（5）铵根离子参数要求：</w:t>
            </w:r>
          </w:p>
          <w:p>
            <w:pPr>
              <w:numPr>
                <w:ilvl w:val="0"/>
                <w:numId w:val="10"/>
              </w:numPr>
              <w:spacing w:line="300" w:lineRule="auto"/>
              <w:rPr>
                <w:rFonts w:ascii="宋体" w:hAnsi="宋体" w:cs="宋体"/>
                <w:sz w:val="24"/>
              </w:rPr>
            </w:pPr>
            <w:r>
              <w:rPr>
                <w:rFonts w:hint="eastAsia" w:ascii="宋体" w:hAnsi="宋体" w:cs="宋体"/>
                <w:sz w:val="24"/>
              </w:rPr>
              <w:t>测量范围：0～10mg/L</w:t>
            </w:r>
          </w:p>
          <w:p>
            <w:pPr>
              <w:numPr>
                <w:ilvl w:val="0"/>
                <w:numId w:val="10"/>
              </w:numPr>
              <w:spacing w:line="300" w:lineRule="auto"/>
              <w:rPr>
                <w:rFonts w:ascii="宋体" w:hAnsi="宋体" w:cs="宋体"/>
                <w:sz w:val="24"/>
              </w:rPr>
            </w:pPr>
            <w:r>
              <w:rPr>
                <w:rFonts w:hint="eastAsia" w:ascii="宋体" w:hAnsi="宋体" w:cs="宋体"/>
                <w:sz w:val="24"/>
              </w:rPr>
              <w:t>检出限：≤0.02mg/L</w:t>
            </w:r>
          </w:p>
          <w:p>
            <w:pPr>
              <w:numPr>
                <w:ilvl w:val="0"/>
                <w:numId w:val="10"/>
              </w:numPr>
              <w:spacing w:line="300" w:lineRule="auto"/>
              <w:rPr>
                <w:rFonts w:ascii="宋体" w:hAnsi="宋体" w:cs="宋体"/>
                <w:sz w:val="24"/>
              </w:rPr>
            </w:pPr>
            <w:r>
              <w:rPr>
                <w:rFonts w:hint="eastAsia" w:ascii="宋体" w:hAnsi="宋体" w:cs="宋体"/>
                <w:sz w:val="24"/>
              </w:rPr>
              <w:t>示值误差：≤±5%F.S</w:t>
            </w:r>
          </w:p>
          <w:p>
            <w:pPr>
              <w:numPr>
                <w:ilvl w:val="0"/>
                <w:numId w:val="10"/>
              </w:numPr>
              <w:spacing w:line="300" w:lineRule="auto"/>
              <w:rPr>
                <w:rFonts w:ascii="宋体" w:hAnsi="宋体" w:cs="宋体"/>
                <w:sz w:val="24"/>
              </w:rPr>
            </w:pPr>
            <w:r>
              <w:rPr>
                <w:rFonts w:hint="eastAsia" w:ascii="宋体" w:hAnsi="宋体" w:cs="宋体"/>
                <w:sz w:val="24"/>
              </w:rPr>
              <w:t>重复性：≤5%</w:t>
            </w:r>
          </w:p>
          <w:p>
            <w:pPr>
              <w:numPr>
                <w:ilvl w:val="0"/>
                <w:numId w:val="10"/>
              </w:numPr>
              <w:spacing w:line="300" w:lineRule="auto"/>
              <w:rPr>
                <w:rFonts w:ascii="宋体" w:hAnsi="宋体" w:cs="宋体"/>
                <w:sz w:val="24"/>
              </w:rPr>
            </w:pPr>
            <w:r>
              <w:rPr>
                <w:rFonts w:hint="eastAsia" w:ascii="宋体" w:hAnsi="宋体" w:cs="宋体"/>
                <w:sz w:val="24"/>
              </w:rPr>
              <w:t>零点漂移：≤±5%F.S</w:t>
            </w:r>
          </w:p>
          <w:p>
            <w:pPr>
              <w:numPr>
                <w:ilvl w:val="0"/>
                <w:numId w:val="10"/>
              </w:numPr>
              <w:spacing w:line="300" w:lineRule="auto"/>
              <w:rPr>
                <w:rFonts w:ascii="宋体" w:hAnsi="宋体" w:cs="宋体"/>
                <w:sz w:val="24"/>
              </w:rPr>
            </w:pPr>
            <w:r>
              <w:rPr>
                <w:rFonts w:hint="eastAsia" w:ascii="宋体" w:hAnsi="宋体" w:cs="宋体"/>
                <w:sz w:val="24"/>
              </w:rPr>
              <w:t>量程漂移：≤±5%F.S</w:t>
            </w:r>
          </w:p>
          <w:p>
            <w:pPr>
              <w:numPr>
                <w:ilvl w:val="0"/>
                <w:numId w:val="10"/>
              </w:numPr>
              <w:spacing w:line="300" w:lineRule="auto"/>
              <w:rPr>
                <w:rFonts w:ascii="宋体" w:hAnsi="宋体" w:cs="宋体"/>
                <w:sz w:val="24"/>
              </w:rPr>
            </w:pPr>
            <w:r>
              <w:rPr>
                <w:rFonts w:hint="eastAsia" w:ascii="宋体" w:hAnsi="宋体" w:cs="宋体"/>
                <w:sz w:val="24"/>
              </w:rPr>
              <w:t>仪器线性：≥0.995</w:t>
            </w:r>
          </w:p>
          <w:p>
            <w:pPr>
              <w:spacing w:line="300" w:lineRule="auto"/>
              <w:rPr>
                <w:rFonts w:ascii="宋体" w:hAnsi="宋体" w:cs="宋体"/>
                <w:sz w:val="24"/>
              </w:rPr>
            </w:pPr>
            <w:r>
              <w:rPr>
                <w:rFonts w:hint="eastAsia" w:ascii="宋体" w:hAnsi="宋体" w:cs="Arial"/>
                <w:b/>
                <w:sz w:val="24"/>
              </w:rPr>
              <w:t>★</w:t>
            </w:r>
            <w:r>
              <w:rPr>
                <w:rFonts w:hint="eastAsia" w:ascii="宋体" w:hAnsi="宋体" w:cs="宋体"/>
                <w:sz w:val="24"/>
              </w:rPr>
              <w:t>（6）硫酸根离子参数要求：</w:t>
            </w:r>
          </w:p>
          <w:p>
            <w:pPr>
              <w:numPr>
                <w:ilvl w:val="0"/>
                <w:numId w:val="11"/>
              </w:numPr>
              <w:spacing w:line="300" w:lineRule="auto"/>
              <w:rPr>
                <w:rFonts w:ascii="宋体" w:hAnsi="宋体" w:cs="宋体"/>
                <w:sz w:val="24"/>
              </w:rPr>
            </w:pPr>
            <w:r>
              <w:rPr>
                <w:rFonts w:hint="eastAsia" w:ascii="宋体" w:hAnsi="宋体" w:cs="宋体"/>
                <w:sz w:val="24"/>
              </w:rPr>
              <w:t>测量范围：0～10mg/L</w:t>
            </w:r>
          </w:p>
          <w:p>
            <w:pPr>
              <w:numPr>
                <w:ilvl w:val="0"/>
                <w:numId w:val="11"/>
              </w:numPr>
              <w:spacing w:line="300" w:lineRule="auto"/>
              <w:rPr>
                <w:rFonts w:ascii="宋体" w:hAnsi="宋体" w:cs="宋体"/>
                <w:sz w:val="24"/>
              </w:rPr>
            </w:pPr>
            <w:r>
              <w:rPr>
                <w:rFonts w:hint="eastAsia" w:ascii="宋体" w:hAnsi="宋体" w:cs="宋体"/>
                <w:sz w:val="24"/>
              </w:rPr>
              <w:t>检出限：≤0.02mg/L</w:t>
            </w:r>
          </w:p>
          <w:p>
            <w:pPr>
              <w:numPr>
                <w:ilvl w:val="0"/>
                <w:numId w:val="11"/>
              </w:numPr>
              <w:spacing w:line="300" w:lineRule="auto"/>
              <w:rPr>
                <w:rFonts w:ascii="宋体" w:hAnsi="宋体" w:cs="宋体"/>
                <w:sz w:val="24"/>
              </w:rPr>
            </w:pPr>
            <w:r>
              <w:rPr>
                <w:rFonts w:hint="eastAsia" w:ascii="宋体" w:hAnsi="宋体" w:cs="宋体"/>
                <w:sz w:val="24"/>
              </w:rPr>
              <w:t>示值误差：≤±5%F.S</w:t>
            </w:r>
          </w:p>
          <w:p>
            <w:pPr>
              <w:numPr>
                <w:ilvl w:val="0"/>
                <w:numId w:val="11"/>
              </w:numPr>
              <w:spacing w:line="300" w:lineRule="auto"/>
              <w:rPr>
                <w:rFonts w:ascii="宋体" w:hAnsi="宋体" w:cs="宋体"/>
                <w:sz w:val="24"/>
              </w:rPr>
            </w:pPr>
            <w:r>
              <w:rPr>
                <w:rFonts w:hint="eastAsia" w:ascii="宋体" w:hAnsi="宋体" w:cs="宋体"/>
                <w:sz w:val="24"/>
              </w:rPr>
              <w:t>重复性：≤5%</w:t>
            </w:r>
          </w:p>
          <w:p>
            <w:pPr>
              <w:numPr>
                <w:ilvl w:val="0"/>
                <w:numId w:val="11"/>
              </w:numPr>
              <w:spacing w:line="300" w:lineRule="auto"/>
              <w:rPr>
                <w:rFonts w:ascii="宋体" w:hAnsi="宋体" w:cs="宋体"/>
                <w:sz w:val="24"/>
              </w:rPr>
            </w:pPr>
            <w:r>
              <w:rPr>
                <w:rFonts w:hint="eastAsia" w:ascii="宋体" w:hAnsi="宋体" w:cs="宋体"/>
                <w:sz w:val="24"/>
              </w:rPr>
              <w:t>零点漂移：≤±5%F.S</w:t>
            </w:r>
          </w:p>
          <w:p>
            <w:pPr>
              <w:numPr>
                <w:ilvl w:val="0"/>
                <w:numId w:val="11"/>
              </w:numPr>
              <w:spacing w:line="300" w:lineRule="auto"/>
              <w:rPr>
                <w:rFonts w:ascii="宋体" w:hAnsi="宋体" w:cs="宋体"/>
                <w:sz w:val="24"/>
              </w:rPr>
            </w:pPr>
            <w:r>
              <w:rPr>
                <w:rFonts w:hint="eastAsia" w:ascii="宋体" w:hAnsi="宋体" w:cs="宋体"/>
                <w:sz w:val="24"/>
              </w:rPr>
              <w:t>量程漂移：≤±5%F.S</w:t>
            </w:r>
          </w:p>
          <w:p>
            <w:pPr>
              <w:numPr>
                <w:ilvl w:val="0"/>
                <w:numId w:val="11"/>
              </w:numPr>
              <w:spacing w:line="300" w:lineRule="auto"/>
              <w:rPr>
                <w:rFonts w:ascii="宋体" w:hAnsi="宋体" w:cs="宋体"/>
                <w:sz w:val="24"/>
              </w:rPr>
            </w:pPr>
            <w:r>
              <w:rPr>
                <w:rFonts w:hint="eastAsia" w:ascii="宋体" w:hAnsi="宋体" w:cs="宋体"/>
                <w:sz w:val="24"/>
              </w:rPr>
              <w:t>仪器线性：≥0.995</w:t>
            </w:r>
          </w:p>
          <w:p>
            <w:pPr>
              <w:spacing w:line="300" w:lineRule="auto"/>
              <w:rPr>
                <w:rFonts w:ascii="宋体" w:hAnsi="宋体" w:cs="宋体"/>
                <w:sz w:val="24"/>
              </w:rPr>
            </w:pPr>
            <w:r>
              <w:rPr>
                <w:rFonts w:hint="eastAsia" w:ascii="宋体" w:hAnsi="宋体" w:cs="宋体"/>
                <w:sz w:val="24"/>
              </w:rPr>
              <w:t>（7）硝酸根离子参数要求：</w:t>
            </w:r>
          </w:p>
          <w:p>
            <w:pPr>
              <w:numPr>
                <w:ilvl w:val="0"/>
                <w:numId w:val="12"/>
              </w:numPr>
              <w:spacing w:line="300" w:lineRule="auto"/>
              <w:rPr>
                <w:rFonts w:ascii="宋体" w:hAnsi="宋体" w:cs="宋体"/>
                <w:sz w:val="24"/>
              </w:rPr>
            </w:pPr>
            <w:r>
              <w:rPr>
                <w:rFonts w:hint="eastAsia" w:ascii="宋体" w:hAnsi="宋体" w:cs="宋体"/>
                <w:sz w:val="24"/>
              </w:rPr>
              <w:t>测量范围：0～10mg/L</w:t>
            </w:r>
          </w:p>
          <w:p>
            <w:pPr>
              <w:numPr>
                <w:ilvl w:val="0"/>
                <w:numId w:val="12"/>
              </w:numPr>
              <w:spacing w:line="300" w:lineRule="auto"/>
              <w:rPr>
                <w:rFonts w:ascii="宋体" w:hAnsi="宋体" w:cs="宋体"/>
                <w:sz w:val="24"/>
              </w:rPr>
            </w:pPr>
            <w:r>
              <w:rPr>
                <w:rFonts w:hint="eastAsia" w:ascii="宋体" w:hAnsi="宋体" w:cs="宋体"/>
                <w:sz w:val="24"/>
              </w:rPr>
              <w:t>检出限：≤0.02mg/L</w:t>
            </w:r>
          </w:p>
          <w:p>
            <w:pPr>
              <w:numPr>
                <w:ilvl w:val="0"/>
                <w:numId w:val="12"/>
              </w:numPr>
              <w:spacing w:line="300" w:lineRule="auto"/>
              <w:rPr>
                <w:rFonts w:ascii="宋体" w:hAnsi="宋体" w:cs="宋体"/>
                <w:sz w:val="24"/>
              </w:rPr>
            </w:pPr>
            <w:r>
              <w:rPr>
                <w:rFonts w:hint="eastAsia" w:ascii="宋体" w:hAnsi="宋体" w:cs="宋体"/>
                <w:sz w:val="24"/>
              </w:rPr>
              <w:t>示值误差：≤±5%F.S</w:t>
            </w:r>
          </w:p>
          <w:p>
            <w:pPr>
              <w:numPr>
                <w:ilvl w:val="0"/>
                <w:numId w:val="12"/>
              </w:numPr>
              <w:spacing w:line="300" w:lineRule="auto"/>
              <w:rPr>
                <w:rFonts w:ascii="宋体" w:hAnsi="宋体" w:cs="宋体"/>
                <w:sz w:val="24"/>
              </w:rPr>
            </w:pPr>
            <w:r>
              <w:rPr>
                <w:rFonts w:hint="eastAsia" w:ascii="宋体" w:hAnsi="宋体" w:cs="宋体"/>
                <w:sz w:val="24"/>
              </w:rPr>
              <w:t>重复性：≤5%</w:t>
            </w:r>
          </w:p>
          <w:p>
            <w:pPr>
              <w:numPr>
                <w:ilvl w:val="0"/>
                <w:numId w:val="12"/>
              </w:numPr>
              <w:spacing w:line="300" w:lineRule="auto"/>
              <w:rPr>
                <w:rFonts w:ascii="宋体" w:hAnsi="宋体" w:cs="宋体"/>
                <w:sz w:val="24"/>
              </w:rPr>
            </w:pPr>
            <w:r>
              <w:rPr>
                <w:rFonts w:hint="eastAsia" w:ascii="宋体" w:hAnsi="宋体" w:cs="宋体"/>
                <w:sz w:val="24"/>
              </w:rPr>
              <w:t>零点漂移：≤±5%F.S</w:t>
            </w:r>
          </w:p>
          <w:p>
            <w:pPr>
              <w:numPr>
                <w:ilvl w:val="0"/>
                <w:numId w:val="12"/>
              </w:numPr>
              <w:spacing w:line="300" w:lineRule="auto"/>
              <w:rPr>
                <w:rFonts w:ascii="宋体" w:hAnsi="宋体" w:cs="宋体"/>
                <w:sz w:val="24"/>
              </w:rPr>
            </w:pPr>
            <w:r>
              <w:rPr>
                <w:rFonts w:hint="eastAsia" w:ascii="宋体" w:hAnsi="宋体" w:cs="宋体"/>
                <w:sz w:val="24"/>
              </w:rPr>
              <w:t>量程漂移：≤±5%F.S</w:t>
            </w:r>
          </w:p>
          <w:p>
            <w:pPr>
              <w:numPr>
                <w:ilvl w:val="0"/>
                <w:numId w:val="12"/>
              </w:numPr>
              <w:spacing w:line="300" w:lineRule="auto"/>
              <w:rPr>
                <w:rFonts w:ascii="宋体" w:hAnsi="宋体" w:cs="宋体"/>
                <w:sz w:val="24"/>
              </w:rPr>
            </w:pPr>
            <w:r>
              <w:rPr>
                <w:rFonts w:hint="eastAsia" w:ascii="宋体" w:hAnsi="宋体" w:cs="宋体"/>
                <w:sz w:val="24"/>
              </w:rPr>
              <w:t>仪器线性：≥0.995</w:t>
            </w:r>
          </w:p>
          <w:p>
            <w:pPr>
              <w:spacing w:line="300" w:lineRule="auto"/>
              <w:rPr>
                <w:rFonts w:ascii="宋体" w:hAnsi="宋体" w:cs="宋体"/>
                <w:sz w:val="24"/>
              </w:rPr>
            </w:pPr>
            <w:r>
              <w:rPr>
                <w:rFonts w:hint="eastAsia" w:ascii="宋体" w:hAnsi="宋体" w:cs="宋体"/>
                <w:sz w:val="24"/>
              </w:rPr>
              <w:t>（8）氯离子参数要求：</w:t>
            </w:r>
          </w:p>
          <w:p>
            <w:pPr>
              <w:numPr>
                <w:ilvl w:val="0"/>
                <w:numId w:val="13"/>
              </w:numPr>
              <w:spacing w:line="300" w:lineRule="auto"/>
              <w:rPr>
                <w:rFonts w:ascii="宋体" w:hAnsi="宋体" w:cs="宋体"/>
                <w:sz w:val="24"/>
              </w:rPr>
            </w:pPr>
            <w:r>
              <w:rPr>
                <w:rFonts w:hint="eastAsia" w:ascii="宋体" w:hAnsi="宋体" w:cs="宋体"/>
                <w:sz w:val="24"/>
              </w:rPr>
              <w:t>测量范围：0～10mg/L</w:t>
            </w:r>
          </w:p>
          <w:p>
            <w:pPr>
              <w:numPr>
                <w:ilvl w:val="0"/>
                <w:numId w:val="13"/>
              </w:numPr>
              <w:spacing w:line="300" w:lineRule="auto"/>
              <w:rPr>
                <w:rFonts w:ascii="宋体" w:hAnsi="宋体" w:cs="宋体"/>
                <w:sz w:val="24"/>
              </w:rPr>
            </w:pPr>
            <w:r>
              <w:rPr>
                <w:rFonts w:hint="eastAsia" w:ascii="宋体" w:hAnsi="宋体" w:cs="宋体"/>
                <w:sz w:val="24"/>
              </w:rPr>
              <w:t>检出限：≤0.02mg/L</w:t>
            </w:r>
          </w:p>
          <w:p>
            <w:pPr>
              <w:numPr>
                <w:ilvl w:val="0"/>
                <w:numId w:val="13"/>
              </w:numPr>
              <w:spacing w:line="300" w:lineRule="auto"/>
              <w:rPr>
                <w:rFonts w:ascii="宋体" w:hAnsi="宋体" w:cs="宋体"/>
                <w:sz w:val="24"/>
              </w:rPr>
            </w:pPr>
            <w:r>
              <w:rPr>
                <w:rFonts w:hint="eastAsia" w:ascii="宋体" w:hAnsi="宋体" w:cs="宋体"/>
                <w:sz w:val="24"/>
              </w:rPr>
              <w:t>示值误差：≤±5%F.S</w:t>
            </w:r>
          </w:p>
          <w:p>
            <w:pPr>
              <w:numPr>
                <w:ilvl w:val="0"/>
                <w:numId w:val="13"/>
              </w:numPr>
              <w:spacing w:line="300" w:lineRule="auto"/>
              <w:rPr>
                <w:rFonts w:ascii="宋体" w:hAnsi="宋体" w:cs="宋体"/>
                <w:sz w:val="24"/>
              </w:rPr>
            </w:pPr>
            <w:r>
              <w:rPr>
                <w:rFonts w:hint="eastAsia" w:ascii="宋体" w:hAnsi="宋体" w:cs="宋体"/>
                <w:sz w:val="24"/>
              </w:rPr>
              <w:t>重复性：≤5%</w:t>
            </w:r>
          </w:p>
          <w:p>
            <w:pPr>
              <w:numPr>
                <w:ilvl w:val="0"/>
                <w:numId w:val="13"/>
              </w:numPr>
              <w:spacing w:line="300" w:lineRule="auto"/>
              <w:rPr>
                <w:rFonts w:ascii="宋体" w:hAnsi="宋体" w:cs="宋体"/>
                <w:sz w:val="24"/>
              </w:rPr>
            </w:pPr>
            <w:r>
              <w:rPr>
                <w:rFonts w:hint="eastAsia" w:ascii="宋体" w:hAnsi="宋体" w:cs="宋体"/>
                <w:sz w:val="24"/>
              </w:rPr>
              <w:t>零点漂移：≤±5%F.S</w:t>
            </w:r>
          </w:p>
          <w:p>
            <w:pPr>
              <w:numPr>
                <w:ilvl w:val="0"/>
                <w:numId w:val="13"/>
              </w:numPr>
              <w:spacing w:line="300" w:lineRule="auto"/>
              <w:rPr>
                <w:rFonts w:ascii="宋体" w:hAnsi="宋体" w:cs="宋体"/>
                <w:sz w:val="24"/>
              </w:rPr>
            </w:pPr>
            <w:r>
              <w:rPr>
                <w:rFonts w:hint="eastAsia" w:ascii="宋体" w:hAnsi="宋体" w:cs="宋体"/>
                <w:sz w:val="24"/>
              </w:rPr>
              <w:t>量程漂移：≤±5%F.S</w:t>
            </w:r>
          </w:p>
          <w:p>
            <w:pPr>
              <w:numPr>
                <w:ilvl w:val="0"/>
                <w:numId w:val="13"/>
              </w:numPr>
              <w:spacing w:line="300" w:lineRule="auto"/>
              <w:rPr>
                <w:rFonts w:ascii="宋体" w:hAnsi="宋体" w:cs="宋体"/>
                <w:sz w:val="24"/>
              </w:rPr>
            </w:pPr>
            <w:r>
              <w:rPr>
                <w:rFonts w:hint="eastAsia" w:ascii="宋体" w:hAnsi="宋体" w:cs="宋体"/>
                <w:sz w:val="24"/>
              </w:rPr>
              <w:t>仪器线性：≥0.995</w:t>
            </w:r>
          </w:p>
          <w:p>
            <w:pPr>
              <w:spacing w:line="300" w:lineRule="auto"/>
              <w:rPr>
                <w:rFonts w:ascii="宋体" w:hAnsi="宋体" w:cs="宋体"/>
                <w:sz w:val="24"/>
              </w:rPr>
            </w:pPr>
            <w:r>
              <w:rPr>
                <w:rFonts w:hint="eastAsia" w:ascii="宋体" w:hAnsi="宋体" w:cs="宋体"/>
                <w:sz w:val="24"/>
              </w:rPr>
              <w:t>（9）氟离子参数要求：</w:t>
            </w:r>
          </w:p>
          <w:p>
            <w:pPr>
              <w:numPr>
                <w:ilvl w:val="0"/>
                <w:numId w:val="14"/>
              </w:numPr>
              <w:spacing w:line="300" w:lineRule="auto"/>
              <w:rPr>
                <w:rFonts w:ascii="宋体" w:hAnsi="宋体" w:cs="宋体"/>
                <w:sz w:val="24"/>
              </w:rPr>
            </w:pPr>
            <w:r>
              <w:rPr>
                <w:rFonts w:hint="eastAsia" w:ascii="宋体" w:hAnsi="宋体" w:cs="宋体"/>
                <w:sz w:val="24"/>
              </w:rPr>
              <w:t>测量范围：0～10mg/L</w:t>
            </w:r>
          </w:p>
          <w:p>
            <w:pPr>
              <w:numPr>
                <w:ilvl w:val="0"/>
                <w:numId w:val="14"/>
              </w:numPr>
              <w:spacing w:line="300" w:lineRule="auto"/>
              <w:rPr>
                <w:rFonts w:ascii="宋体" w:hAnsi="宋体" w:cs="宋体"/>
                <w:sz w:val="24"/>
              </w:rPr>
            </w:pPr>
            <w:r>
              <w:rPr>
                <w:rFonts w:hint="eastAsia" w:ascii="宋体" w:hAnsi="宋体" w:cs="宋体"/>
                <w:sz w:val="24"/>
              </w:rPr>
              <w:t>检出限：≤0.02mg/L</w:t>
            </w:r>
          </w:p>
          <w:p>
            <w:pPr>
              <w:numPr>
                <w:ilvl w:val="0"/>
                <w:numId w:val="14"/>
              </w:numPr>
              <w:spacing w:line="300" w:lineRule="auto"/>
              <w:rPr>
                <w:rFonts w:ascii="宋体" w:hAnsi="宋体" w:cs="宋体"/>
                <w:sz w:val="24"/>
              </w:rPr>
            </w:pPr>
            <w:r>
              <w:rPr>
                <w:rFonts w:hint="eastAsia" w:ascii="宋体" w:hAnsi="宋体" w:cs="宋体"/>
                <w:sz w:val="24"/>
              </w:rPr>
              <w:t>示值误差：≤±5%F.S</w:t>
            </w:r>
          </w:p>
          <w:p>
            <w:pPr>
              <w:numPr>
                <w:ilvl w:val="0"/>
                <w:numId w:val="14"/>
              </w:numPr>
              <w:spacing w:line="300" w:lineRule="auto"/>
              <w:rPr>
                <w:rFonts w:ascii="宋体" w:hAnsi="宋体" w:cs="宋体"/>
                <w:sz w:val="24"/>
              </w:rPr>
            </w:pPr>
            <w:r>
              <w:rPr>
                <w:rFonts w:hint="eastAsia" w:ascii="宋体" w:hAnsi="宋体" w:cs="宋体"/>
                <w:sz w:val="24"/>
              </w:rPr>
              <w:t>重复性：≤5%</w:t>
            </w:r>
          </w:p>
          <w:p>
            <w:pPr>
              <w:numPr>
                <w:ilvl w:val="0"/>
                <w:numId w:val="14"/>
              </w:numPr>
              <w:spacing w:line="300" w:lineRule="auto"/>
              <w:rPr>
                <w:rFonts w:ascii="宋体" w:hAnsi="宋体" w:cs="宋体"/>
                <w:sz w:val="24"/>
              </w:rPr>
            </w:pPr>
            <w:r>
              <w:rPr>
                <w:rFonts w:hint="eastAsia" w:ascii="宋体" w:hAnsi="宋体" w:cs="宋体"/>
                <w:sz w:val="24"/>
              </w:rPr>
              <w:t>零点漂移：≤±5%F.S</w:t>
            </w:r>
          </w:p>
          <w:p>
            <w:pPr>
              <w:numPr>
                <w:ilvl w:val="0"/>
                <w:numId w:val="14"/>
              </w:numPr>
              <w:spacing w:line="300" w:lineRule="auto"/>
              <w:rPr>
                <w:rFonts w:ascii="宋体" w:hAnsi="宋体" w:cs="宋体"/>
                <w:sz w:val="24"/>
              </w:rPr>
            </w:pPr>
            <w:r>
              <w:rPr>
                <w:rFonts w:hint="eastAsia" w:ascii="宋体" w:hAnsi="宋体" w:cs="宋体"/>
                <w:sz w:val="24"/>
              </w:rPr>
              <w:t>量程漂移：≤±5%F.S</w:t>
            </w:r>
          </w:p>
          <w:p>
            <w:pPr>
              <w:numPr>
                <w:ilvl w:val="0"/>
                <w:numId w:val="14"/>
              </w:numPr>
              <w:spacing w:line="300" w:lineRule="auto"/>
              <w:rPr>
                <w:rFonts w:ascii="宋体" w:hAnsi="宋体" w:cs="宋体"/>
                <w:sz w:val="24"/>
              </w:rPr>
            </w:pPr>
            <w:r>
              <w:rPr>
                <w:rFonts w:hint="eastAsia" w:ascii="宋体" w:hAnsi="宋体" w:cs="宋体"/>
                <w:sz w:val="24"/>
              </w:rPr>
              <w:t>仪器线性：≥0.995</w:t>
            </w:r>
          </w:p>
          <w:p>
            <w:pPr>
              <w:spacing w:line="300" w:lineRule="auto"/>
              <w:rPr>
                <w:rFonts w:ascii="宋体" w:hAnsi="宋体" w:cs="宋体"/>
                <w:sz w:val="24"/>
              </w:rPr>
            </w:pPr>
            <w:r>
              <w:rPr>
                <w:rFonts w:hint="eastAsia" w:ascii="宋体" w:hAnsi="宋体" w:cs="宋体"/>
                <w:sz w:val="24"/>
              </w:rPr>
              <w:t>（10）降水专用pH参数要求：</w:t>
            </w:r>
          </w:p>
          <w:p>
            <w:pPr>
              <w:spacing w:line="300" w:lineRule="auto"/>
              <w:rPr>
                <w:rFonts w:ascii="宋体" w:hAnsi="宋体" w:cs="宋体"/>
                <w:sz w:val="24"/>
              </w:rPr>
            </w:pPr>
            <w:r>
              <w:rPr>
                <w:rFonts w:hint="eastAsia" w:ascii="宋体" w:hAnsi="宋体" w:cs="宋体"/>
                <w:sz w:val="24"/>
              </w:rPr>
              <w:t>1) 测量范围：0～14</w:t>
            </w:r>
          </w:p>
          <w:p>
            <w:pPr>
              <w:spacing w:line="300" w:lineRule="auto"/>
              <w:rPr>
                <w:rFonts w:ascii="宋体" w:hAnsi="宋体" w:cs="宋体"/>
                <w:sz w:val="24"/>
              </w:rPr>
            </w:pPr>
            <w:r>
              <w:rPr>
                <w:rFonts w:hint="eastAsia" w:ascii="宋体" w:hAnsi="宋体" w:cs="宋体"/>
                <w:sz w:val="24"/>
              </w:rPr>
              <w:t>2) 示值误差：≤±0.1</w:t>
            </w:r>
          </w:p>
          <w:p>
            <w:pPr>
              <w:spacing w:line="300" w:lineRule="auto"/>
              <w:rPr>
                <w:rFonts w:ascii="宋体" w:hAnsi="宋体" w:cs="宋体"/>
                <w:sz w:val="24"/>
              </w:rPr>
            </w:pPr>
            <w:r>
              <w:rPr>
                <w:rFonts w:hint="eastAsia" w:ascii="宋体" w:hAnsi="宋体" w:cs="宋体"/>
                <w:sz w:val="24"/>
              </w:rPr>
              <w:t>4) 零点漂移：≤±0.1</w:t>
            </w:r>
          </w:p>
          <w:p>
            <w:pPr>
              <w:spacing w:line="300" w:lineRule="auto"/>
              <w:rPr>
                <w:rFonts w:ascii="宋体" w:hAnsi="宋体" w:cs="宋体"/>
                <w:sz w:val="24"/>
              </w:rPr>
            </w:pPr>
            <w:r>
              <w:rPr>
                <w:rFonts w:hint="eastAsia" w:ascii="宋体" w:hAnsi="宋体" w:cs="宋体"/>
                <w:sz w:val="24"/>
              </w:rPr>
              <w:t>5) 量程漂移：≤±0.1</w:t>
            </w:r>
          </w:p>
          <w:p>
            <w:pPr>
              <w:spacing w:line="300" w:lineRule="auto"/>
              <w:rPr>
                <w:rFonts w:ascii="宋体" w:hAnsi="宋体" w:cs="宋体"/>
                <w:sz w:val="24"/>
              </w:rPr>
            </w:pPr>
            <w:r>
              <w:rPr>
                <w:rFonts w:hint="eastAsia" w:ascii="宋体" w:hAnsi="宋体" w:cs="宋体"/>
                <w:sz w:val="24"/>
              </w:rPr>
              <w:t>（11）降水专用电导率参数要求：</w:t>
            </w:r>
          </w:p>
          <w:p>
            <w:pPr>
              <w:spacing w:line="300" w:lineRule="auto"/>
              <w:rPr>
                <w:rFonts w:ascii="宋体" w:hAnsi="宋体" w:cs="宋体"/>
                <w:sz w:val="24"/>
              </w:rPr>
            </w:pPr>
            <w:r>
              <w:rPr>
                <w:rFonts w:hint="eastAsia" w:ascii="宋体" w:hAnsi="宋体" w:cs="宋体"/>
                <w:sz w:val="24"/>
              </w:rPr>
              <w:t>1) 测量范围：0～2000μS/cm</w:t>
            </w:r>
          </w:p>
          <w:p>
            <w:pPr>
              <w:spacing w:line="300" w:lineRule="auto"/>
              <w:rPr>
                <w:rFonts w:ascii="宋体" w:hAnsi="宋体" w:cs="宋体"/>
                <w:sz w:val="24"/>
              </w:rPr>
            </w:pPr>
            <w:r>
              <w:rPr>
                <w:rFonts w:hint="eastAsia" w:ascii="宋体" w:hAnsi="宋体" w:cs="宋体"/>
                <w:sz w:val="24"/>
              </w:rPr>
              <w:t>2) 示值误差：≤±2%F.S</w:t>
            </w:r>
          </w:p>
          <w:p>
            <w:pPr>
              <w:spacing w:line="300" w:lineRule="auto"/>
              <w:rPr>
                <w:rFonts w:ascii="宋体" w:hAnsi="宋体" w:cs="宋体"/>
                <w:sz w:val="24"/>
              </w:rPr>
            </w:pPr>
            <w:r>
              <w:rPr>
                <w:rFonts w:hint="eastAsia" w:ascii="宋体" w:hAnsi="宋体" w:cs="宋体"/>
                <w:sz w:val="24"/>
              </w:rPr>
              <w:t>3) 重复性：≤1%</w:t>
            </w:r>
          </w:p>
          <w:p>
            <w:pPr>
              <w:spacing w:line="300" w:lineRule="auto"/>
              <w:rPr>
                <w:rFonts w:ascii="宋体" w:hAnsi="宋体" w:cs="宋体"/>
                <w:sz w:val="24"/>
              </w:rPr>
            </w:pPr>
            <w:r>
              <w:rPr>
                <w:rFonts w:hint="eastAsia" w:ascii="宋体" w:hAnsi="宋体" w:cs="宋体"/>
                <w:sz w:val="24"/>
              </w:rPr>
              <w:t>4) 零点漂移：≤±1%F.S</w:t>
            </w:r>
          </w:p>
          <w:p>
            <w:pPr>
              <w:spacing w:line="300" w:lineRule="auto"/>
              <w:rPr>
                <w:rFonts w:ascii="宋体" w:hAnsi="宋体" w:cs="宋体"/>
                <w:sz w:val="24"/>
              </w:rPr>
            </w:pPr>
            <w:r>
              <w:rPr>
                <w:rFonts w:hint="eastAsia" w:ascii="宋体" w:hAnsi="宋体" w:cs="宋体"/>
                <w:sz w:val="24"/>
              </w:rPr>
              <w:t>5) 量程漂移：≤±1%F.S</w:t>
            </w:r>
          </w:p>
        </w:tc>
      </w:tr>
      <w:tr>
        <w:tblPrEx>
          <w:tblCellMar>
            <w:top w:w="0" w:type="dxa"/>
            <w:left w:w="108" w:type="dxa"/>
            <w:bottom w:w="0" w:type="dxa"/>
            <w:right w:w="108" w:type="dxa"/>
          </w:tblCellMar>
        </w:tblPrEx>
        <w:trPr>
          <w:trHeight w:val="290" w:hRule="atLeast"/>
        </w:trPr>
        <w:tc>
          <w:tcPr>
            <w:tcW w:w="598"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z w:val="24"/>
              </w:rPr>
            </w:pPr>
            <w:r>
              <w:rPr>
                <w:rFonts w:hint="eastAsia" w:ascii="宋体" w:hAnsi="宋体" w:cs="宋体"/>
                <w:sz w:val="24"/>
              </w:rPr>
              <w:t>3</w:t>
            </w:r>
          </w:p>
        </w:tc>
        <w:tc>
          <w:tcPr>
            <w:tcW w:w="1710"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sz w:val="24"/>
              </w:rPr>
            </w:pPr>
            <w:r>
              <w:rPr>
                <w:rFonts w:hint="eastAsia" w:ascii="宋体" w:hAnsi="宋体" w:cs="宋体"/>
                <w:sz w:val="24"/>
              </w:rPr>
              <w:t>一体式站房</w:t>
            </w:r>
          </w:p>
        </w:tc>
        <w:tc>
          <w:tcPr>
            <w:tcW w:w="7335" w:type="dxa"/>
            <w:tcBorders>
              <w:top w:val="single" w:color="auto" w:sz="4" w:space="0"/>
              <w:left w:val="single" w:color="auto" w:sz="4" w:space="0"/>
              <w:bottom w:val="single" w:color="auto" w:sz="4" w:space="0"/>
              <w:right w:val="single" w:color="auto" w:sz="4" w:space="0"/>
            </w:tcBorders>
          </w:tcPr>
          <w:p>
            <w:pPr>
              <w:numPr>
                <w:ilvl w:val="0"/>
                <w:numId w:val="15"/>
              </w:numPr>
              <w:spacing w:line="300" w:lineRule="auto"/>
              <w:rPr>
                <w:rFonts w:ascii="宋体" w:hAnsi="宋体" w:cs="宋体"/>
                <w:sz w:val="24"/>
              </w:rPr>
            </w:pPr>
            <w:r>
              <w:rPr>
                <w:rFonts w:hint="eastAsia" w:ascii="宋体" w:hAnsi="宋体" w:cs="宋体"/>
                <w:sz w:val="24"/>
              </w:rPr>
              <w:t>总体设计：站房屋架、柱梁需采用钢结构焊接组成。墙体需采用钢板轻质隔热夹芯板组合，屋面为平面结构设计（便于采样器安装）。</w:t>
            </w:r>
          </w:p>
        </w:tc>
      </w:tr>
      <w:tr>
        <w:tblPrEx>
          <w:tblCellMar>
            <w:top w:w="0" w:type="dxa"/>
            <w:left w:w="108" w:type="dxa"/>
            <w:bottom w:w="0" w:type="dxa"/>
            <w:right w:w="108" w:type="dxa"/>
          </w:tblCellMar>
        </w:tblPrEx>
        <w:trPr>
          <w:trHeight w:val="61" w:hRule="atLeast"/>
        </w:trPr>
        <w:tc>
          <w:tcPr>
            <w:tcW w:w="5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1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7335" w:type="dxa"/>
            <w:tcBorders>
              <w:top w:val="single" w:color="auto" w:sz="4" w:space="0"/>
              <w:left w:val="single" w:color="auto" w:sz="4" w:space="0"/>
              <w:bottom w:val="single" w:color="auto" w:sz="4" w:space="0"/>
              <w:right w:val="single" w:color="auto" w:sz="4" w:space="0"/>
            </w:tcBorders>
          </w:tcPr>
          <w:p>
            <w:pPr>
              <w:numPr>
                <w:ilvl w:val="0"/>
                <w:numId w:val="15"/>
              </w:numPr>
              <w:spacing w:line="300" w:lineRule="auto"/>
              <w:rPr>
                <w:rFonts w:ascii="宋体" w:hAnsi="宋体" w:cs="宋体"/>
                <w:sz w:val="24"/>
              </w:rPr>
            </w:pPr>
            <w:r>
              <w:rPr>
                <w:rFonts w:hint="eastAsia" w:ascii="宋体" w:hAnsi="宋体" w:cs="宋体"/>
                <w:sz w:val="24"/>
              </w:rPr>
              <w:t>站房的内尺寸不小于4m</w:t>
            </w:r>
            <w:r>
              <w:rPr>
                <w:rFonts w:hint="eastAsia" w:ascii="宋体" w:hAnsi="宋体" w:cs="宋体"/>
                <w:sz w:val="24"/>
                <w:vertAlign w:val="superscript"/>
              </w:rPr>
              <w:t>2</w:t>
            </w:r>
            <w:r>
              <w:rPr>
                <w:rFonts w:hint="eastAsia" w:ascii="宋体" w:hAnsi="宋体" w:cs="宋体"/>
                <w:sz w:val="24"/>
              </w:rPr>
              <w:t>。</w:t>
            </w:r>
          </w:p>
        </w:tc>
      </w:tr>
      <w:tr>
        <w:tblPrEx>
          <w:tblCellMar>
            <w:top w:w="0" w:type="dxa"/>
            <w:left w:w="108" w:type="dxa"/>
            <w:bottom w:w="0" w:type="dxa"/>
            <w:right w:w="108" w:type="dxa"/>
          </w:tblCellMar>
        </w:tblPrEx>
        <w:trPr>
          <w:trHeight w:val="61" w:hRule="atLeast"/>
        </w:trPr>
        <w:tc>
          <w:tcPr>
            <w:tcW w:w="5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1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7335" w:type="dxa"/>
            <w:tcBorders>
              <w:top w:val="single" w:color="auto" w:sz="4" w:space="0"/>
              <w:left w:val="single" w:color="auto" w:sz="4" w:space="0"/>
              <w:bottom w:val="single" w:color="auto" w:sz="4" w:space="0"/>
              <w:right w:val="single" w:color="auto" w:sz="4" w:space="0"/>
            </w:tcBorders>
          </w:tcPr>
          <w:p>
            <w:pPr>
              <w:numPr>
                <w:ilvl w:val="0"/>
                <w:numId w:val="15"/>
              </w:numPr>
              <w:spacing w:line="300" w:lineRule="auto"/>
              <w:rPr>
                <w:rFonts w:ascii="宋体" w:hAnsi="宋体" w:cs="宋体"/>
                <w:sz w:val="24"/>
              </w:rPr>
            </w:pPr>
            <w:r>
              <w:rPr>
                <w:rFonts w:hint="eastAsia" w:ascii="宋体" w:hAnsi="宋体" w:cs="宋体"/>
                <w:sz w:val="24"/>
              </w:rPr>
              <w:t>站房内空高不小于2.2m。</w:t>
            </w:r>
          </w:p>
        </w:tc>
      </w:tr>
      <w:tr>
        <w:tblPrEx>
          <w:tblCellMar>
            <w:top w:w="0" w:type="dxa"/>
            <w:left w:w="108" w:type="dxa"/>
            <w:bottom w:w="0" w:type="dxa"/>
            <w:right w:w="108" w:type="dxa"/>
          </w:tblCellMar>
        </w:tblPrEx>
        <w:trPr>
          <w:trHeight w:val="61" w:hRule="atLeast"/>
        </w:trPr>
        <w:tc>
          <w:tcPr>
            <w:tcW w:w="5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1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7335" w:type="dxa"/>
            <w:tcBorders>
              <w:top w:val="single" w:color="auto" w:sz="4" w:space="0"/>
              <w:left w:val="single" w:color="auto" w:sz="4" w:space="0"/>
              <w:bottom w:val="single" w:color="auto" w:sz="4" w:space="0"/>
              <w:right w:val="single" w:color="auto" w:sz="4" w:space="0"/>
            </w:tcBorders>
          </w:tcPr>
          <w:p>
            <w:pPr>
              <w:numPr>
                <w:ilvl w:val="0"/>
                <w:numId w:val="15"/>
              </w:numPr>
              <w:spacing w:line="300" w:lineRule="auto"/>
              <w:rPr>
                <w:rFonts w:ascii="宋体" w:hAnsi="宋体" w:cs="宋体"/>
                <w:sz w:val="24"/>
              </w:rPr>
            </w:pPr>
            <w:r>
              <w:rPr>
                <w:rFonts w:hint="eastAsia" w:ascii="宋体" w:hAnsi="宋体" w:cs="宋体"/>
                <w:sz w:val="24"/>
              </w:rPr>
              <w:t>隔热设计：具有良好的阻热、防潮、防寒、隔热性能。</w:t>
            </w:r>
          </w:p>
        </w:tc>
      </w:tr>
      <w:tr>
        <w:tblPrEx>
          <w:tblCellMar>
            <w:top w:w="0" w:type="dxa"/>
            <w:left w:w="108" w:type="dxa"/>
            <w:bottom w:w="0" w:type="dxa"/>
            <w:right w:w="108" w:type="dxa"/>
          </w:tblCellMar>
        </w:tblPrEx>
        <w:trPr>
          <w:trHeight w:val="61" w:hRule="atLeast"/>
        </w:trPr>
        <w:tc>
          <w:tcPr>
            <w:tcW w:w="5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1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7335" w:type="dxa"/>
            <w:tcBorders>
              <w:top w:val="single" w:color="auto" w:sz="4" w:space="0"/>
              <w:left w:val="single" w:color="auto" w:sz="4" w:space="0"/>
              <w:bottom w:val="single" w:color="auto" w:sz="4" w:space="0"/>
              <w:right w:val="single" w:color="auto" w:sz="4" w:space="0"/>
            </w:tcBorders>
          </w:tcPr>
          <w:p>
            <w:pPr>
              <w:numPr>
                <w:ilvl w:val="0"/>
                <w:numId w:val="15"/>
              </w:numPr>
              <w:spacing w:line="300" w:lineRule="auto"/>
              <w:rPr>
                <w:rFonts w:ascii="宋体" w:hAnsi="宋体" w:cs="宋体"/>
                <w:sz w:val="24"/>
              </w:rPr>
            </w:pPr>
            <w:r>
              <w:rPr>
                <w:rFonts w:hint="eastAsia" w:ascii="宋体" w:hAnsi="宋体" w:cs="宋体"/>
                <w:sz w:val="24"/>
              </w:rPr>
              <w:t>抗风设计：抗风力12级以上。</w:t>
            </w:r>
          </w:p>
        </w:tc>
      </w:tr>
      <w:tr>
        <w:tblPrEx>
          <w:tblCellMar>
            <w:top w:w="0" w:type="dxa"/>
            <w:left w:w="108" w:type="dxa"/>
            <w:bottom w:w="0" w:type="dxa"/>
            <w:right w:w="108" w:type="dxa"/>
          </w:tblCellMar>
        </w:tblPrEx>
        <w:trPr>
          <w:trHeight w:val="61" w:hRule="atLeast"/>
        </w:trPr>
        <w:tc>
          <w:tcPr>
            <w:tcW w:w="5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1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7335" w:type="dxa"/>
            <w:tcBorders>
              <w:top w:val="single" w:color="auto" w:sz="4" w:space="0"/>
              <w:left w:val="single" w:color="auto" w:sz="4" w:space="0"/>
              <w:bottom w:val="single" w:color="auto" w:sz="4" w:space="0"/>
              <w:right w:val="single" w:color="auto" w:sz="4" w:space="0"/>
            </w:tcBorders>
          </w:tcPr>
          <w:p>
            <w:pPr>
              <w:numPr>
                <w:ilvl w:val="0"/>
                <w:numId w:val="15"/>
              </w:numPr>
              <w:spacing w:line="300" w:lineRule="auto"/>
              <w:rPr>
                <w:rFonts w:ascii="宋体" w:hAnsi="宋体" w:cs="宋体"/>
                <w:sz w:val="24"/>
              </w:rPr>
            </w:pPr>
            <w:r>
              <w:rPr>
                <w:rFonts w:hint="eastAsia" w:ascii="宋体" w:hAnsi="宋体" w:cs="宋体"/>
                <w:sz w:val="24"/>
              </w:rPr>
              <w:t>站房防雷需考虑直击雷防护、电源防雷以及通讯信号防雷。</w:t>
            </w:r>
          </w:p>
        </w:tc>
      </w:tr>
      <w:tr>
        <w:tblPrEx>
          <w:tblCellMar>
            <w:top w:w="0" w:type="dxa"/>
            <w:left w:w="108" w:type="dxa"/>
            <w:bottom w:w="0" w:type="dxa"/>
            <w:right w:w="108" w:type="dxa"/>
          </w:tblCellMar>
        </w:tblPrEx>
        <w:trPr>
          <w:trHeight w:val="61" w:hRule="atLeast"/>
        </w:trPr>
        <w:tc>
          <w:tcPr>
            <w:tcW w:w="5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1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7335" w:type="dxa"/>
            <w:tcBorders>
              <w:top w:val="single" w:color="auto" w:sz="4" w:space="0"/>
              <w:left w:val="single" w:color="auto" w:sz="4" w:space="0"/>
              <w:bottom w:val="single" w:color="auto" w:sz="4" w:space="0"/>
              <w:right w:val="single" w:color="auto" w:sz="4" w:space="0"/>
            </w:tcBorders>
          </w:tcPr>
          <w:p>
            <w:pPr>
              <w:numPr>
                <w:ilvl w:val="0"/>
                <w:numId w:val="15"/>
              </w:numPr>
              <w:spacing w:line="300" w:lineRule="auto"/>
              <w:rPr>
                <w:rFonts w:ascii="宋体" w:hAnsi="宋体" w:cs="宋体"/>
                <w:sz w:val="24"/>
              </w:rPr>
            </w:pPr>
            <w:r>
              <w:rPr>
                <w:rFonts w:hint="eastAsia" w:ascii="宋体" w:hAnsi="宋体" w:cs="宋体"/>
                <w:sz w:val="24"/>
              </w:rPr>
              <w:t>冰箱可控制温度在4±2℃。</w:t>
            </w:r>
          </w:p>
        </w:tc>
      </w:tr>
      <w:tr>
        <w:tblPrEx>
          <w:tblCellMar>
            <w:top w:w="0" w:type="dxa"/>
            <w:left w:w="108" w:type="dxa"/>
            <w:bottom w:w="0" w:type="dxa"/>
            <w:right w:w="108" w:type="dxa"/>
          </w:tblCellMar>
        </w:tblPrEx>
        <w:trPr>
          <w:trHeight w:val="61" w:hRule="atLeast"/>
        </w:trPr>
        <w:tc>
          <w:tcPr>
            <w:tcW w:w="5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1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7335" w:type="dxa"/>
            <w:tcBorders>
              <w:top w:val="single" w:color="auto" w:sz="4" w:space="0"/>
              <w:left w:val="single" w:color="auto" w:sz="4" w:space="0"/>
              <w:bottom w:val="single" w:color="auto" w:sz="4" w:space="0"/>
              <w:right w:val="single" w:color="auto" w:sz="4" w:space="0"/>
            </w:tcBorders>
          </w:tcPr>
          <w:p>
            <w:pPr>
              <w:numPr>
                <w:ilvl w:val="0"/>
                <w:numId w:val="15"/>
              </w:numPr>
              <w:spacing w:line="300" w:lineRule="auto"/>
              <w:rPr>
                <w:rFonts w:ascii="宋体" w:hAnsi="宋体" w:cs="宋体"/>
                <w:sz w:val="24"/>
              </w:rPr>
            </w:pPr>
            <w:r>
              <w:rPr>
                <w:rFonts w:hint="eastAsia" w:ascii="宋体" w:hAnsi="宋体" w:cs="宋体"/>
                <w:sz w:val="24"/>
              </w:rPr>
              <w:t>采用壁挂式空调，功率≥1.5匹，单相220V，50Hz，且保持室内温度恒温在20～26℃；具有来电自启动功能。</w:t>
            </w:r>
          </w:p>
        </w:tc>
      </w:tr>
      <w:tr>
        <w:tblPrEx>
          <w:tblCellMar>
            <w:top w:w="0" w:type="dxa"/>
            <w:left w:w="108" w:type="dxa"/>
            <w:bottom w:w="0" w:type="dxa"/>
            <w:right w:w="108" w:type="dxa"/>
          </w:tblCellMar>
        </w:tblPrEx>
        <w:trPr>
          <w:trHeight w:val="61" w:hRule="atLeast"/>
        </w:trPr>
        <w:tc>
          <w:tcPr>
            <w:tcW w:w="5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1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7335" w:type="dxa"/>
            <w:tcBorders>
              <w:top w:val="single" w:color="auto" w:sz="4" w:space="0"/>
              <w:left w:val="single" w:color="auto" w:sz="4" w:space="0"/>
              <w:bottom w:val="single" w:color="auto" w:sz="4" w:space="0"/>
              <w:right w:val="single" w:color="auto" w:sz="4" w:space="0"/>
            </w:tcBorders>
          </w:tcPr>
          <w:p>
            <w:pPr>
              <w:numPr>
                <w:ilvl w:val="0"/>
                <w:numId w:val="15"/>
              </w:numPr>
              <w:spacing w:line="300" w:lineRule="auto"/>
              <w:rPr>
                <w:rFonts w:ascii="宋体" w:hAnsi="宋体" w:cs="宋体"/>
                <w:sz w:val="24"/>
              </w:rPr>
            </w:pPr>
            <w:r>
              <w:rPr>
                <w:rFonts w:hint="eastAsia" w:ascii="宋体" w:hAnsi="宋体" w:cs="宋体"/>
                <w:sz w:val="24"/>
              </w:rPr>
              <w:t>氮气瓶中氮气纯度应≥99.99%。</w:t>
            </w:r>
          </w:p>
        </w:tc>
      </w:tr>
      <w:tr>
        <w:tblPrEx>
          <w:tblCellMar>
            <w:top w:w="0" w:type="dxa"/>
            <w:left w:w="108" w:type="dxa"/>
            <w:bottom w:w="0" w:type="dxa"/>
            <w:right w:w="108" w:type="dxa"/>
          </w:tblCellMar>
        </w:tblPrEx>
        <w:trPr>
          <w:trHeight w:val="61" w:hRule="atLeast"/>
        </w:trPr>
        <w:tc>
          <w:tcPr>
            <w:tcW w:w="5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1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7335" w:type="dxa"/>
            <w:tcBorders>
              <w:top w:val="single" w:color="auto" w:sz="4" w:space="0"/>
              <w:left w:val="single" w:color="auto" w:sz="4" w:space="0"/>
              <w:bottom w:val="single" w:color="auto" w:sz="4" w:space="0"/>
              <w:right w:val="single" w:color="auto" w:sz="4" w:space="0"/>
            </w:tcBorders>
          </w:tcPr>
          <w:p>
            <w:pPr>
              <w:numPr>
                <w:ilvl w:val="0"/>
                <w:numId w:val="15"/>
              </w:numPr>
              <w:spacing w:line="300" w:lineRule="auto"/>
              <w:rPr>
                <w:rFonts w:ascii="宋体" w:hAnsi="宋体" w:cs="宋体"/>
                <w:sz w:val="24"/>
              </w:rPr>
            </w:pPr>
            <w:r>
              <w:rPr>
                <w:rFonts w:hint="eastAsia" w:ascii="宋体" w:hAnsi="宋体" w:cs="宋体"/>
                <w:sz w:val="24"/>
              </w:rPr>
              <w:t>总配电： 220V，7KW。</w:t>
            </w:r>
          </w:p>
        </w:tc>
      </w:tr>
      <w:tr>
        <w:tblPrEx>
          <w:tblCellMar>
            <w:top w:w="0" w:type="dxa"/>
            <w:left w:w="108" w:type="dxa"/>
            <w:bottom w:w="0" w:type="dxa"/>
            <w:right w:w="108" w:type="dxa"/>
          </w:tblCellMar>
        </w:tblPrEx>
        <w:trPr>
          <w:trHeight w:val="61" w:hRule="atLeast"/>
        </w:trPr>
        <w:tc>
          <w:tcPr>
            <w:tcW w:w="5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1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7335" w:type="dxa"/>
            <w:tcBorders>
              <w:top w:val="single" w:color="auto" w:sz="4" w:space="0"/>
              <w:left w:val="single" w:color="auto" w:sz="4" w:space="0"/>
              <w:bottom w:val="single" w:color="auto" w:sz="4" w:space="0"/>
              <w:right w:val="single" w:color="auto" w:sz="4" w:space="0"/>
            </w:tcBorders>
          </w:tcPr>
          <w:p>
            <w:pPr>
              <w:numPr>
                <w:ilvl w:val="0"/>
                <w:numId w:val="15"/>
              </w:numPr>
              <w:spacing w:line="300" w:lineRule="auto"/>
              <w:rPr>
                <w:rFonts w:ascii="宋体" w:hAnsi="宋体" w:cs="宋体"/>
                <w:sz w:val="24"/>
              </w:rPr>
            </w:pPr>
            <w:r>
              <w:rPr>
                <w:rFonts w:hint="eastAsia" w:ascii="宋体" w:hAnsi="宋体" w:cs="宋体"/>
                <w:sz w:val="24"/>
              </w:rPr>
              <w:t>仪器设备及控制用电： 2 KW。</w:t>
            </w:r>
          </w:p>
        </w:tc>
      </w:tr>
      <w:tr>
        <w:tblPrEx>
          <w:tblCellMar>
            <w:top w:w="0" w:type="dxa"/>
            <w:left w:w="108" w:type="dxa"/>
            <w:bottom w:w="0" w:type="dxa"/>
            <w:right w:w="108" w:type="dxa"/>
          </w:tblCellMar>
        </w:tblPrEx>
        <w:trPr>
          <w:trHeight w:val="61" w:hRule="atLeast"/>
        </w:trPr>
        <w:tc>
          <w:tcPr>
            <w:tcW w:w="5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1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7335" w:type="dxa"/>
            <w:tcBorders>
              <w:top w:val="single" w:color="auto" w:sz="4" w:space="0"/>
              <w:left w:val="single" w:color="auto" w:sz="4" w:space="0"/>
              <w:bottom w:val="single" w:color="auto" w:sz="4" w:space="0"/>
              <w:right w:val="single" w:color="auto" w:sz="4" w:space="0"/>
            </w:tcBorders>
          </w:tcPr>
          <w:p>
            <w:pPr>
              <w:numPr>
                <w:ilvl w:val="0"/>
                <w:numId w:val="15"/>
              </w:numPr>
              <w:spacing w:line="300" w:lineRule="auto"/>
              <w:rPr>
                <w:rFonts w:ascii="宋体" w:hAnsi="宋体" w:cs="宋体"/>
                <w:sz w:val="24"/>
              </w:rPr>
            </w:pPr>
            <w:r>
              <w:rPr>
                <w:rFonts w:hint="eastAsia" w:ascii="宋体" w:hAnsi="宋体" w:cs="宋体"/>
                <w:sz w:val="24"/>
              </w:rPr>
              <w:t>仪器间空调及站房照明、生活用电：3KW。</w:t>
            </w:r>
          </w:p>
        </w:tc>
      </w:tr>
      <w:tr>
        <w:tblPrEx>
          <w:tblCellMar>
            <w:top w:w="0" w:type="dxa"/>
            <w:left w:w="108" w:type="dxa"/>
            <w:bottom w:w="0" w:type="dxa"/>
            <w:right w:w="108" w:type="dxa"/>
          </w:tblCellMar>
        </w:tblPrEx>
        <w:trPr>
          <w:trHeight w:val="61" w:hRule="atLeast"/>
        </w:trPr>
        <w:tc>
          <w:tcPr>
            <w:tcW w:w="5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1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7335" w:type="dxa"/>
            <w:tcBorders>
              <w:top w:val="single" w:color="auto" w:sz="4" w:space="0"/>
              <w:left w:val="single" w:color="auto" w:sz="4" w:space="0"/>
              <w:bottom w:val="single" w:color="auto" w:sz="4" w:space="0"/>
              <w:right w:val="single" w:color="auto" w:sz="4" w:space="0"/>
            </w:tcBorders>
          </w:tcPr>
          <w:p>
            <w:pPr>
              <w:numPr>
                <w:ilvl w:val="0"/>
                <w:numId w:val="15"/>
              </w:numPr>
              <w:spacing w:line="300" w:lineRule="auto"/>
              <w:rPr>
                <w:rFonts w:ascii="宋体" w:hAnsi="宋体" w:cs="宋体"/>
                <w:sz w:val="24"/>
              </w:rPr>
            </w:pPr>
            <w:r>
              <w:rPr>
                <w:rFonts w:hint="eastAsia" w:ascii="宋体" w:hAnsi="宋体" w:cs="宋体"/>
                <w:sz w:val="24"/>
              </w:rPr>
              <w:t>自来水进水：设置于站房两侧，自来水压力1～2bar。</w:t>
            </w:r>
          </w:p>
        </w:tc>
      </w:tr>
      <w:tr>
        <w:tblPrEx>
          <w:tblCellMar>
            <w:top w:w="0" w:type="dxa"/>
            <w:left w:w="108" w:type="dxa"/>
            <w:bottom w:w="0" w:type="dxa"/>
            <w:right w:w="108" w:type="dxa"/>
          </w:tblCellMar>
        </w:tblPrEx>
        <w:trPr>
          <w:trHeight w:val="61" w:hRule="atLeast"/>
        </w:trPr>
        <w:tc>
          <w:tcPr>
            <w:tcW w:w="5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1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7335" w:type="dxa"/>
            <w:tcBorders>
              <w:top w:val="single" w:color="auto" w:sz="4" w:space="0"/>
              <w:left w:val="single" w:color="auto" w:sz="4" w:space="0"/>
              <w:bottom w:val="single" w:color="auto" w:sz="4" w:space="0"/>
              <w:right w:val="single" w:color="auto" w:sz="4" w:space="0"/>
            </w:tcBorders>
          </w:tcPr>
          <w:p>
            <w:pPr>
              <w:numPr>
                <w:ilvl w:val="0"/>
                <w:numId w:val="15"/>
              </w:numPr>
              <w:spacing w:line="300" w:lineRule="auto"/>
              <w:rPr>
                <w:rFonts w:ascii="宋体" w:hAnsi="宋体" w:cs="宋体"/>
                <w:sz w:val="24"/>
              </w:rPr>
            </w:pPr>
            <w:r>
              <w:rPr>
                <w:rFonts w:hint="eastAsia" w:ascii="宋体" w:hAnsi="宋体" w:cs="宋体"/>
                <w:sz w:val="24"/>
              </w:rPr>
              <w:t>排水：设置于站房两侧，设置统一排水口，对外总排水管直径为110mm。</w:t>
            </w:r>
          </w:p>
        </w:tc>
      </w:tr>
    </w:tbl>
    <w:p/>
    <w:p>
      <w:pPr>
        <w:pStyle w:val="4"/>
        <w:keepLines/>
        <w:widowControl w:val="0"/>
        <w:numPr>
          <w:ilvl w:val="0"/>
          <w:numId w:val="3"/>
        </w:numPr>
        <w:tabs>
          <w:tab w:val="left" w:pos="0"/>
        </w:tabs>
        <w:jc w:val="both"/>
        <w:rPr>
          <w:sz w:val="24"/>
          <w:szCs w:val="24"/>
        </w:rPr>
      </w:pPr>
      <w:r>
        <w:rPr>
          <w:rFonts w:hint="eastAsia"/>
          <w:sz w:val="24"/>
          <w:szCs w:val="24"/>
        </w:rPr>
        <w:t>系统运维技术要求</w:t>
      </w:r>
      <w:bookmarkStart w:id="6" w:name="_Toc503884352"/>
    </w:p>
    <w:p>
      <w:pPr>
        <w:numPr>
          <w:ilvl w:val="0"/>
          <w:numId w:val="16"/>
        </w:numPr>
        <w:spacing w:line="360" w:lineRule="auto"/>
        <w:ind w:firstLine="482" w:firstLineChars="200"/>
        <w:rPr>
          <w:b/>
          <w:bCs/>
          <w:sz w:val="24"/>
        </w:rPr>
      </w:pPr>
      <w:r>
        <w:rPr>
          <w:rFonts w:hint="eastAsia"/>
          <w:b/>
          <w:bCs/>
          <w:sz w:val="24"/>
        </w:rPr>
        <w:t>运维时间：一年，时间自最终验收合格并交付使用之日起计算。</w:t>
      </w:r>
      <w:bookmarkEnd w:id="6"/>
      <w:bookmarkStart w:id="7" w:name="_Toc503884353"/>
    </w:p>
    <w:p>
      <w:pPr>
        <w:numPr>
          <w:ilvl w:val="0"/>
          <w:numId w:val="16"/>
        </w:numPr>
        <w:spacing w:line="360" w:lineRule="auto"/>
        <w:ind w:firstLine="482" w:firstLineChars="200"/>
        <w:rPr>
          <w:b/>
          <w:bCs/>
          <w:sz w:val="24"/>
        </w:rPr>
      </w:pPr>
      <w:r>
        <w:rPr>
          <w:rFonts w:hint="eastAsia"/>
          <w:b/>
          <w:bCs/>
          <w:sz w:val="24"/>
        </w:rPr>
        <w:t>运维目标</w:t>
      </w:r>
      <w:bookmarkEnd w:id="7"/>
    </w:p>
    <w:p>
      <w:pPr>
        <w:pStyle w:val="22"/>
        <w:spacing w:line="360" w:lineRule="auto"/>
        <w:ind w:firstLine="480"/>
        <w:rPr>
          <w:rFonts w:ascii="宋体" w:hAnsi="宋体"/>
          <w:sz w:val="24"/>
        </w:rPr>
      </w:pPr>
      <w:r>
        <w:rPr>
          <w:rFonts w:hint="eastAsia" w:ascii="宋体" w:hAnsi="宋体"/>
          <w:sz w:val="24"/>
        </w:rPr>
        <w:t>1.1 降水监测数据的有效率：90%以上（以有效的pH、EC、降水量、离子浓度数据量除以理论上应该有的数据总量）；</w:t>
      </w:r>
    </w:p>
    <w:p>
      <w:pPr>
        <w:pStyle w:val="22"/>
        <w:spacing w:line="360" w:lineRule="auto"/>
        <w:ind w:firstLine="480"/>
        <w:rPr>
          <w:rFonts w:ascii="宋体" w:hAnsi="宋体"/>
          <w:sz w:val="24"/>
        </w:rPr>
      </w:pPr>
      <w:r>
        <w:rPr>
          <w:rFonts w:hint="eastAsia" w:ascii="宋体" w:hAnsi="宋体"/>
          <w:sz w:val="24"/>
        </w:rPr>
        <w:t>1.2 设备正常运转率：95以上（以设备正常运转时间除以理论上应该正常运转的时间）。</w:t>
      </w:r>
    </w:p>
    <w:p>
      <w:pPr>
        <w:numPr>
          <w:ilvl w:val="0"/>
          <w:numId w:val="16"/>
        </w:numPr>
        <w:spacing w:line="360" w:lineRule="auto"/>
        <w:ind w:firstLine="482" w:firstLineChars="200"/>
        <w:rPr>
          <w:b/>
          <w:bCs/>
          <w:sz w:val="24"/>
        </w:rPr>
      </w:pPr>
      <w:bookmarkStart w:id="8" w:name="_Toc503884354"/>
      <w:r>
        <w:rPr>
          <w:rFonts w:hint="eastAsia"/>
          <w:b/>
          <w:bCs/>
          <w:sz w:val="24"/>
        </w:rPr>
        <w:t>运维管理制度</w:t>
      </w:r>
      <w:bookmarkEnd w:id="8"/>
    </w:p>
    <w:p>
      <w:pPr>
        <w:pStyle w:val="22"/>
        <w:spacing w:line="360" w:lineRule="auto"/>
        <w:ind w:firstLine="480"/>
        <w:rPr>
          <w:rFonts w:hAnsi="宋体"/>
          <w:sz w:val="24"/>
        </w:rPr>
      </w:pPr>
      <w:bookmarkStart w:id="9" w:name="_Toc503884357"/>
      <w:r>
        <w:rPr>
          <w:rFonts w:hint="eastAsia" w:hAnsi="宋体"/>
          <w:sz w:val="24"/>
        </w:rPr>
        <w:t>3.1 日监视要求</w:t>
      </w:r>
      <w:bookmarkEnd w:id="9"/>
    </w:p>
    <w:p>
      <w:pPr>
        <w:spacing w:line="360" w:lineRule="auto"/>
        <w:ind w:firstLine="480" w:firstLineChars="200"/>
        <w:rPr>
          <w:rFonts w:ascii="宋体" w:hAnsi="宋体"/>
          <w:sz w:val="24"/>
        </w:rPr>
      </w:pPr>
      <w:r>
        <w:rPr>
          <w:rFonts w:hint="eastAsia" w:ascii="宋体" w:hAnsi="宋体"/>
          <w:sz w:val="24"/>
        </w:rPr>
        <w:t>运维人员应每天通过远程平台查看系统的运行状态、实时数据及历史数据，远程判断系统是否出现故障；若出现故障，则应及时去现场处理。</w:t>
      </w:r>
    </w:p>
    <w:p>
      <w:pPr>
        <w:pStyle w:val="22"/>
        <w:spacing w:line="360" w:lineRule="auto"/>
        <w:ind w:firstLine="480"/>
        <w:rPr>
          <w:rFonts w:hAnsi="宋体"/>
          <w:sz w:val="24"/>
        </w:rPr>
      </w:pPr>
      <w:bookmarkStart w:id="10" w:name="_Toc503884358"/>
      <w:r>
        <w:rPr>
          <w:rFonts w:hint="eastAsia" w:hAnsi="宋体"/>
          <w:sz w:val="24"/>
        </w:rPr>
        <w:t>3.2 月巡检要求</w:t>
      </w:r>
      <w:bookmarkEnd w:id="10"/>
    </w:p>
    <w:p>
      <w:pPr>
        <w:spacing w:line="360" w:lineRule="auto"/>
        <w:ind w:firstLine="480" w:firstLineChars="200"/>
        <w:rPr>
          <w:rFonts w:ascii="宋体" w:hAnsi="宋体"/>
          <w:sz w:val="24"/>
        </w:rPr>
      </w:pPr>
      <w:r>
        <w:rPr>
          <w:rFonts w:hint="eastAsia" w:ascii="宋体" w:hAnsi="宋体"/>
          <w:sz w:val="24"/>
        </w:rPr>
        <w:t>运维人员每月至少1次去现场例行巡检维护，包括室外采样器维护、室内分析仪维护、清洗装置维护，具体维护内容详见《运维点检表》，维护人员在维护完成后应准确填写《运行维护记录》，并由客户签字予以确认。</w:t>
      </w:r>
    </w:p>
    <w:p>
      <w:pPr>
        <w:spacing w:line="360" w:lineRule="auto"/>
        <w:ind w:firstLine="480" w:firstLineChars="200"/>
        <w:rPr>
          <w:rFonts w:ascii="宋体" w:hAnsi="宋体"/>
          <w:sz w:val="24"/>
        </w:rPr>
      </w:pPr>
      <w:r>
        <w:rPr>
          <w:rFonts w:hint="eastAsia" w:ascii="宋体" w:hAnsi="宋体"/>
          <w:sz w:val="24"/>
        </w:rPr>
        <w:t>运维人员应保证站房整洁、干净。</w:t>
      </w:r>
    </w:p>
    <w:p>
      <w:pPr>
        <w:pStyle w:val="22"/>
        <w:spacing w:line="360" w:lineRule="auto"/>
        <w:ind w:firstLine="480"/>
        <w:rPr>
          <w:rFonts w:hAnsi="宋体"/>
          <w:sz w:val="24"/>
        </w:rPr>
      </w:pPr>
      <w:bookmarkStart w:id="11" w:name="_Toc503884359"/>
      <w:r>
        <w:rPr>
          <w:rFonts w:hint="eastAsia" w:hAnsi="宋体"/>
          <w:sz w:val="24"/>
        </w:rPr>
        <w:t>3.3 数据质控要求</w:t>
      </w:r>
      <w:bookmarkEnd w:id="11"/>
    </w:p>
    <w:p>
      <w:pPr>
        <w:spacing w:line="360" w:lineRule="auto"/>
        <w:ind w:firstLine="480" w:firstLineChars="200"/>
        <w:rPr>
          <w:rFonts w:ascii="宋体" w:hAnsi="宋体"/>
          <w:sz w:val="24"/>
        </w:rPr>
      </w:pPr>
      <w:r>
        <w:rPr>
          <w:rFonts w:hint="eastAsia" w:ascii="宋体" w:hAnsi="宋体"/>
          <w:sz w:val="24"/>
        </w:rPr>
        <w:t>运维人员每月至少1次去现场进行质控样测试（含pH、电导率、阴离子以及阳离子），准确填写《系统质控数据记录》，并分析质控数据，若数据出现异常则应重新对系统进行校准，《系统质控数据记录》以电子档或复印件的形式提供给客户。</w:t>
      </w:r>
    </w:p>
    <w:p>
      <w:pPr>
        <w:pStyle w:val="22"/>
        <w:spacing w:line="360" w:lineRule="auto"/>
        <w:ind w:firstLine="480"/>
        <w:rPr>
          <w:rFonts w:hAnsi="宋体"/>
          <w:sz w:val="24"/>
        </w:rPr>
      </w:pPr>
      <w:bookmarkStart w:id="12" w:name="_Toc503884360"/>
      <w:r>
        <w:rPr>
          <w:rFonts w:hint="eastAsia" w:hAnsi="宋体"/>
          <w:sz w:val="24"/>
        </w:rPr>
        <w:t>3.4 系统校准要求</w:t>
      </w:r>
      <w:bookmarkEnd w:id="12"/>
    </w:p>
    <w:p>
      <w:pPr>
        <w:spacing w:line="360" w:lineRule="auto"/>
        <w:ind w:firstLine="480" w:firstLineChars="200"/>
        <w:rPr>
          <w:rFonts w:ascii="宋体" w:hAnsi="宋体"/>
          <w:sz w:val="24"/>
        </w:rPr>
      </w:pPr>
      <w:r>
        <w:rPr>
          <w:rFonts w:hint="eastAsia" w:ascii="宋体" w:hAnsi="宋体"/>
          <w:sz w:val="24"/>
        </w:rPr>
        <w:t>系统pH采用手动校准方式，校准周期为1个月，月巡检时应记录pH电极的校准信息。</w:t>
      </w:r>
    </w:p>
    <w:p>
      <w:pPr>
        <w:spacing w:line="360" w:lineRule="auto"/>
        <w:ind w:firstLine="480" w:firstLineChars="200"/>
        <w:rPr>
          <w:rFonts w:ascii="宋体" w:hAnsi="宋体"/>
          <w:sz w:val="24"/>
        </w:rPr>
      </w:pPr>
      <w:r>
        <w:rPr>
          <w:rFonts w:hint="eastAsia" w:ascii="宋体" w:hAnsi="宋体"/>
          <w:sz w:val="24"/>
        </w:rPr>
        <w:t>电导率采取手动校准方式，校准周期为1个月，校准完成后应对质控样进行测试并确保测试合格。</w:t>
      </w:r>
    </w:p>
    <w:p>
      <w:pPr>
        <w:spacing w:line="360" w:lineRule="auto"/>
        <w:ind w:firstLine="480" w:firstLineChars="200"/>
        <w:rPr>
          <w:rFonts w:ascii="宋体" w:hAnsi="宋体"/>
          <w:sz w:val="24"/>
        </w:rPr>
      </w:pPr>
      <w:r>
        <w:rPr>
          <w:rFonts w:hint="eastAsia" w:ascii="宋体" w:hAnsi="宋体"/>
          <w:sz w:val="24"/>
        </w:rPr>
        <w:t>离子色谱仪采取手动校准方式，校准周期为1个月，校准完成后应填写《系统校准结果汇总表》，同时进行质控样测试并确保测试合格。</w:t>
      </w:r>
    </w:p>
    <w:p>
      <w:pPr>
        <w:pStyle w:val="22"/>
        <w:spacing w:line="360" w:lineRule="auto"/>
        <w:ind w:firstLine="480"/>
        <w:rPr>
          <w:rFonts w:hAnsi="宋体"/>
          <w:sz w:val="24"/>
        </w:rPr>
      </w:pPr>
      <w:bookmarkStart w:id="13" w:name="_Toc503884361"/>
      <w:r>
        <w:rPr>
          <w:rFonts w:hint="eastAsia" w:hAnsi="宋体"/>
          <w:sz w:val="24"/>
        </w:rPr>
        <w:t>3.5 故障处理要求</w:t>
      </w:r>
      <w:bookmarkEnd w:id="13"/>
    </w:p>
    <w:p>
      <w:pPr>
        <w:spacing w:line="360" w:lineRule="auto"/>
        <w:ind w:firstLine="480" w:firstLineChars="200"/>
        <w:rPr>
          <w:rFonts w:ascii="宋体" w:hAnsi="宋体"/>
          <w:sz w:val="24"/>
        </w:rPr>
      </w:pPr>
      <w:r>
        <w:rPr>
          <w:rFonts w:hint="eastAsia" w:ascii="宋体" w:hAnsi="宋体"/>
          <w:sz w:val="24"/>
        </w:rPr>
        <w:t>运维人员应具备基本故障处理能力，简单故障应在2小时内处理完毕；若涉及到部件更换，则应在24小时内处理完毕；若需更换部件无库存，则应在8小时内提交采购申请。客户人员应保持7×24小时技术咨询服务。</w:t>
      </w:r>
    </w:p>
    <w:p>
      <w:pPr>
        <w:pStyle w:val="22"/>
        <w:spacing w:line="360" w:lineRule="auto"/>
        <w:ind w:firstLine="480"/>
        <w:rPr>
          <w:rFonts w:hAnsi="宋体"/>
          <w:sz w:val="24"/>
        </w:rPr>
      </w:pPr>
      <w:bookmarkStart w:id="14" w:name="_Toc503884362"/>
      <w:r>
        <w:rPr>
          <w:rFonts w:hint="eastAsia" w:hAnsi="宋体"/>
          <w:sz w:val="24"/>
        </w:rPr>
        <w:t>3.6 资料管理要求</w:t>
      </w:r>
      <w:bookmarkEnd w:id="14"/>
    </w:p>
    <w:p>
      <w:pPr>
        <w:spacing w:line="360" w:lineRule="auto"/>
        <w:ind w:firstLine="480" w:firstLineChars="200"/>
        <w:rPr>
          <w:rFonts w:ascii="宋体" w:hAnsi="宋体"/>
          <w:sz w:val="24"/>
        </w:rPr>
      </w:pPr>
      <w:r>
        <w:rPr>
          <w:rFonts w:hint="eastAsia" w:ascii="宋体" w:hAnsi="宋体"/>
          <w:sz w:val="24"/>
        </w:rPr>
        <w:t>运维人员应妥善管理运维相关资料，其中《运行维护记录》需纸质归档，《系统质控数据记录》以及《系统校准结果汇总表》除需纸质归档外，还应进行电子版资料归档。</w:t>
      </w:r>
    </w:p>
    <w:p>
      <w:pPr>
        <w:pStyle w:val="4"/>
        <w:keepLines/>
        <w:widowControl w:val="0"/>
        <w:numPr>
          <w:ilvl w:val="0"/>
          <w:numId w:val="3"/>
        </w:numPr>
        <w:tabs>
          <w:tab w:val="left" w:pos="0"/>
        </w:tabs>
        <w:jc w:val="both"/>
        <w:rPr>
          <w:rFonts w:ascii="宋体" w:hAnsi="宋体"/>
          <w:sz w:val="24"/>
          <w:szCs w:val="24"/>
        </w:rPr>
      </w:pPr>
      <w:r>
        <w:rPr>
          <w:rFonts w:hint="eastAsia" w:ascii="宋体" w:hAnsi="宋体"/>
          <w:sz w:val="24"/>
          <w:szCs w:val="24"/>
        </w:rPr>
        <w:t>质量保证</w:t>
      </w:r>
    </w:p>
    <w:p>
      <w:pPr>
        <w:spacing w:line="360" w:lineRule="auto"/>
        <w:ind w:firstLine="480" w:firstLineChars="200"/>
        <w:rPr>
          <w:rFonts w:ascii="宋体" w:hAnsi="宋体" w:cs="宋体"/>
          <w:sz w:val="24"/>
        </w:rPr>
      </w:pPr>
      <w:r>
        <w:rPr>
          <w:rFonts w:hint="eastAsia" w:ascii="宋体" w:hAnsi="宋体" w:cs="宋体"/>
          <w:sz w:val="24"/>
        </w:rPr>
        <w:t>中标人（及制造商）对中标设备使用的安全性能与检测结果的可靠性负全部责任。</w:t>
      </w:r>
    </w:p>
    <w:p>
      <w:pPr>
        <w:spacing w:line="360" w:lineRule="auto"/>
        <w:ind w:firstLine="480" w:firstLineChars="200"/>
        <w:rPr>
          <w:rFonts w:ascii="宋体" w:hAnsi="宋体" w:cs="宋体"/>
          <w:sz w:val="24"/>
        </w:rPr>
      </w:pPr>
      <w:r>
        <w:rPr>
          <w:rFonts w:hint="eastAsia" w:ascii="宋体" w:hAnsi="宋体" w:cs="宋体"/>
          <w:sz w:val="24"/>
        </w:rPr>
        <w:t>为确保系统高质量，投标人应制定有关实施期间的质量保证计划，包括系统设计与施工规范化管理、仪器设备质量保证、技术人员资质及管理等。</w:t>
      </w:r>
    </w:p>
    <w:p>
      <w:pPr>
        <w:spacing w:line="360" w:lineRule="auto"/>
        <w:ind w:firstLine="480" w:firstLineChars="200"/>
        <w:rPr>
          <w:rFonts w:ascii="宋体" w:hAnsi="宋体" w:cs="宋体"/>
          <w:sz w:val="24"/>
        </w:rPr>
      </w:pPr>
      <w:r>
        <w:rPr>
          <w:rFonts w:hint="eastAsia" w:ascii="宋体" w:hAnsi="宋体" w:cs="宋体"/>
          <w:sz w:val="24"/>
        </w:rPr>
        <w:t>1、系统的完整性：投标人所提供设备应能构成一个完整的系统并按技术要求连续运行。需要业主自行解决的设备、配件应在投标文件中列出。否则，由此引起的影响整个系统正常运行所需的人力和相关设备及部件，均视为由投标人免费及时提供。对于影响系统正常工作所必须的组成部分，无论指出与否，投标人都应提供。</w:t>
      </w:r>
    </w:p>
    <w:p>
      <w:pPr>
        <w:spacing w:line="360" w:lineRule="auto"/>
        <w:ind w:firstLine="480" w:firstLineChars="200"/>
        <w:rPr>
          <w:rFonts w:ascii="宋体" w:hAnsi="宋体" w:cs="宋体"/>
          <w:sz w:val="24"/>
        </w:rPr>
      </w:pPr>
      <w:r>
        <w:rPr>
          <w:rFonts w:hint="eastAsia" w:ascii="宋体" w:hAnsi="宋体" w:cs="宋体"/>
          <w:sz w:val="24"/>
        </w:rPr>
        <w:t>2、设备的适应性：投标人所提供的设备应保证能在使用当地的气候条件下全天候正常运行。</w:t>
      </w:r>
    </w:p>
    <w:p>
      <w:pPr>
        <w:spacing w:line="360" w:lineRule="auto"/>
        <w:ind w:firstLine="480" w:firstLineChars="200"/>
        <w:rPr>
          <w:rFonts w:ascii="宋体" w:hAnsi="宋体" w:cs="宋体"/>
          <w:sz w:val="24"/>
        </w:rPr>
      </w:pPr>
      <w:r>
        <w:rPr>
          <w:rFonts w:hint="eastAsia" w:ascii="宋体" w:hAnsi="宋体" w:cs="宋体"/>
          <w:sz w:val="24"/>
        </w:rPr>
        <w:t>3、设备的完好性：投标人所提供的设备必须是全新的、完整的、有效的、功能齐全的设备，并且必须是技术先进的、高质量的和工艺精良的产品，所有的部件必须无任何缺陷。</w:t>
      </w:r>
    </w:p>
    <w:p>
      <w:pPr>
        <w:spacing w:line="360" w:lineRule="auto"/>
        <w:ind w:firstLine="480" w:firstLineChars="200"/>
        <w:rPr>
          <w:rFonts w:ascii="宋体" w:hAnsi="宋体" w:cs="宋体"/>
          <w:sz w:val="24"/>
        </w:rPr>
      </w:pPr>
      <w:r>
        <w:rPr>
          <w:rFonts w:hint="eastAsia" w:ascii="宋体" w:hAnsi="宋体" w:cs="宋体"/>
          <w:sz w:val="24"/>
        </w:rPr>
        <w:t>4、提供的整套设备既要体现技术先进、经济合理，又要成熟、安全可靠，并具有操作简单、管理方便的特点。</w:t>
      </w:r>
    </w:p>
    <w:p>
      <w:pPr>
        <w:spacing w:line="360" w:lineRule="auto"/>
        <w:ind w:firstLine="480" w:firstLineChars="200"/>
        <w:rPr>
          <w:rFonts w:ascii="宋体" w:hAnsi="宋体" w:cs="宋体"/>
          <w:sz w:val="24"/>
        </w:rPr>
      </w:pPr>
      <w:r>
        <w:rPr>
          <w:rFonts w:hint="eastAsia" w:ascii="宋体" w:hAnsi="宋体" w:cs="宋体"/>
          <w:sz w:val="24"/>
        </w:rPr>
        <w:t>5、提供的货物应具有出厂检验合格证，不得是长期积压产品(须于2019年7月1日后生产)。</w:t>
      </w:r>
    </w:p>
    <w:p>
      <w:pPr>
        <w:spacing w:line="360" w:lineRule="auto"/>
        <w:ind w:firstLine="480" w:firstLineChars="200"/>
        <w:rPr>
          <w:rFonts w:ascii="宋体" w:hAnsi="宋体" w:cs="宋体"/>
          <w:sz w:val="24"/>
        </w:rPr>
      </w:pPr>
      <w:r>
        <w:rPr>
          <w:rFonts w:hint="eastAsia" w:ascii="宋体" w:hAnsi="宋体" w:cs="宋体"/>
          <w:sz w:val="24"/>
        </w:rPr>
        <w:t>6、招标人不接受拼凑、组装的货物投标，不接受试制品或不成熟、未定型的货物。</w:t>
      </w:r>
    </w:p>
    <w:p>
      <w:pPr>
        <w:spacing w:line="360" w:lineRule="auto"/>
        <w:ind w:firstLine="480" w:firstLineChars="200"/>
        <w:rPr>
          <w:rFonts w:ascii="宋体" w:hAnsi="宋体" w:cs="宋体"/>
          <w:sz w:val="24"/>
        </w:rPr>
      </w:pPr>
      <w:r>
        <w:rPr>
          <w:rFonts w:hint="eastAsia" w:ascii="宋体" w:hAnsi="宋体" w:cs="宋体"/>
          <w:sz w:val="24"/>
        </w:rPr>
        <w:t>7、在质量保修期内,由于系统中软件或者硬件、仪器设备自己本身的设计缺陷的，会影响或者将来可能影响正常使用的，供应商应提供免费升级、维修及更换。</w:t>
      </w:r>
    </w:p>
    <w:p>
      <w:pPr>
        <w:pStyle w:val="4"/>
        <w:keepLines/>
        <w:widowControl w:val="0"/>
        <w:numPr>
          <w:ilvl w:val="0"/>
          <w:numId w:val="3"/>
        </w:numPr>
        <w:tabs>
          <w:tab w:val="left" w:pos="0"/>
        </w:tabs>
        <w:jc w:val="both"/>
        <w:rPr>
          <w:rFonts w:ascii="宋体" w:hAnsi="宋体"/>
          <w:sz w:val="24"/>
          <w:szCs w:val="24"/>
        </w:rPr>
      </w:pPr>
      <w:r>
        <w:rPr>
          <w:rFonts w:hint="eastAsia" w:ascii="宋体" w:hAnsi="宋体"/>
          <w:sz w:val="24"/>
          <w:szCs w:val="24"/>
        </w:rPr>
        <w:t>安装调试及验收</w:t>
      </w:r>
    </w:p>
    <w:p>
      <w:pPr>
        <w:spacing w:line="360" w:lineRule="auto"/>
        <w:ind w:firstLine="480" w:firstLineChars="200"/>
        <w:rPr>
          <w:rFonts w:ascii="宋体" w:hAnsi="宋体" w:cs="宋体"/>
          <w:sz w:val="24"/>
        </w:rPr>
      </w:pPr>
      <w:r>
        <w:rPr>
          <w:rFonts w:hint="eastAsia" w:ascii="宋体" w:hAnsi="宋体" w:cs="宋体"/>
          <w:sz w:val="24"/>
        </w:rPr>
        <w:t>投标人负责仪器设备从安装、调试、试运行到验收合格前的全部运行维护工作,所有费用应包括在投标总价中，在验收合格前，业主不负责系统的运行维护。</w:t>
      </w:r>
    </w:p>
    <w:p>
      <w:pPr>
        <w:spacing w:line="360" w:lineRule="auto"/>
        <w:ind w:firstLine="480" w:firstLineChars="200"/>
        <w:rPr>
          <w:rFonts w:ascii="宋体" w:hAnsi="宋体" w:cs="宋体"/>
          <w:sz w:val="24"/>
        </w:rPr>
      </w:pPr>
      <w:r>
        <w:rPr>
          <w:rFonts w:hint="eastAsia" w:ascii="宋体" w:hAnsi="宋体" w:cs="宋体"/>
          <w:sz w:val="24"/>
        </w:rPr>
        <w:t>系统试运行完成后，中标人以书面形式向业主提交验收报告及验收申请，业主审核同意后组织验收组进行。业主只接收验收合格的系统。</w:t>
      </w:r>
    </w:p>
    <w:p>
      <w:pPr>
        <w:pStyle w:val="4"/>
        <w:keepLines/>
        <w:widowControl w:val="0"/>
        <w:numPr>
          <w:ilvl w:val="0"/>
          <w:numId w:val="3"/>
        </w:numPr>
        <w:tabs>
          <w:tab w:val="left" w:pos="0"/>
        </w:tabs>
        <w:jc w:val="both"/>
        <w:rPr>
          <w:rFonts w:ascii="宋体" w:hAnsi="宋体"/>
          <w:sz w:val="24"/>
          <w:szCs w:val="24"/>
        </w:rPr>
      </w:pPr>
      <w:r>
        <w:rPr>
          <w:rFonts w:hint="eastAsia" w:ascii="宋体" w:hAnsi="宋体"/>
          <w:sz w:val="24"/>
          <w:szCs w:val="24"/>
        </w:rPr>
        <w:t>成果及技术资料</w:t>
      </w:r>
    </w:p>
    <w:p>
      <w:pPr>
        <w:spacing w:line="360" w:lineRule="auto"/>
        <w:ind w:firstLine="480" w:firstLineChars="200"/>
        <w:rPr>
          <w:rFonts w:ascii="宋体" w:hAnsi="宋体" w:cs="宋体"/>
          <w:sz w:val="24"/>
        </w:rPr>
      </w:pPr>
      <w:r>
        <w:rPr>
          <w:rFonts w:hint="eastAsia" w:ascii="宋体" w:hAnsi="宋体" w:cs="宋体"/>
          <w:sz w:val="24"/>
        </w:rPr>
        <w:t>本项目产生的知识产权（包括但不限于源程序、文件、资料、图标或其他媒体的著作权、专利权、商标权等）全部归使业主所有及使用。</w:t>
      </w:r>
    </w:p>
    <w:p>
      <w:pPr>
        <w:pStyle w:val="4"/>
        <w:keepLines/>
        <w:widowControl w:val="0"/>
        <w:numPr>
          <w:ilvl w:val="0"/>
          <w:numId w:val="3"/>
        </w:numPr>
        <w:tabs>
          <w:tab w:val="left" w:pos="0"/>
        </w:tabs>
        <w:jc w:val="both"/>
        <w:rPr>
          <w:rFonts w:ascii="宋体" w:hAnsi="宋体" w:eastAsia="宋体"/>
          <w:sz w:val="24"/>
          <w:szCs w:val="24"/>
        </w:rPr>
      </w:pPr>
      <w:r>
        <w:rPr>
          <w:rFonts w:hint="eastAsia" w:ascii="宋体" w:hAnsi="宋体" w:eastAsia="宋体"/>
          <w:sz w:val="24"/>
          <w:szCs w:val="24"/>
        </w:rPr>
        <w:t>资信及商务要求表</w:t>
      </w:r>
    </w:p>
    <w:tbl>
      <w:tblPr>
        <w:tblStyle w:val="15"/>
        <w:tblW w:w="92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2"/>
        <w:gridCol w:w="6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302" w:type="dxa"/>
            <w:tcBorders>
              <w:tl2br w:val="nil"/>
              <w:tr2bl w:val="nil"/>
            </w:tcBorders>
            <w:vAlign w:val="center"/>
          </w:tcPr>
          <w:p>
            <w:pPr>
              <w:autoSpaceDE w:val="0"/>
              <w:autoSpaceDN w:val="0"/>
              <w:spacing w:line="360" w:lineRule="auto"/>
              <w:jc w:val="center"/>
              <w:rPr>
                <w:rFonts w:ascii="宋体" w:hAnsi="宋体" w:cs="宋体"/>
                <w:color w:val="000000"/>
                <w:sz w:val="24"/>
              </w:rPr>
            </w:pPr>
            <w:r>
              <w:rPr>
                <w:rFonts w:hint="eastAsia" w:ascii="宋体" w:hAnsi="宋体" w:cs="宋体"/>
                <w:color w:val="000000"/>
                <w:sz w:val="24"/>
              </w:rPr>
              <w:t>售后服务保障要求</w:t>
            </w:r>
          </w:p>
        </w:tc>
        <w:tc>
          <w:tcPr>
            <w:tcW w:w="6909" w:type="dxa"/>
            <w:tcBorders>
              <w:tl2br w:val="nil"/>
              <w:tr2bl w:val="nil"/>
            </w:tcBorders>
          </w:tcPr>
          <w:p>
            <w:pPr>
              <w:autoSpaceDE w:val="0"/>
              <w:autoSpaceDN w:val="0"/>
              <w:spacing w:line="360" w:lineRule="auto"/>
              <w:rPr>
                <w:rFonts w:ascii="宋体" w:hAnsi="宋体" w:cs="宋体"/>
                <w:color w:val="000000"/>
                <w:sz w:val="24"/>
              </w:rPr>
            </w:pPr>
            <w:r>
              <w:rPr>
                <w:rFonts w:hint="eastAsia" w:ascii="宋体" w:hAnsi="宋体" w:cs="宋体"/>
                <w:color w:val="000000"/>
                <w:sz w:val="24"/>
              </w:rPr>
              <w:t xml:space="preserve">1、质量保修期为整套系统验收合格次日起不少于1年，费用计入投标总价。 </w:t>
            </w:r>
          </w:p>
          <w:p>
            <w:pPr>
              <w:autoSpaceDE w:val="0"/>
              <w:autoSpaceDN w:val="0"/>
              <w:spacing w:line="360" w:lineRule="auto"/>
              <w:rPr>
                <w:rFonts w:ascii="宋体" w:hAnsi="宋体" w:cs="宋体"/>
                <w:color w:val="000000"/>
                <w:sz w:val="24"/>
              </w:rPr>
            </w:pPr>
            <w:r>
              <w:rPr>
                <w:rFonts w:hint="eastAsia" w:ascii="宋体" w:hAnsi="宋体" w:cs="宋体"/>
                <w:color w:val="000000"/>
                <w:sz w:val="24"/>
              </w:rPr>
              <w:t xml:space="preserve">2、中标商在接到业主维修及技术服务要求后应立即作出响应，在远程不能解决问题的情况下，应在6小时内赶到现场并及时排除故障，如在24小时内还不能解决的应提供备机，保证48小时内系统恢复正常运行。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trPr>
        <w:tc>
          <w:tcPr>
            <w:tcW w:w="2302" w:type="dxa"/>
            <w:tcBorders>
              <w:tl2br w:val="nil"/>
              <w:tr2bl w:val="nil"/>
            </w:tcBorders>
            <w:vAlign w:val="center"/>
          </w:tcPr>
          <w:p>
            <w:pPr>
              <w:autoSpaceDE w:val="0"/>
              <w:autoSpaceDN w:val="0"/>
              <w:spacing w:line="360" w:lineRule="auto"/>
              <w:jc w:val="center"/>
              <w:rPr>
                <w:rFonts w:ascii="宋体" w:hAnsi="宋体" w:cs="宋体"/>
                <w:color w:val="000000"/>
                <w:sz w:val="24"/>
              </w:rPr>
            </w:pPr>
            <w:r>
              <w:rPr>
                <w:rFonts w:hint="eastAsia" w:ascii="宋体" w:hAnsi="宋体" w:cs="宋体"/>
                <w:color w:val="000000"/>
                <w:sz w:val="24"/>
              </w:rPr>
              <w:t>质保期</w:t>
            </w:r>
          </w:p>
        </w:tc>
        <w:tc>
          <w:tcPr>
            <w:tcW w:w="6909" w:type="dxa"/>
            <w:tcBorders>
              <w:tl2br w:val="nil"/>
              <w:tr2bl w:val="nil"/>
            </w:tcBorders>
          </w:tcPr>
          <w:p>
            <w:pPr>
              <w:numPr>
                <w:ilvl w:val="0"/>
                <w:numId w:val="17"/>
              </w:numPr>
              <w:autoSpaceDE w:val="0"/>
              <w:autoSpaceDN w:val="0"/>
              <w:spacing w:line="360" w:lineRule="auto"/>
              <w:rPr>
                <w:rFonts w:ascii="宋体" w:hAnsi="宋体" w:cs="宋体"/>
                <w:color w:val="000000"/>
                <w:sz w:val="24"/>
              </w:rPr>
            </w:pPr>
            <w:r>
              <w:rPr>
                <w:rFonts w:hint="eastAsia" w:ascii="宋体" w:hAnsi="宋体" w:cs="宋体"/>
                <w:color w:val="000000"/>
                <w:sz w:val="24"/>
              </w:rPr>
              <w:t>整体质量保修期不少于1年， 投标人应提供质保期内所需的消耗品、备品备件、维修、维护，计入投标总价；</w:t>
            </w:r>
          </w:p>
          <w:p>
            <w:pPr>
              <w:autoSpaceDE w:val="0"/>
              <w:autoSpaceDN w:val="0"/>
              <w:spacing w:line="360" w:lineRule="auto"/>
              <w:rPr>
                <w:rFonts w:ascii="宋体" w:hAnsi="宋体" w:cs="宋体"/>
                <w:color w:val="000000"/>
                <w:sz w:val="24"/>
              </w:rPr>
            </w:pPr>
            <w:r>
              <w:rPr>
                <w:rFonts w:hint="eastAsia" w:ascii="宋体" w:hAnsi="宋体" w:cs="宋体"/>
                <w:color w:val="000000"/>
                <w:sz w:val="24"/>
              </w:rPr>
              <w:t xml:space="preserve">2、投标人须保证验收通过之后2~8年的零部件、备品备件、消耗品供应及设备维修。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2302" w:type="dxa"/>
            <w:tcBorders>
              <w:tl2br w:val="nil"/>
              <w:tr2bl w:val="nil"/>
            </w:tcBorders>
            <w:vAlign w:val="center"/>
          </w:tcPr>
          <w:p>
            <w:pPr>
              <w:autoSpaceDE w:val="0"/>
              <w:autoSpaceDN w:val="0"/>
              <w:spacing w:line="360" w:lineRule="auto"/>
              <w:jc w:val="center"/>
              <w:rPr>
                <w:rFonts w:ascii="宋体" w:hAnsi="宋体" w:cs="宋体"/>
                <w:color w:val="000000"/>
                <w:sz w:val="24"/>
              </w:rPr>
            </w:pPr>
            <w:r>
              <w:rPr>
                <w:rFonts w:hint="eastAsia" w:ascii="宋体" w:hAnsi="宋体" w:cs="宋体"/>
                <w:color w:val="000000"/>
                <w:sz w:val="24"/>
              </w:rPr>
              <w:t>交货时间及地点</w:t>
            </w:r>
          </w:p>
        </w:tc>
        <w:tc>
          <w:tcPr>
            <w:tcW w:w="6909" w:type="dxa"/>
            <w:tcBorders>
              <w:tl2br w:val="nil"/>
              <w:tr2bl w:val="nil"/>
            </w:tcBorders>
          </w:tcPr>
          <w:p>
            <w:pPr>
              <w:autoSpaceDE w:val="0"/>
              <w:autoSpaceDN w:val="0"/>
              <w:spacing w:line="360" w:lineRule="auto"/>
              <w:rPr>
                <w:rFonts w:ascii="宋体" w:hAnsi="宋体" w:cs="宋体"/>
                <w:color w:val="000000"/>
                <w:sz w:val="24"/>
              </w:rPr>
            </w:pPr>
            <w:r>
              <w:rPr>
                <w:rFonts w:hint="eastAsia" w:ascii="宋体" w:hAnsi="宋体" w:cs="宋体"/>
                <w:color w:val="000000"/>
                <w:sz w:val="24"/>
              </w:rPr>
              <w:t xml:space="preserve">在合同签订后60日内完成仪器设备的到货、安装、调试，进入试运行。 </w:t>
            </w:r>
          </w:p>
          <w:p>
            <w:pPr>
              <w:autoSpaceDE w:val="0"/>
              <w:autoSpaceDN w:val="0"/>
              <w:spacing w:line="360" w:lineRule="auto"/>
              <w:rPr>
                <w:rFonts w:ascii="宋体" w:hAnsi="宋体" w:cs="宋体"/>
                <w:color w:val="000000"/>
                <w:sz w:val="24"/>
              </w:rPr>
            </w:pPr>
            <w:r>
              <w:rPr>
                <w:rFonts w:hint="eastAsia" w:ascii="宋体" w:hAnsi="宋体" w:cs="宋体"/>
                <w:color w:val="000000"/>
                <w:sz w:val="24"/>
              </w:rPr>
              <w:t xml:space="preserve">安装地点为用户指定地点。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2302" w:type="dxa"/>
            <w:tcBorders>
              <w:tl2br w:val="nil"/>
              <w:tr2bl w:val="nil"/>
            </w:tcBorders>
          </w:tcPr>
          <w:p>
            <w:pPr>
              <w:jc w:val="center"/>
              <w:rPr>
                <w:rFonts w:ascii="宋体" w:hAnsi="宋体" w:cs="宋体"/>
                <w:sz w:val="24"/>
              </w:rPr>
            </w:pPr>
          </w:p>
          <w:p>
            <w:pPr>
              <w:jc w:val="center"/>
              <w:rPr>
                <w:rFonts w:ascii="宋体" w:hAnsi="宋体" w:cs="宋体"/>
                <w:sz w:val="24"/>
              </w:rPr>
            </w:pPr>
            <w:r>
              <w:rPr>
                <w:rFonts w:hint="eastAsia" w:ascii="宋体" w:hAnsi="宋体" w:cs="宋体"/>
                <w:sz w:val="24"/>
              </w:rPr>
              <w:t>项目培训</w:t>
            </w:r>
          </w:p>
        </w:tc>
        <w:tc>
          <w:tcPr>
            <w:tcW w:w="6909" w:type="dxa"/>
            <w:tcBorders>
              <w:tl2br w:val="nil"/>
              <w:tr2bl w:val="nil"/>
            </w:tcBorders>
          </w:tcPr>
          <w:p>
            <w:pPr>
              <w:rPr>
                <w:rFonts w:ascii="宋体" w:hAnsi="宋体" w:cs="宋体"/>
                <w:sz w:val="24"/>
              </w:rPr>
            </w:pPr>
            <w:r>
              <w:rPr>
                <w:rFonts w:hint="eastAsia" w:ascii="宋体" w:hAnsi="宋体" w:cs="宋体"/>
                <w:color w:val="000000"/>
                <w:sz w:val="24"/>
              </w:rPr>
              <w:t>投标人承诺负责对采购人使用、操作、维修、保养人员免费进行培训（提供安装使用、维护说明书）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2302" w:type="dxa"/>
            <w:tcBorders>
              <w:tl2br w:val="nil"/>
              <w:tr2bl w:val="nil"/>
            </w:tcBorders>
            <w:vAlign w:val="center"/>
          </w:tcPr>
          <w:p>
            <w:pPr>
              <w:autoSpaceDE w:val="0"/>
              <w:autoSpaceDN w:val="0"/>
              <w:spacing w:line="360" w:lineRule="auto"/>
              <w:jc w:val="center"/>
              <w:rPr>
                <w:rFonts w:ascii="宋体" w:hAnsi="宋体" w:cs="宋体"/>
                <w:color w:val="000000"/>
                <w:sz w:val="24"/>
              </w:rPr>
            </w:pPr>
            <w:r>
              <w:rPr>
                <w:rFonts w:hint="eastAsia" w:ascii="宋体" w:hAnsi="宋体" w:cs="宋体"/>
                <w:color w:val="000000"/>
                <w:sz w:val="24"/>
              </w:rPr>
              <w:t>项目实施</w:t>
            </w:r>
          </w:p>
        </w:tc>
        <w:tc>
          <w:tcPr>
            <w:tcW w:w="6909" w:type="dxa"/>
            <w:tcBorders>
              <w:tl2br w:val="nil"/>
              <w:tr2bl w:val="nil"/>
            </w:tcBorders>
          </w:tcPr>
          <w:p>
            <w:pPr>
              <w:autoSpaceDE w:val="0"/>
              <w:autoSpaceDN w:val="0"/>
              <w:spacing w:line="360" w:lineRule="auto"/>
              <w:rPr>
                <w:rFonts w:ascii="宋体" w:hAnsi="宋体" w:cs="宋体"/>
                <w:color w:val="000000"/>
                <w:sz w:val="24"/>
              </w:rPr>
            </w:pPr>
            <w:r>
              <w:rPr>
                <w:rFonts w:hint="eastAsia" w:ascii="宋体" w:hAnsi="宋体" w:cs="宋体"/>
                <w:color w:val="000000"/>
                <w:sz w:val="24"/>
              </w:rPr>
              <w:t xml:space="preserve">本项目建设为含系统施工设计的交钥匙工程。投标人需提供详尽实施方案；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2302" w:type="dxa"/>
            <w:tcBorders>
              <w:tl2br w:val="nil"/>
              <w:tr2bl w:val="nil"/>
            </w:tcBorders>
            <w:vAlign w:val="center"/>
          </w:tcPr>
          <w:p>
            <w:pPr>
              <w:autoSpaceDE w:val="0"/>
              <w:autoSpaceDN w:val="0"/>
              <w:spacing w:line="360" w:lineRule="auto"/>
              <w:jc w:val="center"/>
              <w:rPr>
                <w:rFonts w:ascii="宋体" w:hAnsi="宋体" w:cs="宋体"/>
                <w:color w:val="000000"/>
                <w:sz w:val="24"/>
              </w:rPr>
            </w:pPr>
            <w:r>
              <w:rPr>
                <w:rFonts w:hint="eastAsia" w:ascii="宋体" w:hAnsi="宋体" w:cs="宋体"/>
                <w:color w:val="000000"/>
                <w:sz w:val="24"/>
              </w:rPr>
              <w:t>付款方式</w:t>
            </w:r>
          </w:p>
        </w:tc>
        <w:tc>
          <w:tcPr>
            <w:tcW w:w="6909" w:type="dxa"/>
            <w:tcBorders>
              <w:tl2br w:val="nil"/>
              <w:tr2bl w:val="nil"/>
            </w:tcBorders>
          </w:tcPr>
          <w:p>
            <w:pPr>
              <w:autoSpaceDE w:val="0"/>
              <w:autoSpaceDN w:val="0"/>
              <w:spacing w:line="360" w:lineRule="auto"/>
              <w:rPr>
                <w:rFonts w:ascii="宋体" w:hAnsi="宋体" w:cs="宋体"/>
                <w:color w:val="000000"/>
                <w:sz w:val="24"/>
              </w:rPr>
            </w:pPr>
            <w:r>
              <w:rPr>
                <w:rFonts w:hint="eastAsia" w:ascii="宋体" w:hAnsi="宋体" w:cs="宋体"/>
                <w:color w:val="000000"/>
                <w:sz w:val="24"/>
              </w:rPr>
              <w:t>完成系统安装调试后支付总金额40%，项目总体验收完毕之后付50%，运维期满后后支付总金额10%。</w:t>
            </w:r>
          </w:p>
        </w:tc>
      </w:tr>
    </w:tbl>
    <w:p>
      <w:pPr>
        <w:pStyle w:val="3"/>
        <w:rPr>
          <w:rFonts w:ascii="Times New Roman" w:hAnsi="Times New Roman"/>
          <w:color w:val="000000"/>
          <w:sz w:val="24"/>
        </w:rPr>
      </w:pPr>
    </w:p>
    <w:p>
      <w:pPr>
        <w:pStyle w:val="3"/>
        <w:rPr>
          <w:rFonts w:ascii="Times New Roman" w:hAnsi="Times New Roman"/>
          <w:color w:val="000000"/>
          <w:sz w:val="24"/>
        </w:rPr>
      </w:pPr>
    </w:p>
    <w:p>
      <w:pPr>
        <w:pStyle w:val="3"/>
        <w:rPr>
          <w:rFonts w:ascii="Times New Roman" w:hAnsi="Times New Roman"/>
          <w:color w:val="000000"/>
          <w:sz w:val="24"/>
        </w:rPr>
      </w:pPr>
    </w:p>
    <w:p>
      <w:pPr>
        <w:pStyle w:val="3"/>
        <w:rPr>
          <w:rFonts w:ascii="Times New Roman" w:hAnsi="Times New Roman"/>
          <w:color w:val="000000"/>
          <w:sz w:val="24"/>
        </w:rPr>
      </w:pPr>
    </w:p>
    <w:p>
      <w:pPr>
        <w:pStyle w:val="3"/>
        <w:rPr>
          <w:rFonts w:ascii="Times New Roman" w:hAnsi="Times New Roman"/>
          <w:color w:val="000000"/>
          <w:sz w:val="24"/>
        </w:rPr>
      </w:pPr>
    </w:p>
    <w:p>
      <w:pPr>
        <w:pStyle w:val="3"/>
        <w:rPr>
          <w:rFonts w:ascii="Times New Roman" w:hAnsi="Times New Roman"/>
          <w:color w:val="000000"/>
          <w:sz w:val="24"/>
        </w:rPr>
      </w:pPr>
    </w:p>
    <w:p>
      <w:pPr>
        <w:pStyle w:val="3"/>
        <w:rPr>
          <w:rFonts w:ascii="Times New Roman" w:hAnsi="Times New Roman"/>
          <w:color w:val="000000"/>
          <w:sz w:val="24"/>
        </w:rPr>
      </w:pPr>
    </w:p>
    <w:p>
      <w:pPr>
        <w:pStyle w:val="3"/>
        <w:rPr>
          <w:rFonts w:ascii="Times New Roman" w:hAnsi="Times New Roman"/>
          <w:color w:val="000000"/>
          <w:sz w:val="24"/>
        </w:rPr>
      </w:pPr>
    </w:p>
    <w:p>
      <w:pPr>
        <w:pStyle w:val="3"/>
        <w:rPr>
          <w:rFonts w:ascii="Times New Roman" w:hAnsi="Times New Roman"/>
          <w:color w:val="000000"/>
          <w:sz w:val="24"/>
        </w:rPr>
      </w:pPr>
    </w:p>
    <w:p>
      <w:pPr>
        <w:pStyle w:val="3"/>
        <w:rPr>
          <w:rFonts w:ascii="Times New Roman" w:hAnsi="Times New Roman"/>
          <w:color w:val="000000"/>
          <w:sz w:val="24"/>
        </w:rPr>
      </w:pPr>
    </w:p>
    <w:p>
      <w:pPr>
        <w:pStyle w:val="3"/>
        <w:rPr>
          <w:rFonts w:ascii="Times New Roman" w:hAnsi="Times New Roman"/>
          <w:color w:val="000000"/>
          <w:sz w:val="24"/>
        </w:rPr>
      </w:pPr>
    </w:p>
    <w:p>
      <w:pPr>
        <w:pStyle w:val="3"/>
        <w:rPr>
          <w:rFonts w:ascii="Times New Roman" w:hAnsi="Times New Roman"/>
          <w:color w:val="000000"/>
          <w:sz w:val="24"/>
        </w:rPr>
      </w:pPr>
    </w:p>
    <w:p>
      <w:pPr>
        <w:pStyle w:val="3"/>
        <w:rPr>
          <w:rFonts w:ascii="Times New Roman" w:hAnsi="Times New Roman"/>
          <w:color w:val="000000"/>
          <w:sz w:val="24"/>
        </w:rPr>
      </w:pPr>
    </w:p>
    <w:p>
      <w:pPr>
        <w:pStyle w:val="3"/>
        <w:rPr>
          <w:rFonts w:ascii="Times New Roman" w:hAnsi="Times New Roman"/>
          <w:color w:val="000000"/>
          <w:sz w:val="24"/>
        </w:rPr>
      </w:pPr>
    </w:p>
    <w:p>
      <w:pPr>
        <w:pStyle w:val="3"/>
        <w:rPr>
          <w:rFonts w:ascii="Times New Roman" w:hAnsi="Times New Roman"/>
          <w:color w:val="000000"/>
          <w:sz w:val="24"/>
        </w:rPr>
      </w:pPr>
    </w:p>
    <w:p>
      <w:pPr>
        <w:pStyle w:val="3"/>
        <w:rPr>
          <w:rFonts w:ascii="Times New Roman" w:hAnsi="Times New Roman"/>
          <w:color w:val="000000"/>
          <w:sz w:val="24"/>
        </w:rPr>
      </w:pPr>
    </w:p>
    <w:p>
      <w:pPr>
        <w:pStyle w:val="3"/>
        <w:rPr>
          <w:rFonts w:ascii="Times New Roman" w:hAnsi="Times New Roman"/>
          <w:color w:val="000000"/>
          <w:sz w:val="24"/>
        </w:rPr>
      </w:pPr>
    </w:p>
    <w:p>
      <w:pPr>
        <w:pStyle w:val="3"/>
        <w:rPr>
          <w:rFonts w:ascii="Times New Roman" w:hAnsi="Times New Roman"/>
          <w:color w:val="000000"/>
          <w:sz w:val="24"/>
        </w:rPr>
      </w:pPr>
    </w:p>
    <w:p>
      <w:pPr>
        <w:pStyle w:val="3"/>
        <w:rPr>
          <w:rFonts w:ascii="Times New Roman" w:hAnsi="Times New Roman"/>
          <w:color w:val="000000"/>
          <w:sz w:val="24"/>
        </w:rPr>
      </w:pPr>
    </w:p>
    <w:p>
      <w:pPr>
        <w:pStyle w:val="3"/>
        <w:rPr>
          <w:rFonts w:hint="eastAsia" w:ascii="Times New Roman" w:hAnsi="Times New Roman"/>
          <w:color w:val="000000"/>
          <w:sz w:val="24"/>
        </w:rPr>
      </w:pPr>
    </w:p>
    <w:p>
      <w:pPr>
        <w:pStyle w:val="3"/>
        <w:rPr>
          <w:rFonts w:hint="eastAsia" w:ascii="Times New Roman" w:hAnsi="Times New Roman"/>
          <w:color w:val="000000"/>
          <w:sz w:val="24"/>
        </w:rPr>
      </w:pPr>
    </w:p>
    <w:p>
      <w:pPr>
        <w:pStyle w:val="3"/>
        <w:rPr>
          <w:rFonts w:hint="eastAsia" w:ascii="Times New Roman" w:hAnsi="Times New Roman"/>
          <w:color w:val="000000"/>
          <w:sz w:val="24"/>
        </w:rPr>
      </w:pPr>
    </w:p>
    <w:p>
      <w:pPr>
        <w:pStyle w:val="3"/>
        <w:rPr>
          <w:rFonts w:hint="eastAsia" w:ascii="Times New Roman" w:hAnsi="Times New Roman"/>
          <w:color w:val="000000"/>
          <w:sz w:val="24"/>
        </w:rPr>
      </w:pPr>
    </w:p>
    <w:p>
      <w:pPr>
        <w:pStyle w:val="3"/>
        <w:rPr>
          <w:rFonts w:hint="eastAsia" w:ascii="Times New Roman" w:hAnsi="Times New Roman"/>
          <w:color w:val="000000"/>
          <w:sz w:val="24"/>
        </w:rPr>
      </w:pPr>
    </w:p>
    <w:p>
      <w:pPr>
        <w:pStyle w:val="3"/>
        <w:rPr>
          <w:rFonts w:hint="eastAsia" w:ascii="Times New Roman" w:hAnsi="Times New Roman"/>
          <w:color w:val="000000"/>
          <w:sz w:val="24"/>
        </w:rPr>
      </w:pPr>
    </w:p>
    <w:p>
      <w:pPr>
        <w:pStyle w:val="3"/>
        <w:rPr>
          <w:rFonts w:hint="eastAsia" w:ascii="Times New Roman" w:hAnsi="Times New Roman"/>
          <w:color w:val="000000"/>
          <w:sz w:val="24"/>
        </w:rPr>
      </w:pPr>
    </w:p>
    <w:p>
      <w:pPr>
        <w:pStyle w:val="3"/>
        <w:rPr>
          <w:rFonts w:hint="eastAsia" w:ascii="Times New Roman" w:hAnsi="Times New Roman"/>
          <w:color w:val="000000"/>
          <w:sz w:val="24"/>
        </w:rPr>
      </w:pPr>
    </w:p>
    <w:p>
      <w:pPr>
        <w:pStyle w:val="3"/>
        <w:rPr>
          <w:rFonts w:hint="eastAsia" w:ascii="Times New Roman" w:hAnsi="Times New Roman"/>
          <w:color w:val="000000"/>
          <w:sz w:val="24"/>
        </w:rPr>
      </w:pPr>
    </w:p>
    <w:p>
      <w:pPr>
        <w:pStyle w:val="3"/>
        <w:rPr>
          <w:rFonts w:hint="eastAsia" w:ascii="Times New Roman" w:hAnsi="Times New Roman"/>
          <w:color w:val="000000"/>
          <w:sz w:val="24"/>
        </w:rPr>
      </w:pPr>
    </w:p>
    <w:p>
      <w:pPr>
        <w:pStyle w:val="3"/>
        <w:rPr>
          <w:rFonts w:hint="eastAsia" w:ascii="Times New Roman" w:hAnsi="Times New Roman"/>
          <w:color w:val="000000"/>
          <w:sz w:val="24"/>
        </w:rPr>
      </w:pPr>
    </w:p>
    <w:p>
      <w:pPr>
        <w:pStyle w:val="3"/>
        <w:rPr>
          <w:rFonts w:hint="eastAsia" w:ascii="Times New Roman" w:hAnsi="Times New Roman"/>
          <w:color w:val="000000"/>
          <w:sz w:val="24"/>
        </w:rPr>
      </w:pPr>
    </w:p>
    <w:p>
      <w:pPr>
        <w:pStyle w:val="3"/>
        <w:rPr>
          <w:rFonts w:ascii="Times New Roman" w:hAnsi="Times New Roman"/>
          <w:color w:val="000000"/>
          <w:sz w:val="24"/>
        </w:rPr>
      </w:pPr>
    </w:p>
    <w:p>
      <w:pPr>
        <w:pStyle w:val="3"/>
        <w:rPr>
          <w:rFonts w:ascii="Times New Roman" w:hAnsi="Times New Roman"/>
          <w:color w:val="000000"/>
          <w:sz w:val="24"/>
        </w:rPr>
      </w:pPr>
    </w:p>
    <w:p>
      <w:pPr>
        <w:pStyle w:val="3"/>
        <w:rPr>
          <w:rFonts w:ascii="Times New Roman" w:hAnsi="Times New Roman"/>
          <w:color w:val="000000"/>
          <w:sz w:val="24"/>
        </w:rPr>
      </w:pPr>
    </w:p>
    <w:p>
      <w:pPr>
        <w:pStyle w:val="3"/>
        <w:rPr>
          <w:rFonts w:ascii="Times New Roman" w:hAnsi="Times New Roman"/>
          <w:color w:val="000000"/>
          <w:sz w:val="24"/>
        </w:rPr>
      </w:pPr>
    </w:p>
    <w:p>
      <w:pPr>
        <w:pStyle w:val="3"/>
        <w:rPr>
          <w:rFonts w:ascii="Times New Roman" w:hAnsi="Times New Roman"/>
          <w:color w:val="000000"/>
          <w:sz w:val="24"/>
        </w:rPr>
      </w:pPr>
    </w:p>
    <w:p>
      <w:pPr>
        <w:pStyle w:val="3"/>
        <w:rPr>
          <w:rFonts w:ascii="Times New Roman" w:hAnsi="Times New Roman"/>
          <w:color w:val="000000"/>
          <w:sz w:val="24"/>
        </w:rPr>
      </w:pPr>
    </w:p>
    <w:p>
      <w:pPr>
        <w:pStyle w:val="3"/>
        <w:rPr>
          <w:rFonts w:ascii="Times New Roman" w:hAnsi="Times New Roman"/>
          <w:color w:val="000000"/>
          <w:sz w:val="24"/>
        </w:rPr>
      </w:pPr>
    </w:p>
    <w:p>
      <w:pPr>
        <w:pStyle w:val="3"/>
        <w:rPr>
          <w:rFonts w:ascii="Times New Roman" w:hAnsi="Times New Roman"/>
          <w:color w:val="000000"/>
          <w:sz w:val="24"/>
        </w:rPr>
      </w:pPr>
    </w:p>
    <w:p>
      <w:pPr>
        <w:pStyle w:val="3"/>
        <w:rPr>
          <w:rFonts w:ascii="Times New Roman" w:hAnsi="Times New Roman"/>
          <w:color w:val="000000"/>
          <w:sz w:val="24"/>
        </w:rPr>
      </w:pPr>
    </w:p>
    <w:p>
      <w:pPr>
        <w:pStyle w:val="3"/>
        <w:rPr>
          <w:rFonts w:ascii="Times New Roman" w:hAnsi="Times New Roman"/>
          <w:color w:val="000000"/>
          <w:sz w:val="24"/>
        </w:rPr>
      </w:pPr>
    </w:p>
    <w:p>
      <w:pPr>
        <w:pStyle w:val="3"/>
        <w:rPr>
          <w:rFonts w:ascii="Times New Roman" w:hAnsi="Times New Roman"/>
          <w:color w:val="000000"/>
          <w:sz w:val="24"/>
        </w:rPr>
      </w:pPr>
    </w:p>
    <w:p>
      <w:pPr>
        <w:pStyle w:val="3"/>
        <w:rPr>
          <w:rFonts w:ascii="Times New Roman" w:hAnsi="Times New Roman"/>
          <w:color w:val="000000"/>
          <w:sz w:val="24"/>
        </w:rPr>
      </w:pPr>
    </w:p>
    <w:p>
      <w:pPr>
        <w:pStyle w:val="3"/>
        <w:rPr>
          <w:rFonts w:ascii="Times New Roman" w:hAnsi="Times New Roman"/>
          <w:color w:val="000000"/>
          <w:sz w:val="24"/>
        </w:rPr>
      </w:pPr>
    </w:p>
    <w:p>
      <w:pPr>
        <w:pStyle w:val="3"/>
        <w:rPr>
          <w:rFonts w:ascii="Times New Roman" w:hAnsi="Times New Roman"/>
          <w:color w:val="000000"/>
          <w:sz w:val="24"/>
        </w:rPr>
      </w:pPr>
    </w:p>
    <w:p>
      <w:pPr>
        <w:pStyle w:val="3"/>
        <w:rPr>
          <w:rFonts w:ascii="Times New Roman" w:hAnsi="Times New Roman"/>
          <w:color w:val="000000"/>
          <w:sz w:val="24"/>
        </w:rPr>
      </w:pPr>
    </w:p>
    <w:p>
      <w:pPr>
        <w:pStyle w:val="3"/>
        <w:rPr>
          <w:rFonts w:ascii="Times New Roman" w:hAnsi="Times New Roman"/>
          <w:color w:val="000000"/>
          <w:sz w:val="24"/>
        </w:rPr>
      </w:pPr>
    </w:p>
    <w:p>
      <w:pPr>
        <w:pStyle w:val="3"/>
        <w:rPr>
          <w:rFonts w:ascii="Times New Roman" w:hAnsi="Times New Roman"/>
          <w:color w:val="000000"/>
          <w:sz w:val="24"/>
        </w:rPr>
      </w:pPr>
    </w:p>
    <w:p>
      <w:pPr>
        <w:pStyle w:val="3"/>
        <w:rPr>
          <w:rFonts w:ascii="Times New Roman" w:hAnsi="Times New Roman"/>
          <w:color w:val="000000"/>
          <w:sz w:val="24"/>
        </w:rPr>
      </w:pPr>
    </w:p>
    <w:p>
      <w:pPr>
        <w:pStyle w:val="3"/>
        <w:rPr>
          <w:rFonts w:ascii="Times New Roman" w:hAnsi="Times New Roman"/>
          <w:color w:val="000000"/>
          <w:sz w:val="24"/>
        </w:rPr>
      </w:pPr>
    </w:p>
    <w:p>
      <w:pPr>
        <w:pStyle w:val="3"/>
        <w:rPr>
          <w:rFonts w:ascii="Times New Roman" w:hAnsi="Times New Roman"/>
          <w:color w:val="000000"/>
          <w:sz w:val="24"/>
        </w:rPr>
      </w:pPr>
    </w:p>
    <w:p>
      <w:pPr>
        <w:pStyle w:val="3"/>
        <w:rPr>
          <w:rFonts w:ascii="Times New Roman" w:hAnsi="Times New Roman"/>
          <w:color w:val="000000"/>
          <w:sz w:val="24"/>
        </w:rPr>
      </w:pPr>
    </w:p>
    <w:p>
      <w:pPr>
        <w:pStyle w:val="3"/>
        <w:rPr>
          <w:rFonts w:ascii="Times New Roman" w:hAnsi="Times New Roman"/>
          <w:color w:val="000000"/>
          <w:sz w:val="24"/>
        </w:rPr>
      </w:pPr>
    </w:p>
    <w:p>
      <w:pPr>
        <w:pStyle w:val="3"/>
        <w:rPr>
          <w:rFonts w:ascii="Times New Roman" w:hAnsi="Times New Roman"/>
          <w:color w:val="000000"/>
          <w:sz w:val="24"/>
        </w:rPr>
      </w:pPr>
    </w:p>
    <w:p>
      <w:pPr>
        <w:pStyle w:val="3"/>
        <w:rPr>
          <w:rFonts w:ascii="Times New Roman" w:hAnsi="Times New Roman"/>
          <w:color w:val="000000"/>
          <w:sz w:val="24"/>
        </w:rPr>
      </w:pPr>
    </w:p>
    <w:p>
      <w:pPr>
        <w:pStyle w:val="3"/>
        <w:rPr>
          <w:rFonts w:ascii="Times New Roman" w:hAnsi="Times New Roman"/>
          <w:color w:val="000000"/>
          <w:sz w:val="24"/>
        </w:rPr>
      </w:pPr>
    </w:p>
    <w:p>
      <w:pPr>
        <w:pStyle w:val="3"/>
        <w:rPr>
          <w:rFonts w:ascii="Times New Roman" w:hAnsi="Times New Roman"/>
          <w:color w:val="000000"/>
          <w:sz w:val="24"/>
        </w:rPr>
      </w:pPr>
    </w:p>
    <w:p>
      <w:pPr>
        <w:pStyle w:val="3"/>
        <w:rPr>
          <w:rFonts w:ascii="Times New Roman" w:hAnsi="Times New Roman"/>
          <w:color w:val="000000"/>
          <w:sz w:val="24"/>
        </w:rPr>
      </w:pPr>
    </w:p>
    <w:p>
      <w:pPr>
        <w:pStyle w:val="3"/>
        <w:rPr>
          <w:rFonts w:ascii="Times New Roman" w:hAnsi="Times New Roman"/>
          <w:color w:val="000000"/>
          <w:sz w:val="24"/>
        </w:rPr>
      </w:pPr>
    </w:p>
    <w:p>
      <w:pPr>
        <w:snapToGrid w:val="0"/>
        <w:spacing w:line="480" w:lineRule="exact"/>
        <w:ind w:firstLine="1911" w:firstLineChars="595"/>
        <w:rPr>
          <w:rFonts w:ascii="宋体" w:hAnsi="宋体"/>
          <w:b/>
          <w:sz w:val="32"/>
          <w:szCs w:val="32"/>
        </w:rPr>
      </w:pPr>
      <w:r>
        <w:rPr>
          <w:rFonts w:hint="eastAsia" w:ascii="宋体" w:hAnsi="宋体"/>
          <w:b/>
          <w:sz w:val="32"/>
          <w:szCs w:val="32"/>
        </w:rPr>
        <w:t>第五章  政府采购合同主要条款指引</w:t>
      </w:r>
    </w:p>
    <w:p>
      <w:pPr>
        <w:pStyle w:val="9"/>
        <w:snapToGrid w:val="0"/>
        <w:spacing w:beforeLines="0" w:afterLines="0" w:line="360" w:lineRule="auto"/>
        <w:ind w:firstLine="2520" w:firstLineChars="1050"/>
        <w:rPr>
          <w:rFonts w:hAnsi="宋体"/>
        </w:rPr>
      </w:pPr>
      <w:r>
        <w:rPr>
          <w:rFonts w:hint="eastAsia" w:hAnsi="宋体"/>
        </w:rPr>
        <w:t xml:space="preserve">（具体专用条款由采购人提供）    </w:t>
      </w:r>
    </w:p>
    <w:p>
      <w:pPr>
        <w:spacing w:line="480" w:lineRule="exact"/>
        <w:ind w:firstLine="240" w:firstLineChars="100"/>
        <w:rPr>
          <w:rFonts w:ascii="宋体" w:hAnsi="宋体"/>
          <w:sz w:val="24"/>
        </w:rPr>
      </w:pPr>
      <w:r>
        <w:rPr>
          <w:rFonts w:hint="eastAsia" w:ascii="宋体" w:hAnsi="宋体"/>
          <w:sz w:val="24"/>
        </w:rPr>
        <w:t xml:space="preserve">甲方（采购人）： </w:t>
      </w:r>
    </w:p>
    <w:p>
      <w:pPr>
        <w:spacing w:line="480" w:lineRule="exact"/>
        <w:ind w:firstLine="240" w:firstLineChars="100"/>
        <w:rPr>
          <w:rFonts w:ascii="宋体" w:hAnsi="宋体"/>
          <w:sz w:val="24"/>
        </w:rPr>
      </w:pPr>
      <w:r>
        <w:rPr>
          <w:rFonts w:hint="eastAsia" w:ascii="宋体" w:hAnsi="宋体"/>
          <w:sz w:val="24"/>
        </w:rPr>
        <w:t xml:space="preserve">乙方（供应商）： </w:t>
      </w:r>
    </w:p>
    <w:p>
      <w:pPr>
        <w:spacing w:line="520" w:lineRule="exact"/>
        <w:ind w:firstLine="240" w:firstLineChars="100"/>
        <w:rPr>
          <w:rFonts w:ascii="宋体" w:hAnsi="宋体"/>
          <w:sz w:val="24"/>
        </w:rPr>
      </w:pPr>
      <w:r>
        <w:rPr>
          <w:rFonts w:hint="eastAsia" w:ascii="宋体" w:hAnsi="宋体"/>
          <w:sz w:val="24"/>
        </w:rPr>
        <w:t>鉴证方：杭州市公共资源交易中心临安分中心</w:t>
      </w:r>
    </w:p>
    <w:p>
      <w:pPr>
        <w:pStyle w:val="9"/>
        <w:adjustRightInd w:val="0"/>
        <w:snapToGrid w:val="0"/>
        <w:spacing w:beforeLines="0" w:afterLines="0" w:line="480" w:lineRule="exact"/>
        <w:ind w:firstLine="475" w:firstLineChars="198"/>
        <w:rPr>
          <w:rFonts w:hAnsi="宋体"/>
        </w:rPr>
      </w:pPr>
      <w:r>
        <w:rPr>
          <w:rFonts w:hint="eastAsia" w:hAnsi="宋体"/>
        </w:rPr>
        <w:t>甲、乙双方根据杭州市公共资源交易中心临安分中心关于项目编号为**********的（标项及名称）项目公开招标的结果，签署本合同。</w:t>
      </w:r>
    </w:p>
    <w:p>
      <w:pPr>
        <w:pStyle w:val="9"/>
        <w:adjustRightInd w:val="0"/>
        <w:snapToGrid w:val="0"/>
        <w:spacing w:beforeLines="0" w:afterLines="0" w:line="480" w:lineRule="exact"/>
        <w:ind w:firstLine="511" w:firstLineChars="213"/>
        <w:rPr>
          <w:rFonts w:hAnsi="宋体"/>
        </w:rPr>
      </w:pPr>
      <w:r>
        <w:rPr>
          <w:rFonts w:hint="eastAsia" w:hAnsi="宋体"/>
        </w:rPr>
        <w:t>一、货物内容及合同价格</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5"/>
        <w:gridCol w:w="2862"/>
        <w:gridCol w:w="747"/>
        <w:gridCol w:w="900"/>
        <w:gridCol w:w="900"/>
        <w:gridCol w:w="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采购内容</w:t>
            </w: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设备性能、型号、配置等</w:t>
            </w: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品牌</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单价</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数量</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合计</w:t>
            </w: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r>
              <w:rPr>
                <w:rFonts w:hint="eastAsia" w:ascii="宋体" w:hAnsi="宋体"/>
                <w:sz w:val="24"/>
              </w:rPr>
              <w:t>小写：</w:t>
            </w: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大写</w:t>
            </w:r>
          </w:p>
        </w:tc>
        <w:tc>
          <w:tcPr>
            <w:tcW w:w="270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p>
        </w:tc>
      </w:tr>
    </w:tbl>
    <w:p>
      <w:pPr>
        <w:pStyle w:val="9"/>
        <w:snapToGrid w:val="0"/>
        <w:spacing w:beforeLines="0" w:afterLines="0" w:line="480" w:lineRule="exact"/>
        <w:ind w:left="-178" w:leftChars="-85" w:firstLine="511" w:firstLineChars="213"/>
        <w:rPr>
          <w:rFonts w:hAnsi="宋体"/>
        </w:rPr>
      </w:pPr>
      <w:r>
        <w:rPr>
          <w:rFonts w:hint="eastAsia" w:hAnsi="宋体"/>
        </w:rPr>
        <w:t>注：1、以上表格可自行扩展；商品型号、数量、配置要求等也可附详细清单；</w:t>
      </w:r>
    </w:p>
    <w:p>
      <w:pPr>
        <w:spacing w:line="480" w:lineRule="exact"/>
        <w:ind w:firstLine="511" w:firstLineChars="213"/>
        <w:rPr>
          <w:rFonts w:ascii="宋体" w:hAnsi="宋体"/>
          <w:sz w:val="24"/>
        </w:rPr>
      </w:pPr>
      <w:r>
        <w:rPr>
          <w:rFonts w:hint="eastAsia" w:ascii="宋体" w:hAnsi="宋体"/>
          <w:sz w:val="24"/>
        </w:rPr>
        <w:t>　2、以上合同总价包含产品到达用户并能正常使用所需的一切费用。</w:t>
      </w:r>
    </w:p>
    <w:p>
      <w:pPr>
        <w:pStyle w:val="9"/>
        <w:adjustRightInd w:val="0"/>
        <w:snapToGrid w:val="0"/>
        <w:spacing w:beforeLines="0" w:afterLines="0" w:line="480" w:lineRule="exact"/>
        <w:ind w:firstLine="511" w:firstLineChars="213"/>
        <w:rPr>
          <w:rFonts w:hAnsi="宋体"/>
        </w:rPr>
      </w:pPr>
      <w:r>
        <w:rPr>
          <w:rFonts w:hint="eastAsia" w:hAnsi="宋体"/>
        </w:rPr>
        <w:t>二、技术资料</w:t>
      </w:r>
    </w:p>
    <w:p>
      <w:pPr>
        <w:pStyle w:val="9"/>
        <w:adjustRightInd w:val="0"/>
        <w:snapToGrid w:val="0"/>
        <w:spacing w:beforeLines="0" w:afterLines="0" w:line="480" w:lineRule="exact"/>
        <w:ind w:firstLine="511" w:firstLineChars="213"/>
        <w:rPr>
          <w:rFonts w:hAnsi="宋体"/>
        </w:rPr>
      </w:pPr>
      <w:r>
        <w:rPr>
          <w:rFonts w:hint="eastAsia" w:hAnsi="宋体"/>
        </w:rPr>
        <w:t>1.乙方应按采购文件规定的时间向甲方提供使用货物的有关技术资料。</w:t>
      </w:r>
    </w:p>
    <w:p>
      <w:pPr>
        <w:pStyle w:val="9"/>
        <w:adjustRightInd w:val="0"/>
        <w:snapToGrid w:val="0"/>
        <w:spacing w:beforeLines="0" w:afterLines="0" w:line="480" w:lineRule="exact"/>
        <w:ind w:firstLine="511" w:firstLineChars="213"/>
        <w:rPr>
          <w:rFonts w:hAnsi="宋体"/>
        </w:rPr>
      </w:pPr>
      <w:r>
        <w:rPr>
          <w:rFonts w:hint="eastAsia" w:hAnsi="宋体"/>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9"/>
        <w:adjustRightInd w:val="0"/>
        <w:snapToGrid w:val="0"/>
        <w:spacing w:beforeLines="0" w:afterLines="0" w:line="480" w:lineRule="exact"/>
        <w:ind w:firstLine="475" w:firstLineChars="198"/>
        <w:rPr>
          <w:rFonts w:hAnsi="宋体"/>
        </w:rPr>
      </w:pPr>
      <w:r>
        <w:rPr>
          <w:rFonts w:hint="eastAsia" w:hAnsi="宋体"/>
        </w:rPr>
        <w:t>三、知识产权</w:t>
      </w:r>
    </w:p>
    <w:p>
      <w:pPr>
        <w:pStyle w:val="9"/>
        <w:adjustRightInd w:val="0"/>
        <w:snapToGrid w:val="0"/>
        <w:spacing w:beforeLines="0" w:afterLines="0" w:line="480" w:lineRule="exact"/>
        <w:ind w:firstLine="511" w:firstLineChars="213"/>
        <w:rPr>
          <w:rFonts w:hAnsi="宋体"/>
        </w:rPr>
      </w:pPr>
      <w:r>
        <w:rPr>
          <w:rFonts w:hint="eastAsia" w:hAnsi="宋体"/>
        </w:rPr>
        <w:t>乙方应保证所提供的货物或其任何一部分均不会侵犯任何第三方的知识产权。</w:t>
      </w:r>
    </w:p>
    <w:p>
      <w:pPr>
        <w:pStyle w:val="9"/>
        <w:adjustRightInd w:val="0"/>
        <w:snapToGrid w:val="0"/>
        <w:spacing w:beforeLines="0" w:afterLines="0" w:line="480" w:lineRule="exact"/>
        <w:ind w:firstLine="475" w:firstLineChars="198"/>
        <w:rPr>
          <w:rFonts w:hAnsi="宋体"/>
        </w:rPr>
      </w:pPr>
      <w:r>
        <w:rPr>
          <w:rFonts w:hint="eastAsia" w:hAnsi="宋体"/>
        </w:rPr>
        <w:t>四、产权担保</w:t>
      </w:r>
    </w:p>
    <w:p>
      <w:pPr>
        <w:pStyle w:val="9"/>
        <w:adjustRightInd w:val="0"/>
        <w:snapToGrid w:val="0"/>
        <w:spacing w:beforeLines="0" w:afterLines="0" w:line="480" w:lineRule="exact"/>
        <w:ind w:firstLine="511" w:firstLineChars="213"/>
        <w:rPr>
          <w:rFonts w:hAnsi="宋体"/>
        </w:rPr>
      </w:pPr>
      <w:r>
        <w:rPr>
          <w:rFonts w:hint="eastAsia" w:hAnsi="宋体"/>
        </w:rPr>
        <w:t>乙方保证所交付的货物的所有权完全属于乙方且无任何抵押、查封等产权瑕疵。</w:t>
      </w:r>
    </w:p>
    <w:p>
      <w:pPr>
        <w:pStyle w:val="9"/>
        <w:adjustRightInd w:val="0"/>
        <w:snapToGrid w:val="0"/>
        <w:spacing w:beforeLines="0" w:afterLines="0" w:line="480" w:lineRule="exact"/>
        <w:ind w:firstLine="475" w:firstLineChars="198"/>
        <w:rPr>
          <w:rFonts w:hAnsi="宋体"/>
        </w:rPr>
      </w:pPr>
      <w:r>
        <w:rPr>
          <w:rFonts w:hint="eastAsia" w:hAnsi="宋体"/>
        </w:rPr>
        <w:t>五、转包或分包</w:t>
      </w:r>
    </w:p>
    <w:p>
      <w:pPr>
        <w:adjustRightInd w:val="0"/>
        <w:snapToGrid w:val="0"/>
        <w:spacing w:line="480" w:lineRule="exact"/>
        <w:ind w:firstLine="511" w:firstLineChars="213"/>
        <w:rPr>
          <w:rFonts w:ascii="宋体" w:hAnsi="宋体"/>
          <w:sz w:val="24"/>
        </w:rPr>
      </w:pPr>
      <w:r>
        <w:rPr>
          <w:rFonts w:hint="eastAsia" w:ascii="宋体" w:hAnsi="宋体"/>
          <w:sz w:val="24"/>
        </w:rPr>
        <w:t>本合同范围的货物，应由乙方直接供应，不得转让他人供应，否则，甲方有权解除合同，没收质量保证金并追究乙方的违约责任。</w:t>
      </w:r>
    </w:p>
    <w:p>
      <w:pPr>
        <w:pStyle w:val="9"/>
        <w:adjustRightInd w:val="0"/>
        <w:snapToGrid w:val="0"/>
        <w:spacing w:beforeLines="0" w:afterLines="0" w:line="480" w:lineRule="exact"/>
        <w:ind w:firstLine="511" w:firstLineChars="213"/>
        <w:rPr>
          <w:rFonts w:hAnsi="宋体"/>
        </w:rPr>
      </w:pPr>
      <w:r>
        <w:rPr>
          <w:rFonts w:hint="eastAsia" w:hAnsi="宋体"/>
        </w:rPr>
        <w:t>六、交货期、交货方式及交货地点</w:t>
      </w:r>
    </w:p>
    <w:p>
      <w:pPr>
        <w:pStyle w:val="9"/>
        <w:adjustRightInd w:val="0"/>
        <w:snapToGrid w:val="0"/>
        <w:spacing w:beforeLines="0" w:afterLines="0" w:line="480" w:lineRule="exact"/>
        <w:ind w:firstLine="511" w:firstLineChars="213"/>
        <w:rPr>
          <w:rFonts w:hAnsi="宋体"/>
        </w:rPr>
      </w:pPr>
      <w:r>
        <w:rPr>
          <w:rFonts w:hint="eastAsia" w:hAnsi="宋体"/>
        </w:rPr>
        <w:t>1. 交货期：</w:t>
      </w:r>
    </w:p>
    <w:p>
      <w:pPr>
        <w:pStyle w:val="9"/>
        <w:adjustRightInd w:val="0"/>
        <w:snapToGrid w:val="0"/>
        <w:spacing w:beforeLines="0" w:afterLines="0" w:line="480" w:lineRule="exact"/>
        <w:ind w:firstLine="511" w:firstLineChars="213"/>
        <w:rPr>
          <w:rFonts w:hAnsi="宋体"/>
        </w:rPr>
      </w:pPr>
      <w:r>
        <w:rPr>
          <w:rFonts w:hint="eastAsia" w:hAnsi="宋体"/>
        </w:rPr>
        <w:t>2. 交货地点：</w:t>
      </w:r>
    </w:p>
    <w:p>
      <w:pPr>
        <w:pStyle w:val="9"/>
        <w:adjustRightInd w:val="0"/>
        <w:snapToGrid w:val="0"/>
        <w:spacing w:beforeLines="0" w:afterLines="0" w:line="480" w:lineRule="exact"/>
        <w:ind w:firstLine="511" w:firstLineChars="213"/>
        <w:rPr>
          <w:rFonts w:hAnsi="宋体"/>
        </w:rPr>
      </w:pPr>
      <w:r>
        <w:rPr>
          <w:rFonts w:hint="eastAsia" w:hAnsi="宋体"/>
        </w:rPr>
        <w:t>七、货款支付</w:t>
      </w:r>
    </w:p>
    <w:p>
      <w:pPr>
        <w:pStyle w:val="9"/>
        <w:adjustRightInd w:val="0"/>
        <w:snapToGrid w:val="0"/>
        <w:spacing w:beforeLines="0" w:afterLines="0" w:line="480" w:lineRule="exact"/>
        <w:ind w:firstLine="511" w:firstLineChars="213"/>
        <w:rPr>
          <w:rFonts w:hAnsi="宋体"/>
        </w:rPr>
      </w:pPr>
      <w:r>
        <w:rPr>
          <w:rFonts w:hint="eastAsia" w:hAnsi="宋体"/>
        </w:rPr>
        <w:t xml:space="preserve"> 付款方式：</w:t>
      </w:r>
    </w:p>
    <w:p>
      <w:pPr>
        <w:adjustRightInd w:val="0"/>
        <w:snapToGrid w:val="0"/>
        <w:spacing w:line="480" w:lineRule="exact"/>
        <w:ind w:firstLine="511" w:firstLineChars="213"/>
        <w:rPr>
          <w:rFonts w:ascii="宋体" w:hAnsi="宋体"/>
          <w:sz w:val="24"/>
        </w:rPr>
      </w:pPr>
      <w:r>
        <w:rPr>
          <w:rFonts w:hint="eastAsia" w:ascii="宋体" w:hAnsi="宋体"/>
          <w:sz w:val="24"/>
        </w:rPr>
        <w:t>八、税费</w:t>
      </w:r>
    </w:p>
    <w:p>
      <w:pPr>
        <w:adjustRightInd w:val="0"/>
        <w:snapToGrid w:val="0"/>
        <w:spacing w:line="480" w:lineRule="exact"/>
        <w:ind w:firstLine="511" w:firstLineChars="213"/>
        <w:rPr>
          <w:rFonts w:ascii="宋体" w:hAnsi="宋体"/>
          <w:sz w:val="24"/>
        </w:rPr>
      </w:pPr>
      <w:r>
        <w:rPr>
          <w:rFonts w:hint="eastAsia" w:ascii="宋体" w:hAnsi="宋体"/>
          <w:sz w:val="24"/>
        </w:rPr>
        <w:t>本合同执行中相关的一切税费均由乙方负担。</w:t>
      </w:r>
    </w:p>
    <w:p>
      <w:pPr>
        <w:pStyle w:val="9"/>
        <w:adjustRightInd w:val="0"/>
        <w:snapToGrid w:val="0"/>
        <w:spacing w:beforeLines="0" w:afterLines="0" w:line="480" w:lineRule="exact"/>
        <w:ind w:firstLine="475" w:firstLineChars="198"/>
        <w:rPr>
          <w:rFonts w:hAnsi="宋体"/>
        </w:rPr>
      </w:pPr>
      <w:r>
        <w:rPr>
          <w:rFonts w:hint="eastAsia" w:hAnsi="宋体"/>
        </w:rPr>
        <w:t>九、质量保证及售后服务</w:t>
      </w:r>
    </w:p>
    <w:p>
      <w:pPr>
        <w:pStyle w:val="9"/>
        <w:adjustRightInd w:val="0"/>
        <w:snapToGrid w:val="0"/>
        <w:spacing w:beforeLines="0" w:afterLines="0" w:line="480" w:lineRule="exact"/>
        <w:ind w:firstLine="511" w:firstLineChars="213"/>
        <w:rPr>
          <w:rFonts w:hAnsi="宋体"/>
        </w:rPr>
      </w:pPr>
      <w:r>
        <w:rPr>
          <w:rFonts w:hint="eastAsia" w:hAnsi="宋体"/>
        </w:rPr>
        <w:t>1.乙方保证本合同中所供应的商品是最新生产的符合国家技术规格和质量标准的出厂原装合格产品。如发生所供商品与合同不符，甲方（使用方）有权拒收或退货，由此产生的一切责任和后果由乙方承担。</w:t>
      </w:r>
    </w:p>
    <w:p>
      <w:pPr>
        <w:pStyle w:val="9"/>
        <w:adjustRightInd w:val="0"/>
        <w:snapToGrid w:val="0"/>
        <w:spacing w:beforeLines="0" w:afterLines="0" w:line="480" w:lineRule="exact"/>
        <w:ind w:firstLine="511" w:firstLineChars="213"/>
        <w:rPr>
          <w:rFonts w:hAnsi="宋体"/>
        </w:rPr>
      </w:pPr>
      <w:r>
        <w:rPr>
          <w:rFonts w:hint="eastAsia" w:hAnsi="宋体"/>
        </w:rPr>
        <w:t>2. 乙方提供的货物在质保期内因货物本身的质量问题发生故障，乙方应负责免费更换。对达不到技术要求者，根据实际情况，经双方协商，可按以下办法处理：</w:t>
      </w:r>
    </w:p>
    <w:p>
      <w:pPr>
        <w:pStyle w:val="9"/>
        <w:adjustRightInd w:val="0"/>
        <w:snapToGrid w:val="0"/>
        <w:spacing w:beforeLines="0" w:afterLines="0" w:line="480" w:lineRule="exact"/>
        <w:ind w:firstLine="511" w:firstLineChars="213"/>
        <w:rPr>
          <w:rFonts w:hAnsi="宋体"/>
        </w:rPr>
      </w:pPr>
      <w:r>
        <w:rPr>
          <w:rFonts w:hint="eastAsia" w:hAnsi="宋体"/>
        </w:rPr>
        <w:t>⑴更换：由乙方承担所发生的全部费用。</w:t>
      </w:r>
    </w:p>
    <w:p>
      <w:pPr>
        <w:pStyle w:val="9"/>
        <w:adjustRightInd w:val="0"/>
        <w:snapToGrid w:val="0"/>
        <w:spacing w:beforeLines="0" w:afterLines="0" w:line="480" w:lineRule="exact"/>
        <w:ind w:firstLine="511" w:firstLineChars="213"/>
        <w:rPr>
          <w:rFonts w:hAnsi="宋体"/>
        </w:rPr>
      </w:pPr>
      <w:r>
        <w:rPr>
          <w:rFonts w:hint="eastAsia" w:hAnsi="宋体"/>
        </w:rPr>
        <w:t>⑵贬值处理：由甲乙双方合议定价。</w:t>
      </w:r>
    </w:p>
    <w:p>
      <w:pPr>
        <w:pStyle w:val="9"/>
        <w:adjustRightInd w:val="0"/>
        <w:snapToGrid w:val="0"/>
        <w:spacing w:beforeLines="0" w:afterLines="0" w:line="480" w:lineRule="exact"/>
        <w:ind w:firstLine="511" w:firstLineChars="213"/>
        <w:rPr>
          <w:rFonts w:hAnsi="宋体"/>
        </w:rPr>
      </w:pPr>
      <w:r>
        <w:rPr>
          <w:rFonts w:hint="eastAsia" w:hAnsi="宋体"/>
        </w:rPr>
        <w:t>⑶退货处理：乙方应退还甲方支付的合同款，同时应承担该货物的直接费用（运输、保险、检验、货款利息及银行手续费等）。</w:t>
      </w:r>
    </w:p>
    <w:p>
      <w:pPr>
        <w:pStyle w:val="9"/>
        <w:adjustRightInd w:val="0"/>
        <w:snapToGrid w:val="0"/>
        <w:spacing w:beforeLines="0" w:afterLines="0" w:line="480" w:lineRule="exact"/>
        <w:ind w:firstLine="511" w:firstLineChars="213"/>
        <w:rPr>
          <w:rFonts w:hAnsi="宋体"/>
        </w:rPr>
      </w:pPr>
      <w:r>
        <w:rPr>
          <w:rFonts w:hint="eastAsia" w:hAnsi="宋体"/>
        </w:rPr>
        <w:t>3. 在质保期内，乙方应对货物出现的质量及安全问题负责处理解决并承担一切费用。</w:t>
      </w:r>
    </w:p>
    <w:p>
      <w:pPr>
        <w:pStyle w:val="9"/>
        <w:adjustRightInd w:val="0"/>
        <w:snapToGrid w:val="0"/>
        <w:spacing w:beforeLines="0" w:afterLines="0" w:line="480" w:lineRule="exact"/>
        <w:ind w:firstLine="511" w:firstLineChars="213"/>
        <w:rPr>
          <w:rFonts w:hAnsi="宋体"/>
        </w:rPr>
      </w:pPr>
      <w:r>
        <w:rPr>
          <w:rFonts w:hint="eastAsia" w:hAnsi="宋体"/>
        </w:rPr>
        <w:t>4.上述的货物在质保期内免费保修，因人为因素出现的故障不在免费保修范围内。超过保修期的机器设备，终生维修，维修时只收部件成本费。</w:t>
      </w:r>
    </w:p>
    <w:p>
      <w:pPr>
        <w:pStyle w:val="9"/>
        <w:adjustRightInd w:val="0"/>
        <w:snapToGrid w:val="0"/>
        <w:spacing w:beforeLines="0" w:afterLines="0" w:line="480" w:lineRule="exact"/>
        <w:ind w:firstLine="511" w:firstLineChars="213"/>
        <w:rPr>
          <w:rFonts w:hAnsi="宋体"/>
        </w:rPr>
      </w:pPr>
      <w:r>
        <w:rPr>
          <w:rFonts w:hint="eastAsia" w:hAnsi="宋体"/>
        </w:rPr>
        <w:t>十、调试和验收</w:t>
      </w:r>
    </w:p>
    <w:p>
      <w:pPr>
        <w:pStyle w:val="9"/>
        <w:adjustRightInd w:val="0"/>
        <w:snapToGrid w:val="0"/>
        <w:spacing w:beforeLines="0" w:afterLines="0" w:line="480" w:lineRule="exact"/>
        <w:ind w:firstLine="511" w:firstLineChars="213"/>
        <w:jc w:val="left"/>
        <w:rPr>
          <w:rFonts w:hAnsi="宋体"/>
        </w:rPr>
      </w:pPr>
      <w:r>
        <w:rPr>
          <w:rFonts w:hint="eastAsia" w:hAnsi="宋体"/>
        </w:rPr>
        <w:t>1. 甲方对乙方提交的货物依据投标文件上的技术规格要求和国家有关质量标准进行现场验收。货到后，甲方需在五个工作日内验收。</w:t>
      </w:r>
    </w:p>
    <w:p>
      <w:pPr>
        <w:pStyle w:val="9"/>
        <w:adjustRightInd w:val="0"/>
        <w:snapToGrid w:val="0"/>
        <w:spacing w:beforeLines="0" w:afterLines="0" w:line="480" w:lineRule="exact"/>
        <w:ind w:firstLine="511" w:firstLineChars="213"/>
        <w:rPr>
          <w:rFonts w:hAnsi="宋体"/>
        </w:rPr>
      </w:pPr>
      <w:r>
        <w:rPr>
          <w:rFonts w:hint="eastAsia" w:hAnsi="宋体"/>
        </w:rPr>
        <w:t>2. 乙方交货前应对产品作出全面检查和对验收文件进行整理，并列出清单，作为甲方收货验收和使用的技术条件依据，检验的结果应随货物交甲方。</w:t>
      </w:r>
    </w:p>
    <w:p>
      <w:pPr>
        <w:pStyle w:val="9"/>
        <w:adjustRightInd w:val="0"/>
        <w:snapToGrid w:val="0"/>
        <w:spacing w:beforeLines="0" w:afterLines="0" w:line="480" w:lineRule="exact"/>
        <w:ind w:firstLine="511" w:firstLineChars="213"/>
        <w:rPr>
          <w:rFonts w:hAnsi="宋体"/>
        </w:rPr>
      </w:pPr>
      <w:r>
        <w:rPr>
          <w:rFonts w:hint="eastAsia" w:hAnsi="宋体"/>
        </w:rPr>
        <w:t>3. 甲方对乙方提供的货物在使用前进行调试时，乙方需负责安装并培训甲方的使用操作人员，并协助甲方一起调试，直到符合技术要求，甲方才做最终验收。</w:t>
      </w:r>
    </w:p>
    <w:p>
      <w:pPr>
        <w:pStyle w:val="9"/>
        <w:adjustRightInd w:val="0"/>
        <w:snapToGrid w:val="0"/>
        <w:spacing w:beforeLines="0" w:afterLines="0" w:line="480" w:lineRule="exact"/>
        <w:ind w:firstLine="511" w:firstLineChars="213"/>
        <w:rPr>
          <w:rFonts w:hAnsi="宋体"/>
        </w:rPr>
      </w:pPr>
      <w:r>
        <w:rPr>
          <w:rFonts w:hint="eastAsia" w:hAnsi="宋体"/>
        </w:rPr>
        <w:t>4. 对技术复杂的货物，甲方应请国家认可的专业检测机构参与验收，并由其出具质量检测报告。</w:t>
      </w:r>
    </w:p>
    <w:p>
      <w:pPr>
        <w:pStyle w:val="9"/>
        <w:adjustRightInd w:val="0"/>
        <w:snapToGrid w:val="0"/>
        <w:spacing w:beforeLines="0" w:afterLines="0" w:line="480" w:lineRule="exact"/>
        <w:ind w:firstLine="511" w:firstLineChars="213"/>
        <w:rPr>
          <w:rFonts w:hAnsi="宋体"/>
        </w:rPr>
      </w:pPr>
      <w:r>
        <w:rPr>
          <w:rFonts w:hint="eastAsia" w:hAnsi="宋体"/>
        </w:rPr>
        <w:t>5. 验收时乙方必须在现场，验收完毕后作出验收结果报告；验收费用由乙方负责。</w:t>
      </w:r>
    </w:p>
    <w:p>
      <w:pPr>
        <w:pStyle w:val="9"/>
        <w:adjustRightInd w:val="0"/>
        <w:snapToGrid w:val="0"/>
        <w:spacing w:beforeLines="0" w:afterLines="0" w:line="480" w:lineRule="exact"/>
        <w:ind w:firstLine="511" w:firstLineChars="213"/>
        <w:rPr>
          <w:rFonts w:hAnsi="宋体"/>
        </w:rPr>
      </w:pPr>
      <w:r>
        <w:rPr>
          <w:rFonts w:hint="eastAsia" w:hAnsi="宋体"/>
        </w:rPr>
        <w:t>十一、货物包装</w:t>
      </w:r>
    </w:p>
    <w:p>
      <w:pPr>
        <w:pStyle w:val="9"/>
        <w:adjustRightInd w:val="0"/>
        <w:snapToGrid w:val="0"/>
        <w:spacing w:beforeLines="0" w:afterLines="0" w:line="480" w:lineRule="exact"/>
        <w:ind w:firstLine="511" w:firstLineChars="213"/>
        <w:rPr>
          <w:rFonts w:hAnsi="宋体"/>
        </w:rPr>
      </w:pPr>
      <w:r>
        <w:rPr>
          <w:rFonts w:hint="eastAsia" w:hAnsi="宋体"/>
        </w:rPr>
        <w:t>1. 乙方应在货物发运前对其进行满足运输距离、防潮、防震、防锈和防破损装卸等要求包装，以保证货物安全运达甲方指定地点。</w:t>
      </w:r>
    </w:p>
    <w:p>
      <w:pPr>
        <w:pStyle w:val="9"/>
        <w:adjustRightInd w:val="0"/>
        <w:snapToGrid w:val="0"/>
        <w:spacing w:beforeLines="0" w:afterLines="0" w:line="480" w:lineRule="exact"/>
        <w:ind w:firstLine="511" w:firstLineChars="213"/>
        <w:rPr>
          <w:rFonts w:hAnsi="宋体"/>
        </w:rPr>
      </w:pPr>
      <w:r>
        <w:rPr>
          <w:rFonts w:hint="eastAsia" w:hAnsi="宋体"/>
        </w:rPr>
        <w:t>2. 使用说明书、质量检验证明书、随配附件和工具以及清单一并附于货物内。</w:t>
      </w:r>
    </w:p>
    <w:p>
      <w:pPr>
        <w:pStyle w:val="9"/>
        <w:adjustRightInd w:val="0"/>
        <w:snapToGrid w:val="0"/>
        <w:spacing w:beforeLines="0" w:afterLines="0" w:line="480" w:lineRule="exact"/>
        <w:ind w:firstLine="511" w:firstLineChars="213"/>
        <w:rPr>
          <w:rFonts w:hAnsi="宋体"/>
        </w:rPr>
      </w:pPr>
      <w:r>
        <w:rPr>
          <w:rFonts w:hint="eastAsia" w:hAnsi="宋体"/>
        </w:rPr>
        <w:t>十二、违约责任</w:t>
      </w:r>
    </w:p>
    <w:p>
      <w:pPr>
        <w:pStyle w:val="9"/>
        <w:adjustRightInd w:val="0"/>
        <w:snapToGrid w:val="0"/>
        <w:spacing w:beforeLines="0" w:afterLines="0" w:line="480" w:lineRule="exact"/>
        <w:ind w:left="1" w:firstLine="511" w:firstLineChars="213"/>
        <w:rPr>
          <w:rFonts w:hAnsi="宋体"/>
        </w:rPr>
      </w:pPr>
      <w:r>
        <w:rPr>
          <w:rFonts w:hint="eastAsia" w:hAnsi="宋体"/>
        </w:rPr>
        <w:t>1. 甲方无正当理由拒收货物的，甲方向乙方偿付拒收货款总值的百分之五违约金。</w:t>
      </w:r>
    </w:p>
    <w:p>
      <w:pPr>
        <w:pStyle w:val="9"/>
        <w:adjustRightInd w:val="0"/>
        <w:snapToGrid w:val="0"/>
        <w:spacing w:beforeLines="0" w:afterLines="0" w:line="480" w:lineRule="exact"/>
        <w:ind w:left="1" w:firstLine="511" w:firstLineChars="213"/>
        <w:rPr>
          <w:rFonts w:hAnsi="宋体"/>
        </w:rPr>
      </w:pPr>
      <w:r>
        <w:rPr>
          <w:rFonts w:hint="eastAsia" w:hAnsi="宋体"/>
        </w:rPr>
        <w:t>2. 甲方无故逾期验收和办理货款支付手续的,甲方应按逾期付款总额每日万分之五向乙方支付违约金。</w:t>
      </w:r>
    </w:p>
    <w:p>
      <w:pPr>
        <w:pStyle w:val="9"/>
        <w:adjustRightInd w:val="0"/>
        <w:snapToGrid w:val="0"/>
        <w:spacing w:beforeLines="0" w:afterLines="0" w:line="480" w:lineRule="exact"/>
        <w:ind w:left="1" w:firstLine="511" w:firstLineChars="213"/>
        <w:rPr>
          <w:rFonts w:hAnsi="宋体"/>
        </w:rPr>
      </w:pPr>
      <w:r>
        <w:rPr>
          <w:rFonts w:hint="eastAsia" w:hAnsi="宋体"/>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9"/>
        <w:adjustRightInd w:val="0"/>
        <w:snapToGrid w:val="0"/>
        <w:spacing w:beforeLines="0" w:afterLines="0" w:line="480" w:lineRule="exact"/>
        <w:ind w:left="1" w:firstLine="511" w:firstLineChars="213"/>
        <w:rPr>
          <w:rFonts w:hAnsi="宋体"/>
        </w:rPr>
      </w:pPr>
      <w:r>
        <w:rPr>
          <w:rFonts w:hint="eastAsia" w:hAnsi="宋体"/>
        </w:rPr>
        <w:t>4. 乙方所交的货物品种、型号、规格、技术参数、质量不符合合同规定及投标文件规定标准的，甲方有权拒收该货物，乙方愿意更换货物但逾期交货的，按乙方逾期交货处理。乙方拒绝更换货物的，甲方可单方面解除合同。</w:t>
      </w:r>
    </w:p>
    <w:p>
      <w:pPr>
        <w:pStyle w:val="9"/>
        <w:adjustRightInd w:val="0"/>
        <w:snapToGrid w:val="0"/>
        <w:spacing w:beforeLines="0" w:afterLines="0" w:line="480" w:lineRule="exact"/>
        <w:ind w:firstLine="511" w:firstLineChars="213"/>
        <w:rPr>
          <w:rFonts w:hAnsi="宋体"/>
        </w:rPr>
      </w:pPr>
      <w:r>
        <w:rPr>
          <w:rFonts w:hint="eastAsia" w:hAnsi="宋体"/>
        </w:rPr>
        <w:t>十三、不可抗力事件处理</w:t>
      </w:r>
    </w:p>
    <w:p>
      <w:pPr>
        <w:pStyle w:val="9"/>
        <w:adjustRightInd w:val="0"/>
        <w:snapToGrid w:val="0"/>
        <w:spacing w:beforeLines="0" w:afterLines="0" w:line="480" w:lineRule="exact"/>
        <w:ind w:firstLine="511" w:firstLineChars="213"/>
        <w:rPr>
          <w:rFonts w:hAnsi="宋体"/>
        </w:rPr>
      </w:pPr>
      <w:r>
        <w:rPr>
          <w:rFonts w:hint="eastAsia" w:hAnsi="宋体"/>
        </w:rPr>
        <w:t>1. 在合同有效期内，任何一方因不可抗力事件导致不能履行合同，则合同履行期可延长，其延长期与不可抗力影响期相同。</w:t>
      </w:r>
    </w:p>
    <w:p>
      <w:pPr>
        <w:pStyle w:val="9"/>
        <w:adjustRightInd w:val="0"/>
        <w:snapToGrid w:val="0"/>
        <w:spacing w:beforeLines="0" w:afterLines="0" w:line="480" w:lineRule="exact"/>
        <w:ind w:firstLine="511" w:firstLineChars="213"/>
        <w:rPr>
          <w:rFonts w:hAnsi="宋体"/>
        </w:rPr>
      </w:pPr>
      <w:r>
        <w:rPr>
          <w:rFonts w:hint="eastAsia" w:hAnsi="宋体"/>
        </w:rPr>
        <w:t>2. 不可抗力事件发生后，应立即通知对方，并寄送有关权威机构出具的证明。</w:t>
      </w:r>
    </w:p>
    <w:p>
      <w:pPr>
        <w:pStyle w:val="9"/>
        <w:adjustRightInd w:val="0"/>
        <w:snapToGrid w:val="0"/>
        <w:spacing w:beforeLines="0" w:afterLines="0" w:line="480" w:lineRule="exact"/>
        <w:ind w:firstLine="511" w:firstLineChars="213"/>
        <w:rPr>
          <w:rFonts w:hAnsi="宋体"/>
        </w:rPr>
      </w:pPr>
      <w:r>
        <w:rPr>
          <w:rFonts w:hint="eastAsia" w:hAnsi="宋体"/>
        </w:rPr>
        <w:t>3. 不可抗力事件延续120天以上，双方应通过友好协商，确定是否继续履行合同。</w:t>
      </w:r>
    </w:p>
    <w:p>
      <w:pPr>
        <w:pStyle w:val="9"/>
        <w:adjustRightInd w:val="0"/>
        <w:snapToGrid w:val="0"/>
        <w:spacing w:beforeLines="0" w:afterLines="0" w:line="480" w:lineRule="exact"/>
        <w:ind w:firstLine="511" w:firstLineChars="213"/>
        <w:rPr>
          <w:rFonts w:hAnsi="宋体"/>
        </w:rPr>
      </w:pPr>
      <w:r>
        <w:rPr>
          <w:rFonts w:hint="eastAsia" w:hAnsi="宋体"/>
        </w:rPr>
        <w:t>十四、诉讼</w:t>
      </w:r>
    </w:p>
    <w:p>
      <w:pPr>
        <w:pStyle w:val="9"/>
        <w:adjustRightInd w:val="0"/>
        <w:snapToGrid w:val="0"/>
        <w:spacing w:beforeLines="0" w:afterLines="0" w:line="480" w:lineRule="exact"/>
        <w:ind w:left="2" w:firstLine="511" w:firstLineChars="213"/>
        <w:rPr>
          <w:rFonts w:hAnsi="宋体"/>
        </w:rPr>
      </w:pPr>
      <w:r>
        <w:rPr>
          <w:rFonts w:hint="eastAsia" w:hAnsi="宋体"/>
        </w:rPr>
        <w:t>双方在执行合同中所发生的一切争议，应通过协商解决。如协商不成，可向甲方所在地法院起诉。</w:t>
      </w:r>
    </w:p>
    <w:p>
      <w:pPr>
        <w:pStyle w:val="9"/>
        <w:adjustRightInd w:val="0"/>
        <w:snapToGrid w:val="0"/>
        <w:spacing w:beforeLines="0" w:afterLines="0" w:line="480" w:lineRule="exact"/>
        <w:ind w:firstLine="511" w:firstLineChars="213"/>
        <w:rPr>
          <w:rFonts w:hAnsi="宋体"/>
        </w:rPr>
      </w:pPr>
      <w:r>
        <w:rPr>
          <w:rFonts w:hint="eastAsia" w:hAnsi="宋体"/>
        </w:rPr>
        <w:t>十五、合同生效及其它</w:t>
      </w:r>
    </w:p>
    <w:p>
      <w:pPr>
        <w:pStyle w:val="9"/>
        <w:adjustRightInd w:val="0"/>
        <w:snapToGrid w:val="0"/>
        <w:spacing w:beforeLines="0" w:afterLines="0" w:line="480" w:lineRule="exact"/>
        <w:ind w:firstLine="511" w:firstLineChars="213"/>
        <w:rPr>
          <w:rFonts w:hAnsi="宋体"/>
        </w:rPr>
      </w:pPr>
      <w:r>
        <w:rPr>
          <w:rFonts w:hint="eastAsia" w:hAnsi="宋体"/>
        </w:rPr>
        <w:t>1. 合同经甲、乙、鉴证方三方签字并加盖单位公章后生效。</w:t>
      </w:r>
    </w:p>
    <w:p>
      <w:pPr>
        <w:pStyle w:val="9"/>
        <w:adjustRightInd w:val="0"/>
        <w:snapToGrid w:val="0"/>
        <w:spacing w:beforeLines="0" w:afterLines="0" w:line="480" w:lineRule="exact"/>
        <w:ind w:firstLine="511" w:firstLineChars="213"/>
        <w:rPr>
          <w:rFonts w:hAnsi="宋体"/>
        </w:rPr>
      </w:pPr>
      <w:r>
        <w:rPr>
          <w:rFonts w:hint="eastAsia" w:hAnsi="宋体"/>
        </w:rPr>
        <w:t>2.合同执行中涉及采购资金和采购内容修改或补充的，须经采购中心、财政部门审批，并签书面补充协议，经报政府采购监督管理部门备案后，方可作为主合同不可分割的一部分。</w:t>
      </w:r>
    </w:p>
    <w:p>
      <w:pPr>
        <w:pStyle w:val="9"/>
        <w:adjustRightInd w:val="0"/>
        <w:snapToGrid w:val="0"/>
        <w:spacing w:beforeLines="0" w:afterLines="0" w:line="480" w:lineRule="exact"/>
        <w:ind w:firstLine="511" w:firstLineChars="213"/>
        <w:rPr>
          <w:rFonts w:hAnsi="宋体"/>
        </w:rPr>
      </w:pPr>
      <w:r>
        <w:rPr>
          <w:rFonts w:hint="eastAsia" w:hAnsi="宋体"/>
        </w:rPr>
        <w:t>3.采购文件、投标文件与本合同具有同等法律效力。</w:t>
      </w:r>
    </w:p>
    <w:p>
      <w:pPr>
        <w:pStyle w:val="9"/>
        <w:adjustRightInd w:val="0"/>
        <w:snapToGrid w:val="0"/>
        <w:spacing w:beforeLines="0" w:afterLines="0" w:line="480" w:lineRule="exact"/>
        <w:ind w:firstLine="480" w:firstLineChars="200"/>
        <w:rPr>
          <w:rFonts w:hAnsi="宋体"/>
        </w:rPr>
      </w:pPr>
      <w:r>
        <w:rPr>
          <w:rFonts w:hint="eastAsia" w:hAnsi="宋体"/>
        </w:rPr>
        <w:t>4.本合同未尽事宜，遵照《合同法》有关条文执行。</w:t>
      </w:r>
    </w:p>
    <w:p>
      <w:pPr>
        <w:pStyle w:val="9"/>
        <w:adjustRightInd w:val="0"/>
        <w:snapToGrid w:val="0"/>
        <w:spacing w:beforeLines="0" w:afterLines="0" w:line="480" w:lineRule="exact"/>
        <w:ind w:left="2" w:leftChars="1" w:firstLine="480" w:firstLineChars="200"/>
        <w:rPr>
          <w:rFonts w:hAnsi="宋体"/>
        </w:rPr>
      </w:pPr>
      <w:r>
        <w:rPr>
          <w:rFonts w:hint="eastAsia" w:hAnsi="宋体"/>
        </w:rPr>
        <w:t>5.本合同一式五份，具有同等法律效力，甲、乙方各执二份，鉴证方留存一份。</w:t>
      </w:r>
    </w:p>
    <w:p>
      <w:pPr>
        <w:pStyle w:val="9"/>
        <w:adjustRightInd w:val="0"/>
        <w:snapToGrid w:val="0"/>
        <w:spacing w:beforeLines="0" w:afterLines="0" w:line="480" w:lineRule="exact"/>
        <w:ind w:left="2" w:leftChars="1" w:firstLine="480" w:firstLineChars="200"/>
        <w:rPr>
          <w:rFonts w:hAnsi="宋体"/>
          <w:snapToGrid w:val="0"/>
          <w:kern w:val="0"/>
        </w:rPr>
      </w:pPr>
    </w:p>
    <w:p>
      <w:pPr>
        <w:pStyle w:val="9"/>
        <w:adjustRightInd w:val="0"/>
        <w:snapToGrid w:val="0"/>
        <w:spacing w:beforeLines="0" w:afterLines="0" w:line="480" w:lineRule="exact"/>
        <w:ind w:left="2" w:leftChars="1" w:firstLine="480" w:firstLineChars="200"/>
        <w:rPr>
          <w:rFonts w:hAnsi="宋体"/>
          <w:snapToGrid w:val="0"/>
          <w:kern w:val="0"/>
        </w:rPr>
      </w:pPr>
      <w:r>
        <w:rPr>
          <w:rFonts w:hint="eastAsia" w:hAnsi="宋体"/>
          <w:snapToGrid w:val="0"/>
          <w:kern w:val="0"/>
        </w:rPr>
        <w:t xml:space="preserve">甲方（盖章）：                          乙方（盖章）： </w:t>
      </w:r>
    </w:p>
    <w:p>
      <w:pPr>
        <w:pStyle w:val="9"/>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地址：                                  地址：</w:t>
      </w:r>
    </w:p>
    <w:p>
      <w:pPr>
        <w:pStyle w:val="9"/>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法定（授权）代表人：                    法定（授权）代表人：</w:t>
      </w:r>
    </w:p>
    <w:p>
      <w:pPr>
        <w:pStyle w:val="9"/>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 xml:space="preserve">联系电话：                              联系电话：         </w:t>
      </w:r>
    </w:p>
    <w:p>
      <w:pPr>
        <w:pStyle w:val="9"/>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 xml:space="preserve">                                        开户银行及账号：</w:t>
      </w:r>
    </w:p>
    <w:p>
      <w:pPr>
        <w:pStyle w:val="9"/>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鉴证方（盖章）：</w:t>
      </w:r>
      <w:r>
        <w:rPr>
          <w:rFonts w:hint="eastAsia" w:hAnsi="宋体"/>
        </w:rPr>
        <w:t>杭州市公共资源交易中心临安分中心</w:t>
      </w:r>
    </w:p>
    <w:p>
      <w:pPr>
        <w:pStyle w:val="9"/>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法定（授权）代表人：</w:t>
      </w:r>
    </w:p>
    <w:p>
      <w:pPr>
        <w:pStyle w:val="9"/>
        <w:adjustRightInd w:val="0"/>
        <w:snapToGrid w:val="0"/>
        <w:spacing w:beforeLines="0" w:afterLines="0" w:line="460" w:lineRule="exact"/>
        <w:ind w:firstLine="360" w:firstLineChars="150"/>
        <w:rPr>
          <w:rFonts w:hAnsi="宋体"/>
          <w:snapToGrid w:val="0"/>
          <w:kern w:val="0"/>
        </w:rPr>
      </w:pPr>
      <w:r>
        <w:rPr>
          <w:rFonts w:hint="eastAsia" w:hAnsi="宋体"/>
          <w:snapToGrid w:val="0"/>
          <w:kern w:val="0"/>
        </w:rPr>
        <w:t xml:space="preserve"> 地址：杭州市临安区行政服务中心B座4楼</w:t>
      </w:r>
    </w:p>
    <w:p>
      <w:pPr>
        <w:pStyle w:val="9"/>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电话：0571-23616016</w:t>
      </w:r>
    </w:p>
    <w:p>
      <w:pPr>
        <w:pStyle w:val="9"/>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传真：0571-23616007                       签订时间：   年  月  日</w:t>
      </w:r>
    </w:p>
    <w:p>
      <w:pPr>
        <w:rPr>
          <w:rFonts w:ascii="宋体" w:hAnsi="宋体"/>
          <w:snapToGrid w:val="0"/>
          <w:kern w:val="0"/>
          <w:sz w:val="24"/>
        </w:rPr>
        <w:sectPr>
          <w:footerReference r:id="rId6" w:type="first"/>
          <w:headerReference r:id="rId3" w:type="default"/>
          <w:footerReference r:id="rId4" w:type="default"/>
          <w:footerReference r:id="rId5" w:type="even"/>
          <w:pgSz w:w="11906" w:h="16838"/>
          <w:pgMar w:top="1418" w:right="1247" w:bottom="1418" w:left="1418" w:header="851" w:footer="992" w:gutter="0"/>
          <w:cols w:space="720" w:num="1"/>
          <w:docGrid w:type="lines" w:linePitch="312" w:charSpace="0"/>
        </w:sectPr>
      </w:pPr>
    </w:p>
    <w:p>
      <w:pPr>
        <w:pStyle w:val="9"/>
        <w:adjustRightInd w:val="0"/>
        <w:snapToGrid w:val="0"/>
        <w:spacing w:before="156" w:after="156" w:line="460" w:lineRule="exact"/>
        <w:ind w:left="1" w:firstLine="2445" w:firstLineChars="761"/>
        <w:rPr>
          <w:rFonts w:hAnsi="宋体"/>
          <w:b/>
          <w:sz w:val="32"/>
          <w:szCs w:val="32"/>
        </w:rPr>
      </w:pPr>
      <w:r>
        <w:rPr>
          <w:rFonts w:hint="eastAsia" w:hAnsi="宋体"/>
          <w:b/>
          <w:snapToGrid w:val="0"/>
          <w:kern w:val="0"/>
          <w:sz w:val="32"/>
          <w:szCs w:val="32"/>
        </w:rPr>
        <w:t>第六章</w:t>
      </w:r>
      <w:r>
        <w:rPr>
          <w:rFonts w:hint="eastAsia" w:hAnsi="宋体"/>
          <w:b/>
          <w:sz w:val="32"/>
          <w:szCs w:val="32"/>
        </w:rPr>
        <w:t xml:space="preserve"> 投标文件格式</w:t>
      </w:r>
    </w:p>
    <w:p>
      <w:pPr>
        <w:snapToGrid w:val="0"/>
        <w:spacing w:beforeLines="50" w:after="50"/>
        <w:rPr>
          <w:rFonts w:ascii="宋体" w:hAnsi="宋体"/>
          <w:b/>
          <w:sz w:val="24"/>
        </w:rPr>
      </w:pPr>
      <w:r>
        <w:rPr>
          <w:rFonts w:hint="eastAsia" w:ascii="宋体" w:hAnsi="宋体"/>
          <w:sz w:val="24"/>
        </w:rPr>
        <w:t>封面格式</w:t>
      </w:r>
      <w:r>
        <w:rPr>
          <w:rFonts w:hint="eastAsia" w:ascii="宋体" w:hAnsi="宋体"/>
          <w:b/>
          <w:sz w:val="24"/>
        </w:rPr>
        <w:t xml:space="preserve">                                       </w:t>
      </w:r>
      <w:r>
        <w:rPr>
          <w:rFonts w:hint="eastAsia" w:ascii="宋体" w:hAnsi="宋体"/>
          <w:bCs/>
          <w:sz w:val="24"/>
        </w:rPr>
        <w:t>正本或副本</w:t>
      </w:r>
    </w:p>
    <w:p>
      <w:pPr>
        <w:snapToGrid w:val="0"/>
        <w:spacing w:beforeLines="50" w:after="50"/>
        <w:jc w:val="right"/>
        <w:rPr>
          <w:rFonts w:ascii="宋体" w:hAnsi="宋体"/>
          <w:bCs/>
          <w:sz w:val="24"/>
        </w:rPr>
      </w:pPr>
      <w:r>
        <w:rPr>
          <w:rFonts w:ascii="宋体" w:hAnsi="宋体"/>
          <w:sz w:val="24"/>
        </w:rPr>
        <w:t xml:space="preserve">                                            </w:t>
      </w:r>
    </w:p>
    <w:p>
      <w:pPr>
        <w:ind w:right="-110"/>
        <w:jc w:val="center"/>
        <w:rPr>
          <w:rFonts w:ascii="宋体" w:hAnsi="宋体"/>
          <w:spacing w:val="40"/>
          <w:sz w:val="24"/>
        </w:rPr>
      </w:pPr>
      <w:r>
        <w:rPr>
          <w:rFonts w:hint="eastAsia" w:ascii="宋体" w:hAnsi="宋体"/>
          <w:spacing w:val="40"/>
          <w:sz w:val="24"/>
        </w:rPr>
        <w:t>***项目名称</w:t>
      </w:r>
    </w:p>
    <w:p>
      <w:pPr>
        <w:spacing w:beforeLines="100" w:line="240" w:lineRule="atLeast"/>
        <w:ind w:right="-108"/>
        <w:jc w:val="center"/>
        <w:rPr>
          <w:rFonts w:ascii="宋体" w:hAnsi="宋体"/>
          <w:sz w:val="24"/>
        </w:rPr>
      </w:pPr>
      <w:r>
        <w:rPr>
          <w:rFonts w:hint="eastAsia" w:ascii="宋体" w:hAnsi="宋体"/>
          <w:sz w:val="24"/>
        </w:rPr>
        <w:t>项目编号：************** （标项*）</w:t>
      </w:r>
    </w:p>
    <w:p>
      <w:pPr>
        <w:spacing w:after="100" w:afterAutospacing="1" w:line="400" w:lineRule="exact"/>
        <w:ind w:right="-108"/>
        <w:jc w:val="center"/>
        <w:rPr>
          <w:rFonts w:ascii="宋体" w:hAnsi="宋体"/>
          <w:b/>
          <w:spacing w:val="40"/>
          <w:sz w:val="24"/>
        </w:rPr>
      </w:pPr>
    </w:p>
    <w:p>
      <w:pPr>
        <w:spacing w:after="100" w:afterAutospacing="1" w:line="400" w:lineRule="exact"/>
        <w:ind w:right="-108"/>
        <w:jc w:val="center"/>
        <w:rPr>
          <w:rFonts w:ascii="宋体" w:hAnsi="宋体"/>
          <w:b/>
          <w:spacing w:val="40"/>
          <w:sz w:val="24"/>
        </w:rPr>
      </w:pP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资</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信</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文</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件</w:t>
      </w:r>
    </w:p>
    <w:p>
      <w:pPr>
        <w:spacing w:line="500" w:lineRule="exact"/>
        <w:ind w:right="532"/>
        <w:rPr>
          <w:rFonts w:ascii="宋体" w:hAnsi="宋体"/>
          <w:sz w:val="24"/>
        </w:rPr>
      </w:pPr>
    </w:p>
    <w:p>
      <w:pPr>
        <w:spacing w:line="500" w:lineRule="exact"/>
        <w:ind w:right="532"/>
        <w:rPr>
          <w:rFonts w:ascii="宋体" w:hAnsi="宋体"/>
          <w:sz w:val="24"/>
        </w:rPr>
      </w:pPr>
    </w:p>
    <w:p>
      <w:pPr>
        <w:spacing w:line="500" w:lineRule="exact"/>
        <w:ind w:right="532"/>
        <w:rPr>
          <w:rFonts w:ascii="宋体" w:hAnsi="宋体"/>
          <w:sz w:val="24"/>
        </w:rPr>
      </w:pPr>
    </w:p>
    <w:p>
      <w:pPr>
        <w:spacing w:line="600" w:lineRule="exact"/>
        <w:ind w:right="532" w:firstLine="480" w:firstLineChars="200"/>
        <w:rPr>
          <w:rFonts w:ascii="宋体" w:hAnsi="宋体"/>
          <w:sz w:val="24"/>
        </w:rPr>
      </w:pPr>
      <w:r>
        <w:rPr>
          <w:rFonts w:hint="eastAsia" w:ascii="宋体" w:hAnsi="宋体"/>
          <w:sz w:val="24"/>
        </w:rPr>
        <w:t>单位全称（公章）：</w:t>
      </w:r>
    </w:p>
    <w:p>
      <w:pPr>
        <w:spacing w:line="600" w:lineRule="exact"/>
        <w:ind w:right="532" w:firstLine="480" w:firstLineChars="200"/>
        <w:rPr>
          <w:rFonts w:ascii="宋体" w:hAnsi="宋体"/>
          <w:sz w:val="24"/>
        </w:rPr>
      </w:pPr>
      <w:r>
        <w:rPr>
          <w:rFonts w:hint="eastAsia" w:ascii="宋体" w:hAnsi="宋体"/>
          <w:sz w:val="24"/>
        </w:rPr>
        <w:t>地    址：</w:t>
      </w:r>
    </w:p>
    <w:p>
      <w:pPr>
        <w:spacing w:line="600" w:lineRule="exact"/>
        <w:ind w:right="532" w:firstLine="480" w:firstLineChars="200"/>
        <w:rPr>
          <w:rFonts w:ascii="宋体" w:hAnsi="宋体"/>
          <w:sz w:val="24"/>
        </w:rPr>
      </w:pPr>
      <w:r>
        <w:rPr>
          <w:rFonts w:hint="eastAsia" w:ascii="宋体" w:hAnsi="宋体"/>
          <w:sz w:val="24"/>
        </w:rPr>
        <w:t>时    间：</w:t>
      </w:r>
    </w:p>
    <w:p>
      <w:pPr>
        <w:snapToGrid w:val="0"/>
        <w:spacing w:before="50" w:after="50"/>
        <w:rPr>
          <w:rFonts w:ascii="宋体" w:hAnsi="宋体"/>
          <w:b/>
          <w:sz w:val="24"/>
        </w:rPr>
      </w:pPr>
    </w:p>
    <w:p>
      <w:pPr>
        <w:snapToGrid w:val="0"/>
        <w:spacing w:before="50" w:after="50"/>
        <w:rPr>
          <w:rFonts w:ascii="宋体" w:hAnsi="宋体"/>
          <w:sz w:val="24"/>
        </w:rPr>
      </w:pPr>
    </w:p>
    <w:p>
      <w:pPr>
        <w:snapToGrid w:val="0"/>
        <w:spacing w:before="50" w:after="50"/>
        <w:rPr>
          <w:rFonts w:ascii="宋体" w:hAnsi="宋体"/>
          <w:sz w:val="24"/>
        </w:rPr>
      </w:pPr>
    </w:p>
    <w:p>
      <w:pPr>
        <w:snapToGrid w:val="0"/>
        <w:spacing w:before="50" w:after="50"/>
        <w:rPr>
          <w:rFonts w:ascii="宋体" w:hAnsi="宋体"/>
          <w:sz w:val="24"/>
        </w:rPr>
      </w:pPr>
    </w:p>
    <w:p>
      <w:pPr>
        <w:snapToGrid w:val="0"/>
        <w:spacing w:before="50" w:after="50"/>
        <w:rPr>
          <w:rFonts w:ascii="宋体" w:hAnsi="宋体"/>
          <w:sz w:val="24"/>
        </w:rPr>
      </w:pPr>
    </w:p>
    <w:p>
      <w:pPr>
        <w:snapToGrid w:val="0"/>
        <w:spacing w:before="50" w:after="50"/>
        <w:rPr>
          <w:rFonts w:ascii="宋体" w:hAnsi="宋体"/>
          <w:sz w:val="24"/>
        </w:rPr>
      </w:pPr>
    </w:p>
    <w:p>
      <w:pPr>
        <w:snapToGrid w:val="0"/>
        <w:spacing w:line="420" w:lineRule="exact"/>
        <w:ind w:firstLine="472" w:firstLineChars="196"/>
        <w:jc w:val="left"/>
        <w:rPr>
          <w:rFonts w:ascii="宋体" w:hAnsi="宋体"/>
          <w:b/>
          <w:sz w:val="24"/>
        </w:rPr>
      </w:pPr>
      <w:r>
        <w:rPr>
          <w:rFonts w:hint="eastAsia" w:ascii="宋体" w:hAnsi="宋体"/>
          <w:b/>
          <w:sz w:val="24"/>
        </w:rPr>
        <w:t>▲</w:t>
      </w:r>
      <w:r>
        <w:rPr>
          <w:rFonts w:hint="eastAsia" w:ascii="宋体" w:hAnsi="宋体"/>
          <w:sz w:val="24"/>
        </w:rPr>
        <w:t>资信部分内容</w:t>
      </w:r>
    </w:p>
    <w:p>
      <w:pPr>
        <w:snapToGrid w:val="0"/>
        <w:spacing w:line="360" w:lineRule="auto"/>
        <w:ind w:firstLine="360" w:firstLineChars="150"/>
        <w:jc w:val="left"/>
        <w:rPr>
          <w:rFonts w:ascii="宋体" w:hAnsi="宋体"/>
          <w:sz w:val="24"/>
        </w:rPr>
      </w:pPr>
      <w:r>
        <w:rPr>
          <w:rFonts w:hint="eastAsia" w:ascii="宋体" w:hAnsi="宋体"/>
          <w:sz w:val="24"/>
        </w:rPr>
        <w:t>（1）投标声明书 (格式见附件，含重大违法记录声明)；</w:t>
      </w:r>
    </w:p>
    <w:p>
      <w:pPr>
        <w:snapToGrid w:val="0"/>
        <w:spacing w:line="360" w:lineRule="auto"/>
        <w:ind w:firstLine="360" w:firstLineChars="150"/>
        <w:jc w:val="left"/>
        <w:rPr>
          <w:rFonts w:ascii="宋体" w:hAnsi="宋体"/>
          <w:sz w:val="24"/>
        </w:rPr>
      </w:pPr>
      <w:r>
        <w:rPr>
          <w:rFonts w:hint="eastAsia" w:ascii="宋体" w:hAnsi="宋体"/>
          <w:sz w:val="24"/>
        </w:rPr>
        <w:t>（2）提供自招标公告发布之日起至投标截止日内任意时间的“信用中国”网站（www.creditchina.gov.cn）、中国政府采购网（www.ccgp.gov.cn）投标人信用查询网页截图。（以开标当日采购人或由采购人委托的评标委员会核实的查询结果为准）</w:t>
      </w:r>
    </w:p>
    <w:p>
      <w:pPr>
        <w:snapToGrid w:val="0"/>
        <w:spacing w:line="360" w:lineRule="auto"/>
        <w:ind w:firstLine="360" w:firstLineChars="150"/>
        <w:jc w:val="left"/>
        <w:rPr>
          <w:rFonts w:ascii="宋体" w:hAnsi="宋体"/>
          <w:sz w:val="24"/>
        </w:rPr>
      </w:pPr>
      <w:r>
        <w:rPr>
          <w:rFonts w:hint="eastAsia" w:ascii="宋体" w:hAnsi="宋体"/>
          <w:sz w:val="24"/>
        </w:rPr>
        <w:t>（3）法定代表人授权委托书(格式见附件)；</w:t>
      </w:r>
    </w:p>
    <w:p>
      <w:pPr>
        <w:snapToGrid w:val="0"/>
        <w:spacing w:line="360" w:lineRule="auto"/>
        <w:ind w:firstLine="360" w:firstLineChars="150"/>
        <w:jc w:val="left"/>
        <w:rPr>
          <w:rFonts w:ascii="宋体" w:hAnsi="宋体"/>
          <w:sz w:val="24"/>
        </w:rPr>
      </w:pPr>
      <w:r>
        <w:rPr>
          <w:rFonts w:hint="eastAsia" w:ascii="宋体" w:hAnsi="宋体"/>
          <w:sz w:val="24"/>
        </w:rPr>
        <w:t>（4）提供有效的营业执照复印件并加盖公司公章；事业单位的，则提供有效的《事业单位法人证书》副本复印件并加盖单位公章；自然人的，则提供有效的身份证复印件并签字；</w:t>
      </w:r>
    </w:p>
    <w:p>
      <w:pPr>
        <w:snapToGrid w:val="0"/>
        <w:spacing w:line="360" w:lineRule="auto"/>
        <w:ind w:firstLine="360" w:firstLineChars="150"/>
        <w:jc w:val="left"/>
        <w:rPr>
          <w:rFonts w:ascii="宋体" w:hAnsi="宋体"/>
          <w:sz w:val="24"/>
        </w:rPr>
      </w:pPr>
      <w:r>
        <w:rPr>
          <w:rFonts w:hint="eastAsia" w:ascii="宋体" w:hAnsi="宋体"/>
          <w:sz w:val="24"/>
        </w:rPr>
        <w:t>（5）提供有效的依法缴纳税收证明（完税凭证或税务部门出具的证明）；</w:t>
      </w:r>
    </w:p>
    <w:p>
      <w:pPr>
        <w:snapToGrid w:val="0"/>
        <w:spacing w:line="360" w:lineRule="auto"/>
        <w:ind w:firstLine="360" w:firstLineChars="150"/>
        <w:jc w:val="left"/>
        <w:rPr>
          <w:rFonts w:ascii="宋体" w:hAnsi="宋体"/>
          <w:sz w:val="24"/>
        </w:rPr>
      </w:pPr>
      <w:r>
        <w:rPr>
          <w:rFonts w:hint="eastAsia" w:ascii="宋体" w:hAnsi="宋体"/>
          <w:sz w:val="24"/>
        </w:rPr>
        <w:t>（6）提供有效的依法缴纳社会保障资金证明（缴纳凭证或人社部门出具的证明）；</w:t>
      </w:r>
    </w:p>
    <w:p>
      <w:pPr>
        <w:snapToGrid w:val="0"/>
        <w:spacing w:line="360" w:lineRule="auto"/>
        <w:ind w:firstLine="360" w:firstLineChars="150"/>
        <w:jc w:val="left"/>
        <w:rPr>
          <w:rFonts w:ascii="宋体" w:hAnsi="宋体"/>
          <w:sz w:val="24"/>
        </w:rPr>
      </w:pPr>
      <w:r>
        <w:rPr>
          <w:rFonts w:hint="eastAsia" w:ascii="宋体" w:hAnsi="宋体"/>
          <w:sz w:val="24"/>
        </w:rPr>
        <w:t>（7）联合投标协议书（若需要）;</w:t>
      </w:r>
    </w:p>
    <w:p>
      <w:pPr>
        <w:snapToGrid w:val="0"/>
        <w:spacing w:line="360" w:lineRule="auto"/>
        <w:ind w:firstLine="360" w:firstLineChars="150"/>
        <w:jc w:val="left"/>
        <w:rPr>
          <w:rFonts w:ascii="宋体" w:hAnsi="宋体"/>
          <w:sz w:val="24"/>
        </w:rPr>
      </w:pPr>
      <w:r>
        <w:rPr>
          <w:rFonts w:hint="eastAsia" w:ascii="宋体" w:hAnsi="宋体"/>
          <w:sz w:val="24"/>
        </w:rPr>
        <w:t>（8）联合投标授权委托书（若需要）;</w:t>
      </w:r>
    </w:p>
    <w:p>
      <w:pPr>
        <w:spacing w:line="380" w:lineRule="exact"/>
        <w:ind w:firstLine="360" w:firstLineChars="150"/>
        <w:rPr>
          <w:rFonts w:ascii="宋体" w:hAnsi="宋体"/>
          <w:sz w:val="24"/>
        </w:rPr>
      </w:pPr>
      <w:r>
        <w:rPr>
          <w:rFonts w:hint="eastAsia" w:ascii="宋体" w:hAnsi="宋体"/>
          <w:sz w:val="24"/>
        </w:rPr>
        <w:t>（9）提供采购公告中符合投标人特定条件要求的有效的其他资质复印件并加盖公司公章及需要说明的资料。</w:t>
      </w:r>
    </w:p>
    <w:p>
      <w:pPr>
        <w:spacing w:line="420" w:lineRule="exact"/>
        <w:ind w:firstLine="360" w:firstLineChars="150"/>
        <w:rPr>
          <w:rFonts w:ascii="宋体" w:hAnsi="宋体"/>
          <w:b/>
          <w:bCs/>
          <w:sz w:val="24"/>
        </w:rPr>
      </w:pPr>
      <w:r>
        <w:rPr>
          <w:rFonts w:hint="eastAsia" w:ascii="宋体" w:hAnsi="宋体" w:cs="仿宋_GB2312"/>
          <w:kern w:val="0"/>
          <w:sz w:val="24"/>
          <w:lang w:val="zh-CN"/>
        </w:rPr>
        <w:t xml:space="preserve"> </w:t>
      </w:r>
    </w:p>
    <w:p>
      <w:pPr>
        <w:spacing w:line="420" w:lineRule="exact"/>
        <w:rPr>
          <w:rFonts w:ascii="宋体" w:hAnsi="宋体"/>
          <w:b/>
          <w:bCs/>
          <w:sz w:val="24"/>
        </w:rPr>
      </w:pPr>
      <w:r>
        <w:rPr>
          <w:rFonts w:hint="eastAsia" w:ascii="宋体" w:hAnsi="宋体"/>
          <w:b/>
          <w:bCs/>
          <w:sz w:val="24"/>
        </w:rPr>
        <w:t>注：以上目录是编制资信及商务内容的基本格式要求，</w:t>
      </w:r>
      <w:r>
        <w:rPr>
          <w:rFonts w:hint="eastAsia" w:ascii="宋体" w:hAnsi="宋体" w:cs="Arial"/>
          <w:b/>
          <w:sz w:val="24"/>
        </w:rPr>
        <w:t>投标人</w:t>
      </w:r>
      <w:r>
        <w:rPr>
          <w:rFonts w:hint="eastAsia" w:ascii="宋体" w:hAnsi="宋体"/>
          <w:b/>
          <w:bCs/>
          <w:sz w:val="24"/>
        </w:rPr>
        <w:t>可根据自身情况进一步细化。</w:t>
      </w:r>
    </w:p>
    <w:p>
      <w:pPr>
        <w:snapToGrid w:val="0"/>
        <w:spacing w:before="50" w:afterLines="50" w:line="460" w:lineRule="exact"/>
        <w:jc w:val="left"/>
        <w:rPr>
          <w:rFonts w:ascii="宋体" w:hAnsi="宋体"/>
          <w:sz w:val="24"/>
        </w:rPr>
      </w:pPr>
    </w:p>
    <w:p>
      <w:pPr>
        <w:pStyle w:val="9"/>
        <w:snapToGrid w:val="0"/>
        <w:spacing w:before="156" w:after="156" w:line="240" w:lineRule="auto"/>
        <w:rPr>
          <w:rFonts w:hAnsi="宋体"/>
        </w:rPr>
      </w:pPr>
    </w:p>
    <w:p>
      <w:pPr>
        <w:snapToGrid w:val="0"/>
        <w:spacing w:before="50" w:after="50"/>
        <w:ind w:firstLine="2880" w:firstLineChars="1200"/>
        <w:rPr>
          <w:rFonts w:ascii="宋体" w:hAnsi="宋体"/>
          <w:b/>
          <w:sz w:val="36"/>
          <w:szCs w:val="36"/>
        </w:rPr>
      </w:pPr>
      <w:r>
        <w:rPr>
          <w:rFonts w:ascii="宋体" w:hAnsi="宋体"/>
          <w:sz w:val="24"/>
        </w:rPr>
        <w:br w:type="page"/>
      </w:r>
      <w:r>
        <w:rPr>
          <w:rFonts w:hint="eastAsia" w:ascii="宋体" w:hAnsi="宋体"/>
          <w:b/>
          <w:sz w:val="36"/>
          <w:szCs w:val="36"/>
        </w:rPr>
        <w:t>声 明 书</w:t>
      </w:r>
    </w:p>
    <w:p>
      <w:pPr>
        <w:snapToGrid w:val="0"/>
        <w:spacing w:beforeLines="50" w:after="50" w:line="460" w:lineRule="exact"/>
        <w:rPr>
          <w:rFonts w:ascii="宋体" w:hAnsi="宋体"/>
          <w:sz w:val="24"/>
        </w:rPr>
      </w:pPr>
      <w:r>
        <w:rPr>
          <w:rFonts w:hint="eastAsia" w:ascii="宋体" w:hAnsi="宋体"/>
          <w:sz w:val="24"/>
        </w:rPr>
        <w:t>致杭州市公共资源交易中心临安分中心：</w:t>
      </w:r>
    </w:p>
    <w:p>
      <w:pPr>
        <w:snapToGrid w:val="0"/>
        <w:spacing w:beforeLines="50" w:after="50" w:line="460" w:lineRule="exact"/>
        <w:ind w:firstLine="480" w:firstLineChars="200"/>
        <w:rPr>
          <w:rFonts w:ascii="宋体" w:hAnsi="宋体"/>
          <w:sz w:val="24"/>
        </w:rPr>
      </w:pPr>
      <w:r>
        <w:rPr>
          <w:rFonts w:hint="eastAsia" w:ascii="宋体" w:hAnsi="宋体"/>
          <w:sz w:val="24"/>
          <w:u w:val="single"/>
        </w:rPr>
        <w:t>（投标人名称）</w:t>
      </w:r>
      <w:r>
        <w:rPr>
          <w:rFonts w:hint="eastAsia" w:ascii="宋体" w:hAnsi="宋体"/>
          <w:sz w:val="24"/>
        </w:rPr>
        <w:t>系中华人民共和国合法企业，经营地址。</w:t>
      </w:r>
    </w:p>
    <w:p>
      <w:pPr>
        <w:snapToGrid w:val="0"/>
        <w:spacing w:beforeLines="50" w:after="50" w:line="460" w:lineRule="exact"/>
        <w:ind w:firstLine="480" w:firstLineChars="200"/>
        <w:rPr>
          <w:rFonts w:ascii="宋体" w:hAnsi="宋体"/>
          <w:sz w:val="24"/>
        </w:rPr>
      </w:pPr>
      <w:r>
        <w:rPr>
          <w:rFonts w:hint="eastAsia" w:ascii="宋体" w:hAnsi="宋体"/>
          <w:sz w:val="24"/>
        </w:rPr>
        <w:t>我</w:t>
      </w:r>
      <w:r>
        <w:rPr>
          <w:rFonts w:hint="eastAsia" w:ascii="宋体" w:hAnsi="宋体"/>
          <w:sz w:val="24"/>
          <w:u w:val="single"/>
        </w:rPr>
        <w:t>（姓名）</w:t>
      </w: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的法定代表人，我方愿意参加贵方组织的</w:t>
      </w:r>
      <w:r>
        <w:rPr>
          <w:rFonts w:hint="eastAsia" w:ascii="宋体" w:hAnsi="宋体"/>
          <w:sz w:val="24"/>
          <w:u w:val="single"/>
        </w:rPr>
        <w:t>（招标项目名称）（编号为            ）</w:t>
      </w:r>
      <w:r>
        <w:rPr>
          <w:rFonts w:hint="eastAsia" w:ascii="宋体" w:hAnsi="宋体"/>
          <w:sz w:val="24"/>
        </w:rPr>
        <w:t>的投标，为此，我方就本次投标有关事项郑重声明如下：</w:t>
      </w:r>
    </w:p>
    <w:p>
      <w:pPr>
        <w:snapToGrid w:val="0"/>
        <w:spacing w:beforeLines="50" w:after="50" w:line="460" w:lineRule="exact"/>
        <w:ind w:firstLine="480" w:firstLineChars="200"/>
        <w:rPr>
          <w:rFonts w:ascii="宋体" w:hAnsi="宋体"/>
          <w:sz w:val="24"/>
        </w:rPr>
      </w:pPr>
      <w:r>
        <w:rPr>
          <w:rFonts w:hint="eastAsia" w:ascii="宋体" w:hAnsi="宋体"/>
          <w:sz w:val="24"/>
        </w:rPr>
        <w:t>1、我方已详细审查全部招标文件，同意招标文件的各项要求。</w:t>
      </w:r>
    </w:p>
    <w:p>
      <w:pPr>
        <w:snapToGrid w:val="0"/>
        <w:spacing w:beforeLines="50" w:after="50" w:line="460" w:lineRule="exact"/>
        <w:ind w:firstLine="480" w:firstLineChars="200"/>
        <w:rPr>
          <w:rFonts w:ascii="宋体" w:hAnsi="宋体"/>
          <w:sz w:val="24"/>
        </w:rPr>
      </w:pPr>
      <w:r>
        <w:rPr>
          <w:rFonts w:hint="eastAsia" w:ascii="宋体" w:hAnsi="宋体"/>
          <w:sz w:val="24"/>
        </w:rPr>
        <w:t>2、我方向贵方提交的所有投标文件、资料都是准确的和真实的。</w:t>
      </w:r>
    </w:p>
    <w:p>
      <w:pPr>
        <w:snapToGrid w:val="0"/>
        <w:spacing w:beforeLines="50" w:after="50" w:line="460" w:lineRule="exact"/>
        <w:ind w:firstLine="480" w:firstLineChars="200"/>
        <w:rPr>
          <w:rFonts w:ascii="宋体" w:hAnsi="宋体"/>
          <w:sz w:val="24"/>
        </w:rPr>
      </w:pPr>
      <w:r>
        <w:rPr>
          <w:rFonts w:hint="eastAsia" w:ascii="宋体" w:hAnsi="宋体"/>
          <w:sz w:val="24"/>
        </w:rPr>
        <w:t>3、若中标，我方将按招标文件规定履行合同责任和义务。</w:t>
      </w:r>
    </w:p>
    <w:p>
      <w:pPr>
        <w:snapToGrid w:val="0"/>
        <w:spacing w:beforeLines="50" w:after="50" w:line="460" w:lineRule="exact"/>
        <w:ind w:firstLine="480" w:firstLineChars="200"/>
        <w:rPr>
          <w:rFonts w:ascii="宋体" w:hAnsi="宋体"/>
          <w:sz w:val="24"/>
        </w:rPr>
      </w:pPr>
      <w:r>
        <w:rPr>
          <w:rFonts w:hint="eastAsia" w:ascii="宋体" w:hAnsi="宋体"/>
          <w:sz w:val="24"/>
        </w:rPr>
        <w:t>4、我方不是采购人的附属机构；在获知本项目采购信息后，与采购人聘请的为此项目提供咨询服务的公司及其附属机构没有任何联系。</w:t>
      </w:r>
    </w:p>
    <w:p>
      <w:pPr>
        <w:snapToGrid w:val="0"/>
        <w:spacing w:beforeLines="50" w:after="50" w:line="460" w:lineRule="exact"/>
        <w:ind w:firstLine="480" w:firstLineChars="200"/>
        <w:rPr>
          <w:rFonts w:ascii="宋体" w:hAnsi="宋体"/>
          <w:sz w:val="24"/>
        </w:rPr>
      </w:pPr>
      <w:r>
        <w:rPr>
          <w:rFonts w:hint="eastAsia" w:ascii="宋体" w:hAnsi="宋体"/>
          <w:sz w:val="24"/>
        </w:rPr>
        <w:t>5、投标文件自开标日起有效期为90天。</w:t>
      </w:r>
    </w:p>
    <w:p>
      <w:pPr>
        <w:snapToGrid w:val="0"/>
        <w:spacing w:line="460" w:lineRule="exact"/>
        <w:ind w:firstLine="472" w:firstLineChars="196"/>
        <w:jc w:val="left"/>
        <w:rPr>
          <w:rFonts w:ascii="宋体" w:hAnsi="宋体"/>
          <w:b/>
          <w:sz w:val="24"/>
        </w:rPr>
      </w:pPr>
      <w:r>
        <w:rPr>
          <w:rFonts w:hint="eastAsia" w:ascii="宋体" w:hAnsi="宋体"/>
          <w:b/>
          <w:sz w:val="24"/>
        </w:rPr>
        <w:t>6、我方参与本项目前3年内的经营活动中没有重大违法记录；</w:t>
      </w:r>
    </w:p>
    <w:p>
      <w:pPr>
        <w:snapToGrid w:val="0"/>
        <w:spacing w:beforeLines="50" w:after="50" w:line="460" w:lineRule="exact"/>
        <w:ind w:firstLine="480" w:firstLineChars="200"/>
        <w:rPr>
          <w:rFonts w:ascii="宋体" w:hAnsi="宋体"/>
          <w:sz w:val="24"/>
        </w:rPr>
      </w:pPr>
      <w:r>
        <w:rPr>
          <w:rFonts w:hint="eastAsia" w:ascii="宋体" w:hAnsi="宋体"/>
          <w:sz w:val="24"/>
        </w:rPr>
        <w:t>7、我方通过“信用中国”网站（www.creditchina.gov.cn）、中国政府采购网（www.ccgp.gov.cn）查询，未被列入失信被执行人、重大税收违法案件当事人名单、政府采购严重违法失信行为记录名单。</w:t>
      </w:r>
    </w:p>
    <w:p>
      <w:pPr>
        <w:snapToGrid w:val="0"/>
        <w:spacing w:beforeLines="50" w:after="50" w:line="460" w:lineRule="exact"/>
        <w:ind w:firstLine="480" w:firstLineChars="200"/>
        <w:rPr>
          <w:rFonts w:ascii="宋体" w:hAnsi="宋体"/>
          <w:sz w:val="24"/>
        </w:rPr>
      </w:pPr>
      <w:r>
        <w:rPr>
          <w:rFonts w:hint="eastAsia" w:ascii="宋体" w:hAnsi="宋体"/>
          <w:sz w:val="24"/>
        </w:rPr>
        <w:t>8、以上事项如有虚假或隐瞒，我方愿意承担一切后果，并不再寻求任何旨在减轻或免除法律责任的辩解。</w:t>
      </w:r>
    </w:p>
    <w:p>
      <w:pPr>
        <w:snapToGrid w:val="0"/>
        <w:spacing w:beforeLines="50" w:after="50" w:line="460" w:lineRule="exact"/>
        <w:ind w:right="600" w:firstLine="120" w:firstLineChars="50"/>
        <w:rPr>
          <w:rFonts w:ascii="宋体" w:hAnsi="宋体"/>
          <w:sz w:val="24"/>
          <w:u w:val="single"/>
        </w:rPr>
      </w:pPr>
      <w:r>
        <w:rPr>
          <w:rFonts w:hint="eastAsia" w:ascii="宋体" w:hAnsi="宋体"/>
          <w:sz w:val="24"/>
        </w:rPr>
        <w:t>法定代表人签名（或签名章）：  日 期：</w:t>
      </w:r>
    </w:p>
    <w:p>
      <w:pPr>
        <w:snapToGrid w:val="0"/>
        <w:spacing w:beforeLines="50" w:line="460" w:lineRule="exact"/>
        <w:ind w:firstLine="200"/>
        <w:rPr>
          <w:rFonts w:ascii="宋体" w:hAnsi="宋体"/>
          <w:sz w:val="24"/>
          <w:u w:val="single"/>
        </w:rPr>
      </w:pPr>
    </w:p>
    <w:p>
      <w:pPr>
        <w:snapToGrid w:val="0"/>
        <w:spacing w:beforeLines="50" w:after="50" w:line="460" w:lineRule="exact"/>
        <w:ind w:firstLine="120" w:firstLineChars="50"/>
        <w:rPr>
          <w:rFonts w:ascii="宋体" w:hAnsi="宋体"/>
          <w:sz w:val="24"/>
        </w:rPr>
      </w:pPr>
      <w:r>
        <w:rPr>
          <w:rFonts w:hint="eastAsia" w:ascii="宋体" w:hAnsi="宋体"/>
          <w:sz w:val="24"/>
        </w:rPr>
        <w:t>投标人全称（公章）：</w:t>
      </w:r>
    </w:p>
    <w:p>
      <w:pPr>
        <w:adjustRightInd w:val="0"/>
        <w:snapToGrid w:val="0"/>
        <w:spacing w:line="360" w:lineRule="auto"/>
        <w:ind w:right="480"/>
        <w:jc w:val="center"/>
        <w:rPr>
          <w:rFonts w:ascii="宋体" w:hAnsi="宋体"/>
          <w:b/>
          <w:kern w:val="0"/>
          <w:sz w:val="24"/>
          <w:lang w:val="zh-CN"/>
        </w:rPr>
      </w:pPr>
      <w:r>
        <w:rPr>
          <w:rFonts w:hint="eastAsia" w:ascii="宋体" w:hAnsi="宋体"/>
          <w:b/>
          <w:kern w:val="0"/>
          <w:sz w:val="24"/>
          <w:lang w:val="zh-CN"/>
        </w:rPr>
        <w:t xml:space="preserve"> </w:t>
      </w:r>
    </w:p>
    <w:p>
      <w:pPr>
        <w:adjustRightInd w:val="0"/>
        <w:snapToGrid w:val="0"/>
        <w:spacing w:line="360" w:lineRule="auto"/>
        <w:ind w:right="480"/>
        <w:jc w:val="center"/>
        <w:rPr>
          <w:rFonts w:ascii="宋体" w:hAnsi="宋体"/>
          <w:b/>
          <w:kern w:val="0"/>
          <w:sz w:val="24"/>
          <w:lang w:val="zh-CN"/>
        </w:rPr>
      </w:pPr>
    </w:p>
    <w:p>
      <w:pPr>
        <w:adjustRightInd w:val="0"/>
        <w:snapToGrid w:val="0"/>
        <w:spacing w:line="360" w:lineRule="auto"/>
        <w:ind w:right="480"/>
        <w:jc w:val="center"/>
        <w:rPr>
          <w:rFonts w:ascii="宋体" w:hAnsi="宋体"/>
          <w:b/>
          <w:kern w:val="0"/>
          <w:sz w:val="24"/>
          <w:lang w:val="zh-CN"/>
        </w:rPr>
      </w:pPr>
    </w:p>
    <w:p>
      <w:pPr>
        <w:adjustRightInd w:val="0"/>
        <w:snapToGrid w:val="0"/>
        <w:spacing w:line="360" w:lineRule="auto"/>
        <w:ind w:right="480"/>
        <w:jc w:val="center"/>
        <w:rPr>
          <w:rFonts w:ascii="宋体" w:hAnsi="宋体"/>
          <w:b/>
          <w:kern w:val="0"/>
          <w:sz w:val="24"/>
          <w:lang w:val="zh-CN"/>
        </w:rPr>
      </w:pPr>
    </w:p>
    <w:p>
      <w:pPr>
        <w:adjustRightInd w:val="0"/>
        <w:snapToGrid w:val="0"/>
        <w:spacing w:line="360" w:lineRule="auto"/>
        <w:jc w:val="center"/>
        <w:rPr>
          <w:rFonts w:ascii="宋体" w:hAnsi="宋体"/>
          <w:b/>
          <w:kern w:val="0"/>
          <w:sz w:val="24"/>
          <w:lang w:val="zh-CN"/>
        </w:rPr>
      </w:pPr>
      <w:r>
        <w:rPr>
          <w:rFonts w:hint="eastAsia" w:ascii="宋体" w:hAnsi="宋体"/>
          <w:b/>
          <w:kern w:val="0"/>
          <w:sz w:val="24"/>
          <w:lang w:val="zh-CN"/>
        </w:rPr>
        <w:t xml:space="preserve"> 授权委托书</w:t>
      </w:r>
    </w:p>
    <w:p>
      <w:pPr>
        <w:adjustRightInd w:val="0"/>
        <w:snapToGrid w:val="0"/>
        <w:spacing w:line="360" w:lineRule="auto"/>
        <w:rPr>
          <w:rFonts w:ascii="宋体" w:hAnsi="宋体"/>
          <w:kern w:val="0"/>
          <w:sz w:val="24"/>
        </w:rPr>
      </w:pPr>
      <w:r>
        <w:rPr>
          <w:rFonts w:hint="eastAsia" w:ascii="宋体" w:hAnsi="宋体"/>
          <w:sz w:val="24"/>
        </w:rPr>
        <w:t>（采购机构）</w:t>
      </w:r>
      <w:r>
        <w:rPr>
          <w:rFonts w:hint="eastAsia" w:ascii="宋体" w:hAnsi="宋体"/>
          <w:kern w:val="0"/>
          <w:sz w:val="24"/>
          <w:lang w:val="zh-CN"/>
        </w:rPr>
        <w:t>：</w:t>
      </w:r>
    </w:p>
    <w:p>
      <w:pPr>
        <w:adjustRightInd w:val="0"/>
        <w:snapToGrid w:val="0"/>
        <w:spacing w:line="360" w:lineRule="auto"/>
        <w:ind w:firstLine="576"/>
        <w:rPr>
          <w:rFonts w:ascii="宋体" w:hAnsi="宋体"/>
          <w:kern w:val="0"/>
          <w:sz w:val="24"/>
        </w:rPr>
      </w:pPr>
      <w:r>
        <w:rPr>
          <w:rFonts w:hint="eastAsia" w:ascii="宋体" w:hAnsi="宋体"/>
          <w:kern w:val="0"/>
          <w:sz w:val="24"/>
          <w:lang w:val="zh-CN"/>
        </w:rPr>
        <w:t>兹委派我公司</w:t>
      </w:r>
      <w:r>
        <w:rPr>
          <w:rFonts w:hint="eastAsia" w:ascii="宋体" w:hAnsi="宋体"/>
          <w:kern w:val="0"/>
          <w:sz w:val="24"/>
          <w:u w:val="single"/>
          <w:lang w:val="zh-CN"/>
        </w:rPr>
        <w:t xml:space="preserve">                </w:t>
      </w:r>
      <w:r>
        <w:rPr>
          <w:rFonts w:hint="eastAsia" w:ascii="宋体" w:hAnsi="宋体"/>
          <w:kern w:val="0"/>
          <w:sz w:val="24"/>
          <w:lang w:val="zh-CN"/>
        </w:rPr>
        <w:t>先生/女士(其在本公司的职务是：</w:t>
      </w:r>
      <w:r>
        <w:rPr>
          <w:rFonts w:hint="eastAsia" w:ascii="宋体" w:hAnsi="宋体"/>
          <w:kern w:val="0"/>
          <w:sz w:val="24"/>
          <w:u w:val="single"/>
          <w:lang w:val="zh-CN"/>
        </w:rPr>
        <w:t xml:space="preserve">                </w:t>
      </w:r>
      <w:r>
        <w:rPr>
          <w:rFonts w:hint="eastAsia" w:ascii="宋体" w:hAnsi="宋体"/>
          <w:kern w:val="0"/>
          <w:sz w:val="24"/>
          <w:lang w:val="zh-CN"/>
        </w:rPr>
        <w:t xml:space="preserve"> ，联系电话：</w:t>
      </w:r>
      <w:r>
        <w:rPr>
          <w:rFonts w:hint="eastAsia" w:ascii="宋体" w:hAnsi="宋体"/>
          <w:kern w:val="0"/>
          <w:sz w:val="24"/>
          <w:u w:val="single"/>
          <w:lang w:val="zh-CN"/>
        </w:rPr>
        <w:t xml:space="preserve">       </w:t>
      </w:r>
      <w:r>
        <w:rPr>
          <w:rFonts w:hint="eastAsia" w:ascii="宋体" w:hAnsi="宋体"/>
          <w:kern w:val="0"/>
          <w:sz w:val="24"/>
          <w:lang w:val="zh-CN"/>
        </w:rPr>
        <w:t>手机：</w:t>
      </w:r>
      <w:r>
        <w:rPr>
          <w:rFonts w:hint="eastAsia" w:ascii="宋体" w:hAnsi="宋体"/>
          <w:kern w:val="0"/>
          <w:sz w:val="24"/>
          <w:u w:val="single"/>
          <w:lang w:val="zh-CN"/>
        </w:rPr>
        <w:t xml:space="preserve">        </w:t>
      </w:r>
      <w:r>
        <w:rPr>
          <w:rFonts w:hint="eastAsia" w:ascii="宋体" w:hAnsi="宋体"/>
          <w:kern w:val="0"/>
          <w:sz w:val="24"/>
          <w:lang w:val="zh-CN"/>
        </w:rPr>
        <w:t>传真：</w:t>
      </w:r>
      <w:r>
        <w:rPr>
          <w:rFonts w:hint="eastAsia" w:ascii="宋体" w:hAnsi="宋体"/>
          <w:kern w:val="0"/>
          <w:sz w:val="24"/>
          <w:u w:val="single"/>
          <w:lang w:val="zh-CN"/>
        </w:rPr>
        <w:t xml:space="preserve">           </w:t>
      </w:r>
      <w:r>
        <w:rPr>
          <w:rFonts w:hint="eastAsia" w:ascii="宋体" w:hAnsi="宋体"/>
          <w:kern w:val="0"/>
          <w:sz w:val="24"/>
          <w:lang w:val="zh-CN"/>
        </w:rPr>
        <w:t>)，代表我公司全权处理</w:t>
      </w:r>
      <w:r>
        <w:rPr>
          <w:rFonts w:hint="eastAsia" w:ascii="宋体" w:hAnsi="宋体"/>
          <w:kern w:val="0"/>
          <w:sz w:val="24"/>
          <w:u w:val="single"/>
          <w:lang w:val="zh-CN"/>
        </w:rPr>
        <w:t xml:space="preserve">                    </w:t>
      </w:r>
      <w:r>
        <w:rPr>
          <w:rFonts w:hint="eastAsia" w:ascii="宋体" w:hAnsi="宋体"/>
          <w:kern w:val="0"/>
          <w:sz w:val="24"/>
          <w:lang w:val="zh-CN"/>
        </w:rPr>
        <w:t>项目(编号：</w:t>
      </w:r>
      <w:r>
        <w:rPr>
          <w:rFonts w:hint="eastAsia" w:ascii="宋体" w:hAnsi="宋体"/>
          <w:kern w:val="0"/>
          <w:sz w:val="24"/>
          <w:u w:val="single"/>
          <w:lang w:val="zh-CN"/>
        </w:rPr>
        <w:t xml:space="preserve">          </w:t>
      </w:r>
      <w:r>
        <w:rPr>
          <w:rFonts w:hint="eastAsia" w:ascii="宋体" w:hAnsi="宋体"/>
          <w:kern w:val="0"/>
          <w:sz w:val="24"/>
          <w:lang w:val="zh-CN"/>
        </w:rPr>
        <w:t xml:space="preserve"> )政府采购</w:t>
      </w:r>
      <w:r>
        <w:rPr>
          <w:rFonts w:hint="eastAsia" w:ascii="宋体" w:hAnsi="宋体"/>
          <w:kern w:val="0"/>
          <w:sz w:val="24"/>
        </w:rPr>
        <w:t>投标</w:t>
      </w:r>
      <w:r>
        <w:rPr>
          <w:rFonts w:hint="eastAsia" w:ascii="宋体" w:hAnsi="宋体"/>
          <w:kern w:val="0"/>
          <w:sz w:val="24"/>
          <w:lang w:val="zh-CN"/>
        </w:rPr>
        <w:t>的一切事项，若中标则全权代表本公司签订相关合同，并负责处理合同履行等事宜。</w:t>
      </w:r>
    </w:p>
    <w:p>
      <w:pPr>
        <w:adjustRightInd w:val="0"/>
        <w:snapToGrid w:val="0"/>
        <w:spacing w:line="360" w:lineRule="auto"/>
        <w:rPr>
          <w:rFonts w:ascii="宋体" w:hAnsi="宋体"/>
          <w:kern w:val="0"/>
          <w:sz w:val="24"/>
          <w:lang w:val="zh-CN"/>
        </w:rPr>
      </w:pPr>
      <w:r>
        <w:rPr>
          <w:rFonts w:hint="eastAsia" w:ascii="宋体" w:hAnsi="宋体"/>
          <w:kern w:val="0"/>
          <w:sz w:val="24"/>
          <w:lang w:val="zh-CN"/>
        </w:rPr>
        <w:t xml:space="preserve">    本委托书有效期：自   年 月  日起至    年  月  日止。</w:t>
      </w:r>
    </w:p>
    <w:p>
      <w:pPr>
        <w:adjustRightInd w:val="0"/>
        <w:snapToGrid w:val="0"/>
        <w:spacing w:line="360" w:lineRule="auto"/>
        <w:ind w:firstLine="480"/>
        <w:rPr>
          <w:rFonts w:ascii="宋体" w:hAnsi="宋体"/>
          <w:kern w:val="0"/>
          <w:sz w:val="24"/>
          <w:lang w:val="zh-CN"/>
        </w:rPr>
      </w:pPr>
      <w:r>
        <w:rPr>
          <w:rFonts w:hint="eastAsia" w:ascii="宋体" w:hAnsi="宋体"/>
          <w:kern w:val="0"/>
          <w:sz w:val="24"/>
          <w:lang w:val="zh-CN"/>
        </w:rPr>
        <w:t>特此告知。</w:t>
      </w:r>
    </w:p>
    <w:p>
      <w:pPr>
        <w:adjustRightInd w:val="0"/>
        <w:snapToGrid w:val="0"/>
        <w:spacing w:line="360" w:lineRule="auto"/>
        <w:rPr>
          <w:rFonts w:ascii="宋体" w:hAnsi="宋体"/>
          <w:kern w:val="0"/>
          <w:sz w:val="24"/>
        </w:rPr>
      </w:pPr>
      <w:r>
        <w:rPr>
          <w:rFonts w:hint="eastAsia" w:ascii="宋体" w:hAnsi="宋体"/>
          <w:kern w:val="0"/>
          <w:sz w:val="24"/>
          <w:lang w:val="zh-CN"/>
        </w:rPr>
        <w:t xml:space="preserve">                                                  </w:t>
      </w:r>
      <w:r>
        <w:rPr>
          <w:rFonts w:hint="eastAsia" w:ascii="宋体" w:hAnsi="宋体" w:cs="Arial"/>
          <w:sz w:val="24"/>
        </w:rPr>
        <w:t>投标人</w:t>
      </w:r>
      <w:r>
        <w:rPr>
          <w:rFonts w:hint="eastAsia" w:ascii="宋体" w:hAnsi="宋体"/>
          <w:kern w:val="0"/>
          <w:sz w:val="24"/>
          <w:lang w:val="zh-CN"/>
        </w:rPr>
        <w:t>名称(公章)：</w:t>
      </w:r>
    </w:p>
    <w:p>
      <w:pPr>
        <w:adjustRightInd w:val="0"/>
        <w:snapToGrid w:val="0"/>
        <w:spacing w:line="360" w:lineRule="auto"/>
        <w:rPr>
          <w:rFonts w:ascii="宋体" w:hAnsi="宋体"/>
          <w:kern w:val="0"/>
          <w:sz w:val="24"/>
        </w:rPr>
      </w:pPr>
      <w:r>
        <w:rPr>
          <w:rFonts w:hint="eastAsia" w:ascii="宋体" w:hAnsi="宋体"/>
          <w:kern w:val="0"/>
          <w:sz w:val="24"/>
          <w:lang w:val="zh-CN"/>
        </w:rPr>
        <w:t xml:space="preserve">                                                  法定代表人(签章)：</w:t>
      </w:r>
    </w:p>
    <w:p>
      <w:pPr>
        <w:wordWrap w:val="0"/>
        <w:adjustRightInd w:val="0"/>
        <w:snapToGrid w:val="0"/>
        <w:spacing w:line="360" w:lineRule="auto"/>
        <w:jc w:val="right"/>
        <w:rPr>
          <w:rFonts w:ascii="宋体" w:hAnsi="宋体"/>
          <w:kern w:val="0"/>
          <w:sz w:val="24"/>
          <w:lang w:val="zh-CN"/>
        </w:rPr>
      </w:pPr>
      <w:r>
        <w:rPr>
          <w:rFonts w:hint="eastAsia" w:ascii="宋体" w:hAnsi="宋体"/>
          <w:kern w:val="0"/>
          <w:sz w:val="24"/>
          <w:lang w:val="zh-CN"/>
        </w:rPr>
        <w:t>签发日期：  年  月   日</w:t>
      </w:r>
    </w:p>
    <w:p>
      <w:pPr>
        <w:adjustRightInd w:val="0"/>
        <w:snapToGrid w:val="0"/>
        <w:spacing w:line="360" w:lineRule="auto"/>
        <w:jc w:val="right"/>
        <w:rPr>
          <w:rFonts w:ascii="宋体" w:hAnsi="宋体"/>
          <w:kern w:val="0"/>
          <w:sz w:val="24"/>
          <w:lang w:val="zh-CN"/>
        </w:rPr>
      </w:pPr>
    </w:p>
    <w:p>
      <w:pPr>
        <w:adjustRightInd w:val="0"/>
        <w:snapToGrid w:val="0"/>
        <w:spacing w:line="360" w:lineRule="auto"/>
        <w:jc w:val="right"/>
        <w:rPr>
          <w:rFonts w:ascii="宋体" w:hAnsi="宋体"/>
          <w:kern w:val="0"/>
          <w:sz w:val="24"/>
          <w:lang w:val="zh-CN"/>
        </w:rPr>
      </w:pPr>
    </w:p>
    <w:p>
      <w:pPr>
        <w:adjustRightInd w:val="0"/>
        <w:snapToGrid w:val="0"/>
        <w:spacing w:line="360" w:lineRule="auto"/>
        <w:ind w:right="480"/>
        <w:jc w:val="center"/>
        <w:rPr>
          <w:rFonts w:ascii="宋体" w:hAnsi="宋体"/>
          <w:kern w:val="0"/>
          <w:sz w:val="24"/>
          <w:lang w:val="zh-CN"/>
        </w:rPr>
      </w:pPr>
      <w:r>
        <w:rPr>
          <w:rFonts w:hint="eastAsia" w:ascii="宋体" w:hAnsi="宋体"/>
          <w:b/>
          <w:bCs/>
          <w:sz w:val="24"/>
        </w:rPr>
        <w:t xml:space="preserve">  </w:t>
      </w:r>
      <w:r>
        <w:rPr>
          <w:rFonts w:hint="eastAsia" w:ascii="宋体" w:hAnsi="宋体"/>
          <w:b/>
          <w:sz w:val="24"/>
        </w:rPr>
        <w:t>法定代表人及授权委托人的身份证（复印件）</w:t>
      </w: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pStyle w:val="6"/>
        <w:overflowPunct w:val="0"/>
        <w:spacing w:line="360" w:lineRule="auto"/>
        <w:ind w:firstLine="762"/>
        <w:jc w:val="center"/>
        <w:rPr>
          <w:rFonts w:ascii="宋体" w:hAnsi="宋体"/>
          <w:b/>
          <w:spacing w:val="40"/>
          <w:kern w:val="0"/>
          <w:sz w:val="28"/>
          <w:szCs w:val="28"/>
        </w:rPr>
      </w:pPr>
      <w:r>
        <w:rPr>
          <w:rFonts w:hint="eastAsia" w:ascii="宋体" w:hAnsi="宋体"/>
          <w:b/>
          <w:spacing w:val="40"/>
          <w:kern w:val="0"/>
          <w:sz w:val="28"/>
          <w:szCs w:val="28"/>
        </w:rPr>
        <w:t>联合投标协议书</w:t>
      </w:r>
    </w:p>
    <w:p>
      <w:pPr>
        <w:pStyle w:val="6"/>
        <w:overflowPunct w:val="0"/>
        <w:spacing w:line="460" w:lineRule="exact"/>
        <w:ind w:firstLine="513" w:firstLineChars="214"/>
        <w:rPr>
          <w:rFonts w:ascii="宋体" w:hAnsi="宋体"/>
          <w:sz w:val="24"/>
          <w:szCs w:val="24"/>
        </w:rPr>
      </w:pPr>
      <w:r>
        <w:rPr>
          <w:rFonts w:hint="eastAsia" w:ascii="宋体" w:hAnsi="宋体"/>
          <w:sz w:val="24"/>
          <w:szCs w:val="24"/>
        </w:rPr>
        <w:t>甲方：</w:t>
      </w:r>
    </w:p>
    <w:p>
      <w:pPr>
        <w:pStyle w:val="6"/>
        <w:overflowPunct w:val="0"/>
        <w:spacing w:line="460" w:lineRule="exact"/>
        <w:ind w:firstLine="513" w:firstLineChars="214"/>
        <w:rPr>
          <w:rFonts w:ascii="宋体" w:hAnsi="宋体"/>
          <w:sz w:val="24"/>
          <w:szCs w:val="24"/>
        </w:rPr>
      </w:pPr>
      <w:r>
        <w:rPr>
          <w:rFonts w:hint="eastAsia" w:ascii="宋体" w:hAnsi="宋体"/>
          <w:sz w:val="24"/>
          <w:szCs w:val="24"/>
        </w:rPr>
        <w:t>乙方：</w:t>
      </w:r>
    </w:p>
    <w:p>
      <w:pPr>
        <w:pStyle w:val="6"/>
        <w:overflowPunct w:val="0"/>
        <w:spacing w:line="460" w:lineRule="exact"/>
        <w:ind w:firstLine="513" w:firstLineChars="214"/>
        <w:rPr>
          <w:rFonts w:ascii="宋体" w:hAnsi="宋体"/>
          <w:sz w:val="24"/>
          <w:szCs w:val="24"/>
        </w:rPr>
      </w:pPr>
      <w:r>
        <w:rPr>
          <w:rFonts w:hint="eastAsia" w:ascii="宋体" w:hAnsi="宋体"/>
          <w:sz w:val="24"/>
          <w:szCs w:val="24"/>
        </w:rPr>
        <w:t>（如果有的话，可按甲、乙、丙、丁…序列增加）</w:t>
      </w:r>
    </w:p>
    <w:p>
      <w:pPr>
        <w:pStyle w:val="6"/>
        <w:overflowPunct w:val="0"/>
        <w:spacing w:line="460" w:lineRule="exact"/>
        <w:ind w:firstLine="513" w:firstLineChars="214"/>
        <w:rPr>
          <w:rFonts w:ascii="宋体" w:hAnsi="宋体"/>
          <w:sz w:val="24"/>
          <w:szCs w:val="24"/>
        </w:rPr>
      </w:pPr>
      <w:r>
        <w:rPr>
          <w:rFonts w:hint="eastAsia" w:ascii="宋体" w:hAnsi="宋体"/>
          <w:sz w:val="24"/>
          <w:szCs w:val="24"/>
        </w:rPr>
        <w:t>各方经协商，就响应 组织实施的编号为号的招标活动联合进行投标之事宜，达成如下协议：</w:t>
      </w:r>
    </w:p>
    <w:p>
      <w:pPr>
        <w:pStyle w:val="6"/>
        <w:overflowPunct w:val="0"/>
        <w:spacing w:line="460" w:lineRule="exact"/>
        <w:ind w:firstLine="513" w:firstLineChars="214"/>
        <w:rPr>
          <w:rFonts w:ascii="宋体" w:hAnsi="宋体"/>
          <w:sz w:val="24"/>
          <w:szCs w:val="24"/>
        </w:rPr>
      </w:pPr>
      <w:r>
        <w:rPr>
          <w:rFonts w:hint="eastAsia" w:ascii="宋体" w:hAnsi="宋体"/>
          <w:sz w:val="24"/>
          <w:szCs w:val="24"/>
        </w:rPr>
        <w:t>一、各方一致决定，以  为主办人进行投标，并按照招标文件的规定分别提交资格文件。</w:t>
      </w:r>
    </w:p>
    <w:p>
      <w:pPr>
        <w:pStyle w:val="6"/>
        <w:overflowPunct w:val="0"/>
        <w:spacing w:line="460" w:lineRule="exact"/>
        <w:ind w:firstLine="513" w:firstLineChars="214"/>
        <w:rPr>
          <w:rFonts w:ascii="宋体" w:hAnsi="宋体"/>
          <w:sz w:val="24"/>
          <w:szCs w:val="24"/>
        </w:rPr>
      </w:pPr>
      <w:r>
        <w:rPr>
          <w:rFonts w:hint="eastAsia" w:ascii="宋体" w:hAnsi="宋体"/>
          <w:sz w:val="24"/>
          <w:szCs w:val="24"/>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6"/>
        <w:overflowPunct w:val="0"/>
        <w:spacing w:line="460" w:lineRule="exact"/>
        <w:ind w:firstLine="513" w:firstLineChars="214"/>
        <w:rPr>
          <w:rFonts w:ascii="宋体" w:hAnsi="宋体"/>
          <w:sz w:val="24"/>
          <w:szCs w:val="24"/>
        </w:rPr>
      </w:pPr>
      <w:r>
        <w:rPr>
          <w:rFonts w:hint="eastAsia" w:ascii="宋体" w:hAnsi="宋体"/>
          <w:sz w:val="24"/>
          <w:szCs w:val="24"/>
        </w:rPr>
        <w:t>三、联合投标其余各方保证对主办人为响应本次招标而提供的产品和服务提供全部质量保证及售后服务支持。</w:t>
      </w:r>
    </w:p>
    <w:p>
      <w:pPr>
        <w:pStyle w:val="6"/>
        <w:overflowPunct w:val="0"/>
        <w:spacing w:line="460" w:lineRule="exact"/>
        <w:ind w:firstLine="513" w:firstLineChars="214"/>
        <w:rPr>
          <w:rFonts w:ascii="宋体" w:hAnsi="宋体"/>
          <w:sz w:val="24"/>
          <w:szCs w:val="24"/>
        </w:rPr>
      </w:pPr>
      <w:r>
        <w:rPr>
          <w:rFonts w:hint="eastAsia" w:ascii="宋体" w:hAnsi="宋体"/>
          <w:sz w:val="24"/>
          <w:szCs w:val="24"/>
        </w:rPr>
        <w:t>四、本次联合投标中，甲方承担的工作和义务为:</w:t>
      </w:r>
    </w:p>
    <w:p>
      <w:pPr>
        <w:pStyle w:val="6"/>
        <w:overflowPunct w:val="0"/>
        <w:spacing w:line="460" w:lineRule="exact"/>
        <w:ind w:firstLine="513" w:firstLineChars="214"/>
        <w:rPr>
          <w:rFonts w:ascii="宋体" w:hAnsi="宋体"/>
          <w:sz w:val="24"/>
          <w:szCs w:val="24"/>
          <w:u w:val="single"/>
        </w:rPr>
      </w:pPr>
    </w:p>
    <w:p>
      <w:pPr>
        <w:pStyle w:val="6"/>
        <w:overflowPunct w:val="0"/>
        <w:spacing w:line="460" w:lineRule="exact"/>
        <w:ind w:firstLine="513" w:firstLineChars="214"/>
        <w:rPr>
          <w:rFonts w:ascii="宋体" w:hAnsi="宋体"/>
          <w:sz w:val="24"/>
          <w:szCs w:val="24"/>
        </w:rPr>
      </w:pPr>
      <w:r>
        <w:rPr>
          <w:rFonts w:hint="eastAsia" w:ascii="宋体" w:hAnsi="宋体"/>
          <w:sz w:val="24"/>
          <w:szCs w:val="24"/>
        </w:rPr>
        <w:t>乙方承担的工作和义务为：</w:t>
      </w:r>
    </w:p>
    <w:p>
      <w:pPr>
        <w:pStyle w:val="6"/>
        <w:overflowPunct w:val="0"/>
        <w:spacing w:line="460" w:lineRule="exact"/>
        <w:ind w:firstLine="513" w:firstLineChars="214"/>
        <w:rPr>
          <w:rFonts w:ascii="宋体" w:hAnsi="宋体"/>
          <w:sz w:val="24"/>
          <w:szCs w:val="24"/>
        </w:rPr>
      </w:pPr>
    </w:p>
    <w:p>
      <w:pPr>
        <w:pStyle w:val="6"/>
        <w:overflowPunct w:val="0"/>
        <w:spacing w:line="460" w:lineRule="exact"/>
        <w:ind w:firstLine="513" w:firstLineChars="214"/>
        <w:rPr>
          <w:rFonts w:ascii="宋体" w:hAnsi="宋体"/>
          <w:sz w:val="24"/>
          <w:szCs w:val="24"/>
        </w:rPr>
      </w:pPr>
      <w:r>
        <w:rPr>
          <w:rFonts w:hint="eastAsia" w:ascii="宋体" w:hAnsi="宋体"/>
          <w:sz w:val="24"/>
          <w:szCs w:val="24"/>
        </w:rPr>
        <w:t>五、有关本次联合投标的其他事宜：</w:t>
      </w:r>
    </w:p>
    <w:p>
      <w:pPr>
        <w:pStyle w:val="6"/>
        <w:overflowPunct w:val="0"/>
        <w:spacing w:line="460" w:lineRule="exact"/>
        <w:ind w:firstLine="513" w:firstLineChars="214"/>
        <w:rPr>
          <w:rFonts w:ascii="宋体" w:hAnsi="宋体"/>
          <w:sz w:val="24"/>
          <w:szCs w:val="24"/>
        </w:rPr>
      </w:pPr>
      <w:r>
        <w:rPr>
          <w:rFonts w:hint="eastAsia" w:ascii="宋体" w:hAnsi="宋体"/>
          <w:sz w:val="24"/>
          <w:szCs w:val="24"/>
        </w:rPr>
        <w:t>六、本协议提交招标方后，联合投标各方不得以任何形式对上述实质内容进行修改或撤销。</w:t>
      </w:r>
    </w:p>
    <w:p>
      <w:pPr>
        <w:pStyle w:val="6"/>
        <w:overflowPunct w:val="0"/>
        <w:spacing w:line="460" w:lineRule="exact"/>
        <w:ind w:firstLine="513" w:firstLineChars="214"/>
        <w:rPr>
          <w:rFonts w:ascii="宋体" w:hAnsi="宋体"/>
          <w:sz w:val="24"/>
          <w:szCs w:val="24"/>
        </w:rPr>
      </w:pPr>
      <w:r>
        <w:rPr>
          <w:rFonts w:hint="eastAsia" w:ascii="宋体" w:hAnsi="宋体"/>
          <w:sz w:val="24"/>
          <w:szCs w:val="24"/>
        </w:rPr>
        <w:t>七、本协议签约各方各持一份，并作为投标文件的一部分。</w:t>
      </w:r>
    </w:p>
    <w:tbl>
      <w:tblPr>
        <w:tblStyle w:val="15"/>
        <w:tblW w:w="0" w:type="auto"/>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6"/>
              <w:overflowPunct w:val="0"/>
              <w:spacing w:line="460" w:lineRule="exact"/>
              <w:ind w:firstLine="600"/>
              <w:rPr>
                <w:rFonts w:ascii="宋体" w:hAnsi="宋体"/>
                <w:sz w:val="24"/>
                <w:szCs w:val="24"/>
              </w:rPr>
            </w:pPr>
            <w:r>
              <w:rPr>
                <w:rFonts w:hint="eastAsia" w:ascii="宋体" w:hAnsi="宋体"/>
                <w:sz w:val="24"/>
                <w:szCs w:val="24"/>
              </w:rPr>
              <w:t>甲方单位：       （公章）</w:t>
            </w:r>
          </w:p>
          <w:p>
            <w:pPr>
              <w:pStyle w:val="6"/>
              <w:overflowPunct w:val="0"/>
              <w:spacing w:line="460" w:lineRule="exact"/>
              <w:ind w:firstLine="600"/>
              <w:rPr>
                <w:rFonts w:ascii="宋体" w:hAnsi="宋体"/>
                <w:sz w:val="24"/>
                <w:szCs w:val="24"/>
              </w:rPr>
            </w:pPr>
            <w:r>
              <w:rPr>
                <w:rFonts w:hint="eastAsia" w:ascii="宋体" w:hAnsi="宋体"/>
                <w:sz w:val="24"/>
                <w:szCs w:val="24"/>
              </w:rPr>
              <w:t>法定代表人：     （签章）</w:t>
            </w:r>
          </w:p>
          <w:p>
            <w:pPr>
              <w:pStyle w:val="6"/>
              <w:overflowPunct w:val="0"/>
              <w:spacing w:line="460" w:lineRule="exact"/>
              <w:ind w:firstLine="600"/>
              <w:rPr>
                <w:rFonts w:ascii="宋体" w:hAnsi="宋体"/>
                <w:sz w:val="24"/>
                <w:szCs w:val="24"/>
              </w:rPr>
            </w:pPr>
            <w:r>
              <w:rPr>
                <w:rFonts w:hint="eastAsia" w:ascii="宋体" w:hAnsi="宋体"/>
                <w:sz w:val="24"/>
                <w:szCs w:val="24"/>
              </w:rPr>
              <w:t>日  期：  年  月   日</w:t>
            </w:r>
          </w:p>
        </w:tc>
        <w:tc>
          <w:tcPr>
            <w:tcW w:w="4264" w:type="dxa"/>
          </w:tcPr>
          <w:p>
            <w:pPr>
              <w:pStyle w:val="6"/>
              <w:overflowPunct w:val="0"/>
              <w:spacing w:line="460" w:lineRule="exact"/>
              <w:ind w:firstLine="600"/>
              <w:rPr>
                <w:rFonts w:ascii="宋体" w:hAnsi="宋体"/>
                <w:sz w:val="24"/>
                <w:szCs w:val="24"/>
              </w:rPr>
            </w:pPr>
            <w:r>
              <w:rPr>
                <w:rFonts w:hint="eastAsia" w:ascii="宋体" w:hAnsi="宋体"/>
                <w:sz w:val="24"/>
                <w:szCs w:val="24"/>
              </w:rPr>
              <w:t>乙方单位：       （公章）</w:t>
            </w:r>
          </w:p>
          <w:p>
            <w:pPr>
              <w:pStyle w:val="6"/>
              <w:overflowPunct w:val="0"/>
              <w:spacing w:line="460" w:lineRule="exact"/>
              <w:ind w:firstLine="600"/>
              <w:rPr>
                <w:rFonts w:ascii="宋体" w:hAnsi="宋体"/>
                <w:sz w:val="24"/>
                <w:szCs w:val="24"/>
              </w:rPr>
            </w:pPr>
            <w:r>
              <w:rPr>
                <w:rFonts w:hint="eastAsia" w:ascii="宋体" w:hAnsi="宋体"/>
                <w:sz w:val="24"/>
                <w:szCs w:val="24"/>
              </w:rPr>
              <w:t>法定代表人：     （签章）</w:t>
            </w:r>
          </w:p>
          <w:p>
            <w:pPr>
              <w:pStyle w:val="6"/>
              <w:overflowPunct w:val="0"/>
              <w:spacing w:line="460" w:lineRule="exact"/>
              <w:ind w:firstLine="600"/>
              <w:rPr>
                <w:rFonts w:ascii="宋体" w:hAnsi="宋体"/>
                <w:sz w:val="24"/>
                <w:szCs w:val="24"/>
              </w:rPr>
            </w:pPr>
            <w:r>
              <w:rPr>
                <w:rFonts w:hint="eastAsia" w:ascii="宋体" w:hAnsi="宋体"/>
                <w:sz w:val="24"/>
                <w:szCs w:val="24"/>
              </w:rPr>
              <w:t>日  期：  年  月   日</w:t>
            </w:r>
          </w:p>
        </w:tc>
      </w:tr>
    </w:tbl>
    <w:p>
      <w:pPr>
        <w:pStyle w:val="6"/>
        <w:overflowPunct w:val="0"/>
        <w:spacing w:line="460" w:lineRule="exact"/>
        <w:ind w:firstLine="600"/>
        <w:rPr>
          <w:rFonts w:ascii="宋体" w:hAnsi="宋体"/>
          <w:sz w:val="28"/>
          <w:szCs w:val="28"/>
        </w:rPr>
      </w:pPr>
      <w:r>
        <w:rPr>
          <w:rFonts w:hint="eastAsia" w:ascii="宋体" w:hAnsi="宋体"/>
          <w:sz w:val="24"/>
          <w:szCs w:val="24"/>
        </w:rPr>
        <w:br w:type="page"/>
      </w:r>
      <w:r>
        <w:rPr>
          <w:rFonts w:hint="eastAsia" w:ascii="宋体" w:hAnsi="宋体"/>
          <w:sz w:val="28"/>
          <w:szCs w:val="28"/>
        </w:rPr>
        <w:t xml:space="preserve"> </w:t>
      </w:r>
    </w:p>
    <w:p>
      <w:pPr>
        <w:pStyle w:val="6"/>
        <w:overflowPunct w:val="0"/>
        <w:spacing w:line="460" w:lineRule="exact"/>
        <w:ind w:firstLine="602"/>
        <w:jc w:val="center"/>
        <w:rPr>
          <w:rFonts w:ascii="宋体" w:hAnsi="宋体"/>
          <w:b/>
          <w:sz w:val="28"/>
          <w:szCs w:val="28"/>
        </w:rPr>
      </w:pPr>
      <w:r>
        <w:rPr>
          <w:rFonts w:hint="eastAsia" w:ascii="宋体" w:hAnsi="宋体"/>
          <w:b/>
          <w:sz w:val="28"/>
          <w:szCs w:val="28"/>
        </w:rPr>
        <w:t>联合投标授权委托书</w:t>
      </w:r>
    </w:p>
    <w:p>
      <w:pPr>
        <w:pStyle w:val="6"/>
        <w:overflowPunct w:val="0"/>
        <w:spacing w:line="460" w:lineRule="exact"/>
        <w:ind w:firstLine="600"/>
        <w:rPr>
          <w:rFonts w:ascii="宋体" w:hAnsi="宋体"/>
          <w:sz w:val="28"/>
          <w:szCs w:val="28"/>
        </w:rPr>
      </w:pPr>
    </w:p>
    <w:p>
      <w:pPr>
        <w:pStyle w:val="6"/>
        <w:overflowPunct w:val="0"/>
        <w:spacing w:line="460" w:lineRule="exact"/>
        <w:ind w:firstLine="600"/>
        <w:rPr>
          <w:rFonts w:ascii="宋体" w:hAnsi="宋体"/>
          <w:sz w:val="24"/>
          <w:szCs w:val="24"/>
        </w:rPr>
      </w:pPr>
      <w:r>
        <w:rPr>
          <w:rFonts w:hint="eastAsia" w:ascii="宋体" w:hAnsi="宋体"/>
          <w:sz w:val="24"/>
          <w:szCs w:val="24"/>
        </w:rP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pPr>
        <w:pStyle w:val="6"/>
        <w:overflowPunct w:val="0"/>
        <w:spacing w:line="460" w:lineRule="exact"/>
        <w:ind w:firstLine="600"/>
        <w:rPr>
          <w:rFonts w:ascii="宋体" w:hAnsi="宋体"/>
          <w:sz w:val="24"/>
          <w:szCs w:val="24"/>
        </w:rPr>
      </w:pPr>
      <w:r>
        <w:rPr>
          <w:rFonts w:hint="eastAsia" w:ascii="宋体" w:hAnsi="宋体"/>
          <w:sz w:val="24"/>
          <w:szCs w:val="24"/>
        </w:rPr>
        <w:t xml:space="preserve"> 特此委托。</w:t>
      </w:r>
    </w:p>
    <w:p>
      <w:pPr>
        <w:pStyle w:val="6"/>
        <w:overflowPunct w:val="0"/>
        <w:spacing w:line="460" w:lineRule="exact"/>
        <w:ind w:firstLine="600"/>
        <w:rPr>
          <w:rFonts w:ascii="宋体" w:hAnsi="宋体"/>
          <w:sz w:val="24"/>
          <w:szCs w:val="24"/>
        </w:rPr>
      </w:pPr>
    </w:p>
    <w:p>
      <w:pPr>
        <w:pStyle w:val="6"/>
        <w:overflowPunct w:val="0"/>
        <w:spacing w:line="460" w:lineRule="exact"/>
        <w:ind w:firstLine="600"/>
        <w:rPr>
          <w:rFonts w:ascii="宋体" w:hAnsi="宋体"/>
          <w:sz w:val="24"/>
          <w:szCs w:val="24"/>
        </w:rPr>
      </w:pPr>
      <w:r>
        <w:rPr>
          <w:rFonts w:hint="eastAsia" w:ascii="宋体" w:hAnsi="宋体"/>
          <w:sz w:val="24"/>
          <w:szCs w:val="24"/>
        </w:rPr>
        <w:t>授权人（签名）：</w:t>
      </w:r>
    </w:p>
    <w:p>
      <w:pPr>
        <w:pStyle w:val="6"/>
        <w:overflowPunct w:val="0"/>
        <w:spacing w:line="460" w:lineRule="exact"/>
        <w:ind w:firstLine="600"/>
        <w:rPr>
          <w:rFonts w:ascii="宋体" w:hAnsi="宋体"/>
          <w:sz w:val="24"/>
          <w:szCs w:val="24"/>
        </w:rPr>
      </w:pPr>
    </w:p>
    <w:p>
      <w:pPr>
        <w:pStyle w:val="6"/>
        <w:overflowPunct w:val="0"/>
        <w:spacing w:line="460" w:lineRule="exact"/>
        <w:ind w:left="420" w:leftChars="200" w:firstLine="120" w:firstLineChars="50"/>
        <w:rPr>
          <w:rFonts w:ascii="宋体" w:hAnsi="宋体"/>
          <w:sz w:val="24"/>
          <w:szCs w:val="24"/>
        </w:rPr>
      </w:pPr>
      <w:r>
        <w:rPr>
          <w:rFonts w:hint="eastAsia" w:ascii="宋体" w:hAnsi="宋体"/>
          <w:sz w:val="24"/>
          <w:szCs w:val="24"/>
        </w:rPr>
        <w:t>日期：    年  月  日</w:t>
      </w:r>
    </w:p>
    <w:p>
      <w:pPr>
        <w:pStyle w:val="6"/>
        <w:overflowPunct w:val="0"/>
        <w:spacing w:line="460" w:lineRule="exact"/>
        <w:ind w:firstLine="600"/>
        <w:rPr>
          <w:rFonts w:ascii="宋体" w:hAnsi="宋体"/>
          <w:sz w:val="24"/>
          <w:szCs w:val="24"/>
        </w:rPr>
      </w:pPr>
    </w:p>
    <w:p>
      <w:pPr>
        <w:pStyle w:val="6"/>
        <w:overflowPunct w:val="0"/>
        <w:spacing w:line="460" w:lineRule="exact"/>
        <w:ind w:firstLine="456" w:firstLineChars="190"/>
        <w:rPr>
          <w:rFonts w:ascii="宋体" w:hAnsi="宋体"/>
          <w:sz w:val="24"/>
          <w:szCs w:val="24"/>
        </w:rPr>
      </w:pPr>
      <w:r>
        <w:rPr>
          <w:rFonts w:hint="eastAsia" w:ascii="宋体" w:hAnsi="宋体"/>
          <w:sz w:val="24"/>
          <w:szCs w:val="24"/>
        </w:rPr>
        <w:t>授权代表（签名）；</w:t>
      </w:r>
    </w:p>
    <w:p>
      <w:pPr>
        <w:pStyle w:val="6"/>
        <w:overflowPunct w:val="0"/>
        <w:spacing w:line="460" w:lineRule="exact"/>
        <w:ind w:firstLine="456" w:firstLineChars="190"/>
        <w:rPr>
          <w:rFonts w:ascii="宋体" w:hAnsi="宋体"/>
          <w:sz w:val="24"/>
          <w:szCs w:val="24"/>
        </w:rPr>
      </w:pPr>
    </w:p>
    <w:p>
      <w:pPr>
        <w:pStyle w:val="6"/>
        <w:overflowPunct w:val="0"/>
        <w:spacing w:line="460" w:lineRule="exact"/>
        <w:ind w:firstLine="456" w:firstLineChars="190"/>
        <w:rPr>
          <w:rFonts w:ascii="宋体" w:hAnsi="宋体"/>
          <w:sz w:val="24"/>
          <w:szCs w:val="24"/>
        </w:rPr>
      </w:pPr>
      <w:r>
        <w:rPr>
          <w:rFonts w:hint="eastAsia" w:ascii="宋体" w:hAnsi="宋体"/>
          <w:sz w:val="24"/>
          <w:szCs w:val="24"/>
        </w:rPr>
        <w:t>日期：    年  月  日</w:t>
      </w:r>
    </w:p>
    <w:p>
      <w:pPr>
        <w:tabs>
          <w:tab w:val="left" w:pos="606"/>
        </w:tabs>
        <w:spacing w:line="460" w:lineRule="exact"/>
        <w:rPr>
          <w:rFonts w:ascii="宋体" w:hAnsi="宋体"/>
          <w:spacing w:val="20"/>
          <w:sz w:val="24"/>
        </w:rPr>
      </w:pPr>
    </w:p>
    <w:p>
      <w:pPr>
        <w:tabs>
          <w:tab w:val="left" w:pos="606"/>
        </w:tabs>
        <w:spacing w:line="460" w:lineRule="exact"/>
        <w:rPr>
          <w:rFonts w:ascii="宋体" w:hAnsi="宋体"/>
          <w:spacing w:val="20"/>
          <w:sz w:val="24"/>
        </w:rPr>
      </w:pPr>
    </w:p>
    <w:tbl>
      <w:tblPr>
        <w:tblStyle w:val="15"/>
        <w:tblW w:w="0" w:type="auto"/>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6"/>
              <w:overflowPunct w:val="0"/>
              <w:spacing w:line="460" w:lineRule="exact"/>
              <w:ind w:firstLine="600"/>
              <w:rPr>
                <w:rFonts w:ascii="宋体" w:hAnsi="宋体"/>
                <w:sz w:val="24"/>
                <w:szCs w:val="24"/>
              </w:rPr>
            </w:pPr>
          </w:p>
          <w:p>
            <w:pPr>
              <w:pStyle w:val="6"/>
              <w:overflowPunct w:val="0"/>
              <w:spacing w:line="460" w:lineRule="exact"/>
              <w:ind w:firstLine="600"/>
              <w:rPr>
                <w:rFonts w:ascii="宋体" w:hAnsi="宋体"/>
                <w:sz w:val="24"/>
                <w:szCs w:val="24"/>
              </w:rPr>
            </w:pPr>
          </w:p>
          <w:p>
            <w:pPr>
              <w:pStyle w:val="6"/>
              <w:overflowPunct w:val="0"/>
              <w:spacing w:line="460" w:lineRule="exact"/>
              <w:rPr>
                <w:rFonts w:ascii="宋体" w:hAnsi="宋体"/>
                <w:sz w:val="24"/>
                <w:szCs w:val="24"/>
              </w:rPr>
            </w:pPr>
            <w:r>
              <w:rPr>
                <w:rFonts w:hint="eastAsia" w:ascii="宋体" w:hAnsi="宋体"/>
                <w:sz w:val="24"/>
                <w:szCs w:val="24"/>
              </w:rPr>
              <w:t>联合体甲方单位：   （公章）</w:t>
            </w:r>
          </w:p>
          <w:p>
            <w:pPr>
              <w:pStyle w:val="6"/>
              <w:overflowPunct w:val="0"/>
              <w:spacing w:line="460" w:lineRule="exact"/>
              <w:ind w:firstLine="600"/>
              <w:rPr>
                <w:rFonts w:ascii="宋体" w:hAnsi="宋体"/>
                <w:sz w:val="24"/>
                <w:szCs w:val="24"/>
              </w:rPr>
            </w:pPr>
          </w:p>
          <w:p>
            <w:pPr>
              <w:pStyle w:val="6"/>
              <w:overflowPunct w:val="0"/>
              <w:spacing w:line="460" w:lineRule="exact"/>
              <w:ind w:firstLine="600"/>
              <w:rPr>
                <w:rFonts w:ascii="宋体" w:hAnsi="宋体"/>
                <w:sz w:val="24"/>
                <w:szCs w:val="24"/>
              </w:rPr>
            </w:pPr>
          </w:p>
          <w:p>
            <w:pPr>
              <w:pStyle w:val="6"/>
              <w:overflowPunct w:val="0"/>
              <w:spacing w:line="460" w:lineRule="exact"/>
              <w:ind w:firstLine="600"/>
              <w:rPr>
                <w:rFonts w:ascii="宋体" w:hAnsi="宋体"/>
                <w:sz w:val="24"/>
                <w:szCs w:val="24"/>
              </w:rPr>
            </w:pPr>
            <w:r>
              <w:rPr>
                <w:rFonts w:hint="eastAsia" w:ascii="宋体" w:hAnsi="宋体"/>
                <w:sz w:val="24"/>
                <w:szCs w:val="24"/>
              </w:rPr>
              <w:t>法定代表人：     （签章）</w:t>
            </w:r>
          </w:p>
          <w:p>
            <w:pPr>
              <w:pStyle w:val="6"/>
              <w:overflowPunct w:val="0"/>
              <w:spacing w:line="460" w:lineRule="exact"/>
              <w:ind w:firstLine="600"/>
              <w:rPr>
                <w:rFonts w:ascii="宋体" w:hAnsi="宋体"/>
                <w:sz w:val="24"/>
                <w:szCs w:val="24"/>
              </w:rPr>
            </w:pPr>
          </w:p>
          <w:p>
            <w:pPr>
              <w:pStyle w:val="6"/>
              <w:overflowPunct w:val="0"/>
              <w:spacing w:line="460" w:lineRule="exact"/>
              <w:ind w:firstLine="600"/>
              <w:rPr>
                <w:rFonts w:ascii="宋体" w:hAnsi="宋体"/>
                <w:sz w:val="24"/>
                <w:szCs w:val="24"/>
              </w:rPr>
            </w:pPr>
          </w:p>
          <w:p>
            <w:pPr>
              <w:pStyle w:val="6"/>
              <w:overflowPunct w:val="0"/>
              <w:spacing w:line="460" w:lineRule="exact"/>
              <w:ind w:firstLine="600"/>
              <w:rPr>
                <w:rFonts w:ascii="宋体" w:hAnsi="宋体"/>
                <w:sz w:val="24"/>
                <w:szCs w:val="24"/>
              </w:rPr>
            </w:pPr>
            <w:r>
              <w:rPr>
                <w:rFonts w:hint="eastAsia" w:ascii="宋体" w:hAnsi="宋体"/>
                <w:sz w:val="24"/>
                <w:szCs w:val="24"/>
              </w:rPr>
              <w:t>日  期：  年  月   日</w:t>
            </w:r>
          </w:p>
        </w:tc>
        <w:tc>
          <w:tcPr>
            <w:tcW w:w="4264" w:type="dxa"/>
          </w:tcPr>
          <w:p>
            <w:pPr>
              <w:pStyle w:val="6"/>
              <w:overflowPunct w:val="0"/>
              <w:spacing w:line="460" w:lineRule="exact"/>
              <w:ind w:firstLine="600"/>
              <w:rPr>
                <w:rFonts w:ascii="宋体" w:hAnsi="宋体"/>
                <w:sz w:val="24"/>
                <w:szCs w:val="24"/>
              </w:rPr>
            </w:pPr>
          </w:p>
          <w:p>
            <w:pPr>
              <w:pStyle w:val="6"/>
              <w:overflowPunct w:val="0"/>
              <w:spacing w:line="460" w:lineRule="exact"/>
              <w:ind w:firstLine="600"/>
              <w:rPr>
                <w:rFonts w:ascii="宋体" w:hAnsi="宋体"/>
                <w:sz w:val="24"/>
                <w:szCs w:val="24"/>
              </w:rPr>
            </w:pPr>
          </w:p>
          <w:p>
            <w:pPr>
              <w:pStyle w:val="6"/>
              <w:overflowPunct w:val="0"/>
              <w:spacing w:line="460" w:lineRule="exact"/>
              <w:ind w:firstLine="600"/>
              <w:rPr>
                <w:rFonts w:ascii="宋体" w:hAnsi="宋体"/>
                <w:sz w:val="24"/>
                <w:szCs w:val="24"/>
              </w:rPr>
            </w:pPr>
            <w:r>
              <w:rPr>
                <w:rFonts w:hint="eastAsia" w:ascii="宋体" w:hAnsi="宋体"/>
                <w:sz w:val="24"/>
                <w:szCs w:val="24"/>
              </w:rPr>
              <w:t>联合体乙方单位：   （公章）</w:t>
            </w:r>
          </w:p>
          <w:p>
            <w:pPr>
              <w:pStyle w:val="6"/>
              <w:overflowPunct w:val="0"/>
              <w:spacing w:line="460" w:lineRule="exact"/>
              <w:ind w:firstLine="600"/>
              <w:rPr>
                <w:rFonts w:ascii="宋体" w:hAnsi="宋体"/>
                <w:sz w:val="24"/>
                <w:szCs w:val="24"/>
              </w:rPr>
            </w:pPr>
          </w:p>
          <w:p>
            <w:pPr>
              <w:pStyle w:val="6"/>
              <w:overflowPunct w:val="0"/>
              <w:spacing w:line="460" w:lineRule="exact"/>
              <w:ind w:firstLine="600"/>
              <w:rPr>
                <w:rFonts w:ascii="宋体" w:hAnsi="宋体"/>
                <w:sz w:val="24"/>
                <w:szCs w:val="24"/>
              </w:rPr>
            </w:pPr>
          </w:p>
          <w:p>
            <w:pPr>
              <w:pStyle w:val="6"/>
              <w:overflowPunct w:val="0"/>
              <w:spacing w:line="460" w:lineRule="exact"/>
              <w:ind w:firstLine="600"/>
              <w:rPr>
                <w:rFonts w:ascii="宋体" w:hAnsi="宋体"/>
                <w:sz w:val="24"/>
                <w:szCs w:val="24"/>
              </w:rPr>
            </w:pPr>
            <w:r>
              <w:rPr>
                <w:rFonts w:hint="eastAsia" w:ascii="宋体" w:hAnsi="宋体"/>
                <w:sz w:val="24"/>
                <w:szCs w:val="24"/>
              </w:rPr>
              <w:t>法定代表人：     （签章）</w:t>
            </w:r>
          </w:p>
          <w:p>
            <w:pPr>
              <w:pStyle w:val="6"/>
              <w:overflowPunct w:val="0"/>
              <w:spacing w:line="460" w:lineRule="exact"/>
              <w:ind w:firstLine="600"/>
              <w:rPr>
                <w:rFonts w:ascii="宋体" w:hAnsi="宋体"/>
                <w:sz w:val="24"/>
                <w:szCs w:val="24"/>
              </w:rPr>
            </w:pPr>
          </w:p>
          <w:p>
            <w:pPr>
              <w:pStyle w:val="6"/>
              <w:overflowPunct w:val="0"/>
              <w:spacing w:line="460" w:lineRule="exact"/>
              <w:ind w:firstLine="600"/>
              <w:rPr>
                <w:rFonts w:ascii="宋体" w:hAnsi="宋体"/>
                <w:sz w:val="24"/>
                <w:szCs w:val="24"/>
              </w:rPr>
            </w:pPr>
          </w:p>
          <w:p>
            <w:pPr>
              <w:pStyle w:val="6"/>
              <w:overflowPunct w:val="0"/>
              <w:spacing w:line="460" w:lineRule="exact"/>
              <w:ind w:firstLine="600"/>
              <w:rPr>
                <w:rFonts w:ascii="宋体" w:hAnsi="宋体"/>
                <w:sz w:val="24"/>
                <w:szCs w:val="24"/>
              </w:rPr>
            </w:pPr>
            <w:r>
              <w:rPr>
                <w:rFonts w:hint="eastAsia" w:ascii="宋体" w:hAnsi="宋体"/>
                <w:sz w:val="24"/>
                <w:szCs w:val="24"/>
              </w:rPr>
              <w:t>日  期：  年  月   日</w:t>
            </w:r>
          </w:p>
        </w:tc>
      </w:tr>
    </w:tbl>
    <w:p>
      <w:pPr>
        <w:adjustRightInd w:val="0"/>
        <w:snapToGrid w:val="0"/>
        <w:spacing w:line="360" w:lineRule="auto"/>
        <w:ind w:right="480"/>
        <w:rPr>
          <w:rFonts w:ascii="宋体" w:hAnsi="宋体"/>
          <w:b/>
          <w:kern w:val="0"/>
          <w:sz w:val="24"/>
          <w:lang w:val="zh-CN"/>
        </w:rPr>
      </w:pPr>
    </w:p>
    <w:p>
      <w:pPr>
        <w:spacing w:line="480" w:lineRule="exact"/>
        <w:jc w:val="center"/>
        <w:rPr>
          <w:rFonts w:ascii="宋体" w:hAnsi="宋体"/>
          <w:b/>
          <w:bCs/>
          <w:sz w:val="24"/>
        </w:rPr>
      </w:pPr>
    </w:p>
    <w:p>
      <w:pPr>
        <w:spacing w:line="480" w:lineRule="exact"/>
        <w:jc w:val="center"/>
        <w:rPr>
          <w:rFonts w:ascii="宋体" w:hAnsi="宋体"/>
          <w:b/>
          <w:bCs/>
          <w:sz w:val="24"/>
        </w:rPr>
      </w:pPr>
    </w:p>
    <w:p>
      <w:pPr>
        <w:spacing w:line="480" w:lineRule="exact"/>
        <w:jc w:val="center"/>
        <w:rPr>
          <w:rFonts w:ascii="宋体" w:hAnsi="宋体"/>
          <w:b/>
          <w:color w:val="000000"/>
          <w:sz w:val="24"/>
        </w:rPr>
      </w:pPr>
      <w:r>
        <w:rPr>
          <w:rFonts w:hint="eastAsia" w:ascii="宋体" w:hAnsi="宋体"/>
          <w:b/>
          <w:bCs/>
          <w:sz w:val="24"/>
        </w:rPr>
        <w:t xml:space="preserve"> </w:t>
      </w:r>
      <w:r>
        <w:rPr>
          <w:rFonts w:hint="eastAsia" w:ascii="宋体" w:hAnsi="宋体"/>
          <w:b/>
          <w:color w:val="000000"/>
          <w:sz w:val="24"/>
        </w:rPr>
        <w:t xml:space="preserve"> 有效的企业法人营业执照（复印件）</w:t>
      </w: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jc w:val="center"/>
        <w:rPr>
          <w:rFonts w:ascii="宋体" w:hAnsi="宋体"/>
          <w:b/>
          <w:color w:val="000000"/>
          <w:sz w:val="24"/>
        </w:rPr>
      </w:pPr>
      <w:r>
        <w:rPr>
          <w:rFonts w:hint="eastAsia" w:ascii="宋体" w:hAnsi="宋体"/>
          <w:b/>
          <w:color w:val="000000"/>
          <w:sz w:val="24"/>
        </w:rPr>
        <w:t xml:space="preserve"> </w:t>
      </w:r>
      <w:r>
        <w:rPr>
          <w:rFonts w:hint="eastAsia" w:ascii="宋体" w:hAnsi="宋体"/>
          <w:b/>
          <w:sz w:val="24"/>
        </w:rPr>
        <w:t>所有资质文件</w:t>
      </w:r>
      <w:r>
        <w:rPr>
          <w:rFonts w:hint="eastAsia" w:ascii="宋体" w:hAnsi="宋体"/>
          <w:b/>
          <w:color w:val="000000"/>
          <w:sz w:val="24"/>
        </w:rPr>
        <w:t>（复印件）</w:t>
      </w:r>
    </w:p>
    <w:p>
      <w:pPr>
        <w:spacing w:line="480" w:lineRule="exact"/>
        <w:jc w:val="center"/>
        <w:rPr>
          <w:rFonts w:ascii="宋体" w:hAnsi="宋体"/>
          <w:sz w:val="24"/>
        </w:rPr>
      </w:pPr>
      <w:r>
        <w:rPr>
          <w:rFonts w:hint="eastAsia" w:ascii="宋体" w:hAnsi="宋体"/>
          <w:sz w:val="24"/>
        </w:rPr>
        <w:t>（由</w:t>
      </w:r>
      <w:r>
        <w:rPr>
          <w:rFonts w:hint="eastAsia" w:ascii="宋体" w:hAnsi="宋体" w:cs="Arial"/>
          <w:sz w:val="24"/>
        </w:rPr>
        <w:t>投标人</w:t>
      </w:r>
      <w:r>
        <w:rPr>
          <w:rFonts w:hint="eastAsia" w:ascii="宋体" w:hAnsi="宋体"/>
          <w:sz w:val="24"/>
        </w:rPr>
        <w:t>根据采购需求及采购文件自行编制）</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7"/>
        <w:gridCol w:w="1620"/>
        <w:gridCol w:w="1200"/>
        <w:gridCol w:w="1004"/>
        <w:gridCol w:w="1004"/>
        <w:gridCol w:w="1414"/>
        <w:gridCol w:w="980"/>
        <w:gridCol w:w="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7" w:type="dxa"/>
            <w:gridSpan w:val="2"/>
            <w:tcBorders>
              <w:bottom w:val="single" w:color="auto" w:sz="4" w:space="0"/>
            </w:tcBorders>
            <w:vAlign w:val="center"/>
          </w:tcPr>
          <w:p>
            <w:pPr>
              <w:spacing w:line="480" w:lineRule="exact"/>
              <w:ind w:firstLine="482"/>
              <w:jc w:val="center"/>
              <w:rPr>
                <w:rFonts w:ascii="宋体" w:hAnsi="宋体"/>
                <w:b/>
                <w:sz w:val="24"/>
              </w:rPr>
            </w:pPr>
            <w:r>
              <w:rPr>
                <w:rFonts w:hint="eastAsia" w:ascii="宋体" w:hAnsi="宋体"/>
                <w:b/>
                <w:sz w:val="24"/>
              </w:rPr>
              <w:t>资质要求</w:t>
            </w:r>
          </w:p>
        </w:tc>
        <w:tc>
          <w:tcPr>
            <w:tcW w:w="6118" w:type="dxa"/>
            <w:gridSpan w:val="6"/>
            <w:vAlign w:val="center"/>
          </w:tcPr>
          <w:p>
            <w:pPr>
              <w:spacing w:line="480" w:lineRule="exact"/>
              <w:ind w:firstLine="482"/>
              <w:jc w:val="center"/>
              <w:rPr>
                <w:rFonts w:ascii="宋体" w:hAnsi="宋体"/>
                <w:b/>
                <w:sz w:val="24"/>
              </w:rPr>
            </w:pPr>
            <w:r>
              <w:rPr>
                <w:rFonts w:hint="eastAsia" w:ascii="宋体" w:hAnsi="宋体"/>
                <w:b/>
                <w:sz w:val="24"/>
              </w:rPr>
              <w:t>应标单位具备资质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spacing w:line="480" w:lineRule="exact"/>
              <w:ind w:firstLine="482"/>
              <w:jc w:val="center"/>
              <w:rPr>
                <w:rFonts w:ascii="宋体" w:hAnsi="宋体"/>
                <w:b/>
                <w:sz w:val="24"/>
              </w:rPr>
            </w:pPr>
            <w:r>
              <w:rPr>
                <w:rFonts w:hint="eastAsia" w:ascii="宋体" w:hAnsi="宋体"/>
                <w:b/>
                <w:sz w:val="24"/>
              </w:rPr>
              <w:t>必备资质</w:t>
            </w:r>
          </w:p>
        </w:tc>
        <w:tc>
          <w:tcPr>
            <w:tcW w:w="1620" w:type="dxa"/>
            <w:tcBorders>
              <w:left w:val="single" w:color="auto" w:sz="4" w:space="0"/>
            </w:tcBorders>
            <w:vAlign w:val="center"/>
          </w:tcPr>
          <w:p>
            <w:pPr>
              <w:spacing w:line="480" w:lineRule="exact"/>
              <w:jc w:val="center"/>
              <w:rPr>
                <w:rFonts w:ascii="宋体" w:hAnsi="宋体"/>
                <w:b/>
                <w:sz w:val="24"/>
              </w:rPr>
            </w:pPr>
            <w:r>
              <w:rPr>
                <w:rFonts w:hint="eastAsia" w:ascii="宋体" w:hAnsi="宋体"/>
                <w:b/>
                <w:sz w:val="24"/>
              </w:rPr>
              <w:t>资质级别</w:t>
            </w:r>
          </w:p>
        </w:tc>
        <w:tc>
          <w:tcPr>
            <w:tcW w:w="1200" w:type="dxa"/>
            <w:vAlign w:val="center"/>
          </w:tcPr>
          <w:p>
            <w:pPr>
              <w:jc w:val="center"/>
              <w:rPr>
                <w:rFonts w:ascii="宋体" w:hAnsi="宋体"/>
                <w:b/>
                <w:sz w:val="24"/>
              </w:rPr>
            </w:pPr>
            <w:r>
              <w:rPr>
                <w:rFonts w:hint="eastAsia" w:ascii="宋体" w:hAnsi="宋体"/>
                <w:b/>
                <w:sz w:val="24"/>
              </w:rPr>
              <w:t>资质</w:t>
            </w:r>
          </w:p>
          <w:p>
            <w:pPr>
              <w:jc w:val="center"/>
              <w:rPr>
                <w:rFonts w:ascii="宋体" w:hAnsi="宋体"/>
                <w:b/>
                <w:sz w:val="24"/>
              </w:rPr>
            </w:pPr>
            <w:r>
              <w:rPr>
                <w:rFonts w:hint="eastAsia" w:ascii="宋体" w:hAnsi="宋体"/>
                <w:b/>
                <w:sz w:val="24"/>
              </w:rPr>
              <w:t>名称</w:t>
            </w:r>
          </w:p>
        </w:tc>
        <w:tc>
          <w:tcPr>
            <w:tcW w:w="1004" w:type="dxa"/>
            <w:vAlign w:val="center"/>
          </w:tcPr>
          <w:p>
            <w:pPr>
              <w:jc w:val="center"/>
              <w:rPr>
                <w:rFonts w:ascii="宋体" w:hAnsi="宋体"/>
                <w:b/>
                <w:sz w:val="24"/>
              </w:rPr>
            </w:pPr>
            <w:r>
              <w:rPr>
                <w:rFonts w:hint="eastAsia" w:ascii="宋体" w:hAnsi="宋体"/>
                <w:b/>
                <w:sz w:val="24"/>
              </w:rPr>
              <w:t>资质</w:t>
            </w:r>
          </w:p>
          <w:p>
            <w:pPr>
              <w:jc w:val="center"/>
              <w:rPr>
                <w:rFonts w:ascii="宋体" w:hAnsi="宋体"/>
                <w:b/>
                <w:sz w:val="24"/>
              </w:rPr>
            </w:pPr>
            <w:r>
              <w:rPr>
                <w:rFonts w:hint="eastAsia" w:ascii="宋体" w:hAnsi="宋体"/>
                <w:b/>
                <w:sz w:val="24"/>
              </w:rPr>
              <w:t>级别</w:t>
            </w:r>
          </w:p>
        </w:tc>
        <w:tc>
          <w:tcPr>
            <w:tcW w:w="1004" w:type="dxa"/>
            <w:vAlign w:val="center"/>
          </w:tcPr>
          <w:p>
            <w:pPr>
              <w:jc w:val="center"/>
              <w:rPr>
                <w:rFonts w:ascii="宋体" w:hAnsi="宋体"/>
                <w:b/>
                <w:sz w:val="24"/>
              </w:rPr>
            </w:pPr>
            <w:r>
              <w:rPr>
                <w:rFonts w:hint="eastAsia" w:ascii="宋体" w:hAnsi="宋体"/>
                <w:b/>
                <w:sz w:val="24"/>
              </w:rPr>
              <w:t>颁证</w:t>
            </w:r>
          </w:p>
          <w:p>
            <w:pPr>
              <w:jc w:val="center"/>
              <w:rPr>
                <w:rFonts w:ascii="宋体" w:hAnsi="宋体"/>
                <w:b/>
                <w:sz w:val="24"/>
              </w:rPr>
            </w:pPr>
            <w:r>
              <w:rPr>
                <w:rFonts w:hint="eastAsia" w:ascii="宋体" w:hAnsi="宋体"/>
                <w:b/>
                <w:sz w:val="24"/>
              </w:rPr>
              <w:t>机构</w:t>
            </w:r>
          </w:p>
        </w:tc>
        <w:tc>
          <w:tcPr>
            <w:tcW w:w="1414" w:type="dxa"/>
            <w:vAlign w:val="center"/>
          </w:tcPr>
          <w:p>
            <w:pPr>
              <w:jc w:val="center"/>
              <w:rPr>
                <w:rFonts w:ascii="宋体" w:hAnsi="宋体"/>
                <w:b/>
                <w:sz w:val="24"/>
              </w:rPr>
            </w:pPr>
            <w:r>
              <w:rPr>
                <w:rFonts w:hint="eastAsia" w:ascii="宋体" w:hAnsi="宋体"/>
                <w:b/>
                <w:sz w:val="24"/>
              </w:rPr>
              <w:t>证书有效期（起止年月）</w:t>
            </w:r>
          </w:p>
        </w:tc>
        <w:tc>
          <w:tcPr>
            <w:tcW w:w="980" w:type="dxa"/>
            <w:vAlign w:val="center"/>
          </w:tcPr>
          <w:p>
            <w:pPr>
              <w:jc w:val="center"/>
              <w:rPr>
                <w:rFonts w:ascii="宋体" w:hAnsi="宋体"/>
                <w:b/>
                <w:sz w:val="24"/>
              </w:rPr>
            </w:pPr>
            <w:r>
              <w:rPr>
                <w:rFonts w:hint="eastAsia" w:ascii="宋体" w:hAnsi="宋体"/>
                <w:b/>
                <w:sz w:val="24"/>
              </w:rPr>
              <w:t>证书复印件所在页码</w:t>
            </w:r>
          </w:p>
        </w:tc>
        <w:tc>
          <w:tcPr>
            <w:tcW w:w="516" w:type="dxa"/>
            <w:vAlign w:val="center"/>
          </w:tcPr>
          <w:p>
            <w:pPr>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jc w:val="center"/>
              <w:rPr>
                <w:rFonts w:ascii="宋体" w:hAnsi="宋体"/>
                <w:sz w:val="24"/>
              </w:rPr>
            </w:pPr>
            <w:r>
              <w:rPr>
                <w:rFonts w:hint="eastAsia" w:ascii="宋体" w:hAnsi="宋体"/>
                <w:color w:val="000000"/>
                <w:sz w:val="24"/>
              </w:rPr>
              <w:t xml:space="preserve"> </w:t>
            </w:r>
          </w:p>
        </w:tc>
        <w:tc>
          <w:tcPr>
            <w:tcW w:w="1620" w:type="dxa"/>
            <w:tcBorders>
              <w:left w:val="single" w:color="auto" w:sz="4" w:space="0"/>
            </w:tcBorders>
            <w:vAlign w:val="center"/>
          </w:tcPr>
          <w:p>
            <w:pPr>
              <w:jc w:val="center"/>
              <w:rPr>
                <w:rFonts w:ascii="宋体" w:hAnsi="宋体"/>
                <w:sz w:val="24"/>
              </w:rPr>
            </w:pPr>
            <w:r>
              <w:rPr>
                <w:rFonts w:hint="eastAsia" w:ascii="宋体" w:hAnsi="宋体"/>
                <w:sz w:val="24"/>
              </w:rPr>
              <w:t xml:space="preserve"> </w:t>
            </w:r>
          </w:p>
        </w:tc>
        <w:tc>
          <w:tcPr>
            <w:tcW w:w="1200" w:type="dxa"/>
            <w:vAlign w:val="center"/>
          </w:tcPr>
          <w:p>
            <w:pPr>
              <w:spacing w:line="480" w:lineRule="exact"/>
              <w:ind w:firstLine="480"/>
              <w:jc w:val="center"/>
              <w:rPr>
                <w:rFonts w:ascii="宋体" w:hAnsi="宋体"/>
                <w:sz w:val="24"/>
              </w:rPr>
            </w:pPr>
          </w:p>
        </w:tc>
        <w:tc>
          <w:tcPr>
            <w:tcW w:w="1004" w:type="dxa"/>
            <w:vAlign w:val="center"/>
          </w:tcPr>
          <w:p>
            <w:pPr>
              <w:spacing w:line="480" w:lineRule="exact"/>
              <w:ind w:firstLine="480"/>
              <w:jc w:val="center"/>
              <w:rPr>
                <w:rFonts w:ascii="宋体" w:hAnsi="宋体"/>
                <w:sz w:val="24"/>
              </w:rPr>
            </w:pPr>
          </w:p>
        </w:tc>
        <w:tc>
          <w:tcPr>
            <w:tcW w:w="1004" w:type="dxa"/>
            <w:vAlign w:val="center"/>
          </w:tcPr>
          <w:p>
            <w:pPr>
              <w:spacing w:line="480" w:lineRule="exact"/>
              <w:ind w:firstLine="480"/>
              <w:jc w:val="center"/>
              <w:rPr>
                <w:rFonts w:ascii="宋体" w:hAnsi="宋体"/>
                <w:sz w:val="24"/>
              </w:rPr>
            </w:pPr>
          </w:p>
        </w:tc>
        <w:tc>
          <w:tcPr>
            <w:tcW w:w="1414" w:type="dxa"/>
            <w:vAlign w:val="center"/>
          </w:tcPr>
          <w:p>
            <w:pPr>
              <w:spacing w:line="480" w:lineRule="exact"/>
              <w:ind w:firstLine="480"/>
              <w:jc w:val="center"/>
              <w:rPr>
                <w:rFonts w:ascii="宋体" w:hAnsi="宋体"/>
                <w:sz w:val="24"/>
              </w:rPr>
            </w:pPr>
          </w:p>
        </w:tc>
        <w:tc>
          <w:tcPr>
            <w:tcW w:w="980" w:type="dxa"/>
            <w:vAlign w:val="center"/>
          </w:tcPr>
          <w:p>
            <w:pPr>
              <w:spacing w:line="480" w:lineRule="exact"/>
              <w:ind w:firstLine="480"/>
              <w:jc w:val="cente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ind w:firstLine="482"/>
              <w:jc w:val="center"/>
              <w:rPr>
                <w:rFonts w:ascii="宋体" w:hAnsi="宋体"/>
                <w:b/>
                <w:sz w:val="24"/>
              </w:rPr>
            </w:pPr>
            <w:r>
              <w:rPr>
                <w:rFonts w:hint="eastAsia" w:ascii="宋体" w:hAnsi="宋体"/>
                <w:b/>
                <w:sz w:val="24"/>
              </w:rPr>
              <w:t>其他资质</w:t>
            </w:r>
          </w:p>
        </w:tc>
        <w:tc>
          <w:tcPr>
            <w:tcW w:w="1620" w:type="dxa"/>
            <w:tcBorders>
              <w:left w:val="single" w:color="auto" w:sz="4" w:space="0"/>
            </w:tcBorders>
            <w:vAlign w:val="center"/>
          </w:tcPr>
          <w:p>
            <w:pPr>
              <w:jc w:val="center"/>
              <w:rPr>
                <w:rFonts w:ascii="宋体" w:hAnsi="宋体"/>
                <w:b/>
                <w:sz w:val="24"/>
              </w:rPr>
            </w:pPr>
            <w:r>
              <w:rPr>
                <w:rFonts w:hint="eastAsia" w:ascii="宋体" w:hAnsi="宋体"/>
                <w:b/>
                <w:sz w:val="24"/>
              </w:rPr>
              <w:t>资质级别</w:t>
            </w:r>
          </w:p>
        </w:tc>
        <w:tc>
          <w:tcPr>
            <w:tcW w:w="1200" w:type="dxa"/>
            <w:vAlign w:val="center"/>
          </w:tcPr>
          <w:p>
            <w:pPr>
              <w:jc w:val="center"/>
              <w:rPr>
                <w:rFonts w:ascii="宋体" w:hAnsi="宋体"/>
                <w:b/>
                <w:sz w:val="24"/>
              </w:rPr>
            </w:pPr>
            <w:r>
              <w:rPr>
                <w:rFonts w:hint="eastAsia" w:ascii="宋体" w:hAnsi="宋体"/>
                <w:b/>
                <w:sz w:val="24"/>
              </w:rPr>
              <w:t>资质</w:t>
            </w:r>
          </w:p>
          <w:p>
            <w:pPr>
              <w:jc w:val="center"/>
              <w:rPr>
                <w:rFonts w:ascii="宋体" w:hAnsi="宋体"/>
                <w:b/>
                <w:sz w:val="24"/>
              </w:rPr>
            </w:pPr>
            <w:r>
              <w:rPr>
                <w:rFonts w:hint="eastAsia" w:ascii="宋体" w:hAnsi="宋体"/>
                <w:b/>
                <w:sz w:val="24"/>
              </w:rPr>
              <w:t>名称</w:t>
            </w:r>
          </w:p>
        </w:tc>
        <w:tc>
          <w:tcPr>
            <w:tcW w:w="1004" w:type="dxa"/>
            <w:vAlign w:val="center"/>
          </w:tcPr>
          <w:p>
            <w:pPr>
              <w:jc w:val="center"/>
              <w:rPr>
                <w:rFonts w:ascii="宋体" w:hAnsi="宋体"/>
                <w:b/>
                <w:sz w:val="24"/>
              </w:rPr>
            </w:pPr>
            <w:r>
              <w:rPr>
                <w:rFonts w:hint="eastAsia" w:ascii="宋体" w:hAnsi="宋体"/>
                <w:b/>
                <w:sz w:val="24"/>
              </w:rPr>
              <w:t>资质</w:t>
            </w:r>
          </w:p>
          <w:p>
            <w:pPr>
              <w:jc w:val="center"/>
              <w:rPr>
                <w:rFonts w:ascii="宋体" w:hAnsi="宋体"/>
                <w:b/>
                <w:sz w:val="24"/>
              </w:rPr>
            </w:pPr>
            <w:r>
              <w:rPr>
                <w:rFonts w:hint="eastAsia" w:ascii="宋体" w:hAnsi="宋体"/>
                <w:b/>
                <w:sz w:val="24"/>
              </w:rPr>
              <w:t>级别</w:t>
            </w:r>
          </w:p>
        </w:tc>
        <w:tc>
          <w:tcPr>
            <w:tcW w:w="1004" w:type="dxa"/>
            <w:vAlign w:val="center"/>
          </w:tcPr>
          <w:p>
            <w:pPr>
              <w:jc w:val="center"/>
              <w:rPr>
                <w:rFonts w:ascii="宋体" w:hAnsi="宋体"/>
                <w:b/>
                <w:sz w:val="24"/>
              </w:rPr>
            </w:pPr>
            <w:r>
              <w:rPr>
                <w:rFonts w:hint="eastAsia" w:ascii="宋体" w:hAnsi="宋体"/>
                <w:b/>
                <w:sz w:val="24"/>
              </w:rPr>
              <w:t>颁证</w:t>
            </w:r>
          </w:p>
          <w:p>
            <w:pPr>
              <w:jc w:val="center"/>
              <w:rPr>
                <w:rFonts w:ascii="宋体" w:hAnsi="宋体"/>
                <w:b/>
                <w:sz w:val="24"/>
              </w:rPr>
            </w:pPr>
            <w:r>
              <w:rPr>
                <w:rFonts w:hint="eastAsia" w:ascii="宋体" w:hAnsi="宋体"/>
                <w:b/>
                <w:sz w:val="24"/>
              </w:rPr>
              <w:t>机构</w:t>
            </w:r>
          </w:p>
        </w:tc>
        <w:tc>
          <w:tcPr>
            <w:tcW w:w="1414" w:type="dxa"/>
            <w:vAlign w:val="center"/>
          </w:tcPr>
          <w:p>
            <w:pPr>
              <w:jc w:val="center"/>
              <w:rPr>
                <w:rFonts w:ascii="宋体" w:hAnsi="宋体"/>
                <w:b/>
                <w:sz w:val="24"/>
              </w:rPr>
            </w:pPr>
            <w:r>
              <w:rPr>
                <w:rFonts w:hint="eastAsia" w:ascii="宋体" w:hAnsi="宋体"/>
                <w:b/>
                <w:sz w:val="24"/>
              </w:rPr>
              <w:t>证书有效期（起止年月）</w:t>
            </w:r>
          </w:p>
        </w:tc>
        <w:tc>
          <w:tcPr>
            <w:tcW w:w="980" w:type="dxa"/>
            <w:vAlign w:val="center"/>
          </w:tcPr>
          <w:p>
            <w:pPr>
              <w:jc w:val="center"/>
              <w:rPr>
                <w:rFonts w:ascii="宋体" w:hAnsi="宋体"/>
                <w:b/>
                <w:sz w:val="24"/>
              </w:rPr>
            </w:pPr>
            <w:r>
              <w:rPr>
                <w:rFonts w:hint="eastAsia" w:ascii="宋体" w:hAnsi="宋体"/>
                <w:b/>
                <w:sz w:val="24"/>
              </w:rPr>
              <w:t>证书复印件所在页码</w:t>
            </w:r>
          </w:p>
        </w:tc>
        <w:tc>
          <w:tcPr>
            <w:tcW w:w="516" w:type="dxa"/>
            <w:vAlign w:val="center"/>
          </w:tcPr>
          <w:p>
            <w:pP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r>
              <w:rPr>
                <w:rFonts w:hint="eastAsia" w:ascii="宋体" w:hAnsi="宋体"/>
                <w:sz w:val="24"/>
              </w:rPr>
              <w:t xml:space="preserve"> </w:t>
            </w:r>
          </w:p>
        </w:tc>
        <w:tc>
          <w:tcPr>
            <w:tcW w:w="1620" w:type="dxa"/>
            <w:tcBorders>
              <w:left w:val="single" w:color="auto" w:sz="4" w:space="0"/>
            </w:tcBorders>
            <w:vAlign w:val="center"/>
          </w:tcPr>
          <w:p>
            <w:pPr>
              <w:rPr>
                <w:rFonts w:ascii="宋体" w:hAnsi="宋体"/>
                <w:sz w:val="24"/>
              </w:rPr>
            </w:pPr>
            <w:r>
              <w:rPr>
                <w:rFonts w:hint="eastAsia" w:ascii="宋体" w:hAnsi="宋体"/>
                <w:sz w:val="24"/>
              </w:rPr>
              <w:t xml:space="preserve"> </w:t>
            </w: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r>
              <w:rPr>
                <w:rFonts w:hint="eastAsia" w:ascii="宋体" w:hAnsi="宋体"/>
                <w:sz w:val="24"/>
              </w:rPr>
              <w:t xml:space="preserve"> </w:t>
            </w:r>
          </w:p>
        </w:tc>
        <w:tc>
          <w:tcPr>
            <w:tcW w:w="1620" w:type="dxa"/>
            <w:tcBorders>
              <w:left w:val="single" w:color="auto" w:sz="4" w:space="0"/>
            </w:tcBorders>
            <w:vAlign w:val="center"/>
          </w:tcPr>
          <w:p>
            <w:pPr>
              <w:rPr>
                <w:rFonts w:ascii="宋体" w:hAnsi="宋体"/>
                <w:sz w:val="24"/>
              </w:rPr>
            </w:pPr>
            <w:r>
              <w:rPr>
                <w:rFonts w:hint="eastAsia" w:ascii="宋体" w:hAnsi="宋体"/>
                <w:sz w:val="24"/>
              </w:rPr>
              <w:t xml:space="preserve"> </w:t>
            </w: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p>
        </w:tc>
        <w:tc>
          <w:tcPr>
            <w:tcW w:w="1620" w:type="dxa"/>
            <w:tcBorders>
              <w:left w:val="single" w:color="auto" w:sz="4" w:space="0"/>
            </w:tcBorders>
            <w:vAlign w:val="center"/>
          </w:tcPr>
          <w:p>
            <w:pPr>
              <w:rPr>
                <w:rFonts w:ascii="宋体" w:hAnsi="宋体"/>
                <w:sz w:val="24"/>
              </w:rPr>
            </w:pP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p>
        </w:tc>
        <w:tc>
          <w:tcPr>
            <w:tcW w:w="1620" w:type="dxa"/>
            <w:tcBorders>
              <w:left w:val="single" w:color="auto" w:sz="4" w:space="0"/>
            </w:tcBorders>
            <w:vAlign w:val="center"/>
          </w:tcPr>
          <w:p>
            <w:pPr>
              <w:rPr>
                <w:rFonts w:ascii="宋体" w:hAnsi="宋体"/>
                <w:sz w:val="24"/>
              </w:rPr>
            </w:pP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p>
        </w:tc>
        <w:tc>
          <w:tcPr>
            <w:tcW w:w="1620" w:type="dxa"/>
            <w:tcBorders>
              <w:left w:val="single" w:color="auto" w:sz="4" w:space="0"/>
            </w:tcBorders>
            <w:vAlign w:val="center"/>
          </w:tcPr>
          <w:p>
            <w:pPr>
              <w:rPr>
                <w:rFonts w:ascii="宋体" w:hAnsi="宋体"/>
                <w:sz w:val="24"/>
              </w:rPr>
            </w:pP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p>
        </w:tc>
        <w:tc>
          <w:tcPr>
            <w:tcW w:w="1620" w:type="dxa"/>
            <w:tcBorders>
              <w:left w:val="single" w:color="auto" w:sz="4" w:space="0"/>
            </w:tcBorders>
            <w:vAlign w:val="center"/>
          </w:tcPr>
          <w:p>
            <w:pPr>
              <w:rPr>
                <w:rFonts w:ascii="宋体" w:hAnsi="宋体"/>
                <w:sz w:val="24"/>
              </w:rPr>
            </w:pP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bl>
    <w:p>
      <w:pPr>
        <w:autoSpaceDE w:val="0"/>
        <w:autoSpaceDN w:val="0"/>
        <w:adjustRightInd w:val="0"/>
        <w:rPr>
          <w:rFonts w:ascii="宋体" w:hAnsi="宋体"/>
          <w:b/>
          <w:sz w:val="24"/>
        </w:rPr>
      </w:pPr>
    </w:p>
    <w:p>
      <w:pPr>
        <w:autoSpaceDE w:val="0"/>
        <w:autoSpaceDN w:val="0"/>
        <w:adjustRightInd w:val="0"/>
        <w:rPr>
          <w:rFonts w:ascii="宋体" w:hAnsi="宋体"/>
          <w:b/>
          <w:sz w:val="24"/>
        </w:rPr>
      </w:pPr>
    </w:p>
    <w:p>
      <w:pPr>
        <w:autoSpaceDE w:val="0"/>
        <w:autoSpaceDN w:val="0"/>
        <w:adjustRightInd w:val="0"/>
        <w:rPr>
          <w:rFonts w:ascii="宋体" w:hAnsi="宋体"/>
          <w:b/>
          <w:sz w:val="24"/>
        </w:rPr>
      </w:pPr>
    </w:p>
    <w:p>
      <w:pPr>
        <w:autoSpaceDE w:val="0"/>
        <w:autoSpaceDN w:val="0"/>
        <w:adjustRightInd w:val="0"/>
        <w:rPr>
          <w:rFonts w:ascii="宋体" w:hAnsi="宋体"/>
          <w:b/>
          <w:sz w:val="24"/>
        </w:rPr>
      </w:pPr>
    </w:p>
    <w:p>
      <w:pPr>
        <w:rPr>
          <w:rFonts w:ascii="宋体" w:hAnsi="宋体" w:cs="仿宋_GB2312"/>
          <w:kern w:val="0"/>
          <w:sz w:val="24"/>
          <w:lang w:val="zh-CN"/>
        </w:rPr>
        <w:sectPr>
          <w:pgSz w:w="11906" w:h="16838"/>
          <w:pgMar w:top="1440" w:right="1797" w:bottom="1440" w:left="1797" w:header="851" w:footer="992" w:gutter="0"/>
          <w:cols w:space="720" w:num="1"/>
          <w:docGrid w:type="lines" w:linePitch="312" w:charSpace="0"/>
        </w:sectPr>
      </w:pPr>
    </w:p>
    <w:p>
      <w:pPr>
        <w:snapToGrid w:val="0"/>
        <w:spacing w:beforeLines="50" w:after="50"/>
        <w:rPr>
          <w:rFonts w:ascii="宋体" w:hAnsi="宋体"/>
          <w:b/>
          <w:sz w:val="24"/>
        </w:rPr>
      </w:pPr>
      <w:r>
        <w:rPr>
          <w:rFonts w:hint="eastAsia" w:ascii="宋体" w:hAnsi="宋体"/>
          <w:sz w:val="24"/>
        </w:rPr>
        <w:t>封面格式</w:t>
      </w:r>
      <w:r>
        <w:rPr>
          <w:rFonts w:hint="eastAsia" w:ascii="宋体" w:hAnsi="宋体"/>
          <w:b/>
          <w:sz w:val="24"/>
        </w:rPr>
        <w:t xml:space="preserve">                                     </w:t>
      </w:r>
      <w:r>
        <w:rPr>
          <w:rFonts w:hint="eastAsia" w:ascii="宋体" w:hAnsi="宋体"/>
          <w:bCs/>
          <w:sz w:val="24"/>
        </w:rPr>
        <w:t>正本或副本</w:t>
      </w:r>
    </w:p>
    <w:p>
      <w:pPr>
        <w:snapToGrid w:val="0"/>
        <w:spacing w:beforeLines="50" w:after="50"/>
        <w:jc w:val="right"/>
        <w:rPr>
          <w:rFonts w:ascii="宋体" w:hAnsi="宋体"/>
          <w:bCs/>
          <w:sz w:val="24"/>
        </w:rPr>
      </w:pPr>
      <w:r>
        <w:rPr>
          <w:rFonts w:ascii="宋体" w:hAnsi="宋体"/>
          <w:sz w:val="24"/>
        </w:rPr>
        <w:t xml:space="preserve">                                            </w:t>
      </w:r>
    </w:p>
    <w:p>
      <w:pPr>
        <w:ind w:right="-110"/>
        <w:jc w:val="center"/>
        <w:rPr>
          <w:rFonts w:ascii="宋体" w:hAnsi="宋体"/>
          <w:spacing w:val="40"/>
          <w:sz w:val="32"/>
          <w:szCs w:val="32"/>
        </w:rPr>
      </w:pPr>
      <w:r>
        <w:rPr>
          <w:rFonts w:hint="eastAsia" w:ascii="宋体" w:hAnsi="宋体"/>
          <w:spacing w:val="40"/>
          <w:sz w:val="32"/>
          <w:szCs w:val="32"/>
        </w:rPr>
        <w:t>***项目名称</w:t>
      </w:r>
    </w:p>
    <w:p>
      <w:pPr>
        <w:spacing w:beforeLines="100" w:line="240" w:lineRule="atLeast"/>
        <w:ind w:right="-108"/>
        <w:jc w:val="center"/>
        <w:rPr>
          <w:rFonts w:ascii="宋体" w:hAnsi="宋体"/>
          <w:sz w:val="24"/>
        </w:rPr>
      </w:pPr>
      <w:r>
        <w:rPr>
          <w:rFonts w:hint="eastAsia" w:ascii="宋体" w:hAnsi="宋体"/>
          <w:sz w:val="24"/>
        </w:rPr>
        <w:t>项目编号：************** （标项*）</w:t>
      </w:r>
    </w:p>
    <w:p>
      <w:pPr>
        <w:spacing w:after="100" w:afterAutospacing="1" w:line="800" w:lineRule="exact"/>
        <w:ind w:right="-108"/>
        <w:rPr>
          <w:rFonts w:ascii="宋体" w:hAnsi="宋体"/>
          <w:b/>
          <w:spacing w:val="40"/>
          <w:sz w:val="24"/>
        </w:rPr>
      </w:pP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技</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术</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及</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商</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务</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文</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件</w:t>
      </w:r>
    </w:p>
    <w:p>
      <w:pPr>
        <w:spacing w:line="600" w:lineRule="exact"/>
        <w:ind w:right="532" w:firstLine="480" w:firstLineChars="200"/>
        <w:rPr>
          <w:rFonts w:ascii="宋体" w:hAnsi="宋体"/>
          <w:sz w:val="24"/>
        </w:rPr>
      </w:pPr>
      <w:r>
        <w:rPr>
          <w:rFonts w:hint="eastAsia" w:ascii="宋体" w:hAnsi="宋体"/>
          <w:sz w:val="24"/>
        </w:rPr>
        <w:t>单位全称（公章）：</w:t>
      </w:r>
    </w:p>
    <w:p>
      <w:pPr>
        <w:spacing w:line="600" w:lineRule="exact"/>
        <w:ind w:right="532" w:firstLine="480" w:firstLineChars="200"/>
        <w:rPr>
          <w:rFonts w:ascii="宋体" w:hAnsi="宋体"/>
          <w:sz w:val="24"/>
        </w:rPr>
      </w:pPr>
      <w:r>
        <w:rPr>
          <w:rFonts w:hint="eastAsia" w:ascii="宋体" w:hAnsi="宋体"/>
          <w:sz w:val="24"/>
        </w:rPr>
        <w:t>地    址：</w:t>
      </w:r>
    </w:p>
    <w:p>
      <w:pPr>
        <w:spacing w:line="600" w:lineRule="exact"/>
        <w:ind w:right="532" w:firstLine="480" w:firstLineChars="200"/>
        <w:rPr>
          <w:rFonts w:ascii="宋体" w:hAnsi="宋体"/>
          <w:sz w:val="24"/>
        </w:rPr>
      </w:pPr>
      <w:r>
        <w:rPr>
          <w:rFonts w:hint="eastAsia" w:ascii="宋体" w:hAnsi="宋体"/>
          <w:sz w:val="24"/>
        </w:rPr>
        <w:t>时    间：</w:t>
      </w:r>
    </w:p>
    <w:p>
      <w:pPr>
        <w:snapToGrid w:val="0"/>
        <w:spacing w:before="50" w:after="50"/>
        <w:rPr>
          <w:rFonts w:ascii="宋体" w:hAnsi="宋体"/>
          <w:sz w:val="24"/>
        </w:rPr>
      </w:pPr>
    </w:p>
    <w:p>
      <w:pPr>
        <w:snapToGrid w:val="0"/>
        <w:spacing w:line="420" w:lineRule="exact"/>
        <w:ind w:firstLine="470" w:firstLineChars="196"/>
        <w:jc w:val="left"/>
        <w:rPr>
          <w:rFonts w:ascii="宋体" w:hAnsi="宋体"/>
          <w:bCs/>
          <w:sz w:val="24"/>
          <w:highlight w:val="yellow"/>
        </w:rPr>
      </w:pPr>
    </w:p>
    <w:p>
      <w:pPr>
        <w:snapToGrid w:val="0"/>
        <w:spacing w:line="420" w:lineRule="exact"/>
        <w:ind w:firstLine="470" w:firstLineChars="196"/>
        <w:jc w:val="left"/>
        <w:rPr>
          <w:rFonts w:ascii="宋体" w:hAnsi="宋体"/>
          <w:bCs/>
          <w:sz w:val="24"/>
          <w:highlight w:val="yellow"/>
        </w:rPr>
      </w:pPr>
    </w:p>
    <w:p>
      <w:pPr>
        <w:snapToGrid w:val="0"/>
        <w:spacing w:line="420" w:lineRule="exact"/>
        <w:ind w:firstLine="470" w:firstLineChars="196"/>
        <w:jc w:val="left"/>
        <w:rPr>
          <w:rFonts w:ascii="宋体" w:hAnsi="宋体"/>
          <w:bCs/>
          <w:sz w:val="24"/>
          <w:highlight w:val="yellow"/>
        </w:rPr>
      </w:pPr>
    </w:p>
    <w:p>
      <w:pPr>
        <w:snapToGrid w:val="0"/>
        <w:spacing w:line="420" w:lineRule="exact"/>
        <w:ind w:firstLine="470" w:firstLineChars="196"/>
        <w:jc w:val="left"/>
        <w:rPr>
          <w:rFonts w:ascii="宋体" w:hAnsi="宋体"/>
          <w:bCs/>
          <w:sz w:val="24"/>
        </w:rPr>
      </w:pPr>
      <w:r>
        <w:rPr>
          <w:rFonts w:hint="eastAsia" w:ascii="宋体" w:hAnsi="宋体"/>
          <w:bCs/>
          <w:sz w:val="24"/>
        </w:rPr>
        <w:t>▲技术及商务文件响应部分内容</w:t>
      </w:r>
    </w:p>
    <w:p>
      <w:pPr>
        <w:snapToGrid w:val="0"/>
        <w:spacing w:line="460" w:lineRule="exact"/>
        <w:ind w:firstLine="480" w:firstLineChars="200"/>
        <w:jc w:val="left"/>
        <w:rPr>
          <w:rFonts w:ascii="宋体" w:hAnsi="宋体"/>
          <w:sz w:val="24"/>
        </w:rPr>
      </w:pPr>
      <w:r>
        <w:rPr>
          <w:rFonts w:hint="eastAsia" w:ascii="宋体" w:hAnsi="宋体"/>
          <w:sz w:val="24"/>
        </w:rPr>
        <w:t>（1）评分对应表（格式见附件，主要用于评委对应评分内容）</w:t>
      </w:r>
    </w:p>
    <w:p>
      <w:pPr>
        <w:snapToGrid w:val="0"/>
        <w:spacing w:line="460" w:lineRule="exact"/>
        <w:ind w:firstLine="480" w:firstLineChars="200"/>
        <w:jc w:val="left"/>
        <w:rPr>
          <w:rFonts w:ascii="宋体" w:hAnsi="宋体"/>
          <w:sz w:val="24"/>
        </w:rPr>
      </w:pPr>
      <w:r>
        <w:rPr>
          <w:rFonts w:hint="eastAsia" w:ascii="宋体" w:hAnsi="宋体"/>
          <w:sz w:val="24"/>
        </w:rPr>
        <w:t>（2）投标项目明细清单（含货物、服务等）；</w:t>
      </w:r>
    </w:p>
    <w:p>
      <w:pPr>
        <w:snapToGrid w:val="0"/>
        <w:spacing w:line="460" w:lineRule="exact"/>
        <w:ind w:firstLine="480" w:firstLineChars="200"/>
        <w:jc w:val="left"/>
        <w:rPr>
          <w:rFonts w:ascii="宋体" w:hAnsi="宋体"/>
          <w:sz w:val="24"/>
        </w:rPr>
      </w:pPr>
      <w:r>
        <w:rPr>
          <w:rFonts w:hint="eastAsia" w:ascii="宋体" w:hAnsi="宋体"/>
          <w:sz w:val="24"/>
        </w:rPr>
        <w:t>（3）技术响应表（格式见附件）；</w:t>
      </w:r>
    </w:p>
    <w:p>
      <w:pPr>
        <w:snapToGrid w:val="0"/>
        <w:spacing w:line="460" w:lineRule="exact"/>
        <w:ind w:firstLine="480" w:firstLineChars="200"/>
        <w:jc w:val="left"/>
        <w:rPr>
          <w:rFonts w:ascii="宋体" w:hAnsi="宋体"/>
          <w:sz w:val="24"/>
        </w:rPr>
      </w:pPr>
      <w:r>
        <w:rPr>
          <w:rFonts w:hint="eastAsia" w:ascii="宋体" w:hAnsi="宋体"/>
          <w:sz w:val="24"/>
        </w:rPr>
        <w:t>（4）项目总体解决方案（可包含且不限于对项目总体要求的理解、项目总体架构及技术解决方案等）；</w:t>
      </w:r>
    </w:p>
    <w:p>
      <w:pPr>
        <w:snapToGrid w:val="0"/>
        <w:spacing w:line="460" w:lineRule="exact"/>
        <w:ind w:firstLine="480" w:firstLineChars="200"/>
        <w:jc w:val="left"/>
        <w:rPr>
          <w:rFonts w:ascii="宋体" w:hAnsi="宋体"/>
          <w:sz w:val="24"/>
        </w:rPr>
      </w:pPr>
      <w:r>
        <w:rPr>
          <w:rFonts w:hint="eastAsia" w:ascii="宋体" w:hAnsi="宋体"/>
          <w:sz w:val="24"/>
        </w:rPr>
        <w:t>（5）项目实施计划（可包含且不限于保证工期的施工组织方案及人力资源安排、项目组人员清单等）；</w:t>
      </w:r>
    </w:p>
    <w:p>
      <w:pPr>
        <w:snapToGrid w:val="0"/>
        <w:spacing w:line="460" w:lineRule="exact"/>
        <w:ind w:firstLine="480" w:firstLineChars="200"/>
        <w:jc w:val="left"/>
        <w:rPr>
          <w:rFonts w:ascii="宋体" w:hAnsi="宋体"/>
          <w:sz w:val="24"/>
        </w:rPr>
      </w:pPr>
      <w:r>
        <w:rPr>
          <w:rFonts w:hint="eastAsia" w:ascii="宋体" w:hAnsi="宋体"/>
          <w:sz w:val="24"/>
        </w:rPr>
        <w:t>（6）列入政府采购节能环保清单的证明资料（若有）；</w:t>
      </w:r>
    </w:p>
    <w:p>
      <w:pPr>
        <w:snapToGrid w:val="0"/>
        <w:spacing w:line="460" w:lineRule="exact"/>
        <w:ind w:firstLine="480" w:firstLineChars="200"/>
        <w:jc w:val="left"/>
        <w:rPr>
          <w:rFonts w:ascii="宋体" w:hAnsi="宋体"/>
          <w:sz w:val="24"/>
        </w:rPr>
      </w:pPr>
      <w:r>
        <w:rPr>
          <w:rFonts w:hint="eastAsia" w:ascii="宋体" w:hAnsi="宋体"/>
          <w:sz w:val="24"/>
        </w:rPr>
        <w:t>（7）商务响应表（格式见附件）；</w:t>
      </w:r>
    </w:p>
    <w:p>
      <w:pPr>
        <w:snapToGrid w:val="0"/>
        <w:spacing w:line="460" w:lineRule="exact"/>
        <w:ind w:firstLine="480" w:firstLineChars="200"/>
        <w:jc w:val="left"/>
        <w:rPr>
          <w:rFonts w:ascii="宋体" w:hAnsi="宋体"/>
          <w:sz w:val="24"/>
        </w:rPr>
      </w:pPr>
      <w:r>
        <w:rPr>
          <w:rFonts w:hint="eastAsia" w:ascii="宋体" w:hAnsi="宋体"/>
          <w:sz w:val="24"/>
        </w:rPr>
        <w:t>（8）售后服务计划（可包含且不限于对用户故障的响应、处理、定期巡检、备品备件、常用耗材提供、驻点人员情况等）；</w:t>
      </w:r>
    </w:p>
    <w:p>
      <w:pPr>
        <w:snapToGrid w:val="0"/>
        <w:spacing w:line="460" w:lineRule="exact"/>
        <w:ind w:firstLine="480" w:firstLineChars="200"/>
        <w:jc w:val="left"/>
        <w:rPr>
          <w:rFonts w:ascii="宋体" w:hAnsi="宋体"/>
          <w:sz w:val="24"/>
        </w:rPr>
      </w:pPr>
      <w:r>
        <w:rPr>
          <w:rFonts w:hint="eastAsia" w:ascii="宋体" w:hAnsi="宋体"/>
          <w:sz w:val="24"/>
        </w:rPr>
        <w:t>（9）技术培训计划（若有）；</w:t>
      </w:r>
    </w:p>
    <w:p>
      <w:pPr>
        <w:snapToGrid w:val="0"/>
        <w:spacing w:line="460" w:lineRule="exact"/>
        <w:ind w:firstLine="480" w:firstLineChars="200"/>
        <w:jc w:val="left"/>
        <w:rPr>
          <w:rFonts w:ascii="宋体" w:hAnsi="宋体"/>
          <w:sz w:val="24"/>
        </w:rPr>
      </w:pPr>
      <w:r>
        <w:rPr>
          <w:rFonts w:hint="eastAsia" w:ascii="宋体" w:hAnsi="宋体"/>
          <w:sz w:val="24"/>
        </w:rPr>
        <w:t>（10）投标人履约能力（可包含且不限于技术力量情况、投标人各项能力证书）；</w:t>
      </w:r>
    </w:p>
    <w:p>
      <w:pPr>
        <w:snapToGrid w:val="0"/>
        <w:spacing w:line="460" w:lineRule="exact"/>
        <w:ind w:firstLine="480" w:firstLineChars="200"/>
        <w:jc w:val="left"/>
        <w:rPr>
          <w:rFonts w:ascii="宋体" w:hAnsi="宋体"/>
          <w:sz w:val="24"/>
        </w:rPr>
      </w:pPr>
      <w:r>
        <w:rPr>
          <w:rFonts w:hint="eastAsia" w:ascii="宋体" w:hAnsi="宋体"/>
          <w:sz w:val="24"/>
        </w:rPr>
        <w:t>（11）案例的业绩证明（投标人业绩情况一览表、合同复印件等）；</w:t>
      </w:r>
    </w:p>
    <w:p>
      <w:pPr>
        <w:snapToGrid w:val="0"/>
        <w:spacing w:line="380" w:lineRule="exact"/>
        <w:ind w:firstLine="470" w:firstLineChars="196"/>
        <w:jc w:val="left"/>
        <w:rPr>
          <w:rFonts w:ascii="宋体" w:hAnsi="宋体" w:cs="仿宋_GB2312"/>
          <w:kern w:val="0"/>
          <w:sz w:val="24"/>
          <w:lang w:val="zh-CN"/>
        </w:rPr>
      </w:pPr>
      <w:r>
        <w:rPr>
          <w:rFonts w:hint="eastAsia" w:ascii="宋体" w:hAnsi="宋体"/>
          <w:sz w:val="24"/>
        </w:rPr>
        <w:t>（12）投标方认为需要的其他文件资料。</w:t>
      </w:r>
      <w:r>
        <w:rPr>
          <w:rFonts w:hint="eastAsia" w:ascii="宋体" w:hAnsi="宋体" w:cs="仿宋_GB2312"/>
          <w:kern w:val="0"/>
          <w:sz w:val="24"/>
          <w:lang w:val="zh-CN"/>
        </w:rPr>
        <w:t xml:space="preserve"> </w:t>
      </w:r>
    </w:p>
    <w:p>
      <w:pPr>
        <w:adjustRightInd w:val="0"/>
        <w:snapToGrid w:val="0"/>
        <w:spacing w:line="360" w:lineRule="auto"/>
        <w:rPr>
          <w:rFonts w:ascii="宋体" w:hAnsi="宋体"/>
          <w:b/>
          <w:sz w:val="24"/>
        </w:rPr>
      </w:pPr>
      <w:r>
        <w:rPr>
          <w:rFonts w:hint="eastAsia" w:ascii="宋体" w:hAnsi="宋体"/>
          <w:b/>
          <w:bCs/>
          <w:sz w:val="24"/>
        </w:rPr>
        <w:t>注：以上目录是编制投标技术文件的基本格式要求，各投标人可根据自身情况进一步细化。</w:t>
      </w:r>
    </w:p>
    <w:p>
      <w:pPr>
        <w:snapToGrid w:val="0"/>
        <w:spacing w:before="50" w:after="50"/>
        <w:rPr>
          <w:rFonts w:ascii="宋体" w:hAnsi="宋体"/>
          <w:spacing w:val="20"/>
          <w:sz w:val="24"/>
        </w:rPr>
      </w:pPr>
    </w:p>
    <w:p>
      <w:pPr>
        <w:snapToGrid w:val="0"/>
        <w:spacing w:before="50" w:after="50"/>
        <w:rPr>
          <w:rFonts w:ascii="宋体" w:hAnsi="宋体"/>
          <w:spacing w:val="20"/>
          <w:sz w:val="24"/>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snapToGrid w:val="0"/>
        <w:spacing w:before="50" w:after="50"/>
        <w:jc w:val="center"/>
        <w:rPr>
          <w:rFonts w:ascii="宋体" w:hAnsi="宋体"/>
          <w:b/>
          <w:sz w:val="28"/>
          <w:szCs w:val="28"/>
        </w:rPr>
      </w:pPr>
      <w:r>
        <w:rPr>
          <w:rFonts w:hint="eastAsia" w:ascii="宋体" w:hAnsi="宋体"/>
          <w:b/>
          <w:sz w:val="28"/>
          <w:szCs w:val="28"/>
        </w:rPr>
        <w:t>评分对应表</w:t>
      </w:r>
    </w:p>
    <w:p>
      <w:pPr>
        <w:snapToGrid w:val="0"/>
        <w:spacing w:before="50"/>
        <w:jc w:val="center"/>
        <w:rPr>
          <w:rFonts w:ascii="宋体" w:hAnsi="宋体"/>
          <w:b/>
          <w:sz w:val="28"/>
          <w:szCs w:val="28"/>
        </w:rPr>
      </w:pPr>
    </w:p>
    <w:p>
      <w:pPr>
        <w:pStyle w:val="7"/>
        <w:snapToGrid w:val="0"/>
        <w:rPr>
          <w:rFonts w:ascii="宋体" w:hAnsi="宋体" w:eastAsia="宋体"/>
          <w:sz w:val="24"/>
          <w:szCs w:val="24"/>
          <w:u w:val="single"/>
        </w:rPr>
      </w:pPr>
      <w:r>
        <w:rPr>
          <w:rFonts w:hint="eastAsia" w:ascii="宋体" w:hAnsi="宋体" w:eastAsia="宋体"/>
          <w:sz w:val="24"/>
          <w:szCs w:val="24"/>
        </w:rPr>
        <w:t>投标人全称（公章）：              标项：</w:t>
      </w:r>
    </w:p>
    <w:tbl>
      <w:tblPr>
        <w:tblStyle w:val="1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r>
              <w:rPr>
                <w:rFonts w:hint="eastAsia" w:ascii="宋体" w:hAnsi="宋体"/>
                <w:sz w:val="24"/>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r>
              <w:rPr>
                <w:rFonts w:hint="eastAsia" w:ascii="宋体" w:hAnsi="宋体"/>
                <w:sz w:val="24"/>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bl>
    <w:p>
      <w:pPr>
        <w:snapToGrid w:val="0"/>
        <w:spacing w:beforeLines="50"/>
        <w:rPr>
          <w:rFonts w:ascii="宋体" w:hAnsi="宋体"/>
          <w:sz w:val="24"/>
          <w:u w:val="single"/>
        </w:rPr>
      </w:pPr>
      <w:r>
        <w:rPr>
          <w:rFonts w:hint="eastAsia" w:ascii="宋体" w:hAnsi="宋体"/>
          <w:sz w:val="24"/>
        </w:rPr>
        <w:t>授权代表签名：               日期：</w:t>
      </w:r>
    </w:p>
    <w:p>
      <w:pPr>
        <w:snapToGrid w:val="0"/>
        <w:spacing w:before="50" w:afterLines="50"/>
        <w:jc w:val="left"/>
        <w:rPr>
          <w:rFonts w:ascii="宋体" w:hAnsi="宋体"/>
          <w:sz w:val="24"/>
        </w:rPr>
      </w:pPr>
    </w:p>
    <w:p>
      <w:pPr>
        <w:snapToGrid w:val="0"/>
        <w:spacing w:before="50" w:afterLines="50"/>
        <w:jc w:val="left"/>
        <w:rPr>
          <w:rFonts w:ascii="宋体" w:hAnsi="宋体"/>
          <w:sz w:val="28"/>
          <w:szCs w:val="28"/>
        </w:rPr>
      </w:pPr>
    </w:p>
    <w:p>
      <w:pPr>
        <w:snapToGrid w:val="0"/>
        <w:spacing w:before="50" w:afterLines="50"/>
        <w:jc w:val="left"/>
        <w:rPr>
          <w:rFonts w:ascii="宋体" w:hAnsi="宋体"/>
          <w:sz w:val="28"/>
          <w:szCs w:val="28"/>
        </w:rPr>
      </w:pPr>
      <w:r>
        <w:rPr>
          <w:rFonts w:hint="eastAsia" w:ascii="宋体" w:hAnsi="宋体"/>
          <w:sz w:val="28"/>
          <w:szCs w:val="28"/>
        </w:rPr>
        <w:br w:type="page"/>
      </w:r>
    </w:p>
    <w:p>
      <w:pPr>
        <w:snapToGrid w:val="0"/>
        <w:spacing w:before="50" w:afterLines="50"/>
        <w:jc w:val="center"/>
        <w:rPr>
          <w:rFonts w:ascii="宋体" w:hAnsi="宋体"/>
          <w:b/>
          <w:spacing w:val="40"/>
          <w:kern w:val="0"/>
          <w:sz w:val="28"/>
          <w:szCs w:val="28"/>
        </w:rPr>
      </w:pPr>
      <w:r>
        <w:rPr>
          <w:rFonts w:hint="eastAsia" w:ascii="宋体" w:hAnsi="宋体"/>
          <w:b/>
          <w:spacing w:val="40"/>
          <w:kern w:val="0"/>
          <w:sz w:val="28"/>
          <w:szCs w:val="28"/>
        </w:rPr>
        <w:t>投标项目明细清单</w:t>
      </w:r>
    </w:p>
    <w:p>
      <w:pPr>
        <w:snapToGrid w:val="0"/>
        <w:spacing w:before="50" w:afterLines="50"/>
        <w:jc w:val="center"/>
        <w:rPr>
          <w:rFonts w:ascii="宋体" w:hAnsi="宋体"/>
          <w:b/>
          <w:spacing w:val="40"/>
          <w:kern w:val="0"/>
          <w:sz w:val="28"/>
          <w:szCs w:val="28"/>
        </w:rPr>
      </w:pPr>
    </w:p>
    <w:p>
      <w:pPr>
        <w:pStyle w:val="7"/>
        <w:snapToGrid w:val="0"/>
        <w:rPr>
          <w:rFonts w:ascii="宋体" w:hAnsi="宋体" w:eastAsia="宋体"/>
          <w:kern w:val="0"/>
          <w:sz w:val="24"/>
          <w:szCs w:val="24"/>
          <w:u w:val="single"/>
        </w:rPr>
      </w:pPr>
      <w:r>
        <w:rPr>
          <w:rFonts w:hint="eastAsia" w:ascii="宋体" w:hAnsi="宋体" w:eastAsia="宋体"/>
          <w:sz w:val="24"/>
          <w:szCs w:val="24"/>
        </w:rPr>
        <w:t>投标人全称（公章）：                标项：</w:t>
      </w:r>
    </w:p>
    <w:p>
      <w:pPr>
        <w:pStyle w:val="7"/>
        <w:snapToGrid w:val="0"/>
        <w:rPr>
          <w:rFonts w:ascii="宋体" w:hAnsi="宋体" w:eastAsia="宋体"/>
          <w:sz w:val="24"/>
          <w:szCs w:val="24"/>
        </w:rPr>
      </w:pPr>
      <w:r>
        <w:rPr>
          <w:rFonts w:hint="eastAsia" w:ascii="宋体" w:hAnsi="宋体" w:eastAsia="宋体"/>
          <w:sz w:val="24"/>
          <w:szCs w:val="24"/>
        </w:rPr>
        <w:t>货物类</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规格</w:t>
            </w:r>
          </w:p>
          <w:p>
            <w:pPr>
              <w:snapToGrid w:val="0"/>
              <w:spacing w:before="50" w:after="50"/>
              <w:jc w:val="center"/>
              <w:rPr>
                <w:rFonts w:ascii="宋体" w:hAnsi="宋体"/>
                <w:sz w:val="24"/>
              </w:rPr>
            </w:pPr>
            <w:r>
              <w:rPr>
                <w:rFonts w:hint="eastAsia" w:ascii="宋体" w:hAnsi="宋体"/>
                <w:sz w:val="24"/>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单位及</w:t>
            </w:r>
          </w:p>
          <w:p>
            <w:pPr>
              <w:snapToGrid w:val="0"/>
              <w:spacing w:before="50" w:after="50"/>
              <w:jc w:val="center"/>
              <w:rPr>
                <w:rFonts w:ascii="宋体" w:hAnsi="宋体"/>
                <w:sz w:val="24"/>
              </w:rPr>
            </w:pPr>
            <w:r>
              <w:rPr>
                <w:rFonts w:hint="eastAsia" w:ascii="宋体" w:hAnsi="宋体"/>
                <w:sz w:val="24"/>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sz w:val="24"/>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sz w:val="24"/>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bl>
    <w:p>
      <w:pPr>
        <w:snapToGrid w:val="0"/>
        <w:spacing w:beforeLines="50"/>
        <w:rPr>
          <w:rFonts w:ascii="宋体" w:hAnsi="宋体"/>
          <w:sz w:val="24"/>
        </w:rPr>
      </w:pPr>
      <w:r>
        <w:rPr>
          <w:rFonts w:hint="eastAsia" w:ascii="宋体" w:hAnsi="宋体"/>
          <w:sz w:val="24"/>
        </w:rPr>
        <w:t>服务类</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sz w:val="24"/>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sz w:val="24"/>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bl>
    <w:p>
      <w:pPr>
        <w:snapToGrid w:val="0"/>
        <w:spacing w:beforeLines="50"/>
        <w:rPr>
          <w:rFonts w:ascii="宋体" w:hAnsi="宋体"/>
          <w:sz w:val="24"/>
        </w:rPr>
      </w:pPr>
      <w:r>
        <w:rPr>
          <w:rFonts w:hint="eastAsia" w:ascii="宋体" w:hAnsi="宋体"/>
          <w:sz w:val="24"/>
        </w:rPr>
        <w:t>注：在填写时，如上表不适合本项目的实际情况，可在确保投标明细内容完整的情况下，根据上表格式自行划表填写。</w:t>
      </w:r>
    </w:p>
    <w:p>
      <w:pPr>
        <w:snapToGrid w:val="0"/>
        <w:spacing w:beforeLines="50"/>
        <w:rPr>
          <w:rFonts w:ascii="宋体" w:hAnsi="宋体"/>
          <w:sz w:val="24"/>
        </w:rPr>
      </w:pPr>
    </w:p>
    <w:p>
      <w:pPr>
        <w:snapToGrid w:val="0"/>
        <w:spacing w:beforeLines="50"/>
        <w:rPr>
          <w:rFonts w:ascii="宋体" w:hAnsi="宋体"/>
          <w:sz w:val="24"/>
          <w:u w:val="single"/>
        </w:rPr>
      </w:pPr>
      <w:r>
        <w:rPr>
          <w:rFonts w:hint="eastAsia" w:ascii="宋体" w:hAnsi="宋体"/>
          <w:sz w:val="24"/>
        </w:rPr>
        <w:t>授权代表签名：               日期：</w:t>
      </w:r>
    </w:p>
    <w:p>
      <w:pPr>
        <w:snapToGrid w:val="0"/>
        <w:spacing w:before="50" w:after="50"/>
        <w:rPr>
          <w:rFonts w:ascii="宋体" w:hAnsi="宋体"/>
          <w:spacing w:val="20"/>
          <w:sz w:val="24"/>
        </w:rPr>
      </w:pPr>
    </w:p>
    <w:p>
      <w:pPr>
        <w:snapToGrid w:val="0"/>
        <w:spacing w:before="50" w:after="50"/>
        <w:rPr>
          <w:rFonts w:ascii="宋体" w:hAnsi="宋体"/>
          <w:spacing w:val="20"/>
          <w:sz w:val="28"/>
          <w:szCs w:val="28"/>
        </w:rPr>
      </w:pPr>
    </w:p>
    <w:p>
      <w:pPr>
        <w:snapToGrid w:val="0"/>
        <w:spacing w:before="50" w:after="50"/>
        <w:rPr>
          <w:rFonts w:ascii="宋体" w:hAnsi="宋体"/>
          <w:sz w:val="28"/>
          <w:szCs w:val="28"/>
        </w:rPr>
      </w:pPr>
      <w:r>
        <w:rPr>
          <w:rFonts w:hint="eastAsia" w:ascii="宋体" w:hAnsi="宋体"/>
          <w:spacing w:val="20"/>
          <w:sz w:val="28"/>
          <w:szCs w:val="28"/>
        </w:rPr>
        <w:br w:type="page"/>
      </w:r>
    </w:p>
    <w:p>
      <w:pPr>
        <w:snapToGrid w:val="0"/>
        <w:spacing w:before="50" w:afterLines="50"/>
        <w:jc w:val="center"/>
        <w:rPr>
          <w:rFonts w:ascii="宋体" w:hAnsi="宋体"/>
          <w:b/>
          <w:spacing w:val="40"/>
          <w:kern w:val="0"/>
          <w:sz w:val="28"/>
          <w:szCs w:val="28"/>
        </w:rPr>
      </w:pPr>
      <w:r>
        <w:rPr>
          <w:rFonts w:hint="eastAsia" w:ascii="宋体" w:hAnsi="宋体"/>
          <w:b/>
          <w:spacing w:val="40"/>
          <w:kern w:val="0"/>
          <w:sz w:val="28"/>
          <w:szCs w:val="28"/>
        </w:rPr>
        <w:t>技 术 响 应 表</w:t>
      </w:r>
    </w:p>
    <w:p>
      <w:pPr>
        <w:snapToGrid w:val="0"/>
        <w:spacing w:before="50" w:afterLines="50"/>
        <w:jc w:val="center"/>
        <w:rPr>
          <w:rFonts w:ascii="宋体" w:hAnsi="宋体"/>
          <w:b/>
          <w:sz w:val="28"/>
          <w:szCs w:val="28"/>
        </w:rPr>
      </w:pPr>
    </w:p>
    <w:p>
      <w:pPr>
        <w:pStyle w:val="7"/>
        <w:snapToGrid w:val="0"/>
        <w:rPr>
          <w:rFonts w:ascii="宋体" w:hAnsi="宋体" w:eastAsia="宋体"/>
          <w:sz w:val="24"/>
          <w:szCs w:val="24"/>
          <w:u w:val="single"/>
        </w:rPr>
      </w:pPr>
      <w:r>
        <w:rPr>
          <w:rFonts w:hint="eastAsia" w:ascii="宋体" w:hAnsi="宋体" w:eastAsia="宋体"/>
          <w:sz w:val="24"/>
          <w:szCs w:val="24"/>
        </w:rPr>
        <w:t>投标人全称（公章）：            标项：</w:t>
      </w:r>
    </w:p>
    <w:tbl>
      <w:tblPr>
        <w:tblStyle w:val="1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snapToGrid w:val="0"/>
              <w:spacing w:before="50" w:afterLines="50"/>
              <w:jc w:val="center"/>
              <w:rPr>
                <w:rFonts w:ascii="宋体" w:hAnsi="宋体"/>
                <w:sz w:val="24"/>
              </w:rPr>
            </w:pPr>
            <w:r>
              <w:rPr>
                <w:rFonts w:hint="eastAsia" w:ascii="宋体" w:hAnsi="宋体"/>
                <w:sz w:val="24"/>
              </w:rPr>
              <w:t>招标文件要求</w:t>
            </w:r>
          </w:p>
        </w:tc>
        <w:tc>
          <w:tcPr>
            <w:tcW w:w="2196" w:type="dxa"/>
            <w:tcBorders>
              <w:top w:val="single" w:color="auto" w:sz="4" w:space="0"/>
              <w:left w:val="single" w:color="auto" w:sz="4" w:space="0"/>
              <w:bottom w:val="single" w:color="auto" w:sz="4" w:space="0"/>
              <w:right w:val="single" w:color="auto" w:sz="4" w:space="0"/>
            </w:tcBorders>
          </w:tcPr>
          <w:p>
            <w:pPr>
              <w:snapToGrid w:val="0"/>
              <w:spacing w:before="50" w:afterLines="50"/>
              <w:jc w:val="center"/>
              <w:rPr>
                <w:rFonts w:ascii="宋体" w:hAnsi="宋体"/>
                <w:sz w:val="24"/>
              </w:rPr>
            </w:pPr>
            <w:r>
              <w:rPr>
                <w:rFonts w:hint="eastAsia" w:ascii="宋体" w:hAnsi="宋体"/>
                <w:sz w:val="24"/>
              </w:rPr>
              <w:t>投标文件响应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Lines="50"/>
              <w:jc w:val="center"/>
              <w:rPr>
                <w:rFonts w:ascii="宋体" w:hAnsi="宋体"/>
                <w:sz w:val="24"/>
              </w:rPr>
            </w:pPr>
            <w:r>
              <w:rPr>
                <w:rFonts w:hint="eastAsia" w:ascii="宋体" w:hAnsi="宋体"/>
                <w:sz w:val="24"/>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9"/>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9"/>
              <w:snapToGrid w:val="0"/>
              <w:spacing w:before="120" w:after="120"/>
              <w:outlineLvl w:val="0"/>
              <w:rPr>
                <w:rFonts w:hAnsi="宋体"/>
              </w:rPr>
            </w:pPr>
          </w:p>
        </w:tc>
        <w:tc>
          <w:tcPr>
            <w:tcW w:w="2423" w:type="dxa"/>
            <w:tcBorders>
              <w:top w:val="single" w:color="auto" w:sz="4" w:space="0"/>
              <w:left w:val="single" w:color="auto" w:sz="4" w:space="0"/>
              <w:bottom w:val="single" w:color="auto" w:sz="4" w:space="0"/>
              <w:right w:val="single" w:color="auto" w:sz="4" w:space="0"/>
            </w:tcBorders>
          </w:tcPr>
          <w:p>
            <w:pPr>
              <w:pStyle w:val="9"/>
              <w:snapToGrid w:val="0"/>
              <w:spacing w:before="120" w:after="120"/>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9"/>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9"/>
              <w:snapToGrid w:val="0"/>
              <w:spacing w:before="120" w:after="120"/>
              <w:rPr>
                <w:rFonts w:hAnsi="宋体"/>
              </w:rPr>
            </w:pPr>
          </w:p>
        </w:tc>
        <w:tc>
          <w:tcPr>
            <w:tcW w:w="2423" w:type="dxa"/>
            <w:tcBorders>
              <w:top w:val="single" w:color="auto" w:sz="4" w:space="0"/>
              <w:left w:val="single" w:color="auto" w:sz="4" w:space="0"/>
              <w:bottom w:val="single" w:color="auto" w:sz="4" w:space="0"/>
              <w:right w:val="single" w:color="auto" w:sz="4" w:space="0"/>
            </w:tcBorders>
          </w:tcPr>
          <w:p>
            <w:pPr>
              <w:pStyle w:val="9"/>
              <w:snapToGrid w:val="0"/>
              <w:spacing w:before="120" w:after="12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9"/>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9"/>
              <w:snapToGrid w:val="0"/>
              <w:spacing w:before="120" w:after="120"/>
              <w:outlineLvl w:val="0"/>
              <w:rPr>
                <w:rFonts w:hAnsi="宋体"/>
              </w:rPr>
            </w:pPr>
          </w:p>
        </w:tc>
        <w:tc>
          <w:tcPr>
            <w:tcW w:w="2423" w:type="dxa"/>
            <w:tcBorders>
              <w:top w:val="single" w:color="auto" w:sz="4" w:space="0"/>
              <w:left w:val="single" w:color="auto" w:sz="4" w:space="0"/>
              <w:bottom w:val="single" w:color="auto" w:sz="4" w:space="0"/>
              <w:right w:val="single" w:color="auto" w:sz="4" w:space="0"/>
            </w:tcBorders>
          </w:tcPr>
          <w:p>
            <w:pPr>
              <w:pStyle w:val="9"/>
              <w:snapToGrid w:val="0"/>
              <w:spacing w:before="120" w:after="120"/>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9"/>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9"/>
              <w:snapToGrid w:val="0"/>
              <w:spacing w:before="120" w:after="120"/>
              <w:outlineLvl w:val="0"/>
              <w:rPr>
                <w:rFonts w:hAnsi="宋体"/>
              </w:rPr>
            </w:pPr>
          </w:p>
        </w:tc>
        <w:tc>
          <w:tcPr>
            <w:tcW w:w="2423" w:type="dxa"/>
            <w:tcBorders>
              <w:top w:val="single" w:color="auto" w:sz="4" w:space="0"/>
              <w:left w:val="single" w:color="auto" w:sz="4" w:space="0"/>
              <w:bottom w:val="nil"/>
              <w:right w:val="single" w:color="auto" w:sz="4" w:space="0"/>
            </w:tcBorders>
          </w:tcPr>
          <w:p>
            <w:pPr>
              <w:pStyle w:val="9"/>
              <w:snapToGrid w:val="0"/>
              <w:spacing w:before="120" w:after="120"/>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9"/>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9"/>
              <w:snapToGrid w:val="0"/>
              <w:spacing w:before="120" w:after="120"/>
              <w:outlineLvl w:val="0"/>
              <w:rPr>
                <w:rFonts w:hAnsi="宋体"/>
              </w:rPr>
            </w:pPr>
          </w:p>
        </w:tc>
        <w:tc>
          <w:tcPr>
            <w:tcW w:w="2423" w:type="dxa"/>
            <w:tcBorders>
              <w:top w:val="single" w:color="auto" w:sz="4" w:space="0"/>
              <w:left w:val="single" w:color="auto" w:sz="4" w:space="0"/>
              <w:bottom w:val="single" w:color="auto" w:sz="4" w:space="0"/>
              <w:right w:val="single" w:color="auto" w:sz="4" w:space="0"/>
            </w:tcBorders>
          </w:tcPr>
          <w:p>
            <w:pPr>
              <w:pStyle w:val="9"/>
              <w:snapToGrid w:val="0"/>
              <w:spacing w:before="120" w:after="120"/>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9"/>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9"/>
              <w:snapToGrid w:val="0"/>
              <w:spacing w:before="120" w:after="120"/>
              <w:outlineLvl w:val="0"/>
              <w:rPr>
                <w:rFonts w:hAnsi="宋体"/>
              </w:rPr>
            </w:pPr>
          </w:p>
        </w:tc>
        <w:tc>
          <w:tcPr>
            <w:tcW w:w="2423" w:type="dxa"/>
            <w:tcBorders>
              <w:top w:val="single" w:color="auto" w:sz="4" w:space="0"/>
              <w:left w:val="single" w:color="auto" w:sz="4" w:space="0"/>
              <w:bottom w:val="single" w:color="auto" w:sz="4" w:space="0"/>
              <w:right w:val="single" w:color="auto" w:sz="4" w:space="0"/>
            </w:tcBorders>
          </w:tcPr>
          <w:p>
            <w:pPr>
              <w:pStyle w:val="9"/>
              <w:snapToGrid w:val="0"/>
              <w:spacing w:before="120" w:after="120"/>
              <w:outlineLvl w:val="0"/>
              <w:rPr>
                <w:rFonts w:hAnsi="宋体"/>
              </w:rPr>
            </w:pPr>
          </w:p>
        </w:tc>
      </w:tr>
    </w:tbl>
    <w:p>
      <w:pPr>
        <w:pStyle w:val="8"/>
        <w:rPr>
          <w:rFonts w:ascii="宋体" w:hAnsi="宋体"/>
          <w:sz w:val="24"/>
        </w:rPr>
      </w:pPr>
    </w:p>
    <w:p>
      <w:pPr>
        <w:pStyle w:val="8"/>
        <w:rPr>
          <w:rFonts w:ascii="宋体" w:hAnsi="宋体"/>
          <w:spacing w:val="20"/>
          <w:kern w:val="0"/>
          <w:sz w:val="24"/>
        </w:rPr>
      </w:pPr>
      <w:r>
        <w:rPr>
          <w:rFonts w:hint="eastAsia" w:ascii="宋体" w:hAnsi="宋体"/>
          <w:sz w:val="24"/>
        </w:rPr>
        <w:t>注：投标人应根据投标设备的性能指标、对照招标文件要求在“偏离情况”栏注明“正偏离”、“负偏离”或“无偏离”。</w:t>
      </w:r>
    </w:p>
    <w:p>
      <w:pPr>
        <w:snapToGrid w:val="0"/>
        <w:spacing w:before="50" w:after="50"/>
        <w:rPr>
          <w:rFonts w:ascii="宋体" w:hAnsi="宋体"/>
          <w:spacing w:val="20"/>
          <w:sz w:val="24"/>
        </w:rPr>
      </w:pPr>
    </w:p>
    <w:p>
      <w:pPr>
        <w:snapToGrid w:val="0"/>
        <w:spacing w:before="50" w:after="50"/>
        <w:rPr>
          <w:rFonts w:ascii="宋体" w:hAnsi="宋体"/>
          <w:sz w:val="24"/>
        </w:rPr>
      </w:pPr>
      <w:r>
        <w:rPr>
          <w:rFonts w:hint="eastAsia" w:ascii="宋体" w:hAnsi="宋体"/>
          <w:spacing w:val="20"/>
          <w:sz w:val="24"/>
        </w:rPr>
        <w:t>授权代表签名：          日 期：</w:t>
      </w:r>
    </w:p>
    <w:p>
      <w:pPr>
        <w:snapToGrid w:val="0"/>
        <w:spacing w:before="50" w:afterLines="50"/>
        <w:jc w:val="left"/>
        <w:rPr>
          <w:rFonts w:ascii="宋体" w:hAnsi="宋体"/>
          <w:sz w:val="24"/>
        </w:rPr>
      </w:pPr>
    </w:p>
    <w:p>
      <w:pPr>
        <w:snapToGrid w:val="0"/>
        <w:spacing w:before="50" w:after="50"/>
        <w:rPr>
          <w:rFonts w:ascii="宋体" w:hAnsi="宋体"/>
          <w:sz w:val="24"/>
        </w:rPr>
      </w:pPr>
      <w:r>
        <w:rPr>
          <w:rFonts w:hint="eastAsia" w:ascii="宋体" w:hAnsi="宋体"/>
          <w:sz w:val="24"/>
        </w:rPr>
        <w:br w:type="page"/>
      </w:r>
    </w:p>
    <w:p>
      <w:pPr>
        <w:snapToGrid w:val="0"/>
        <w:spacing w:before="50" w:afterLines="50"/>
        <w:jc w:val="center"/>
        <w:rPr>
          <w:rFonts w:ascii="宋体" w:hAnsi="宋体"/>
          <w:b/>
          <w:kern w:val="0"/>
          <w:sz w:val="28"/>
          <w:szCs w:val="28"/>
        </w:rPr>
      </w:pPr>
      <w:r>
        <w:rPr>
          <w:rFonts w:hint="eastAsia" w:ascii="宋体" w:hAnsi="宋体"/>
          <w:b/>
          <w:kern w:val="0"/>
          <w:sz w:val="28"/>
          <w:szCs w:val="28"/>
        </w:rPr>
        <w:t>项目组人员清单</w:t>
      </w:r>
    </w:p>
    <w:p>
      <w:pPr>
        <w:snapToGrid w:val="0"/>
        <w:spacing w:beforeLines="50" w:after="50"/>
        <w:jc w:val="center"/>
        <w:rPr>
          <w:rFonts w:ascii="宋体" w:hAnsi="宋体"/>
          <w:b/>
          <w:sz w:val="28"/>
          <w:szCs w:val="28"/>
        </w:rPr>
      </w:pPr>
    </w:p>
    <w:p>
      <w:pPr>
        <w:pStyle w:val="7"/>
        <w:snapToGrid w:val="0"/>
        <w:rPr>
          <w:rFonts w:ascii="宋体" w:hAnsi="宋体" w:eastAsia="宋体"/>
          <w:sz w:val="24"/>
          <w:szCs w:val="24"/>
          <w:u w:val="single"/>
        </w:rPr>
      </w:pPr>
      <w:r>
        <w:rPr>
          <w:rFonts w:hint="eastAsia" w:ascii="宋体" w:hAnsi="宋体" w:eastAsia="宋体"/>
          <w:sz w:val="24"/>
          <w:szCs w:val="24"/>
        </w:rPr>
        <w:t>投标人全称（公章）：              标项：</w:t>
      </w:r>
    </w:p>
    <w:tbl>
      <w:tblPr>
        <w:tblStyle w:val="15"/>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sz w:val="24"/>
              </w:rPr>
            </w:pPr>
            <w:r>
              <w:rPr>
                <w:rFonts w:hint="eastAsia" w:ascii="宋体" w:hAnsi="宋体"/>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sz w:val="24"/>
              </w:rPr>
            </w:pPr>
            <w:r>
              <w:rPr>
                <w:rFonts w:hint="eastAsia" w:ascii="宋体" w:hAnsi="宋体"/>
                <w:sz w:val="24"/>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sz w:val="24"/>
              </w:rPr>
            </w:pPr>
            <w:r>
              <w:rPr>
                <w:rFonts w:hint="eastAsia" w:ascii="宋体" w:hAnsi="宋体"/>
                <w:sz w:val="24"/>
              </w:rPr>
              <w:t>专业技</w:t>
            </w:r>
          </w:p>
          <w:p>
            <w:pPr>
              <w:snapToGrid w:val="0"/>
              <w:spacing w:beforeLines="50" w:after="50" w:line="460" w:lineRule="exact"/>
              <w:jc w:val="center"/>
              <w:rPr>
                <w:rFonts w:ascii="宋体" w:hAnsi="宋体"/>
                <w:sz w:val="24"/>
              </w:rPr>
            </w:pPr>
            <w:r>
              <w:rPr>
                <w:rFonts w:hint="eastAsia" w:ascii="宋体" w:hAnsi="宋体"/>
                <w:sz w:val="24"/>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sz w:val="24"/>
              </w:rPr>
            </w:pPr>
            <w:r>
              <w:rPr>
                <w:rFonts w:hint="eastAsia" w:ascii="宋体" w:hAnsi="宋体"/>
                <w:sz w:val="24"/>
              </w:rPr>
              <w:t>证书</w:t>
            </w:r>
          </w:p>
          <w:p>
            <w:pPr>
              <w:snapToGrid w:val="0"/>
              <w:spacing w:beforeLines="50" w:after="50" w:line="460" w:lineRule="exact"/>
              <w:jc w:val="center"/>
              <w:rPr>
                <w:rFonts w:ascii="宋体" w:hAnsi="宋体"/>
                <w:sz w:val="24"/>
              </w:rPr>
            </w:pPr>
            <w:r>
              <w:rPr>
                <w:rFonts w:hint="eastAsia" w:ascii="宋体" w:hAnsi="宋体"/>
                <w:sz w:val="24"/>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bCs/>
                <w:sz w:val="24"/>
              </w:rPr>
            </w:pPr>
            <w:r>
              <w:rPr>
                <w:rFonts w:hint="eastAsia" w:ascii="宋体" w:hAnsi="宋体"/>
                <w:bCs/>
                <w:sz w:val="24"/>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bCs/>
                <w:sz w:val="24"/>
              </w:rPr>
            </w:pPr>
            <w:r>
              <w:rPr>
                <w:rFonts w:hint="eastAsia" w:ascii="宋体" w:hAnsi="宋体"/>
                <w:bCs/>
                <w:sz w:val="24"/>
              </w:rPr>
              <w:t>劳动合</w:t>
            </w:r>
          </w:p>
          <w:p>
            <w:pPr>
              <w:snapToGrid w:val="0"/>
              <w:spacing w:beforeLines="50" w:after="50" w:line="460" w:lineRule="exact"/>
              <w:jc w:val="center"/>
              <w:rPr>
                <w:rFonts w:ascii="宋体" w:hAnsi="宋体"/>
                <w:bCs/>
                <w:sz w:val="24"/>
              </w:rPr>
            </w:pPr>
            <w:r>
              <w:rPr>
                <w:rFonts w:hint="eastAsia" w:ascii="宋体" w:hAnsi="宋体"/>
                <w:bCs/>
                <w:sz w:val="24"/>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pStyle w:val="10"/>
              <w:snapToGrid w:val="0"/>
              <w:spacing w:beforeLines="50" w:after="50" w:line="460" w:lineRule="exact"/>
              <w:ind w:left="5250"/>
              <w:rPr>
                <w:rFonts w:ascii="宋体" w:hAnsi="宋体" w:eastAsia="宋体"/>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bl>
    <w:p>
      <w:pPr>
        <w:snapToGrid w:val="0"/>
        <w:spacing w:before="50" w:afterLines="50" w:line="460" w:lineRule="exact"/>
        <w:jc w:val="left"/>
        <w:rPr>
          <w:rFonts w:ascii="宋体" w:hAnsi="宋体"/>
          <w:sz w:val="24"/>
        </w:rPr>
      </w:pPr>
      <w:r>
        <w:rPr>
          <w:rFonts w:hint="eastAsia" w:ascii="宋体" w:hAnsi="宋体"/>
          <w:sz w:val="24"/>
        </w:rPr>
        <w:t xml:space="preserve">注：在填写时，如本表格不适合投标单位的实际情况，可根据本表格式自行划表填写。 </w:t>
      </w:r>
    </w:p>
    <w:p>
      <w:pPr>
        <w:snapToGrid w:val="0"/>
        <w:spacing w:before="50" w:afterLines="50" w:line="460" w:lineRule="exact"/>
        <w:jc w:val="left"/>
        <w:rPr>
          <w:rFonts w:ascii="宋体" w:hAnsi="宋体"/>
          <w:sz w:val="24"/>
        </w:rPr>
      </w:pPr>
    </w:p>
    <w:p>
      <w:pPr>
        <w:snapToGrid w:val="0"/>
        <w:spacing w:before="50" w:after="50" w:line="460" w:lineRule="exact"/>
        <w:rPr>
          <w:rFonts w:ascii="宋体" w:hAnsi="宋体"/>
          <w:spacing w:val="20"/>
          <w:sz w:val="24"/>
          <w:u w:val="single"/>
        </w:rPr>
      </w:pPr>
      <w:r>
        <w:rPr>
          <w:rFonts w:hint="eastAsia" w:ascii="宋体" w:hAnsi="宋体"/>
          <w:spacing w:val="20"/>
          <w:sz w:val="24"/>
        </w:rPr>
        <w:t>授权代表签名： 日  期：</w:t>
      </w:r>
    </w:p>
    <w:p>
      <w:pPr>
        <w:snapToGrid w:val="0"/>
        <w:spacing w:before="50" w:afterLines="50" w:line="460" w:lineRule="exact"/>
        <w:jc w:val="left"/>
        <w:rPr>
          <w:rFonts w:ascii="宋体" w:hAnsi="宋体"/>
          <w:sz w:val="24"/>
        </w:rPr>
      </w:pPr>
    </w:p>
    <w:p>
      <w:pPr>
        <w:pStyle w:val="9"/>
        <w:snapToGrid w:val="0"/>
        <w:spacing w:before="120" w:after="120" w:line="460" w:lineRule="exact"/>
        <w:rPr>
          <w:rFonts w:hAnsi="宋体"/>
          <w:sz w:val="28"/>
          <w:szCs w:val="28"/>
        </w:rPr>
      </w:pPr>
    </w:p>
    <w:p>
      <w:pPr>
        <w:snapToGrid w:val="0"/>
        <w:spacing w:before="50"/>
        <w:jc w:val="left"/>
        <w:rPr>
          <w:rFonts w:ascii="宋体" w:hAnsi="宋体"/>
          <w:sz w:val="28"/>
          <w:szCs w:val="28"/>
        </w:rPr>
      </w:pPr>
      <w:r>
        <w:rPr>
          <w:rFonts w:hint="eastAsia" w:ascii="宋体" w:hAnsi="宋体"/>
          <w:sz w:val="28"/>
          <w:szCs w:val="28"/>
        </w:rPr>
        <w:br w:type="page"/>
      </w:r>
    </w:p>
    <w:p>
      <w:pPr>
        <w:snapToGrid w:val="0"/>
        <w:spacing w:before="50" w:after="50"/>
        <w:jc w:val="center"/>
        <w:rPr>
          <w:rFonts w:ascii="宋体" w:hAnsi="宋体"/>
          <w:b/>
          <w:sz w:val="28"/>
          <w:szCs w:val="28"/>
        </w:rPr>
      </w:pPr>
      <w:r>
        <w:rPr>
          <w:rFonts w:hint="eastAsia" w:ascii="宋体" w:hAnsi="宋体"/>
          <w:b/>
          <w:sz w:val="28"/>
          <w:szCs w:val="28"/>
        </w:rPr>
        <w:t>商务响应表</w:t>
      </w:r>
    </w:p>
    <w:p>
      <w:pPr>
        <w:snapToGrid w:val="0"/>
        <w:spacing w:before="50"/>
        <w:jc w:val="center"/>
        <w:rPr>
          <w:rFonts w:ascii="宋体" w:hAnsi="宋体"/>
          <w:b/>
          <w:sz w:val="28"/>
          <w:szCs w:val="28"/>
        </w:rPr>
      </w:pPr>
    </w:p>
    <w:p>
      <w:pPr>
        <w:pStyle w:val="7"/>
        <w:snapToGrid w:val="0"/>
        <w:rPr>
          <w:rFonts w:ascii="宋体" w:hAnsi="宋体" w:eastAsia="宋体"/>
          <w:sz w:val="24"/>
          <w:szCs w:val="24"/>
          <w:u w:val="single"/>
        </w:rPr>
      </w:pPr>
      <w:r>
        <w:rPr>
          <w:rFonts w:hint="eastAsia" w:ascii="宋体" w:hAnsi="宋体" w:eastAsia="宋体"/>
          <w:sz w:val="24"/>
          <w:szCs w:val="24"/>
        </w:rPr>
        <w:t>投标人全称（公章）：              标项：</w:t>
      </w:r>
    </w:p>
    <w:tbl>
      <w:tblPr>
        <w:tblStyle w:val="1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是否</w:t>
            </w:r>
          </w:p>
          <w:p>
            <w:pPr>
              <w:snapToGrid w:val="0"/>
              <w:spacing w:beforeLines="50"/>
              <w:jc w:val="center"/>
              <w:rPr>
                <w:rFonts w:ascii="宋体" w:hAnsi="宋体"/>
                <w:sz w:val="24"/>
              </w:rPr>
            </w:pPr>
            <w:r>
              <w:rPr>
                <w:rFonts w:hint="eastAsia" w:ascii="宋体" w:hAnsi="宋体"/>
                <w:sz w:val="24"/>
              </w:rPr>
              <w:t>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付款条件</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项目维护计划</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响应情况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本地化服务要求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技术培训</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公司技术力量情况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经验或业绩要求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r>
              <w:rPr>
                <w:rFonts w:hint="eastAsia" w:ascii="宋体" w:hAnsi="宋体"/>
                <w:sz w:val="24"/>
              </w:rPr>
              <w:t>……</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bl>
    <w:p>
      <w:pPr>
        <w:snapToGrid w:val="0"/>
        <w:spacing w:beforeLines="50"/>
        <w:rPr>
          <w:rFonts w:ascii="宋体" w:hAnsi="宋体"/>
          <w:sz w:val="24"/>
          <w:u w:val="single"/>
        </w:rPr>
      </w:pPr>
      <w:r>
        <w:rPr>
          <w:rFonts w:hint="eastAsia" w:ascii="宋体" w:hAnsi="宋体"/>
          <w:sz w:val="24"/>
        </w:rPr>
        <w:t>授权代表签名：               日期：</w:t>
      </w:r>
    </w:p>
    <w:p>
      <w:pPr>
        <w:snapToGrid w:val="0"/>
        <w:spacing w:before="50" w:afterLines="50"/>
        <w:jc w:val="left"/>
        <w:rPr>
          <w:rFonts w:ascii="宋体" w:hAnsi="宋体"/>
          <w:sz w:val="24"/>
        </w:rPr>
      </w:pPr>
    </w:p>
    <w:p>
      <w:pPr>
        <w:snapToGrid w:val="0"/>
        <w:spacing w:before="50" w:afterLines="50"/>
        <w:jc w:val="left"/>
        <w:rPr>
          <w:rFonts w:ascii="宋体" w:hAnsi="宋体"/>
          <w:sz w:val="24"/>
        </w:rPr>
      </w:pPr>
    </w:p>
    <w:p>
      <w:pPr>
        <w:snapToGrid w:val="0"/>
        <w:spacing w:before="50" w:afterLines="50"/>
        <w:jc w:val="left"/>
        <w:rPr>
          <w:rFonts w:ascii="宋体" w:hAnsi="宋体"/>
          <w:sz w:val="28"/>
          <w:szCs w:val="28"/>
        </w:rPr>
      </w:pPr>
    </w:p>
    <w:p>
      <w:pPr>
        <w:snapToGrid w:val="0"/>
        <w:spacing w:before="50" w:afterLines="50"/>
        <w:jc w:val="left"/>
        <w:rPr>
          <w:rFonts w:ascii="宋体" w:hAnsi="宋体"/>
          <w:sz w:val="28"/>
          <w:szCs w:val="28"/>
        </w:rPr>
      </w:pPr>
    </w:p>
    <w:p>
      <w:pPr>
        <w:widowControl/>
        <w:jc w:val="left"/>
        <w:rPr>
          <w:rFonts w:ascii="宋体" w:hAnsi="宋体"/>
          <w:sz w:val="28"/>
          <w:szCs w:val="28"/>
        </w:rPr>
        <w:sectPr>
          <w:pgSz w:w="11906" w:h="16838"/>
          <w:pgMar w:top="1474" w:right="1797" w:bottom="1247" w:left="1797" w:header="851" w:footer="851" w:gutter="0"/>
          <w:cols w:space="720" w:num="1"/>
        </w:sectPr>
      </w:pPr>
    </w:p>
    <w:p>
      <w:pPr>
        <w:snapToGrid w:val="0"/>
        <w:spacing w:before="50" w:after="50"/>
        <w:jc w:val="center"/>
        <w:rPr>
          <w:rFonts w:ascii="宋体" w:hAnsi="宋体"/>
          <w:b/>
          <w:sz w:val="28"/>
          <w:szCs w:val="28"/>
        </w:rPr>
      </w:pPr>
      <w:r>
        <w:rPr>
          <w:rFonts w:hint="eastAsia" w:ascii="宋体" w:hAnsi="宋体"/>
          <w:b/>
          <w:sz w:val="28"/>
          <w:szCs w:val="28"/>
        </w:rPr>
        <w:t>投标人业绩情况一览表</w:t>
      </w:r>
    </w:p>
    <w:p>
      <w:pPr>
        <w:pStyle w:val="7"/>
        <w:snapToGrid w:val="0"/>
        <w:rPr>
          <w:rFonts w:ascii="宋体" w:hAnsi="宋体" w:eastAsia="宋体"/>
          <w:sz w:val="24"/>
          <w:szCs w:val="24"/>
          <w:u w:val="single"/>
        </w:rPr>
      </w:pPr>
      <w:r>
        <w:rPr>
          <w:rFonts w:hint="eastAsia" w:ascii="宋体" w:hAnsi="宋体" w:eastAsia="宋体"/>
          <w:sz w:val="24"/>
          <w:szCs w:val="24"/>
        </w:rPr>
        <w:t>投标人全称（公章）：</w:t>
      </w:r>
    </w:p>
    <w:tbl>
      <w:tblPr>
        <w:tblStyle w:val="1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4"/>
        <w:gridCol w:w="1701"/>
        <w:gridCol w:w="992"/>
        <w:gridCol w:w="851"/>
        <w:gridCol w:w="1276"/>
        <w:gridCol w:w="992"/>
        <w:gridCol w:w="992"/>
        <w:gridCol w:w="15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1384"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采购单位名称</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设备或项目名称</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采购</w:t>
            </w:r>
          </w:p>
          <w:p>
            <w:pPr>
              <w:snapToGrid w:val="0"/>
              <w:jc w:val="center"/>
              <w:rPr>
                <w:rFonts w:ascii="宋体" w:hAnsi="宋体"/>
                <w:sz w:val="24"/>
              </w:rPr>
            </w:pPr>
            <w:r>
              <w:rPr>
                <w:rFonts w:hint="eastAsia" w:ascii="宋体" w:hAnsi="宋体"/>
                <w:sz w:val="24"/>
              </w:rPr>
              <w:t>数量</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单价</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合同</w:t>
            </w:r>
          </w:p>
          <w:p>
            <w:pPr>
              <w:snapToGrid w:val="0"/>
              <w:jc w:val="center"/>
              <w:rPr>
                <w:rFonts w:ascii="宋体" w:hAnsi="宋体"/>
                <w:sz w:val="24"/>
              </w:rPr>
            </w:pPr>
            <w:r>
              <w:rPr>
                <w:rFonts w:hint="eastAsia" w:ascii="宋体" w:hAnsi="宋体"/>
                <w:sz w:val="24"/>
              </w:rPr>
              <w:t>金额</w:t>
            </w:r>
          </w:p>
          <w:p>
            <w:pPr>
              <w:snapToGrid w:val="0"/>
              <w:jc w:val="center"/>
              <w:rPr>
                <w:rFonts w:ascii="宋体" w:hAnsi="宋体"/>
                <w:sz w:val="24"/>
              </w:rPr>
            </w:pPr>
            <w:r>
              <w:rPr>
                <w:rFonts w:hint="eastAsia" w:ascii="宋体" w:hAnsi="宋体"/>
                <w:sz w:val="24"/>
              </w:rPr>
              <w:t>（万元）</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附件页码</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采购单位联系人及</w:t>
            </w:r>
          </w:p>
          <w:p>
            <w:pPr>
              <w:snapToGrid w:val="0"/>
              <w:jc w:val="center"/>
              <w:rPr>
                <w:rFonts w:ascii="宋体" w:hAnsi="宋体"/>
                <w:sz w:val="24"/>
              </w:rPr>
            </w:pPr>
            <w:r>
              <w:rPr>
                <w:rFonts w:hint="eastAsia" w:ascii="宋体" w:hAnsi="宋体"/>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13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合</w:t>
            </w:r>
          </w:p>
          <w:p>
            <w:pPr>
              <w:snapToGrid w:val="0"/>
              <w:jc w:val="center"/>
              <w:rPr>
                <w:rFonts w:ascii="宋体" w:hAnsi="宋体"/>
                <w:sz w:val="24"/>
              </w:rPr>
            </w:pPr>
            <w:r>
              <w:rPr>
                <w:rFonts w:hint="eastAsia" w:ascii="宋体" w:hAnsi="宋体"/>
                <w:sz w:val="24"/>
              </w:rPr>
              <w:t>同</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验收</w:t>
            </w:r>
          </w:p>
          <w:p>
            <w:pPr>
              <w:snapToGrid w:val="0"/>
              <w:jc w:val="center"/>
              <w:rPr>
                <w:rFonts w:ascii="宋体" w:hAnsi="宋体"/>
                <w:sz w:val="24"/>
              </w:rPr>
            </w:pPr>
            <w:r>
              <w:rPr>
                <w:rFonts w:hint="eastAsia" w:ascii="宋体" w:hAnsi="宋体"/>
                <w:sz w:val="24"/>
              </w:rPr>
              <w:t>报告</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center"/>
              <w:rPr>
                <w:rFonts w:ascii="宋体" w:hAnsi="宋体"/>
                <w:sz w:val="24"/>
              </w:rPr>
            </w:pPr>
            <w:r>
              <w:rPr>
                <w:rFonts w:hint="eastAsia" w:ascii="宋体" w:hAnsi="宋体"/>
                <w:sz w:val="24"/>
              </w:rPr>
              <w:t>备注</w:t>
            </w:r>
          </w:p>
        </w:tc>
        <w:tc>
          <w:tcPr>
            <w:tcW w:w="8363" w:type="dxa"/>
            <w:gridSpan w:val="7"/>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r>
              <w:rPr>
                <w:rFonts w:hint="eastAsia" w:ascii="宋体" w:hAnsi="宋体"/>
                <w:sz w:val="24"/>
              </w:rPr>
              <w:t>提供投标人同类项目合同复印件、用户验收报告（如有）。</w:t>
            </w:r>
          </w:p>
        </w:tc>
      </w:tr>
    </w:tbl>
    <w:p>
      <w:pPr>
        <w:spacing w:line="360" w:lineRule="auto"/>
        <w:rPr>
          <w:rFonts w:ascii="宋体" w:hAnsi="宋体"/>
          <w:sz w:val="24"/>
        </w:rPr>
      </w:pPr>
    </w:p>
    <w:p>
      <w:pPr>
        <w:spacing w:line="360" w:lineRule="auto"/>
        <w:rPr>
          <w:rFonts w:ascii="宋体" w:hAnsi="宋体"/>
          <w:spacing w:val="20"/>
          <w:sz w:val="24"/>
        </w:rPr>
      </w:pPr>
      <w:r>
        <w:rPr>
          <w:rFonts w:hint="eastAsia" w:ascii="宋体" w:hAnsi="宋体"/>
          <w:sz w:val="24"/>
        </w:rPr>
        <w:t>授权代表签名：</w:t>
      </w:r>
      <w:r>
        <w:rPr>
          <w:rFonts w:hint="eastAsia" w:ascii="宋体" w:hAnsi="宋体"/>
          <w:sz w:val="24"/>
          <w:u w:val="single"/>
        </w:rPr>
        <w:t>　　　　　</w:t>
      </w:r>
      <w:r>
        <w:rPr>
          <w:rFonts w:hint="eastAsia" w:ascii="宋体" w:hAnsi="宋体"/>
          <w:sz w:val="24"/>
        </w:rPr>
        <w:t xml:space="preserve">                              </w:t>
      </w:r>
    </w:p>
    <w:p>
      <w:pPr>
        <w:spacing w:line="360" w:lineRule="auto"/>
        <w:rPr>
          <w:rFonts w:ascii="宋体" w:hAnsi="宋体"/>
          <w:spacing w:val="20"/>
          <w:sz w:val="24"/>
        </w:rPr>
      </w:pPr>
    </w:p>
    <w:p>
      <w:pPr>
        <w:spacing w:line="360" w:lineRule="auto"/>
        <w:rPr>
          <w:rFonts w:ascii="宋体" w:hAnsi="宋体"/>
          <w:spacing w:val="20"/>
          <w:sz w:val="28"/>
          <w:szCs w:val="28"/>
        </w:rPr>
      </w:pPr>
    </w:p>
    <w:p>
      <w:pPr>
        <w:spacing w:line="360" w:lineRule="auto"/>
        <w:rPr>
          <w:rFonts w:ascii="宋体" w:hAnsi="宋体"/>
          <w:spacing w:val="20"/>
          <w:sz w:val="28"/>
          <w:szCs w:val="28"/>
        </w:rPr>
      </w:pPr>
    </w:p>
    <w:p>
      <w:pPr>
        <w:pStyle w:val="10"/>
        <w:snapToGrid w:val="0"/>
        <w:spacing w:line="360" w:lineRule="auto"/>
        <w:ind w:left="5250"/>
        <w:rPr>
          <w:rFonts w:ascii="宋体" w:hAnsi="宋体" w:eastAsia="宋体"/>
          <w:sz w:val="28"/>
          <w:szCs w:val="28"/>
        </w:rPr>
      </w:pPr>
    </w:p>
    <w:p>
      <w:pPr>
        <w:pStyle w:val="10"/>
        <w:snapToGrid w:val="0"/>
        <w:spacing w:line="360" w:lineRule="auto"/>
        <w:ind w:left="5250"/>
        <w:rPr>
          <w:rFonts w:ascii="宋体" w:hAnsi="宋体" w:eastAsia="宋体"/>
          <w:sz w:val="28"/>
          <w:szCs w:val="28"/>
        </w:rPr>
      </w:pPr>
    </w:p>
    <w:p/>
    <w:p/>
    <w:p/>
    <w:p/>
    <w:p/>
    <w:p/>
    <w:p/>
    <w:p/>
    <w:p/>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snapToGrid w:val="0"/>
        <w:spacing w:beforeLines="50" w:after="50"/>
        <w:rPr>
          <w:rFonts w:ascii="宋体" w:hAnsi="宋体"/>
          <w:b/>
          <w:sz w:val="24"/>
        </w:rPr>
      </w:pPr>
      <w:r>
        <w:rPr>
          <w:rFonts w:hint="eastAsia" w:ascii="宋体" w:hAnsi="宋体"/>
          <w:sz w:val="24"/>
        </w:rPr>
        <w:t>封面格式</w:t>
      </w:r>
      <w:r>
        <w:rPr>
          <w:rFonts w:hint="eastAsia" w:ascii="宋体" w:hAnsi="宋体"/>
          <w:b/>
          <w:sz w:val="24"/>
        </w:rPr>
        <w:t xml:space="preserve">                                     </w:t>
      </w:r>
      <w:r>
        <w:rPr>
          <w:rFonts w:hint="eastAsia" w:ascii="宋体" w:hAnsi="宋体"/>
          <w:bCs/>
          <w:sz w:val="24"/>
        </w:rPr>
        <w:t>正本或副本</w:t>
      </w:r>
    </w:p>
    <w:p>
      <w:pPr>
        <w:snapToGrid w:val="0"/>
        <w:spacing w:beforeLines="50" w:after="50"/>
        <w:jc w:val="right"/>
        <w:rPr>
          <w:rFonts w:ascii="宋体" w:hAnsi="宋体"/>
          <w:bCs/>
          <w:sz w:val="24"/>
        </w:rPr>
      </w:pPr>
      <w:r>
        <w:rPr>
          <w:rFonts w:ascii="宋体" w:hAnsi="宋体"/>
          <w:sz w:val="24"/>
        </w:rPr>
        <w:t xml:space="preserve">                                            </w:t>
      </w:r>
    </w:p>
    <w:p>
      <w:pPr>
        <w:ind w:right="-110"/>
        <w:jc w:val="center"/>
        <w:rPr>
          <w:rFonts w:ascii="宋体" w:hAnsi="宋体"/>
          <w:spacing w:val="40"/>
          <w:sz w:val="32"/>
          <w:szCs w:val="32"/>
        </w:rPr>
      </w:pPr>
      <w:r>
        <w:rPr>
          <w:rFonts w:hint="eastAsia" w:ascii="宋体" w:hAnsi="宋体"/>
          <w:spacing w:val="40"/>
          <w:sz w:val="32"/>
          <w:szCs w:val="32"/>
        </w:rPr>
        <w:t>***项目名称</w:t>
      </w:r>
    </w:p>
    <w:p>
      <w:pPr>
        <w:spacing w:beforeLines="100" w:line="240" w:lineRule="atLeast"/>
        <w:ind w:right="-108"/>
        <w:jc w:val="center"/>
        <w:rPr>
          <w:rFonts w:ascii="宋体" w:hAnsi="宋体"/>
          <w:sz w:val="24"/>
        </w:rPr>
      </w:pPr>
    </w:p>
    <w:p>
      <w:pPr>
        <w:spacing w:beforeLines="100" w:line="240" w:lineRule="atLeast"/>
        <w:ind w:right="-108"/>
        <w:jc w:val="center"/>
        <w:rPr>
          <w:rFonts w:ascii="宋体" w:hAnsi="宋体"/>
          <w:sz w:val="24"/>
        </w:rPr>
      </w:pPr>
      <w:r>
        <w:rPr>
          <w:rFonts w:hint="eastAsia" w:ascii="宋体" w:hAnsi="宋体"/>
          <w:sz w:val="24"/>
        </w:rPr>
        <w:t>项目编号：************** （标项*）</w:t>
      </w:r>
    </w:p>
    <w:p>
      <w:pPr>
        <w:spacing w:after="100" w:afterAutospacing="1" w:line="400" w:lineRule="exact"/>
        <w:ind w:right="-108"/>
        <w:jc w:val="center"/>
        <w:rPr>
          <w:rFonts w:ascii="宋体" w:hAnsi="宋体"/>
          <w:b/>
          <w:spacing w:val="40"/>
          <w:sz w:val="24"/>
        </w:rPr>
      </w:pPr>
    </w:p>
    <w:p>
      <w:pPr>
        <w:spacing w:after="100" w:afterAutospacing="1" w:line="800" w:lineRule="exact"/>
        <w:ind w:right="-108"/>
        <w:jc w:val="center"/>
        <w:rPr>
          <w:rFonts w:ascii="宋体" w:hAnsi="宋体"/>
          <w:b/>
          <w:spacing w:val="40"/>
          <w:sz w:val="24"/>
        </w:rPr>
      </w:pP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报</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价</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文</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件</w:t>
      </w:r>
    </w:p>
    <w:p>
      <w:pPr>
        <w:spacing w:line="500" w:lineRule="exact"/>
        <w:ind w:right="532"/>
        <w:rPr>
          <w:rFonts w:ascii="宋体" w:hAnsi="宋体"/>
          <w:sz w:val="24"/>
        </w:rPr>
      </w:pPr>
    </w:p>
    <w:p>
      <w:pPr>
        <w:spacing w:line="500" w:lineRule="exact"/>
        <w:ind w:right="532"/>
        <w:rPr>
          <w:rFonts w:ascii="宋体" w:hAnsi="宋体"/>
          <w:sz w:val="24"/>
        </w:rPr>
      </w:pPr>
    </w:p>
    <w:p>
      <w:pPr>
        <w:spacing w:line="500" w:lineRule="exact"/>
        <w:ind w:right="532"/>
        <w:rPr>
          <w:rFonts w:ascii="宋体" w:hAnsi="宋体"/>
          <w:sz w:val="24"/>
        </w:rPr>
      </w:pPr>
    </w:p>
    <w:p>
      <w:pPr>
        <w:spacing w:line="500" w:lineRule="exact"/>
        <w:ind w:right="532"/>
        <w:rPr>
          <w:rFonts w:ascii="宋体" w:hAnsi="宋体"/>
          <w:sz w:val="24"/>
        </w:rPr>
      </w:pPr>
    </w:p>
    <w:p>
      <w:pPr>
        <w:spacing w:line="600" w:lineRule="exact"/>
        <w:ind w:right="532" w:firstLine="480" w:firstLineChars="200"/>
        <w:rPr>
          <w:rFonts w:ascii="宋体" w:hAnsi="宋体"/>
          <w:sz w:val="24"/>
        </w:rPr>
      </w:pPr>
      <w:r>
        <w:rPr>
          <w:rFonts w:hint="eastAsia" w:ascii="宋体" w:hAnsi="宋体"/>
          <w:sz w:val="24"/>
        </w:rPr>
        <w:t>单位全称（公章）：</w:t>
      </w:r>
    </w:p>
    <w:p>
      <w:pPr>
        <w:spacing w:line="600" w:lineRule="exact"/>
        <w:ind w:right="532" w:firstLine="480" w:firstLineChars="200"/>
        <w:rPr>
          <w:rFonts w:ascii="宋体" w:hAnsi="宋体"/>
          <w:sz w:val="24"/>
        </w:rPr>
      </w:pPr>
      <w:r>
        <w:rPr>
          <w:rFonts w:hint="eastAsia" w:ascii="宋体" w:hAnsi="宋体"/>
          <w:sz w:val="24"/>
        </w:rPr>
        <w:t>地    址：</w:t>
      </w:r>
    </w:p>
    <w:p>
      <w:pPr>
        <w:spacing w:line="600" w:lineRule="exact"/>
        <w:ind w:right="532" w:firstLine="480" w:firstLineChars="200"/>
        <w:rPr>
          <w:rFonts w:ascii="宋体" w:hAnsi="宋体"/>
          <w:sz w:val="24"/>
        </w:rPr>
      </w:pPr>
      <w:r>
        <w:rPr>
          <w:rFonts w:hint="eastAsia" w:ascii="宋体" w:hAnsi="宋体"/>
          <w:sz w:val="24"/>
        </w:rPr>
        <w:t>时    间：</w:t>
      </w:r>
    </w:p>
    <w:p>
      <w:pPr>
        <w:pStyle w:val="10"/>
        <w:snapToGrid w:val="0"/>
        <w:ind w:leftChars="0"/>
        <w:rPr>
          <w:rFonts w:ascii="宋体" w:hAnsi="宋体" w:eastAsia="宋体"/>
          <w:sz w:val="24"/>
          <w:szCs w:val="24"/>
        </w:rPr>
      </w:pPr>
    </w:p>
    <w:p>
      <w:pPr>
        <w:snapToGrid w:val="0"/>
        <w:spacing w:line="420" w:lineRule="exact"/>
        <w:jc w:val="left"/>
        <w:rPr>
          <w:rFonts w:ascii="宋体" w:hAnsi="宋体"/>
          <w:sz w:val="24"/>
        </w:rPr>
      </w:pPr>
      <w:r>
        <w:rPr>
          <w:rFonts w:ascii="宋体" w:hAnsi="宋体"/>
          <w:sz w:val="24"/>
        </w:rPr>
        <w:br w:type="page"/>
      </w:r>
      <w:r>
        <w:rPr>
          <w:rFonts w:hint="eastAsia" w:ascii="宋体" w:hAnsi="宋体"/>
          <w:sz w:val="24"/>
        </w:rPr>
        <w:t xml:space="preserve">             </w:t>
      </w:r>
    </w:p>
    <w:p>
      <w:pPr>
        <w:snapToGrid w:val="0"/>
        <w:spacing w:line="420" w:lineRule="exact"/>
        <w:ind w:firstLine="420" w:firstLineChars="150"/>
        <w:jc w:val="left"/>
        <w:rPr>
          <w:rFonts w:ascii="宋体" w:hAnsi="宋体"/>
          <w:sz w:val="28"/>
          <w:szCs w:val="28"/>
        </w:rPr>
      </w:pPr>
      <w:r>
        <w:rPr>
          <w:rFonts w:hint="eastAsia" w:ascii="宋体" w:hAnsi="宋体"/>
          <w:sz w:val="28"/>
          <w:szCs w:val="28"/>
        </w:rPr>
        <w:t>▲报价文件</w:t>
      </w:r>
    </w:p>
    <w:p>
      <w:pPr>
        <w:spacing w:line="420" w:lineRule="exact"/>
        <w:ind w:firstLine="280" w:firstLineChars="100"/>
        <w:rPr>
          <w:rFonts w:ascii="宋体" w:hAnsi="宋体"/>
          <w:kern w:val="0"/>
          <w:sz w:val="28"/>
          <w:szCs w:val="28"/>
        </w:rPr>
      </w:pPr>
      <w:r>
        <w:rPr>
          <w:rFonts w:hint="eastAsia" w:ascii="宋体" w:hAnsi="宋体"/>
          <w:kern w:val="0"/>
          <w:sz w:val="28"/>
          <w:szCs w:val="28"/>
        </w:rPr>
        <w:t>（1）投标报价一览表</w:t>
      </w:r>
    </w:p>
    <w:p>
      <w:pPr>
        <w:spacing w:line="420" w:lineRule="exact"/>
        <w:ind w:firstLine="280" w:firstLineChars="100"/>
        <w:rPr>
          <w:rFonts w:ascii="宋体" w:hAnsi="宋体"/>
          <w:sz w:val="28"/>
          <w:szCs w:val="28"/>
        </w:rPr>
      </w:pPr>
      <w:r>
        <w:rPr>
          <w:rFonts w:hint="eastAsia" w:ascii="宋体" w:hAnsi="宋体"/>
          <w:sz w:val="28"/>
          <w:szCs w:val="28"/>
        </w:rPr>
        <w:t>（2）投标报价明细表（见附件）；</w:t>
      </w:r>
    </w:p>
    <w:p>
      <w:pPr>
        <w:spacing w:line="420" w:lineRule="exact"/>
        <w:ind w:firstLine="280" w:firstLineChars="100"/>
        <w:rPr>
          <w:rFonts w:ascii="宋体" w:hAnsi="宋体"/>
          <w:sz w:val="28"/>
          <w:szCs w:val="28"/>
        </w:rPr>
      </w:pPr>
      <w:r>
        <w:rPr>
          <w:rFonts w:hint="eastAsia" w:ascii="宋体" w:hAnsi="宋体"/>
          <w:sz w:val="28"/>
          <w:szCs w:val="28"/>
        </w:rPr>
        <w:t>（3）小微企业声明函（见附件）；</w:t>
      </w:r>
      <w:r>
        <w:rPr>
          <w:rFonts w:ascii="宋体" w:hAnsi="宋体"/>
          <w:sz w:val="28"/>
          <w:szCs w:val="28"/>
        </w:rPr>
        <w:t xml:space="preserve"> </w:t>
      </w:r>
    </w:p>
    <w:p>
      <w:pPr>
        <w:spacing w:line="420" w:lineRule="exact"/>
        <w:ind w:firstLine="280" w:firstLineChars="100"/>
        <w:rPr>
          <w:rFonts w:ascii="宋体" w:hAnsi="宋体"/>
          <w:sz w:val="28"/>
          <w:szCs w:val="28"/>
        </w:rPr>
      </w:pPr>
      <w:r>
        <w:rPr>
          <w:rFonts w:hint="eastAsia" w:ascii="宋体" w:hAnsi="宋体"/>
          <w:sz w:val="28"/>
          <w:szCs w:val="28"/>
        </w:rPr>
        <w:t>（4）残疾人福利企业声明函（见附件）；</w:t>
      </w:r>
    </w:p>
    <w:p>
      <w:pPr>
        <w:spacing w:line="420" w:lineRule="exact"/>
        <w:ind w:firstLine="280" w:firstLineChars="100"/>
        <w:rPr>
          <w:rFonts w:ascii="宋体" w:hAnsi="宋体"/>
          <w:kern w:val="0"/>
          <w:sz w:val="28"/>
          <w:szCs w:val="28"/>
        </w:rPr>
      </w:pPr>
      <w:r>
        <w:rPr>
          <w:rFonts w:hint="eastAsia" w:ascii="宋体" w:hAnsi="宋体"/>
          <w:sz w:val="28"/>
          <w:szCs w:val="28"/>
        </w:rPr>
        <w:t>（</w:t>
      </w:r>
      <w:r>
        <w:rPr>
          <w:rFonts w:hint="eastAsia"/>
          <w:sz w:val="28"/>
          <w:szCs w:val="28"/>
        </w:rPr>
        <w:t>5</w:t>
      </w:r>
      <w:r>
        <w:rPr>
          <w:rFonts w:hint="eastAsia" w:ascii="宋体" w:hAnsi="宋体"/>
          <w:sz w:val="28"/>
          <w:szCs w:val="28"/>
        </w:rPr>
        <w:t>）小微企业名录查询记录</w:t>
      </w:r>
    </w:p>
    <w:p>
      <w:pPr>
        <w:pStyle w:val="13"/>
        <w:spacing w:after="156" w:line="460" w:lineRule="exact"/>
        <w:ind w:firstLine="280" w:firstLineChars="100"/>
        <w:jc w:val="both"/>
      </w:pPr>
      <w:r>
        <w:rPr>
          <w:rFonts w:hint="eastAsia"/>
          <w:sz w:val="28"/>
          <w:szCs w:val="28"/>
        </w:rPr>
        <w:t>（6）投标人针对报价需要说明的其他文件和说明（格式自拟）。</w:t>
      </w:r>
    </w:p>
    <w:p>
      <w:pPr>
        <w:rPr>
          <w:rFonts w:ascii="宋体" w:hAnsi="宋体"/>
          <w:sz w:val="24"/>
        </w:rPr>
      </w:pPr>
    </w:p>
    <w:p>
      <w:pPr>
        <w:rPr>
          <w:rFonts w:ascii="宋体" w:hAnsi="宋体"/>
          <w:sz w:val="24"/>
        </w:rPr>
        <w:sectPr>
          <w:pgSz w:w="11906" w:h="16838"/>
          <w:pgMar w:top="1440" w:right="1797" w:bottom="1440" w:left="1797" w:header="851" w:footer="992" w:gutter="0"/>
          <w:cols w:space="720" w:num="1"/>
          <w:docGrid w:type="lines" w:linePitch="312" w:charSpace="0"/>
        </w:sectPr>
      </w:pPr>
    </w:p>
    <w:p>
      <w:pPr>
        <w:snapToGrid w:val="0"/>
        <w:spacing w:before="50" w:after="240"/>
        <w:jc w:val="center"/>
        <w:rPr>
          <w:rFonts w:ascii="宋体" w:hAnsi="宋体"/>
          <w:b/>
          <w:color w:val="000000"/>
          <w:sz w:val="24"/>
        </w:rPr>
      </w:pPr>
      <w:r>
        <w:rPr>
          <w:rFonts w:hint="eastAsia" w:ascii="宋体" w:hAnsi="宋体"/>
          <w:b/>
          <w:color w:val="000000"/>
          <w:sz w:val="24"/>
        </w:rPr>
        <w:t>报 价 一 览 表</w:t>
      </w:r>
    </w:p>
    <w:p>
      <w:pPr>
        <w:snapToGrid w:val="0"/>
        <w:spacing w:before="50" w:after="50" w:line="400" w:lineRule="exact"/>
        <w:ind w:firstLine="720" w:firstLineChars="300"/>
        <w:rPr>
          <w:rFonts w:ascii="宋体" w:hAnsi="宋体"/>
          <w:sz w:val="24"/>
          <w:u w:val="single"/>
        </w:rPr>
      </w:pPr>
      <w:r>
        <w:rPr>
          <w:rFonts w:hint="eastAsia" w:ascii="宋体" w:hAnsi="宋体"/>
          <w:sz w:val="24"/>
        </w:rPr>
        <w:t>单位全称（公章）：</w:t>
      </w:r>
      <w:r>
        <w:rPr>
          <w:rFonts w:hint="eastAsia" w:ascii="宋体" w:hAnsi="宋体"/>
          <w:sz w:val="24"/>
          <w:u w:val="single"/>
        </w:rPr>
        <w:t xml:space="preserve">                  </w:t>
      </w:r>
      <w:r>
        <w:rPr>
          <w:rFonts w:hint="eastAsia" w:ascii="宋体" w:hAnsi="宋体"/>
          <w:sz w:val="24"/>
        </w:rPr>
        <w:t>项目编号：</w:t>
      </w:r>
      <w:r>
        <w:rPr>
          <w:rFonts w:hint="eastAsia" w:ascii="宋体" w:hAnsi="宋体"/>
          <w:sz w:val="24"/>
          <w:u w:val="single"/>
        </w:rPr>
        <w:t xml:space="preserve">            </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77"/>
        <w:gridCol w:w="917"/>
        <w:gridCol w:w="1442"/>
        <w:gridCol w:w="14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437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r>
              <w:rPr>
                <w:rFonts w:hint="eastAsia" w:ascii="宋体" w:hAnsi="宋体" w:cs="Arial"/>
                <w:bCs/>
                <w:sz w:val="24"/>
              </w:rPr>
              <w:t>项目名称</w:t>
            </w:r>
          </w:p>
        </w:tc>
        <w:tc>
          <w:tcPr>
            <w:tcW w:w="91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r>
              <w:rPr>
                <w:rFonts w:hint="eastAsia" w:ascii="宋体" w:hAnsi="宋体" w:cs="Arial"/>
                <w:bCs/>
                <w:sz w:val="24"/>
              </w:rPr>
              <w:t>数量</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r>
              <w:rPr>
                <w:rFonts w:hint="eastAsia" w:ascii="宋体" w:hAnsi="宋体" w:cs="Arial"/>
                <w:bCs/>
                <w:sz w:val="24"/>
              </w:rPr>
              <w:t>投标报价</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r>
              <w:rPr>
                <w:rFonts w:hint="eastAsia" w:ascii="宋体" w:hAnsi="宋体" w:cs="Arial"/>
                <w:bCs/>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437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ascii="宋体" w:hAnsi="宋体" w:cs="Arial"/>
                <w:bCs/>
                <w:sz w:val="24"/>
              </w:rPr>
            </w:pPr>
          </w:p>
        </w:tc>
        <w:tc>
          <w:tcPr>
            <w:tcW w:w="91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p>
        </w:tc>
      </w:tr>
    </w:tbl>
    <w:p>
      <w:pPr>
        <w:snapToGrid w:val="0"/>
        <w:spacing w:before="50" w:after="50" w:line="400" w:lineRule="exact"/>
        <w:ind w:firstLine="720" w:firstLineChars="300"/>
        <w:rPr>
          <w:rFonts w:ascii="宋体" w:hAnsi="宋体"/>
          <w:sz w:val="24"/>
          <w:u w:val="single"/>
        </w:rPr>
      </w:pPr>
    </w:p>
    <w:p>
      <w:pPr>
        <w:snapToGrid w:val="0"/>
        <w:spacing w:before="50" w:after="50" w:line="400" w:lineRule="exact"/>
        <w:ind w:firstLine="720" w:firstLineChars="300"/>
        <w:rPr>
          <w:rFonts w:ascii="宋体" w:hAnsi="宋体"/>
          <w:color w:val="000000"/>
          <w:sz w:val="24"/>
        </w:rPr>
      </w:pPr>
    </w:p>
    <w:p>
      <w:pPr>
        <w:snapToGrid w:val="0"/>
        <w:spacing w:before="50" w:after="50" w:line="400" w:lineRule="exact"/>
        <w:ind w:firstLine="600" w:firstLineChars="250"/>
        <w:jc w:val="left"/>
        <w:rPr>
          <w:rFonts w:ascii="宋体" w:hAnsi="宋体"/>
          <w:color w:val="000000"/>
          <w:sz w:val="24"/>
        </w:rPr>
      </w:pPr>
      <w:r>
        <w:rPr>
          <w:rFonts w:hint="eastAsia" w:ascii="宋体" w:hAnsi="宋体"/>
          <w:color w:val="000000"/>
          <w:sz w:val="24"/>
        </w:rPr>
        <w:t>注: 1、此表报价单不得涂改，请按规定要求填报。</w:t>
      </w:r>
    </w:p>
    <w:p>
      <w:pPr>
        <w:snapToGrid w:val="0"/>
        <w:spacing w:before="50" w:after="50" w:line="400" w:lineRule="exact"/>
        <w:ind w:firstLine="1080" w:firstLineChars="450"/>
        <w:jc w:val="left"/>
        <w:rPr>
          <w:rFonts w:ascii="宋体" w:hAnsi="宋体"/>
          <w:color w:val="000000"/>
          <w:sz w:val="24"/>
        </w:rPr>
      </w:pPr>
      <w:r>
        <w:rPr>
          <w:rFonts w:hint="eastAsia" w:ascii="宋体" w:hAnsi="宋体"/>
          <w:color w:val="000000"/>
          <w:sz w:val="24"/>
        </w:rPr>
        <w:t>2、以上报价应与“报价明细表”中的“合计”数相一致。</w:t>
      </w:r>
    </w:p>
    <w:p>
      <w:pPr>
        <w:snapToGrid w:val="0"/>
        <w:spacing w:before="50" w:after="50" w:line="400" w:lineRule="exact"/>
        <w:ind w:firstLine="1080" w:firstLineChars="450"/>
        <w:jc w:val="left"/>
        <w:rPr>
          <w:rFonts w:ascii="宋体" w:hAnsi="宋体"/>
          <w:color w:val="000000"/>
          <w:sz w:val="24"/>
        </w:rPr>
      </w:pPr>
      <w:r>
        <w:rPr>
          <w:rFonts w:hint="eastAsia" w:ascii="宋体" w:hAnsi="宋体"/>
          <w:color w:val="000000"/>
          <w:sz w:val="24"/>
        </w:rPr>
        <w:t>3、项目费用包括项目实施所需的工程费、工时费、服务费、运输费、安装调试费、购买及制作标书费、税费及其他一切费用。</w:t>
      </w:r>
    </w:p>
    <w:p>
      <w:pPr>
        <w:snapToGrid w:val="0"/>
        <w:spacing w:before="240" w:after="50" w:line="400" w:lineRule="exact"/>
        <w:ind w:firstLine="1080" w:firstLineChars="450"/>
        <w:jc w:val="left"/>
        <w:rPr>
          <w:rFonts w:ascii="宋体" w:hAnsi="宋体"/>
          <w:color w:val="000000"/>
          <w:sz w:val="24"/>
        </w:rPr>
      </w:pPr>
      <w:r>
        <w:rPr>
          <w:rFonts w:hint="eastAsia" w:ascii="宋体" w:hAnsi="宋体"/>
          <w:color w:val="000000"/>
          <w:sz w:val="24"/>
        </w:rPr>
        <w:t>全权代表（签字）：                                 日  期：</w:t>
      </w:r>
    </w:p>
    <w:p>
      <w:pPr>
        <w:snapToGrid w:val="0"/>
        <w:spacing w:before="240" w:after="50" w:line="400" w:lineRule="exact"/>
        <w:ind w:firstLine="1080" w:firstLineChars="450"/>
        <w:jc w:val="left"/>
        <w:rPr>
          <w:rFonts w:ascii="宋体" w:hAnsi="宋体"/>
          <w:color w:val="000000"/>
          <w:sz w:val="24"/>
        </w:rPr>
      </w:pPr>
    </w:p>
    <w:p>
      <w:pPr>
        <w:snapToGrid w:val="0"/>
        <w:spacing w:before="240" w:after="50" w:line="400" w:lineRule="exact"/>
        <w:ind w:firstLine="1080" w:firstLineChars="450"/>
        <w:jc w:val="left"/>
        <w:rPr>
          <w:rFonts w:ascii="宋体" w:hAnsi="宋体"/>
          <w:color w:val="000000"/>
          <w:sz w:val="24"/>
        </w:rPr>
      </w:pPr>
    </w:p>
    <w:p>
      <w:pPr>
        <w:snapToGrid w:val="0"/>
        <w:spacing w:before="240" w:after="50" w:line="400" w:lineRule="exact"/>
        <w:ind w:firstLine="1080" w:firstLineChars="450"/>
        <w:jc w:val="left"/>
        <w:rPr>
          <w:rFonts w:ascii="宋体" w:hAnsi="宋体"/>
          <w:color w:val="000000"/>
          <w:sz w:val="24"/>
        </w:rPr>
      </w:pPr>
    </w:p>
    <w:p>
      <w:pPr>
        <w:snapToGrid w:val="0"/>
        <w:spacing w:before="240" w:after="50" w:line="400" w:lineRule="exact"/>
        <w:ind w:firstLine="1080" w:firstLineChars="450"/>
        <w:jc w:val="left"/>
        <w:rPr>
          <w:rFonts w:ascii="宋体" w:hAnsi="宋体"/>
          <w:color w:val="000000"/>
          <w:sz w:val="24"/>
        </w:rPr>
      </w:pPr>
    </w:p>
    <w:p>
      <w:pPr>
        <w:snapToGrid w:val="0"/>
        <w:spacing w:before="50" w:after="50" w:line="400" w:lineRule="exact"/>
        <w:ind w:left="-3" w:leftChars="-72" w:right="-817" w:rightChars="-389" w:hanging="148" w:hangingChars="62"/>
        <w:rPr>
          <w:rFonts w:ascii="宋体" w:hAnsi="宋体"/>
          <w:sz w:val="24"/>
        </w:rPr>
        <w:sectPr>
          <w:pgSz w:w="11906" w:h="16838"/>
          <w:pgMar w:top="1474" w:right="1531" w:bottom="936" w:left="1531" w:header="851" w:footer="851" w:gutter="0"/>
          <w:cols w:space="720" w:num="1"/>
          <w:titlePg/>
          <w:docGrid w:linePitch="312" w:charSpace="0"/>
        </w:sectPr>
      </w:pPr>
    </w:p>
    <w:p>
      <w:pPr>
        <w:pStyle w:val="9"/>
        <w:snapToGrid w:val="0"/>
        <w:spacing w:beforeLines="0" w:afterLines="0" w:line="240" w:lineRule="auto"/>
        <w:jc w:val="center"/>
        <w:rPr>
          <w:rFonts w:hAnsi="宋体"/>
          <w:b/>
        </w:rPr>
      </w:pPr>
      <w:r>
        <w:rPr>
          <w:rFonts w:hAnsi="宋体"/>
          <w:b/>
        </w:rPr>
        <w:t>报</w:t>
      </w:r>
      <w:r>
        <w:rPr>
          <w:rFonts w:hint="eastAsia" w:hAnsi="宋体"/>
          <w:b/>
        </w:rPr>
        <w:t xml:space="preserve"> </w:t>
      </w:r>
      <w:r>
        <w:rPr>
          <w:rFonts w:hAnsi="宋体"/>
          <w:b/>
        </w:rPr>
        <w:t>价</w:t>
      </w:r>
      <w:r>
        <w:rPr>
          <w:rFonts w:hint="eastAsia" w:hAnsi="宋体"/>
          <w:b/>
        </w:rPr>
        <w:t xml:space="preserve"> </w:t>
      </w:r>
      <w:r>
        <w:rPr>
          <w:rFonts w:hAnsi="宋体"/>
          <w:b/>
        </w:rPr>
        <w:t>明</w:t>
      </w:r>
      <w:r>
        <w:rPr>
          <w:rFonts w:hint="eastAsia" w:hAnsi="宋体"/>
          <w:b/>
        </w:rPr>
        <w:t xml:space="preserve"> </w:t>
      </w:r>
      <w:r>
        <w:rPr>
          <w:rFonts w:hAnsi="宋体"/>
          <w:b/>
        </w:rPr>
        <w:t>细</w:t>
      </w:r>
      <w:r>
        <w:rPr>
          <w:rFonts w:hint="eastAsia" w:hAnsi="宋体"/>
          <w:b/>
        </w:rPr>
        <w:t xml:space="preserve"> </w:t>
      </w:r>
      <w:r>
        <w:rPr>
          <w:rFonts w:hAnsi="宋体"/>
          <w:b/>
        </w:rPr>
        <w:t>表</w:t>
      </w:r>
    </w:p>
    <w:p>
      <w:pPr>
        <w:pStyle w:val="7"/>
        <w:snapToGrid w:val="0"/>
        <w:rPr>
          <w:rFonts w:ascii="宋体" w:hAnsi="宋体" w:eastAsia="宋体"/>
          <w:sz w:val="24"/>
          <w:szCs w:val="24"/>
          <w:u w:val="single"/>
        </w:rPr>
      </w:pPr>
      <w:r>
        <w:rPr>
          <w:rFonts w:hint="eastAsia" w:ascii="宋体" w:hAnsi="宋体" w:eastAsia="宋体"/>
          <w:sz w:val="24"/>
          <w:szCs w:val="24"/>
        </w:rPr>
        <w:t>单位全称（公章）：</w:t>
      </w:r>
      <w:r>
        <w:rPr>
          <w:rFonts w:hint="eastAsia" w:ascii="宋体" w:hAnsi="宋体" w:eastAsia="宋体"/>
          <w:sz w:val="24"/>
          <w:szCs w:val="24"/>
          <w:u w:val="single"/>
        </w:rPr>
        <w:t xml:space="preserve">                </w:t>
      </w:r>
      <w:r>
        <w:rPr>
          <w:rFonts w:hint="eastAsia" w:ascii="宋体" w:hAnsi="宋体" w:eastAsia="宋体"/>
          <w:sz w:val="24"/>
          <w:szCs w:val="24"/>
        </w:rPr>
        <w:t xml:space="preserve">          </w:t>
      </w:r>
    </w:p>
    <w:tbl>
      <w:tblPr>
        <w:tblStyle w:val="1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1277"/>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货物</w:t>
            </w:r>
          </w:p>
          <w:p>
            <w:pPr>
              <w:snapToGrid w:val="0"/>
              <w:spacing w:line="400" w:lineRule="exact"/>
              <w:jc w:val="center"/>
              <w:rPr>
                <w:rFonts w:ascii="宋体" w:hAnsi="宋体"/>
                <w:b/>
                <w:sz w:val="24"/>
              </w:rPr>
            </w:pPr>
            <w:r>
              <w:rPr>
                <w:rFonts w:hint="eastAsia" w:ascii="宋体" w:hAnsi="宋体"/>
                <w:b/>
                <w:sz w:val="24"/>
              </w:rPr>
              <w:t>名称</w:t>
            </w:r>
          </w:p>
        </w:tc>
        <w:tc>
          <w:tcPr>
            <w:tcW w:w="67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品牌</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产地</w:t>
            </w:r>
          </w:p>
        </w:tc>
        <w:tc>
          <w:tcPr>
            <w:tcW w:w="1029"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规格</w:t>
            </w:r>
          </w:p>
          <w:p>
            <w:pPr>
              <w:snapToGrid w:val="0"/>
              <w:spacing w:line="400" w:lineRule="exact"/>
              <w:jc w:val="center"/>
              <w:rPr>
                <w:rFonts w:ascii="宋体" w:hAnsi="宋体"/>
                <w:b/>
                <w:sz w:val="24"/>
              </w:rPr>
            </w:pPr>
            <w:r>
              <w:rPr>
                <w:rFonts w:hint="eastAsia" w:ascii="宋体" w:hAnsi="宋体"/>
                <w:b/>
                <w:sz w:val="24"/>
              </w:rPr>
              <w:t>型号</w:t>
            </w:r>
          </w:p>
        </w:tc>
        <w:tc>
          <w:tcPr>
            <w:tcW w:w="95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数量</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单价</w:t>
            </w:r>
          </w:p>
          <w:p>
            <w:pPr>
              <w:snapToGrid w:val="0"/>
              <w:spacing w:line="400" w:lineRule="exact"/>
              <w:jc w:val="center"/>
              <w:rPr>
                <w:rFonts w:ascii="宋体" w:hAnsi="宋体"/>
                <w:b/>
                <w:sz w:val="24"/>
              </w:rPr>
            </w:pPr>
            <w:r>
              <w:rPr>
                <w:rFonts w:hint="eastAsia" w:ascii="宋体" w:hAnsi="宋体"/>
                <w:b/>
                <w:sz w:val="24"/>
              </w:rPr>
              <w:t>（元）</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总价（元）</w:t>
            </w:r>
          </w:p>
        </w:tc>
        <w:tc>
          <w:tcPr>
            <w:tcW w:w="26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672"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1029"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是否小微企业</w:t>
            </w:r>
          </w:p>
        </w:tc>
        <w:tc>
          <w:tcPr>
            <w:tcW w:w="141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r>
              <w:rPr>
                <w:rFonts w:hint="eastAsia" w:ascii="宋体" w:hAnsi="宋体" w:cs="Arial"/>
                <w:sz w:val="24"/>
              </w:rPr>
              <w:t>……</w:t>
            </w: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b/>
                <w:sz w:val="24"/>
              </w:rPr>
            </w:pPr>
            <w:r>
              <w:rPr>
                <w:rFonts w:hint="eastAsia" w:ascii="宋体" w:hAnsi="宋体"/>
                <w:b/>
                <w:sz w:val="24"/>
              </w:rPr>
              <w:t>小微企业价格合计金额大写：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b/>
                <w:sz w:val="24"/>
              </w:rPr>
            </w:pPr>
            <w:r>
              <w:rPr>
                <w:rFonts w:hint="eastAsia" w:ascii="宋体" w:hAnsi="宋体"/>
                <w:b/>
                <w:sz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4"/>
              </w:rPr>
            </w:pPr>
            <w:r>
              <w:rPr>
                <w:rFonts w:hint="eastAsia" w:ascii="宋体" w:hAnsi="宋体"/>
                <w:sz w:val="24"/>
              </w:rPr>
              <w:t>备注</w:t>
            </w:r>
          </w:p>
        </w:tc>
        <w:tc>
          <w:tcPr>
            <w:tcW w:w="8512" w:type="dxa"/>
            <w:gridSpan w:val="9"/>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 w:val="24"/>
              </w:rPr>
            </w:pPr>
            <w:r>
              <w:rPr>
                <w:rFonts w:hint="eastAsia" w:ascii="宋体" w:hAnsi="宋体"/>
                <w:sz w:val="24"/>
              </w:rPr>
              <w:t>1、此表应按项目的明细情况列项填报,在填写时，如上表不适合本项目的实际情况，可在确保投标明细内容完整的情况下，根据上表格式自行划表填写。</w:t>
            </w:r>
          </w:p>
          <w:p>
            <w:pPr>
              <w:snapToGrid w:val="0"/>
              <w:rPr>
                <w:rFonts w:ascii="宋体" w:hAnsi="宋体"/>
                <w:sz w:val="24"/>
              </w:rPr>
            </w:pPr>
            <w:r>
              <w:rPr>
                <w:rFonts w:hint="eastAsia" w:ascii="宋体" w:hAnsi="宋体"/>
                <w:sz w:val="24"/>
              </w:rPr>
              <w:t>2、报价要求：项目费用包括项目实施所需的工程费、工时费、服务费、运输费、安装调试费、税费及其他一切费用。</w:t>
            </w:r>
          </w:p>
          <w:p>
            <w:pPr>
              <w:snapToGrid w:val="0"/>
              <w:rPr>
                <w:rFonts w:ascii="宋体" w:hAnsi="宋体"/>
                <w:sz w:val="24"/>
              </w:rPr>
            </w:pPr>
            <w:r>
              <w:rPr>
                <w:rFonts w:hint="eastAsia" w:ascii="宋体" w:hAnsi="宋体"/>
                <w:sz w:val="24"/>
              </w:rPr>
              <w:t>3、报价中不允许出现报价优惠等字样,投标总价合计金额应与明细报价汇总相等。</w:t>
            </w:r>
          </w:p>
          <w:p>
            <w:pPr>
              <w:snapToGrid w:val="0"/>
              <w:rPr>
                <w:rFonts w:ascii="宋体" w:hAnsi="宋体"/>
                <w:b/>
                <w:sz w:val="24"/>
              </w:rPr>
            </w:pPr>
            <w:r>
              <w:rPr>
                <w:rFonts w:ascii="宋体" w:hAnsi="宋体"/>
                <w:b/>
                <w:sz w:val="24"/>
              </w:rPr>
              <w:t>4</w:t>
            </w:r>
            <w:r>
              <w:rPr>
                <w:rFonts w:hint="eastAsia" w:ascii="宋体" w:hAnsi="宋体"/>
                <w:b/>
                <w:sz w:val="24"/>
              </w:rPr>
              <w:t>、小微企业价格合计金额应与“制造商为小微企业”的明细报价汇总相等（如有错误修正，以修正后的明细报价为准），评标委员会按前附表“小微企业有关政策”要求对小微企业价格进行确认，并对符合要求的小微企业价格部分给予价格扣除。</w:t>
            </w:r>
          </w:p>
          <w:p>
            <w:pPr>
              <w:snapToGrid w:val="0"/>
              <w:rPr>
                <w:rFonts w:ascii="宋体" w:hAnsi="宋体"/>
                <w:sz w:val="24"/>
              </w:rPr>
            </w:pPr>
            <w:r>
              <w:rPr>
                <w:rFonts w:hint="eastAsia" w:ascii="宋体" w:hAnsi="宋体"/>
                <w:sz w:val="24"/>
              </w:rPr>
              <w:t>5</w:t>
            </w:r>
            <w:r>
              <w:rPr>
                <w:rFonts w:hint="eastAsia" w:ascii="宋体" w:hAnsi="宋体"/>
                <w:b/>
                <w:sz w:val="24"/>
              </w:rPr>
              <w:t>、</w:t>
            </w:r>
            <w:r>
              <w:rPr>
                <w:rFonts w:hint="eastAsia" w:ascii="宋体" w:hAnsi="宋体"/>
                <w:sz w:val="24"/>
              </w:rPr>
              <w:t>开标时，现场工作人员当众拆封，并宣布投标人名称、投标总价合计金额。</w:t>
            </w:r>
          </w:p>
        </w:tc>
      </w:tr>
    </w:tbl>
    <w:p>
      <w:pPr>
        <w:rPr>
          <w:rFonts w:ascii="宋体" w:hAnsi="宋体"/>
          <w:sz w:val="24"/>
        </w:rPr>
      </w:pPr>
    </w:p>
    <w:p>
      <w:pPr>
        <w:tabs>
          <w:tab w:val="left" w:pos="1418"/>
        </w:tabs>
        <w:snapToGrid w:val="0"/>
        <w:spacing w:before="50" w:after="50" w:line="460" w:lineRule="exact"/>
        <w:ind w:left="1418" w:hanging="567"/>
        <w:jc w:val="center"/>
        <w:rPr>
          <w:rFonts w:ascii="宋体" w:hAnsi="宋体"/>
          <w:spacing w:val="20"/>
          <w:sz w:val="24"/>
          <w:u w:val="single"/>
        </w:rPr>
      </w:pPr>
    </w:p>
    <w:p>
      <w:pPr>
        <w:snapToGrid w:val="0"/>
        <w:spacing w:before="50" w:after="50" w:line="460" w:lineRule="exact"/>
        <w:rPr>
          <w:rFonts w:ascii="宋体" w:hAnsi="宋体"/>
          <w:spacing w:val="20"/>
          <w:sz w:val="24"/>
          <w:u w:val="single"/>
        </w:rPr>
      </w:pPr>
      <w:r>
        <w:rPr>
          <w:rFonts w:hint="eastAsia" w:ascii="宋体" w:hAnsi="宋体"/>
          <w:spacing w:val="20"/>
          <w:sz w:val="24"/>
        </w:rPr>
        <w:t>全权代表签名：</w:t>
      </w:r>
      <w:r>
        <w:rPr>
          <w:rFonts w:hint="eastAsia" w:ascii="宋体" w:hAnsi="宋体"/>
          <w:spacing w:val="20"/>
          <w:sz w:val="24"/>
          <w:u w:val="single"/>
        </w:rPr>
        <w:t xml:space="preserve">          </w:t>
      </w:r>
      <w:r>
        <w:rPr>
          <w:rFonts w:hint="eastAsia" w:ascii="宋体" w:hAnsi="宋体"/>
          <w:spacing w:val="20"/>
          <w:sz w:val="24"/>
        </w:rPr>
        <w:t xml:space="preserve">     日  期：</w:t>
      </w:r>
      <w:r>
        <w:rPr>
          <w:rFonts w:hint="eastAsia" w:ascii="宋体" w:hAnsi="宋体"/>
          <w:spacing w:val="20"/>
          <w:sz w:val="24"/>
          <w:u w:val="single"/>
        </w:rPr>
        <w:t xml:space="preserve">         </w:t>
      </w:r>
    </w:p>
    <w:p>
      <w:pPr>
        <w:pStyle w:val="14"/>
        <w:spacing w:before="0" w:beforeAutospacing="0" w:after="0" w:afterAutospacing="0" w:line="560" w:lineRule="exact"/>
        <w:ind w:right="685"/>
      </w:pP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pPr>
    </w:p>
    <w:p>
      <w:pPr>
        <w:snapToGrid w:val="0"/>
        <w:spacing w:before="50" w:after="50"/>
        <w:jc w:val="center"/>
        <w:rPr>
          <w:rFonts w:ascii="宋体" w:hAnsi="宋体"/>
          <w:b/>
          <w:color w:val="000000"/>
          <w:sz w:val="36"/>
          <w:szCs w:val="36"/>
        </w:rPr>
      </w:pPr>
      <w:r>
        <w:rPr>
          <w:rFonts w:hint="eastAsia" w:ascii="宋体" w:hAnsi="宋体"/>
          <w:b/>
          <w:color w:val="000000"/>
          <w:sz w:val="36"/>
          <w:szCs w:val="36"/>
        </w:rPr>
        <w:t>小微企业声明函</w:t>
      </w:r>
    </w:p>
    <w:p>
      <w:pPr>
        <w:snapToGrid w:val="0"/>
        <w:spacing w:line="360" w:lineRule="auto"/>
        <w:rPr>
          <w:rFonts w:ascii="宋体" w:hAnsi="宋体"/>
          <w:sz w:val="28"/>
          <w:szCs w:val="28"/>
        </w:rPr>
      </w:pPr>
    </w:p>
    <w:p>
      <w:pPr>
        <w:snapToGrid w:val="0"/>
        <w:spacing w:line="360" w:lineRule="auto"/>
        <w:ind w:firstLine="560" w:firstLineChars="200"/>
        <w:rPr>
          <w:rFonts w:ascii="宋体" w:hAnsi="宋体"/>
          <w:sz w:val="28"/>
          <w:szCs w:val="28"/>
        </w:rPr>
      </w:pPr>
      <w:r>
        <w:rPr>
          <w:rFonts w:hint="eastAsia" w:ascii="宋体" w:hAnsi="宋体"/>
          <w:sz w:val="28"/>
          <w:szCs w:val="28"/>
        </w:rPr>
        <w:t>本公司郑重声明，根据《政府采购促进中小企业发展暂行办法》（财库〔2011〕181号）的规定，本公司为（请填写：小型、微型）企业。即，本公司同时满足以下条件：</w:t>
      </w:r>
    </w:p>
    <w:p>
      <w:pPr>
        <w:snapToGrid w:val="0"/>
        <w:spacing w:line="360" w:lineRule="auto"/>
        <w:ind w:firstLine="560" w:firstLineChars="200"/>
        <w:rPr>
          <w:rFonts w:ascii="宋体" w:hAnsi="宋体"/>
          <w:sz w:val="28"/>
          <w:szCs w:val="28"/>
        </w:rPr>
      </w:pPr>
      <w:r>
        <w:rPr>
          <w:rFonts w:hint="eastAsia" w:ascii="宋体" w:hAnsi="宋体"/>
          <w:sz w:val="28"/>
          <w:szCs w:val="28"/>
        </w:rPr>
        <w:t>1.根据《工业和信息化部、国家统计局、国家发展和改革委员会、财政部关于印发中小企业划型标准规定的通知》（工信部联企业〔2011〕300号）规定的划分标准，本公司为（请填写：小型、微型）企业。</w:t>
      </w:r>
    </w:p>
    <w:p>
      <w:pPr>
        <w:snapToGrid w:val="0"/>
        <w:spacing w:line="360" w:lineRule="auto"/>
        <w:ind w:firstLine="560" w:firstLineChars="200"/>
        <w:rPr>
          <w:rFonts w:ascii="宋体" w:hAnsi="宋体"/>
          <w:sz w:val="28"/>
          <w:szCs w:val="28"/>
        </w:rPr>
      </w:pPr>
      <w:r>
        <w:rPr>
          <w:rFonts w:hint="eastAsia" w:ascii="宋体" w:hAnsi="宋体"/>
          <w:sz w:val="28"/>
          <w:szCs w:val="28"/>
        </w:rPr>
        <w:t>2.本公司参加单位的项目采购活动提供本企业制造的货物，由本企业承担工程、提供服务，或者提供其他（请填写：小型、微型）企业制造的货物。本条所称货物不包括使用大型企业注册商标的货物。</w:t>
      </w:r>
    </w:p>
    <w:p>
      <w:pPr>
        <w:snapToGrid w:val="0"/>
        <w:spacing w:line="360" w:lineRule="auto"/>
        <w:ind w:firstLine="560" w:firstLineChars="200"/>
        <w:rPr>
          <w:rFonts w:ascii="宋体" w:hAnsi="宋体"/>
          <w:sz w:val="28"/>
          <w:szCs w:val="28"/>
        </w:rPr>
      </w:pPr>
      <w:r>
        <w:rPr>
          <w:rFonts w:hint="eastAsia" w:ascii="宋体" w:hAnsi="宋体"/>
          <w:sz w:val="28"/>
          <w:szCs w:val="28"/>
        </w:rPr>
        <w:t>本公司对上述声明的真实性负责。如有虚假，将依法承担相应责任。</w:t>
      </w:r>
    </w:p>
    <w:p>
      <w:pPr>
        <w:snapToGrid w:val="0"/>
        <w:spacing w:line="360" w:lineRule="auto"/>
        <w:jc w:val="center"/>
        <w:rPr>
          <w:rFonts w:ascii="宋体" w:hAnsi="宋体"/>
          <w:sz w:val="28"/>
          <w:szCs w:val="28"/>
        </w:rPr>
      </w:pPr>
      <w:r>
        <w:rPr>
          <w:rFonts w:hint="eastAsia" w:ascii="宋体" w:hAnsi="宋体"/>
          <w:sz w:val="28"/>
          <w:szCs w:val="28"/>
        </w:rPr>
        <w:t xml:space="preserve">       </w:t>
      </w:r>
    </w:p>
    <w:p>
      <w:pPr>
        <w:snapToGrid w:val="0"/>
        <w:spacing w:line="360" w:lineRule="auto"/>
        <w:jc w:val="center"/>
        <w:rPr>
          <w:rFonts w:ascii="宋体" w:hAnsi="宋体"/>
          <w:sz w:val="28"/>
          <w:szCs w:val="28"/>
        </w:rPr>
      </w:pPr>
      <w:r>
        <w:rPr>
          <w:rFonts w:hint="eastAsia" w:ascii="宋体" w:hAnsi="宋体"/>
          <w:sz w:val="28"/>
          <w:szCs w:val="28"/>
        </w:rPr>
        <w:t>企业名称（盖章）：</w:t>
      </w:r>
    </w:p>
    <w:p>
      <w:pPr>
        <w:snapToGrid w:val="0"/>
        <w:spacing w:line="360" w:lineRule="auto"/>
        <w:jc w:val="center"/>
        <w:rPr>
          <w:rFonts w:ascii="宋体" w:hAnsi="宋体"/>
          <w:sz w:val="28"/>
          <w:szCs w:val="28"/>
        </w:rPr>
      </w:pPr>
      <w:r>
        <w:rPr>
          <w:rFonts w:hint="eastAsia" w:ascii="宋体" w:hAnsi="宋体"/>
          <w:sz w:val="28"/>
          <w:szCs w:val="28"/>
        </w:rPr>
        <w:t xml:space="preserve">  日  期：</w:t>
      </w: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pPr>
    </w:p>
    <w:p>
      <w:pPr>
        <w:pStyle w:val="9"/>
        <w:adjustRightInd w:val="0"/>
        <w:snapToGrid w:val="0"/>
        <w:spacing w:before="156" w:after="156" w:line="460" w:lineRule="exact"/>
      </w:pPr>
    </w:p>
    <w:p>
      <w:pPr>
        <w:pStyle w:val="9"/>
        <w:adjustRightInd w:val="0"/>
        <w:snapToGrid w:val="0"/>
        <w:spacing w:before="156" w:after="156" w:line="460" w:lineRule="exact"/>
      </w:pPr>
    </w:p>
    <w:p>
      <w:pPr>
        <w:pStyle w:val="9"/>
        <w:adjustRightInd w:val="0"/>
        <w:snapToGrid w:val="0"/>
        <w:spacing w:before="156" w:after="156" w:line="460" w:lineRule="exact"/>
      </w:pPr>
    </w:p>
    <w:p>
      <w:pPr>
        <w:pStyle w:val="9"/>
        <w:adjustRightInd w:val="0"/>
        <w:snapToGrid w:val="0"/>
        <w:spacing w:before="156" w:after="156" w:line="460" w:lineRule="exact"/>
        <w:ind w:left="1" w:firstLine="511" w:firstLineChars="213"/>
        <w:jc w:val="center"/>
      </w:pPr>
    </w:p>
    <w:p>
      <w:pPr>
        <w:spacing w:line="360" w:lineRule="auto"/>
        <w:jc w:val="center"/>
        <w:rPr>
          <w:rFonts w:ascii="宋体" w:hAnsi="宋体"/>
          <w:b/>
          <w:spacing w:val="6"/>
          <w:sz w:val="28"/>
          <w:szCs w:val="28"/>
        </w:rPr>
      </w:pPr>
      <w:bookmarkStart w:id="15" w:name="OLE_LINK14"/>
      <w:bookmarkStart w:id="16" w:name="OLE_LINK13"/>
      <w:r>
        <w:rPr>
          <w:rFonts w:hint="eastAsia" w:ascii="宋体" w:hAnsi="宋体"/>
          <w:b/>
          <w:spacing w:val="6"/>
          <w:sz w:val="28"/>
          <w:szCs w:val="28"/>
        </w:rPr>
        <w:t>残疾人福利性单位声明函</w:t>
      </w:r>
    </w:p>
    <w:bookmarkEnd w:id="15"/>
    <w:bookmarkEnd w:id="16"/>
    <w:p>
      <w:pPr>
        <w:spacing w:line="360" w:lineRule="auto"/>
        <w:rPr>
          <w:rFonts w:ascii="宋体" w:hAnsi="宋体"/>
          <w:b/>
          <w:spacing w:val="6"/>
          <w:sz w:val="28"/>
          <w:szCs w:val="28"/>
        </w:rPr>
      </w:pPr>
    </w:p>
    <w:p>
      <w:pPr>
        <w:spacing w:line="360" w:lineRule="auto"/>
        <w:ind w:firstLine="584" w:firstLineChars="200"/>
        <w:rPr>
          <w:rFonts w:ascii="宋体" w:hAnsi="宋体"/>
          <w:spacing w:val="6"/>
          <w:sz w:val="28"/>
          <w:szCs w:val="28"/>
        </w:rPr>
      </w:pPr>
      <w:r>
        <w:rPr>
          <w:rFonts w:hint="eastAsia" w:ascii="宋体" w:hAnsi="宋体"/>
          <w:spacing w:val="6"/>
          <w:sz w:val="28"/>
          <w:szCs w:val="28"/>
        </w:rPr>
        <w:t>本单位郑重声明，根据《财政部 民政部 中国残疾人联合会关于促进残疾人就业政府采购政策的通知》（财库</w:t>
      </w:r>
      <w:r>
        <w:rPr>
          <w:rFonts w:hint="eastAsia" w:ascii="宋体" w:hAnsi="宋体"/>
          <w:sz w:val="28"/>
          <w:szCs w:val="28"/>
        </w:rPr>
        <w:t>〔2017〕 141</w:t>
      </w:r>
      <w:r>
        <w:rPr>
          <w:rFonts w:hint="eastAsia" w:ascii="宋体" w:hAnsi="宋体"/>
          <w:spacing w:val="6"/>
          <w:sz w:val="28"/>
          <w:szCs w:val="28"/>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84" w:firstLineChars="200"/>
        <w:rPr>
          <w:rFonts w:ascii="宋体" w:hAnsi="宋体"/>
          <w:spacing w:val="6"/>
          <w:sz w:val="28"/>
          <w:szCs w:val="28"/>
        </w:rPr>
      </w:pPr>
      <w:r>
        <w:rPr>
          <w:rFonts w:hint="eastAsia" w:ascii="宋体" w:hAnsi="宋体"/>
          <w:spacing w:val="6"/>
          <w:sz w:val="28"/>
          <w:szCs w:val="28"/>
        </w:rPr>
        <w:t>本单位对上述声明的真实性负责。如有虚假，将依法承担相应责任。</w:t>
      </w:r>
    </w:p>
    <w:p>
      <w:pPr>
        <w:spacing w:line="360" w:lineRule="auto"/>
        <w:ind w:firstLine="584" w:firstLineChars="200"/>
        <w:rPr>
          <w:rFonts w:ascii="宋体" w:hAnsi="宋体"/>
          <w:spacing w:val="6"/>
          <w:sz w:val="28"/>
          <w:szCs w:val="28"/>
        </w:rPr>
      </w:pPr>
    </w:p>
    <w:p>
      <w:pPr>
        <w:spacing w:line="360" w:lineRule="auto"/>
        <w:ind w:firstLine="584" w:firstLineChars="200"/>
        <w:rPr>
          <w:rFonts w:ascii="宋体" w:hAnsi="宋体"/>
          <w:spacing w:val="6"/>
          <w:sz w:val="28"/>
          <w:szCs w:val="28"/>
        </w:rPr>
      </w:pPr>
    </w:p>
    <w:p>
      <w:pPr>
        <w:tabs>
          <w:tab w:val="left" w:pos="4860"/>
        </w:tabs>
        <w:spacing w:line="360" w:lineRule="auto"/>
        <w:ind w:right="1560" w:firstLine="584" w:firstLineChars="200"/>
        <w:jc w:val="center"/>
        <w:rPr>
          <w:rFonts w:ascii="宋体" w:hAnsi="宋体"/>
          <w:spacing w:val="6"/>
          <w:sz w:val="28"/>
          <w:szCs w:val="28"/>
        </w:rPr>
      </w:pPr>
      <w:r>
        <w:rPr>
          <w:rFonts w:hint="eastAsia" w:ascii="宋体" w:hAnsi="宋体"/>
          <w:spacing w:val="6"/>
          <w:sz w:val="28"/>
          <w:szCs w:val="28"/>
        </w:rPr>
        <w:t xml:space="preserve">               单位名称（盖章）：</w:t>
      </w:r>
    </w:p>
    <w:p>
      <w:pPr>
        <w:tabs>
          <w:tab w:val="left" w:pos="4860"/>
        </w:tabs>
        <w:spacing w:line="360" w:lineRule="auto"/>
        <w:ind w:right="1560" w:firstLine="584" w:firstLineChars="200"/>
        <w:jc w:val="center"/>
        <w:rPr>
          <w:rFonts w:ascii="宋体" w:hAnsi="宋体"/>
          <w:spacing w:val="6"/>
          <w:sz w:val="28"/>
          <w:szCs w:val="28"/>
        </w:rPr>
      </w:pPr>
      <w:r>
        <w:rPr>
          <w:rFonts w:hint="eastAsia" w:ascii="宋体" w:hAnsi="宋体"/>
          <w:spacing w:val="6"/>
          <w:sz w:val="28"/>
          <w:szCs w:val="28"/>
        </w:rPr>
        <w:t xml:space="preserve">       日  期：</w:t>
      </w:r>
    </w:p>
    <w:p>
      <w:pPr>
        <w:spacing w:after="120" w:line="360" w:lineRule="auto"/>
        <w:ind w:firstLine="6160" w:firstLineChars="2200"/>
        <w:rPr>
          <w:rFonts w:ascii="宋体" w:hAnsi="宋体"/>
          <w:sz w:val="28"/>
          <w:szCs w:val="28"/>
        </w:rPr>
      </w:pP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ind w:left="1" w:firstLine="639" w:firstLineChars="213"/>
        <w:jc w:val="center"/>
      </w:pPr>
      <w:r>
        <w:rPr>
          <w:rFonts w:hint="eastAsia" w:hAnsi="宋体"/>
          <w:sz w:val="30"/>
          <w:szCs w:val="30"/>
        </w:rPr>
        <w:t>“国家企业信用信息公示系统——小微企业名录”页面查询结果</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fldChar w:fldCharType="begin"/>
    </w:r>
    <w:r>
      <w:rPr>
        <w:rStyle w:val="17"/>
      </w:rPr>
      <w:instrText xml:space="preserve">PAGE  </w:instrText>
    </w:r>
    <w:r>
      <w:fldChar w:fldCharType="separate"/>
    </w:r>
    <w:r>
      <w:rPr>
        <w:rStyle w:val="17"/>
      </w:rPr>
      <w:t>39</w:t>
    </w:r>
    <w:r>
      <w:fldChar w:fldCharType="end"/>
    </w:r>
  </w:p>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fldChar w:fldCharType="begin"/>
    </w:r>
    <w:r>
      <w:rPr>
        <w:rStyle w:val="17"/>
      </w:rPr>
      <w:instrText xml:space="preserve">PAGE  </w:instrText>
    </w:r>
    <w: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rPr>
      <w:t>48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D1C256"/>
    <w:multiLevelType w:val="singleLevel"/>
    <w:tmpl w:val="B2D1C256"/>
    <w:lvl w:ilvl="0" w:tentative="0">
      <w:start w:val="1"/>
      <w:numFmt w:val="decimal"/>
      <w:suff w:val="space"/>
      <w:lvlText w:val="%1)"/>
      <w:lvlJc w:val="left"/>
    </w:lvl>
  </w:abstractNum>
  <w:abstractNum w:abstractNumId="1">
    <w:nsid w:val="03783685"/>
    <w:multiLevelType w:val="singleLevel"/>
    <w:tmpl w:val="03783685"/>
    <w:lvl w:ilvl="0" w:tentative="0">
      <w:start w:val="1"/>
      <w:numFmt w:val="decimal"/>
      <w:suff w:val="space"/>
      <w:lvlText w:val="%1)"/>
      <w:lvlJc w:val="left"/>
    </w:lvl>
  </w:abstractNum>
  <w:abstractNum w:abstractNumId="2">
    <w:nsid w:val="0EA91D97"/>
    <w:multiLevelType w:val="multilevel"/>
    <w:tmpl w:val="0EA91D97"/>
    <w:lvl w:ilvl="0" w:tentative="0">
      <w:start w:val="4"/>
      <w:numFmt w:val="japaneseCounting"/>
      <w:lvlText w:val="第%1章"/>
      <w:lvlJc w:val="left"/>
      <w:pPr>
        <w:tabs>
          <w:tab w:val="left" w:pos="1768"/>
        </w:tabs>
        <w:ind w:left="1768" w:hanging="1530"/>
      </w:pPr>
      <w:rPr>
        <w:rFonts w:hint="default" w:ascii="宋体"/>
      </w:rPr>
    </w:lvl>
    <w:lvl w:ilvl="1" w:tentative="0">
      <w:start w:val="1"/>
      <w:numFmt w:val="lowerLetter"/>
      <w:lvlText w:val="%2)"/>
      <w:lvlJc w:val="left"/>
      <w:pPr>
        <w:tabs>
          <w:tab w:val="left" w:pos="1078"/>
        </w:tabs>
        <w:ind w:left="1078" w:hanging="420"/>
      </w:pPr>
    </w:lvl>
    <w:lvl w:ilvl="2" w:tentative="0">
      <w:start w:val="1"/>
      <w:numFmt w:val="lowerRoman"/>
      <w:lvlText w:val="%3."/>
      <w:lvlJc w:val="right"/>
      <w:pPr>
        <w:tabs>
          <w:tab w:val="left" w:pos="1498"/>
        </w:tabs>
        <w:ind w:left="1498" w:hanging="420"/>
      </w:pPr>
    </w:lvl>
    <w:lvl w:ilvl="3" w:tentative="0">
      <w:start w:val="1"/>
      <w:numFmt w:val="decimal"/>
      <w:lvlText w:val="%4."/>
      <w:lvlJc w:val="left"/>
      <w:pPr>
        <w:tabs>
          <w:tab w:val="left" w:pos="1918"/>
        </w:tabs>
        <w:ind w:left="1918" w:hanging="420"/>
      </w:pPr>
    </w:lvl>
    <w:lvl w:ilvl="4" w:tentative="0">
      <w:start w:val="1"/>
      <w:numFmt w:val="lowerLetter"/>
      <w:lvlText w:val="%5)"/>
      <w:lvlJc w:val="left"/>
      <w:pPr>
        <w:tabs>
          <w:tab w:val="left" w:pos="2338"/>
        </w:tabs>
        <w:ind w:left="2338" w:hanging="420"/>
      </w:pPr>
    </w:lvl>
    <w:lvl w:ilvl="5" w:tentative="0">
      <w:start w:val="1"/>
      <w:numFmt w:val="lowerRoman"/>
      <w:lvlText w:val="%6."/>
      <w:lvlJc w:val="right"/>
      <w:pPr>
        <w:tabs>
          <w:tab w:val="left" w:pos="2758"/>
        </w:tabs>
        <w:ind w:left="2758" w:hanging="420"/>
      </w:pPr>
    </w:lvl>
    <w:lvl w:ilvl="6" w:tentative="0">
      <w:start w:val="1"/>
      <w:numFmt w:val="decimal"/>
      <w:lvlText w:val="%7."/>
      <w:lvlJc w:val="left"/>
      <w:pPr>
        <w:tabs>
          <w:tab w:val="left" w:pos="3178"/>
        </w:tabs>
        <w:ind w:left="3178" w:hanging="420"/>
      </w:pPr>
    </w:lvl>
    <w:lvl w:ilvl="7" w:tentative="0">
      <w:start w:val="1"/>
      <w:numFmt w:val="lowerLetter"/>
      <w:lvlText w:val="%8)"/>
      <w:lvlJc w:val="left"/>
      <w:pPr>
        <w:tabs>
          <w:tab w:val="left" w:pos="3598"/>
        </w:tabs>
        <w:ind w:left="3598" w:hanging="420"/>
      </w:pPr>
    </w:lvl>
    <w:lvl w:ilvl="8" w:tentative="0">
      <w:start w:val="1"/>
      <w:numFmt w:val="lowerRoman"/>
      <w:lvlText w:val="%9."/>
      <w:lvlJc w:val="right"/>
      <w:pPr>
        <w:tabs>
          <w:tab w:val="left" w:pos="4018"/>
        </w:tabs>
        <w:ind w:left="4018" w:hanging="420"/>
      </w:pPr>
    </w:lvl>
  </w:abstractNum>
  <w:abstractNum w:abstractNumId="3">
    <w:nsid w:val="15910C40"/>
    <w:multiLevelType w:val="singleLevel"/>
    <w:tmpl w:val="15910C40"/>
    <w:lvl w:ilvl="0" w:tentative="0">
      <w:start w:val="1"/>
      <w:numFmt w:val="decimal"/>
      <w:suff w:val="space"/>
      <w:lvlText w:val="%1)"/>
      <w:lvlJc w:val="left"/>
    </w:lvl>
  </w:abstractNum>
  <w:abstractNum w:abstractNumId="4">
    <w:nsid w:val="1BEB5E6E"/>
    <w:multiLevelType w:val="singleLevel"/>
    <w:tmpl w:val="1BEB5E6E"/>
    <w:lvl w:ilvl="0" w:tentative="0">
      <w:start w:val="1"/>
      <w:numFmt w:val="decimal"/>
      <w:suff w:val="space"/>
      <w:lvlText w:val="%1)"/>
      <w:lvlJc w:val="left"/>
    </w:lvl>
  </w:abstractNum>
  <w:abstractNum w:abstractNumId="5">
    <w:nsid w:val="1CD669AB"/>
    <w:multiLevelType w:val="singleLevel"/>
    <w:tmpl w:val="1CD669AB"/>
    <w:lvl w:ilvl="0" w:tentative="0">
      <w:start w:val="1"/>
      <w:numFmt w:val="decimal"/>
      <w:suff w:val="space"/>
      <w:lvlText w:val="%1)"/>
      <w:lvlJc w:val="left"/>
    </w:lvl>
  </w:abstractNum>
  <w:abstractNum w:abstractNumId="6">
    <w:nsid w:val="30340661"/>
    <w:multiLevelType w:val="multilevel"/>
    <w:tmpl w:val="30340661"/>
    <w:lvl w:ilvl="0" w:tentative="0">
      <w:start w:val="1"/>
      <w:numFmt w:val="decimal"/>
      <w:suff w:val="space"/>
      <w:lvlText w:val="3.%1."/>
      <w:lvlJc w:val="left"/>
      <w:pPr>
        <w:ind w:left="0" w:firstLine="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3811C056"/>
    <w:multiLevelType w:val="singleLevel"/>
    <w:tmpl w:val="3811C056"/>
    <w:lvl w:ilvl="0" w:tentative="0">
      <w:start w:val="1"/>
      <w:numFmt w:val="decimal"/>
      <w:suff w:val="nothing"/>
      <w:lvlText w:val="%1、"/>
      <w:lvlJc w:val="left"/>
    </w:lvl>
  </w:abstractNum>
  <w:abstractNum w:abstractNumId="8">
    <w:nsid w:val="3E4A6C1C"/>
    <w:multiLevelType w:val="singleLevel"/>
    <w:tmpl w:val="3E4A6C1C"/>
    <w:lvl w:ilvl="0" w:tentative="0">
      <w:start w:val="1"/>
      <w:numFmt w:val="decimal"/>
      <w:suff w:val="space"/>
      <w:lvlText w:val="%1)"/>
      <w:lvlJc w:val="left"/>
    </w:lvl>
  </w:abstractNum>
  <w:abstractNum w:abstractNumId="9">
    <w:nsid w:val="47F25D49"/>
    <w:multiLevelType w:val="multilevel"/>
    <w:tmpl w:val="47F25D49"/>
    <w:lvl w:ilvl="0" w:tentative="0">
      <w:start w:val="1"/>
      <w:numFmt w:val="decimal"/>
      <w:suff w:val="space"/>
      <w:lvlText w:val="2.%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C9F37F9"/>
    <w:multiLevelType w:val="singleLevel"/>
    <w:tmpl w:val="4C9F37F9"/>
    <w:lvl w:ilvl="0" w:tentative="0">
      <w:start w:val="1"/>
      <w:numFmt w:val="decimal"/>
      <w:suff w:val="space"/>
      <w:lvlText w:val="%1)"/>
      <w:lvlJc w:val="left"/>
    </w:lvl>
  </w:abstractNum>
  <w:abstractNum w:abstractNumId="11">
    <w:nsid w:val="5AB30557"/>
    <w:multiLevelType w:val="singleLevel"/>
    <w:tmpl w:val="5AB30557"/>
    <w:lvl w:ilvl="0" w:tentative="0">
      <w:start w:val="1"/>
      <w:numFmt w:val="chineseCounting"/>
      <w:suff w:val="nothing"/>
      <w:lvlText w:val="%1、"/>
      <w:lvlJc w:val="left"/>
    </w:lvl>
  </w:abstractNum>
  <w:abstractNum w:abstractNumId="12">
    <w:nsid w:val="5AB32089"/>
    <w:multiLevelType w:val="singleLevel"/>
    <w:tmpl w:val="5AB32089"/>
    <w:lvl w:ilvl="0" w:tentative="0">
      <w:start w:val="1"/>
      <w:numFmt w:val="decimal"/>
      <w:suff w:val="nothing"/>
      <w:lvlText w:val="%1、"/>
      <w:lvlJc w:val="left"/>
    </w:lvl>
  </w:abstractNum>
  <w:abstractNum w:abstractNumId="13">
    <w:nsid w:val="5AEA0FA0"/>
    <w:multiLevelType w:val="singleLevel"/>
    <w:tmpl w:val="5AEA0FA0"/>
    <w:lvl w:ilvl="0" w:tentative="0">
      <w:start w:val="1"/>
      <w:numFmt w:val="decimal"/>
      <w:suff w:val="space"/>
      <w:lvlText w:val="%1)"/>
      <w:lvlJc w:val="left"/>
    </w:lvl>
  </w:abstractNum>
  <w:abstractNum w:abstractNumId="14">
    <w:nsid w:val="66B61798"/>
    <w:multiLevelType w:val="singleLevel"/>
    <w:tmpl w:val="66B61798"/>
    <w:lvl w:ilvl="0" w:tentative="0">
      <w:start w:val="1"/>
      <w:numFmt w:val="decimal"/>
      <w:suff w:val="space"/>
      <w:lvlText w:val="%1)"/>
      <w:lvlJc w:val="left"/>
    </w:lvl>
  </w:abstractNum>
  <w:abstractNum w:abstractNumId="15">
    <w:nsid w:val="67D51870"/>
    <w:multiLevelType w:val="multilevel"/>
    <w:tmpl w:val="67D51870"/>
    <w:lvl w:ilvl="0" w:tentative="0">
      <w:start w:val="1"/>
      <w:numFmt w:val="decimal"/>
      <w:suff w:val="space"/>
      <w:lvlText w:val="1.%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765316F3"/>
    <w:multiLevelType w:val="multilevel"/>
    <w:tmpl w:val="765316F3"/>
    <w:lvl w:ilvl="0" w:tentative="0">
      <w:start w:val="1"/>
      <w:numFmt w:val="chineseCountingThousand"/>
      <w:pStyle w:val="5"/>
      <w:lvlText w:val="%1、"/>
      <w:lvlJc w:val="left"/>
      <w:pPr>
        <w:tabs>
          <w:tab w:val="left" w:pos="1110"/>
        </w:tabs>
        <w:ind w:left="106" w:firstLine="454"/>
      </w:pPr>
      <w:rPr>
        <w:rFonts w:hint="default" w:ascii="??" w:hAnsi="??" w:eastAsia="??"/>
        <w:b/>
        <w:i w:val="0"/>
        <w:iCs w:val="0"/>
        <w:caps w:val="0"/>
        <w:smallCaps w:val="0"/>
        <w:strike w:val="0"/>
        <w:dstrike w:val="0"/>
        <w:vanish w:val="0"/>
        <w:spacing w:val="0"/>
        <w:position w:val="0"/>
        <w:sz w:val="21"/>
        <w:szCs w:val="21"/>
        <w:u w:val="none"/>
        <w:vertAlign w:val="baseline"/>
      </w:rPr>
    </w:lvl>
    <w:lvl w:ilvl="1" w:tentative="0">
      <w:start w:val="1"/>
      <w:numFmt w:val="lowerLetter"/>
      <w:lvlText w:val="%2)"/>
      <w:lvlJc w:val="left"/>
      <w:pPr>
        <w:tabs>
          <w:tab w:val="left" w:pos="1149"/>
        </w:tabs>
        <w:ind w:left="1149" w:hanging="420"/>
      </w:pPr>
    </w:lvl>
    <w:lvl w:ilvl="2" w:tentative="0">
      <w:start w:val="2"/>
      <w:numFmt w:val="japaneseCounting"/>
      <w:lvlText w:val="(%3)"/>
      <w:lvlJc w:val="left"/>
      <w:pPr>
        <w:tabs>
          <w:tab w:val="left" w:pos="1569"/>
        </w:tabs>
        <w:ind w:left="1569" w:hanging="420"/>
      </w:pPr>
    </w:lvl>
    <w:lvl w:ilvl="3" w:tentative="0">
      <w:start w:val="1"/>
      <w:numFmt w:val="japaneseCounting"/>
      <w:lvlText w:val="（%4）"/>
      <w:lvlJc w:val="left"/>
      <w:pPr>
        <w:tabs>
          <w:tab w:val="left" w:pos="2289"/>
        </w:tabs>
        <w:ind w:left="2289" w:hanging="720"/>
      </w:pPr>
    </w:lvl>
    <w:lvl w:ilvl="4" w:tentative="0">
      <w:start w:val="3"/>
      <w:numFmt w:val="japaneseCounting"/>
      <w:lvlText w:val="%5、"/>
      <w:lvlJc w:val="left"/>
      <w:pPr>
        <w:tabs>
          <w:tab w:val="left" w:pos="2409"/>
        </w:tabs>
        <w:ind w:left="2409" w:hanging="420"/>
      </w:pPr>
    </w:lvl>
    <w:lvl w:ilvl="5" w:tentative="0">
      <w:start w:val="1"/>
      <w:numFmt w:val="decimal"/>
      <w:lvlText w:val="%6、"/>
      <w:lvlJc w:val="left"/>
      <w:pPr>
        <w:tabs>
          <w:tab w:val="left" w:pos="3144"/>
        </w:tabs>
        <w:ind w:left="3144" w:hanging="735"/>
      </w:pPr>
      <w:rPr>
        <w:rFonts w:ascii="Times New Roman" w:hAnsi="Times New Roman" w:eastAsia="宋体" w:cs="Times New Roman"/>
      </w:rPr>
    </w:lvl>
    <w:lvl w:ilvl="6" w:tentative="0">
      <w:start w:val="1"/>
      <w:numFmt w:val="decimal"/>
      <w:lvlText w:val="%7."/>
      <w:lvlJc w:val="left"/>
      <w:pPr>
        <w:tabs>
          <w:tab w:val="left" w:pos="3249"/>
        </w:tabs>
        <w:ind w:left="3249" w:hanging="420"/>
      </w:pPr>
    </w:lvl>
    <w:lvl w:ilvl="7" w:tentative="0">
      <w:start w:val="1"/>
      <w:numFmt w:val="lowerLetter"/>
      <w:lvlText w:val="%8)"/>
      <w:lvlJc w:val="left"/>
      <w:pPr>
        <w:tabs>
          <w:tab w:val="left" w:pos="3669"/>
        </w:tabs>
        <w:ind w:left="3669" w:hanging="420"/>
      </w:pPr>
    </w:lvl>
    <w:lvl w:ilvl="8" w:tentative="0">
      <w:start w:val="1"/>
      <w:numFmt w:val="lowerRoman"/>
      <w:lvlText w:val="%9."/>
      <w:lvlJc w:val="right"/>
      <w:pPr>
        <w:tabs>
          <w:tab w:val="left" w:pos="4089"/>
        </w:tabs>
        <w:ind w:left="4089" w:hanging="420"/>
      </w:pPr>
    </w:lvl>
  </w:abstractNum>
  <w:num w:numId="1">
    <w:abstractNumId w:val="16"/>
    <w:lvlOverride w:ilvl="0">
      <w:startOverride w:val="1"/>
    </w:lvlOverride>
    <w:lvlOverride w:ilvl="1">
      <w:startOverride w:val="1"/>
    </w:lvlOverride>
    <w:lvlOverride w:ilvl="2">
      <w:startOverride w:val="2"/>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num>
  <w:num w:numId="7">
    <w:abstractNumId w:val="0"/>
    <w:lvlOverride w:ilvl="0">
      <w:startOverride w:val="1"/>
    </w:lvlOverride>
  </w:num>
  <w:num w:numId="8">
    <w:abstractNumId w:val="13"/>
    <w:lvlOverride w:ilvl="0">
      <w:startOverride w:val="1"/>
    </w:lvlOverride>
  </w:num>
  <w:num w:numId="9">
    <w:abstractNumId w:val="3"/>
    <w:lvlOverride w:ilvl="0">
      <w:startOverride w:val="1"/>
    </w:lvlOverride>
  </w:num>
  <w:num w:numId="10">
    <w:abstractNumId w:val="5"/>
    <w:lvlOverride w:ilvl="0">
      <w:startOverride w:val="1"/>
    </w:lvlOverride>
  </w:num>
  <w:num w:numId="11">
    <w:abstractNumId w:val="8"/>
    <w:lvlOverride w:ilvl="0">
      <w:startOverride w:val="1"/>
    </w:lvlOverride>
  </w:num>
  <w:num w:numId="12">
    <w:abstractNumId w:val="1"/>
    <w:lvlOverride w:ilvl="0">
      <w:startOverride w:val="1"/>
    </w:lvlOverride>
  </w:num>
  <w:num w:numId="13">
    <w:abstractNumId w:val="14"/>
    <w:lvlOverride w:ilvl="0">
      <w:startOverride w:val="1"/>
    </w:lvlOverride>
  </w:num>
  <w:num w:numId="14">
    <w:abstractNumId w:val="10"/>
    <w:lvlOverride w:ilvl="0">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DC35247"/>
    <w:rsid w:val="00135F65"/>
    <w:rsid w:val="002000C3"/>
    <w:rsid w:val="00EA1395"/>
    <w:rsid w:val="03B245D2"/>
    <w:rsid w:val="0DC35247"/>
    <w:rsid w:val="19B25183"/>
    <w:rsid w:val="221D33E4"/>
    <w:rsid w:val="4A3D005C"/>
    <w:rsid w:val="62F242AC"/>
    <w:rsid w:val="7C003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widowControl/>
      <w:spacing w:line="360" w:lineRule="auto"/>
      <w:jc w:val="center"/>
      <w:outlineLvl w:val="0"/>
    </w:pPr>
    <w:rPr>
      <w:rFonts w:ascii="??" w:hAnsi="??" w:eastAsia="??" w:cs="宋体"/>
      <w:b/>
      <w:kern w:val="36"/>
      <w:sz w:val="32"/>
      <w:szCs w:val="28"/>
    </w:rPr>
  </w:style>
  <w:style w:type="paragraph" w:styleId="5">
    <w:name w:val="heading 2"/>
    <w:basedOn w:val="4"/>
    <w:next w:val="1"/>
    <w:qFormat/>
    <w:uiPriority w:val="0"/>
    <w:pPr>
      <w:keepLines/>
      <w:numPr>
        <w:ilvl w:val="0"/>
        <w:numId w:val="1"/>
      </w:numPr>
      <w:tabs>
        <w:tab w:val="left" w:pos="706"/>
      </w:tabs>
      <w:outlineLvl w:val="1"/>
    </w:pPr>
    <w:rPr>
      <w:rFonts w:ascii="Arial" w:hAnsi="Arial" w:cs="Arial"/>
      <w:bCs/>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spacing w:line="200" w:lineRule="exact"/>
      <w:ind w:firstLine="301"/>
    </w:pPr>
    <w:rPr>
      <w:rFonts w:ascii="宋体" w:hAnsi="Courier New"/>
      <w:spacing w:val="-4"/>
      <w:sz w:val="18"/>
      <w:szCs w:val="20"/>
    </w:rPr>
  </w:style>
  <w:style w:type="paragraph" w:styleId="6">
    <w:name w:val="Normal Indent"/>
    <w:basedOn w:val="1"/>
    <w:qFormat/>
    <w:uiPriority w:val="0"/>
    <w:pPr>
      <w:ind w:firstLine="420"/>
    </w:pPr>
    <w:rPr>
      <w:szCs w:val="20"/>
    </w:rPr>
  </w:style>
  <w:style w:type="paragraph" w:styleId="7">
    <w:name w:val="caption"/>
    <w:basedOn w:val="1"/>
    <w:next w:val="1"/>
    <w:qFormat/>
    <w:uiPriority w:val="0"/>
    <w:pPr>
      <w:spacing w:before="152" w:after="160"/>
    </w:pPr>
    <w:rPr>
      <w:rFonts w:ascii="Arial" w:hAnsi="Arial" w:eastAsia="黑体"/>
      <w:sz w:val="20"/>
      <w:szCs w:val="20"/>
    </w:rPr>
  </w:style>
  <w:style w:type="paragraph" w:styleId="8">
    <w:name w:val="Body Text 3"/>
    <w:basedOn w:val="1"/>
    <w:qFormat/>
    <w:uiPriority w:val="0"/>
    <w:pPr>
      <w:snapToGrid w:val="0"/>
      <w:spacing w:before="50" w:after="50"/>
    </w:pPr>
  </w:style>
  <w:style w:type="paragraph" w:styleId="9">
    <w:name w:val="Plain Text"/>
    <w:basedOn w:val="1"/>
    <w:qFormat/>
    <w:uiPriority w:val="0"/>
    <w:pPr>
      <w:spacing w:beforeLines="50" w:afterLines="50" w:line="400" w:lineRule="exact"/>
    </w:pPr>
    <w:rPr>
      <w:rFonts w:ascii="宋体" w:hAnsi="Courier New"/>
      <w:sz w:val="24"/>
    </w:rPr>
  </w:style>
  <w:style w:type="paragraph" w:styleId="10">
    <w:name w:val="Date"/>
    <w:basedOn w:val="1"/>
    <w:next w:val="1"/>
    <w:qFormat/>
    <w:uiPriority w:val="99"/>
    <w:pPr>
      <w:ind w:left="2500" w:leftChars="2500"/>
    </w:pPr>
    <w:rPr>
      <w:rFonts w:eastAsia="楷体_GB2312"/>
      <w:sz w:val="32"/>
      <w:szCs w:val="20"/>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character" w:styleId="17">
    <w:name w:val="page number"/>
    <w:basedOn w:val="16"/>
    <w:qFormat/>
    <w:uiPriority w:val="0"/>
  </w:style>
  <w:style w:type="character" w:styleId="18">
    <w:name w:val="Hyperlink"/>
    <w:qFormat/>
    <w:uiPriority w:val="99"/>
    <w:rPr>
      <w:color w:val="0000FF"/>
      <w:u w:val="single"/>
    </w:rPr>
  </w:style>
  <w:style w:type="paragraph" w:customStyle="1" w:styleId="19">
    <w:name w:val="Char Char Char"/>
    <w:basedOn w:val="1"/>
    <w:qFormat/>
    <w:uiPriority w:val="0"/>
  </w:style>
  <w:style w:type="paragraph" w:customStyle="1" w:styleId="20">
    <w:name w:val="列出段落1"/>
    <w:basedOn w:val="1"/>
    <w:qFormat/>
    <w:uiPriority w:val="34"/>
    <w:pPr>
      <w:snapToGrid w:val="0"/>
      <w:spacing w:line="276" w:lineRule="auto"/>
      <w:ind w:firstLine="420" w:firstLineChars="200"/>
    </w:pPr>
    <w:rPr>
      <w:rFonts w:ascii="Calibri" w:hAnsi="Calibri" w:eastAsia="微软雅黑"/>
      <w:sz w:val="24"/>
      <w:szCs w:val="21"/>
    </w:rPr>
  </w:style>
  <w:style w:type="paragraph" w:customStyle="1" w:styleId="21">
    <w:name w:val="*正文"/>
    <w:basedOn w:val="1"/>
    <w:qFormat/>
    <w:uiPriority w:val="0"/>
    <w:pPr>
      <w:spacing w:line="360" w:lineRule="auto"/>
      <w:ind w:firstLine="200" w:firstLineChars="200"/>
    </w:pPr>
    <w:rPr>
      <w:rFonts w:ascii="宋体" w:hAnsi="宋体"/>
      <w:snapToGrid w:val="0"/>
      <w:kern w:val="0"/>
      <w:sz w:val="24"/>
    </w:rPr>
  </w:style>
  <w:style w:type="paragraph" w:customStyle="1" w:styleId="22">
    <w:name w:val="列出段落3"/>
    <w:basedOn w:val="1"/>
    <w:unhideWhenUsed/>
    <w:qFormat/>
    <w:uiPriority w:val="99"/>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4308</Words>
  <Characters>24561</Characters>
  <Lines>204</Lines>
  <Paragraphs>57</Paragraphs>
  <TotalTime>7</TotalTime>
  <ScaleCrop>false</ScaleCrop>
  <LinksUpToDate>false</LinksUpToDate>
  <CharactersWithSpaces>28812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2020-06-30T07:32:00Z</dcterms:created>
  <dc:creator>CHENJUN</dc:creator>
  <cp:lastModifiedBy>CHENJUN</cp:lastModifiedBy>
  <dcterms:modified xsi:type="dcterms:W3CDTF">2020-07-02T03:37:37Z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