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8" w:leftChars="118" w:right="-110" w:firstLine="441" w:firstLineChars="100"/>
        <w:jc w:val="center"/>
        <w:rPr>
          <w:rFonts w:ascii="宋体" w:hAnsi="宋体"/>
          <w:b/>
          <w:spacing w:val="40"/>
          <w:sz w:val="36"/>
          <w:szCs w:val="36"/>
        </w:rPr>
      </w:pPr>
      <w:r>
        <w:rPr>
          <w:rFonts w:hint="eastAsia" w:ascii="宋体" w:hAnsi="宋体"/>
          <w:b/>
          <w:spacing w:val="40"/>
          <w:sz w:val="36"/>
          <w:szCs w:val="36"/>
        </w:rPr>
        <w:t>杭州市临安区</w:t>
      </w:r>
      <w:r>
        <w:rPr>
          <w:rFonts w:hint="eastAsia" w:ascii="宋体" w:hAnsi="宋体"/>
          <w:b/>
          <w:spacing w:val="40"/>
          <w:sz w:val="36"/>
          <w:szCs w:val="36"/>
          <w:lang w:eastAsia="zh-CN"/>
        </w:rPr>
        <w:t>商务局</w:t>
      </w:r>
      <w:r>
        <w:rPr>
          <w:rFonts w:hint="eastAsia" w:ascii="宋体" w:hAnsi="宋体"/>
          <w:b/>
          <w:spacing w:val="40"/>
          <w:sz w:val="36"/>
          <w:szCs w:val="36"/>
        </w:rPr>
        <w:t>专用设备采购项目</w:t>
      </w:r>
    </w:p>
    <w:p>
      <w:pPr>
        <w:ind w:right="-110"/>
        <w:rPr>
          <w:rFonts w:ascii="宋体" w:hAnsi="宋体"/>
          <w:b/>
          <w:spacing w:val="40"/>
          <w:sz w:val="32"/>
          <w:szCs w:val="32"/>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2"/>
          <w:szCs w:val="32"/>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rPr>
        <w:t xml:space="preserve">  ）</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hint="eastAsia" w:ascii="宋体" w:hAnsi="宋体" w:eastAsia="宋体"/>
          <w:sz w:val="32"/>
          <w:szCs w:val="32"/>
          <w:u w:val="single"/>
          <w:lang w:eastAsia="zh-CN"/>
        </w:rPr>
      </w:pPr>
      <w:r>
        <w:rPr>
          <w:rFonts w:hint="eastAsia" w:ascii="宋体" w:hAnsi="宋体"/>
          <w:sz w:val="32"/>
          <w:szCs w:val="32"/>
        </w:rPr>
        <w:t>采购单位：杭州市临安区</w:t>
      </w:r>
      <w:r>
        <w:rPr>
          <w:rFonts w:hint="eastAsia" w:ascii="宋体" w:hAnsi="宋体"/>
          <w:sz w:val="32"/>
          <w:szCs w:val="32"/>
          <w:lang w:eastAsia="zh-CN"/>
        </w:rPr>
        <w:t>商务局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17"/>
        <w:rPr>
          <w:rFonts w:ascii="宋体" w:hAnsi="宋体"/>
          <w:sz w:val="24"/>
        </w:rPr>
      </w:pPr>
    </w:p>
    <w:p>
      <w:pPr>
        <w:pStyle w:val="6"/>
        <w:spacing w:before="156" w:after="156" w:line="360" w:lineRule="auto"/>
        <w:jc w:val="center"/>
        <w:rPr>
          <w:rFonts w:hAnsi="宋体"/>
          <w:b/>
        </w:rPr>
      </w:pPr>
    </w:p>
    <w:p>
      <w:pPr>
        <w:pStyle w:val="6"/>
        <w:spacing w:before="156" w:after="156" w:line="360" w:lineRule="auto"/>
        <w:rPr>
          <w:rFonts w:hAnsi="宋体"/>
          <w:b/>
        </w:rPr>
      </w:pPr>
    </w:p>
    <w:p>
      <w:pPr>
        <w:pStyle w:val="6"/>
        <w:spacing w:before="156" w:after="156" w:line="360" w:lineRule="auto"/>
        <w:rPr>
          <w:rFonts w:hAnsi="宋体"/>
          <w:b/>
        </w:rPr>
      </w:pPr>
    </w:p>
    <w:p>
      <w:pPr>
        <w:pStyle w:val="6"/>
        <w:spacing w:before="156" w:after="156" w:line="360" w:lineRule="auto"/>
        <w:rPr>
          <w:rFonts w:hAnsi="宋体"/>
          <w:b/>
        </w:rPr>
      </w:pPr>
    </w:p>
    <w:p>
      <w:pPr>
        <w:pStyle w:val="6"/>
        <w:spacing w:before="156" w:after="156" w:line="360" w:lineRule="auto"/>
        <w:jc w:val="center"/>
        <w:rPr>
          <w:rFonts w:hAnsi="宋体"/>
          <w:b/>
          <w:sz w:val="32"/>
          <w:szCs w:val="32"/>
        </w:rPr>
      </w:pPr>
      <w:r>
        <w:rPr>
          <w:rFonts w:hint="eastAsia" w:hAnsi="宋体"/>
          <w:b/>
          <w:sz w:val="32"/>
          <w:szCs w:val="32"/>
        </w:rPr>
        <w:t>目    录</w:t>
      </w:r>
    </w:p>
    <w:p>
      <w:pPr>
        <w:pStyle w:val="6"/>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6"/>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w:t>
      </w:r>
      <w:r>
        <w:rPr>
          <w:rFonts w:hint="eastAsia" w:ascii="宋体" w:hAnsi="宋体"/>
          <w:sz w:val="24"/>
          <w:lang w:eastAsia="zh-CN"/>
        </w:rPr>
        <w:t>商务局</w:t>
      </w:r>
      <w:r>
        <w:rPr>
          <w:rFonts w:hint="eastAsia" w:ascii="宋体" w:hAnsi="宋体"/>
          <w:sz w:val="24"/>
        </w:rPr>
        <w:t>的委托，杭州市公共资源交易中心临安分中心（以下简称“采购机构”），就以下杭州市临安区商务局专用设备采购项目进行公开采购，现欢迎有供货能力的合格供应商参加投标。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rPr>
        <w:t xml:space="preserve"> </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2"/>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2411"/>
        <w:gridCol w:w="2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41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Arial"/>
                <w:bCs/>
                <w:sz w:val="24"/>
              </w:rPr>
            </w:pPr>
            <w:r>
              <w:rPr>
                <w:rFonts w:hint="eastAsia" w:ascii="宋体" w:hAnsi="宋体" w:cs="Arial"/>
                <w:bCs/>
                <w:sz w:val="24"/>
              </w:rPr>
              <w:t>技术要求</w:t>
            </w:r>
          </w:p>
        </w:tc>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4377"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杭州市临安区商务局专用设备采购项目</w:t>
            </w:r>
          </w:p>
        </w:tc>
        <w:tc>
          <w:tcPr>
            <w:tcW w:w="91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2411" w:type="dxa"/>
            <w:tcBorders>
              <w:top w:val="single" w:color="auto" w:sz="4" w:space="0"/>
              <w:left w:val="single" w:color="auto" w:sz="4" w:space="0"/>
              <w:right w:val="single" w:color="auto" w:sz="4" w:space="0"/>
            </w:tcBorders>
          </w:tcPr>
          <w:p>
            <w:pPr>
              <w:snapToGrid w:val="0"/>
              <w:spacing w:line="360" w:lineRule="auto"/>
              <w:rPr>
                <w:rFonts w:hint="eastAsia" w:ascii="宋体" w:hAnsi="宋体" w:cs="Arial"/>
                <w:bCs/>
                <w:sz w:val="24"/>
              </w:rPr>
            </w:pPr>
          </w:p>
          <w:p>
            <w:pPr>
              <w:snapToGrid w:val="0"/>
              <w:spacing w:line="360" w:lineRule="auto"/>
              <w:rPr>
                <w:rFonts w:ascii="宋体" w:hAnsi="宋体" w:cs="Arial"/>
                <w:bCs/>
                <w:sz w:val="24"/>
              </w:rPr>
            </w:pPr>
            <w:r>
              <w:rPr>
                <w:rFonts w:hint="eastAsia" w:ascii="宋体" w:hAnsi="宋体" w:cs="Arial"/>
                <w:bCs/>
                <w:sz w:val="24"/>
              </w:rPr>
              <w:t>详见第四章采购需求</w:t>
            </w:r>
          </w:p>
        </w:tc>
        <w:tc>
          <w:tcPr>
            <w:tcW w:w="2099"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 xml:space="preserve"> </w:t>
            </w:r>
            <w:r>
              <w:rPr>
                <w:rFonts w:hint="eastAsia" w:ascii="宋体" w:hAnsi="宋体" w:cs="Arial"/>
                <w:bCs/>
                <w:color w:val="000000" w:themeColor="text1"/>
                <w:sz w:val="24"/>
                <w14:textFill>
                  <w14:solidFill>
                    <w14:schemeClr w14:val="tx1"/>
                  </w14:solidFill>
                </w14:textFill>
              </w:rPr>
              <w:t xml:space="preserve"> </w:t>
            </w:r>
            <w:r>
              <w:rPr>
                <w:rFonts w:hint="eastAsia" w:ascii="宋体" w:hAnsi="宋体" w:cs="Arial"/>
                <w:bCs/>
                <w:color w:val="000000" w:themeColor="text1"/>
                <w:sz w:val="24"/>
                <w:lang w:val="en-US" w:eastAsia="zh-CN"/>
                <w14:textFill>
                  <w14:solidFill>
                    <w14:schemeClr w14:val="tx1"/>
                  </w14:solidFill>
                </w14:textFill>
              </w:rPr>
              <w:t>46.99</w:t>
            </w:r>
            <w:r>
              <w:rPr>
                <w:rFonts w:hint="eastAsia" w:ascii="宋体" w:hAnsi="宋体" w:cs="Arial"/>
                <w:bCs/>
                <w:color w:val="000000" w:themeColor="text1"/>
                <w:sz w:val="24"/>
                <w14:textFill>
                  <w14:solidFill>
                    <w14:schemeClr w14:val="tx1"/>
                  </w14:solidFill>
                </w14:textFill>
              </w:rPr>
              <w:t>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临安</w:t>
      </w:r>
      <w:r>
        <w:rPr>
          <w:rFonts w:hint="eastAsia" w:ascii="宋体" w:hAnsi="宋体"/>
          <w:color w:val="000000"/>
          <w:sz w:val="24"/>
        </w:rPr>
        <w:t>区</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"http://www.lajyzx.cn/" </w:instrText>
      </w:r>
      <w:r>
        <w:fldChar w:fldCharType="separate"/>
      </w:r>
      <w:r>
        <w:rPr>
          <w:rStyle w:val="16"/>
          <w:rFonts w:ascii="宋体" w:hAnsi="宋体"/>
          <w:sz w:val="24"/>
        </w:rPr>
        <w:t>http://www.lajyzx.cn/</w:t>
      </w:r>
      <w:r>
        <w:rPr>
          <w:rStyle w:val="16"/>
          <w:rFonts w:ascii="宋体" w:hAnsi="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6"/>
          <w:rFonts w:ascii="宋体" w:hAnsi="宋体"/>
          <w:sz w:val="24"/>
        </w:rPr>
        <w:t>http://www.linan.gov.cn/col/col1366369/</w:t>
      </w:r>
      <w:r>
        <w:rPr>
          <w:rStyle w:val="16"/>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6"/>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6"/>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6"/>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6"/>
        <w:adjustRightInd w:val="0"/>
        <w:snapToGrid w:val="0"/>
        <w:spacing w:before="156" w:after="156" w:line="360" w:lineRule="auto"/>
        <w:ind w:firstLine="484" w:firstLineChars="201"/>
        <w:rPr>
          <w:rFonts w:hAnsi="宋体" w:cs="Arial"/>
          <w:b/>
        </w:rPr>
      </w:pPr>
      <w:r>
        <w:rPr>
          <w:rFonts w:hint="eastAsia" w:hAnsi="宋体" w:cs="Arial"/>
          <w:b/>
        </w:rPr>
        <w:t>本项目于2020年</w:t>
      </w:r>
      <w:r>
        <w:rPr>
          <w:rFonts w:hint="eastAsia" w:hAnsi="宋体" w:cs="Arial"/>
          <w:b/>
          <w:lang w:val="en-US" w:eastAsia="zh-CN"/>
        </w:rPr>
        <w:t>5</w:t>
      </w:r>
      <w:r>
        <w:rPr>
          <w:rFonts w:hint="eastAsia" w:hAnsi="宋体" w:cs="Arial"/>
          <w:b/>
        </w:rPr>
        <w:t>月  日9:00投标截止。</w:t>
      </w:r>
    </w:p>
    <w:p>
      <w:pPr>
        <w:pStyle w:val="6"/>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质疑答复联系人：王晖               联系电话：0571-23616016</w:t>
      </w:r>
    </w:p>
    <w:p>
      <w:pPr>
        <w:snapToGrid w:val="0"/>
        <w:spacing w:line="360" w:lineRule="auto"/>
        <w:ind w:firstLine="480" w:firstLineChars="200"/>
        <w:rPr>
          <w:rFonts w:hint="eastAsia" w:ascii="宋体" w:hAnsi="宋体" w:cs="Arial"/>
          <w:sz w:val="24"/>
        </w:rPr>
      </w:pPr>
      <w:r>
        <w:rPr>
          <w:rFonts w:hint="eastAsia" w:ascii="宋体" w:hAnsi="宋体" w:cs="Arial"/>
          <w:sz w:val="24"/>
        </w:rPr>
        <w:t>采购单位联系人：</w:t>
      </w:r>
      <w:r>
        <w:rPr>
          <w:rFonts w:hint="eastAsia" w:ascii="宋体" w:hAnsi="宋体" w:cs="Arial"/>
          <w:sz w:val="24"/>
          <w:lang w:eastAsia="zh-CN"/>
        </w:rPr>
        <w:t>郎春霞</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 xml:space="preserve"> 联系电话：13073630001</w:t>
      </w: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2020年4月</w:t>
      </w:r>
      <w:r>
        <w:rPr>
          <w:rFonts w:hint="eastAsia" w:ascii="宋体" w:hAnsi="宋体"/>
          <w:sz w:val="24"/>
          <w:lang w:val="en-US" w:eastAsia="zh-CN"/>
        </w:rPr>
        <w:t>27</w:t>
      </w:r>
      <w:r>
        <w:rPr>
          <w:rFonts w:hint="eastAsia" w:ascii="宋体" w:hAnsi="宋体"/>
          <w:sz w:val="24"/>
        </w:rPr>
        <w:t>日</w:t>
      </w:r>
    </w:p>
    <w:p>
      <w:pPr>
        <w:pStyle w:val="6"/>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spacing w:beforeLines="0" w:afterLines="0"/>
              <w:ind w:firstLine="4" w:firstLineChars="2"/>
              <w:jc w:val="left"/>
              <w:rPr>
                <w:rFonts w:hAnsi="宋体"/>
                <w:color w:val="FF0000"/>
              </w:rPr>
            </w:pPr>
            <w:r>
              <w:rPr>
                <w:rFonts w:hint="eastAsia" w:hAnsi="宋体"/>
              </w:rPr>
              <w:t>项目名称：杭州市临安区商务局专用设备采购项目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投标截止时间：2020年5月   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开标时间、地点：2020年5月   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6"/>
              <w:adjustRightInd w:val="0"/>
              <w:spacing w:before="156" w:after="156"/>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6"/>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6"/>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6"/>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6"/>
              <w:adjustRightInd w:val="0"/>
              <w:spacing w:before="156" w:after="156"/>
              <w:rPr>
                <w:rFonts w:hAnsi="宋体"/>
              </w:rPr>
            </w:pPr>
            <w:r>
              <w:rPr>
                <w:rFonts w:hint="eastAsia" w:hAnsi="宋体"/>
              </w:rPr>
              <w:t>(注：未提供以上材料的，均不给予价格扣除）。</w:t>
            </w:r>
          </w:p>
          <w:p>
            <w:pPr>
              <w:pStyle w:val="6"/>
              <w:adjustRightInd w:val="0"/>
              <w:spacing w:before="156" w:after="156"/>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adjustRightInd w:val="0"/>
              <w:spacing w:before="156" w:after="156"/>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6"/>
              <w:adjustRightInd w:val="0"/>
              <w:spacing w:before="156" w:after="156"/>
              <w:rPr>
                <w:rFonts w:hAnsi="宋体"/>
              </w:rPr>
            </w:pPr>
            <w:r>
              <w:rPr>
                <w:rFonts w:hint="eastAsia" w:hAnsi="宋体"/>
              </w:rPr>
              <w:t>解释：本采购文件的解释权属于杭州市公共资源交易中心临安分中心。</w:t>
            </w:r>
          </w:p>
        </w:tc>
      </w:tr>
    </w:tbl>
    <w:p>
      <w:pPr>
        <w:pStyle w:val="6"/>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6"/>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6"/>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6"/>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6"/>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6"/>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6"/>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6"/>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0"/>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6"/>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5"/>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5"/>
        <w:spacing w:line="360" w:lineRule="auto"/>
        <w:jc w:val="left"/>
        <w:outlineLvl w:val="1"/>
        <w:rPr>
          <w:rFonts w:hAnsi="宋体"/>
          <w:b/>
          <w:bCs/>
          <w:sz w:val="24"/>
        </w:rPr>
      </w:pPr>
      <w:bookmarkStart w:id="1" w:name="_Toc177870554"/>
      <w:r>
        <w:rPr>
          <w:rFonts w:hint="eastAsia" w:hAnsi="宋体"/>
          <w:b/>
          <w:bCs/>
          <w:sz w:val="24"/>
        </w:rPr>
        <w:t>（一）组织开标程序</w:t>
      </w:r>
    </w:p>
    <w:p>
      <w:pPr>
        <w:pStyle w:val="6"/>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6"/>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6"/>
        <w:spacing w:before="156" w:after="156" w:line="360" w:lineRule="auto"/>
        <w:ind w:firstLine="551"/>
        <w:rPr>
          <w:rFonts w:hAnsi="宋体"/>
          <w:b/>
          <w:bCs/>
        </w:rPr>
      </w:pPr>
      <w:r>
        <w:rPr>
          <w:rFonts w:hint="eastAsia" w:hAnsi="宋体"/>
          <w:b/>
          <w:bCs/>
        </w:rPr>
        <w:t>2.电子招投标开标及评审程序</w:t>
      </w:r>
    </w:p>
    <w:p>
      <w:pPr>
        <w:pStyle w:val="6"/>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6"/>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6"/>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6"/>
        <w:snapToGrid w:val="0"/>
        <w:spacing w:before="156" w:after="156" w:line="360" w:lineRule="auto"/>
        <w:ind w:firstLine="472" w:firstLineChars="196"/>
        <w:rPr>
          <w:rFonts w:hAnsi="宋体"/>
          <w:b/>
          <w:bCs/>
        </w:rPr>
      </w:pPr>
      <w:r>
        <w:rPr>
          <w:rFonts w:hint="eastAsia" w:hAnsi="宋体"/>
          <w:b/>
          <w:bCs/>
        </w:rPr>
        <w:t>2.4在系统上公开报价开标情况；</w:t>
      </w:r>
    </w:p>
    <w:p>
      <w:pPr>
        <w:pStyle w:val="6"/>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6"/>
        <w:snapToGrid w:val="0"/>
        <w:spacing w:before="156" w:after="156" w:line="360" w:lineRule="auto"/>
        <w:ind w:firstLine="472" w:firstLineChars="196"/>
        <w:rPr>
          <w:rFonts w:hAnsi="宋体"/>
          <w:b/>
          <w:bCs/>
        </w:rPr>
      </w:pPr>
      <w:r>
        <w:rPr>
          <w:rFonts w:hint="eastAsia" w:hAnsi="宋体"/>
          <w:b/>
          <w:bCs/>
        </w:rPr>
        <w:t>2.6在系统上公布评审结果。</w:t>
      </w:r>
    </w:p>
    <w:p>
      <w:pPr>
        <w:pStyle w:val="6"/>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6"/>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6"/>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6"/>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8"/>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8"/>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8"/>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8"/>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6"/>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本项目先开资信、技术文件，再开报价文件。其中资信和技术分占60%，报价分占40%。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2"/>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692"/>
        <w:gridCol w:w="64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序号</w:t>
            </w:r>
          </w:p>
        </w:tc>
        <w:tc>
          <w:tcPr>
            <w:tcW w:w="169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考评项目</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评分标准（细则）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1</w:t>
            </w:r>
          </w:p>
        </w:tc>
        <w:tc>
          <w:tcPr>
            <w:tcW w:w="169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ascii="宋体" w:hAnsi="宋体" w:cs="宋体"/>
                <w:kern w:val="0"/>
                <w:sz w:val="24"/>
              </w:rPr>
            </w:pPr>
            <w:r>
              <w:rPr>
                <w:rFonts w:hint="eastAsia" w:ascii="宋体" w:hAnsi="宋体" w:cs="宋体"/>
                <w:kern w:val="0"/>
                <w:sz w:val="24"/>
              </w:rPr>
              <w:t>技术方案</w:t>
            </w:r>
          </w:p>
          <w:p>
            <w:pPr>
              <w:widowControl/>
              <w:spacing w:line="480" w:lineRule="auto"/>
              <w:rPr>
                <w:rFonts w:hint="eastAsia" w:ascii="宋体" w:hAnsi="宋体" w:cs="宋体"/>
                <w:kern w:val="0"/>
                <w:sz w:val="24"/>
              </w:rPr>
            </w:pPr>
            <w:r>
              <w:rPr>
                <w:rFonts w:hint="eastAsia" w:ascii="宋体" w:hAnsi="宋体" w:cs="宋体"/>
                <w:kern w:val="0"/>
                <w:sz w:val="24"/>
              </w:rPr>
              <w:t>及质量</w:t>
            </w:r>
          </w:p>
          <w:p>
            <w:pPr>
              <w:widowControl/>
              <w:spacing w:line="480" w:lineRule="auto"/>
              <w:rPr>
                <w:rFonts w:ascii="宋体" w:hAnsi="宋体" w:cs="宋体"/>
                <w:kern w:val="0"/>
                <w:sz w:val="24"/>
              </w:rPr>
            </w:pPr>
            <w:r>
              <w:rPr>
                <w:rFonts w:hint="eastAsia" w:ascii="宋体" w:hAnsi="宋体" w:cs="宋体"/>
                <w:kern w:val="0"/>
                <w:sz w:val="24"/>
              </w:rPr>
              <w:t>（0-38分）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sz w:val="24"/>
              </w:rPr>
              <w:t>设备技术参数全部满足招标要求的得满26分；有一项负偏离视其重要程度酌情扣1-</w:t>
            </w:r>
            <w:r>
              <w:rPr>
                <w:rFonts w:ascii="宋体" w:hAnsi="宋体"/>
                <w:sz w:val="24"/>
              </w:rPr>
              <w:t>3</w:t>
            </w:r>
            <w:r>
              <w:rPr>
                <w:rFonts w:hint="eastAsia" w:ascii="宋体" w:hAnsi="宋体"/>
                <w:sz w:val="24"/>
              </w:rPr>
              <w:t>分，扣完为止（</w:t>
            </w:r>
            <w:r>
              <w:rPr>
                <w:rFonts w:hint="eastAsia" w:ascii="宋体" w:hAnsi="宋体" w:cs="宋体"/>
                <w:kern w:val="0"/>
                <w:sz w:val="24"/>
              </w:rPr>
              <w:t>无实质性意义的负偏离不扣分）。（0-26分）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对性能指标、技术参数属正偏离的或有先进程度的每项加0.5-1分，最高得5分，是否属正偏离的或有先进程度由评审专家认定需求。（0-5分）（正偏离负偏离的主要依据是增加或降低成本，评委需列出具体的正负偏离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color w:val="FF0000"/>
                <w:kern w:val="0"/>
                <w:sz w:val="24"/>
              </w:rPr>
              <w:t>安装、调试、验收的方案和措施较好的得1-2分，方案措施一般的得0.1－1分，无方案措施或方案措施存在明显缺陷的不得分。（0-2分）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有较严密的质量监控措施和先进的质量检测设施的得1-2分，质量监控措施和质量检测设施一般的得0.1－1分，无措施的不得分。（0-2分）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根据参投产品的稳定性、实用性、扩展性和投标产品在行业内的排名和知名度、用户反馈等情况，由专家酌情打分。（0-3分）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2</w:t>
            </w:r>
          </w:p>
        </w:tc>
        <w:tc>
          <w:tcPr>
            <w:tcW w:w="1692" w:type="dxa"/>
            <w:tcBorders>
              <w:top w:val="outset" w:color="auto" w:sz="6" w:space="0"/>
              <w:left w:val="outset" w:color="auto" w:sz="6" w:space="0"/>
              <w:bottom w:val="outset" w:color="auto" w:sz="6" w:space="0"/>
              <w:right w:val="outset" w:color="auto" w:sz="6" w:space="0"/>
            </w:tcBorders>
            <w:vAlign w:val="center"/>
          </w:tcPr>
          <w:p>
            <w:pPr>
              <w:widowControl/>
              <w:spacing w:line="480" w:lineRule="auto"/>
              <w:rPr>
                <w:rFonts w:ascii="宋体" w:hAnsi="宋体" w:cs="宋体"/>
                <w:kern w:val="0"/>
                <w:sz w:val="24"/>
              </w:rPr>
            </w:pPr>
            <w:r>
              <w:rPr>
                <w:rFonts w:hint="eastAsia" w:ascii="宋体" w:hAnsi="宋体" w:cs="宋体"/>
                <w:kern w:val="0"/>
                <w:sz w:val="24"/>
              </w:rPr>
              <w:t>政策分</w:t>
            </w:r>
          </w:p>
          <w:p>
            <w:pPr>
              <w:widowControl/>
              <w:spacing w:line="480" w:lineRule="auto"/>
              <w:rPr>
                <w:rFonts w:ascii="宋体" w:hAnsi="宋体" w:cs="宋体"/>
                <w:kern w:val="0"/>
                <w:sz w:val="24"/>
              </w:rPr>
            </w:pPr>
            <w:r>
              <w:rPr>
                <w:rFonts w:hint="eastAsia" w:ascii="宋体" w:hAnsi="宋体" w:cs="宋体"/>
                <w:kern w:val="0"/>
                <w:sz w:val="24"/>
              </w:rPr>
              <w:t>（0-4分）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投标产品（核心设备、主要原材料等）列入自主创新产品目录的，得1分；列入国家节能产品、环保产品目录的，每项得1分；投标产品本身属于回收利用资源加工制作的，得1分；所投产品按规定享受其他国家政策支持、扶持、奖励的，由投标人提供相关法律法规依据，每项给予加分1分。（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restart"/>
            <w:tcBorders>
              <w:top w:val="outset" w:color="auto" w:sz="6" w:space="0"/>
              <w:left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3</w:t>
            </w:r>
          </w:p>
        </w:tc>
        <w:tc>
          <w:tcPr>
            <w:tcW w:w="1692" w:type="dxa"/>
            <w:vMerge w:val="restart"/>
            <w:tcBorders>
              <w:top w:val="outset" w:color="auto" w:sz="6" w:space="0"/>
              <w:left w:val="outset" w:color="auto" w:sz="6" w:space="0"/>
              <w:right w:val="outset" w:color="auto" w:sz="6" w:space="0"/>
            </w:tcBorders>
            <w:vAlign w:val="center"/>
          </w:tcPr>
          <w:p>
            <w:pPr>
              <w:widowControl/>
              <w:spacing w:line="480" w:lineRule="auto"/>
              <w:rPr>
                <w:rFonts w:ascii="宋体" w:hAnsi="宋体" w:cs="宋体"/>
                <w:kern w:val="0"/>
                <w:sz w:val="24"/>
              </w:rPr>
            </w:pPr>
            <w:r>
              <w:rPr>
                <w:rFonts w:hint="eastAsia" w:ascii="宋体" w:hAnsi="宋体" w:cs="宋体"/>
                <w:kern w:val="0"/>
                <w:sz w:val="24"/>
              </w:rPr>
              <w:t>资信及</w:t>
            </w:r>
          </w:p>
          <w:p>
            <w:pPr>
              <w:widowControl/>
              <w:spacing w:line="480" w:lineRule="auto"/>
              <w:rPr>
                <w:rFonts w:hint="eastAsia" w:ascii="宋体" w:hAnsi="宋体" w:cs="宋体"/>
                <w:kern w:val="0"/>
                <w:sz w:val="24"/>
              </w:rPr>
            </w:pPr>
            <w:r>
              <w:rPr>
                <w:rFonts w:hint="eastAsia" w:ascii="宋体" w:hAnsi="宋体" w:cs="宋体"/>
                <w:kern w:val="0"/>
                <w:sz w:val="24"/>
              </w:rPr>
              <w:t>商务分</w:t>
            </w:r>
          </w:p>
          <w:p>
            <w:pPr>
              <w:widowControl/>
              <w:spacing w:line="480" w:lineRule="auto"/>
              <w:rPr>
                <w:rFonts w:ascii="宋体" w:hAnsi="宋体" w:cs="宋体"/>
                <w:kern w:val="0"/>
                <w:sz w:val="24"/>
              </w:rPr>
            </w:pPr>
            <w:r>
              <w:rPr>
                <w:rFonts w:hint="eastAsia" w:ascii="宋体" w:hAnsi="宋体" w:cs="宋体"/>
                <w:kern w:val="0"/>
                <w:sz w:val="24"/>
              </w:rPr>
              <w:t>（0-18分）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投标文件的编制：投标文件编制完整，格式规范、装订整齐、符合招标文件要求的，得2分，投标文件存在其他错漏的，每项（次）扣 0.5分；投标文件有关内容前后矛盾、与招标文件要求不一致等，评标委员会允许且需要通过询标等程序进行澄清的，该项不得分。（0-2分）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成功案例及业绩：</w:t>
            </w:r>
            <w:r>
              <w:rPr>
                <w:rFonts w:hint="eastAsia" w:ascii="宋体" w:hAnsi="宋体" w:cs="宋体"/>
                <w:sz w:val="24"/>
              </w:rPr>
              <w:t>投标人2016年1月1日至今同类项目业绩情况，每提供一个业绩合同得1分，最高得5分。（投标人须提供合同</w:t>
            </w:r>
            <w:r>
              <w:rPr>
                <w:rFonts w:hint="eastAsia" w:ascii="宋体" w:hAnsi="宋体" w:cs="宋体"/>
                <w:sz w:val="24"/>
                <w:lang w:eastAsia="zh-CN"/>
              </w:rPr>
              <w:t>复印件</w:t>
            </w:r>
            <w:bookmarkStart w:id="8" w:name="_GoBack"/>
            <w:bookmarkEnd w:id="8"/>
            <w:r>
              <w:rPr>
                <w:rFonts w:hint="eastAsia" w:ascii="宋体" w:hAnsi="宋体" w:cs="宋体"/>
                <w:sz w:val="24"/>
              </w:rPr>
              <w:t>，未提供者不得分）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质保服务：超过文件要求一年得0.5分，二年得1分，三年及以上2分(0-2分)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售后服务: 按售后服务方案的优劣由高到低排序，第一名得4分，其余依次各递减1分；（0-4分）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特色服务：根据各投标人针对项目的特色服务、优惠承诺优劣由高到低排序，第1名得2分，其余依次各递减0.5分。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82" w:hRule="atLeast"/>
          <w:tblCellSpacing w:w="0" w:type="dxa"/>
        </w:trPr>
        <w:tc>
          <w:tcPr>
            <w:tcW w:w="1390"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1692" w:type="dxa"/>
            <w:vMerge w:val="continue"/>
            <w:tcBorders>
              <w:left w:val="outset" w:color="auto" w:sz="6" w:space="0"/>
              <w:right w:val="outset" w:color="auto" w:sz="6" w:space="0"/>
            </w:tcBorders>
            <w:vAlign w:val="center"/>
          </w:tcPr>
          <w:p>
            <w:pPr>
              <w:widowControl/>
              <w:jc w:val="left"/>
              <w:rPr>
                <w:rFonts w:ascii="宋体" w:hAnsi="宋体" w:cs="宋体"/>
                <w:kern w:val="0"/>
                <w:sz w:val="24"/>
              </w:rPr>
            </w:pPr>
          </w:p>
        </w:tc>
        <w:tc>
          <w:tcPr>
            <w:tcW w:w="6473" w:type="dxa"/>
            <w:tcBorders>
              <w:top w:val="outset" w:color="auto" w:sz="6" w:space="0"/>
              <w:left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权威认证（3分），投标人通过ISO9001质量管理体系、ISO14000环境认证体系及其他国际、国内权威机构认证并获得相关证书的，凭相关证书复印件每项得1分，最高3分。（0-3分）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合计</w:t>
            </w:r>
          </w:p>
        </w:tc>
        <w:tc>
          <w:tcPr>
            <w:tcW w:w="1692" w:type="dxa"/>
            <w:tcBorders>
              <w:top w:val="outset" w:color="auto" w:sz="6" w:space="0"/>
              <w:left w:val="outset" w:color="auto" w:sz="6" w:space="0"/>
              <w:bottom w:val="outset" w:color="auto" w:sz="6" w:space="0"/>
              <w:right w:val="outset" w:color="auto" w:sz="6" w:space="0"/>
            </w:tcBorders>
            <w:vAlign w:val="center"/>
          </w:tcPr>
          <w:p>
            <w:pPr>
              <w:widowControl/>
              <w:spacing w:line="480" w:lineRule="auto"/>
              <w:ind w:firstLine="480"/>
              <w:rPr>
                <w:rFonts w:ascii="宋体" w:hAnsi="宋体" w:cs="宋体"/>
                <w:kern w:val="0"/>
                <w:sz w:val="24"/>
              </w:rPr>
            </w:pPr>
            <w:r>
              <w:rPr>
                <w:rFonts w:hint="eastAsia" w:ascii="宋体" w:hAnsi="宋体" w:cs="宋体"/>
                <w:kern w:val="0"/>
                <w:sz w:val="24"/>
              </w:rPr>
              <w:t>60分</w:t>
            </w:r>
          </w:p>
        </w:tc>
        <w:tc>
          <w:tcPr>
            <w:tcW w:w="64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p>
        </w:tc>
      </w:tr>
    </w:tbl>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6"/>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rPr>
          <w:rFonts w:ascii="宋体" w:hAnsi="宋体"/>
          <w:sz w:val="24"/>
        </w:rPr>
      </w:pP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numPr>
          <w:ilvl w:val="0"/>
          <w:numId w:val="2"/>
        </w:numPr>
        <w:rPr>
          <w:rFonts w:ascii="宋体" w:hAnsi="宋体"/>
          <w:b/>
          <w:sz w:val="24"/>
        </w:rPr>
      </w:pPr>
      <w:r>
        <w:rPr>
          <w:rFonts w:ascii="宋体" w:hAnsi="宋体"/>
          <w:b/>
          <w:sz w:val="24"/>
        </w:rPr>
        <w:t>采购清单</w:t>
      </w:r>
    </w:p>
    <w:p>
      <w:pPr>
        <w:numPr>
          <w:ilvl w:val="0"/>
          <w:numId w:val="0"/>
        </w:numPr>
        <w:rPr>
          <w:rFonts w:ascii="宋体" w:hAnsi="宋体"/>
          <w:b/>
          <w:sz w:val="24"/>
        </w:rPr>
      </w:pPr>
    </w:p>
    <w:tbl>
      <w:tblPr>
        <w:tblStyle w:val="12"/>
        <w:tblW w:w="48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
        <w:gridCol w:w="5976"/>
        <w:gridCol w:w="2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ascii="宋体" w:hAnsi="宋体"/>
                <w:sz w:val="24"/>
              </w:rPr>
              <w:t>序号</w:t>
            </w:r>
          </w:p>
        </w:tc>
        <w:tc>
          <w:tcPr>
            <w:tcW w:w="3270" w:type="pct"/>
          </w:tcPr>
          <w:p>
            <w:pPr>
              <w:jc w:val="center"/>
              <w:rPr>
                <w:rFonts w:ascii="宋体" w:hAnsi="宋体"/>
                <w:sz w:val="24"/>
              </w:rPr>
            </w:pPr>
            <w:r>
              <w:rPr>
                <w:rFonts w:hint="eastAsia" w:ascii="宋体" w:hAnsi="宋体" w:cs="宋体"/>
                <w:sz w:val="24"/>
              </w:rPr>
              <w:t>采购物品名称、型号、配置</w:t>
            </w:r>
          </w:p>
        </w:tc>
        <w:tc>
          <w:tcPr>
            <w:tcW w:w="1230" w:type="pct"/>
          </w:tcPr>
          <w:p>
            <w:pPr>
              <w:jc w:val="center"/>
              <w:rPr>
                <w:rFonts w:ascii="宋体" w:hAnsi="宋体"/>
                <w:sz w:val="24"/>
              </w:rPr>
            </w:pPr>
            <w:r>
              <w:rPr>
                <w:rFonts w:hint="eastAsia" w:ascii="宋体" w:hAnsi="宋体" w:cs="宋体"/>
                <w:sz w:val="24"/>
              </w:rPr>
              <w:t>采购数量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1</w:t>
            </w:r>
          </w:p>
        </w:tc>
        <w:tc>
          <w:tcPr>
            <w:tcW w:w="3270" w:type="pct"/>
            <w:vAlign w:val="center"/>
          </w:tcPr>
          <w:p>
            <w:pPr>
              <w:jc w:val="center"/>
              <w:rPr>
                <w:rFonts w:ascii="宋体" w:hAnsi="宋体"/>
                <w:sz w:val="24"/>
              </w:rPr>
            </w:pPr>
            <w:r>
              <w:rPr>
                <w:rFonts w:hint="eastAsia" w:cs="Times New Roman" w:asciiTheme="minorEastAsia" w:hAnsiTheme="minorEastAsia"/>
                <w:sz w:val="24"/>
                <w:szCs w:val="28"/>
              </w:rPr>
              <w:t>迷彩阻燃服装(全套)</w:t>
            </w:r>
          </w:p>
        </w:tc>
        <w:tc>
          <w:tcPr>
            <w:tcW w:w="1230" w:type="pct"/>
            <w:vAlign w:val="center"/>
          </w:tcPr>
          <w:p>
            <w:pPr>
              <w:jc w:val="center"/>
              <w:rPr>
                <w:rFonts w:ascii="宋体" w:hAnsi="宋体"/>
                <w:sz w:val="24"/>
              </w:rPr>
            </w:pPr>
            <w:r>
              <w:rPr>
                <w:rFonts w:hint="eastAsia" w:asciiTheme="minorEastAsia" w:hAnsiTheme="minorEastAsia"/>
                <w:sz w:val="24"/>
                <w:szCs w:val="28"/>
              </w:rPr>
              <w:t>200套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2</w:t>
            </w:r>
          </w:p>
        </w:tc>
        <w:tc>
          <w:tcPr>
            <w:tcW w:w="3270" w:type="pct"/>
            <w:vAlign w:val="center"/>
          </w:tcPr>
          <w:p>
            <w:pPr>
              <w:jc w:val="center"/>
              <w:rPr>
                <w:rFonts w:ascii="宋体" w:hAnsi="宋体"/>
                <w:sz w:val="24"/>
              </w:rPr>
            </w:pPr>
            <w:r>
              <w:rPr>
                <w:rFonts w:hint="eastAsia" w:cs="Times New Roman" w:asciiTheme="minorEastAsia" w:hAnsiTheme="minorEastAsia"/>
                <w:sz w:val="24"/>
                <w:szCs w:val="28"/>
              </w:rPr>
              <w:t>橘红阻燃服装(全套)</w:t>
            </w:r>
          </w:p>
        </w:tc>
        <w:tc>
          <w:tcPr>
            <w:tcW w:w="1230" w:type="pct"/>
            <w:vAlign w:val="center"/>
          </w:tcPr>
          <w:p>
            <w:pPr>
              <w:jc w:val="center"/>
              <w:rPr>
                <w:rFonts w:ascii="宋体" w:hAnsi="宋体"/>
                <w:sz w:val="24"/>
              </w:rPr>
            </w:pPr>
            <w:r>
              <w:rPr>
                <w:rFonts w:hint="eastAsia" w:asciiTheme="minorEastAsia" w:hAnsiTheme="minorEastAsia"/>
                <w:sz w:val="24"/>
                <w:szCs w:val="28"/>
              </w:rPr>
              <w:t>200套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3</w:t>
            </w:r>
          </w:p>
        </w:tc>
        <w:tc>
          <w:tcPr>
            <w:tcW w:w="3270" w:type="pct"/>
            <w:vAlign w:val="center"/>
          </w:tcPr>
          <w:p>
            <w:pPr>
              <w:jc w:val="center"/>
              <w:rPr>
                <w:rFonts w:ascii="宋体" w:hAnsi="宋体" w:cs="宋体"/>
                <w:bCs/>
                <w:color w:val="333333"/>
                <w:sz w:val="24"/>
              </w:rPr>
            </w:pPr>
            <w:r>
              <w:rPr>
                <w:rFonts w:hint="eastAsia" w:asciiTheme="minorEastAsia" w:hAnsiTheme="minorEastAsia"/>
                <w:sz w:val="24"/>
                <w:szCs w:val="28"/>
              </w:rPr>
              <w:t>全钢砍刀</w:t>
            </w:r>
          </w:p>
        </w:tc>
        <w:tc>
          <w:tcPr>
            <w:tcW w:w="1230" w:type="pct"/>
            <w:vAlign w:val="center"/>
          </w:tcPr>
          <w:p>
            <w:pPr>
              <w:jc w:val="center"/>
              <w:rPr>
                <w:rFonts w:ascii="宋体" w:hAnsi="宋体"/>
                <w:sz w:val="24"/>
              </w:rPr>
            </w:pPr>
            <w:r>
              <w:rPr>
                <w:rFonts w:hint="eastAsia" w:asciiTheme="minorEastAsia" w:hAnsiTheme="minorEastAsia"/>
                <w:sz w:val="24"/>
                <w:szCs w:val="28"/>
              </w:rPr>
              <w:t>200把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4</w:t>
            </w:r>
          </w:p>
        </w:tc>
        <w:tc>
          <w:tcPr>
            <w:tcW w:w="3270" w:type="pct"/>
            <w:vAlign w:val="center"/>
          </w:tcPr>
          <w:p>
            <w:pPr>
              <w:jc w:val="center"/>
              <w:rPr>
                <w:rFonts w:ascii="宋体" w:hAnsi="宋体" w:cs="宋体"/>
                <w:bCs/>
                <w:color w:val="333333"/>
                <w:sz w:val="24"/>
              </w:rPr>
            </w:pPr>
            <w:r>
              <w:rPr>
                <w:rFonts w:hint="eastAsia" w:asciiTheme="minorEastAsia" w:hAnsiTheme="minorEastAsia"/>
                <w:sz w:val="24"/>
                <w:szCs w:val="28"/>
              </w:rPr>
              <w:t>铁锹</w:t>
            </w:r>
          </w:p>
        </w:tc>
        <w:tc>
          <w:tcPr>
            <w:tcW w:w="1230" w:type="pct"/>
            <w:vAlign w:val="center"/>
          </w:tcPr>
          <w:p>
            <w:pPr>
              <w:jc w:val="center"/>
              <w:rPr>
                <w:rFonts w:ascii="宋体" w:hAnsi="宋体"/>
                <w:sz w:val="24"/>
              </w:rPr>
            </w:pPr>
            <w:r>
              <w:rPr>
                <w:rFonts w:hint="eastAsia" w:asciiTheme="minorEastAsia" w:hAnsiTheme="minorEastAsia"/>
                <w:sz w:val="24"/>
                <w:szCs w:val="28"/>
              </w:rPr>
              <w:t>200把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5</w:t>
            </w:r>
          </w:p>
        </w:tc>
        <w:tc>
          <w:tcPr>
            <w:tcW w:w="3270" w:type="pct"/>
            <w:vAlign w:val="center"/>
          </w:tcPr>
          <w:p>
            <w:pPr>
              <w:jc w:val="center"/>
              <w:rPr>
                <w:rFonts w:ascii="宋体" w:hAnsi="宋体" w:cs="宋体"/>
                <w:bCs/>
                <w:color w:val="333333"/>
                <w:sz w:val="24"/>
              </w:rPr>
            </w:pPr>
            <w:r>
              <w:rPr>
                <w:rFonts w:hint="eastAsia" w:asciiTheme="minorEastAsia" w:hAnsiTheme="minorEastAsia"/>
                <w:sz w:val="24"/>
                <w:szCs w:val="28"/>
              </w:rPr>
              <w:t>背负式</w:t>
            </w:r>
            <w:r>
              <w:rPr>
                <w:rFonts w:hint="eastAsia" w:cs="Times New Roman" w:asciiTheme="minorEastAsia" w:hAnsiTheme="minorEastAsia"/>
                <w:sz w:val="24"/>
                <w:szCs w:val="28"/>
              </w:rPr>
              <w:t>风力灭火机</w:t>
            </w:r>
          </w:p>
        </w:tc>
        <w:tc>
          <w:tcPr>
            <w:tcW w:w="1230" w:type="pct"/>
            <w:vAlign w:val="center"/>
          </w:tcPr>
          <w:p>
            <w:pPr>
              <w:jc w:val="center"/>
              <w:rPr>
                <w:rFonts w:ascii="宋体" w:hAnsi="宋体"/>
                <w:sz w:val="24"/>
              </w:rPr>
            </w:pPr>
            <w:r>
              <w:rPr>
                <w:rFonts w:hint="eastAsia" w:asciiTheme="minorEastAsia" w:hAnsiTheme="minorEastAsia"/>
                <w:sz w:val="24"/>
                <w:szCs w:val="28"/>
              </w:rPr>
              <w:t>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6</w:t>
            </w:r>
          </w:p>
        </w:tc>
        <w:tc>
          <w:tcPr>
            <w:tcW w:w="3270" w:type="pct"/>
            <w:vAlign w:val="center"/>
          </w:tcPr>
          <w:p>
            <w:pPr>
              <w:jc w:val="center"/>
              <w:rPr>
                <w:rFonts w:ascii="宋体" w:hAnsi="宋体" w:cs="宋体"/>
                <w:bCs/>
                <w:color w:val="333333"/>
                <w:sz w:val="24"/>
              </w:rPr>
            </w:pPr>
            <w:r>
              <w:rPr>
                <w:rFonts w:hint="eastAsia" w:asciiTheme="minorEastAsia" w:hAnsiTheme="minorEastAsia"/>
                <w:sz w:val="24"/>
                <w:szCs w:val="28"/>
              </w:rPr>
              <w:t>手提式风力灭火机</w:t>
            </w:r>
          </w:p>
        </w:tc>
        <w:tc>
          <w:tcPr>
            <w:tcW w:w="1230" w:type="pct"/>
            <w:vAlign w:val="center"/>
          </w:tcPr>
          <w:p>
            <w:pPr>
              <w:jc w:val="center"/>
              <w:rPr>
                <w:rFonts w:ascii="宋体" w:hAnsi="宋体"/>
                <w:sz w:val="24"/>
              </w:rPr>
            </w:pPr>
            <w:r>
              <w:rPr>
                <w:rFonts w:hint="eastAsia" w:asciiTheme="minorEastAsia" w:hAnsiTheme="minorEastAsia"/>
                <w:sz w:val="24"/>
                <w:szCs w:val="28"/>
              </w:rPr>
              <w:t>10台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7</w:t>
            </w:r>
          </w:p>
        </w:tc>
        <w:tc>
          <w:tcPr>
            <w:tcW w:w="3270" w:type="pct"/>
            <w:vAlign w:val="center"/>
          </w:tcPr>
          <w:p>
            <w:pPr>
              <w:jc w:val="center"/>
              <w:rPr>
                <w:rFonts w:ascii="宋体" w:hAnsi="宋体" w:cs="宋体"/>
                <w:bCs/>
                <w:color w:val="333333"/>
                <w:sz w:val="24"/>
              </w:rPr>
            </w:pPr>
            <w:r>
              <w:rPr>
                <w:rFonts w:hint="eastAsia" w:cs="Times New Roman" w:asciiTheme="minorEastAsia" w:hAnsiTheme="minorEastAsia"/>
                <w:sz w:val="24"/>
                <w:szCs w:val="28"/>
              </w:rPr>
              <w:t>隔膜式森林消防泵（70kg级）</w:t>
            </w:r>
          </w:p>
        </w:tc>
        <w:tc>
          <w:tcPr>
            <w:tcW w:w="1230" w:type="pct"/>
            <w:vAlign w:val="center"/>
          </w:tcPr>
          <w:p>
            <w:pPr>
              <w:jc w:val="center"/>
              <w:rPr>
                <w:rFonts w:ascii="宋体" w:hAnsi="宋体"/>
                <w:sz w:val="24"/>
              </w:rPr>
            </w:pPr>
            <w:r>
              <w:rPr>
                <w:rFonts w:hint="eastAsia" w:asciiTheme="minorEastAsia" w:hAnsiTheme="minorEastAsia"/>
                <w:sz w:val="24"/>
                <w:szCs w:val="28"/>
              </w:rPr>
              <w:t>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8</w:t>
            </w:r>
          </w:p>
        </w:tc>
        <w:tc>
          <w:tcPr>
            <w:tcW w:w="3270" w:type="pct"/>
            <w:vAlign w:val="center"/>
          </w:tcPr>
          <w:p>
            <w:pPr>
              <w:jc w:val="center"/>
              <w:rPr>
                <w:rFonts w:ascii="宋体" w:hAnsi="宋体" w:cs="宋体"/>
                <w:bCs/>
                <w:color w:val="333333"/>
                <w:sz w:val="24"/>
              </w:rPr>
            </w:pPr>
            <w:r>
              <w:rPr>
                <w:rFonts w:hint="eastAsia" w:cs="Times New Roman" w:asciiTheme="minorEastAsia" w:hAnsiTheme="minorEastAsia"/>
                <w:sz w:val="24"/>
                <w:szCs w:val="28"/>
              </w:rPr>
              <w:t>迷彩水带背包</w:t>
            </w:r>
          </w:p>
        </w:tc>
        <w:tc>
          <w:tcPr>
            <w:tcW w:w="1230" w:type="pct"/>
            <w:vAlign w:val="center"/>
          </w:tcPr>
          <w:p>
            <w:pPr>
              <w:jc w:val="center"/>
              <w:rPr>
                <w:rFonts w:ascii="宋体" w:hAnsi="宋体"/>
                <w:sz w:val="24"/>
              </w:rPr>
            </w:pPr>
            <w:r>
              <w:rPr>
                <w:rFonts w:hint="eastAsia" w:asciiTheme="minorEastAsia" w:hAnsiTheme="minorEastAsia"/>
                <w:sz w:val="24"/>
                <w:szCs w:val="28"/>
              </w:rPr>
              <w:t>100只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9</w:t>
            </w:r>
          </w:p>
        </w:tc>
        <w:tc>
          <w:tcPr>
            <w:tcW w:w="3270" w:type="pct"/>
            <w:vAlign w:val="center"/>
          </w:tcPr>
          <w:p>
            <w:pPr>
              <w:jc w:val="center"/>
              <w:rPr>
                <w:rFonts w:ascii="宋体" w:hAnsi="宋体" w:cs="宋体"/>
                <w:bCs/>
                <w:color w:val="333333"/>
                <w:sz w:val="24"/>
              </w:rPr>
            </w:pPr>
            <w:r>
              <w:rPr>
                <w:rFonts w:hint="eastAsia" w:asciiTheme="minorEastAsia" w:hAnsiTheme="minorEastAsia"/>
                <w:sz w:val="24"/>
                <w:szCs w:val="28"/>
              </w:rPr>
              <w:t>腰带包</w:t>
            </w:r>
          </w:p>
        </w:tc>
        <w:tc>
          <w:tcPr>
            <w:tcW w:w="1230" w:type="pct"/>
            <w:vAlign w:val="center"/>
          </w:tcPr>
          <w:p>
            <w:pPr>
              <w:jc w:val="center"/>
              <w:rPr>
                <w:rFonts w:ascii="宋体" w:hAnsi="宋体"/>
                <w:sz w:val="24"/>
              </w:rPr>
            </w:pPr>
            <w:r>
              <w:rPr>
                <w:rFonts w:hint="eastAsia" w:asciiTheme="minorEastAsia" w:hAnsiTheme="minorEastAsia"/>
                <w:sz w:val="24"/>
                <w:szCs w:val="28"/>
              </w:rPr>
              <w:t>200副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trPr>
        <w:tc>
          <w:tcPr>
            <w:tcW w:w="498" w:type="pct"/>
          </w:tcPr>
          <w:p>
            <w:pPr>
              <w:jc w:val="center"/>
              <w:rPr>
                <w:rFonts w:ascii="宋体" w:hAnsi="宋体"/>
                <w:sz w:val="24"/>
              </w:rPr>
            </w:pPr>
            <w:r>
              <w:rPr>
                <w:rFonts w:hint="eastAsia" w:ascii="宋体" w:hAnsi="宋体"/>
                <w:sz w:val="24"/>
              </w:rPr>
              <w:t>10</w:t>
            </w:r>
          </w:p>
        </w:tc>
        <w:tc>
          <w:tcPr>
            <w:tcW w:w="3270" w:type="pct"/>
            <w:vAlign w:val="center"/>
          </w:tcPr>
          <w:p>
            <w:pPr>
              <w:jc w:val="center"/>
              <w:rPr>
                <w:rFonts w:ascii="宋体" w:hAnsi="宋体" w:cs="宋体"/>
                <w:bCs/>
                <w:color w:val="333333"/>
                <w:sz w:val="24"/>
              </w:rPr>
            </w:pPr>
            <w:r>
              <w:rPr>
                <w:rFonts w:hint="eastAsia" w:asciiTheme="minorEastAsia" w:hAnsiTheme="minorEastAsia"/>
                <w:sz w:val="24"/>
                <w:szCs w:val="28"/>
              </w:rPr>
              <w:t>移动储水池</w:t>
            </w:r>
          </w:p>
        </w:tc>
        <w:tc>
          <w:tcPr>
            <w:tcW w:w="1230" w:type="pct"/>
            <w:vAlign w:val="center"/>
          </w:tcPr>
          <w:p>
            <w:pPr>
              <w:jc w:val="center"/>
              <w:rPr>
                <w:rFonts w:ascii="宋体" w:hAnsi="宋体"/>
                <w:sz w:val="24"/>
              </w:rPr>
            </w:pPr>
            <w:r>
              <w:rPr>
                <w:rFonts w:hint="eastAsia" w:asciiTheme="minorEastAsia" w:hAnsiTheme="minorEastAsia"/>
                <w:sz w:val="24"/>
                <w:szCs w:val="28"/>
              </w:rPr>
              <w:t>5个</w:t>
            </w:r>
          </w:p>
        </w:tc>
      </w:tr>
    </w:tbl>
    <w:p>
      <w:pPr>
        <w:spacing w:line="480" w:lineRule="exact"/>
        <w:rPr>
          <w:rFonts w:ascii="宋体" w:hAnsi="宋体"/>
          <w:b/>
          <w:sz w:val="24"/>
        </w:rPr>
      </w:pPr>
      <w:r>
        <w:rPr>
          <w:rFonts w:hint="eastAsia" w:ascii="宋体" w:hAnsi="宋体"/>
          <w:b/>
          <w:sz w:val="24"/>
        </w:rPr>
        <w:t>二、技术参数要求</w:t>
      </w:r>
    </w:p>
    <w:p>
      <w:pPr>
        <w:spacing w:before="60" w:after="60" w:line="360" w:lineRule="auto"/>
        <w:ind w:right="60"/>
        <w:rPr>
          <w:rFonts w:hint="eastAsia" w:ascii="宋体" w:hAnsi="宋体"/>
          <w:b/>
          <w:color w:val="000000"/>
          <w:sz w:val="24"/>
          <w:lang w:eastAsia="zh-CN"/>
        </w:rPr>
      </w:pPr>
      <w:r>
        <w:rPr>
          <w:rFonts w:hint="eastAsia" w:ascii="宋体" w:hAnsi="宋体"/>
          <w:b/>
          <w:color w:val="000000"/>
          <w:sz w:val="24"/>
          <w:lang w:eastAsia="zh-CN"/>
        </w:rPr>
        <w:t>（一）迷彩阻燃服装(全套)：</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1.款式：根据GB/T33536-2017森林防火服标准款式制作，林地迷彩色；</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2.材质：纯棉，依据GB8965.1-2009标准制作加工而成。选用高强度10*10、 70*42纯棉纱卡；</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3.功能特点：面料经过普鲁苯阻燃工艺处理；</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4.阻燃性能符合国家标准：续燃时间（S）≤1，阴燃时间（S）≤1，损毁长度（CM）≤10，强力经纬≥450N，无熔融溶滴；</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5.设计款式：夹克式宽松设计。袖口紧，领口紧，裤脚口紧，重要部位双线缝合，保证衣服强度，有行业标志。左臂上缝（森林消防）臂章一枚。</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配置：</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1.数码迷彩全棉阻燃帽：采用纯棉迷彩阻燃布精制而成；</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2.消防手套: 五指手套，面料采用阻燃纱卞面料，有内胆衬里；手心采用防滑点塑阻燃布；手背有反光提示标志;</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3.防扎鞋：迷彩帆布鞋面，优质橡胶压成鞋底，底部压铸钢板，轻便舒适，适合扑火，训练及日常劳动。</w:t>
      </w:r>
    </w:p>
    <w:p>
      <w:pPr>
        <w:spacing w:before="60" w:after="60" w:line="360" w:lineRule="auto"/>
        <w:ind w:right="60"/>
        <w:rPr>
          <w:rFonts w:hint="eastAsia" w:ascii="宋体" w:hAnsi="宋体"/>
          <w:b/>
          <w:bCs w:val="0"/>
          <w:color w:val="000000"/>
          <w:sz w:val="24"/>
          <w:lang w:eastAsia="zh-CN"/>
        </w:rPr>
      </w:pPr>
      <w:r>
        <w:rPr>
          <w:rFonts w:hint="eastAsia" w:ascii="宋体" w:hAnsi="宋体"/>
          <w:b/>
          <w:bCs w:val="0"/>
          <w:color w:val="000000"/>
          <w:sz w:val="24"/>
          <w:lang w:eastAsia="zh-CN"/>
        </w:rPr>
        <w:t>（二）橘红阻燃服装(全套)：</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1.款式：根据GB/T33536-2017森林防火服标准款式制作，桔红色；</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2.材质：纯棉，依据GB8965.1-2009标准制作加工而成。选用高强度10*10、70*42纯棉纱卡；</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3.功能特点：面料经过普鲁苯阻燃工艺处理；</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4.阻燃性能符合国家标准：续燃时间（S）≤1，阴燃时间（S）≤1，损毁长度（CM）≤10，强力经纬≥450N，无熔融溶滴。</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5.设计款式：夹克式宽松设计。袖口紧，领口紧，裤脚口紧，重要部位双线缝合，保证衣服强度，有行业标志。左臂上缝（森林消防）臂章一枚。上衣后背印有中文森林消防字样。胸口，后背，袖口，裤腿缝有高清晰反光带，使队员在烟雾和夜间能更好的被识别，360度无死角</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配置：</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1.带披头盔: 含护目镜, 耐高温≥350℃，重量≥750g，可见光透光率≥91，含披肩、帽徽；</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2.消防手套: 五指手套，面料采用阻燃纱卞面料，有内胆衬里；手心采用防滑点塑阻燃布；手背有反光提示标志；</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3.防扎鞋：迷彩帆布鞋面，优质橡胶压成鞋底，底部压铸钢板，轻便舒适，适合扑火，训练及日常劳动。</w:t>
      </w:r>
    </w:p>
    <w:p>
      <w:pPr>
        <w:spacing w:before="60" w:after="60" w:line="360" w:lineRule="auto"/>
        <w:ind w:right="60"/>
        <w:rPr>
          <w:rFonts w:hint="eastAsia" w:ascii="宋体" w:hAnsi="宋体"/>
          <w:b/>
          <w:color w:val="000000"/>
          <w:sz w:val="24"/>
          <w:lang w:eastAsia="zh-CN"/>
        </w:rPr>
      </w:pPr>
      <w:r>
        <w:rPr>
          <w:rFonts w:hint="eastAsia" w:ascii="宋体" w:hAnsi="宋体"/>
          <w:b/>
          <w:color w:val="000000"/>
          <w:sz w:val="24"/>
          <w:lang w:eastAsia="zh-CN"/>
        </w:rPr>
        <w:t>（三）全钢砍刀：</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刀头为605锰钢、刀口硬度≥55、刀柄为钢管。</w:t>
      </w:r>
    </w:p>
    <w:p>
      <w:pPr>
        <w:numPr>
          <w:ilvl w:val="0"/>
          <w:numId w:val="3"/>
        </w:numPr>
        <w:spacing w:before="60" w:after="60" w:line="360" w:lineRule="auto"/>
        <w:ind w:right="60"/>
        <w:rPr>
          <w:rFonts w:hint="eastAsia" w:ascii="宋体" w:hAnsi="宋体"/>
          <w:b/>
          <w:bCs w:val="0"/>
          <w:color w:val="000000"/>
          <w:sz w:val="24"/>
          <w:lang w:eastAsia="zh-CN"/>
        </w:rPr>
      </w:pPr>
      <w:r>
        <w:rPr>
          <w:rFonts w:hint="eastAsia" w:ascii="宋体" w:hAnsi="宋体"/>
          <w:b/>
          <w:bCs w:val="0"/>
          <w:color w:val="000000"/>
          <w:sz w:val="24"/>
          <w:lang w:eastAsia="zh-CN"/>
        </w:rPr>
        <w:t>铁锹：</w:t>
      </w:r>
    </w:p>
    <w:p>
      <w:pPr>
        <w:numPr>
          <w:ilvl w:val="0"/>
          <w:numId w:val="0"/>
        </w:numPr>
        <w:spacing w:before="60" w:after="60" w:line="360" w:lineRule="auto"/>
        <w:ind w:right="60" w:rightChars="0"/>
        <w:rPr>
          <w:rFonts w:hint="eastAsia" w:ascii="宋体" w:hAnsi="宋体"/>
          <w:b w:val="0"/>
          <w:bCs/>
          <w:color w:val="000000"/>
          <w:sz w:val="24"/>
          <w:lang w:eastAsia="zh-CN"/>
        </w:rPr>
      </w:pPr>
      <w:r>
        <w:rPr>
          <w:rFonts w:hint="eastAsia" w:ascii="宋体" w:hAnsi="宋体"/>
          <w:b w:val="0"/>
          <w:bCs/>
          <w:color w:val="000000"/>
          <w:sz w:val="24"/>
          <w:lang w:eastAsia="zh-CN"/>
        </w:rPr>
        <w:t>锰钢605铲头、金属柄</w:t>
      </w:r>
    </w:p>
    <w:p>
      <w:pPr>
        <w:numPr>
          <w:ilvl w:val="0"/>
          <w:numId w:val="3"/>
        </w:numPr>
        <w:spacing w:before="60" w:after="60" w:line="360" w:lineRule="auto"/>
        <w:ind w:left="0" w:leftChars="0" w:right="60" w:rightChars="0" w:firstLine="0" w:firstLineChars="0"/>
        <w:rPr>
          <w:rFonts w:hint="eastAsia" w:ascii="宋体" w:hAnsi="宋体"/>
          <w:b/>
          <w:bCs w:val="0"/>
          <w:color w:val="000000"/>
          <w:sz w:val="24"/>
          <w:lang w:eastAsia="zh-CN"/>
        </w:rPr>
      </w:pPr>
      <w:r>
        <w:rPr>
          <w:rFonts w:hint="eastAsia" w:ascii="宋体" w:hAnsi="宋体"/>
          <w:b/>
          <w:bCs w:val="0"/>
          <w:color w:val="000000"/>
          <w:sz w:val="24"/>
          <w:lang w:eastAsia="zh-CN"/>
        </w:rPr>
        <w:t>背负式风力灭火机：</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1.发动机原装进口：4-mix 混合4冲程发动机、符合国家第二阶段排放标准；  2.功率：2.9 kw；  3.气缸排量：64.8 cm³；</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4.最大排风量：1720 m³/h；  5.满负荷运行转速：7200r/min；</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6.空转转速：2500 r/min；   7.重量：9.8 kg；</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8.油箱容量 ：1.4L；</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9.手感振动：2.0 m/s²（弹簧减震系统：带有4点弹簧减震系统的动力设备，充分提高背负时的舒适度）；</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10.全封闭的供油管：发动机供油管全封闭在机器外罩里，操作使用时不易被树枝意外挂断和在火场造成漏油，更安全；</w:t>
      </w:r>
    </w:p>
    <w:p>
      <w:pPr>
        <w:numPr>
          <w:ilvl w:val="0"/>
          <w:numId w:val="0"/>
        </w:numPr>
        <w:spacing w:before="60" w:after="60" w:line="360" w:lineRule="auto"/>
        <w:ind w:leftChars="0" w:right="60" w:rightChars="0"/>
        <w:rPr>
          <w:rFonts w:hint="eastAsia" w:ascii="宋体" w:hAnsi="宋体"/>
          <w:b/>
          <w:bCs w:val="0"/>
          <w:color w:val="000000"/>
          <w:sz w:val="24"/>
          <w:lang w:eastAsia="zh-CN"/>
        </w:rPr>
      </w:pPr>
      <w:r>
        <w:rPr>
          <w:rFonts w:hint="eastAsia" w:ascii="宋体" w:hAnsi="宋体"/>
          <w:b/>
          <w:bCs w:val="0"/>
          <w:color w:val="000000"/>
          <w:sz w:val="24"/>
          <w:lang w:eastAsia="zh-CN"/>
        </w:rPr>
        <w:t>（六）手提式风力灭火机：</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1.原装进口、混合2冲程发动机、符合国家第二阶段排放标准；</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2.功率：0.8 kw / 1.1 hp；</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3.气缸排量：27.2 cm³；</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4.重量：4.5 kg，油箱容量：0.44 L；</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5.最大排风量：810 m³/h，最大风速：85 m/s；</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6.空转转速：2500 r/min；</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7.手感振动：2.5 m/s²（弹簧减震系统）；</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8.全封闭的供油管。</w:t>
      </w:r>
    </w:p>
    <w:p>
      <w:pPr>
        <w:numPr>
          <w:ilvl w:val="0"/>
          <w:numId w:val="0"/>
        </w:numPr>
        <w:spacing w:before="60" w:after="60" w:line="360" w:lineRule="auto"/>
        <w:ind w:leftChars="0" w:right="60" w:rightChars="0"/>
        <w:rPr>
          <w:rFonts w:hint="eastAsia" w:ascii="宋体" w:hAnsi="宋体"/>
          <w:b/>
          <w:bCs w:val="0"/>
          <w:color w:val="000000"/>
          <w:sz w:val="24"/>
          <w:lang w:eastAsia="zh-CN"/>
        </w:rPr>
      </w:pPr>
      <w:r>
        <w:rPr>
          <w:rFonts w:hint="eastAsia" w:ascii="宋体" w:hAnsi="宋体"/>
          <w:b/>
          <w:bCs w:val="0"/>
          <w:color w:val="000000"/>
          <w:sz w:val="24"/>
          <w:lang w:eastAsia="zh-CN"/>
        </w:rPr>
        <w:t>（七）隔膜式森林消防泵（70kg级）：</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1.泵组由四冲程风冷汽油发动机与进口三缸隔膜泵组成，变速箱与泵体一体化结构；</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▲2.泵体结构：三缸隔膜泵；</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▲3.外观：框架封闭式，杠杆式滚轮移动设计；</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4.出水口直径：25mm或40mm；</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5.进水口直径：40mm;水枪口直径：6mm;</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▲6.最大扬程≥680m；最大流量≥74L/min；额定压力≥3MPa；额定流量≥ 70L/min；最大射程≥26m；水泵重量：≤70kg；</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7.吸水扬程：7m；</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8.引水时间（1米吸深）：≤8s；</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9.最大输出距离：≥7400m；</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10压力表精度：不低于2.5级；</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▲11.水泵保护装置：必须配备电子压力传感器超压熄火保护装置。</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四冲程风冷汽油发动机要求：</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▲1.最大功率≥9.5/4000kW/(r/min)；最低燃油消耗率：≤281g/(kW.h)；启动时间≤7s；</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2.内置油箱容量25L，一次加油连续工作时间≥5小时；</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▲3.启动方式：手拉反冲式/电启动。</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配置：</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 xml:space="preserve">1.专用工具1套； </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2.四层耐磨防爆型水带10米；</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 D25消防水带1000米：</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3.1口径：25MM，长度：30M/根，聚氨酯衬里；</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3.2工作压力≥30公斤；</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3.3爆破压力≥90公斤。</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▲为保证质量，投标文件中必须提供国家林业局林业机械质量检验检测中心（哈尔滨）或国家消防质量监督检验中心的检验报告复印件。</w:t>
      </w:r>
    </w:p>
    <w:p>
      <w:pPr>
        <w:numPr>
          <w:ilvl w:val="0"/>
          <w:numId w:val="4"/>
        </w:numPr>
        <w:spacing w:before="60" w:after="60" w:line="360" w:lineRule="auto"/>
        <w:ind w:leftChars="0" w:right="60" w:rightChars="0"/>
        <w:rPr>
          <w:rFonts w:hint="eastAsia" w:ascii="宋体" w:hAnsi="宋体"/>
          <w:b/>
          <w:bCs w:val="0"/>
          <w:color w:val="000000"/>
          <w:sz w:val="24"/>
          <w:lang w:eastAsia="zh-CN"/>
        </w:rPr>
      </w:pPr>
      <w:r>
        <w:rPr>
          <w:rFonts w:hint="eastAsia" w:ascii="宋体" w:hAnsi="宋体"/>
          <w:b/>
          <w:bCs w:val="0"/>
          <w:color w:val="000000"/>
          <w:sz w:val="24"/>
          <w:lang w:eastAsia="zh-CN"/>
        </w:rPr>
        <w:t>迷彩水带背包：</w:t>
      </w:r>
    </w:p>
    <w:p>
      <w:pPr>
        <w:numPr>
          <w:ilvl w:val="0"/>
          <w:numId w:val="0"/>
        </w:numPr>
        <w:spacing w:before="60" w:after="60" w:line="360" w:lineRule="auto"/>
        <w:ind w:right="60" w:rightChars="0"/>
        <w:rPr>
          <w:rFonts w:hint="eastAsia" w:ascii="宋体" w:hAnsi="宋体"/>
          <w:b w:val="0"/>
          <w:bCs/>
          <w:color w:val="000000"/>
          <w:sz w:val="24"/>
          <w:lang w:eastAsia="zh-CN"/>
        </w:rPr>
      </w:pPr>
      <w:r>
        <w:rPr>
          <w:rFonts w:hint="eastAsia" w:ascii="宋体" w:hAnsi="宋体"/>
          <w:b w:val="0"/>
          <w:bCs/>
          <w:color w:val="000000"/>
          <w:sz w:val="24"/>
          <w:lang w:eastAsia="zh-CN"/>
        </w:rPr>
        <w:t>1.可装载通径25或40mm，30米长的水带3-4条，</w:t>
      </w:r>
    </w:p>
    <w:p>
      <w:pPr>
        <w:numPr>
          <w:ilvl w:val="0"/>
          <w:numId w:val="0"/>
        </w:numPr>
        <w:spacing w:before="60" w:after="60" w:line="360" w:lineRule="auto"/>
        <w:ind w:right="60" w:rightChars="0"/>
        <w:rPr>
          <w:rFonts w:hint="eastAsia" w:ascii="宋体" w:hAnsi="宋体"/>
          <w:b w:val="0"/>
          <w:bCs/>
          <w:color w:val="000000"/>
          <w:sz w:val="24"/>
          <w:lang w:eastAsia="zh-CN"/>
        </w:rPr>
      </w:pPr>
      <w:r>
        <w:rPr>
          <w:rFonts w:hint="eastAsia" w:ascii="宋体" w:hAnsi="宋体"/>
          <w:b w:val="0"/>
          <w:bCs/>
          <w:color w:val="000000"/>
          <w:sz w:val="24"/>
          <w:lang w:eastAsia="zh-CN"/>
        </w:rPr>
        <w:t>2.使用水带背包，铺设者可将水带抽口端固定在一位置或用人手拿着，或者与前端水带接口相接，随着背负者向前移动，水带从背包自然滑出。</w:t>
      </w:r>
    </w:p>
    <w:p>
      <w:pPr>
        <w:spacing w:before="60" w:after="60" w:line="360" w:lineRule="auto"/>
        <w:ind w:right="60"/>
        <w:rPr>
          <w:rFonts w:hint="eastAsia" w:ascii="宋体" w:hAnsi="宋体"/>
          <w:b/>
          <w:bCs w:val="0"/>
          <w:color w:val="000000"/>
          <w:sz w:val="24"/>
          <w:lang w:eastAsia="zh-CN"/>
        </w:rPr>
      </w:pPr>
      <w:r>
        <w:rPr>
          <w:rFonts w:hint="eastAsia" w:ascii="宋体" w:hAnsi="宋体"/>
          <w:b/>
          <w:bCs w:val="0"/>
          <w:color w:val="000000"/>
          <w:sz w:val="24"/>
          <w:lang w:eastAsia="zh-CN"/>
        </w:rPr>
        <w:t>（九）腰带包：</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卡扣腰带，防水牛津迷彩布，可放置水壶、电筒、砍刀、对讲机、干粮等</w:t>
      </w:r>
    </w:p>
    <w:p>
      <w:pPr>
        <w:numPr>
          <w:ilvl w:val="0"/>
          <w:numId w:val="0"/>
        </w:numPr>
        <w:spacing w:before="60" w:after="60" w:line="360" w:lineRule="auto"/>
        <w:ind w:leftChars="0" w:right="60" w:rightChars="0"/>
        <w:rPr>
          <w:rFonts w:hint="eastAsia" w:ascii="宋体" w:hAnsi="宋体"/>
          <w:b w:val="0"/>
          <w:bCs/>
          <w:color w:val="000000"/>
          <w:sz w:val="24"/>
          <w:lang w:eastAsia="zh-CN"/>
        </w:rPr>
      </w:pPr>
    </w:p>
    <w:p>
      <w:pPr>
        <w:numPr>
          <w:ilvl w:val="0"/>
          <w:numId w:val="0"/>
        </w:numPr>
        <w:spacing w:before="60" w:after="60" w:line="360" w:lineRule="auto"/>
        <w:ind w:leftChars="0" w:right="60" w:rightChars="0"/>
        <w:rPr>
          <w:rFonts w:hint="eastAsia" w:ascii="宋体" w:hAnsi="宋体"/>
          <w:b/>
          <w:bCs w:val="0"/>
          <w:color w:val="000000"/>
          <w:sz w:val="24"/>
          <w:lang w:eastAsia="zh-CN"/>
        </w:rPr>
      </w:pPr>
      <w:r>
        <w:rPr>
          <w:rFonts w:hint="eastAsia" w:ascii="宋体" w:hAnsi="宋体"/>
          <w:b/>
          <w:bCs w:val="0"/>
          <w:color w:val="000000"/>
          <w:sz w:val="24"/>
          <w:lang w:eastAsia="zh-CN"/>
        </w:rPr>
        <w:t>（十）移动蓄水池：</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1.直径：130cm，高度：90cm，容量：1000升，重量：8.5kg；</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2.材质：双面pvc，自浮式移动水池；</w:t>
      </w:r>
    </w:p>
    <w:p>
      <w:pPr>
        <w:numPr>
          <w:ilvl w:val="0"/>
          <w:numId w:val="0"/>
        </w:numPr>
        <w:spacing w:before="60" w:after="60" w:line="360" w:lineRule="auto"/>
        <w:ind w:leftChars="0" w:right="60" w:rightChars="0"/>
        <w:rPr>
          <w:rFonts w:hint="eastAsia" w:ascii="宋体" w:hAnsi="宋体"/>
          <w:b w:val="0"/>
          <w:bCs/>
          <w:color w:val="000000"/>
          <w:sz w:val="24"/>
          <w:lang w:eastAsia="zh-CN"/>
        </w:rPr>
      </w:pPr>
      <w:r>
        <w:rPr>
          <w:rFonts w:hint="eastAsia" w:ascii="宋体" w:hAnsi="宋体"/>
          <w:b w:val="0"/>
          <w:bCs/>
          <w:color w:val="000000"/>
          <w:sz w:val="24"/>
          <w:lang w:eastAsia="zh-CN"/>
        </w:rPr>
        <w:t>3.带防扎底座及维修胶水一套。</w:t>
      </w:r>
    </w:p>
    <w:p>
      <w:pPr>
        <w:spacing w:before="60" w:after="60" w:line="360" w:lineRule="auto"/>
        <w:ind w:right="60"/>
        <w:rPr>
          <w:rFonts w:hint="eastAsia" w:ascii="宋体" w:hAnsi="宋体"/>
          <w:b/>
          <w:color w:val="000000"/>
          <w:sz w:val="24"/>
          <w:lang w:eastAsia="zh-CN"/>
        </w:rPr>
      </w:pPr>
      <w:r>
        <w:rPr>
          <w:rFonts w:hint="eastAsia" w:ascii="宋体" w:hAnsi="宋体"/>
          <w:b/>
          <w:color w:val="000000"/>
          <w:sz w:val="24"/>
          <w:lang w:eastAsia="zh-CN"/>
        </w:rPr>
        <w:t>二、其他要求：</w:t>
      </w:r>
    </w:p>
    <w:p>
      <w:pPr>
        <w:spacing w:before="60" w:after="60" w:line="360" w:lineRule="auto"/>
        <w:ind w:right="60"/>
        <w:rPr>
          <w:rFonts w:hint="eastAsia" w:ascii="宋体" w:hAnsi="宋体"/>
          <w:b w:val="0"/>
          <w:bCs/>
          <w:color w:val="000000"/>
          <w:sz w:val="24"/>
          <w:lang w:eastAsia="zh-CN"/>
        </w:rPr>
      </w:pPr>
      <w:r>
        <w:rPr>
          <w:rFonts w:hint="eastAsia" w:ascii="宋体" w:hAnsi="宋体"/>
          <w:b w:val="0"/>
          <w:bCs/>
          <w:color w:val="000000"/>
          <w:sz w:val="24"/>
          <w:lang w:eastAsia="zh-CN"/>
        </w:rPr>
        <w:t>技术规格中标注“▲”号的为关键技术参数，对这些关键技术参数的任何偏离或无法在符合要求的检验报告复印件中得到验证的都将被认定为无效。</w:t>
      </w:r>
    </w:p>
    <w:p>
      <w:pPr>
        <w:numPr>
          <w:ilvl w:val="0"/>
          <w:numId w:val="0"/>
        </w:numPr>
        <w:spacing w:before="60" w:after="60" w:line="360" w:lineRule="auto"/>
        <w:ind w:leftChars="0" w:right="60" w:rightChars="0"/>
        <w:rPr>
          <w:rFonts w:hint="eastAsia" w:ascii="宋体" w:hAnsi="宋体"/>
          <w:b/>
          <w:bCs w:val="0"/>
          <w:color w:val="000000"/>
          <w:sz w:val="24"/>
          <w:lang w:eastAsia="zh-CN"/>
        </w:rPr>
      </w:pPr>
      <w:r>
        <w:rPr>
          <w:rFonts w:hint="eastAsia" w:ascii="宋体" w:hAnsi="宋体"/>
          <w:b/>
          <w:bCs w:val="0"/>
          <w:color w:val="000000"/>
          <w:sz w:val="24"/>
          <w:lang w:eastAsia="zh-CN"/>
        </w:rPr>
        <w:t>三、商务要求：</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1、交货期：签定合同后30天内交货，交货后一周内完成所有安装、调试并交付使用。</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2、交货地点：临安区商务局指定地点。</w:t>
      </w:r>
    </w:p>
    <w:p>
      <w:pPr>
        <w:numPr>
          <w:ilvl w:val="0"/>
          <w:numId w:val="0"/>
        </w:numPr>
        <w:spacing w:before="60" w:after="60" w:line="360" w:lineRule="auto"/>
        <w:ind w:leftChars="0" w:right="60" w:rightChars="0"/>
        <w:rPr>
          <w:rFonts w:hint="default" w:ascii="宋体" w:hAnsi="宋体"/>
          <w:b w:val="0"/>
          <w:bCs/>
          <w:color w:val="auto"/>
          <w:sz w:val="24"/>
          <w:lang w:val="en-US" w:eastAsia="zh-CN"/>
        </w:rPr>
      </w:pPr>
      <w:r>
        <w:rPr>
          <w:rFonts w:hint="eastAsia" w:ascii="宋体" w:hAnsi="宋体"/>
          <w:b w:val="0"/>
          <w:bCs/>
          <w:color w:val="auto"/>
          <w:sz w:val="24"/>
          <w:lang w:eastAsia="zh-CN"/>
        </w:rPr>
        <w:t>3、质量保证及售后服务</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3.1.乙方保证本合同中所供应的商品是最新生产的符合国家技术规格和质量标准的出厂原装合格产品。如发生所供商品与合同不符，甲方（使用方）有权拒收或退货，由此产生的一切责任和后果由乙方承担。</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3.2. 本次投标设备质保期2年，从验收合格之日算起乙方提供的货物在质保期内因货物本身的质量问题发生故障，乙方应负责免费更换。对达不到技术要求者，根据实际情况，经双方协商，可按以下办法处理：</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⑴更换：由乙方承担所发生的全部费用。</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⑵贬值处理：由甲乙双方合议定价。</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⑶退货处理：乙方应退还甲方支付的合同款，同时应承担该货物的直接费用（运输、保险、检验、货款利息及银行手续费等）。</w:t>
      </w:r>
    </w:p>
    <w:p>
      <w:pPr>
        <w:numPr>
          <w:ilvl w:val="0"/>
          <w:numId w:val="0"/>
        </w:numPr>
        <w:spacing w:before="60" w:after="60" w:line="360" w:lineRule="auto"/>
        <w:ind w:leftChars="0" w:right="60" w:rightChars="0"/>
        <w:rPr>
          <w:rFonts w:hint="eastAsia" w:ascii="宋体" w:hAnsi="宋体"/>
          <w:b w:val="0"/>
          <w:bCs/>
          <w:color w:val="auto"/>
          <w:sz w:val="24"/>
          <w:lang w:eastAsia="zh-CN"/>
        </w:rPr>
      </w:pPr>
      <w:r>
        <w:rPr>
          <w:rFonts w:hint="eastAsia" w:ascii="宋体" w:hAnsi="宋体"/>
          <w:b w:val="0"/>
          <w:bCs/>
          <w:color w:val="auto"/>
          <w:sz w:val="24"/>
          <w:lang w:eastAsia="zh-CN"/>
        </w:rPr>
        <w:t>3.3. 在质保期内，乙方应对货物出现的质量及安全问题负责处理解决并承担一切费用。</w:t>
      </w:r>
    </w:p>
    <w:p>
      <w:pPr>
        <w:numPr>
          <w:ilvl w:val="0"/>
          <w:numId w:val="0"/>
        </w:numPr>
        <w:spacing w:before="60" w:after="60" w:line="360" w:lineRule="auto"/>
        <w:ind w:leftChars="0" w:right="60" w:rightChars="0"/>
        <w:rPr>
          <w:rFonts w:ascii="宋体" w:hAnsi="宋体"/>
          <w:b/>
          <w:color w:val="auto"/>
          <w:sz w:val="32"/>
          <w:szCs w:val="32"/>
        </w:rPr>
      </w:pPr>
      <w:r>
        <w:rPr>
          <w:rFonts w:hint="eastAsia" w:ascii="宋体" w:hAnsi="宋体"/>
          <w:b w:val="0"/>
          <w:bCs/>
          <w:color w:val="auto"/>
          <w:sz w:val="24"/>
          <w:lang w:val="en-US" w:eastAsia="zh-CN"/>
        </w:rPr>
        <w:t>4</w:t>
      </w:r>
      <w:r>
        <w:rPr>
          <w:rFonts w:hint="eastAsia" w:ascii="宋体" w:hAnsi="宋体"/>
          <w:b w:val="0"/>
          <w:bCs/>
          <w:color w:val="auto"/>
          <w:sz w:val="24"/>
          <w:lang w:eastAsia="zh-CN"/>
        </w:rPr>
        <w:t>、税费：此次采购中相关的一切税费均由乙方负担。</w:t>
      </w: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6"/>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6"/>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6"/>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6"/>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6"/>
        <w:adjustRightInd w:val="0"/>
        <w:snapToGrid w:val="0"/>
        <w:spacing w:beforeLines="0" w:afterLines="0" w:line="480" w:lineRule="exact"/>
        <w:ind w:firstLine="511" w:firstLineChars="213"/>
        <w:rPr>
          <w:rFonts w:hAnsi="宋体"/>
        </w:rPr>
      </w:pPr>
      <w:r>
        <w:rPr>
          <w:rFonts w:hint="eastAsia" w:hAnsi="宋体"/>
        </w:rPr>
        <w:t>二、技术资料</w:t>
      </w:r>
    </w:p>
    <w:p>
      <w:pPr>
        <w:pStyle w:val="6"/>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6"/>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adjustRightInd w:val="0"/>
        <w:snapToGrid w:val="0"/>
        <w:spacing w:beforeLines="0" w:afterLines="0" w:line="480" w:lineRule="exact"/>
        <w:ind w:firstLine="475" w:firstLineChars="198"/>
        <w:rPr>
          <w:rFonts w:hAnsi="宋体"/>
        </w:rPr>
      </w:pPr>
      <w:r>
        <w:rPr>
          <w:rFonts w:hint="eastAsia" w:hAnsi="宋体"/>
        </w:rPr>
        <w:t>三、知识产权</w:t>
      </w:r>
    </w:p>
    <w:p>
      <w:pPr>
        <w:pStyle w:val="6"/>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6"/>
        <w:adjustRightInd w:val="0"/>
        <w:snapToGrid w:val="0"/>
        <w:spacing w:beforeLines="0" w:afterLines="0" w:line="480" w:lineRule="exact"/>
        <w:ind w:firstLine="475" w:firstLineChars="198"/>
        <w:rPr>
          <w:rFonts w:hAnsi="宋体"/>
        </w:rPr>
      </w:pPr>
      <w:r>
        <w:rPr>
          <w:rFonts w:hint="eastAsia" w:hAnsi="宋体"/>
        </w:rPr>
        <w:t>四、产权担保</w:t>
      </w:r>
    </w:p>
    <w:p>
      <w:pPr>
        <w:pStyle w:val="6"/>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6"/>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6"/>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6"/>
        <w:adjustRightInd w:val="0"/>
        <w:snapToGrid w:val="0"/>
        <w:spacing w:beforeLines="0" w:afterLines="0" w:line="480" w:lineRule="exact"/>
        <w:ind w:firstLine="511" w:firstLineChars="213"/>
        <w:rPr>
          <w:rFonts w:hAnsi="宋体"/>
        </w:rPr>
      </w:pPr>
      <w:r>
        <w:rPr>
          <w:rFonts w:hint="eastAsia" w:hAnsi="宋体"/>
        </w:rPr>
        <w:t>1. 交货期：</w:t>
      </w:r>
    </w:p>
    <w:p>
      <w:pPr>
        <w:pStyle w:val="6"/>
        <w:adjustRightInd w:val="0"/>
        <w:snapToGrid w:val="0"/>
        <w:spacing w:beforeLines="0" w:afterLines="0" w:line="480" w:lineRule="exact"/>
        <w:ind w:firstLine="511" w:firstLineChars="213"/>
        <w:rPr>
          <w:rFonts w:hAnsi="宋体"/>
        </w:rPr>
      </w:pPr>
      <w:r>
        <w:rPr>
          <w:rFonts w:hint="eastAsia" w:hAnsi="宋体"/>
        </w:rPr>
        <w:t>2. 交货地点：</w:t>
      </w:r>
    </w:p>
    <w:p>
      <w:pPr>
        <w:pStyle w:val="6"/>
        <w:adjustRightInd w:val="0"/>
        <w:snapToGrid w:val="0"/>
        <w:spacing w:beforeLines="0" w:afterLines="0" w:line="480" w:lineRule="exact"/>
        <w:ind w:firstLine="511" w:firstLineChars="213"/>
        <w:rPr>
          <w:rFonts w:hAnsi="宋体"/>
        </w:rPr>
      </w:pPr>
      <w:r>
        <w:rPr>
          <w:rFonts w:hint="eastAsia" w:hAnsi="宋体"/>
        </w:rPr>
        <w:t>七、货款支付</w:t>
      </w:r>
    </w:p>
    <w:p>
      <w:pPr>
        <w:pStyle w:val="6"/>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6"/>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6"/>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6"/>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6"/>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6"/>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6"/>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6"/>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6"/>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6"/>
        <w:adjustRightInd w:val="0"/>
        <w:snapToGrid w:val="0"/>
        <w:spacing w:beforeLines="0" w:afterLines="0" w:line="480" w:lineRule="exact"/>
        <w:ind w:firstLine="511" w:firstLineChars="213"/>
        <w:rPr>
          <w:rFonts w:hAnsi="宋体"/>
        </w:rPr>
      </w:pPr>
      <w:r>
        <w:rPr>
          <w:rFonts w:hint="eastAsia" w:hAnsi="宋体"/>
        </w:rPr>
        <w:t>十、调试和验收</w:t>
      </w:r>
    </w:p>
    <w:p>
      <w:pPr>
        <w:pStyle w:val="6"/>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6"/>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6"/>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6"/>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6"/>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6"/>
        <w:adjustRightInd w:val="0"/>
        <w:snapToGrid w:val="0"/>
        <w:spacing w:beforeLines="0" w:afterLines="0" w:line="480" w:lineRule="exact"/>
        <w:ind w:firstLine="511" w:firstLineChars="213"/>
        <w:rPr>
          <w:rFonts w:hAnsi="宋体"/>
        </w:rPr>
      </w:pPr>
      <w:r>
        <w:rPr>
          <w:rFonts w:hint="eastAsia" w:hAnsi="宋体"/>
        </w:rPr>
        <w:t>十一、货物包装</w:t>
      </w:r>
    </w:p>
    <w:p>
      <w:pPr>
        <w:pStyle w:val="6"/>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6"/>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6"/>
        <w:adjustRightInd w:val="0"/>
        <w:snapToGrid w:val="0"/>
        <w:spacing w:beforeLines="0" w:afterLines="0" w:line="480" w:lineRule="exact"/>
        <w:ind w:firstLine="511" w:firstLineChars="213"/>
        <w:rPr>
          <w:rFonts w:hAnsi="宋体"/>
        </w:rPr>
      </w:pPr>
      <w:r>
        <w:rPr>
          <w:rFonts w:hint="eastAsia" w:hAnsi="宋体"/>
        </w:rPr>
        <w:t>十二、违约责任</w:t>
      </w:r>
    </w:p>
    <w:p>
      <w:pPr>
        <w:pStyle w:val="6"/>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6"/>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6"/>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6"/>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6"/>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6"/>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6"/>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6"/>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6"/>
        <w:adjustRightInd w:val="0"/>
        <w:snapToGrid w:val="0"/>
        <w:spacing w:beforeLines="0" w:afterLines="0" w:line="480" w:lineRule="exact"/>
        <w:ind w:firstLine="511" w:firstLineChars="213"/>
        <w:rPr>
          <w:rFonts w:hAnsi="宋体"/>
        </w:rPr>
      </w:pPr>
      <w:r>
        <w:rPr>
          <w:rFonts w:hint="eastAsia" w:hAnsi="宋体"/>
        </w:rPr>
        <w:t>十四、诉讼</w:t>
      </w:r>
    </w:p>
    <w:p>
      <w:pPr>
        <w:pStyle w:val="6"/>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6"/>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6"/>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6"/>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6"/>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6"/>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6"/>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6"/>
        <w:adjustRightInd w:val="0"/>
        <w:snapToGrid w:val="0"/>
        <w:spacing w:beforeLines="0" w:afterLines="0" w:line="480" w:lineRule="exact"/>
        <w:ind w:left="2" w:leftChars="1" w:firstLine="480" w:firstLineChars="200"/>
        <w:rPr>
          <w:rFonts w:hAnsi="宋体"/>
          <w:snapToGrid w:val="0"/>
          <w:kern w:val="0"/>
        </w:rPr>
      </w:pPr>
    </w:p>
    <w:p>
      <w:pPr>
        <w:pStyle w:val="6"/>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6"/>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6"/>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6"/>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2"/>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2"/>
        <w:overflowPunct w:val="0"/>
        <w:spacing w:line="460" w:lineRule="exact"/>
        <w:ind w:firstLine="513" w:firstLineChars="214"/>
        <w:rPr>
          <w:rFonts w:ascii="宋体" w:hAnsi="宋体"/>
          <w:sz w:val="24"/>
          <w:szCs w:val="24"/>
          <w:u w:val="single"/>
        </w:rPr>
      </w:pP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2"/>
        <w:overflowPunct w:val="0"/>
        <w:spacing w:line="460" w:lineRule="exact"/>
        <w:ind w:firstLine="513" w:firstLineChars="214"/>
        <w:rPr>
          <w:rFonts w:ascii="宋体" w:hAnsi="宋体"/>
          <w:sz w:val="24"/>
          <w:szCs w:val="24"/>
        </w:rPr>
      </w:pP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2"/>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2"/>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2"/>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2"/>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2"/>
        <w:overflowPunct w:val="0"/>
        <w:spacing w:line="460" w:lineRule="exact"/>
        <w:ind w:firstLine="600"/>
        <w:rPr>
          <w:rFonts w:ascii="宋体" w:hAnsi="宋体"/>
          <w:sz w:val="28"/>
          <w:szCs w:val="28"/>
        </w:rPr>
      </w:pPr>
    </w:p>
    <w:p>
      <w:pPr>
        <w:pStyle w:val="2"/>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2"/>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授权人（签名）：</w:t>
      </w:r>
    </w:p>
    <w:p>
      <w:pPr>
        <w:pStyle w:val="2"/>
        <w:overflowPunct w:val="0"/>
        <w:spacing w:line="460" w:lineRule="exact"/>
        <w:ind w:firstLine="600"/>
        <w:rPr>
          <w:rFonts w:ascii="宋体" w:hAnsi="宋体"/>
          <w:sz w:val="24"/>
          <w:szCs w:val="24"/>
        </w:rPr>
      </w:pPr>
    </w:p>
    <w:p>
      <w:pPr>
        <w:pStyle w:val="2"/>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2"/>
        <w:overflowPunct w:val="0"/>
        <w:spacing w:line="460" w:lineRule="exact"/>
        <w:ind w:firstLine="600"/>
        <w:rPr>
          <w:rFonts w:ascii="宋体" w:hAnsi="宋体"/>
          <w:sz w:val="24"/>
          <w:szCs w:val="24"/>
        </w:rPr>
      </w:pPr>
    </w:p>
    <w:p>
      <w:pPr>
        <w:pStyle w:val="2"/>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2"/>
        <w:overflowPunct w:val="0"/>
        <w:spacing w:line="460" w:lineRule="exact"/>
        <w:ind w:firstLine="456" w:firstLineChars="190"/>
        <w:rPr>
          <w:rFonts w:ascii="宋体" w:hAnsi="宋体"/>
          <w:sz w:val="24"/>
          <w:szCs w:val="24"/>
        </w:rPr>
      </w:pPr>
    </w:p>
    <w:p>
      <w:pPr>
        <w:pStyle w:val="2"/>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rPr>
                <w:rFonts w:ascii="宋体" w:hAnsi="宋体"/>
                <w:sz w:val="24"/>
                <w:szCs w:val="24"/>
              </w:rPr>
            </w:pPr>
            <w:r>
              <w:rPr>
                <w:rFonts w:hint="eastAsia" w:ascii="宋体" w:hAnsi="宋体"/>
                <w:sz w:val="24"/>
                <w:szCs w:val="24"/>
              </w:rPr>
              <w:t>联合体甲方单位：   （公章）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p>
          <w:p>
            <w:pPr>
              <w:pStyle w:val="2"/>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3"/>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3"/>
        <w:snapToGrid w:val="0"/>
        <w:rPr>
          <w:rFonts w:ascii="宋体" w:hAnsi="宋体" w:eastAsia="宋体"/>
          <w:sz w:val="24"/>
          <w:szCs w:val="24"/>
        </w:rPr>
      </w:pPr>
      <w:r>
        <w:rPr>
          <w:rFonts w:hint="eastAsia" w:ascii="宋体" w:hAnsi="宋体" w:eastAsia="宋体"/>
          <w:sz w:val="24"/>
          <w:szCs w:val="24"/>
        </w:rPr>
        <w:t>货物类</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6"/>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6"/>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6"/>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6"/>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6"/>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6"/>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6"/>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6"/>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6"/>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6"/>
              <w:snapToGrid w:val="0"/>
              <w:spacing w:before="120" w:after="120"/>
              <w:outlineLvl w:val="0"/>
              <w:rPr>
                <w:rFonts w:hAnsi="宋体"/>
              </w:rPr>
            </w:pPr>
          </w:p>
        </w:tc>
      </w:tr>
    </w:tbl>
    <w:p>
      <w:pPr>
        <w:pStyle w:val="4"/>
        <w:rPr>
          <w:rFonts w:ascii="宋体" w:hAnsi="宋体"/>
          <w:sz w:val="24"/>
        </w:rPr>
      </w:pPr>
    </w:p>
    <w:p>
      <w:pPr>
        <w:pStyle w:val="4"/>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7"/>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6"/>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3"/>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3"/>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7"/>
        <w:snapToGrid w:val="0"/>
        <w:spacing w:line="360" w:lineRule="auto"/>
        <w:ind w:left="5250"/>
        <w:rPr>
          <w:rFonts w:ascii="宋体" w:hAnsi="宋体" w:eastAsia="宋体"/>
          <w:sz w:val="28"/>
          <w:szCs w:val="28"/>
        </w:rPr>
      </w:pPr>
    </w:p>
    <w:p>
      <w:pPr>
        <w:pStyle w:val="7"/>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7"/>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0"/>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6"/>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3"/>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1"/>
        <w:spacing w:before="0" w:beforeAutospacing="0" w:after="0" w:afterAutospacing="0" w:line="560" w:lineRule="exact"/>
        <w:ind w:right="685"/>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pPr>
    </w:p>
    <w:p>
      <w:pPr>
        <w:pStyle w:val="6"/>
        <w:adjustRightInd w:val="0"/>
        <w:snapToGrid w:val="0"/>
        <w:spacing w:before="156" w:after="156" w:line="460" w:lineRule="exact"/>
      </w:pPr>
    </w:p>
    <w:p>
      <w:pPr>
        <w:pStyle w:val="6"/>
        <w:adjustRightInd w:val="0"/>
        <w:snapToGrid w:val="0"/>
        <w:spacing w:before="156" w:after="156" w:line="460" w:lineRule="exact"/>
      </w:pPr>
    </w:p>
    <w:p>
      <w:pPr>
        <w:pStyle w:val="6"/>
        <w:adjustRightInd w:val="0"/>
        <w:snapToGrid w:val="0"/>
        <w:spacing w:before="156" w:after="156" w:line="460" w:lineRule="exact"/>
      </w:pPr>
    </w:p>
    <w:p>
      <w:pPr>
        <w:pStyle w:val="6"/>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6" w:name="OLE_LINK13"/>
      <w:bookmarkStart w:id="7" w:name="OLE_LINK14"/>
      <w:r>
        <w:rPr>
          <w:rFonts w:hint="eastAsia" w:ascii="宋体" w:hAnsi="宋体"/>
          <w:b/>
          <w:spacing w:val="6"/>
          <w:sz w:val="28"/>
          <w:szCs w:val="28"/>
        </w:rPr>
        <w:t>残疾人福利性单位声明函</w:t>
      </w:r>
    </w:p>
    <w:bookmarkEnd w:id="6"/>
    <w:bookmarkEnd w:id="7"/>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511" w:firstLineChars="213"/>
        <w:jc w:val="center"/>
      </w:pPr>
    </w:p>
    <w:p>
      <w:pPr>
        <w:pStyle w:val="6"/>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p>
  <w:p>
    <w:pPr>
      <w:pStyle w:val="8"/>
      <w:ind w:right="720"/>
      <w:jc w:val="center"/>
    </w:pPr>
    <w:r>
      <w:rPr>
        <w:rFonts w:hint="eastAsia"/>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242AA"/>
    <w:multiLevelType w:val="singleLevel"/>
    <w:tmpl w:val="801242AA"/>
    <w:lvl w:ilvl="0" w:tentative="0">
      <w:start w:val="4"/>
      <w:numFmt w:val="chineseCounting"/>
      <w:suff w:val="nothing"/>
      <w:lvlText w:val="（%1）"/>
      <w:lvlJc w:val="left"/>
      <w:rPr>
        <w:rFonts w:hint="eastAsia"/>
      </w:rPr>
    </w:lvl>
  </w:abstractNum>
  <w:abstractNum w:abstractNumId="1">
    <w:nsid w:val="94121ADF"/>
    <w:multiLevelType w:val="singleLevel"/>
    <w:tmpl w:val="94121ADF"/>
    <w:lvl w:ilvl="0" w:tentative="0">
      <w:start w:val="8"/>
      <w:numFmt w:val="chineseCounting"/>
      <w:suff w:val="nothing"/>
      <w:lvlText w:val="（%1）"/>
      <w:lvlJc w:val="left"/>
      <w:rPr>
        <w:rFonts w:hint="eastAsia"/>
      </w:rPr>
    </w:lvl>
  </w:abstractNum>
  <w:abstractNum w:abstractNumId="2">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77BFBEFC"/>
    <w:multiLevelType w:val="singleLevel"/>
    <w:tmpl w:val="77BFBEFC"/>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F353F"/>
    <w:rsid w:val="232D1F31"/>
    <w:rsid w:val="30B47EFD"/>
    <w:rsid w:val="3284705B"/>
    <w:rsid w:val="41BF353F"/>
    <w:rsid w:val="6C453075"/>
    <w:rsid w:val="6CEC1966"/>
    <w:rsid w:val="6D47035C"/>
    <w:rsid w:val="7423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Body Text 3"/>
    <w:basedOn w:val="1"/>
    <w:qFormat/>
    <w:uiPriority w:val="0"/>
    <w:pPr>
      <w:snapToGrid w:val="0"/>
      <w:spacing w:before="50" w:after="50"/>
    </w:p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qFormat/>
    <w:uiPriority w:val="0"/>
    <w:pPr>
      <w:spacing w:beforeLines="50" w:afterLines="50" w:line="400" w:lineRule="exact"/>
    </w:pPr>
    <w:rPr>
      <w:rFonts w:ascii="宋体" w:hAnsi="Courier New"/>
      <w:sz w:val="24"/>
    </w:rPr>
  </w:style>
  <w:style w:type="paragraph" w:styleId="7">
    <w:name w:val="Date"/>
    <w:basedOn w:val="1"/>
    <w:next w:val="1"/>
    <w:qFormat/>
    <w:uiPriority w:val="99"/>
    <w:pPr>
      <w:ind w:left="2500" w:leftChars="2500"/>
    </w:pPr>
    <w:rPr>
      <w:rFonts w:eastAsia="楷体_GB2312"/>
      <w:sz w:val="32"/>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paragraph" w:customStyle="1" w:styleId="17">
    <w:name w:val="Char Char Char"/>
    <w:basedOn w:val="1"/>
    <w:qFormat/>
    <w:uiPriority w:val="0"/>
  </w:style>
  <w:style w:type="paragraph" w:customStyle="1" w:styleId="18">
    <w:name w:val="无间隔1"/>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 w:type="character" w:customStyle="1" w:styleId="19">
    <w:name w:val="黑简9px"/>
    <w:qFormat/>
    <w:uiPriority w:val="99"/>
    <w:rPr>
      <w:rFonts w:ascii="方正黑体简体" w:eastAsia="方正黑体简体" w:cs="方正黑体简体"/>
      <w:sz w:val="18"/>
      <w:szCs w:val="18"/>
    </w:rPr>
  </w:style>
  <w:style w:type="paragraph" w:customStyle="1" w:styleId="20">
    <w:name w:val="无间隔2"/>
    <w:qFormat/>
    <w:uiPriority w:val="1"/>
    <w:pPr>
      <w:widowControl w:val="0"/>
      <w:adjustRightInd w:val="0"/>
      <w:jc w:val="both"/>
      <w:textAlignment w:val="baseline"/>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2020-04-27T01:22:00Z</dcterms:created>
  <dc:creator>CHENJUN</dc:creator>
  <cp:lastModifiedBy>CHENJUN</cp:lastModifiedBy>
  <dcterms:modified xsi:type="dcterms:W3CDTF">2020-04-28T07:30:59Z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