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hint="eastAsia" w:ascii="仿宋_GB2312" w:hAnsi="仿宋" w:eastAsia="仿宋_GB2312" w:cs="仿宋_GB2312"/>
          <w:b/>
          <w:sz w:val="24"/>
          <w:szCs w:val="24"/>
        </w:rPr>
      </w:pPr>
    </w:p>
    <w:p>
      <w:pPr>
        <w:adjustRightInd w:val="0"/>
        <w:spacing w:line="360" w:lineRule="auto"/>
        <w:jc w:val="center"/>
        <w:rPr>
          <w:rFonts w:ascii="仿宋_GB2312" w:hAnsi="仿宋" w:eastAsia="仿宋_GB2312" w:cs="仿宋_GB2312"/>
          <w:b/>
          <w:sz w:val="24"/>
          <w:szCs w:val="24"/>
        </w:rPr>
      </w:pPr>
    </w:p>
    <w:p>
      <w:pPr>
        <w:spacing w:line="360" w:lineRule="auto"/>
        <w:jc w:val="center"/>
        <w:rPr>
          <w:rFonts w:ascii="仿宋_GB2312" w:hAnsi="仿宋" w:eastAsia="仿宋_GB2312" w:cs="仿宋_GB2312"/>
          <w:b/>
          <w:sz w:val="44"/>
          <w:szCs w:val="44"/>
        </w:rPr>
      </w:pP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hint="eastAsia" w:ascii="仿宋" w:hAnsi="仿宋" w:eastAsia="仿宋" w:cs="仿宋_GB2312"/>
          <w:sz w:val="48"/>
          <w:szCs w:val="48"/>
        </w:rPr>
      </w:pPr>
      <w:r>
        <w:rPr>
          <w:rFonts w:hint="eastAsia" w:ascii="仿宋" w:hAnsi="仿宋" w:eastAsia="仿宋" w:cs="仿宋_GB2312"/>
          <w:sz w:val="48"/>
          <w:szCs w:val="48"/>
        </w:rPr>
        <w:t>杭州市临安区职教中心实训室基地及中心机房建设采购项目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rPr>
        <w:t xml:space="preserve"> （电</w:t>
      </w:r>
      <w:r>
        <w:rPr>
          <w:rFonts w:ascii="仿宋" w:hAnsi="仿宋" w:eastAsia="仿宋" w:cs="仿宋_GB2312"/>
          <w:b/>
          <w:sz w:val="44"/>
          <w:szCs w:val="44"/>
          <w:highlight w:val="none"/>
        </w:rPr>
        <w:t>子招投标）</w:t>
      </w:r>
    </w:p>
    <w:p>
      <w:pPr>
        <w:snapToGrid w:val="0"/>
        <w:spacing w:line="360" w:lineRule="auto"/>
        <w:jc w:val="center"/>
        <w:rPr>
          <w:rFonts w:hint="default" w:ascii="仿宋" w:hAnsi="仿宋" w:eastAsia="仿宋" w:cs="仿宋_GB2312"/>
          <w:sz w:val="30"/>
          <w:szCs w:val="30"/>
          <w:highlight w:val="none"/>
          <w:lang w:val="en-US" w:eastAsia="zh-CN"/>
        </w:rPr>
      </w:pPr>
      <w:r>
        <w:rPr>
          <w:rFonts w:hint="eastAsia" w:ascii="仿宋" w:hAnsi="仿宋" w:eastAsia="仿宋" w:cs="仿宋_GB2312"/>
          <w:sz w:val="30"/>
          <w:szCs w:val="30"/>
          <w:highlight w:val="none"/>
        </w:rPr>
        <w:t>编号</w:t>
      </w:r>
      <w:r>
        <w:rPr>
          <w:rFonts w:ascii="仿宋" w:hAnsi="仿宋" w:eastAsia="仿宋" w:cs="仿宋_GB2312"/>
          <w:sz w:val="30"/>
          <w:szCs w:val="30"/>
          <w:highlight w:val="none"/>
        </w:rPr>
        <w:t>:</w:t>
      </w:r>
      <w:r>
        <w:rPr>
          <w:rFonts w:hint="eastAsia" w:ascii="仿宋" w:hAnsi="仿宋" w:eastAsia="仿宋" w:cs="仿宋_GB2312"/>
          <w:sz w:val="30"/>
          <w:szCs w:val="30"/>
          <w:highlight w:val="none"/>
          <w:lang w:val="en-US" w:eastAsia="zh-CN"/>
        </w:rPr>
        <w:t>LZC-GK-2022-06037</w:t>
      </w:r>
    </w:p>
    <w:p>
      <w:pPr>
        <w:adjustRightInd/>
        <w:spacing w:line="360" w:lineRule="auto"/>
        <w:rPr>
          <w:rFonts w:ascii="仿宋" w:hAnsi="仿宋" w:eastAsia="仿宋" w:cs="仿宋_GB2312"/>
          <w:sz w:val="28"/>
          <w:szCs w:val="20"/>
        </w:rPr>
      </w:pPr>
    </w:p>
    <w:p>
      <w:pPr>
        <w:spacing w:line="360" w:lineRule="auto"/>
        <w:rPr>
          <w:rFonts w:ascii="仿宋_GB2312" w:hAnsi="仿宋" w:eastAsia="仿宋_GB2312" w:cs="仿宋_GB2312"/>
          <w:sz w:val="28"/>
          <w:szCs w:val="20"/>
        </w:rPr>
      </w:pP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val="0"/>
        <w:spacing w:line="360" w:lineRule="auto"/>
        <w:jc w:val="both"/>
        <w:rPr>
          <w:rFonts w:ascii="仿宋_GB2312" w:hAnsi="仿宋" w:eastAsia="仿宋_GB2312" w:cs="仿宋_GB2312"/>
          <w:sz w:val="24"/>
          <w:szCs w:val="24"/>
        </w:rPr>
      </w:pPr>
    </w:p>
    <w:p>
      <w:pPr>
        <w:adjustRightInd w:val="0"/>
        <w:spacing w:line="360" w:lineRule="auto"/>
        <w:jc w:val="center"/>
        <w:rPr>
          <w:rFonts w:ascii="仿宋_GB2312" w:hAnsi="仿宋" w:eastAsia="仿宋_GB2312" w:cs="仿宋_GB2312"/>
          <w:sz w:val="24"/>
          <w:szCs w:val="24"/>
        </w:rPr>
      </w:pPr>
    </w:p>
    <w:p>
      <w:pPr>
        <w:adjustRightInd w:val="0"/>
        <w:spacing w:line="360" w:lineRule="auto"/>
        <w:rPr>
          <w:rFonts w:ascii="仿宋_GB2312" w:hAnsi="仿宋" w:eastAsia="仿宋_GB2312" w:cs="仿宋_GB2312"/>
          <w:sz w:val="32"/>
          <w:szCs w:val="32"/>
        </w:rPr>
      </w:pPr>
      <w:r>
        <w:rPr>
          <w:rFonts w:hint="eastAsia" w:ascii="仿宋_GB2312" w:hAnsi="仿宋" w:eastAsia="仿宋_GB2312" w:cs="仿宋_GB2312"/>
          <w:sz w:val="24"/>
          <w:szCs w:val="24"/>
        </w:rPr>
        <w:t xml:space="preserve">                                      </w:t>
      </w:r>
    </w:p>
    <w:p>
      <w:pPr>
        <w:adjustRightInd w:val="0"/>
        <w:spacing w:line="360" w:lineRule="auto"/>
        <w:jc w:val="center"/>
        <w:rPr>
          <w:rFonts w:ascii="仿宋_GB2312" w:hAnsi="仿宋" w:eastAsia="仿宋_GB2312" w:cs="仿宋_GB2312"/>
          <w:bCs/>
          <w:sz w:val="32"/>
          <w:szCs w:val="32"/>
          <w:highlight w:val="none"/>
        </w:rPr>
      </w:pPr>
      <w:r>
        <w:rPr>
          <w:rFonts w:ascii="仿宋_GB2312" w:hAnsi="仿宋" w:eastAsia="仿宋_GB2312" w:cs="仿宋_GB2312"/>
          <w:bCs/>
          <w:sz w:val="32"/>
          <w:szCs w:val="32"/>
          <w:highlight w:val="green"/>
        </w:rPr>
        <w:br w:type="textWrapping"/>
      </w:r>
      <w:r>
        <w:rPr>
          <w:rFonts w:ascii="仿宋_GB2312" w:hAnsi="仿宋" w:eastAsia="仿宋_GB2312" w:cs="仿宋_GB2312"/>
          <w:bCs/>
          <w:sz w:val="32"/>
          <w:szCs w:val="32"/>
          <w:highlight w:val="none"/>
        </w:rPr>
        <w:t>杭州市临安区职业教育中心</w:t>
      </w:r>
    </w:p>
    <w:p>
      <w:pPr>
        <w:adjustRightInd w:val="0"/>
        <w:spacing w:line="360" w:lineRule="auto"/>
        <w:jc w:val="center"/>
        <w:rPr>
          <w:rFonts w:hint="eastAsia" w:ascii="仿宋_GB2312" w:hAnsi="仿宋" w:eastAsia="仿宋_GB2312" w:cs="仿宋_GB2312"/>
          <w:bCs/>
          <w:sz w:val="32"/>
          <w:szCs w:val="32"/>
          <w:highlight w:val="none"/>
          <w:lang w:val="en-US" w:eastAsia="zh-CN"/>
        </w:rPr>
      </w:pPr>
      <w:r>
        <w:rPr>
          <w:rFonts w:hint="eastAsia" w:ascii="仿宋_GB2312" w:hAnsi="仿宋" w:eastAsia="仿宋_GB2312" w:cs="仿宋_GB2312"/>
          <w:bCs/>
          <w:sz w:val="32"/>
          <w:szCs w:val="32"/>
          <w:highlight w:val="none"/>
        </w:rPr>
        <w:t>杭州市公共资源交易中心</w:t>
      </w:r>
      <w:r>
        <w:rPr>
          <w:rFonts w:hint="eastAsia" w:ascii="仿宋_GB2312" w:hAnsi="仿宋" w:eastAsia="仿宋_GB2312" w:cs="仿宋_GB2312"/>
          <w:bCs/>
          <w:sz w:val="32"/>
          <w:szCs w:val="32"/>
          <w:highlight w:val="none"/>
          <w:lang w:eastAsia="zh-CN"/>
        </w:rPr>
        <w:t>临安分中心</w:t>
      </w:r>
    </w:p>
    <w:p>
      <w:pPr>
        <w:adjustRightInd w:val="0"/>
        <w:snapToGrid w:val="0"/>
        <w:spacing w:line="360" w:lineRule="auto"/>
        <w:jc w:val="center"/>
        <w:rPr>
          <w:rFonts w:ascii="仿宋_GB2312" w:hAnsi="仿宋" w:eastAsia="仿宋_GB2312" w:cs="仿宋_GB2312"/>
          <w:b/>
          <w:sz w:val="48"/>
          <w:szCs w:val="48"/>
        </w:rPr>
      </w:pPr>
      <w:r>
        <w:rPr>
          <w:rFonts w:hint="eastAsia" w:ascii="仿宋_GB2312" w:hAnsi="仿宋" w:eastAsia="仿宋_GB2312" w:cs="仿宋_GB2312"/>
          <w:bCs/>
          <w:sz w:val="32"/>
          <w:szCs w:val="32"/>
          <w:highlight w:val="none"/>
        </w:rPr>
        <w:t>二</w:t>
      </w:r>
      <w:r>
        <w:rPr>
          <w:rFonts w:hint="eastAsia" w:ascii="宋体" w:hAnsi="宋体" w:eastAsia="宋体" w:cs="宋体"/>
          <w:bCs/>
          <w:sz w:val="32"/>
          <w:szCs w:val="32"/>
          <w:highlight w:val="none"/>
        </w:rPr>
        <w:t>〇</w:t>
      </w:r>
      <w:r>
        <w:rPr>
          <w:rFonts w:hint="eastAsia" w:ascii="仿宋_GB2312" w:hAnsi="仿宋" w:eastAsia="仿宋_GB2312" w:cs="仿宋_GB2312"/>
          <w:bCs/>
          <w:sz w:val="32"/>
          <w:szCs w:val="32"/>
          <w:highlight w:val="none"/>
        </w:rPr>
        <w:t>二</w:t>
      </w:r>
      <w:r>
        <w:rPr>
          <w:rFonts w:hint="eastAsia" w:ascii="仿宋_GB2312" w:hAnsi="仿宋" w:eastAsia="仿宋_GB2312" w:cs="仿宋_GB2312"/>
          <w:bCs/>
          <w:sz w:val="32"/>
          <w:szCs w:val="32"/>
          <w:highlight w:val="none"/>
          <w:lang w:eastAsia="zh-CN"/>
        </w:rPr>
        <w:t>二</w:t>
      </w:r>
      <w:r>
        <w:rPr>
          <w:rFonts w:hint="eastAsia" w:ascii="仿宋_GB2312" w:hAnsi="仿宋" w:eastAsia="仿宋_GB2312" w:cs="仿宋_GB2312"/>
          <w:bCs/>
          <w:sz w:val="32"/>
          <w:szCs w:val="32"/>
          <w:highlight w:val="none"/>
        </w:rPr>
        <w:t>年</w:t>
      </w:r>
      <w:r>
        <w:rPr>
          <w:rFonts w:hint="eastAsia" w:ascii="仿宋_GB2312" w:hAnsi="仿宋" w:eastAsia="仿宋_GB2312" w:cs="仿宋_GB2312"/>
          <w:bCs/>
          <w:sz w:val="32"/>
          <w:szCs w:val="32"/>
          <w:highlight w:val="none"/>
          <w:lang w:eastAsia="zh-CN"/>
        </w:rPr>
        <w:t>六</w:t>
      </w:r>
      <w:r>
        <w:rPr>
          <w:rFonts w:hint="eastAsia" w:ascii="仿宋_GB2312" w:hAnsi="仿宋" w:eastAsia="仿宋_GB2312" w:cs="仿宋_GB2312"/>
          <w:bCs/>
          <w:sz w:val="32"/>
          <w:szCs w:val="32"/>
          <w:highlight w:val="none"/>
        </w:rPr>
        <w:t>月</w:t>
      </w:r>
      <w:r>
        <w:rPr>
          <w:rFonts w:hint="eastAsia" w:ascii="仿宋_GB2312" w:hAnsi="仿宋" w:eastAsia="仿宋_GB2312" w:cs="仿宋_GB2312"/>
          <w:bCs/>
          <w:sz w:val="32"/>
          <w:szCs w:val="32"/>
          <w:highlight w:val="none"/>
          <w:lang w:eastAsia="zh-CN"/>
        </w:rPr>
        <w:t>六</w:t>
      </w:r>
      <w:r>
        <w:rPr>
          <w:rFonts w:hint="eastAsia" w:ascii="仿宋_GB2312" w:hAnsi="仿宋" w:eastAsia="仿宋_GB2312" w:cs="仿宋_GB2312"/>
          <w:bCs/>
          <w:sz w:val="32"/>
          <w:szCs w:val="32"/>
          <w:highlight w:val="none"/>
        </w:rPr>
        <w:t>日</w:t>
      </w:r>
      <w:r>
        <w:rPr>
          <w:rFonts w:hint="eastAsia" w:ascii="仿宋_GB2312" w:hAnsi="仿宋" w:eastAsia="仿宋_GB2312" w:cs="仿宋_GB2312"/>
          <w:sz w:val="24"/>
          <w:szCs w:val="24"/>
          <w:highlight w:val="none"/>
        </w:rPr>
        <w:br w:type="page"/>
      </w:r>
      <w:bookmarkStart w:id="0" w:name="_Hlt67893495"/>
      <w:bookmarkEnd w:id="0"/>
      <w:r>
        <w:rPr>
          <w:rFonts w:hint="eastAsia" w:ascii="仿宋_GB2312" w:hAnsi="仿宋" w:eastAsia="仿宋_GB2312" w:cs="仿宋_GB2312"/>
          <w:b/>
          <w:sz w:val="48"/>
          <w:szCs w:val="48"/>
        </w:rPr>
        <w:t>目  录</w:t>
      </w:r>
    </w:p>
    <w:p>
      <w:pPr>
        <w:adjustRightInd w:val="0"/>
        <w:spacing w:line="360" w:lineRule="auto"/>
        <w:rPr>
          <w:rFonts w:ascii="仿宋_GB2312" w:hAnsi="仿宋" w:eastAsia="仿宋_GB2312" w:cs="仿宋_GB2312"/>
          <w:sz w:val="32"/>
          <w:szCs w:val="32"/>
        </w:rPr>
      </w:pPr>
    </w:p>
    <w:p>
      <w:pPr>
        <w:adjustRightInd w:val="0"/>
        <w:spacing w:line="360" w:lineRule="auto"/>
        <w:rPr>
          <w:rFonts w:ascii="仿宋_GB2312" w:hAnsi="仿宋" w:eastAsia="仿宋_GB2312" w:cs="仿宋_GB2312"/>
          <w:sz w:val="32"/>
          <w:szCs w:val="32"/>
        </w:rPr>
      </w:pP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第一部分      招标公告</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第二部分      投标人须知</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第三部分      采购需求</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第四部分      评标办法</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第五部分      拟签订的合同文本</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第六部分      应提交的有关格式范例</w:t>
      </w:r>
    </w:p>
    <w:p>
      <w:pPr>
        <w:adjustRightInd w:val="0"/>
        <w:spacing w:line="360" w:lineRule="auto"/>
        <w:ind w:firstLine="549" w:firstLineChars="229"/>
        <w:rPr>
          <w:rFonts w:ascii="仿宋_GB2312" w:hAnsi="仿宋" w:eastAsia="仿宋_GB2312" w:cs="仿宋_GB2312"/>
          <w:sz w:val="24"/>
          <w:szCs w:val="24"/>
        </w:rPr>
      </w:pPr>
      <w:bookmarkStart w:id="1" w:name="_Hlt91233176"/>
      <w:bookmarkEnd w:id="1"/>
      <w:bookmarkStart w:id="2" w:name="_Toc91899869"/>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bookmarkEnd w:id="2"/>
    <w:p>
      <w:pPr>
        <w:spacing w:line="360" w:lineRule="auto"/>
        <w:jc w:val="center"/>
        <w:outlineLvl w:val="0"/>
        <w:rPr>
          <w:rFonts w:ascii="仿宋_GB2312" w:hAnsi="仿宋" w:eastAsia="仿宋_GB2312" w:cs="仿宋_GB2312"/>
          <w:b/>
          <w:sz w:val="36"/>
          <w:szCs w:val="20"/>
        </w:rPr>
      </w:pPr>
      <w:bookmarkStart w:id="3" w:name="_Hlt74649545"/>
      <w:bookmarkEnd w:id="3"/>
      <w:bookmarkStart w:id="4" w:name="_Hlt74729822"/>
      <w:bookmarkEnd w:id="4"/>
      <w:bookmarkStart w:id="5" w:name="_Hlt74707423"/>
      <w:bookmarkEnd w:id="5"/>
      <w:bookmarkStart w:id="6" w:name="_Hlt74728647"/>
      <w:bookmarkEnd w:id="6"/>
      <w:bookmarkStart w:id="7" w:name="第二部分"/>
      <w:bookmarkStart w:id="8" w:name="_Toc91899870"/>
      <w:bookmarkStart w:id="9" w:name="_Toc91899871"/>
    </w:p>
    <w:p>
      <w:pPr>
        <w:spacing w:line="360" w:lineRule="auto"/>
        <w:jc w:val="center"/>
        <w:outlineLvl w:val="0"/>
        <w:rPr>
          <w:rFonts w:ascii="仿宋_GB2312" w:hAnsi="仿宋" w:eastAsia="仿宋_GB2312" w:cs="仿宋_GB2312"/>
          <w:b/>
          <w:sz w:val="36"/>
          <w:szCs w:val="20"/>
        </w:rPr>
      </w:pPr>
    </w:p>
    <w:p>
      <w:pPr>
        <w:spacing w:line="360" w:lineRule="auto"/>
        <w:jc w:val="center"/>
        <w:outlineLvl w:val="0"/>
        <w:rPr>
          <w:rFonts w:ascii="仿宋_GB2312" w:hAnsi="仿宋" w:eastAsia="仿宋_GB2312" w:cs="仿宋_GB2312"/>
          <w:b/>
          <w:sz w:val="36"/>
          <w:szCs w:val="20"/>
        </w:rPr>
      </w:pPr>
      <w:r>
        <w:rPr>
          <w:rFonts w:hint="eastAsia" w:ascii="仿宋_GB2312" w:hAnsi="仿宋" w:eastAsia="仿宋_GB2312" w:cs="仿宋_GB2312"/>
          <w:b/>
          <w:sz w:val="36"/>
          <w:szCs w:val="20"/>
        </w:rPr>
        <w:t>第一部分 招标公告</w:t>
      </w:r>
    </w:p>
    <w:p>
      <w:pPr>
        <w:pBdr>
          <w:top w:val="single" w:color="auto" w:sz="4" w:space="1"/>
          <w:left w:val="single" w:color="auto" w:sz="4" w:space="4"/>
          <w:bottom w:val="single" w:color="auto" w:sz="4" w:space="1"/>
          <w:right w:val="single" w:color="auto" w:sz="4" w:space="4"/>
        </w:pBd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项目概况</w:t>
      </w:r>
    </w:p>
    <w:p>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杭州市临安区职教中心实训室基地及中心机房建设采购项目招标项目的潜在投标人应在政采云平台</w:t>
      </w:r>
      <w:r>
        <w:rPr>
          <w:rFonts w:hint="eastAsia" w:ascii="仿宋_GB2312" w:hAnsi="仿宋" w:eastAsia="仿宋_GB2312" w:cs="Times New Roman"/>
          <w:sz w:val="24"/>
          <w:szCs w:val="24"/>
          <w:highlight w:val="none"/>
        </w:rPr>
        <w:t>（</w:t>
      </w:r>
      <w:r>
        <w:rPr>
          <w:highlight w:val="none"/>
          <w:u w:val="single"/>
        </w:rPr>
        <w:fldChar w:fldCharType="begin"/>
      </w:r>
      <w:r>
        <w:rPr>
          <w:highlight w:val="none"/>
          <w:u w:val="single"/>
        </w:rPr>
        <w:instrText xml:space="preserve"> HYPERLINK "https://www.zcygov.cn/）获取（下载）招标文件，并于2021年" </w:instrText>
      </w:r>
      <w:r>
        <w:rPr>
          <w:highlight w:val="none"/>
          <w:u w:val="single"/>
        </w:rPr>
        <w:fldChar w:fldCharType="separate"/>
      </w:r>
      <w:r>
        <w:rPr>
          <w:rFonts w:hint="eastAsia" w:ascii="仿宋_GB2312" w:hAnsi="仿宋" w:eastAsia="仿宋_GB2312" w:cs="Times New Roman"/>
          <w:sz w:val="24"/>
          <w:szCs w:val="24"/>
          <w:highlight w:val="none"/>
          <w:u w:val="none"/>
        </w:rPr>
        <w:t>https://www.zcygov.cn/）获取（下载）招标文件，并于</w:t>
      </w:r>
      <w:r>
        <w:rPr>
          <w:rFonts w:hint="eastAsia" w:ascii="仿宋_GB2312" w:hAnsi="仿宋" w:eastAsia="仿宋_GB2312" w:cs="Times New Roman"/>
          <w:sz w:val="24"/>
          <w:szCs w:val="24"/>
          <w:highlight w:val="none"/>
          <w:u w:val="single"/>
        </w:rPr>
        <w:t>202</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rPr>
        <w:fldChar w:fldCharType="end"/>
      </w:r>
      <w:r>
        <w:rPr>
          <w:rFonts w:hint="eastAsia" w:ascii="仿宋_GB2312" w:hAnsi="仿宋" w:eastAsia="仿宋_GB2312" w:cs="Times New Roman"/>
          <w:sz w:val="24"/>
          <w:szCs w:val="24"/>
          <w:highlight w:val="none"/>
          <w:u w:val="single"/>
          <w:lang w:val="en-US" w:eastAsia="zh-CN"/>
        </w:rPr>
        <w:t>7</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19</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14</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00</w:t>
      </w:r>
      <w:r>
        <w:rPr>
          <w:rFonts w:hint="eastAsia" w:ascii="仿宋_GB2312" w:hAnsi="仿宋" w:eastAsia="仿宋_GB2312" w:cs="Times New Roman"/>
          <w:sz w:val="24"/>
          <w:szCs w:val="24"/>
          <w:highlight w:val="none"/>
          <w:u w:val="single"/>
        </w:rPr>
        <w:t>分00</w:t>
      </w:r>
      <w:r>
        <w:rPr>
          <w:rFonts w:hint="eastAsia" w:ascii="仿宋_GB2312" w:hAnsi="仿宋" w:eastAsia="仿宋_GB2312" w:cs="Times New Roman"/>
          <w:sz w:val="24"/>
          <w:szCs w:val="24"/>
          <w:u w:val="single"/>
        </w:rPr>
        <w:t>秒</w:t>
      </w:r>
      <w:r>
        <w:rPr>
          <w:rFonts w:hint="eastAsia" w:ascii="仿宋_GB2312" w:hAnsi="仿宋" w:eastAsia="仿宋_GB2312" w:cs="Times New Roman"/>
          <w:sz w:val="24"/>
          <w:szCs w:val="24"/>
        </w:rPr>
        <w:t xml:space="preserve">（北京时间）前递交（上传）投标文件。 </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一、项目基本情况                                            </w:t>
      </w:r>
    </w:p>
    <w:p>
      <w:pPr>
        <w:adjustRightInd w:val="0"/>
        <w:spacing w:line="360" w:lineRule="auto"/>
        <w:rPr>
          <w:rFonts w:ascii="仿宋_GB2312" w:hAnsi="仿宋" w:eastAsia="仿宋_GB2312" w:cs="Times New Roman"/>
          <w:b w:val="0"/>
          <w:bCs/>
          <w:sz w:val="24"/>
          <w:szCs w:val="24"/>
        </w:rPr>
      </w:pPr>
      <w:r>
        <w:rPr>
          <w:rFonts w:hint="eastAsia" w:ascii="仿宋_GB2312" w:hAnsi="仿宋" w:eastAsia="仿宋_GB2312" w:cs="Times New Roman"/>
          <w:sz w:val="24"/>
          <w:szCs w:val="24"/>
        </w:rPr>
        <w:t xml:space="preserve">    </w:t>
      </w:r>
      <w:r>
        <w:rPr>
          <w:rFonts w:hint="eastAsia" w:ascii="仿宋_GB2312" w:hAnsi="仿宋" w:eastAsia="仿宋_GB2312" w:cs="Times New Roman"/>
          <w:b/>
          <w:sz w:val="24"/>
          <w:szCs w:val="24"/>
        </w:rPr>
        <w:t>项目编号：</w:t>
      </w:r>
      <w:r>
        <w:rPr>
          <w:rFonts w:hint="eastAsia" w:ascii="仿宋_GB2312" w:hAnsi="仿宋" w:eastAsia="仿宋_GB2312" w:cs="Times New Roman"/>
          <w:b w:val="0"/>
          <w:bCs/>
          <w:sz w:val="24"/>
          <w:szCs w:val="24"/>
          <w:lang w:val="en-US" w:eastAsia="zh-CN"/>
        </w:rPr>
        <w:t>LZC-GK-2022-06037</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w:t>
      </w:r>
      <w:r>
        <w:rPr>
          <w:rFonts w:hint="eastAsia" w:ascii="仿宋_GB2312" w:hAnsi="仿宋" w:eastAsia="仿宋_GB2312" w:cs="Times New Roman"/>
          <w:b/>
          <w:sz w:val="24"/>
          <w:szCs w:val="24"/>
        </w:rPr>
        <w:t xml:space="preserve"> 项目名称：</w:t>
      </w:r>
      <w:r>
        <w:rPr>
          <w:rFonts w:hint="eastAsia" w:ascii="仿宋_GB2312" w:hAnsi="仿宋" w:eastAsia="仿宋_GB2312" w:cs="Times New Roman"/>
          <w:b w:val="0"/>
          <w:bCs/>
          <w:sz w:val="24"/>
          <w:szCs w:val="24"/>
        </w:rPr>
        <w:t>杭州市临安区职教中心实训室基地及中心机房建设采购项目</w:t>
      </w:r>
    </w:p>
    <w:p>
      <w:pPr>
        <w:adjustRightInd w:val="0"/>
        <w:spacing w:line="360" w:lineRule="auto"/>
        <w:ind w:firstLine="482" w:firstLineChars="200"/>
        <w:rPr>
          <w:rFonts w:ascii="仿宋_GB2312" w:hAnsi="仿宋" w:eastAsia="仿宋_GB2312" w:cs="仿宋_GB2312"/>
          <w:sz w:val="24"/>
          <w:szCs w:val="24"/>
        </w:rPr>
      </w:pPr>
      <w:r>
        <w:rPr>
          <w:rFonts w:hint="eastAsia" w:ascii="仿宋_GB2312" w:hAnsi="仿宋" w:eastAsia="仿宋_GB2312" w:cs="Times New Roman"/>
          <w:b/>
          <w:sz w:val="24"/>
          <w:szCs w:val="24"/>
        </w:rPr>
        <w:t>预算金额（元）</w:t>
      </w:r>
      <w:r>
        <w:rPr>
          <w:rFonts w:hint="eastAsia" w:ascii="仿宋_GB2312" w:hAnsi="仿宋" w:eastAsia="仿宋_GB2312" w:cs="仿宋_GB2312"/>
          <w:sz w:val="24"/>
          <w:szCs w:val="24"/>
        </w:rPr>
        <w:t xml:space="preserve">：6326386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最高限价（元）：6326386</w:t>
      </w:r>
      <w:r>
        <w:rPr>
          <w:rFonts w:hint="eastAsia" w:ascii="仿宋_GB2312" w:hAnsi="仿宋" w:eastAsia="仿宋_GB2312" w:cs="Times New Roman"/>
          <w:sz w:val="24"/>
          <w:szCs w:val="24"/>
        </w:rPr>
        <w:t xml:space="preserve"> </w:t>
      </w:r>
    </w:p>
    <w:p>
      <w:pPr>
        <w:spacing w:line="360" w:lineRule="auto"/>
        <w:ind w:firstLine="482" w:firstLineChars="200"/>
        <w:rPr>
          <w:rFonts w:ascii="仿宋_GB2312" w:hAnsi="仿宋" w:eastAsia="仿宋_GB2312" w:cs="仿宋_GB2312"/>
          <w:b w:val="0"/>
          <w:bCs/>
          <w:kern w:val="0"/>
          <w:sz w:val="24"/>
          <w:lang w:val="zh-CN"/>
        </w:rPr>
      </w:pPr>
      <w:r>
        <w:rPr>
          <w:rFonts w:hint="eastAsia" w:ascii="仿宋_GB2312" w:hAnsi="仿宋" w:eastAsia="仿宋_GB2312" w:cs="Times New Roman"/>
          <w:b/>
          <w:sz w:val="24"/>
          <w:szCs w:val="24"/>
        </w:rPr>
        <w:t>采购需求：</w:t>
      </w:r>
      <w:r>
        <w:rPr>
          <w:rFonts w:hint="eastAsia" w:ascii="仿宋_GB2312" w:hAnsi="仿宋" w:eastAsia="仿宋_GB2312" w:cs="Times New Roman"/>
          <w:b w:val="0"/>
          <w:bCs/>
          <w:sz w:val="24"/>
          <w:szCs w:val="24"/>
        </w:rPr>
        <w:t>本项目设计机械专业、电子专业、汽修专业实训室弱电项目及公共机房等18个场室设备采购及建设</w:t>
      </w:r>
      <w:r>
        <w:rPr>
          <w:rFonts w:hint="eastAsia" w:ascii="仿宋_GB2312" w:hAnsi="仿宋" w:eastAsia="仿宋_GB2312" w:cs="Times New Roman"/>
          <w:b w:val="0"/>
          <w:bCs/>
          <w:sz w:val="24"/>
          <w:szCs w:val="24"/>
          <w:lang w:eastAsia="zh-CN"/>
        </w:rPr>
        <w:t>。</w:t>
      </w:r>
      <w:r>
        <w:rPr>
          <w:rFonts w:hint="eastAsia" w:ascii="仿宋_GB2312" w:hAnsi="Times New Roman" w:eastAsia="仿宋_GB2312" w:cs="Times New Roman"/>
          <w:b w:val="0"/>
          <w:bCs/>
          <w:sz w:val="24"/>
          <w:szCs w:val="24"/>
        </w:rPr>
        <w:t xml:space="preserve"> </w:t>
      </w:r>
    </w:p>
    <w:p>
      <w:pPr>
        <w:adjustRightInd w:val="0"/>
        <w:spacing w:line="360" w:lineRule="auto"/>
        <w:rPr>
          <w:rFonts w:ascii="仿宋_GB2312" w:hAnsi="Times New Roman" w:eastAsia="仿宋_GB2312" w:cs="Times New Roman"/>
          <w:sz w:val="24"/>
          <w:szCs w:val="24"/>
        </w:rPr>
      </w:pPr>
      <w:r>
        <w:rPr>
          <w:rFonts w:ascii="仿宋_GB2312" w:hAnsi="仿宋" w:eastAsia="仿宋_GB2312" w:cs="Times New Roman"/>
          <w:sz w:val="24"/>
          <w:szCs w:val="24"/>
        </w:rPr>
        <w:t xml:space="preserve">    </w:t>
      </w:r>
      <w:r>
        <w:rPr>
          <w:rFonts w:hint="eastAsia" w:ascii="仿宋_GB2312" w:hAnsi="仿宋" w:eastAsia="仿宋_GB2312" w:cs="Times New Roman"/>
          <w:b/>
          <w:sz w:val="24"/>
          <w:szCs w:val="24"/>
        </w:rPr>
        <w:t>合同履约期限：</w:t>
      </w:r>
      <w:r>
        <w:rPr>
          <w:rFonts w:hint="eastAsia" w:ascii="仿宋_GB2312" w:hAnsi="仿宋" w:eastAsia="仿宋_GB2312" w:cs="Times New Roman"/>
          <w:b w:val="0"/>
          <w:bCs/>
          <w:sz w:val="24"/>
          <w:szCs w:val="24"/>
        </w:rPr>
        <w:t>2022年</w:t>
      </w:r>
      <w:r>
        <w:rPr>
          <w:rFonts w:hint="eastAsia" w:ascii="仿宋_GB2312" w:hAnsi="仿宋" w:eastAsia="仿宋_GB2312" w:cs="Times New Roman"/>
          <w:b w:val="0"/>
          <w:bCs/>
          <w:sz w:val="24"/>
          <w:szCs w:val="24"/>
          <w:lang w:val="en-US" w:eastAsia="zh-CN"/>
        </w:rPr>
        <w:t>8</w:t>
      </w:r>
      <w:r>
        <w:rPr>
          <w:rFonts w:hint="eastAsia" w:ascii="仿宋_GB2312" w:hAnsi="仿宋" w:eastAsia="仿宋_GB2312" w:cs="Times New Roman"/>
          <w:b w:val="0"/>
          <w:bCs/>
          <w:sz w:val="24"/>
          <w:szCs w:val="24"/>
        </w:rPr>
        <w:t>月</w:t>
      </w:r>
      <w:r>
        <w:rPr>
          <w:rFonts w:hint="eastAsia" w:ascii="仿宋_GB2312" w:hAnsi="仿宋" w:eastAsia="仿宋_GB2312" w:cs="Times New Roman"/>
          <w:b w:val="0"/>
          <w:bCs/>
          <w:sz w:val="24"/>
          <w:szCs w:val="24"/>
          <w:lang w:val="en-US" w:eastAsia="zh-CN"/>
        </w:rPr>
        <w:t>1</w:t>
      </w:r>
      <w:r>
        <w:rPr>
          <w:rFonts w:hint="eastAsia" w:ascii="仿宋_GB2312" w:hAnsi="仿宋" w:eastAsia="仿宋_GB2312" w:cs="Times New Roman"/>
          <w:b w:val="0"/>
          <w:bCs/>
          <w:sz w:val="24"/>
          <w:szCs w:val="24"/>
        </w:rPr>
        <w:t>0日前完成安装调试</w:t>
      </w:r>
      <w:r>
        <w:rPr>
          <w:rFonts w:hint="eastAsia" w:ascii="仿宋_GB2312" w:hAnsi="仿宋" w:eastAsia="仿宋_GB2312" w:cs="Times New Roman"/>
          <w:b w:val="0"/>
          <w:bCs/>
          <w:sz w:val="24"/>
          <w:szCs w:val="24"/>
          <w:lang w:eastAsia="zh-CN"/>
        </w:rPr>
        <w:t>。</w:t>
      </w:r>
      <w:r>
        <w:rPr>
          <w:rFonts w:hint="eastAsia" w:ascii="仿宋_GB2312" w:hAnsi="Times New Roman" w:eastAsia="仿宋_GB2312" w:cs="Times New Roman"/>
          <w:sz w:val="24"/>
          <w:szCs w:val="24"/>
        </w:rPr>
        <w:t xml:space="preserve"> </w:t>
      </w:r>
    </w:p>
    <w:p>
      <w:pPr>
        <w:pStyle w:val="16"/>
        <w:spacing w:line="360" w:lineRule="auto"/>
        <w:ind w:firstLine="48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本项目接受联合体投标：</w:t>
      </w:r>
      <w:sdt>
        <w:sdtPr>
          <w:rPr>
            <w:rFonts w:hint="eastAsia" w:ascii="仿宋_GB2312" w:hAnsi="仿宋" w:eastAsia="仿宋_GB2312" w:cs="Arial"/>
            <w:color w:val="000000" w:themeColor="text1"/>
            <w:kern w:val="0"/>
            <w:sz w:val="24"/>
            <w:highlight w:val="none"/>
            <w14:textFill>
              <w14:solidFill>
                <w14:schemeClr w14:val="tx1"/>
              </w14:solidFill>
            </w14:textFill>
          </w:rPr>
          <w:id w:val="2035453831"/>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ascii="仿宋_GB2312" w:hAnsi="仿宋" w:eastAsia="仿宋_GB2312"/>
          <w:b/>
          <w:color w:val="000000" w:themeColor="text1"/>
          <w:sz w:val="24"/>
          <w:highlight w:val="none"/>
          <w14:textFill>
            <w14:solidFill>
              <w14:schemeClr w14:val="tx1"/>
            </w14:solidFill>
          </w14:textFill>
        </w:rPr>
        <w:t>是，</w:t>
      </w:r>
      <w:sdt>
        <w:sdtPr>
          <w:rPr>
            <w:rFonts w:hint="eastAsia" w:ascii="仿宋_GB2312" w:hAnsi="仿宋" w:eastAsia="仿宋_GB2312" w:cs="Arial"/>
            <w:color w:val="000000" w:themeColor="text1"/>
            <w:kern w:val="0"/>
            <w:sz w:val="24"/>
            <w:highlight w:val="none"/>
            <w14:textFill>
              <w14:solidFill>
                <w14:schemeClr w14:val="tx1"/>
              </w14:solidFill>
            </w14:textFill>
          </w:rPr>
          <w:id w:val="-1765526721"/>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ascii="仿宋_GB2312" w:hAnsi="仿宋" w:eastAsia="仿宋_GB2312"/>
          <w:b/>
          <w:color w:val="000000" w:themeColor="text1"/>
          <w:sz w:val="24"/>
          <w:highlight w:val="none"/>
          <w14:textFill>
            <w14:solidFill>
              <w14:schemeClr w14:val="tx1"/>
            </w14:solidFill>
          </w14:textFill>
        </w:rPr>
        <w:t>否</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二、申请人的资格要求：</w:t>
      </w:r>
    </w:p>
    <w:p>
      <w:pPr>
        <w:spacing w:line="360" w:lineRule="auto"/>
        <w:ind w:firstLine="480"/>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pPr>
      <w:r>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pPr>
      <w:r>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t xml:space="preserve">    2.落实政府采购政策需满足的资格要求：</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Wingdings" w:hAnsi="Wingdings" w:eastAsia="仿宋_GB2312" w:cs="仿宋_GB2312"/>
              <w:color w:val="000000" w:themeColor="text1"/>
              <w:kern w:val="0"/>
              <w:sz w:val="24"/>
              <w:szCs w:val="24"/>
              <w:highlight w:val="none"/>
              <w:lang w:val="en-US" w:eastAsia="zh-CN" w:bidi="ar-SA"/>
              <w14:textFill>
                <w14:solidFill>
                  <w14:schemeClr w14:val="tx1"/>
                </w14:solidFill>
              </w14:textFill>
            </w:rPr>
            <w:t>þ</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无；</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024704304"/>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sdtContent>
      </w:sdt>
      <w:r>
        <w:rPr>
          <w:rFonts w:hint="eastAsia" w:ascii="仿宋_GB2312" w:hAnsi="仿宋_GB2312" w:eastAsia="仿宋_GB2312" w:cs="仿宋_GB2312"/>
          <w:color w:val="000000" w:themeColor="text1"/>
          <w:kern w:val="0"/>
          <w:sz w:val="24"/>
          <w:highlight w:val="none"/>
          <w14:textFill>
            <w14:solidFill>
              <w14:schemeClr w14:val="tx1"/>
            </w14:solidFill>
          </w14:textFill>
        </w:rPr>
        <w:t>专</w:t>
      </w:r>
      <w:r>
        <w:rPr>
          <w:rFonts w:hint="eastAsia" w:ascii="仿宋_GB2312" w:hAnsi="仿宋_GB2312" w:eastAsia="仿宋_GB2312" w:cs="仿宋_GB2312"/>
          <w:color w:val="000000" w:themeColor="text1"/>
          <w:sz w:val="24"/>
          <w:highlight w:val="none"/>
          <w14:textFill>
            <w14:solidFill>
              <w14:schemeClr w14:val="tx1"/>
            </w14:solidFill>
          </w14:textFill>
        </w:rPr>
        <w:t>门面向中小企业</w:t>
      </w:r>
    </w:p>
    <w:p>
      <w:pPr>
        <w:spacing w:line="360" w:lineRule="auto"/>
        <w:ind w:firstLine="897" w:firstLineChars="374"/>
        <w:rPr>
          <w:rFonts w:hint="eastAsia" w:ascii="仿宋_GB2312" w:hAnsi="仿宋_GB2312" w:eastAsia="仿宋_GB2312" w:cs="仿宋_GB2312"/>
          <w:color w:val="000000" w:themeColor="text1"/>
          <w:sz w:val="24"/>
          <w:highlight w:val="none"/>
          <w:u w:val="singl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924730588"/>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货物全部由符合政策要求的中小企业制造，提供中小企业声明函；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152604937"/>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货物全部由符合政策要求的小微企业制造，提供中小企业声明函；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333685401"/>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服务全部由符合政策要求的小微企业承接，提供中小企业声明函；</w:t>
      </w:r>
    </w:p>
    <w:p>
      <w:pPr>
        <w:rPr>
          <w:rFonts w:hint="eastAsia" w:ascii="仿宋_GB2312" w:hAnsi="仿宋_GB2312" w:eastAsia="仿宋_GB2312" w:cs="仿宋_GB2312"/>
          <w:color w:val="000000" w:themeColor="text1"/>
          <w:highlight w:val="none"/>
          <w14:textFill>
            <w14:solidFill>
              <w14:schemeClr w14:val="tx1"/>
            </w14:solidFill>
          </w14:textFill>
        </w:rPr>
      </w:pP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%，小微企业合同金额应当达到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，小微企业合同金额应当达到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w:t>
      </w:r>
      <w:r>
        <w:rPr>
          <w:rFonts w:hint="eastAsia" w:ascii="仿宋_GB2312" w:hAnsi="仿宋_GB2312" w:eastAsia="仿宋_GB2312" w:cs="仿宋_GB2312"/>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3.本项目的特定资格要求：无；</w:t>
      </w:r>
    </w:p>
    <w:p>
      <w:pPr>
        <w:snapToGrid w:val="0"/>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rPr>
        <w:t>三、获取招标文件</w:t>
      </w:r>
      <w:r>
        <w:rPr>
          <w:rFonts w:hint="eastAsia" w:ascii="仿宋_GB2312" w:hAnsi="仿宋" w:eastAsia="仿宋_GB2312" w:cs="Times New Roman"/>
          <w:b/>
          <w:sz w:val="24"/>
          <w:szCs w:val="24"/>
          <w:highlight w:val="none"/>
        </w:rPr>
        <w:t xml:space="preserve"> </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时间：</w:t>
      </w:r>
      <w:r>
        <w:rPr>
          <w:rFonts w:hint="eastAsia" w:ascii="仿宋_GB2312" w:hAnsi="仿宋" w:eastAsia="仿宋_GB2312" w:cs="Times New Roman"/>
          <w:sz w:val="24"/>
          <w:szCs w:val="24"/>
          <w:highlight w:val="none"/>
        </w:rPr>
        <w:t>/至</w:t>
      </w:r>
      <w:r>
        <w:rPr>
          <w:rFonts w:hint="eastAsia" w:ascii="仿宋_GB2312" w:hAnsi="仿宋" w:eastAsia="仿宋_GB2312" w:cs="Times New Roman"/>
          <w:sz w:val="24"/>
          <w:szCs w:val="24"/>
          <w:highlight w:val="none"/>
          <w:u w:val="single"/>
        </w:rPr>
        <w:t>20</w:t>
      </w:r>
      <w:r>
        <w:rPr>
          <w:rFonts w:hint="eastAsia" w:ascii="仿宋_GB2312" w:hAnsi="仿宋" w:eastAsia="仿宋_GB2312" w:cs="Times New Roman"/>
          <w:sz w:val="24"/>
          <w:szCs w:val="24"/>
          <w:highlight w:val="none"/>
          <w:u w:val="single"/>
          <w:lang w:val="en-US" w:eastAsia="zh-CN"/>
        </w:rPr>
        <w:t>22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lang w:val="en-US" w:eastAsia="zh-CN"/>
        </w:rPr>
        <w:t>7</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19</w:t>
      </w:r>
      <w:r>
        <w:rPr>
          <w:rFonts w:hint="eastAsia" w:ascii="仿宋_GB2312" w:hAnsi="仿宋" w:eastAsia="仿宋_GB2312" w:cs="Times New Roman"/>
          <w:sz w:val="24"/>
          <w:szCs w:val="24"/>
          <w:highlight w:val="none"/>
          <w:u w:val="single"/>
        </w:rPr>
        <w:t xml:space="preserve">日 </w:t>
      </w:r>
      <w:r>
        <w:rPr>
          <w:rFonts w:hint="eastAsia" w:ascii="仿宋_GB2312" w:hAnsi="仿宋" w:eastAsia="仿宋_GB2312" w:cs="Times New Roman"/>
          <w:sz w:val="24"/>
          <w:szCs w:val="24"/>
          <w:highlight w:val="none"/>
        </w:rPr>
        <w:t>，每天上午00:00至12:00 ，下午12:00至23:59（北京时间，线上获取法定节假日均可，线下获取文件法定节假日除外）</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地点（网址）：</w:t>
      </w:r>
      <w:r>
        <w:rPr>
          <w:rFonts w:hint="eastAsia" w:ascii="仿宋_GB2312" w:hAnsi="仿宋" w:eastAsia="仿宋_GB2312"/>
          <w:color w:val="000000" w:themeColor="text1"/>
          <w:sz w:val="24"/>
          <w:highlight w:val="none"/>
          <w14:textFill>
            <w14:solidFill>
              <w14:schemeClr w14:val="tx1"/>
            </w14:solidFill>
          </w14:textFill>
        </w:rPr>
        <w:t>政采云平台（</w:t>
      </w:r>
      <w:r>
        <w:rPr>
          <w:rFonts w:ascii="仿宋_GB2312" w:hAnsi="仿宋" w:eastAsia="仿宋_GB2312"/>
          <w:color w:val="000000" w:themeColor="text1"/>
          <w:sz w:val="24"/>
          <w:highlight w:val="none"/>
          <w14:textFill>
            <w14:solidFill>
              <w14:schemeClr w14:val="tx1"/>
            </w14:solidFill>
          </w14:textFill>
        </w:rPr>
        <w:t xml:space="preserve">https://www.zcygov.cn/） </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方式：</w:t>
      </w:r>
      <w:r>
        <w:rPr>
          <w:rFonts w:hint="eastAsia" w:ascii="仿宋_GB2312" w:hAnsi="仿宋" w:eastAsia="仿宋_GB2312"/>
          <w:color w:val="000000" w:themeColor="text1"/>
          <w:sz w:val="24"/>
          <w:highlight w:val="none"/>
          <w14:textFill>
            <w14:solidFill>
              <w14:schemeClr w14:val="tx1"/>
            </w14:solidFill>
          </w14:textFill>
        </w:rPr>
        <w:t>供应商登录政采云平台</w:t>
      </w:r>
      <w:r>
        <w:rPr>
          <w:rFonts w:ascii="仿宋_GB2312" w:hAnsi="仿宋" w:eastAsia="仿宋_GB2312"/>
          <w:color w:val="000000" w:themeColor="text1"/>
          <w:sz w:val="24"/>
          <w:highlight w:val="none"/>
          <w14:textFill>
            <w14:solidFill>
              <w14:schemeClr w14:val="tx1"/>
            </w14:solidFill>
          </w14:textFill>
        </w:rPr>
        <w:t xml:space="preserve">https://www.zcygov.cn/在线申请获取采购文件（进入“项目采购”应用，在获取采购文件菜单中选择项目，申请获取采购文件）。 </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售价（元）：</w:t>
      </w:r>
      <w:r>
        <w:rPr>
          <w:rFonts w:hint="eastAsia" w:ascii="仿宋_GB2312" w:hAnsi="仿宋" w:eastAsia="仿宋_GB2312" w:cs="Times New Roman"/>
          <w:sz w:val="24"/>
          <w:szCs w:val="24"/>
          <w:highlight w:val="none"/>
        </w:rPr>
        <w:t xml:space="preserve">0 </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四、提交投标文件截止时间、开标时间和地点</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提交投标文件截止时间：</w:t>
      </w:r>
      <w:r>
        <w:rPr>
          <w:rFonts w:hint="eastAsia" w:ascii="仿宋_GB2312" w:hAnsi="仿宋" w:eastAsia="仿宋_GB2312" w:cs="Times New Roman"/>
          <w:sz w:val="24"/>
          <w:szCs w:val="24"/>
          <w:highlight w:val="none"/>
          <w:u w:val="single"/>
        </w:rPr>
        <w:t>202</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lang w:val="en-US" w:eastAsia="zh-CN"/>
        </w:rPr>
        <w:t>7</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19</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14</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00</w:t>
      </w:r>
      <w:r>
        <w:rPr>
          <w:rFonts w:hint="eastAsia" w:ascii="仿宋_GB2312" w:hAnsi="仿宋" w:eastAsia="仿宋_GB2312" w:cs="Times New Roman"/>
          <w:sz w:val="24"/>
          <w:szCs w:val="24"/>
          <w:highlight w:val="none"/>
          <w:u w:val="single"/>
        </w:rPr>
        <w:t>分00秒</w:t>
      </w:r>
      <w:r>
        <w:rPr>
          <w:rFonts w:hint="eastAsia" w:ascii="仿宋_GB2312" w:hAnsi="仿宋" w:eastAsia="仿宋_GB2312" w:cs="Times New Roman"/>
          <w:sz w:val="24"/>
          <w:szCs w:val="24"/>
          <w:highlight w:val="none"/>
        </w:rPr>
        <w:t>（北京时间）</w:t>
      </w:r>
    </w:p>
    <w:p>
      <w:pPr>
        <w:adjustRightInd w:val="0"/>
        <w:spacing w:line="360" w:lineRule="auto"/>
        <w:ind w:firstLine="482" w:firstLineChars="200"/>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投标地点（网址）：</w:t>
      </w:r>
      <w:r>
        <w:rPr>
          <w:rFonts w:hint="eastAsia" w:ascii="仿宋_GB2312" w:hAnsi="仿宋" w:eastAsia="仿宋_GB2312" w:cs="Times New Roman"/>
          <w:sz w:val="24"/>
          <w:szCs w:val="24"/>
          <w:highlight w:val="none"/>
        </w:rPr>
        <w:t xml:space="preserve">政采云平台（https://www.zcygov.cn/） </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开标时间：</w:t>
      </w:r>
      <w:r>
        <w:rPr>
          <w:rFonts w:hint="eastAsia" w:ascii="仿宋_GB2312" w:hAnsi="仿宋" w:eastAsia="仿宋_GB2312" w:cs="Times New Roman"/>
          <w:sz w:val="24"/>
          <w:szCs w:val="24"/>
          <w:highlight w:val="none"/>
          <w:u w:val="single"/>
        </w:rPr>
        <w:t>202</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lang w:val="en-US" w:eastAsia="zh-CN"/>
        </w:rPr>
        <w:t>7</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19</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14</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00</w:t>
      </w:r>
      <w:r>
        <w:rPr>
          <w:rFonts w:hint="eastAsia" w:ascii="仿宋_GB2312" w:hAnsi="仿宋" w:eastAsia="仿宋_GB2312" w:cs="Times New Roman"/>
          <w:sz w:val="24"/>
          <w:szCs w:val="24"/>
          <w:highlight w:val="none"/>
          <w:u w:val="single"/>
        </w:rPr>
        <w:t>分00秒</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highlight w:val="none"/>
        </w:rPr>
        <w:t>开标地点（网址）：</w:t>
      </w:r>
      <w:r>
        <w:rPr>
          <w:rFonts w:hint="eastAsia" w:ascii="仿宋_GB2312" w:hAnsi="仿宋" w:eastAsia="仿宋_GB2312" w:cs="Times New Roman"/>
          <w:sz w:val="24"/>
          <w:szCs w:val="24"/>
          <w:highlight w:val="none"/>
        </w:rPr>
        <w:t>杭州市公共资源</w:t>
      </w:r>
      <w:r>
        <w:rPr>
          <w:rFonts w:hint="eastAsia" w:ascii="仿宋_GB2312" w:hAnsi="仿宋" w:eastAsia="仿宋_GB2312" w:cs="Times New Roman"/>
          <w:sz w:val="24"/>
          <w:szCs w:val="24"/>
        </w:rPr>
        <w:t>交易中心</w:t>
      </w:r>
      <w:r>
        <w:rPr>
          <w:rFonts w:hint="eastAsia" w:ascii="仿宋_GB2312" w:hAnsi="仿宋" w:eastAsia="仿宋_GB2312" w:cs="Times New Roman"/>
          <w:color w:val="auto"/>
          <w:sz w:val="24"/>
          <w:szCs w:val="24"/>
          <w:lang w:eastAsia="zh-CN"/>
        </w:rPr>
        <w:t>临安分中心</w:t>
      </w:r>
      <w:r>
        <w:rPr>
          <w:rFonts w:hint="eastAsia" w:ascii="仿宋_GB2312" w:hAnsi="仿宋" w:eastAsia="仿宋_GB2312" w:cs="Times New Roman"/>
          <w:color w:val="auto"/>
          <w:sz w:val="24"/>
          <w:szCs w:val="24"/>
          <w:lang w:val="en-US" w:eastAsia="zh-CN"/>
        </w:rPr>
        <w:t>1号</w:t>
      </w:r>
      <w:r>
        <w:rPr>
          <w:rFonts w:hint="eastAsia" w:ascii="仿宋_GB2312" w:hAnsi="仿宋" w:eastAsia="仿宋_GB2312" w:cs="Times New Roman"/>
          <w:color w:val="auto"/>
          <w:sz w:val="24"/>
          <w:szCs w:val="24"/>
        </w:rPr>
        <w:t>开标室[杭州市</w:t>
      </w:r>
      <w:r>
        <w:rPr>
          <w:rFonts w:hint="eastAsia" w:ascii="仿宋_GB2312" w:hAnsi="仿宋" w:eastAsia="仿宋_GB2312" w:cs="Times New Roman"/>
          <w:color w:val="auto"/>
          <w:sz w:val="24"/>
          <w:szCs w:val="24"/>
          <w:lang w:eastAsia="zh-CN"/>
        </w:rPr>
        <w:t>临安区锦北街道科技大道</w:t>
      </w:r>
      <w:r>
        <w:rPr>
          <w:rFonts w:hint="eastAsia" w:ascii="仿宋_GB2312" w:hAnsi="仿宋" w:eastAsia="仿宋_GB2312" w:cs="Times New Roman"/>
          <w:color w:val="auto"/>
          <w:sz w:val="24"/>
          <w:szCs w:val="24"/>
          <w:lang w:val="en-US" w:eastAsia="zh-CN"/>
        </w:rPr>
        <w:t>4398号市民中心B座4楼</w:t>
      </w:r>
      <w:r>
        <w:rPr>
          <w:rFonts w:hint="eastAsia" w:ascii="仿宋_GB2312" w:hAnsi="仿宋" w:eastAsia="仿宋_GB2312" w:cs="Times New Roman"/>
          <w:color w:val="auto"/>
          <w:sz w:val="24"/>
          <w:szCs w:val="24"/>
        </w:rPr>
        <w:t>]， 政采云平台（https://www.zcygov.cn/）</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五、公告期限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自本公告发布之日起5个工作日。</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六、其他补充事宜</w:t>
      </w:r>
    </w:p>
    <w:p>
      <w:pPr>
        <w:adjustRightInd w:val="0"/>
        <w:spacing w:line="360" w:lineRule="auto"/>
        <w:ind w:firstLine="480" w:firstLineChars="200"/>
        <w:rPr>
          <w:rFonts w:hint="eastAsia" w:ascii="仿宋_GB2312" w:hAnsi="仿宋" w:eastAsia="仿宋_GB2312" w:cs="Times New Roman"/>
          <w:sz w:val="24"/>
          <w:szCs w:val="24"/>
        </w:rPr>
      </w:pPr>
      <w:r>
        <w:rPr>
          <w:rFonts w:hint="eastAsia" w:ascii="仿宋_GB2312" w:hAnsi="仿宋" w:eastAsia="仿宋_GB2312" w:cs="Times New Roman"/>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pacing w:line="360" w:lineRule="auto"/>
        <w:ind w:firstLine="480" w:firstLineChars="200"/>
        <w:rPr>
          <w:rFonts w:hint="eastAsia" w:ascii="仿宋_GB2312" w:hAnsi="仿宋" w:eastAsia="仿宋_GB2312" w:cs="Times New Roman"/>
          <w:sz w:val="24"/>
          <w:szCs w:val="24"/>
        </w:rPr>
      </w:pPr>
      <w:r>
        <w:rPr>
          <w:rFonts w:hint="eastAsia" w:ascii="仿宋_GB2312" w:hAnsi="仿宋" w:eastAsia="仿宋_GB2312" w:cs="Times New Roman"/>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pacing w:line="360" w:lineRule="auto"/>
        <w:ind w:firstLine="480" w:firstLineChars="200"/>
        <w:rPr>
          <w:rFonts w:hint="eastAsia" w:ascii="仿宋_GB2312" w:hAnsi="仿宋" w:eastAsia="仿宋_GB2312" w:cs="Times New Roman"/>
          <w:sz w:val="24"/>
          <w:szCs w:val="24"/>
        </w:rPr>
      </w:pPr>
      <w:r>
        <w:rPr>
          <w:rFonts w:hint="eastAsia" w:ascii="仿宋_GB2312" w:hAnsi="仿宋" w:eastAsia="仿宋_GB2312" w:cs="Times New Roman"/>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pacing w:line="360" w:lineRule="auto"/>
        <w:ind w:firstLine="480" w:firstLineChars="200"/>
        <w:rPr>
          <w:rFonts w:hint="eastAsia" w:ascii="仿宋_GB2312" w:hAnsi="仿宋" w:eastAsia="仿宋_GB2312" w:cs="Times New Roman"/>
          <w:sz w:val="24"/>
          <w:szCs w:val="24"/>
        </w:rPr>
      </w:pPr>
      <w:r>
        <w:rPr>
          <w:rFonts w:hint="eastAsia" w:ascii="仿宋_GB2312" w:hAnsi="仿宋" w:eastAsia="仿宋_GB2312" w:cs="Times New Roman"/>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 （3）招标文件公告期限与招标公告的公告期限一致。</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七、对本次采购提出询问、质疑、投诉，请按以下方式联系</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1.采购人信息</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称：杭州市临安区职业教育中心</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地</w:t>
      </w:r>
      <w:r>
        <w:rPr>
          <w:rFonts w:ascii="仿宋_GB2312" w:hAnsi="仿宋" w:eastAsia="仿宋_GB2312" w:cs="Times New Roman"/>
          <w:sz w:val="24"/>
          <w:szCs w:val="24"/>
        </w:rPr>
        <w:t xml:space="preserve">    </w:t>
      </w:r>
      <w:r>
        <w:rPr>
          <w:rFonts w:hint="eastAsia" w:ascii="仿宋_GB2312" w:hAnsi="仿宋" w:eastAsia="仿宋_GB2312" w:cs="Times New Roman"/>
          <w:sz w:val="24"/>
          <w:szCs w:val="24"/>
        </w:rPr>
        <w:t>址：临安区锦北街道临天路2201号</w:t>
      </w:r>
      <w:r>
        <w:rPr>
          <w:rFonts w:hint="eastAsia" w:ascii="仿宋" w:hAnsi="仿宋" w:eastAsia="仿宋" w:cs="仿宋"/>
          <w:sz w:val="24"/>
        </w:rPr>
        <w:t xml:space="preserve"> </w:t>
      </w:r>
    </w:p>
    <w:p>
      <w:pPr>
        <w:adjustRightInd w:val="0"/>
        <w:spacing w:line="360" w:lineRule="auto"/>
        <w:ind w:firstLine="480"/>
        <w:rPr>
          <w:rFonts w:ascii="仿宋" w:hAnsi="仿宋" w:eastAsia="仿宋" w:cs="仿宋"/>
          <w:sz w:val="24"/>
        </w:rPr>
      </w:pPr>
      <w:r>
        <w:rPr>
          <w:rFonts w:ascii="仿宋_GB2312" w:hAnsi="仿宋" w:eastAsia="仿宋_GB2312" w:cs="Times New Roman"/>
          <w:sz w:val="24"/>
          <w:szCs w:val="24"/>
        </w:rPr>
        <w:t>传    真：</w:t>
      </w:r>
      <w:r>
        <w:rPr>
          <w:rFonts w:hint="eastAsia" w:ascii="仿宋_GB2312" w:hAnsi="仿宋" w:eastAsia="仿宋_GB2312" w:cs="Times New Roman"/>
          <w:sz w:val="24"/>
          <w:szCs w:val="24"/>
          <w:lang w:val="en-US" w:eastAsia="zh-CN"/>
        </w:rPr>
        <w:t>/</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项目联系人（询问）：</w:t>
      </w:r>
      <w:r>
        <w:rPr>
          <w:rFonts w:hint="eastAsia" w:ascii="仿宋_GB2312" w:hAnsi="仿宋" w:eastAsia="仿宋_GB2312" w:cs="Times New Roman"/>
          <w:sz w:val="24"/>
          <w:szCs w:val="24"/>
        </w:rPr>
        <w:t>赵庆权</w:t>
      </w:r>
      <w:r>
        <w:rPr>
          <w:rFonts w:hint="eastAsia" w:ascii="仿宋" w:hAnsi="仿宋" w:eastAsia="仿宋" w:cs="仿宋"/>
          <w:sz w:val="24"/>
        </w:rPr>
        <w:t xml:space="preserve"> </w:t>
      </w:r>
    </w:p>
    <w:p>
      <w:pPr>
        <w:adjustRightInd w:val="0"/>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项目联系方式（询问）：0571-63721906</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质疑联系人：楼驾云</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质疑联系方式：17767056660</w:t>
      </w:r>
      <w:r>
        <w:rPr>
          <w:rFonts w:hint="eastAsia" w:ascii="仿宋" w:hAnsi="仿宋" w:eastAsia="仿宋" w:cs="仿宋"/>
          <w:sz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2.采购代理机构信息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称：杭州市公共资源交易中心</w:t>
      </w:r>
      <w:r>
        <w:rPr>
          <w:rFonts w:hint="eastAsia" w:ascii="仿宋_GB2312" w:hAnsi="仿宋" w:eastAsia="仿宋_GB2312" w:cs="Times New Roman"/>
          <w:sz w:val="24"/>
          <w:szCs w:val="24"/>
          <w:lang w:eastAsia="zh-CN"/>
        </w:rPr>
        <w:t>临安分中心</w:t>
      </w:r>
      <w:r>
        <w:rPr>
          <w:rFonts w:hint="eastAsia" w:ascii="仿宋_GB2312" w:hAnsi="仿宋" w:eastAsia="仿宋_GB2312" w:cs="Times New Roman"/>
          <w:sz w:val="24"/>
          <w:szCs w:val="24"/>
        </w:rPr>
        <w:t xml:space="preserve">             </w:t>
      </w:r>
    </w:p>
    <w:p>
      <w:pPr>
        <w:adjustRightInd w:val="0"/>
        <w:spacing w:line="360" w:lineRule="auto"/>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rPr>
        <w:t xml:space="preserve">    地    址：</w:t>
      </w:r>
      <w:r>
        <w:rPr>
          <w:rFonts w:hint="eastAsia" w:ascii="仿宋_GB2312" w:hAnsi="仿宋" w:eastAsia="仿宋_GB2312" w:cs="Times New Roman"/>
          <w:sz w:val="24"/>
          <w:szCs w:val="24"/>
          <w:lang w:eastAsia="zh-CN"/>
        </w:rPr>
        <w:t>浙江省杭州市临安区锦北街道科技大道</w:t>
      </w:r>
      <w:r>
        <w:rPr>
          <w:rFonts w:hint="eastAsia" w:ascii="仿宋_GB2312" w:hAnsi="仿宋" w:eastAsia="仿宋_GB2312" w:cs="Times New Roman"/>
          <w:sz w:val="24"/>
          <w:szCs w:val="24"/>
          <w:lang w:val="en-US" w:eastAsia="zh-CN"/>
        </w:rPr>
        <w:t>4398号市民中心4楼</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传    真：</w:t>
      </w:r>
      <w:r>
        <w:rPr>
          <w:rFonts w:hint="eastAsia" w:ascii="仿宋_GB2312" w:hAnsi="仿宋" w:eastAsia="仿宋_GB2312" w:cs="Times New Roman"/>
          <w:sz w:val="24"/>
          <w:szCs w:val="24"/>
          <w:lang w:val="en-US" w:eastAsia="zh-CN"/>
        </w:rPr>
        <w:t>0571-23616016</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项目联系人（询问）：</w:t>
      </w:r>
      <w:r>
        <w:rPr>
          <w:rFonts w:hint="eastAsia" w:ascii="仿宋_GB2312" w:hAnsi="仿宋" w:eastAsia="仿宋_GB2312" w:cs="Times New Roman"/>
          <w:sz w:val="24"/>
          <w:szCs w:val="24"/>
          <w:lang w:eastAsia="zh-CN"/>
        </w:rPr>
        <w:t>杨颖</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项目联系方式（询问）：</w:t>
      </w:r>
      <w:r>
        <w:rPr>
          <w:rFonts w:hint="eastAsia" w:ascii="仿宋_GB2312" w:hAnsi="仿宋" w:eastAsia="仿宋_GB2312" w:cs="Times New Roman"/>
          <w:sz w:val="24"/>
          <w:szCs w:val="24"/>
          <w:lang w:val="en-US" w:eastAsia="zh-CN"/>
        </w:rPr>
        <w:t>0571-23616011</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质疑联系人：</w:t>
      </w:r>
      <w:r>
        <w:rPr>
          <w:rFonts w:hint="eastAsia" w:ascii="仿宋_GB2312" w:hAnsi="仿宋" w:eastAsia="仿宋_GB2312" w:cs="Times New Roman"/>
          <w:sz w:val="24"/>
          <w:szCs w:val="24"/>
          <w:lang w:eastAsia="zh-CN"/>
        </w:rPr>
        <w:t>张晨</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质疑联系方式：0571-</w:t>
      </w:r>
      <w:r>
        <w:rPr>
          <w:rFonts w:hint="eastAsia" w:ascii="仿宋_GB2312" w:hAnsi="仿宋" w:eastAsia="仿宋_GB2312" w:cs="Times New Roman"/>
          <w:sz w:val="24"/>
          <w:szCs w:val="24"/>
          <w:lang w:val="en-US" w:eastAsia="zh-CN"/>
        </w:rPr>
        <w:t>23616016</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3.同级政府采购监督管理部门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称：杭州市临安区财政局政府采购监督管理科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地    址：</w:t>
      </w:r>
      <w:r>
        <w:rPr>
          <w:rFonts w:hint="eastAsia" w:ascii="仿宋_GB2312" w:hAnsi="仿宋" w:eastAsia="仿宋_GB2312"/>
          <w:sz w:val="24"/>
        </w:rPr>
        <w:t>浙江</w:t>
      </w:r>
      <w:r>
        <w:rPr>
          <w:rFonts w:hint="eastAsia" w:ascii="仿宋_GB2312" w:hAnsi="仿宋" w:eastAsia="仿宋_GB2312"/>
          <w:sz w:val="24"/>
          <w:lang w:eastAsia="zh-CN"/>
        </w:rPr>
        <w:t>省杭州市临安区锦北街道科技大道</w:t>
      </w:r>
      <w:r>
        <w:rPr>
          <w:rFonts w:hint="eastAsia" w:ascii="仿宋_GB2312" w:hAnsi="仿宋" w:eastAsia="仿宋_GB2312"/>
          <w:sz w:val="24"/>
          <w:lang w:val="en-US" w:eastAsia="zh-CN"/>
        </w:rPr>
        <w:t>4398号4号楼11楼</w:t>
      </w:r>
      <w:r>
        <w:rPr>
          <w:rFonts w:hint="eastAsia" w:ascii="仿宋_GB2312" w:hAnsi="仿宋" w:eastAsia="仿宋_GB2312" w:cs="Times New Roman"/>
          <w:sz w:val="24"/>
          <w:szCs w:val="24"/>
        </w:rPr>
        <w:t xml:space="preserve"> </w:t>
      </w:r>
    </w:p>
    <w:p>
      <w:pPr>
        <w:adjustRightInd w:val="0"/>
        <w:spacing w:line="360" w:lineRule="auto"/>
        <w:ind w:firstLine="240" w:firstLineChars="100"/>
        <w:rPr>
          <w:rFonts w:ascii="仿宋_GB2312" w:hAnsi="仿宋" w:eastAsia="仿宋_GB2312" w:cs="Times New Roman"/>
          <w:sz w:val="24"/>
          <w:szCs w:val="24"/>
        </w:rPr>
      </w:pPr>
      <w:r>
        <w:rPr>
          <w:rFonts w:hint="eastAsia" w:ascii="仿宋_GB2312" w:hAnsi="仿宋" w:eastAsia="仿宋_GB2312" w:cs="Times New Roman"/>
          <w:sz w:val="24"/>
          <w:szCs w:val="24"/>
        </w:rPr>
        <w:t xml:space="preserve">  传    真：0571-63722886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联系人 ：喻伟建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监督投诉电话：0571-61073953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 xml:space="preserve">若对项目采购电子交易系统操作有疑问，可登录政采云（https://www.zcygov.cn/），点击右侧咨询小采，获取采小蜜智能服务管家帮助，或拨打政采云服务热线400-881-7190获取热线服务帮助。       </w:t>
      </w:r>
    </w:p>
    <w:p>
      <w:pPr>
        <w:adjustRightInd w:val="0"/>
        <w:spacing w:line="360" w:lineRule="auto"/>
        <w:ind w:firstLine="480" w:firstLineChars="200"/>
        <w:jc w:val="center"/>
        <w:rPr>
          <w:rFonts w:ascii="仿宋_GB2312" w:hAnsi="仿宋" w:eastAsia="仿宋_GB2312" w:cs="仿宋_GB2312"/>
          <w:b/>
          <w:sz w:val="36"/>
          <w:szCs w:val="20"/>
        </w:rPr>
      </w:pPr>
      <w:r>
        <w:rPr>
          <w:rFonts w:hint="eastAsia" w:ascii="仿宋_GB2312" w:hAnsi="仿宋" w:eastAsia="仿宋_GB2312" w:cs="Times New Roman"/>
          <w:sz w:val="24"/>
          <w:szCs w:val="24"/>
        </w:rPr>
        <w:t>CA问题联系电话（人工）：汇信CA 400-888-4636；天谷CA 400-087-8198。</w:t>
      </w:r>
      <w:r>
        <w:rPr>
          <w:rFonts w:hint="eastAsia" w:ascii="仿宋_GB2312" w:hAnsi="仿宋" w:eastAsia="仿宋_GB2312" w:cs="仿宋_GB2312"/>
          <w:sz w:val="24"/>
          <w:szCs w:val="24"/>
        </w:rPr>
        <w:t xml:space="preserve">          </w:t>
      </w:r>
      <w:r>
        <w:rPr>
          <w:rFonts w:hint="eastAsia" w:ascii="仿宋_GB2312" w:hAnsi="仿宋" w:eastAsia="仿宋_GB2312" w:cs="仿宋_GB2312"/>
          <w:b/>
          <w:sz w:val="36"/>
          <w:szCs w:val="20"/>
        </w:rPr>
        <w:br w:type="page"/>
      </w:r>
      <w:r>
        <w:rPr>
          <w:rFonts w:hint="eastAsia" w:ascii="仿宋_GB2312" w:hAnsi="仿宋" w:eastAsia="仿宋_GB2312" w:cs="仿宋_GB2312"/>
          <w:b/>
          <w:sz w:val="36"/>
          <w:szCs w:val="20"/>
        </w:rPr>
        <w:t>第二部分</w:t>
      </w:r>
      <w:bookmarkEnd w:id="7"/>
      <w:r>
        <w:rPr>
          <w:rFonts w:hint="eastAsia" w:ascii="仿宋_GB2312" w:hAnsi="仿宋" w:eastAsia="仿宋_GB2312" w:cs="仿宋_GB2312"/>
          <w:b/>
          <w:sz w:val="36"/>
          <w:szCs w:val="20"/>
        </w:rPr>
        <w:t xml:space="preserve"> 投标人须知</w:t>
      </w:r>
      <w:bookmarkEnd w:id="8"/>
    </w:p>
    <w:p>
      <w:pPr>
        <w:adjustRightInd w:val="0"/>
        <w:snapToGrid w:val="0"/>
        <w:spacing w:line="360" w:lineRule="auto"/>
        <w:jc w:val="center"/>
        <w:rPr>
          <w:rFonts w:ascii="仿宋_GB2312" w:hAnsi="仿宋" w:eastAsia="仿宋_GB2312" w:cs="仿宋_GB2312"/>
          <w:b/>
          <w:sz w:val="32"/>
          <w:szCs w:val="20"/>
        </w:rPr>
      </w:pPr>
      <w:r>
        <w:rPr>
          <w:rFonts w:hint="eastAsia" w:ascii="仿宋_GB2312" w:hAnsi="仿宋" w:eastAsia="仿宋_GB2312" w:cs="仿宋_GB2312"/>
          <w:b/>
          <w:sz w:val="32"/>
          <w:szCs w:val="20"/>
        </w:rPr>
        <w:t>前附表</w:t>
      </w:r>
    </w:p>
    <w:tbl>
      <w:tblPr>
        <w:tblStyle w:val="62"/>
        <w:tblW w:w="855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事项</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3"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报价要求</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szCs w:val="24"/>
              </w:rPr>
            </w:pPr>
            <w:r>
              <w:rPr>
                <w:rFonts w:hint="eastAsia" w:ascii="仿宋_GB2312" w:hAnsi="仿宋" w:eastAsia="仿宋_GB2312" w:cs="仿宋_GB2312"/>
                <w:b/>
                <w:color w:val="000000" w:themeColor="text1"/>
                <w:sz w:val="24"/>
                <w:highlight w:val="none"/>
                <w14:textFill>
                  <w14:solidFill>
                    <w14:schemeClr w14:val="tx1"/>
                  </w14:solidFill>
                </w14:textFill>
              </w:rPr>
              <w:t>分包</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szCs w:val="24"/>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 xml:space="preserve"> A</w:t>
            </w:r>
            <w:r>
              <w:rPr>
                <w:rFonts w:hint="eastAsia" w:ascii="仿宋_GB2312" w:hAnsi="仿宋" w:eastAsia="仿宋_GB2312"/>
                <w:color w:val="000000" w:themeColor="text1"/>
                <w:sz w:val="24"/>
                <w:highlight w:val="none"/>
                <w14:textFill>
                  <w14:solidFill>
                    <w14:schemeClr w14:val="tx1"/>
                  </w14:solidFill>
                </w14:textFill>
              </w:rPr>
              <w:t>同意将非主体、非关键性的</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工作分包。</w:t>
            </w:r>
            <w:sdt>
              <w:sdtPr>
                <w:rPr>
                  <w:rFonts w:hint="eastAsia" w:ascii="仿宋_GB2312" w:hAnsi="仿宋" w:eastAsia="仿宋_GB2312" w:cs="Arial"/>
                  <w:color w:val="000000" w:themeColor="text1"/>
                  <w:kern w:val="0"/>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ascii="仿宋_GB2312" w:hAnsi="仿宋" w:eastAsia="仿宋_GB2312" w:cs="Arial"/>
                <w:color w:val="000000" w:themeColor="text1"/>
                <w:kern w:val="0"/>
                <w:sz w:val="24"/>
                <w:highlight w:val="none"/>
                <w14:textFill>
                  <w14:solidFill>
                    <w14:schemeClr w14:val="tx1"/>
                  </w14:solidFill>
                </w14:textFill>
              </w:rPr>
              <w:t xml:space="preserve"> B</w:t>
            </w:r>
            <w:r>
              <w:rPr>
                <w:rFonts w:hint="eastAsia" w:ascii="仿宋_GB2312" w:hAnsi="仿宋" w:eastAsia="仿宋_GB2312"/>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2" w:hRule="atLeast"/>
          <w:tblHeader/>
        </w:trPr>
        <w:tc>
          <w:tcPr>
            <w:tcW w:w="629" w:type="dxa"/>
            <w:vMerge w:val="restart"/>
            <w:tcBorders>
              <w:top w:val="single" w:color="auto" w:sz="4" w:space="0"/>
              <w:left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投标人应当提供的资格、资信证明文件</w:t>
            </w:r>
          </w:p>
        </w:tc>
        <w:tc>
          <w:tcPr>
            <w:tcW w:w="6079" w:type="dxa"/>
            <w:tcBorders>
              <w:top w:val="single" w:color="000000" w:sz="8" w:space="0"/>
              <w:left w:val="single" w:color="000000" w:sz="2" w:space="0"/>
              <w:bottom w:val="single" w:color="auto" w:sz="4"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（1）资格证明文件：见招标文件第二部分</w:t>
            </w:r>
            <w:r>
              <w:rPr>
                <w:rFonts w:hint="eastAsia" w:ascii="仿宋_GB2312" w:hAnsi="仿宋" w:eastAsia="仿宋_GB2312" w:cs="仿宋_GB2312"/>
                <w:sz w:val="24"/>
                <w:szCs w:val="24"/>
              </w:rPr>
              <w:t>11.1。</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 w:hRule="atLeast"/>
          <w:tblHeader/>
        </w:trPr>
        <w:tc>
          <w:tcPr>
            <w:tcW w:w="629" w:type="dxa"/>
            <w:vMerge w:val="continue"/>
            <w:tcBorders>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p>
        </w:tc>
        <w:tc>
          <w:tcPr>
            <w:tcW w:w="6079" w:type="dxa"/>
            <w:tcBorders>
              <w:top w:val="single" w:color="auto" w:sz="4"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color w:val="000000" w:themeColor="text1"/>
                <w:sz w:val="24"/>
                <w:highlight w:val="none"/>
                <w14:textFill>
                  <w14:solidFill>
                    <w14:schemeClr w14:val="tx1"/>
                  </w14:solidFill>
                </w14:textFill>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不组织。</w:t>
            </w:r>
          </w:p>
          <w:p>
            <w:pPr>
              <w:spacing w:line="360" w:lineRule="auto"/>
              <w:rPr>
                <w:rFonts w:ascii="仿宋_GB2312" w:hAnsi="仿宋" w:eastAsia="仿宋_GB2312" w:cs="Arial"/>
                <w:snapToGrid w:val="0"/>
                <w:sz w:val="24"/>
                <w:szCs w:val="20"/>
                <w:highlight w:val="none"/>
              </w:rPr>
            </w:pPr>
            <w:sdt>
              <w:sdtPr>
                <w:rPr>
                  <w:rFonts w:hint="eastAsia" w:ascii="仿宋_GB2312" w:hAnsi="仿宋" w:eastAsia="仿宋_GB2312" w:cs="Arial"/>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B组织，</w:t>
            </w:r>
            <w:r>
              <w:rPr>
                <w:rFonts w:hint="eastAsia" w:ascii="仿宋_GB2312" w:hAnsi="仿宋" w:eastAsia="仿宋_GB2312"/>
                <w:color w:val="000000" w:themeColor="text1"/>
                <w:sz w:val="24"/>
                <w:highlight w:val="none"/>
                <w14:textFill>
                  <w14:solidFill>
                    <w14:schemeClr w14:val="tx1"/>
                  </w14:solidFill>
                </w14:textFill>
              </w:rPr>
              <w:t>时间：</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,地点：</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，联系人：</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，联系方式：</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highlight w:val="none"/>
                <w14:textFill>
                  <w14:solidFill>
                    <w14:schemeClr w14:val="tx1"/>
                  </w14:solidFill>
                </w14:textFill>
              </w:rPr>
              <w:t>样品提供</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color w:val="000000" w:themeColor="text1"/>
                    <w:kern w:val="0"/>
                    <w:sz w:val="24"/>
                    <w:szCs w:val="22"/>
                    <w:highlight w:val="none"/>
                    <w:lang w:val="en-US" w:eastAsia="zh-CN" w:bidi="ar-SA"/>
                    <w14:textFill>
                      <w14:solidFill>
                        <w14:schemeClr w14:val="tx1"/>
                      </w14:solidFill>
                    </w14:textFill>
                  </w:rPr>
                  <w:t>þ</w:t>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不要求提供。</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szCs w:val="22"/>
                    <w:highlight w:val="none"/>
                    <w:lang w:val="en-US" w:eastAsia="zh-CN" w:bidi="ar-SA"/>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w:t>
            </w:r>
            <w:r>
              <w:rPr>
                <w:rFonts w:hint="eastAsia" w:ascii="仿宋_GB2312" w:hAnsi="仿宋" w:eastAsia="仿宋_GB2312"/>
                <w:color w:val="000000" w:themeColor="text1"/>
                <w:kern w:val="0"/>
                <w:sz w:val="24"/>
                <w:highlight w:val="none"/>
                <w14:textFill>
                  <w14:solidFill>
                    <w14:schemeClr w14:val="tx1"/>
                  </w14:solidFill>
                </w14:textFill>
              </w:rPr>
              <w:t>要求提供，</w:t>
            </w:r>
          </w:p>
          <w:p>
            <w:pPr>
              <w:spacing w:line="360" w:lineRule="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1）</w:t>
            </w:r>
            <w:r>
              <w:rPr>
                <w:rFonts w:hint="eastAsia" w:ascii="仿宋_GB2312" w:hAnsi="仿宋_GB2312" w:eastAsia="仿宋_GB2312" w:cs="仿宋_GB2312"/>
                <w:snapToGrid w:val="0"/>
                <w:color w:val="000000" w:themeColor="text1"/>
                <w:kern w:val="28"/>
                <w:sz w:val="24"/>
                <w:highlight w:val="none"/>
                <w14:textFill>
                  <w14:solidFill>
                    <w14:schemeClr w14:val="tx1"/>
                  </w14:solidFill>
                </w14:textFill>
              </w:rPr>
              <w:t>样品：</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（2）</w:t>
            </w:r>
            <w:r>
              <w:rPr>
                <w:rFonts w:hint="eastAsia" w:ascii="仿宋_GB2312" w:hAnsi="仿宋_GB2312" w:eastAsia="仿宋_GB2312" w:cs="仿宋_GB2312"/>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snapToGrid w:val="0"/>
                <w:color w:val="000000" w:themeColor="text1"/>
                <w:kern w:val="28"/>
                <w:sz w:val="24"/>
                <w:highlight w:val="none"/>
                <w14:textFill>
                  <w14:solidFill>
                    <w14:schemeClr w14:val="tx1"/>
                  </w14:solidFill>
                </w14:textFill>
              </w:rPr>
              <w:t>：</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 w:eastAsia="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3）</w:t>
            </w:r>
            <w:r>
              <w:rPr>
                <w:rFonts w:ascii="仿宋_GB2312" w:hAnsi="仿宋" w:eastAsia="仿宋_GB2312"/>
                <w:kern w:val="0"/>
                <w:sz w:val="24"/>
              </w:rPr>
              <w:t>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4）是否需要</w:t>
            </w:r>
            <w:r>
              <w:rPr>
                <w:rFonts w:hint="eastAsia" w:ascii="仿宋_GB2312" w:hAnsi="仿宋" w:eastAsia="仿宋_GB2312"/>
                <w:color w:val="000000" w:themeColor="text1"/>
                <w:kern w:val="0"/>
                <w:sz w:val="24"/>
                <w:highlight w:val="none"/>
                <w14:textFill>
                  <w14:solidFill>
                    <w14:schemeClr w14:val="tx1"/>
                  </w14:solidFill>
                </w14:textFill>
              </w:rPr>
              <w:t>针对</w:t>
            </w:r>
            <w:r>
              <w:rPr>
                <w:rFonts w:ascii="仿宋_GB2312" w:hAnsi="仿宋" w:eastAsia="仿宋_GB2312"/>
                <w:color w:val="000000" w:themeColor="text1"/>
                <w:kern w:val="0"/>
                <w:sz w:val="24"/>
                <w:highlight w:val="none"/>
                <w14:textFill>
                  <w14:solidFill>
                    <w14:schemeClr w14:val="tx1"/>
                  </w14:solidFill>
                </w14:textFill>
              </w:rPr>
              <w:t>样品提交检测报告</w:t>
            </w:r>
            <w:r>
              <w:rPr>
                <w:rFonts w:hint="eastAsia" w:ascii="仿宋_GB2312" w:hAnsi="仿宋" w:eastAsia="仿宋_GB2312"/>
                <w:color w:val="000000" w:themeColor="text1"/>
                <w:kern w:val="0"/>
                <w:sz w:val="24"/>
                <w:highlight w:val="none"/>
                <w14:textFill>
                  <w14:solidFill>
                    <w14:schemeClr w14:val="tx1"/>
                  </w14:solidFill>
                </w14:textFill>
              </w:rPr>
              <w:t>：</w:t>
            </w:r>
            <w:sdt>
              <w:sdtPr>
                <w:rPr>
                  <w:rFonts w:hint="eastAsia" w:ascii="仿宋_GB2312" w:hAnsi="仿宋" w:eastAsia="仿宋_GB2312" w:cs="Arial"/>
                  <w:color w:val="000000" w:themeColor="text1"/>
                  <w:kern w:val="0"/>
                  <w:sz w:val="24"/>
                  <w:highlight w:val="none"/>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szCs w:val="24"/>
                    <w:highlight w:val="none"/>
                    <w:lang w:val="en-US" w:eastAsia="zh-CN" w:bidi="ar-SA"/>
                    <w14:textFill>
                      <w14:solidFill>
                        <w14:schemeClr w14:val="tx1"/>
                      </w14:solidFill>
                    </w14:textFill>
                  </w:rPr>
                  <w:t>þ</w:t>
                </w:r>
              </w:sdtContent>
            </w:sdt>
            <w:r>
              <w:rPr>
                <w:rFonts w:ascii="仿宋_GB2312" w:hAnsi="仿宋" w:eastAsia="仿宋_GB2312"/>
                <w:color w:val="000000" w:themeColor="text1"/>
                <w:kern w:val="0"/>
                <w:sz w:val="24"/>
                <w:highlight w:val="none"/>
                <w14:textFill>
                  <w14:solidFill>
                    <w14:schemeClr w14:val="tx1"/>
                  </w14:solidFill>
                </w14:textFill>
              </w:rPr>
              <w:t>否；</w:t>
            </w:r>
            <w:sdt>
              <w:sdtPr>
                <w:rPr>
                  <w:rFonts w:hint="eastAsia" w:ascii="仿宋_GB2312" w:hAnsi="仿宋" w:eastAsia="仿宋_GB2312" w:cs="Arial"/>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仿宋_GB2312" w:cs="Arial"/>
                    <w:color w:val="000000" w:themeColor="text1"/>
                    <w:kern w:val="0"/>
                    <w:sz w:val="24"/>
                    <w:szCs w:val="24"/>
                    <w:highlight w:val="none"/>
                    <w:lang w:val="en-US" w:eastAsia="zh-CN" w:bidi="ar-SA"/>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是，检测机构的要求</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；检测内容</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w:t>
            </w:r>
            <w:r>
              <w:rPr>
                <w:rFonts w:hint="eastAsia" w:ascii="仿宋_GB2312" w:hAnsi="仿宋" w:eastAsia="仿宋_GB2312"/>
                <w:b/>
                <w:bCs/>
                <w:color w:val="000000" w:themeColor="text1"/>
                <w:kern w:val="0"/>
                <w:sz w:val="24"/>
                <w:highlight w:val="none"/>
                <w14:textFill>
                  <w14:solidFill>
                    <w14:schemeClr w14:val="tx1"/>
                  </w14:solidFill>
                </w14:textFill>
              </w:rPr>
              <w:t>检测报告编制在投标文件中。</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5）提供样品的</w:t>
            </w:r>
            <w:r>
              <w:rPr>
                <w:rFonts w:hint="eastAsia" w:ascii="仿宋_GB2312" w:hAnsi="仿宋" w:eastAsia="仿宋_GB2312"/>
                <w:color w:val="000000" w:themeColor="text1"/>
                <w:sz w:val="24"/>
                <w:highlight w:val="none"/>
                <w14:textFill>
                  <w14:solidFill>
                    <w14:schemeClr w14:val="tx1"/>
                  </w14:solidFill>
                </w14:textFill>
              </w:rPr>
              <w:t>截止时间</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；地点：</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；联系人</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，联系电话：</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(6)采购活动结束后，对于未中标人提供的样品，</w:t>
            </w:r>
            <w:r>
              <w:rPr>
                <w:rFonts w:hint="eastAsia" w:ascii="仿宋_GB2312" w:hAnsi="仿宋" w:eastAsia="仿宋_GB2312"/>
                <w:color w:val="000000" w:themeColor="text1"/>
                <w:sz w:val="24"/>
                <w:highlight w:val="none"/>
                <w14:textFill>
                  <w14:solidFill>
                    <w14:schemeClr w14:val="tx1"/>
                  </w14:solidFill>
                </w14:textFill>
              </w:rPr>
              <w:t>采购人、采购机构将通知</w:t>
            </w:r>
            <w:r>
              <w:rPr>
                <w:rFonts w:ascii="仿宋_GB2312" w:hAnsi="仿宋" w:eastAsia="仿宋_GB2312"/>
                <w:color w:val="000000" w:themeColor="text1"/>
                <w:sz w:val="24"/>
                <w:highlight w:val="none"/>
                <w14:textFill>
                  <w14:solidFill>
                    <w14:schemeClr w14:val="tx1"/>
                  </w14:solidFill>
                </w14:textFill>
              </w:rPr>
              <w:t>未中标人</w:t>
            </w:r>
            <w:r>
              <w:rPr>
                <w:rFonts w:hint="eastAsia" w:ascii="仿宋_GB2312" w:hAnsi="仿宋" w:eastAsia="仿宋_GB2312"/>
                <w:color w:val="000000" w:themeColor="text1"/>
                <w:sz w:val="24"/>
                <w:highlight w:val="none"/>
                <w14:textFill>
                  <w14:solidFill>
                    <w14:schemeClr w14:val="tx1"/>
                  </w14:solidFill>
                </w14:textFill>
              </w:rPr>
              <w:t>在规定的时间内取回，逾期未取回的，采购人、采购机构不负保管义务</w:t>
            </w:r>
            <w:r>
              <w:rPr>
                <w:rFonts w:ascii="仿宋_GB2312" w:hAnsi="仿宋" w:eastAsia="仿宋_GB2312"/>
                <w:color w:val="000000" w:themeColor="text1"/>
                <w:sz w:val="24"/>
                <w:highlight w:val="none"/>
                <w14:textFill>
                  <w14:solidFill>
                    <w14:schemeClr w14:val="tx1"/>
                  </w14:solidFill>
                </w14:textFill>
              </w:rPr>
              <w:t>；对于中标人提供的样品，</w:t>
            </w:r>
            <w:r>
              <w:rPr>
                <w:rFonts w:hint="eastAsia" w:ascii="仿宋_GB2312" w:hAnsi="仿宋" w:eastAsia="仿宋_GB2312"/>
                <w:color w:val="000000" w:themeColor="text1"/>
                <w:sz w:val="24"/>
                <w:highlight w:val="none"/>
                <w14:textFill>
                  <w14:solidFill>
                    <w14:schemeClr w14:val="tx1"/>
                  </w14:solidFill>
                </w14:textFill>
              </w:rPr>
              <w:t>采购人将进</w:t>
            </w:r>
            <w:r>
              <w:rPr>
                <w:rFonts w:ascii="仿宋_GB2312" w:hAnsi="仿宋" w:eastAsia="仿宋_GB2312"/>
                <w:color w:val="000000" w:themeColor="text1"/>
                <w:sz w:val="24"/>
                <w:highlight w:val="none"/>
                <w14:textFill>
                  <w14:solidFill>
                    <w14:schemeClr w14:val="tx1"/>
                  </w14:solidFill>
                </w14:textFill>
              </w:rPr>
              <w:t>行保管、封存，并作为履约验收的参考。</w:t>
            </w:r>
          </w:p>
          <w:p>
            <w:pPr>
              <w:spacing w:line="360" w:lineRule="auto"/>
              <w:rPr>
                <w:rFonts w:hint="eastAsia" w:ascii="仿宋_GB2312" w:hAnsi="仿宋" w:eastAsia="仿宋_GB2312" w:cs="Times New Roman"/>
                <w:b/>
                <w:sz w:val="24"/>
                <w:szCs w:val="24"/>
                <w:lang w:eastAsia="zh-CN"/>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98" w:hRule="atLeast"/>
          <w:tblHeader/>
        </w:trPr>
        <w:tc>
          <w:tcPr>
            <w:tcW w:w="629" w:type="dxa"/>
            <w:tcBorders>
              <w:top w:val="single" w:color="auto" w:sz="4" w:space="0"/>
              <w:left w:val="single" w:color="000000" w:sz="8" w:space="0"/>
              <w:bottom w:val="single" w:color="auto" w:sz="4" w:space="0"/>
              <w:right w:val="single" w:color="000000" w:sz="2"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Cs/>
                <w:sz w:val="24"/>
                <w:szCs w:val="24"/>
              </w:rPr>
            </w:pPr>
            <w:r>
              <w:rPr>
                <w:rFonts w:hint="eastAsia" w:ascii="仿宋_GB2312" w:hAnsi="仿宋" w:eastAsia="仿宋_GB2312" w:cs="仿宋_GB2312"/>
                <w:b/>
                <w:sz w:val="24"/>
                <w:szCs w:val="24"/>
              </w:rPr>
              <w:t>方案讲解演示</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Wingdings" w:hAnsi="Wingdings" w:eastAsia="仿宋_GB2312" w:cs="Arial"/>
                    <w:color w:val="000000" w:themeColor="text1"/>
                    <w:kern w:val="0"/>
                    <w:sz w:val="24"/>
                    <w14:textFill>
                      <w14:solidFill>
                        <w14:schemeClr w14:val="tx1"/>
                      </w14:solidFill>
                    </w14:textFill>
                  </w:rPr>
                  <w:t></w:t>
                </w:r>
              </w:sdtContent>
            </w:sdt>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不组织。</w:t>
            </w:r>
          </w:p>
          <w:p>
            <w:pPr>
              <w:spacing w:line="360" w:lineRule="auto"/>
              <w:rPr>
                <w:rFonts w:ascii="仿宋_GB2312" w:hAnsi="仿宋" w:eastAsia="仿宋_GB2312"/>
                <w:color w:val="000000" w:themeColor="text1"/>
                <w:kern w:val="0"/>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仿宋_GB2312" w:cs="Arial"/>
                    <w:color w:val="000000" w:themeColor="text1"/>
                    <w:kern w:val="0"/>
                    <w:sz w:val="24"/>
                    <w14:textFill>
                      <w14:solidFill>
                        <w14:schemeClr w14:val="tx1"/>
                      </w14:solidFill>
                    </w14:textFill>
                  </w:rPr>
                  <w:t>☐</w:t>
                </w:r>
              </w:sdtContent>
            </w:sdt>
            <w:r>
              <w:rPr>
                <w:rFonts w:ascii="仿宋_GB2312" w:hAnsi="仿宋" w:eastAsia="仿宋_GB2312"/>
                <w:color w:val="000000" w:themeColor="text1"/>
                <w:kern w:val="0"/>
                <w:sz w:val="24"/>
                <w14:textFill>
                  <w14:solidFill>
                    <w14:schemeClr w14:val="tx1"/>
                  </w14:solidFill>
                </w14:textFill>
              </w:rPr>
              <w:t>B组织。</w:t>
            </w:r>
          </w:p>
          <w:p>
            <w:pPr>
              <w:snapToGrid w:val="0"/>
              <w:spacing w:line="360" w:lineRule="auto"/>
              <w:ind w:firstLine="480" w:firstLineChars="200"/>
              <w:rPr>
                <w:rFonts w:ascii="仿宋_GB2312" w:hAnsi="仿宋" w:eastAsia="仿宋_GB2312"/>
                <w:color w:val="000000" w:themeColor="text1"/>
                <w:kern w:val="0"/>
                <w:sz w:val="24"/>
                <w14:textFill>
                  <w14:solidFill>
                    <w14:schemeClr w14:val="tx1"/>
                  </w14:solidFill>
                </w14:textFill>
              </w:rPr>
            </w:pPr>
            <w:r>
              <w:rPr>
                <w:rFonts w:ascii="仿宋_GB2312" w:hAnsi="仿宋" w:eastAsia="仿宋_GB2312"/>
                <w:color w:val="000000" w:themeColor="text1"/>
                <w:kern w:val="0"/>
                <w:sz w:val="24"/>
                <w14:textFill>
                  <w14:solidFill>
                    <w14:schemeClr w14:val="tx1"/>
                  </w14:solidFill>
                </w14:textFill>
              </w:rPr>
              <w:t>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ind w:firstLine="480" w:firstLineChars="200"/>
              <w:rPr>
                <w:rFonts w:ascii="仿宋_GB2312" w:hAnsi="仿宋" w:eastAsia="仿宋_GB2312"/>
                <w:color w:val="000000" w:themeColor="text1"/>
                <w:kern w:val="0"/>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现场讲解地点为</w:t>
            </w:r>
            <w:r>
              <w:rPr>
                <w:rFonts w:hint="eastAsia" w:ascii="仿宋_GB2312" w:hAnsi="仿宋" w:eastAsia="仿宋_GB2312" w:cs="Times New Roman"/>
                <w:sz w:val="24"/>
                <w:szCs w:val="24"/>
                <w:u w:val="single"/>
              </w:rPr>
              <w:t>杭州市公共资源交易中心</w:t>
            </w:r>
            <w:r>
              <w:rPr>
                <w:rFonts w:hint="eastAsia" w:ascii="仿宋_GB2312" w:hAnsi="仿宋" w:eastAsia="仿宋_GB2312" w:cs="Times New Roman"/>
                <w:color w:val="auto"/>
                <w:sz w:val="24"/>
                <w:szCs w:val="24"/>
                <w:u w:val="single"/>
                <w:lang w:eastAsia="zh-CN"/>
              </w:rPr>
              <w:t>临安分中心</w:t>
            </w:r>
            <w:r>
              <w:rPr>
                <w:rFonts w:hint="eastAsia" w:ascii="仿宋_GB2312" w:hAnsi="仿宋" w:eastAsia="仿宋_GB2312" w:cs="Times New Roman"/>
                <w:color w:val="auto"/>
                <w:sz w:val="24"/>
                <w:szCs w:val="24"/>
                <w:u w:val="single"/>
                <w:lang w:val="en-US" w:eastAsia="zh-CN"/>
              </w:rPr>
              <w:t>询标</w:t>
            </w:r>
            <w:r>
              <w:rPr>
                <w:rFonts w:hint="eastAsia" w:ascii="仿宋_GB2312" w:hAnsi="仿宋" w:eastAsia="仿宋_GB2312" w:cs="Times New Roman"/>
                <w:color w:val="auto"/>
                <w:sz w:val="24"/>
                <w:szCs w:val="24"/>
                <w:u w:val="single"/>
              </w:rPr>
              <w:t>室[杭州市</w:t>
            </w:r>
            <w:r>
              <w:rPr>
                <w:rFonts w:hint="eastAsia" w:ascii="仿宋_GB2312" w:hAnsi="仿宋" w:eastAsia="仿宋_GB2312" w:cs="Times New Roman"/>
                <w:color w:val="auto"/>
                <w:sz w:val="24"/>
                <w:szCs w:val="24"/>
                <w:u w:val="single"/>
                <w:lang w:eastAsia="zh-CN"/>
              </w:rPr>
              <w:t>临安区锦北街道科技大道</w:t>
            </w:r>
            <w:r>
              <w:rPr>
                <w:rFonts w:hint="eastAsia" w:ascii="仿宋_GB2312" w:hAnsi="仿宋" w:eastAsia="仿宋_GB2312" w:cs="Times New Roman"/>
                <w:color w:val="auto"/>
                <w:sz w:val="24"/>
                <w:szCs w:val="24"/>
                <w:u w:val="single"/>
                <w:lang w:val="en-US" w:eastAsia="zh-CN"/>
              </w:rPr>
              <w:t>4398号市民中心B座4楼询标室</w:t>
            </w:r>
            <w:r>
              <w:rPr>
                <w:rFonts w:hint="eastAsia" w:ascii="仿宋_GB2312" w:hAnsi="仿宋" w:eastAsia="仿宋_GB2312" w:cs="Times New Roman"/>
                <w:color w:val="auto"/>
                <w:sz w:val="24"/>
                <w:szCs w:val="24"/>
                <w:u w:val="single"/>
              </w:rPr>
              <w:t>]</w:t>
            </w:r>
            <w:r>
              <w:rPr>
                <w:rFonts w:hint="eastAsia" w:ascii="仿宋_GB2312" w:hAnsi="仿宋" w:eastAsia="仿宋_GB2312"/>
                <w:color w:val="000000" w:themeColor="text1"/>
                <w:kern w:val="0"/>
                <w:sz w:val="24"/>
                <w14:textFill>
                  <w14:solidFill>
                    <w14:schemeClr w14:val="tx1"/>
                  </w14:solidFill>
                </w14:textFill>
              </w:rPr>
              <w:t>，讲解演示所用电脑等设备由投标人自备。现场讲解演示人员进场时提供讲解人员名单（加盖公章）及身份证明，否则不得讲解演示。</w:t>
            </w:r>
          </w:p>
          <w:p>
            <w:pPr>
              <w:adjustRightInd w:val="0"/>
              <w:spacing w:line="360" w:lineRule="auto"/>
              <w:rPr>
                <w:rFonts w:ascii="仿宋_GB2312" w:hAnsi="仿宋" w:eastAsia="仿宋_GB2312" w:cs="仿宋_GB2312"/>
                <w:b/>
                <w:kern w:val="0"/>
                <w:sz w:val="24"/>
                <w:szCs w:val="20"/>
                <w:lang w:val="zh-CN"/>
              </w:rPr>
            </w:pPr>
            <w:r>
              <w:rPr>
                <w:rFonts w:hint="eastAsia" w:ascii="仿宋_GB2312" w:hAnsi="仿宋" w:eastAsia="仿宋_GB2312"/>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kern w:val="2"/>
                <w:sz w:val="24"/>
                <w:szCs w:val="22"/>
                <w:lang w:val="en-US" w:eastAsia="zh-CN" w:bidi="ar-SA"/>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kern w:val="2"/>
                <w:sz w:val="24"/>
                <w:szCs w:val="22"/>
                <w:lang w:val="en-US" w:eastAsia="zh-CN" w:bidi="ar-SA"/>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是否允许采购进口产品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000000" w:themeColor="text1"/>
                <w:kern w:val="0"/>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仿宋_GB2312" w:hAnsi="仿宋" w:eastAsia="仿宋_GB2312" w:cs="Arial"/>
                    <w:color w:val="000000" w:themeColor="text1"/>
                    <w:kern w:val="0"/>
                    <w:sz w:val="24"/>
                    <w14:textFill>
                      <w14:solidFill>
                        <w14:schemeClr w14:val="tx1"/>
                      </w14:solidFill>
                    </w14:textFill>
                  </w:rPr>
                  <w:sym w:font="Wingdings" w:char="F0FE"/>
                </w:r>
              </w:sdtContent>
            </w:sdt>
            <w:r>
              <w:rPr>
                <w:rFonts w:hint="eastAsia" w:ascii="仿宋_GB2312" w:hAnsi="仿宋" w:eastAsia="仿宋_GB2312" w:cs="Arial"/>
                <w:color w:val="000000" w:themeColor="text1"/>
                <w:kern w:val="0"/>
                <w:sz w:val="24"/>
                <w14:textFill>
                  <w14:solidFill>
                    <w14:schemeClr w14:val="tx1"/>
                  </w14:solidFill>
                </w14:textFill>
              </w:rPr>
              <w:t>本项目不允许采购进口产品。</w:t>
            </w:r>
          </w:p>
          <w:p>
            <w:pPr>
              <w:spacing w:line="360" w:lineRule="auto"/>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MS Gothic" w:cs="Arial"/>
                    <w:color w:val="000000" w:themeColor="text1"/>
                    <w:kern w:val="0"/>
                    <w:sz w:val="24"/>
                    <w14:textFill>
                      <w14:solidFill>
                        <w14:schemeClr w14:val="tx1"/>
                      </w14:solidFill>
                    </w14:textFill>
                  </w:rPr>
                  <w:t>☐</w:t>
                </w:r>
              </w:sdtContent>
            </w:sdt>
            <w:r>
              <w:rPr>
                <w:rFonts w:hint="eastAsia" w:ascii="仿宋_GB2312" w:hAnsi="仿宋" w:eastAsia="仿宋_GB2312" w:cs="Arial"/>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color w:val="000000" w:themeColor="text1"/>
                <w:sz w:val="24"/>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14:textFill>
                  <w14:solidFill>
                    <w14:schemeClr w14:val="tx1"/>
                  </w14:solidFill>
                </w14:textFill>
              </w:rPr>
              <w:t>项目属性与核心产品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18727868"/>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hint="eastAsia" w:ascii="Wingdings" w:hAnsi="Wingdings" w:eastAsia="MS Gothic" w:cs="Arial"/>
                    <w:color w:val="000000" w:themeColor="text1"/>
                    <w:kern w:val="0"/>
                    <w:sz w:val="24"/>
                    <w:szCs w:val="22"/>
                    <w:lang w:val="en-US" w:eastAsia="zh-CN" w:bidi="ar-SA"/>
                    <w14:textFill>
                      <w14:solidFill>
                        <w14:schemeClr w14:val="tx1"/>
                      </w14:solidFill>
                    </w14:textFill>
                  </w:rPr>
                  <w:t>þ</w:t>
                </w:r>
              </w:sdtContent>
            </w:sdt>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货物类，单一产品或</w:t>
            </w:r>
            <w:r>
              <w:rPr>
                <w:rFonts w:hint="eastAsia" w:ascii="仿宋_GB2312" w:hAnsi="仿宋" w:eastAsia="仿宋_GB2312"/>
                <w:color w:val="000000" w:themeColor="text1"/>
                <w:kern w:val="0"/>
                <w:sz w:val="24"/>
                <w14:textFill>
                  <w14:solidFill>
                    <w14:schemeClr w14:val="tx1"/>
                  </w14:solidFill>
                </w14:textFill>
              </w:rPr>
              <w:t>核心产品为：</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b/>
                <w:bCs/>
                <w:color w:val="000000" w:themeColor="text1"/>
                <w:sz w:val="24"/>
                <w:u w:val="single"/>
                <w14:textFill>
                  <w14:solidFill>
                    <w14:schemeClr w14:val="tx1"/>
                  </w14:solidFill>
                </w14:textFill>
              </w:rPr>
              <w:t>商务计算机</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w:t>
            </w:r>
          </w:p>
          <w:p>
            <w:pPr>
              <w:spacing w:line="360" w:lineRule="auto"/>
              <w:rPr>
                <w:rFonts w:hint="eastAsia" w:ascii="仿宋_GB2312" w:hAnsi="仿宋" w:eastAsia="仿宋_GB2312" w:cs="Times New Roman"/>
                <w:sz w:val="24"/>
                <w:szCs w:val="24"/>
                <w:lang w:eastAsia="zh-CN"/>
              </w:rPr>
            </w:pPr>
            <w:sdt>
              <w:sdtPr>
                <w:rPr>
                  <w:rFonts w:hint="eastAsia" w:ascii="仿宋_GB2312" w:hAnsi="仿宋" w:eastAsia="仿宋_GB2312" w:cs="Arial"/>
                  <w:color w:val="000000" w:themeColor="text1"/>
                  <w:kern w:val="0"/>
                  <w:sz w:val="24"/>
                  <w14:textFill>
                    <w14:solidFill>
                      <w14:schemeClr w14:val="tx1"/>
                    </w14:solidFill>
                  </w14:textFill>
                </w:rPr>
                <w:id w:val="474885559"/>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hint="eastAsia" w:ascii="MS Gothic" w:hAnsi="MS Gothic" w:eastAsia="仿宋_GB2312" w:cs="Arial"/>
                    <w:color w:val="000000" w:themeColor="text1"/>
                    <w:kern w:val="0"/>
                    <w:sz w:val="24"/>
                    <w:szCs w:val="22"/>
                    <w:lang w:val="en-US" w:eastAsia="zh-CN" w:bidi="ar-SA"/>
                    <w14:textFill>
                      <w14:solidFill>
                        <w14:schemeClr w14:val="tx1"/>
                      </w14:solidFill>
                    </w14:textFill>
                  </w:rPr>
                  <w:t>☐</w:t>
                </w:r>
              </w:sdtContent>
            </w:sdt>
            <w:r>
              <w:rPr>
                <w:rFonts w:ascii="仿宋_GB2312" w:hAnsi="仿宋" w:eastAsia="仿宋_GB2312" w:cs="Arial"/>
                <w:color w:val="000000" w:themeColor="text1"/>
                <w:kern w:val="0"/>
                <w:sz w:val="24"/>
                <w14:textFill>
                  <w14:solidFill>
                    <w14:schemeClr w14:val="tx1"/>
                  </w14:solidFill>
                </w14:textFill>
              </w:rPr>
              <w:t>B</w:t>
            </w:r>
            <w:r>
              <w:rPr>
                <w:rFonts w:hint="eastAsia" w:ascii="仿宋_GB2312" w:hAnsi="仿宋" w:eastAsia="仿宋_GB2312"/>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14:textFill>
                  <w14:solidFill>
                    <w14:schemeClr w14:val="tx1"/>
                  </w14:solidFill>
                </w14:textFill>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Arial"/>
                <w:kern w:val="0"/>
                <w:sz w:val="24"/>
              </w:rPr>
              <w:t>标的：</w:t>
            </w:r>
            <w:r>
              <w:rPr>
                <w:rFonts w:hint="eastAsia" w:ascii="仿宋_GB2312" w:hAnsi="仿宋" w:eastAsia="仿宋_GB2312" w:cs="Arial"/>
                <w:b/>
                <w:bCs/>
                <w:kern w:val="0"/>
                <w:sz w:val="24"/>
                <w:u w:val="single"/>
                <w:lang w:eastAsia="zh-CN"/>
              </w:rPr>
              <w:t>采购清单</w:t>
            </w:r>
            <w:r>
              <w:rPr>
                <w:rFonts w:hint="eastAsia" w:ascii="仿宋_GB2312" w:hAnsi="仿宋" w:eastAsia="仿宋_GB2312" w:cs="Arial"/>
                <w:b/>
                <w:bCs/>
                <w:kern w:val="0"/>
                <w:sz w:val="24"/>
                <w:highlight w:val="none"/>
                <w:u w:val="single"/>
                <w:lang w:val="en-US" w:eastAsia="zh-CN"/>
              </w:rPr>
              <w:t>1-42项</w:t>
            </w:r>
            <w:r>
              <w:rPr>
                <w:rFonts w:hint="eastAsia" w:ascii="仿宋_GB2312" w:hAnsi="仿宋" w:eastAsia="仿宋_GB2312" w:cs="Arial"/>
                <w:kern w:val="0"/>
                <w:sz w:val="24"/>
                <w:highlight w:val="none"/>
              </w:rPr>
              <w:t>，属于</w:t>
            </w:r>
            <w:r>
              <w:rPr>
                <w:rFonts w:hint="eastAsia" w:ascii="仿宋_GB2312" w:hAnsi="仿宋" w:eastAsia="仿宋_GB2312" w:cs="Arial"/>
                <w:b/>
                <w:bCs/>
                <w:kern w:val="0"/>
                <w:sz w:val="24"/>
                <w:highlight w:val="none"/>
                <w:u w:val="single"/>
                <w:lang w:eastAsia="zh-CN"/>
              </w:rPr>
              <w:t>工业</w:t>
            </w:r>
            <w:r>
              <w:rPr>
                <w:rFonts w:hint="eastAsia" w:ascii="仿宋_GB2312" w:hAnsi="仿宋" w:eastAsia="仿宋_GB2312" w:cs="Arial"/>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highlight w:val="none"/>
                <w14:textFill>
                  <w14:solidFill>
                    <w14:schemeClr w14:val="tx1"/>
                  </w14:solidFill>
                </w14:textFill>
              </w:rPr>
              <w:t>节能产品、环境标志产品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Arial"/>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rPr>
              <w:t>1</w:t>
            </w:r>
            <w:r>
              <w:rPr>
                <w:rFonts w:hint="eastAsia" w:ascii="仿宋_GB2312" w:hAnsi="仿宋" w:eastAsia="仿宋_GB2312" w:cs="仿宋_GB2312"/>
                <w:sz w:val="24"/>
                <w:szCs w:val="24"/>
                <w:lang w:val="en-US" w:eastAsia="zh-CN"/>
              </w:rPr>
              <w:t>1</w:t>
            </w:r>
          </w:p>
        </w:tc>
        <w:tc>
          <w:tcPr>
            <w:tcW w:w="1843" w:type="dxa"/>
            <w:vMerge w:val="restart"/>
            <w:tcBorders>
              <w:top w:val="single" w:color="000000" w:sz="8" w:space="0"/>
              <w:left w:val="single" w:color="000000" w:sz="2"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中小企业信用融资</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_GB2312" w:hAnsi="仿宋_GB2312" w:eastAsia="仿宋_GB2312" w:cs="仿宋_GB2312"/>
                <w:snapToGrid w:val="0"/>
                <w:color w:val="000000" w:themeColor="text1"/>
                <w:kern w:val="2"/>
                <w:sz w:val="24"/>
                <w:szCs w:val="21"/>
                <w:lang w:val="en-US" w:eastAsia="zh-CN" w:bidi="ar-SA"/>
                <w14:textFill>
                  <w14:solidFill>
                    <w14:schemeClr w14:val="tx1"/>
                  </w14:solidFill>
                </w14:textFill>
              </w:rPr>
              <w:t>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adjustRightInd w:val="0"/>
              <w:snapToGrid w:val="0"/>
              <w:spacing w:line="360" w:lineRule="auto"/>
              <w:jc w:val="center"/>
              <w:rPr>
                <w:rFonts w:hint="eastAsia" w:ascii="仿宋_GB2312" w:hAnsi="仿宋" w:eastAsia="仿宋_GB2312" w:cs="仿宋_GB2312"/>
                <w:sz w:val="24"/>
                <w:szCs w:val="24"/>
              </w:rPr>
            </w:pPr>
          </w:p>
        </w:tc>
        <w:tc>
          <w:tcPr>
            <w:tcW w:w="1843" w:type="dxa"/>
            <w:vMerge w:val="continue"/>
            <w:tcBorders>
              <w:left w:val="single" w:color="000000" w:sz="2" w:space="0"/>
              <w:bottom w:val="single" w:color="000000" w:sz="8" w:space="0"/>
              <w:right w:val="single" w:color="000000" w:sz="8" w:space="0"/>
            </w:tcBorders>
            <w:vAlign w:val="center"/>
          </w:tcPr>
          <w:p>
            <w:pPr>
              <w:adjustRightInd w:val="0"/>
              <w:snapToGrid w:val="0"/>
              <w:spacing w:line="360" w:lineRule="auto"/>
              <w:jc w:val="center"/>
              <w:rPr>
                <w:rFonts w:hint="eastAsia" w:ascii="仿宋_GB2312" w:hAnsi="仿宋" w:eastAsia="仿宋_GB2312" w:cs="仿宋_GB2312"/>
                <w:b/>
                <w:sz w:val="24"/>
                <w:szCs w:val="24"/>
              </w:rPr>
            </w:pP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hint="eastAsia"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 w:eastAsia="仿宋_GB2312" w:cs="仿宋_GB2312"/>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kern w:val="2"/>
                <w:sz w:val="24"/>
                <w:szCs w:val="22"/>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备份投标文件送达地点和签收人员</w:t>
            </w:r>
            <w:r>
              <w:rPr>
                <w:rFonts w:ascii="仿宋_GB2312" w:hAnsi="仿宋" w:eastAsia="仿宋_GB2312" w:cs="仿宋_GB2312"/>
                <w:b/>
                <w:color w:val="000000" w:themeColor="text1"/>
                <w:sz w:val="24"/>
                <w:highlight w:val="none"/>
                <w14:textFill>
                  <w14:solidFill>
                    <w14:schemeClr w14:val="tx1"/>
                  </w14:solidFill>
                </w14:textFill>
              </w:rPr>
              <w:t xml:space="preserve"> </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int="eastAsia"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仿宋" w:eastAsia="仿宋_GB2312" w:cs="Times New Roman"/>
                <w:color w:val="000000" w:themeColor="text1"/>
                <w:kern w:val="28"/>
                <w:sz w:val="24"/>
                <w:szCs w:val="24"/>
                <w:highlight w:val="none"/>
                <w14:textFill>
                  <w14:solidFill>
                    <w14:schemeClr w14:val="tx1"/>
                  </w14:solidFill>
                </w14:textFill>
              </w:rPr>
              <w:t>备份投标文件送达地点</w:t>
            </w:r>
            <w:r>
              <w:rPr>
                <w:rFonts w:hint="eastAsia" w:ascii="仿宋_GB2312" w:hAnsi="仿宋" w:eastAsia="仿宋_GB2312" w:cs="Times New Roman"/>
                <w:color w:val="000000" w:themeColor="text1"/>
                <w:kern w:val="28"/>
                <w:sz w:val="24"/>
                <w:szCs w:val="24"/>
                <w:highlight w:val="none"/>
                <w:u w:val="single"/>
                <w14:textFill>
                  <w14:solidFill>
                    <w14:schemeClr w14:val="tx1"/>
                  </w14:solidFill>
                </w14:textFill>
              </w:rPr>
              <w:t>：</w:t>
            </w:r>
            <w:r>
              <w:rPr>
                <w:rFonts w:hint="eastAsia" w:ascii="仿宋_GB2312" w:hAnsi="仿宋" w:eastAsia="仿宋_GB2312" w:cs="仿宋_GB2312"/>
                <w:snapToGrid w:val="0"/>
                <w:sz w:val="24"/>
                <w:szCs w:val="24"/>
                <w:u w:val="single"/>
              </w:rPr>
              <w:t>杭州市</w:t>
            </w:r>
            <w:r>
              <w:rPr>
                <w:rFonts w:hint="eastAsia" w:ascii="仿宋_GB2312" w:hAnsi="仿宋" w:eastAsia="仿宋_GB2312" w:cs="仿宋_GB2312"/>
                <w:snapToGrid w:val="0"/>
                <w:sz w:val="24"/>
                <w:szCs w:val="24"/>
                <w:u w:val="single"/>
                <w:lang w:eastAsia="zh-CN"/>
              </w:rPr>
              <w:t>临安区锦北街道科技大道</w:t>
            </w:r>
            <w:r>
              <w:rPr>
                <w:rFonts w:hint="eastAsia" w:ascii="仿宋_GB2312" w:hAnsi="仿宋" w:eastAsia="仿宋_GB2312" w:cs="仿宋_GB2312"/>
                <w:snapToGrid w:val="0"/>
                <w:sz w:val="24"/>
                <w:szCs w:val="24"/>
                <w:u w:val="single"/>
                <w:lang w:val="en-US" w:eastAsia="zh-CN"/>
              </w:rPr>
              <w:t>4398号市民中心B座B448室</w:t>
            </w:r>
            <w:r>
              <w:rPr>
                <w:rFonts w:hint="eastAsia" w:ascii="仿宋_GB2312" w:hAnsi="仿宋" w:eastAsia="仿宋_GB2312" w:cs="仿宋_GB2312"/>
                <w:snapToGrid w:val="0"/>
                <w:sz w:val="24"/>
                <w:szCs w:val="24"/>
                <w:u w:val="single"/>
              </w:rPr>
              <w:t>（杭州市公共资源交易中心</w:t>
            </w:r>
            <w:r>
              <w:rPr>
                <w:rFonts w:hint="eastAsia" w:ascii="仿宋_GB2312" w:hAnsi="仿宋" w:eastAsia="仿宋_GB2312" w:cs="仿宋_GB2312"/>
                <w:snapToGrid w:val="0"/>
                <w:sz w:val="24"/>
                <w:szCs w:val="24"/>
                <w:u w:val="single"/>
                <w:lang w:eastAsia="zh-CN"/>
              </w:rPr>
              <w:t>临安分中心</w:t>
            </w:r>
            <w:r>
              <w:rPr>
                <w:rFonts w:hint="eastAsia" w:ascii="仿宋_GB2312" w:hAnsi="仿宋" w:eastAsia="仿宋_GB2312" w:cs="仿宋_GB2312"/>
                <w:snapToGrid w:val="0"/>
                <w:sz w:val="24"/>
                <w:szCs w:val="24"/>
                <w:u w:val="single"/>
              </w:rPr>
              <w:t>政府采购</w:t>
            </w:r>
            <w:r>
              <w:rPr>
                <w:rFonts w:hint="eastAsia" w:ascii="仿宋_GB2312" w:hAnsi="仿宋" w:eastAsia="仿宋_GB2312" w:cs="仿宋_GB2312"/>
                <w:snapToGrid w:val="0"/>
                <w:sz w:val="24"/>
                <w:szCs w:val="24"/>
                <w:u w:val="single"/>
                <w:lang w:eastAsia="zh-CN"/>
              </w:rPr>
              <w:t>科</w:t>
            </w:r>
            <w:r>
              <w:rPr>
                <w:rFonts w:hint="eastAsia" w:ascii="仿宋_GB2312" w:hAnsi="仿宋" w:eastAsia="仿宋_GB2312" w:cs="仿宋_GB2312"/>
                <w:snapToGrid w:val="0"/>
                <w:sz w:val="24"/>
                <w:szCs w:val="24"/>
                <w:u w:val="single"/>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s="Times New Roman"/>
                <w:color w:val="000000" w:themeColor="text1"/>
                <w:kern w:val="28"/>
                <w:sz w:val="24"/>
                <w:szCs w:val="24"/>
                <w:highlight w:val="none"/>
                <w14:textFill>
                  <w14:solidFill>
                    <w14:schemeClr w14:val="tx1"/>
                  </w14:solidFill>
                </w14:textFill>
              </w:rPr>
              <w:t>；备份投标文件签收人员联系电话：</w:t>
            </w:r>
            <w:r>
              <w:rPr>
                <w:rFonts w:ascii="仿宋_GB2312" w:hAnsi="仿宋" w:eastAsia="仿宋_GB2312"/>
                <w:color w:val="000000" w:themeColor="text1"/>
                <w:sz w:val="24"/>
                <w:highlight w:val="none"/>
                <w:u w:val="single"/>
                <w14:textFill>
                  <w14:solidFill>
                    <w14:schemeClr w14:val="tx1"/>
                  </w14:solidFill>
                </w14:textFill>
              </w:rPr>
              <w:t>0571-</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23616011</w:t>
            </w:r>
            <w:r>
              <w:rPr>
                <w:rFonts w:hint="eastAsia" w:ascii="仿宋_GB2312" w:hAnsi="仿宋" w:eastAsia="仿宋_GB2312" w:cs="仿宋_GB2312"/>
                <w:color w:val="000000" w:themeColor="text1"/>
                <w:sz w:val="24"/>
                <w:szCs w:val="24"/>
                <w:highlight w:val="none"/>
                <w14:textFill>
                  <w14:solidFill>
                    <w14:schemeClr w14:val="tx1"/>
                  </w14:solidFill>
                </w14:textFill>
              </w:rPr>
              <w:t>。</w:t>
            </w:r>
          </w:p>
          <w:p>
            <w:pPr>
              <w:pStyle w:val="32"/>
              <w:spacing w:line="360" w:lineRule="auto"/>
              <w:rPr>
                <w:rFonts w:hint="eastAsia" w:ascii="仿宋_GB2312" w:hAnsi="仿宋" w:eastAsia="仿宋_GB2312" w:cs="Arial"/>
                <w:snapToGrid w:val="0"/>
                <w:color w:val="000000" w:themeColor="text1"/>
                <w:kern w:val="28"/>
                <w:sz w:val="24"/>
                <w:szCs w:val="21"/>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szCs w:val="24"/>
                <w:highlight w:val="none"/>
                <w14:textFill>
                  <w14:solidFill>
                    <w14:schemeClr w14:val="tx1"/>
                  </w14:solidFill>
                </w14:textFill>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 w:eastAsia="仿宋_GB2312" w:cs="仿宋_GB2312"/>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kern w:val="2"/>
                <w:sz w:val="24"/>
                <w:szCs w:val="22"/>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特别说明</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cstheme="minorBidi"/>
                <w:snapToGrid w:val="0"/>
                <w:color w:val="000000" w:themeColor="text1"/>
                <w:kern w:val="28"/>
                <w:sz w:val="24"/>
                <w:szCs w:val="22"/>
                <w:highlight w:val="none"/>
                <w:lang w:val="en-US" w:eastAsia="zh-CN" w:bidi="ar-SA"/>
                <w14:textFill>
                  <w14:solidFill>
                    <w14:schemeClr w14:val="tx1"/>
                  </w14:solidFill>
                </w14:textFill>
              </w:rPr>
            </w:pPr>
            <w:r>
              <w:rPr>
                <w:rFonts w:hint="eastAsia" w:ascii="仿宋_GB2312" w:hAnsi="仿宋" w:eastAsia="仿宋_GB2312"/>
                <w:snapToGrid w:val="0"/>
                <w:color w:val="000000" w:themeColor="text1"/>
                <w:kern w:val="28"/>
                <w:sz w:val="24"/>
                <w:highlight w:val="none"/>
                <w14:textFill>
                  <w14:solidFill>
                    <w14:schemeClr w14:val="tx1"/>
                  </w14:solidFill>
                </w14:textFill>
              </w:rPr>
              <w:t>无</w:t>
            </w:r>
            <w:r>
              <w:rPr>
                <w:rFonts w:hint="eastAsia" w:ascii="仿宋_GB2312" w:hAnsi="仿宋" w:eastAsia="仿宋_GB2312" w:cs="宋体"/>
                <w:b/>
                <w:color w:val="000000" w:themeColor="text1"/>
                <w:kern w:val="0"/>
                <w:sz w:val="24"/>
                <w:highlight w:val="none"/>
                <w14:textFill>
                  <w14:solidFill>
                    <w14:schemeClr w14:val="tx1"/>
                  </w14:solidFill>
                </w14:textFill>
              </w:rPr>
              <w:t>。</w:t>
            </w:r>
          </w:p>
        </w:tc>
      </w:tr>
    </w:tbl>
    <w:p>
      <w:pPr>
        <w:adjustRightInd w:val="0"/>
        <w:snapToGrid w:val="0"/>
        <w:spacing w:line="360" w:lineRule="auto"/>
        <w:jc w:val="center"/>
        <w:rPr>
          <w:rFonts w:ascii="仿宋_GB2312" w:hAnsi="仿宋" w:eastAsia="仿宋_GB2312" w:cs="仿宋_GB2312"/>
          <w:b/>
          <w:sz w:val="32"/>
          <w:szCs w:val="20"/>
        </w:rPr>
      </w:pPr>
    </w:p>
    <w:p>
      <w:pPr>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adjustRightInd w:val="0"/>
        <w:snapToGrid w:val="0"/>
        <w:spacing w:line="360" w:lineRule="auto"/>
        <w:jc w:val="left"/>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1. 适用范围</w:t>
      </w:r>
    </w:p>
    <w:p>
      <w:pPr>
        <w:adjustRightInd w:val="0"/>
        <w:snapToGrid w:val="0"/>
        <w:spacing w:line="360" w:lineRule="auto"/>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本招标文件适用于该项目的招标、投标、开标、资格审查及信用信息查询、评标、定标、合同、验收等行为（法律、法规另有规定的，从其规定）。</w:t>
      </w:r>
    </w:p>
    <w:p>
      <w:pPr>
        <w:adjustRightInd w:val="0"/>
        <w:snapToGrid w:val="0"/>
        <w:spacing w:line="360" w:lineRule="auto"/>
        <w:jc w:val="left"/>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2.定义</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2.1 “采购人”系指招标公告中载明的本项目的采购人。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2.2 “采购机构”系指招标公告中载明的本项目的采购机构。</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2.3 “投标人”系指是指响应招标、参加投标竞争的法人、其他组织或者自然人。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2.4 “负责人”系指法人企业的法定负责人，或其他组织为法律、行政法规规定代表单位行使职权的主要负责人，或自然人本人。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2.5</w:t>
      </w:r>
      <w:r>
        <w:rPr>
          <w:rFonts w:ascii="仿宋_GB2312" w:hAnsi="仿宋" w:eastAsia="仿宋_GB2312"/>
          <w:sz w:val="24"/>
        </w:rPr>
        <w:t>“电子签名”系指数据电文中以电子形式所含、所附用于识别签名人身份并表明签名人认可其中内容的数据；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2.6“电子交易平台”是指本项目政府采购活动所依托的政府采购云平台（https://www.zcygov.cn/）。</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2.7 </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系指实质性要求条款，“★”系产品采购项目中单一产品或核心产品，“</w:t>
      </w:r>
      <w:sdt>
        <w:sdtPr>
          <w:rPr>
            <w:rFonts w:hint="eastAsia" w:ascii="仿宋_GB2312" w:hAnsi="仿宋" w:eastAsia="仿宋_GB2312" w:cs="Arial"/>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系指适用本项目的要求，“</w:t>
      </w:r>
      <w:sdt>
        <w:sdtPr>
          <w:rPr>
            <w:rFonts w:hint="eastAsia" w:ascii="仿宋_GB2312" w:hAnsi="仿宋" w:eastAsia="仿宋_GB2312" w:cs="Arial"/>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系指不适用本项目的要求。</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3.</w:t>
      </w:r>
      <w:r>
        <w:rPr>
          <w:rFonts w:hint="eastAsia" w:ascii="仿宋_GB2312" w:hAnsi="仿宋" w:eastAsia="仿宋_GB2312" w:cs="Times New Roman"/>
          <w:szCs w:val="24"/>
        </w:rPr>
        <w:t xml:space="preserve"> </w:t>
      </w:r>
      <w:r>
        <w:rPr>
          <w:rFonts w:hint="eastAsia" w:ascii="仿宋_GB2312" w:hAnsi="仿宋" w:eastAsia="仿宋_GB2312" w:cs="Times New Roman"/>
          <w:b/>
          <w:sz w:val="24"/>
          <w:szCs w:val="24"/>
        </w:rPr>
        <w:t>采购项目需要落实的政府采购政策</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3.2 </w:t>
      </w:r>
      <w:r>
        <w:rPr>
          <w:rFonts w:hint="eastAsia" w:ascii="仿宋_GB2312" w:hAnsi="仿宋" w:eastAsia="仿宋_GB2312"/>
          <w:color w:val="000000" w:themeColor="text1"/>
          <w:sz w:val="24"/>
          <w:highlight w:val="none"/>
          <w14:textFill>
            <w14:solidFill>
              <w14:schemeClr w14:val="tx1"/>
            </w14:solidFill>
          </w14:textFill>
        </w:rPr>
        <w:t>支持绿色发展</w:t>
      </w:r>
    </w:p>
    <w:p>
      <w:pPr>
        <w:spacing w:line="360" w:lineRule="auto"/>
        <w:ind w:firstLine="480" w:firstLineChars="200"/>
        <w:rPr>
          <w:rFonts w:ascii="仿宋_GB2312" w:hAnsi="仿宋" w:eastAsia="仿宋_GB2312"/>
          <w:b/>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000000" w:themeColor="text1"/>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3.2.2 </w:t>
      </w:r>
      <w:r>
        <w:rPr>
          <w:rFonts w:hint="eastAsia" w:ascii="仿宋_GB2312" w:hAnsi="仿宋" w:eastAsia="仿宋_GB2312"/>
          <w:color w:val="000000" w:themeColor="text1"/>
          <w:sz w:val="24"/>
          <w:highlight w:val="none"/>
          <w14:textFill>
            <w14:solidFill>
              <w14:schemeClr w14:val="tx1"/>
            </w14:solidFill>
          </w14:textFill>
        </w:rPr>
        <w:t>修缮、装修类项目采购建材的，采购人应将绿色建筑和绿色建材性能、指标等作为实质性条件纳入招标文件和合同。</w:t>
      </w:r>
    </w:p>
    <w:p>
      <w:pPr>
        <w:spacing w:line="360" w:lineRule="auto"/>
        <w:ind w:firstLine="480" w:firstLineChars="200"/>
        <w:rPr>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3.2.3</w:t>
      </w:r>
      <w:r>
        <w:rPr>
          <w:rFonts w:hint="eastAsia" w:ascii="仿宋_GB2312" w:hAnsi="仿宋" w:eastAsia="仿宋_GB2312"/>
          <w:color w:val="000000" w:themeColor="text1"/>
          <w:sz w:val="24"/>
          <w:highlight w:val="none"/>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3.3支持中小企业发展</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eastAsia="仿宋_GB2312"/>
          <w:bCs/>
          <w:color w:val="000000" w:themeColor="text1"/>
          <w:sz w:val="24"/>
          <w:highlight w:val="none"/>
          <w14:textFill>
            <w14:solidFill>
              <w14:schemeClr w14:val="tx1"/>
            </w14:solidFill>
          </w14:textFill>
        </w:rPr>
        <w:t>3.3.2</w:t>
      </w:r>
      <w:r>
        <w:rPr>
          <w:rFonts w:hint="eastAsia" w:ascii="仿宋_GB2312" w:hAnsi="宋体" w:eastAsia="仿宋_GB2312"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3.3.3</w:t>
      </w:r>
      <w:r>
        <w:rPr>
          <w:rFonts w:hint="eastAsia" w:ascii="仿宋_GB2312" w:hAnsi="仿宋" w:eastAsia="仿宋_GB2312"/>
          <w:color w:val="000000" w:themeColor="text1"/>
          <w:sz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000000" w:themeColor="text1"/>
          <w:sz w:val="24"/>
          <w:highlight w:val="none"/>
          <w14:textFill>
            <w14:solidFill>
              <w14:schemeClr w14:val="tx1"/>
            </w14:solidFill>
          </w14:textFill>
        </w:rPr>
        <w:t>10%的扣除，用扣除后的价格参与评审。接受大中型企业与小微企业组成联合体或者允许大中型企业向一家或者多家小微企业分包的</w:t>
      </w:r>
      <w:r>
        <w:rPr>
          <w:rFonts w:hint="eastAsia" w:ascii="仿宋_GB2312" w:hAnsi="仿宋" w:eastAsia="仿宋_GB2312"/>
          <w:color w:val="000000" w:themeColor="text1"/>
          <w:sz w:val="24"/>
          <w:highlight w:val="none"/>
          <w14:textFill>
            <w14:solidFill>
              <w14:schemeClr w14:val="tx1"/>
            </w14:solidFill>
          </w14:textFill>
        </w:rPr>
        <w:t>政府</w:t>
      </w:r>
      <w:r>
        <w:rPr>
          <w:rFonts w:ascii="仿宋_GB2312" w:hAnsi="仿宋" w:eastAsia="仿宋_GB2312"/>
          <w:color w:val="000000" w:themeColor="text1"/>
          <w:sz w:val="24"/>
          <w:highlight w:val="none"/>
          <w14:textFill>
            <w14:solidFill>
              <w14:schemeClr w14:val="tx1"/>
            </w14:solidFill>
          </w14:textFill>
        </w:rPr>
        <w:t>采购</w:t>
      </w:r>
      <w:r>
        <w:rPr>
          <w:rFonts w:hint="eastAsia" w:ascii="仿宋_GB2312" w:hAnsi="仿宋" w:eastAsia="仿宋_GB2312"/>
          <w:color w:val="000000" w:themeColor="text1"/>
          <w:sz w:val="24"/>
          <w:highlight w:val="none"/>
          <w14:textFill>
            <w14:solidFill>
              <w14:schemeClr w14:val="tx1"/>
            </w14:solidFill>
          </w14:textFill>
        </w:rPr>
        <w:t>货物或服务</w:t>
      </w:r>
      <w:r>
        <w:rPr>
          <w:rFonts w:ascii="仿宋_GB2312" w:hAnsi="仿宋" w:eastAsia="仿宋_GB2312"/>
          <w:color w:val="000000" w:themeColor="text1"/>
          <w:sz w:val="24"/>
          <w:highlight w:val="none"/>
          <w14:textFill>
            <w14:solidFill>
              <w14:schemeClr w14:val="tx1"/>
            </w14:solidFill>
          </w14:textFill>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3.3.6</w:t>
      </w:r>
      <w:r>
        <w:rPr>
          <w:rFonts w:hint="eastAsia" w:ascii="仿宋_GB2312" w:hAnsi="仿宋" w:eastAsia="仿宋_GB2312"/>
          <w:color w:val="000000" w:themeColor="text1"/>
          <w:sz w:val="24"/>
          <w:highlight w:val="none"/>
          <w14:textFill>
            <w14:solidFill>
              <w14:schemeClr w14:val="tx1"/>
            </w14:solidFill>
          </w14:textFill>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r>
        <w:rPr>
          <w:rFonts w:hint="eastAsia" w:ascii="仿宋_GB2312" w:hAnsi="仿宋" w:eastAsia="仿宋_GB2312"/>
          <w:color w:val="000000" w:themeColor="text1"/>
          <w:sz w:val="24"/>
          <w:highlight w:val="none"/>
          <w14:textFill>
            <w14:solidFill>
              <w14:schemeClr w14:val="tx1"/>
            </w14:solidFill>
          </w14:textFill>
        </w:rPr>
        <w:t>。</w:t>
      </w:r>
    </w:p>
    <w:p>
      <w:pPr>
        <w:pStyle w:val="4"/>
        <w:numPr>
          <w:ilvl w:val="0"/>
          <w:numId w:val="0"/>
        </w:numPr>
        <w:ind w:leftChars="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3.4</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支持创新发展</w:t>
      </w:r>
    </w:p>
    <w:p>
      <w:pPr>
        <w:pStyle w:val="4"/>
        <w:numPr>
          <w:ilvl w:val="0"/>
          <w:numId w:val="0"/>
        </w:numPr>
        <w:ind w:leftChars="0" w:firstLine="480" w:firstLineChars="20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3.4.1 采购人优先采购被认定</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为首台套产品和“制造精品”的自主创新产品。</w:t>
      </w:r>
    </w:p>
    <w:p>
      <w:pPr>
        <w:pStyle w:val="4"/>
        <w:numPr>
          <w:ilvl w:val="0"/>
          <w:numId w:val="0"/>
        </w:numPr>
        <w:ind w:leftChars="0" w:firstLine="480" w:firstLineChars="20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3.4.2首台套产品</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被纳入《首台套产品推广应用指导目录》之日起</w:t>
      </w: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2年内，以及产品核心技术高于国内领先水平，并具有明晰自主知识产权的“制造精品”产品，</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自认定之日起</w:t>
      </w: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2年内视同已具备相应销售业绩，参加政府采购活动</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时业绩分值为满分。</w:t>
      </w:r>
    </w:p>
    <w:p>
      <w:pPr>
        <w:pStyle w:val="4"/>
        <w:numPr>
          <w:ilvl w:val="0"/>
          <w:numId w:val="0"/>
        </w:numPr>
        <w:ind w:leftChars="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p>
      <w:pPr>
        <w:adjustRightInd w:val="0"/>
        <w:spacing w:line="360" w:lineRule="auto"/>
        <w:ind w:firstLine="482" w:firstLineChars="200"/>
        <w:rPr>
          <w:rFonts w:ascii="仿宋_GB2312" w:hAnsi="仿宋" w:eastAsia="仿宋_GB2312" w:cs="Times New Roman"/>
          <w:b/>
          <w:sz w:val="24"/>
          <w:szCs w:val="24"/>
        </w:rPr>
      </w:pPr>
      <w:r>
        <w:rPr>
          <w:rFonts w:hint="eastAsia" w:ascii="仿宋_GB2312" w:hAnsi="仿宋" w:eastAsia="仿宋_GB2312" w:cs="Times New Roman"/>
          <w:b/>
          <w:sz w:val="24"/>
          <w:szCs w:val="24"/>
        </w:rPr>
        <w:t>4. 询问、质疑、投诉</w:t>
      </w:r>
    </w:p>
    <w:p>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4.1供应商询问</w:t>
      </w:r>
    </w:p>
    <w:p>
      <w:pPr>
        <w:autoSpaceDE w:val="0"/>
        <w:autoSpaceDN w:val="0"/>
        <w:spacing w:line="360" w:lineRule="auto"/>
        <w:ind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4.2供应商质疑</w:t>
      </w:r>
    </w:p>
    <w:p>
      <w:pPr>
        <w:pStyle w:val="32"/>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4.2</w:t>
      </w:r>
      <w:r>
        <w:rPr>
          <w:rFonts w:hint="eastAsia" w:ascii="仿宋_GB2312" w:hAnsi="仿宋_GB2312" w:eastAsia="仿宋_GB2312" w:cs="仿宋_GB2312"/>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4.2</w:t>
      </w:r>
      <w:r>
        <w:rPr>
          <w:rFonts w:hint="eastAsia" w:ascii="仿宋_GB2312" w:hAnsi="仿宋_GB2312" w:eastAsia="仿宋_GB2312" w:cs="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hint="eastAsia" w:ascii="仿宋_GB2312" w:hAnsi="仿宋_GB2312" w:eastAsia="仿宋_GB2312" w:cs="仿宋_GB2312"/>
          <w:snapToGrid/>
          <w:color w:val="auto"/>
          <w:kern w:val="2"/>
          <w:sz w:val="24"/>
        </w:rPr>
      </w:pPr>
      <w:r>
        <w:rPr>
          <w:rFonts w:hint="eastAsia" w:ascii="仿宋_GB2312" w:hAnsi="仿宋_GB2312" w:eastAsia="仿宋_GB2312" w:cs="仿宋_GB2312"/>
          <w:snapToGrid/>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4.2.2.2对采购过程提出质疑的，质疑期限为各采购程序环节结束之日起计算。</w:t>
      </w:r>
    </w:p>
    <w:p>
      <w:pPr>
        <w:pStyle w:val="32"/>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4.2.2.3对采购结果提出质疑的，质疑期限自采购结果公告期限届满之日起计算。</w:t>
      </w:r>
    </w:p>
    <w:p>
      <w:pPr>
        <w:pStyle w:val="32"/>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4.2.3</w:t>
      </w:r>
      <w:r>
        <w:rPr>
          <w:rFonts w:hint="eastAsia" w:ascii="仿宋_GB2312" w:hAnsi="仿宋_GB2312" w:eastAsia="仿宋_GB2312" w:cs="仿宋_GB2312"/>
          <w:sz w:val="24"/>
        </w:rPr>
        <w:t>供应商提出质疑应当提交质疑函和必要的证明材料。质疑函应当包括下列内容：</w:t>
      </w:r>
    </w:p>
    <w:p>
      <w:pPr>
        <w:pStyle w:val="32"/>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4.2.3.1供应商的姓名或者名称、地址、邮编、联系人及联系电话；</w:t>
      </w:r>
    </w:p>
    <w:p>
      <w:pPr>
        <w:pStyle w:val="32"/>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4.2.3.2质疑项目的名称、编号；</w:t>
      </w:r>
    </w:p>
    <w:p>
      <w:pPr>
        <w:pStyle w:val="32"/>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4.2.3.3具体、明确的质疑事项和与质疑事项相关的请求；</w:t>
      </w:r>
    </w:p>
    <w:p>
      <w:pPr>
        <w:pStyle w:val="32"/>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4.2.3.4事实依据；</w:t>
      </w:r>
    </w:p>
    <w:p>
      <w:pPr>
        <w:pStyle w:val="32"/>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4.2.3.5必要的法律依据；</w:t>
      </w:r>
    </w:p>
    <w:p>
      <w:pPr>
        <w:pStyle w:val="32"/>
        <w:spacing w:line="360" w:lineRule="auto"/>
        <w:ind w:firstLine="960" w:firstLineChars="4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4.2.3.6提出质疑的日期。</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供应商提交的质疑函需一式三份。供应商为自然人的，应当由本人签字；供应商为法人或者其他组织的，应当由法定代表人、主要负责人，或者其授权代表签字或者盖章，并加盖公章。</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质疑函范本及制作说明详见附件2。</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4.2.4对同一采购程序环节的质疑，供应商须一次性提出。</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lang w:val="zh-CN"/>
        </w:rPr>
        <w:t>4.2</w:t>
      </w:r>
      <w:r>
        <w:rPr>
          <w:rFonts w:hint="eastAsia" w:ascii="仿宋_GB2312" w:hAnsi="仿宋_GB2312" w:eastAsia="仿宋_GB2312" w:cs="仿宋_GB2312"/>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lang w:val="zh-CN"/>
        </w:rPr>
        <w:t>4.2</w:t>
      </w:r>
      <w:r>
        <w:rPr>
          <w:rFonts w:hint="eastAsia" w:ascii="仿宋_GB2312" w:hAnsi="仿宋_GB2312" w:eastAsia="仿宋_GB2312" w:cs="仿宋_GB2312"/>
        </w:rPr>
        <w:t>.6询问或者质疑事项可能影响采购结果的，采购人应当暂停签订合同，已经签订合同的，应当中止履行合同。</w:t>
      </w:r>
    </w:p>
    <w:p>
      <w:pPr>
        <w:pStyle w:val="643"/>
        <w:shd w:val="clear" w:color="auto" w:fill="FFFFFF"/>
        <w:snapToGrid w:val="0"/>
        <w:spacing w:after="240" w:afterAutospacing="0" w:line="360" w:lineRule="auto"/>
        <w:ind w:firstLine="480" w:firstLineChars="200"/>
        <w:contextualSpacing/>
        <w:rPr>
          <w:rFonts w:hint="eastAsia" w:ascii="仿宋_GB2312" w:hAnsi="仿宋_GB2312" w:eastAsia="仿宋_GB2312" w:cs="仿宋_GB2312"/>
          <w:lang w:val="zh-CN"/>
        </w:rPr>
      </w:pPr>
      <w:r>
        <w:rPr>
          <w:rFonts w:hint="eastAsia" w:ascii="仿宋_GB2312" w:hAnsi="仿宋_GB2312" w:eastAsia="仿宋_GB2312" w:cs="仿宋_GB2312"/>
          <w:lang w:val="zh-CN"/>
        </w:rPr>
        <w:t>4.3供应商投诉</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4.3.1质疑供应商对采购人、采购机构的答复不满意或者采购人、采购机构未在规定的时间内作出答复的，可以在答复期满后十五个工作日内向同级政府采购监督管理部门提出投诉。</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4.3.</w:t>
      </w:r>
      <w:r>
        <w:rPr>
          <w:rFonts w:hint="eastAsia" w:ascii="仿宋_GB2312" w:hAnsi="仿宋_GB2312" w:eastAsia="仿宋_GB2312" w:cs="仿宋_GB2312"/>
          <w:lang w:val="zh-CN"/>
        </w:rPr>
        <w:t>2</w:t>
      </w:r>
      <w:r>
        <w:rPr>
          <w:rFonts w:hint="eastAsia" w:ascii="仿宋_GB2312" w:hAnsi="仿宋_GB2312" w:eastAsia="仿宋_GB2312" w:cs="仿宋_GB2312"/>
        </w:rPr>
        <w:t>供应商投诉的事项不得超出已质疑事项的范围，基于质疑答复内容提出的投诉事项除外。</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4.3.3供应商投诉应当有明确的请求和必要的证明材料。</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4.3.5 以联合体形式参加政府采购活动的，其投诉应当由组成联合体的所有供应商共同提出。</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投诉书范本及制作说明详见附件3。</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4.4在线质疑、投诉。</w:t>
      </w:r>
    </w:p>
    <w:p>
      <w:pPr>
        <w:pStyle w:val="643"/>
        <w:shd w:val="clear" w:color="auto" w:fill="FFFFFF"/>
        <w:snapToGrid w:val="0"/>
        <w:spacing w:after="240" w:afterAutospacing="0" w:line="360" w:lineRule="auto"/>
        <w:ind w:firstLine="480" w:firstLineChars="200"/>
        <w:contextualSpacing/>
        <w:rPr>
          <w:rFonts w:hint="eastAsia" w:ascii="仿宋_GB2312" w:hAnsi="仿宋_GB2312" w:eastAsia="仿宋_GB2312" w:cs="仿宋_GB2312"/>
          <w:b/>
          <w:sz w:val="32"/>
          <w:szCs w:val="20"/>
        </w:rPr>
      </w:pPr>
      <w:r>
        <w:rPr>
          <w:rFonts w:hint="eastAsia" w:ascii="仿宋_GB2312" w:hAnsi="仿宋_GB2312" w:eastAsia="仿宋_GB2312" w:cs="仿宋_GB231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jc w:val="center"/>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二、招标文件的构成、澄清、修改</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5．招标文件的构成</w:t>
      </w:r>
    </w:p>
    <w:p>
      <w:pPr>
        <w:pStyle w:val="32"/>
        <w:spacing w:line="360" w:lineRule="auto"/>
        <w:ind w:firstLine="480" w:firstLineChars="2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 xml:space="preserve">5.1 </w:t>
      </w:r>
      <w:r>
        <w:rPr>
          <w:rFonts w:hint="eastAsia" w:ascii="仿宋_GB2312" w:hAnsi="仿宋" w:eastAsia="仿宋_GB2312" w:cs="仿宋_GB2312"/>
          <w:color w:val="000000" w:themeColor="text1"/>
          <w:sz w:val="24"/>
          <w:szCs w:val="24"/>
          <w:highlight w:val="none"/>
          <w14:textFill>
            <w14:solidFill>
              <w14:schemeClr w14:val="tx1"/>
            </w14:solidFill>
          </w14:textFill>
        </w:rPr>
        <w:t>招标文件包括下列文件及附件：</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5.1.1招标公告；</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5.1.2投标人须知；</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5.1.3采购需求；</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5.1.4评标</w:t>
      </w:r>
      <w:r>
        <w:rPr>
          <w:rFonts w:hint="eastAsia" w:ascii="仿宋_GB2312" w:hAnsi="仿宋" w:eastAsia="仿宋_GB2312" w:cs="仿宋_GB2312"/>
          <w:color w:val="000000" w:themeColor="text1"/>
          <w:sz w:val="24"/>
          <w:szCs w:val="24"/>
          <w:highlight w:val="none"/>
          <w14:textFill>
            <w14:solidFill>
              <w14:schemeClr w14:val="tx1"/>
            </w14:solidFill>
          </w14:textFill>
        </w:rPr>
        <w:t>办</w:t>
      </w:r>
      <w:r>
        <w:rPr>
          <w:rFonts w:ascii="仿宋_GB2312" w:hAnsi="仿宋" w:eastAsia="仿宋_GB2312" w:cs="仿宋_GB2312"/>
          <w:color w:val="000000" w:themeColor="text1"/>
          <w:sz w:val="24"/>
          <w:szCs w:val="24"/>
          <w:highlight w:val="none"/>
          <w14:textFill>
            <w14:solidFill>
              <w14:schemeClr w14:val="tx1"/>
            </w14:solidFill>
          </w14:textFill>
        </w:rPr>
        <w:t>法；</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5.1.5</w:t>
      </w:r>
      <w:r>
        <w:rPr>
          <w:rFonts w:hint="eastAsia" w:ascii="仿宋_GB2312" w:hAnsi="仿宋" w:eastAsia="仿宋_GB2312" w:cs="仿宋_GB2312"/>
          <w:color w:val="000000" w:themeColor="text1"/>
          <w:sz w:val="24"/>
          <w:szCs w:val="24"/>
          <w:highlight w:val="none"/>
          <w14:textFill>
            <w14:solidFill>
              <w14:schemeClr w14:val="tx1"/>
            </w14:solidFill>
          </w14:textFill>
        </w:rPr>
        <w:t>拟签订的合同文本；</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5.1.6</w:t>
      </w:r>
      <w:r>
        <w:rPr>
          <w:rFonts w:hint="eastAsia" w:ascii="仿宋_GB2312" w:hAnsi="仿宋" w:eastAsia="仿宋_GB2312" w:cs="仿宋_GB2312"/>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5.2与本项目有关的</w:t>
      </w:r>
      <w:r>
        <w:rPr>
          <w:rFonts w:hint="eastAsia" w:ascii="仿宋_GB2312" w:hAnsi="仿宋" w:eastAsia="仿宋_GB2312"/>
          <w:bCs/>
          <w:color w:val="000000" w:themeColor="text1"/>
          <w:sz w:val="24"/>
          <w:highlight w:val="none"/>
          <w14:textFill>
            <w14:solidFill>
              <w14:schemeClr w14:val="tx1"/>
            </w14:solidFill>
          </w14:textFill>
        </w:rPr>
        <w:t>澄清或者修改的内容为招标文件的组成部分</w:t>
      </w:r>
      <w:r>
        <w:rPr>
          <w:rFonts w:hint="eastAsia" w:ascii="仿宋_GB2312" w:hAnsi="仿宋" w:eastAsia="仿宋_GB2312" w:cs="仿宋_GB2312"/>
          <w:color w:val="000000" w:themeColor="text1"/>
          <w:sz w:val="24"/>
          <w:highlight w:val="none"/>
          <w14:textFill>
            <w14:solidFill>
              <w14:schemeClr w14:val="tx1"/>
            </w14:solidFill>
          </w14:textFill>
        </w:rPr>
        <w:t>。</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6. 招标文件的澄清、修改</w:t>
      </w:r>
    </w:p>
    <w:p>
      <w:pPr>
        <w:pStyle w:val="232"/>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6.1已获取招标文件的潜在投标人，若有问题需要澄清，应于投标截止时间前，以书面形式向采购机构提出。</w:t>
      </w:r>
    </w:p>
    <w:p>
      <w:pPr>
        <w:pStyle w:val="232"/>
        <w:snapToGrid w:val="0"/>
        <w:spacing w:before="0"/>
        <w:ind w:firstLine="480"/>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olor w:val="000000" w:themeColor="text1"/>
          <w:highlight w:val="none"/>
          <w14:textFill>
            <w14:solidFill>
              <w14:schemeClr w14:val="tx1"/>
            </w14:solidFill>
          </w14:textFill>
        </w:rPr>
        <w:t xml:space="preserve">6.2 </w:t>
      </w:r>
      <w:r>
        <w:rPr>
          <w:rFonts w:hint="eastAsia" w:ascii="仿宋_GB2312" w:hAnsi="仿宋" w:eastAsia="仿宋_GB2312"/>
          <w:color w:val="000000" w:themeColor="text1"/>
          <w:highlight w:val="none"/>
          <w14:textFill>
            <w14:solidFill>
              <w14:schemeClr w14:val="tx1"/>
            </w14:solidFill>
          </w14:textFill>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utoSpaceDE w:val="0"/>
        <w:autoSpaceDN w:val="0"/>
        <w:adjustRightInd w:val="0"/>
        <w:spacing w:line="360" w:lineRule="auto"/>
        <w:rPr>
          <w:rFonts w:ascii="仿宋_GB2312" w:hAnsi="仿宋" w:eastAsia="仿宋_GB2312" w:cs="仿宋_GB2312"/>
          <w:snapToGrid w:val="0"/>
          <w:sz w:val="18"/>
          <w:szCs w:val="18"/>
        </w:rPr>
      </w:pPr>
      <w:r>
        <w:rPr>
          <w:rFonts w:hint="eastAsia" w:ascii="仿宋_GB2312" w:hAnsi="仿宋" w:eastAsia="仿宋_GB2312" w:cs="仿宋_GB2312"/>
          <w:snapToGrid w:val="0"/>
          <w:sz w:val="24"/>
          <w:szCs w:val="24"/>
        </w:rPr>
        <w:t xml:space="preserve">    </w:t>
      </w:r>
    </w:p>
    <w:p>
      <w:pPr>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7. 招标文件的获取</w:t>
      </w:r>
    </w:p>
    <w:p>
      <w:pPr>
        <w:adjustRightInd w:val="0"/>
        <w:spacing w:line="360" w:lineRule="auto"/>
        <w:ind w:firstLine="480" w:firstLineChars="200"/>
        <w:rPr>
          <w:rFonts w:ascii="仿宋_GB2312" w:hAnsi="仿宋" w:eastAsia="仿宋_GB2312" w:cs="仿宋_GB2312"/>
          <w:snapToGrid w:val="0"/>
          <w:kern w:val="28"/>
          <w:sz w:val="24"/>
          <w:szCs w:val="24"/>
        </w:rPr>
      </w:pPr>
      <w:r>
        <w:rPr>
          <w:rFonts w:hint="eastAsia" w:ascii="仿宋_GB2312" w:hAnsi="仿宋" w:eastAsia="仿宋_GB2312" w:cs="仿宋_GB2312"/>
          <w:snapToGrid w:val="0"/>
          <w:kern w:val="28"/>
          <w:sz w:val="24"/>
          <w:szCs w:val="24"/>
        </w:rPr>
        <w:t>详见招标公告中获取招标文件的时间期限、地点、方式及招标文件售价。</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8.开标前答疑会或现场考察</w:t>
      </w:r>
    </w:p>
    <w:p>
      <w:pPr>
        <w:pStyle w:val="32"/>
        <w:spacing w:line="360" w:lineRule="auto"/>
        <w:ind w:firstLine="480" w:firstLineChars="200"/>
        <w:rPr>
          <w:rFonts w:ascii="仿宋_GB2312" w:hAnsi="仿宋" w:eastAsia="仿宋_GB2312" w:cs="Arial"/>
          <w:snapToGrid w:val="0"/>
          <w:sz w:val="24"/>
          <w:szCs w:val="24"/>
        </w:rPr>
      </w:pPr>
      <w:r>
        <w:rPr>
          <w:rFonts w:hint="eastAsia" w:ascii="仿宋_GB2312" w:hAnsi="仿宋" w:eastAsia="仿宋_GB2312"/>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adjustRightInd w:val="0"/>
        <w:spacing w:line="360" w:lineRule="auto"/>
        <w:rPr>
          <w:rFonts w:ascii="仿宋_GB2312" w:hAnsi="仿宋" w:eastAsia="仿宋_GB2312" w:cs="仿宋_GB2312"/>
          <w:b/>
          <w:snapToGrid w:val="0"/>
          <w:szCs w:val="24"/>
        </w:rPr>
      </w:pPr>
      <w:r>
        <w:rPr>
          <w:rFonts w:hint="eastAsia" w:ascii="仿宋_GB2312" w:hAnsi="仿宋" w:eastAsia="仿宋_GB2312" w:cs="Arial"/>
          <w:b/>
          <w:snapToGrid w:val="0"/>
          <w:kern w:val="28"/>
          <w:sz w:val="24"/>
          <w:szCs w:val="24"/>
        </w:rPr>
        <w:t>9.投标保证金</w:t>
      </w:r>
    </w:p>
    <w:p>
      <w:pPr>
        <w:adjustRightInd w:val="0"/>
        <w:spacing w:line="360" w:lineRule="auto"/>
        <w:ind w:firstLine="480" w:firstLineChars="200"/>
        <w:rPr>
          <w:rFonts w:hint="eastAsia"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本项目不需缴纳投标保证金。</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10. 投标文件的语言</w:t>
      </w:r>
    </w:p>
    <w:p>
      <w:pPr>
        <w:autoSpaceDE w:val="0"/>
        <w:autoSpaceDN w:val="0"/>
        <w:adjustRightInd w:val="0"/>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 w:eastAsia="仿宋_GB2312" w:cs="仿宋_GB2312"/>
          <w:sz w:val="24"/>
          <w:szCs w:val="24"/>
        </w:rPr>
        <w:t>投标</w:t>
      </w:r>
      <w:r>
        <w:rPr>
          <w:rFonts w:hint="eastAsia" w:ascii="仿宋_GB2312" w:hAnsi="仿宋_GB2312" w:eastAsia="仿宋_GB2312" w:cs="仿宋_GB2312"/>
          <w:sz w:val="24"/>
          <w:szCs w:val="24"/>
        </w:rPr>
        <w:t>文件及投标人与采购有关的来往通知、函件和文件均应使用中文。</w:t>
      </w:r>
    </w:p>
    <w:p>
      <w:pPr>
        <w:adjustRightInd w:val="0"/>
        <w:spacing w:line="360" w:lineRule="auto"/>
        <w:rPr>
          <w:rFonts w:hint="eastAsia"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11. 投标文件的组成</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w:t>
      </w:r>
      <w:r>
        <w:rPr>
          <w:rFonts w:hint="eastAsia" w:ascii="仿宋_GB2312" w:hAnsi="仿宋" w:eastAsia="仿宋_GB2312" w:cs="仿宋_GB2312"/>
          <w:b/>
          <w:color w:val="000000" w:themeColor="text1"/>
          <w:sz w:val="24"/>
          <w:highlight w:val="none"/>
          <w14:textFill>
            <w14:solidFill>
              <w14:schemeClr w14:val="tx1"/>
            </w14:solidFill>
          </w14:textFill>
        </w:rPr>
        <w:t>资格文件</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11.1.2落实政府采购政策需满足的资格要求；</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11.1.3本项目的特定资格要求。</w:t>
      </w:r>
    </w:p>
    <w:p>
      <w:pPr>
        <w:snapToGrid w:val="0"/>
        <w:spacing w:line="360" w:lineRule="auto"/>
        <w:ind w:firstLine="480" w:firstLineChars="2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lang w:val="zh-CN"/>
          <w14:textFill>
            <w14:solidFill>
              <w14:schemeClr w14:val="tx1"/>
            </w14:solidFill>
          </w14:textFill>
        </w:rPr>
        <w:t>11.</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商务技术</w:t>
      </w:r>
      <w:r>
        <w:rPr>
          <w:rFonts w:hint="eastAsia" w:ascii="仿宋_GB2312" w:hAnsi="仿宋" w:eastAsia="仿宋_GB2312" w:cs="仿宋_GB2312"/>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11.2.1投标函；</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11.2.3联合协议；</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11.2.4分包意向协议；</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11.2.5符合性审查资料；</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11.2.6评标标准相应的商务技术资料；</w:t>
      </w:r>
    </w:p>
    <w:p>
      <w:pPr>
        <w:pStyle w:val="2"/>
        <w:ind w:firstLine="480" w:firstLineChars="200"/>
        <w:rPr>
          <w:rFonts w:hint="default" w:eastAsia="仿宋_GB2312"/>
          <w:lang w:val="en-US" w:eastAsia="zh-CN"/>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11.2.7 投标标的清单；</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w:t>
      </w: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8</w:t>
      </w:r>
      <w:r>
        <w:rPr>
          <w:rFonts w:ascii="仿宋_GB2312" w:hAnsi="仿宋" w:eastAsia="仿宋_GB2312" w:cs="仿宋_GB2312"/>
          <w:color w:val="000000" w:themeColor="text1"/>
          <w:sz w:val="24"/>
          <w:highlight w:val="none"/>
          <w14:textFill>
            <w14:solidFill>
              <w14:schemeClr w14:val="tx1"/>
            </w14:solidFill>
          </w14:textFill>
        </w:rPr>
        <w:t>商务技术偏离表；</w:t>
      </w:r>
    </w:p>
    <w:p>
      <w:pPr>
        <w:snapToGrid w:val="0"/>
        <w:spacing w:line="360" w:lineRule="auto"/>
        <w:ind w:firstLine="960" w:firstLineChars="4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lang w:val="zh-CN"/>
          <w14:textFill>
            <w14:solidFill>
              <w14:schemeClr w14:val="tx1"/>
            </w14:solidFill>
          </w14:textFill>
        </w:rPr>
        <w:t>11.</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9</w:t>
      </w:r>
      <w:r>
        <w:rPr>
          <w:rFonts w:hint="eastAsia" w:ascii="仿宋_GB2312" w:hAnsi="仿宋" w:eastAsia="仿宋_GB2312" w:cs="仿宋_GB2312"/>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ascii="仿宋_GB2312" w:hAnsi="仿宋" w:eastAsia="仿宋_GB2312" w:cs="仿宋_GB2312"/>
          <w:color w:val="000000" w:themeColor="text1"/>
          <w:sz w:val="24"/>
          <w:highlight w:val="none"/>
          <w:u w:val="singl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11.</w:t>
      </w:r>
      <w:r>
        <w:rPr>
          <w:rFonts w:ascii="仿宋_GB2312" w:hAnsi="仿宋" w:eastAsia="仿宋_GB2312" w:cs="仿宋_GB2312"/>
          <w:color w:val="000000" w:themeColor="text1"/>
          <w:kern w:val="0"/>
          <w:sz w:val="24"/>
          <w:highlight w:val="none"/>
          <w14:textFill>
            <w14:solidFill>
              <w14:schemeClr w14:val="tx1"/>
            </w14:solidFill>
          </w14:textFill>
        </w:rPr>
        <w:t>3</w:t>
      </w:r>
      <w:r>
        <w:rPr>
          <w:rFonts w:hint="eastAsia" w:ascii="仿宋_GB2312" w:hAnsi="仿宋" w:eastAsia="仿宋_GB2312" w:cs="仿宋_GB2312"/>
          <w:b/>
          <w:color w:val="000000" w:themeColor="text1"/>
          <w:sz w:val="24"/>
          <w:highlight w:val="none"/>
          <w14:textFill>
            <w14:solidFill>
              <w14:schemeClr w14:val="tx1"/>
            </w14:solidFill>
          </w14:textFill>
        </w:rPr>
        <w:t>报价文件：</w:t>
      </w:r>
      <w:r>
        <w:rPr>
          <w:rFonts w:ascii="仿宋_GB2312" w:hAnsi="仿宋" w:eastAsia="仿宋_GB2312" w:cs="仿宋_GB2312"/>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11.3.2中小企业声明函。</w:t>
      </w:r>
    </w:p>
    <w:p>
      <w:pPr>
        <w:spacing w:line="360" w:lineRule="auto"/>
        <w:ind w:firstLine="723" w:firstLineChars="3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投标人提供虚假材料投标的，投标无效。</w:t>
      </w:r>
    </w:p>
    <w:p>
      <w:pPr>
        <w:adjustRightInd w:val="0"/>
        <w:snapToGrid w:val="0"/>
        <w:spacing w:after="120" w:line="360" w:lineRule="auto"/>
        <w:outlineLvl w:val="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12</w:t>
      </w:r>
      <w:r>
        <w:rPr>
          <w:rFonts w:hint="eastAsia" w:ascii="仿宋_GB2312" w:hAnsi="仿宋_GB2312" w:eastAsia="仿宋_GB2312" w:cs="仿宋_GB2312"/>
          <w:b/>
          <w:kern w:val="0"/>
          <w:sz w:val="24"/>
          <w:szCs w:val="24"/>
          <w:lang w:val="zh-CN"/>
        </w:rPr>
        <w:t xml:space="preserve">. </w:t>
      </w:r>
      <w:r>
        <w:rPr>
          <w:rFonts w:hint="eastAsia" w:ascii="仿宋_GB2312" w:hAnsi="仿宋_GB2312" w:eastAsia="仿宋_GB2312" w:cs="仿宋_GB2312"/>
          <w:b/>
          <w:sz w:val="24"/>
          <w:szCs w:val="24"/>
        </w:rPr>
        <w:t>投标文件的编制</w:t>
      </w:r>
    </w:p>
    <w:p>
      <w:pPr>
        <w:spacing w:line="360" w:lineRule="auto"/>
        <w:ind w:firstLine="480" w:firstLineChars="200"/>
        <w:rPr>
          <w:rFonts w:ascii="仿宋_GB2312" w:hAnsi="仿宋" w:eastAsia="仿宋_GB2312" w:cs="仿宋_GB2312"/>
          <w:b/>
          <w:color w:val="000000" w:themeColor="text1"/>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12.2投标人进行电子投标应安装客户端软件—“政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采云电子交易客户端”，并按照招标文件和电子交易平台的要求编制并加密投标文件。投标人未按规定加密的投标文件，电子交易平台将拒收并提示。</w:t>
      </w:r>
    </w:p>
    <w:p>
      <w:pPr>
        <w:adjustRightInd w:val="0"/>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12.3使用“政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采云电子交易客户端”需要提前申领</w:t>
      </w:r>
      <w:r>
        <w:rPr>
          <w:rFonts w:ascii="仿宋_GB2312" w:hAnsi="仿宋" w:eastAsia="仿宋_GB2312" w:cs="仿宋_GB2312"/>
          <w:color w:val="000000" w:themeColor="text1"/>
          <w:kern w:val="0"/>
          <w:sz w:val="24"/>
          <w:highlight w:val="none"/>
          <w:lang w:val="zh-CN"/>
          <w14:textFill>
            <w14:solidFill>
              <w14:schemeClr w14:val="tx1"/>
            </w14:solidFill>
          </w14:textFill>
        </w:rPr>
        <w:t>CA数字证书，申领流程请自行前往“浙江政府采购网-下载专区-电子交易客户端-CA驱动和申领流程”进行查阅。</w:t>
      </w:r>
    </w:p>
    <w:p>
      <w:pPr>
        <w:adjustRightInd w:val="0"/>
        <w:snapToGrid w:val="0"/>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13.投标文件的签署、盖章</w:t>
      </w:r>
    </w:p>
    <w:p>
      <w:pPr>
        <w:adjustRightInd w:val="0"/>
        <w:snapToGrid w:val="0"/>
        <w:spacing w:after="120" w:line="360" w:lineRule="auto"/>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szCs w:val="24"/>
        </w:rPr>
        <w:t>13.1投标文件按照招标文件第六部分格式要</w:t>
      </w:r>
      <w:r>
        <w:rPr>
          <w:rFonts w:hint="eastAsia" w:ascii="仿宋_GB2312" w:hAnsi="仿宋_GB2312" w:eastAsia="仿宋_GB2312" w:cs="仿宋_GB2312"/>
          <w:sz w:val="24"/>
        </w:rPr>
        <w:t>求进行签署、盖章。</w:t>
      </w:r>
      <w:r>
        <w:rPr>
          <w:rFonts w:hint="eastAsia" w:ascii="仿宋_GB2312" w:hAnsi="仿宋_GB2312" w:eastAsia="仿宋_GB2312" w:cs="仿宋_GB2312"/>
          <w:b/>
          <w:sz w:val="24"/>
        </w:rPr>
        <w:t>▲投标人的投标文件未按照招标文件要求签署、盖章的，其投标无效</w:t>
      </w:r>
      <w:r>
        <w:rPr>
          <w:rFonts w:hint="eastAsia" w:ascii="仿宋_GB2312" w:hAnsi="仿宋_GB2312" w:eastAsia="仿宋_GB2312" w:cs="仿宋_GB2312"/>
          <w:sz w:val="24"/>
          <w:szCs w:val="24"/>
        </w:rPr>
        <w:t>。</w:t>
      </w:r>
    </w:p>
    <w:p>
      <w:pPr>
        <w:adjustRightInd w:val="0"/>
        <w:snapToGrid w:val="0"/>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13.2为确保网上操作合法、有效和安全，投标人应当在投标截止时间前完成在“政府采购云平台”的身份认证，确保在电子投标过程中能够对相关数据电文进行加密和使用电子签名。</w:t>
      </w:r>
    </w:p>
    <w:p>
      <w:pPr>
        <w:pStyle w:val="4"/>
        <w:numPr>
          <w:ilvl w:val="0"/>
          <w:numId w:val="0"/>
        </w:numPr>
        <w:ind w:leftChars="0" w:firstLine="480" w:firstLineChars="200"/>
        <w:rPr>
          <w:rFonts w:hint="eastAsia" w:ascii="仿宋_GB2312" w:hAnsi="仿宋_GB2312" w:eastAsia="仿宋_GB2312" w:cs="仿宋_GB2312"/>
          <w:b w:val="0"/>
          <w:bCs w:val="0"/>
          <w:kern w:val="2"/>
          <w:sz w:val="24"/>
          <w:szCs w:val="22"/>
          <w:lang w:val="en-US" w:eastAsia="zh-CN" w:bidi="ar-SA"/>
        </w:rPr>
      </w:pPr>
      <w:r>
        <w:rPr>
          <w:rFonts w:hint="eastAsia" w:ascii="仿宋_GB2312" w:hAnsi="仿宋_GB2312" w:eastAsia="仿宋_GB2312" w:cs="仿宋_GB2312"/>
          <w:b w:val="0"/>
          <w:bCs w:val="0"/>
          <w:kern w:val="2"/>
          <w:sz w:val="24"/>
          <w:szCs w:val="22"/>
          <w:lang w:val="en-US" w:eastAsia="zh-CN" w:bidi="ar-SA"/>
        </w:rPr>
        <w:t>13.3招标文件对投标文件签署、盖章的要求适用于电子签名。</w:t>
      </w:r>
    </w:p>
    <w:p>
      <w:pPr>
        <w:adjustRightInd w:val="0"/>
        <w:spacing w:after="120"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14. 投标文件的提交、补充、修改、撤回</w:t>
      </w:r>
    </w:p>
    <w:p>
      <w:pPr>
        <w:pStyle w:val="232"/>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 xml:space="preserve">14.1 </w:t>
      </w:r>
      <w:r>
        <w:rPr>
          <w:rFonts w:hint="eastAsia" w:ascii="仿宋_GB2312" w:hAnsi="仿宋" w:eastAsia="仿宋_GB2312" w:cs="仿宋_GB2312"/>
          <w:color w:val="000000" w:themeColor="text1"/>
          <w:szCs w:val="24"/>
          <w:highlight w:val="none"/>
          <w14:textFill>
            <w14:solidFill>
              <w14:schemeClr w14:val="tx1"/>
            </w14:solidFill>
          </w14:textFill>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32"/>
        <w:spacing w:before="0"/>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232"/>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15.备份投标文件</w:t>
      </w:r>
    </w:p>
    <w:p>
      <w:pPr>
        <w:pStyle w:val="32"/>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000000" w:themeColor="text1"/>
          <w:sz w:val="24"/>
          <w:szCs w:val="24"/>
          <w:highlight w:val="none"/>
          <w14:textFill>
            <w14:solidFill>
              <w14:schemeClr w14:val="tx1"/>
            </w14:solidFill>
          </w14:textFill>
        </w:rPr>
        <w:t>但采购人、采购机构不强制或变相强制投标人提交备份投标文件。</w:t>
      </w:r>
    </w:p>
    <w:p>
      <w:pPr>
        <w:pStyle w:val="32"/>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15.2备份投标文件须在“政</w:t>
      </w:r>
      <w:r>
        <w:rPr>
          <w:rFonts w:hint="eastAsia" w:ascii="仿宋_GB2312" w:hAnsi="仿宋" w:eastAsia="仿宋_GB2312" w:cs="仿宋_GB2312"/>
          <w:color w:val="000000" w:themeColor="text1"/>
          <w:sz w:val="24"/>
          <w:szCs w:val="24"/>
          <w:highlight w:val="none"/>
          <w14:textFill>
            <w14:solidFill>
              <w14:schemeClr w14:val="tx1"/>
            </w14:solidFill>
          </w14:textFill>
        </w:rPr>
        <w:t>采云投标客户端”制作生成，并储存在</w:t>
      </w:r>
      <w:r>
        <w:rPr>
          <w:rFonts w:ascii="仿宋_GB2312" w:hAnsi="仿宋" w:eastAsia="仿宋_GB2312"/>
          <w:color w:val="000000" w:themeColor="text1"/>
          <w:sz w:val="24"/>
          <w:highlight w:val="none"/>
          <w14:textFill>
            <w14:solidFill>
              <w14:schemeClr w14:val="tx1"/>
            </w14:solidFill>
          </w14:textFill>
        </w:rPr>
        <w:t>DVD光盘</w:t>
      </w:r>
      <w:r>
        <w:rPr>
          <w:rFonts w:hint="eastAsia" w:ascii="仿宋_GB2312" w:hAnsi="仿宋" w:eastAsia="仿宋_GB2312" w:cs="仿宋_GB2312"/>
          <w:color w:val="000000" w:themeColor="text1"/>
          <w:sz w:val="24"/>
          <w:szCs w:val="24"/>
          <w:highlight w:val="none"/>
          <w14:textFill>
            <w14:solidFill>
              <w14:schemeClr w14:val="tx1"/>
            </w14:solidFill>
          </w14:textFill>
        </w:rPr>
        <w:t>中。备份投标文件应当密封包装并在包装上加盖公章并注明投标项目名称，投标人名称</w:t>
      </w:r>
      <w:r>
        <w:rPr>
          <w:rFonts w:ascii="仿宋_GB2312" w:hAnsi="仿宋" w:eastAsia="仿宋_GB2312" w:cs="仿宋_GB2312"/>
          <w:color w:val="000000" w:themeColor="text1"/>
          <w:sz w:val="24"/>
          <w:szCs w:val="24"/>
          <w:highlight w:val="none"/>
          <w14:textFill>
            <w14:solidFill>
              <w14:schemeClr w14:val="tx1"/>
            </w14:solidFill>
          </w14:textFill>
        </w:rPr>
        <w:t>(联合体投标的，包装物封面需注明联合体投标，并注明联合体成员各方的名称和联合协议中约定的牵头人的名称)。</w:t>
      </w:r>
      <w:r>
        <w:rPr>
          <w:rFonts w:hint="eastAsia" w:ascii="仿宋_GB2312" w:hAnsi="仿宋" w:eastAsia="仿宋_GB2312"/>
          <w:b/>
          <w:color w:val="000000" w:themeColor="text1"/>
          <w:sz w:val="24"/>
          <w:highlight w:val="none"/>
          <w14:textFill>
            <w14:solidFill>
              <w14:schemeClr w14:val="tx1"/>
            </w14:solidFill>
          </w14:textFill>
        </w:rPr>
        <w:t>不符合上述制作、</w:t>
      </w:r>
      <w:r>
        <w:rPr>
          <w:rFonts w:hint="eastAsia" w:ascii="仿宋_GB2312" w:hAnsi="仿宋" w:eastAsia="仿宋_GB2312" w:cs="仿宋_GB2312"/>
          <w:b/>
          <w:color w:val="000000" w:themeColor="text1"/>
          <w:sz w:val="24"/>
          <w:szCs w:val="24"/>
          <w:highlight w:val="none"/>
          <w14:textFill>
            <w14:solidFill>
              <w14:schemeClr w14:val="tx1"/>
            </w14:solidFill>
          </w14:textFill>
        </w:rPr>
        <w:t>存储、密封规定的备份投标文件将被视为无效或者被拒绝接收。</w:t>
      </w:r>
    </w:p>
    <w:p>
      <w:pPr>
        <w:pStyle w:val="32"/>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pPr>
        <w:pStyle w:val="32"/>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snapToGrid w:val="0"/>
          <w:sz w:val="24"/>
          <w:szCs w:val="24"/>
        </w:rPr>
      </w:pPr>
      <w:r>
        <w:rPr>
          <w:rFonts w:ascii="仿宋_GB2312" w:hAnsi="仿宋" w:eastAsia="仿宋_GB2312" w:cs="仿宋_GB2312"/>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仿宋_GB2312" w:hAnsi="仿宋" w:eastAsia="仿宋_GB2312" w:cs="仿宋_GB2312"/>
          <w:color w:val="000000" w:themeColor="text1"/>
          <w:sz w:val="24"/>
          <w:szCs w:val="24"/>
          <w:highlight w:val="none"/>
          <w14:textFill>
            <w14:solidFill>
              <w14:schemeClr w14:val="tx1"/>
            </w14:solidFill>
          </w14:textFill>
        </w:rPr>
        <w:t>送达时间以签收人签收时间为准。采购机构将拒绝接受逾期送达的备份投标文件。邮寄过程中，电子备份投标文件发生泄露、遗失、损坏或延期送达等情况的，由投标人自行负责。</w:t>
      </w:r>
    </w:p>
    <w:p>
      <w:pPr>
        <w:keepNext w:val="0"/>
        <w:keepLines w:val="0"/>
        <w:pageBreakBefore w:val="0"/>
        <w:widowControl w:val="0"/>
        <w:kinsoku/>
        <w:wordWrap/>
        <w:overflowPunct/>
        <w:topLinePunct w:val="0"/>
        <w:autoSpaceDE/>
        <w:autoSpaceDN/>
        <w:bidi w:val="0"/>
        <w:adjustRightInd w:val="0"/>
        <w:snapToGrid/>
        <w:spacing w:line="360" w:lineRule="auto"/>
        <w:ind w:firstLine="361" w:firstLineChars="150"/>
        <w:textAlignment w:val="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15.5投标人仅提交备份投标文件，没有在电子交易平台传输递交投标文件的，投标无效。</w:t>
      </w:r>
    </w:p>
    <w:p>
      <w:pPr>
        <w:keepNext w:val="0"/>
        <w:keepLines w:val="0"/>
        <w:pageBreakBefore w:val="0"/>
        <w:widowControl w:val="0"/>
        <w:kinsoku/>
        <w:wordWrap/>
        <w:overflowPunct/>
        <w:topLinePunct w:val="0"/>
        <w:autoSpaceDE/>
        <w:autoSpaceDN/>
        <w:bidi w:val="0"/>
        <w:adjustRightInd w:val="0"/>
        <w:snapToGrid/>
        <w:spacing w:after="120" w:line="360" w:lineRule="auto"/>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16.投标文件的无效处理</w:t>
      </w:r>
    </w:p>
    <w:p>
      <w:pPr>
        <w:keepNext w:val="0"/>
        <w:keepLines w:val="0"/>
        <w:pageBreakBefore w:val="0"/>
        <w:widowControl w:val="0"/>
        <w:kinsoku/>
        <w:wordWrap/>
        <w:overflowPunct/>
        <w:topLinePunct w:val="0"/>
        <w:autoSpaceDE/>
        <w:autoSpaceDN/>
        <w:bidi w:val="0"/>
        <w:adjustRightInd w:val="0"/>
        <w:snapToGrid/>
        <w:spacing w:after="120" w:line="360" w:lineRule="auto"/>
        <w:ind w:firstLine="480" w:firstLineChars="200"/>
        <w:textAlignment w:val="auto"/>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有招标文件第四部分第</w:t>
      </w:r>
      <w:r>
        <w:rPr>
          <w:rFonts w:hint="eastAsia" w:ascii="仿宋_GB2312" w:hAnsi="仿宋" w:eastAsia="仿宋_GB2312" w:cs="仿宋_GB2312"/>
          <w:snapToGrid w:val="0"/>
          <w:sz w:val="24"/>
          <w:szCs w:val="24"/>
          <w:lang w:val="en-US" w:eastAsia="zh-CN"/>
        </w:rPr>
        <w:t>4.2</w:t>
      </w:r>
      <w:r>
        <w:rPr>
          <w:rFonts w:ascii="仿宋_GB2312" w:hAnsi="仿宋" w:eastAsia="仿宋_GB2312" w:cs="仿宋_GB2312"/>
          <w:snapToGrid w:val="0"/>
          <w:sz w:val="24"/>
          <w:szCs w:val="24"/>
        </w:rPr>
        <w:t>项规定的情形之一的，投标无效</w:t>
      </w:r>
      <w:r>
        <w:rPr>
          <w:rFonts w:hint="eastAsia" w:ascii="仿宋_GB2312" w:hAnsi="仿宋" w:eastAsia="仿宋_GB2312" w:cs="仿宋_GB2312"/>
          <w:snapToGrid w:val="0"/>
          <w:sz w:val="24"/>
          <w:szCs w:val="24"/>
        </w:rPr>
        <w:t>。</w:t>
      </w:r>
    </w:p>
    <w:p>
      <w:pPr>
        <w:keepNext w:val="0"/>
        <w:keepLines w:val="0"/>
        <w:pageBreakBefore w:val="0"/>
        <w:widowControl w:val="0"/>
        <w:kinsoku/>
        <w:wordWrap/>
        <w:overflowPunct/>
        <w:topLinePunct w:val="0"/>
        <w:autoSpaceDE/>
        <w:autoSpaceDN/>
        <w:bidi w:val="0"/>
        <w:adjustRightInd w:val="0"/>
        <w:snapToGrid/>
        <w:spacing w:after="120" w:line="360" w:lineRule="auto"/>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17.投标有效期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cs="仿宋_GB2312"/>
          <w:b/>
          <w:sz w:val="24"/>
          <w:szCs w:val="21"/>
        </w:rPr>
      </w:pPr>
      <w:r>
        <w:rPr>
          <w:rFonts w:hint="eastAsia" w:ascii="仿宋_GB2312" w:hAnsi="仿宋" w:eastAsia="仿宋_GB2312" w:cs="仿宋_GB2312"/>
          <w:sz w:val="24"/>
          <w:szCs w:val="20"/>
        </w:rPr>
        <w:t>17.1投标有效期为从提交投标文件的截止之日起90天。</w:t>
      </w:r>
      <w:r>
        <w:rPr>
          <w:rFonts w:ascii="仿宋_GB2312" w:hAnsi="仿宋" w:eastAsia="仿宋_GB2312" w:cs="仿宋_GB2312"/>
          <w:sz w:val="24"/>
          <w:szCs w:val="20"/>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keepNext w:val="0"/>
        <w:keepLines w:val="0"/>
        <w:pageBreakBefore w:val="0"/>
        <w:widowControl w:val="0"/>
        <w:kinsoku/>
        <w:wordWrap/>
        <w:overflowPunct/>
        <w:topLinePunct w:val="0"/>
        <w:autoSpaceDE/>
        <w:autoSpaceDN/>
        <w:bidi w:val="0"/>
        <w:adjustRightInd w:val="0"/>
        <w:snapToGrid/>
        <w:spacing w:after="120" w:line="360" w:lineRule="auto"/>
        <w:ind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17.2投标文件合格投递后，自投标截止日期起，在投标有效期内有效。</w:t>
      </w:r>
    </w:p>
    <w:p>
      <w:pPr>
        <w:keepNext w:val="0"/>
        <w:keepLines w:val="0"/>
        <w:pageBreakBefore w:val="0"/>
        <w:widowControl w:val="0"/>
        <w:kinsoku/>
        <w:wordWrap/>
        <w:overflowPunct/>
        <w:topLinePunct w:val="0"/>
        <w:autoSpaceDE/>
        <w:autoSpaceDN/>
        <w:bidi w:val="0"/>
        <w:adjustRightInd w:val="0"/>
        <w:snapToGrid/>
        <w:spacing w:after="120" w:line="360" w:lineRule="auto"/>
        <w:ind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17.3在原定投标有效期满之前，如果出现特殊情况，采购机构可以以书面形式通知投标人延长投标有效期。投标人同意延长的，不得要求或被允许修改其投标文件，投标人拒绝延长的，其投标无效。</w:t>
      </w:r>
    </w:p>
    <w:p>
      <w:pPr>
        <w:adjustRightInd w:val="0"/>
        <w:spacing w:after="120" w:line="360" w:lineRule="auto"/>
        <w:ind w:firstLine="643" w:firstLineChars="200"/>
        <w:rPr>
          <w:rFonts w:ascii="仿宋_GB2312" w:hAnsi="仿宋" w:eastAsia="仿宋_GB2312" w:cs="仿宋_GB2312"/>
          <w:b/>
          <w:sz w:val="32"/>
        </w:rPr>
      </w:pPr>
    </w:p>
    <w:p>
      <w:pPr>
        <w:adjustRightInd w:val="0"/>
        <w:spacing w:after="120" w:line="360" w:lineRule="auto"/>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autoSpaceDE w:val="0"/>
        <w:autoSpaceDN w:val="0"/>
        <w:adjustRightInd w:val="0"/>
        <w:spacing w:line="360" w:lineRule="auto"/>
        <w:contextualSpacing/>
        <w:rPr>
          <w:rFonts w:ascii="仿宋_GB2312" w:hAnsi="仿宋" w:eastAsia="仿宋_GB2312" w:cs="Times New Roman"/>
          <w:kern w:val="0"/>
          <w:sz w:val="24"/>
          <w:szCs w:val="20"/>
        </w:rPr>
      </w:pPr>
      <w:r>
        <w:rPr>
          <w:rFonts w:hint="eastAsia" w:ascii="仿宋_GB2312" w:hAnsi="仿宋" w:eastAsia="仿宋_GB2312" w:cs="仿宋_GB2312"/>
          <w:b/>
          <w:kern w:val="0"/>
          <w:sz w:val="24"/>
          <w:szCs w:val="24"/>
        </w:rPr>
        <w:t>18.开标</w:t>
      </w:r>
      <w:r>
        <w:rPr>
          <w:rFonts w:hint="eastAsia" w:ascii="仿宋_GB2312" w:hAnsi="仿宋" w:eastAsia="仿宋_GB2312" w:cs="Times New Roman"/>
          <w:kern w:val="0"/>
          <w:sz w:val="24"/>
          <w:szCs w:val="20"/>
        </w:rPr>
        <w:t xml:space="preserve"> </w:t>
      </w:r>
    </w:p>
    <w:p>
      <w:pPr>
        <w:autoSpaceDE w:val="0"/>
        <w:autoSpaceDN w:val="0"/>
        <w:adjustRightInd w:val="0"/>
        <w:spacing w:line="360" w:lineRule="auto"/>
        <w:ind w:firstLine="480" w:firstLineChars="200"/>
        <w:contextualSpacing/>
        <w:rPr>
          <w:rFonts w:ascii="仿宋_GB2312" w:hAnsi="仿宋" w:eastAsia="仿宋_GB2312" w:cs="仿宋_GB2312"/>
          <w:kern w:val="0"/>
          <w:sz w:val="24"/>
          <w:szCs w:val="20"/>
        </w:rPr>
      </w:pPr>
      <w:r>
        <w:rPr>
          <w:rFonts w:hint="eastAsia" w:ascii="仿宋_GB2312" w:hAnsi="仿宋" w:eastAsia="仿宋_GB2312" w:cs="仿宋_GB2312"/>
          <w:kern w:val="0"/>
          <w:sz w:val="24"/>
          <w:szCs w:val="20"/>
        </w:rPr>
        <w:t>18.1采购机构按照招标文件规定的时间通过电子交易平台组织开标，所有投标人均应当准时在线参加。投标人不足3家的，不得开标。</w:t>
      </w:r>
    </w:p>
    <w:p>
      <w:pPr>
        <w:keepNext w:val="0"/>
        <w:keepLines w:val="0"/>
        <w:pageBreakBefore w:val="0"/>
        <w:kinsoku/>
        <w:wordWrap/>
        <w:overflowPunct/>
        <w:topLinePunct w:val="0"/>
        <w:autoSpaceDE w:val="0"/>
        <w:autoSpaceDN w:val="0"/>
        <w:bidi w:val="0"/>
        <w:adjustRightInd w:val="0"/>
        <w:snapToGrid/>
        <w:spacing w:line="360" w:lineRule="auto"/>
        <w:ind w:firstLine="240" w:firstLineChars="100"/>
        <w:contextualSpacing/>
        <w:textAlignment w:val="auto"/>
        <w:rPr>
          <w:rFonts w:hint="eastAsia" w:ascii="仿宋_GB2312" w:hAnsi="仿宋_GB2312" w:eastAsia="仿宋_GB2312" w:cs="仿宋_GB2312"/>
          <w:kern w:val="0"/>
          <w:sz w:val="24"/>
          <w:szCs w:val="20"/>
        </w:rPr>
      </w:pPr>
      <w:r>
        <w:rPr>
          <w:rFonts w:hint="eastAsia" w:ascii="仿宋_GB2312" w:hAnsi="仿宋" w:eastAsia="仿宋_GB2312" w:cs="仿宋_GB2312"/>
          <w:kern w:val="0"/>
          <w:sz w:val="24"/>
          <w:szCs w:val="20"/>
        </w:rPr>
        <w:t>　18.2开标时，电子交易平台按开标时间自动提取所有投标文件。采购机构依托电子交</w:t>
      </w:r>
      <w:r>
        <w:rPr>
          <w:rFonts w:hint="eastAsia" w:ascii="仿宋_GB2312" w:hAnsi="仿宋_GB2312" w:eastAsia="仿宋_GB2312" w:cs="仿宋_GB2312"/>
          <w:kern w:val="0"/>
          <w:sz w:val="24"/>
          <w:szCs w:val="20"/>
        </w:rPr>
        <w:t>易平台发起开始解密指令，投标人按照平台提示和招标文件的规定在半小时内完成在线解密。</w:t>
      </w:r>
    </w:p>
    <w:p>
      <w:pPr>
        <w:keepNext w:val="0"/>
        <w:keepLines w:val="0"/>
        <w:pageBreakBefore w:val="0"/>
        <w:kinsoku/>
        <w:wordWrap/>
        <w:overflowPunct/>
        <w:topLinePunct w:val="0"/>
        <w:autoSpaceDE w:val="0"/>
        <w:autoSpaceDN w:val="0"/>
        <w:bidi w:val="0"/>
        <w:adjustRightInd w:val="0"/>
        <w:snapToGrid/>
        <w:spacing w:line="360" w:lineRule="auto"/>
        <w:ind w:firstLine="240" w:firstLineChars="100"/>
        <w:contextualSpacing/>
        <w:textAlignment w:val="auto"/>
        <w:rPr>
          <w:rFonts w:hint="eastAsia" w:ascii="仿宋_GB2312" w:hAnsi="仿宋_GB2312" w:eastAsia="仿宋_GB2312" w:cs="仿宋_GB2312"/>
          <w:b/>
          <w:kern w:val="0"/>
          <w:sz w:val="24"/>
          <w:szCs w:val="20"/>
        </w:rPr>
      </w:pPr>
      <w:r>
        <w:rPr>
          <w:rFonts w:hint="eastAsia" w:ascii="仿宋_GB2312" w:hAnsi="仿宋_GB2312" w:eastAsia="仿宋_GB2312" w:cs="仿宋_GB2312"/>
          <w:kern w:val="0"/>
          <w:sz w:val="24"/>
          <w:szCs w:val="20"/>
        </w:rPr>
        <w:t>　18.3</w:t>
      </w:r>
      <w:r>
        <w:rPr>
          <w:rFonts w:hint="eastAsia" w:ascii="仿宋_GB2312" w:hAnsi="仿宋_GB2312" w:eastAsia="仿宋_GB2312" w:cs="仿宋_GB2312"/>
          <w:b/>
          <w:kern w:val="0"/>
          <w:sz w:val="24"/>
          <w:szCs w:val="20"/>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bidi w:val="0"/>
        <w:adjustRightInd w:val="0"/>
        <w:snapToGrid/>
        <w:spacing w:before="100" w:beforeAutospacing="1" w:after="240" w:line="360" w:lineRule="auto"/>
        <w:jc w:val="left"/>
        <w:textAlignment w:val="auto"/>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19、资格审查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19.1开标后，采购人或采购机构将依法对投标人的资格进行审查。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19.2采购人或采购机构依据法律法规和招标文件的规定，对投标人的基本资格条件、特定资格条件进行审查。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19.3投标人未按照招标文件要求提供与基本资格条件、特定资格条件相应的有效资格证明材料的，视为投标人不具备招标文件中规定的资格要求，其投标无效。</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19.4对未通过资格审查的投标人，采购人或采购机构告知其未通过的原因。</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19.5合格投标人不足3家的，不再评标。</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20、信用信息查询</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20.1信用信息查询渠道及截止时间：采购机构将通过“信用中国”网站(www.creditchina.gov.cn)、中国政府采购网(www.ccgp.gov.cn)渠道查询投标人投标截止时间当天的信用记录。</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20.2信用信息查询记录和证据留存的具体方式：现场查询的投标人的信用记录、查询结果经确认后将与采购文件一起存档。</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20.3信用信息的使用规则：经查询列入失信被执行人名单、重大税收违法案件当事人名单、政府采购严重违法失信行为记录名单的投标人将被拒绝参与政府采购活动。</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sz w:val="24"/>
        </w:rPr>
        <w:t>。</w:t>
      </w:r>
    </w:p>
    <w:p>
      <w:pPr>
        <w:adjustRightInd w:val="0"/>
        <w:spacing w:after="120" w:line="360" w:lineRule="auto"/>
        <w:rPr>
          <w:rFonts w:ascii="仿宋_GB2312" w:hAnsi="仿宋" w:eastAsia="仿宋_GB2312" w:cs="Arial"/>
          <w:kern w:val="0"/>
          <w:sz w:val="24"/>
          <w:szCs w:val="24"/>
        </w:rPr>
      </w:pPr>
    </w:p>
    <w:p>
      <w:pPr>
        <w:adjustRightInd w:val="0"/>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adjustRightInd w:val="0"/>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21.</w:t>
      </w:r>
      <w:r>
        <w:rPr>
          <w:rFonts w:hint="eastAsia" w:ascii="仿宋_GB2312" w:hAnsi="仿宋" w:eastAsia="仿宋_GB2312" w:cs="Times New Roman"/>
          <w:szCs w:val="24"/>
        </w:rPr>
        <w:t xml:space="preserve"> </w:t>
      </w:r>
      <w:r>
        <w:rPr>
          <w:rFonts w:hint="eastAsia" w:ascii="仿宋_GB2312" w:hAnsi="仿宋" w:eastAsia="仿宋_GB2312" w:cs="仿宋_GB2312"/>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000000" w:themeColor="text1"/>
          <w:sz w:val="24"/>
          <w:highlight w:val="none"/>
          <w14:textFill>
            <w14:solidFill>
              <w14:schemeClr w14:val="tx1"/>
            </w14:solidFill>
          </w14:textFill>
        </w:rPr>
        <w:t>详见招标文件第四部分评标办法。</w:t>
      </w:r>
    </w:p>
    <w:p>
      <w:pPr>
        <w:adjustRightInd w:val="0"/>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 标</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22. 确定中标供应商</w:t>
      </w:r>
    </w:p>
    <w:p>
      <w:pPr>
        <w:adjustRightInd w:val="0"/>
        <w:snapToGrid w:val="0"/>
        <w:spacing w:after="120" w:line="360" w:lineRule="auto"/>
        <w:ind w:firstLine="480" w:firstLineChars="200"/>
        <w:rPr>
          <w:rFonts w:hint="eastAsia" w:ascii="仿宋_GB2312" w:hAnsi="仿宋" w:eastAsia="仿宋_GB2312" w:cs="仿宋_GB2312"/>
          <w:b w:val="0"/>
          <w:bCs/>
          <w:sz w:val="24"/>
          <w:szCs w:val="24"/>
        </w:rPr>
      </w:pPr>
      <w:r>
        <w:rPr>
          <w:rFonts w:hint="eastAsia" w:ascii="仿宋_GB2312" w:hAnsi="仿宋" w:eastAsia="仿宋_GB2312" w:cs="仿宋_GB2312"/>
          <w:b w:val="0"/>
          <w:bCs/>
          <w:sz w:val="24"/>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adjustRightInd w:val="0"/>
        <w:snapToGri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23. 中标通知与中标结果公告</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23.1自中标人确定之日起2个工作日内，采购机构通过电子交易平台向中标人发出中标通知书，</w:t>
      </w:r>
      <w:r>
        <w:rPr>
          <w:rFonts w:hint="eastAsia" w:ascii="仿宋_GB2312" w:hAnsi="仿宋" w:eastAsia="仿宋_GB2312" w:cs="仿宋_GB2312"/>
          <w:color w:val="000000" w:themeColor="text1"/>
          <w:sz w:val="24"/>
          <w:highlight w:val="none"/>
          <w14:textFill>
            <w14:solidFill>
              <w14:schemeClr w14:val="tx1"/>
            </w14:solidFill>
          </w14:textFill>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000000" w:themeColor="text1"/>
          <w:sz w:val="24"/>
          <w:highlight w:val="none"/>
          <w14:textFill>
            <w14:solidFill>
              <w14:schemeClr w14:val="tx1"/>
            </w14:solidFill>
          </w14:textFill>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b/>
          <w:sz w:val="32"/>
          <w:szCs w:val="24"/>
        </w:rPr>
      </w:pPr>
      <w:r>
        <w:rPr>
          <w:rFonts w:ascii="仿宋_GB2312" w:hAnsi="仿宋" w:eastAsia="仿宋_GB2312" w:cs="仿宋_GB2312"/>
          <w:color w:val="000000" w:themeColor="text1"/>
          <w:sz w:val="24"/>
          <w:highlight w:val="none"/>
          <w14:textFill>
            <w14:solidFill>
              <w14:schemeClr w14:val="tx1"/>
            </w14:solidFill>
          </w14:textFill>
        </w:rPr>
        <w:t>23.3公告期限为1个工作日。</w:t>
      </w:r>
    </w:p>
    <w:p>
      <w:pPr>
        <w:keepNext w:val="0"/>
        <w:keepLines w:val="0"/>
        <w:pageBreakBefore w:val="0"/>
        <w:numPr>
          <w:ilvl w:val="0"/>
          <w:numId w:val="9"/>
        </w:numPr>
        <w:kinsoku/>
        <w:wordWrap/>
        <w:overflowPunct/>
        <w:topLinePunct w:val="0"/>
        <w:autoSpaceDE/>
        <w:autoSpaceDN/>
        <w:bidi w:val="0"/>
        <w:adjustRightInd w:val="0"/>
        <w:spacing w:after="120" w:line="360" w:lineRule="auto"/>
        <w:jc w:val="center"/>
        <w:textAlignment w:val="auto"/>
        <w:rPr>
          <w:rFonts w:hint="eastAsia"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合同授予</w:t>
      </w:r>
    </w:p>
    <w:p>
      <w:pPr>
        <w:keepNext w:val="0"/>
        <w:keepLines w:val="0"/>
        <w:pageBreakBefore w:val="0"/>
        <w:numPr>
          <w:ilvl w:val="0"/>
          <w:numId w:val="0"/>
        </w:numPr>
        <w:kinsoku/>
        <w:wordWrap/>
        <w:overflowPunct/>
        <w:topLinePunct w:val="0"/>
        <w:autoSpaceDE/>
        <w:autoSpaceDN/>
        <w:bidi w:val="0"/>
        <w:adjustRightInd w:val="0"/>
        <w:spacing w:after="120" w:line="360" w:lineRule="auto"/>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 xml:space="preserve">24. </w:t>
      </w:r>
      <w:r>
        <w:rPr>
          <w:rFonts w:hint="eastAsia" w:ascii="仿宋_GB2312" w:hAnsi="仿宋" w:eastAsia="仿宋_GB2312" w:cs="仿宋_GB2312"/>
          <w:sz w:val="24"/>
          <w:szCs w:val="24"/>
        </w:rPr>
        <w:t>合同主要条款详见第五部分拟签订的合同文本。</w:t>
      </w:r>
    </w:p>
    <w:p>
      <w:pPr>
        <w:keepNext w:val="0"/>
        <w:keepLines w:val="0"/>
        <w:pageBreakBefore w:val="0"/>
        <w:kinsoku/>
        <w:wordWrap/>
        <w:overflowPunct/>
        <w:topLinePunct w:val="0"/>
        <w:autoSpaceDE/>
        <w:autoSpaceDN/>
        <w:bidi w:val="0"/>
        <w:adjustRightInd w:val="0"/>
        <w:spacing w:after="120" w:line="360" w:lineRule="auto"/>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25. </w:t>
      </w:r>
      <w:r>
        <w:rPr>
          <w:rFonts w:hint="eastAsia" w:ascii="仿宋_GB2312" w:hAnsi="仿宋" w:eastAsia="仿宋_GB2312" w:cs="仿宋_GB2312"/>
          <w:b/>
          <w:sz w:val="24"/>
          <w:szCs w:val="24"/>
        </w:rPr>
        <w:t>合同的签订</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lang w:val="zh-CN"/>
        </w:rPr>
      </w:pPr>
      <w:r>
        <w:rPr>
          <w:rFonts w:hint="eastAsia" w:ascii="仿宋_GB2312" w:hAnsi="仿宋" w:eastAsia="仿宋_GB2312" w:cs="Arial"/>
          <w:kern w:val="0"/>
          <w:sz w:val="24"/>
          <w:szCs w:val="24"/>
          <w:lang w:val="zh-CN"/>
        </w:rPr>
        <w:t>25.1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lang w:val="zh-CN"/>
        </w:rPr>
        <w:t>25.2中标人按规定的日期、时间、地点，由法定代表人或其授权代表与采购人代表签订合同。如中标人为联合体的，由联合体成员各方法定代表人或其授权代表与采购人代表签订合同。</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rPr>
        <w:t>25.3如签订合同并生效后，供应商无故拒绝或延期，除按照合同条款处理外，列入不良行为记录一次，并给予通报。</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rPr>
        <w:t>25.4中标供应商拒绝与采购人签订合同的，采购人可以按照评审报告推荐的中标或者成交候选人名单排序，确定下一候选人为中标供应商，也可以重新开展政府采购活动。</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rPr>
        <w:t>25.5采购合同由采购人与中标供应商根据招标文件、投标文件等内容通过政府采购电子交易平台在线签订，自动备案。</w:t>
      </w:r>
    </w:p>
    <w:p>
      <w:pPr>
        <w:keepNext w:val="0"/>
        <w:keepLines w:val="0"/>
        <w:pageBreakBefore w:val="0"/>
        <w:kinsoku/>
        <w:wordWrap/>
        <w:overflowPunct/>
        <w:topLinePunct w:val="0"/>
        <w:autoSpaceDE/>
        <w:autoSpaceDN/>
        <w:bidi w:val="0"/>
        <w:adjustRightInd w:val="0"/>
        <w:spacing w:after="120" w:line="360" w:lineRule="auto"/>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26. </w:t>
      </w:r>
      <w:r>
        <w:rPr>
          <w:rFonts w:hint="eastAsia" w:ascii="仿宋_GB2312" w:hAnsi="仿宋" w:eastAsia="仿宋_GB2312" w:cs="仿宋_GB2312"/>
          <w:b/>
          <w:sz w:val="24"/>
          <w:szCs w:val="24"/>
        </w:rPr>
        <w:t>履约保证金</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rPr>
      </w:pPr>
      <w:r>
        <w:rPr>
          <w:rFonts w:hint="eastAsia" w:ascii="仿宋_GB2312" w:hAnsi="仿宋" w:eastAsia="仿宋_GB2312" w:cs="Times New Roman"/>
          <w:sz w:val="24"/>
          <w:szCs w:val="24"/>
        </w:rPr>
        <w:t>拟签订的合同文本要求中标供应商提交履约保证金的，供应商应当以支票、汇票、本票或者金融机构、担保机构出具的保函等非现金形式提交。履约保证金的数额不得超过政府采购合同金额的</w:t>
      </w:r>
      <w:r>
        <w:rPr>
          <w:rFonts w:ascii="仿宋_GB2312" w:hAnsi="仿宋" w:eastAsia="仿宋_GB2312" w:cs="Times New Roman"/>
          <w:sz w:val="24"/>
          <w:szCs w:val="24"/>
        </w:rPr>
        <w:t>2.5%。</w:t>
      </w:r>
      <w:r>
        <w:rPr>
          <w:rFonts w:hint="eastAsia" w:ascii="仿宋_GB2312" w:hAnsi="仿宋" w:eastAsia="仿宋_GB2312" w:cs="Times New Roman"/>
          <w:sz w:val="24"/>
          <w:szCs w:val="24"/>
        </w:rPr>
        <w:t>鼓励和支持供应商以银行、保险公司出具的保函形式提供履约保证金。</w:t>
      </w:r>
      <w:r>
        <w:rPr>
          <w:rFonts w:hint="eastAsia" w:ascii="仿宋_GB2312" w:hAnsi="仿宋" w:eastAsia="仿宋_GB2312" w:cs="Times New Roman"/>
          <w:b/>
          <w:bCs/>
          <w:sz w:val="24"/>
          <w:szCs w:val="24"/>
        </w:rPr>
        <w:t>采购人不得拒收履约保函，项目验收结束后应及时退还。</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rPr>
      </w:pPr>
      <w:r>
        <w:rPr>
          <w:rFonts w:hint="eastAsia" w:ascii="仿宋_GB2312" w:hAnsi="仿宋" w:eastAsia="仿宋_GB2312" w:cs="Times New Roman"/>
          <w:sz w:val="24"/>
          <w:szCs w:val="24"/>
        </w:rPr>
        <w:t>政府采购货物和服务项目中，采购人可根据杭州市政府采购网公布的供应商履约评价情况减免履约保证金。供应商履约验收评价总分为</w:t>
      </w:r>
      <w:r>
        <w:rPr>
          <w:rFonts w:ascii="仿宋_GB2312" w:hAnsi="仿宋" w:eastAsia="仿宋_GB2312" w:cs="Times New Roman"/>
          <w:sz w:val="24"/>
          <w:szCs w:val="24"/>
        </w:rPr>
        <w:t>100分的，采购</w:t>
      </w:r>
      <w:r>
        <w:rPr>
          <w:rFonts w:hint="eastAsia" w:ascii="仿宋_GB2312" w:hAnsi="仿宋" w:eastAsia="仿宋_GB2312" w:cs="Times New Roman"/>
          <w:sz w:val="24"/>
          <w:szCs w:val="24"/>
        </w:rPr>
        <w:t>人应当免收履约保证金；评价总分在</w:t>
      </w:r>
      <w:r>
        <w:rPr>
          <w:rFonts w:ascii="仿宋_GB2312" w:hAnsi="仿宋" w:eastAsia="仿宋_GB2312" w:cs="Times New Roman"/>
          <w:sz w:val="24"/>
          <w:szCs w:val="24"/>
        </w:rPr>
        <w:t>90分以上的，收取履约保证金不得高于合同金额2%；评价总分在90分以下或者暂无评分的，收取履约保证金不得高于合同金额2.5%。</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rPr>
      </w:pPr>
      <w:r>
        <w:rPr>
          <w:rFonts w:hint="eastAsia" w:ascii="仿宋_GB2312" w:hAnsi="仿宋" w:eastAsia="仿宋_GB2312" w:cs="Times New Roman"/>
          <w:sz w:val="24"/>
          <w:szCs w:val="24"/>
        </w:rPr>
        <w:t>供应商</w:t>
      </w:r>
      <w:r>
        <w:rPr>
          <w:rFonts w:hint="eastAsia" w:ascii="仿宋_GB2312" w:hAnsi="仿宋" w:eastAsia="仿宋_GB2312" w:cs="Times New Roman"/>
          <w:sz w:val="24"/>
          <w:szCs w:val="24"/>
          <w:lang w:val="en-US"/>
        </w:rPr>
        <w:t>可</w:t>
      </w:r>
      <w:r>
        <w:rPr>
          <w:rFonts w:hint="eastAsia" w:ascii="仿宋_GB2312" w:hAnsi="仿宋" w:eastAsia="仿宋_GB2312" w:cs="Times New Roman"/>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keepNext w:val="0"/>
        <w:keepLines w:val="0"/>
        <w:pageBreakBefore w:val="0"/>
        <w:widowControl w:val="0"/>
        <w:kinsoku/>
        <w:wordWrap/>
        <w:overflowPunct/>
        <w:topLinePunct w:val="0"/>
        <w:autoSpaceDE/>
        <w:autoSpaceDN/>
        <w:bidi w:val="0"/>
        <w:adjustRightInd w:val="0"/>
        <w:snapToGrid w:val="0"/>
        <w:spacing w:line="360" w:lineRule="auto"/>
        <w:ind w:firstLine="3357" w:firstLineChars="1045"/>
        <w:textAlignment w:val="auto"/>
        <w:rPr>
          <w:rFonts w:hint="eastAsia" w:ascii="仿宋_GB2312" w:hAnsi="仿宋" w:eastAsia="仿宋_GB2312" w:cs="仿宋_GB2312"/>
          <w:b/>
          <w:sz w:val="32"/>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3357" w:firstLineChars="1045"/>
        <w:textAlignment w:val="auto"/>
        <w:rPr>
          <w:rFonts w:ascii="仿宋_GB2312" w:hAnsi="仿宋" w:eastAsia="仿宋_GB2312" w:cs="Times New Roman"/>
          <w:b/>
          <w:sz w:val="24"/>
          <w:szCs w:val="24"/>
        </w:rPr>
      </w:pPr>
      <w:r>
        <w:rPr>
          <w:rFonts w:hint="eastAsia" w:ascii="仿宋_GB2312" w:hAnsi="仿宋" w:eastAsia="仿宋_GB2312" w:cs="仿宋_GB2312"/>
          <w:b/>
          <w:sz w:val="32"/>
          <w:szCs w:val="24"/>
        </w:rPr>
        <w:t>八、电子交易活动的中止</w:t>
      </w:r>
    </w:p>
    <w:p>
      <w:pPr>
        <w:keepNext w:val="0"/>
        <w:keepLines w:val="0"/>
        <w:pageBreakBefore w:val="0"/>
        <w:widowControl w:val="0"/>
        <w:tabs>
          <w:tab w:val="left" w:pos="0"/>
        </w:tabs>
        <w:kinsoku/>
        <w:wordWrap/>
        <w:overflowPunct/>
        <w:topLinePunct w:val="0"/>
        <w:autoSpaceDE/>
        <w:autoSpaceDN/>
        <w:bidi w:val="0"/>
        <w:spacing w:line="360" w:lineRule="auto"/>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仿宋_GB2312"/>
          <w:b/>
          <w:sz w:val="24"/>
          <w:szCs w:val="24"/>
        </w:rPr>
        <w:t>27. 电子交易活动的中止。</w:t>
      </w:r>
      <w:r>
        <w:rPr>
          <w:rFonts w:hint="eastAsia" w:ascii="仿宋_GB2312" w:hAnsi="仿宋" w:eastAsia="仿宋_GB2312" w:cs="仿宋_GB2312"/>
          <w:sz w:val="24"/>
        </w:rPr>
        <w:t>采购过程中出现以下情形，导致电子交易平台无法正常运行，或者无法保证电子交易的公平、公正和安</w:t>
      </w:r>
      <w:r>
        <w:rPr>
          <w:rFonts w:hint="eastAsia" w:ascii="仿宋_GB2312" w:hAnsi="仿宋" w:eastAsia="仿宋_GB2312" w:cs="Helvetica"/>
          <w:color w:val="000000" w:themeColor="text1"/>
          <w:kern w:val="0"/>
          <w:sz w:val="24"/>
          <w:highlight w:val="none"/>
          <w14:textFill>
            <w14:solidFill>
              <w14:schemeClr w14:val="tx1"/>
            </w14:solidFill>
          </w14:textFill>
        </w:rPr>
        <w:t>全时，采购机构可中止电子交易活动：</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 xml:space="preserve">27.1电子交易平台发生故障而无法登录访问的； </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27.2电子交易平台应用或数据库出现错误，不能进行正常操作的；</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27.3电子交易平台发现严重安全漏洞，有潜在泄密危险的；</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 xml:space="preserve">27.4病毒发作导致不能进行正常操作的； </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27.5其他无法保证电子交易的公平、公正和安全的情况。</w:t>
      </w:r>
    </w:p>
    <w:p>
      <w:pPr>
        <w:keepNext w:val="0"/>
        <w:keepLines w:val="0"/>
        <w:pageBreakBefore w:val="0"/>
        <w:widowControl w:val="0"/>
        <w:kinsoku/>
        <w:wordWrap/>
        <w:overflowPunct/>
        <w:topLinePunct w:val="0"/>
        <w:autoSpaceDE/>
        <w:autoSpaceDN/>
        <w:bidi w:val="0"/>
        <w:adjustRightInd w:val="0"/>
        <w:snapToGrid w:val="0"/>
        <w:spacing w:after="120" w:line="360" w:lineRule="auto"/>
        <w:textAlignment w:val="auto"/>
        <w:rPr>
          <w:rFonts w:ascii="仿宋_GB2312" w:hAnsi="仿宋" w:eastAsia="仿宋_GB2312" w:cs="仿宋_GB2312"/>
          <w:sz w:val="24"/>
        </w:rPr>
      </w:pPr>
      <w:r>
        <w:rPr>
          <w:rFonts w:hint="eastAsia" w:ascii="仿宋_GB2312" w:hAnsi="仿宋" w:eastAsia="仿宋_GB2312" w:cs="仿宋_GB2312"/>
          <w:b/>
          <w:sz w:val="24"/>
        </w:rPr>
        <w:t>28.</w:t>
      </w:r>
      <w:r>
        <w:rPr>
          <w:rFonts w:hint="eastAsia" w:ascii="仿宋_GB2312" w:hAnsi="仿宋" w:eastAsia="仿宋_GB2312" w:cs="仿宋_GB2312"/>
          <w:sz w:val="24"/>
        </w:rPr>
        <w:t>出现以上情形，不影响采购公平、公正性的，采购组织机构可以待上述情形消除后继续组织电子交易活动，也可以决定某些环节以纸质形式进行；影响或可能影响采购公平、公正性的，应当重新采购。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left="120" w:leftChars="57" w:firstLine="482" w:firstLineChars="150"/>
        <w:jc w:val="center"/>
        <w:textAlignment w:val="auto"/>
        <w:rPr>
          <w:rFonts w:ascii="仿宋_GB2312" w:hAnsi="仿宋" w:eastAsia="仿宋_GB2312" w:cs="仿宋_GB2312"/>
          <w:b/>
          <w:sz w:val="32"/>
          <w:szCs w:val="24"/>
        </w:rPr>
      </w:pPr>
      <w:r>
        <w:rPr>
          <w:rFonts w:hint="eastAsia" w:ascii="仿宋_GB2312" w:hAnsi="仿宋" w:eastAsia="仿宋_GB2312" w:cs="仿宋_GB2312"/>
          <w:b/>
          <w:sz w:val="32"/>
          <w:szCs w:val="24"/>
        </w:rPr>
        <w:t>九、验收</w:t>
      </w:r>
    </w:p>
    <w:p>
      <w:pPr>
        <w:adjustRightInd w:val="0"/>
        <w:spacing w:after="120" w:line="360" w:lineRule="auto"/>
        <w:rPr>
          <w:rFonts w:ascii="仿宋_GB2312" w:hAnsi="仿宋" w:eastAsia="仿宋_GB2312" w:cs="仿宋_GB2312"/>
          <w:b/>
          <w:sz w:val="24"/>
          <w:szCs w:val="24"/>
        </w:rPr>
      </w:pPr>
      <w:r>
        <w:rPr>
          <w:rFonts w:ascii="仿宋_GB2312" w:hAnsi="仿宋" w:eastAsia="仿宋_GB2312" w:cs="仿宋_GB2312"/>
          <w:b/>
          <w:sz w:val="24"/>
          <w:szCs w:val="24"/>
        </w:rPr>
        <w:t>29.验收</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29.2采购人可以邀请参加本项目的其他投标人或者第三方机构参与验收。参与验收的投标人或者第三方机构的意见作为验收书的参考资料一并存档。</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pacing w:line="360" w:lineRule="auto"/>
        <w:ind w:firstLine="480"/>
        <w:rPr>
          <w:rFonts w:ascii="仿宋_GB2312" w:hAnsi="仿宋" w:eastAsia="仿宋_GB2312" w:cs="仿宋_GB2312"/>
          <w:sz w:val="18"/>
          <w:szCs w:val="18"/>
        </w:rPr>
      </w:pPr>
      <w:r>
        <w:rPr>
          <w:rFonts w:hint="eastAsia" w:ascii="仿宋_GB2312" w:hAnsi="仿宋" w:eastAsia="仿宋_GB2312" w:cs="Helvetica"/>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9"/>
    <w:p>
      <w:pPr>
        <w:spacing w:line="360" w:lineRule="auto"/>
        <w:jc w:val="center"/>
        <w:rPr>
          <w:rFonts w:ascii="仿宋_GB2312" w:hAnsi="仿宋" w:eastAsia="仿宋_GB2312" w:cs="仿宋_GB2312"/>
          <w:b/>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0" w:name="_Hlt75236101"/>
      <w:bookmarkEnd w:id="10"/>
      <w:bookmarkStart w:id="11" w:name="_Hlt75236011"/>
      <w:bookmarkEnd w:id="11"/>
      <w:bookmarkStart w:id="12" w:name="_Hlt74707468"/>
      <w:bookmarkEnd w:id="12"/>
      <w:bookmarkStart w:id="13" w:name="_Hlt68073093"/>
      <w:bookmarkEnd w:id="13"/>
      <w:bookmarkStart w:id="14" w:name="_Hlt74714665"/>
      <w:bookmarkEnd w:id="14"/>
      <w:bookmarkStart w:id="15" w:name="_Hlt68072998"/>
      <w:bookmarkEnd w:id="15"/>
      <w:bookmarkStart w:id="16" w:name="_Hlt68072990"/>
      <w:bookmarkEnd w:id="16"/>
      <w:bookmarkStart w:id="17" w:name="_Hlt74729768"/>
      <w:bookmarkEnd w:id="17"/>
      <w:bookmarkStart w:id="18" w:name="_Hlt74730295"/>
      <w:bookmarkEnd w:id="18"/>
      <w:bookmarkStart w:id="19" w:name="_Hlt75236290"/>
      <w:bookmarkEnd w:id="19"/>
      <w:bookmarkStart w:id="20" w:name="_Hlt68057669"/>
      <w:bookmarkEnd w:id="20"/>
      <w:bookmarkStart w:id="21" w:name="_Hlt68403820"/>
      <w:bookmarkEnd w:id="21"/>
      <w:bookmarkStart w:id="22" w:name="第三部分"/>
      <w:bookmarkStart w:id="23" w:name="_Toc164416483"/>
    </w:p>
    <w:bookmarkEnd w:id="22"/>
    <w:bookmarkEnd w:id="23"/>
    <w:p>
      <w:pPr>
        <w:adjustRightInd w:val="0"/>
        <w:spacing w:line="360" w:lineRule="auto"/>
        <w:jc w:val="center"/>
        <w:outlineLvl w:val="0"/>
        <w:rPr>
          <w:rFonts w:ascii="仿宋_GB2312" w:hAnsi="仿宋" w:eastAsia="仿宋_GB2312" w:cs="仿宋_GB2312"/>
          <w:b/>
          <w:sz w:val="36"/>
          <w:szCs w:val="36"/>
        </w:rPr>
      </w:pPr>
      <w:bookmarkStart w:id="24" w:name="第四部分"/>
      <w:r>
        <w:rPr>
          <w:rFonts w:hint="eastAsia" w:ascii="仿宋_GB2312" w:hAnsi="仿宋" w:eastAsia="仿宋_GB2312" w:cs="仿宋_GB2312"/>
          <w:b/>
          <w:sz w:val="36"/>
          <w:szCs w:val="36"/>
        </w:rPr>
        <w:t>第三部分   采购需求</w:t>
      </w:r>
    </w:p>
    <w:p>
      <w:pPr>
        <w:spacing w:before="120" w:beforeLines="50" w:after="120" w:afterLines="50" w:line="360" w:lineRule="auto"/>
        <w:jc w:val="left"/>
        <w:outlineLvl w:val="1"/>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rPr>
        <w:t>属于实质性要求条款的，已用符号“▲”标明，否则属于非实质性要求。“★”系产品采购项目中</w:t>
      </w:r>
      <w:r>
        <w:rPr>
          <w:rFonts w:hint="eastAsia" w:ascii="仿宋_GB2312" w:hAnsi="仿宋_GB2312" w:eastAsia="仿宋_GB2312" w:cs="仿宋_GB2312"/>
          <w:b/>
          <w:bCs/>
          <w:sz w:val="24"/>
          <w:lang w:eastAsia="zh-CN"/>
        </w:rPr>
        <w:t>的</w:t>
      </w:r>
      <w:r>
        <w:rPr>
          <w:rFonts w:hint="eastAsia" w:ascii="仿宋_GB2312" w:hAnsi="仿宋_GB2312" w:eastAsia="仿宋_GB2312" w:cs="仿宋_GB2312"/>
          <w:b/>
          <w:bCs/>
          <w:sz w:val="24"/>
        </w:rPr>
        <w:t>核心产品</w:t>
      </w:r>
      <w:r>
        <w:rPr>
          <w:rFonts w:hint="eastAsia" w:ascii="仿宋_GB2312" w:hAnsi="仿宋_GB2312" w:eastAsia="仿宋_GB2312" w:cs="仿宋_GB2312"/>
          <w:b/>
          <w:bCs/>
          <w:sz w:val="24"/>
          <w:lang w:eastAsia="zh-CN"/>
        </w:rPr>
        <w:t>。</w:t>
      </w:r>
    </w:p>
    <w:p>
      <w:pPr>
        <w:pStyle w:val="32"/>
        <w:keepNext w:val="0"/>
        <w:keepLines w:val="0"/>
        <w:pageBreakBefore w:val="0"/>
        <w:widowControl w:val="0"/>
        <w:numPr>
          <w:ilvl w:val="0"/>
          <w:numId w:val="10"/>
        </w:numPr>
        <w:kinsoku/>
        <w:wordWrap/>
        <w:overflowPunct/>
        <w:topLinePunct w:val="0"/>
        <w:autoSpaceDE/>
        <w:autoSpaceDN/>
        <w:bidi w:val="0"/>
        <w:snapToGrid/>
        <w:spacing w:before="0" w:beforeLines="0" w:after="0" w:afterLines="0" w:line="4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项目概况</w:t>
      </w:r>
    </w:p>
    <w:p>
      <w:pPr>
        <w:pStyle w:val="32"/>
        <w:keepNext w:val="0"/>
        <w:keepLines w:val="0"/>
        <w:pageBreakBefore w:val="0"/>
        <w:widowControl w:val="0"/>
        <w:numPr>
          <w:ilvl w:val="0"/>
          <w:numId w:val="0"/>
        </w:numPr>
        <w:kinsoku/>
        <w:wordWrap/>
        <w:overflowPunct/>
        <w:topLinePunct w:val="0"/>
        <w:autoSpaceDE/>
        <w:autoSpaceDN/>
        <w:bidi w:val="0"/>
        <w:snapToGrid/>
        <w:spacing w:before="0" w:beforeLines="0" w:after="0" w:afterLines="0"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本项目设计机械专业、电子专业、汽修专业实训室弱电项目及公共机房等18个场室设备采购及建设</w:t>
      </w:r>
      <w:r>
        <w:rPr>
          <w:rFonts w:hint="eastAsia" w:ascii="仿宋" w:hAnsi="仿宋" w:eastAsia="仿宋" w:cs="仿宋"/>
          <w:sz w:val="24"/>
          <w:szCs w:val="24"/>
          <w:lang w:eastAsia="zh-CN"/>
        </w:rPr>
        <w:t>。</w:t>
      </w:r>
    </w:p>
    <w:p>
      <w:pPr>
        <w:pStyle w:val="32"/>
        <w:keepNext w:val="0"/>
        <w:keepLines w:val="0"/>
        <w:pageBreakBefore w:val="0"/>
        <w:widowControl w:val="0"/>
        <w:numPr>
          <w:ilvl w:val="0"/>
          <w:numId w:val="11"/>
        </w:numPr>
        <w:kinsoku/>
        <w:wordWrap/>
        <w:overflowPunct/>
        <w:topLinePunct w:val="0"/>
        <w:autoSpaceDE/>
        <w:autoSpaceDN/>
        <w:bidi w:val="0"/>
        <w:snapToGrid/>
        <w:spacing w:before="0" w:beforeLines="0" w:after="0" w:afterLines="0" w:line="400" w:lineRule="exact"/>
        <w:ind w:firstLine="482" w:firstLineChars="200"/>
        <w:textAlignment w:val="auto"/>
        <w:rPr>
          <w:rFonts w:hint="eastAsia" w:ascii="仿宋" w:hAnsi="仿宋" w:eastAsia="仿宋" w:cs="仿宋"/>
          <w:b/>
          <w:bCs w:val="0"/>
          <w:sz w:val="24"/>
          <w:szCs w:val="24"/>
        </w:rPr>
      </w:pPr>
      <w:r>
        <w:rPr>
          <w:rFonts w:hint="eastAsia" w:ascii="仿宋" w:hAnsi="仿宋" w:eastAsia="仿宋" w:cs="仿宋"/>
          <w:b/>
          <w:bCs w:val="0"/>
          <w:sz w:val="24"/>
          <w:szCs w:val="24"/>
        </w:rPr>
        <w:t>合同履约</w:t>
      </w:r>
      <w:r>
        <w:rPr>
          <w:rFonts w:hint="eastAsia" w:ascii="仿宋" w:hAnsi="仿宋" w:eastAsia="仿宋" w:cs="仿宋"/>
          <w:b/>
          <w:bCs w:val="0"/>
          <w:sz w:val="24"/>
          <w:szCs w:val="24"/>
          <w:lang w:eastAsia="zh-CN"/>
        </w:rPr>
        <w:t>及供货要求</w:t>
      </w:r>
    </w:p>
    <w:p>
      <w:pPr>
        <w:pStyle w:val="32"/>
        <w:keepNext w:val="0"/>
        <w:keepLines w:val="0"/>
        <w:pageBreakBefore w:val="0"/>
        <w:widowControl w:val="0"/>
        <w:numPr>
          <w:ilvl w:val="0"/>
          <w:numId w:val="0"/>
        </w:numPr>
        <w:kinsoku/>
        <w:wordWrap/>
        <w:overflowPunct/>
        <w:topLinePunct w:val="0"/>
        <w:autoSpaceDE/>
        <w:autoSpaceDN/>
        <w:bidi w:val="0"/>
        <w:snapToGrid/>
        <w:spacing w:before="0" w:beforeLines="0" w:after="0" w:afterLines="0" w:line="40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2022年</w:t>
      </w:r>
      <w:r>
        <w:rPr>
          <w:rFonts w:hint="eastAsia" w:ascii="仿宋" w:hAnsi="仿宋" w:eastAsia="仿宋" w:cs="仿宋"/>
          <w:b w:val="0"/>
          <w:bCs/>
          <w:sz w:val="24"/>
          <w:szCs w:val="24"/>
          <w:lang w:val="en-US" w:eastAsia="zh-CN"/>
        </w:rPr>
        <w:t>8</w:t>
      </w:r>
      <w:r>
        <w:rPr>
          <w:rFonts w:hint="eastAsia" w:ascii="仿宋" w:hAnsi="仿宋" w:eastAsia="仿宋" w:cs="仿宋"/>
          <w:b w:val="0"/>
          <w:bCs/>
          <w:sz w:val="24"/>
          <w:szCs w:val="24"/>
        </w:rPr>
        <w:t>月</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0日前完成安装调试。</w:t>
      </w:r>
    </w:p>
    <w:p>
      <w:pPr>
        <w:pStyle w:val="32"/>
        <w:keepNext w:val="0"/>
        <w:keepLines w:val="0"/>
        <w:pageBreakBefore w:val="0"/>
        <w:widowControl w:val="0"/>
        <w:numPr>
          <w:ilvl w:val="0"/>
          <w:numId w:val="0"/>
        </w:numPr>
        <w:kinsoku/>
        <w:wordWrap/>
        <w:overflowPunct/>
        <w:topLinePunct w:val="0"/>
        <w:autoSpaceDE/>
        <w:autoSpaceDN/>
        <w:bidi w:val="0"/>
        <w:snapToGrid/>
        <w:spacing w:before="0" w:beforeLines="0" w:after="0" w:afterLines="0" w:line="40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2.本项目的所有软、硬件(如线缆、管线、软件、硬件、模块等，包括未列出而系统实施又必需的软件、硬件)需配齐以构成一套完整实用系统，如有任何遗漏，由中标人补齐（相关费用包含在总价内）。</w:t>
      </w:r>
    </w:p>
    <w:p>
      <w:pPr>
        <w:pStyle w:val="32"/>
        <w:keepNext w:val="0"/>
        <w:keepLines w:val="0"/>
        <w:pageBreakBefore w:val="0"/>
        <w:widowControl w:val="0"/>
        <w:numPr>
          <w:ilvl w:val="0"/>
          <w:numId w:val="0"/>
        </w:numPr>
        <w:kinsoku/>
        <w:wordWrap/>
        <w:overflowPunct/>
        <w:topLinePunct w:val="0"/>
        <w:autoSpaceDE/>
        <w:autoSpaceDN/>
        <w:bidi w:val="0"/>
        <w:snapToGrid/>
        <w:spacing w:before="0" w:beforeLines="0" w:after="0" w:afterLines="0" w:line="40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3.投标方案中的硬件设备如需使用特别接头、插座等，由投标人提供（相关费用包含在总价内），投标总价应包括运抵学校的运费及安装调试费等。</w:t>
      </w:r>
    </w:p>
    <w:p>
      <w:pPr>
        <w:pStyle w:val="32"/>
        <w:keepNext w:val="0"/>
        <w:keepLines w:val="0"/>
        <w:pageBreakBefore w:val="0"/>
        <w:widowControl w:val="0"/>
        <w:numPr>
          <w:ilvl w:val="0"/>
          <w:numId w:val="0"/>
        </w:numPr>
        <w:kinsoku/>
        <w:wordWrap/>
        <w:overflowPunct/>
        <w:topLinePunct w:val="0"/>
        <w:autoSpaceDE/>
        <w:autoSpaceDN/>
        <w:bidi w:val="0"/>
        <w:snapToGrid/>
        <w:spacing w:before="0" w:beforeLines="0" w:after="0" w:afterLines="0" w:line="40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4.所投产品需为原厂全新产品，生产的符合国家技术规格和质量标准的出厂合格产品，通过国家有关部门检测合格的原产地产品，未曾开箱使用，能够与学校现有设备正常连接；设备安装调试完毕后，能在其功能范围内保障用户的系统安全、稳定运行。</w:t>
      </w:r>
    </w:p>
    <w:p>
      <w:pPr>
        <w:pStyle w:val="32"/>
        <w:keepNext w:val="0"/>
        <w:keepLines w:val="0"/>
        <w:pageBreakBefore w:val="0"/>
        <w:widowControl w:val="0"/>
        <w:numPr>
          <w:ilvl w:val="0"/>
          <w:numId w:val="0"/>
        </w:numPr>
        <w:kinsoku/>
        <w:wordWrap/>
        <w:overflowPunct/>
        <w:topLinePunct w:val="0"/>
        <w:autoSpaceDE/>
        <w:autoSpaceDN/>
        <w:bidi w:val="0"/>
        <w:snapToGrid/>
        <w:spacing w:before="0" w:beforeLines="0" w:after="0" w:afterLines="0" w:line="400" w:lineRule="exact"/>
        <w:ind w:firstLine="480" w:firstLineChars="200"/>
        <w:textAlignment w:val="auto"/>
        <w:rPr>
          <w:rFonts w:hint="eastAsia" w:ascii="仿宋" w:hAnsi="仿宋" w:eastAsia="仿宋" w:cs="仿宋"/>
          <w:b/>
          <w:bCs w:val="0"/>
          <w:sz w:val="24"/>
          <w:szCs w:val="24"/>
        </w:rPr>
      </w:pPr>
      <w:r>
        <w:rPr>
          <w:rFonts w:hint="eastAsia" w:ascii="仿宋" w:hAnsi="仿宋" w:eastAsia="仿宋" w:cs="仿宋"/>
          <w:b w:val="0"/>
          <w:bCs/>
          <w:sz w:val="24"/>
          <w:szCs w:val="24"/>
        </w:rPr>
        <w:t>5.所投产品及主要部件均须非停产设备，并提供备件、附件和耗材的供应。</w:t>
      </w:r>
    </w:p>
    <w:p>
      <w:pPr>
        <w:pStyle w:val="32"/>
        <w:keepNext w:val="0"/>
        <w:keepLines w:val="0"/>
        <w:pageBreakBefore w:val="0"/>
        <w:widowControl w:val="0"/>
        <w:numPr>
          <w:ilvl w:val="0"/>
          <w:numId w:val="11"/>
        </w:numPr>
        <w:kinsoku/>
        <w:wordWrap/>
        <w:overflowPunct/>
        <w:topLinePunct w:val="0"/>
        <w:autoSpaceDE/>
        <w:autoSpaceDN/>
        <w:bidi w:val="0"/>
        <w:snapToGrid/>
        <w:spacing w:before="0" w:beforeLines="0" w:after="0" w:afterLines="0" w:line="400" w:lineRule="exact"/>
        <w:ind w:firstLine="482" w:firstLineChars="200"/>
        <w:textAlignment w:val="auto"/>
        <w:rPr>
          <w:rFonts w:hint="eastAsia" w:ascii="仿宋" w:hAnsi="仿宋" w:eastAsia="仿宋" w:cs="仿宋"/>
          <w:b/>
          <w:bCs w:val="0"/>
          <w:sz w:val="24"/>
          <w:szCs w:val="24"/>
        </w:rPr>
      </w:pPr>
      <w:r>
        <w:rPr>
          <w:rFonts w:hint="eastAsia" w:ascii="仿宋" w:hAnsi="仿宋" w:eastAsia="仿宋" w:cs="仿宋"/>
          <w:b/>
          <w:bCs w:val="0"/>
          <w:sz w:val="24"/>
          <w:szCs w:val="24"/>
          <w:lang w:eastAsia="zh-CN"/>
        </w:rPr>
        <w:t>付款方式</w:t>
      </w:r>
    </w:p>
    <w:p>
      <w:pPr>
        <w:pStyle w:val="32"/>
        <w:keepNext w:val="0"/>
        <w:keepLines w:val="0"/>
        <w:pageBreakBefore w:val="0"/>
        <w:widowControl w:val="0"/>
        <w:numPr>
          <w:ilvl w:val="0"/>
          <w:numId w:val="0"/>
        </w:numPr>
        <w:kinsoku/>
        <w:wordWrap/>
        <w:overflowPunct/>
        <w:topLinePunct w:val="0"/>
        <w:autoSpaceDE/>
        <w:autoSpaceDN/>
        <w:bidi w:val="0"/>
        <w:snapToGrid/>
        <w:spacing w:before="0" w:beforeLines="0" w:after="0" w:afterLines="0" w:line="40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合同签订后7个工作日内，中标人向采购人交纳合同总价2%的履约担保（采用保函等形式），采购人支付合同总价40%的预付款，货物到场后支付合同总价的30%，验收合格后支付剩余货款30%（不计息）。</w:t>
      </w:r>
    </w:p>
    <w:p>
      <w:pPr>
        <w:keepNext w:val="0"/>
        <w:keepLines w:val="0"/>
        <w:pageBreakBefore w:val="0"/>
        <w:widowControl w:val="0"/>
        <w:kinsoku/>
        <w:wordWrap/>
        <w:overflowPunct/>
        <w:topLinePunct w:val="0"/>
        <w:autoSpaceDE/>
        <w:autoSpaceDN/>
        <w:bidi w:val="0"/>
        <w:snapToGrid/>
        <w:spacing w:line="40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（四）</w:t>
      </w:r>
      <w:r>
        <w:rPr>
          <w:rFonts w:hint="eastAsia" w:ascii="仿宋" w:hAnsi="仿宋" w:eastAsia="仿宋" w:cs="仿宋"/>
          <w:b/>
          <w:bCs/>
          <w:sz w:val="24"/>
          <w:szCs w:val="24"/>
          <w:lang w:eastAsia="zh-CN"/>
        </w:rPr>
        <w:t>其他</w:t>
      </w:r>
      <w:r>
        <w:rPr>
          <w:rFonts w:hint="eastAsia" w:ascii="仿宋" w:hAnsi="仿宋" w:eastAsia="仿宋" w:cs="仿宋"/>
          <w:b/>
          <w:bCs/>
          <w:sz w:val="24"/>
          <w:szCs w:val="24"/>
        </w:rPr>
        <w:t>商务条款</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机房里的系统集成、安装必须符合《电子计算机设计规范》，比如静电地板的安装、电气的布置、网线的布设、电磁兼容性、设备的选择和安装优化、数据传送存储和处理等。</w:t>
      </w:r>
    </w:p>
    <w:p>
      <w:pPr>
        <w:keepNext w:val="0"/>
        <w:keepLines w:val="0"/>
        <w:pageBreakBefore w:val="0"/>
        <w:widowControl w:val="0"/>
        <w:numPr>
          <w:ilvl w:val="0"/>
          <w:numId w:val="12"/>
        </w:numP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sz w:val="24"/>
          <w:szCs w:val="24"/>
        </w:rPr>
        <w:t>施工人员要求：具有机房建设项目人员经验丰富，</w:t>
      </w:r>
      <w:r>
        <w:rPr>
          <w:rFonts w:hint="eastAsia" w:ascii="仿宋" w:hAnsi="仿宋" w:eastAsia="仿宋" w:cs="仿宋"/>
          <w:kern w:val="0"/>
          <w:sz w:val="24"/>
          <w:szCs w:val="24"/>
        </w:rPr>
        <w:t>专业素质强、人员数量充足、技术能力强、熟悉专业布线、具有系统集成经验；</w:t>
      </w:r>
    </w:p>
    <w:p>
      <w:pPr>
        <w:keepNext w:val="0"/>
        <w:keepLines w:val="0"/>
        <w:pageBreakBefore w:val="0"/>
        <w:widowControl w:val="0"/>
        <w:numPr>
          <w:ilvl w:val="0"/>
          <w:numId w:val="12"/>
        </w:numP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质保期：原厂整机质保期三年,中标单位一年，共计4年。质保期内原厂或中标单位均须提供上门服务。（</w:t>
      </w:r>
      <w:r>
        <w:rPr>
          <w:rFonts w:hint="eastAsia" w:ascii="仿宋" w:hAnsi="仿宋" w:eastAsia="仿宋" w:cs="仿宋"/>
          <w:sz w:val="24"/>
          <w:szCs w:val="24"/>
          <w:lang w:eastAsia="zh-CN"/>
        </w:rPr>
        <w:t>合同签订前，</w:t>
      </w:r>
      <w:r>
        <w:rPr>
          <w:rFonts w:hint="eastAsia" w:ascii="仿宋" w:hAnsi="仿宋" w:eastAsia="仿宋" w:cs="仿宋"/>
          <w:sz w:val="24"/>
          <w:szCs w:val="24"/>
        </w:rPr>
        <w:t>中标人须提供厂家出具的售后服务年限证明原件，电脑质保期能够在原厂官方网站上查询）</w:t>
      </w:r>
      <w:r>
        <w:rPr>
          <w:rFonts w:hint="eastAsia" w:ascii="仿宋" w:hAnsi="仿宋" w:eastAsia="仿宋" w:cs="仿宋"/>
          <w:sz w:val="24"/>
          <w:szCs w:val="24"/>
          <w:lang w:eastAsia="zh-CN"/>
        </w:rPr>
        <w:t>；</w:t>
      </w:r>
    </w:p>
    <w:p>
      <w:pPr>
        <w:keepNext w:val="0"/>
        <w:keepLines w:val="0"/>
        <w:pageBreakBefore w:val="0"/>
        <w:widowControl w:val="0"/>
        <w:numPr>
          <w:ilvl w:val="0"/>
          <w:numId w:val="12"/>
        </w:numP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售后服务：提供7×24技术支持热线，2小时电话响应， 48小时内解决问题；不能当场修复的，必须采取提供备品、备件或备机等措施，以保证采购单位的正常使用。</w:t>
      </w:r>
    </w:p>
    <w:p>
      <w:pPr>
        <w:keepNext w:val="0"/>
        <w:keepLines w:val="0"/>
        <w:pageBreakBefore w:val="0"/>
        <w:widowControl w:val="0"/>
        <w:numPr>
          <w:ilvl w:val="0"/>
          <w:numId w:val="12"/>
        </w:numP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质保期内上门维修，必须出具和填写维修服务单，服务单应包括：用户姓名、联系方式、报修时间、上门时间、完成维修时间、报修设备信息、维修情况等内容，并由用户签字。</w:t>
      </w:r>
    </w:p>
    <w:p>
      <w:pPr>
        <w:keepNext w:val="0"/>
        <w:keepLines w:val="0"/>
        <w:pageBreakBefore w:val="0"/>
        <w:widowControl w:val="0"/>
        <w:numPr>
          <w:ilvl w:val="0"/>
          <w:numId w:val="12"/>
        </w:numP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sz w:val="24"/>
          <w:szCs w:val="24"/>
        </w:rPr>
        <w:t>采购人在中标方出现以下情况之一时，将作为违反合同处理并上报财政要求列入失信名单。</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在质保期内，中标人没有提供上门维修的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中标人没有在承诺的售后服务时间内上门服务的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中标人没有在承诺的售后服务时间内修好设备，又没有提供备品、备件或备机等措施的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中标人以各种理由乱收费的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中标人上门维修没有出具和填写维修单并由用户签字的。</w:t>
      </w:r>
    </w:p>
    <w:p>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在前三年原厂质保期内，同一个月内发生类似问题的电脑数量超过总招标台数的50%</w:t>
      </w:r>
      <w:r>
        <w:rPr>
          <w:rFonts w:hint="eastAsia" w:ascii="仿宋" w:hAnsi="仿宋" w:eastAsia="仿宋" w:cs="仿宋"/>
          <w:kern w:val="0"/>
          <w:sz w:val="24"/>
          <w:szCs w:val="24"/>
          <w:lang w:eastAsia="zh-CN"/>
        </w:rPr>
        <w:t>。</w:t>
      </w:r>
    </w:p>
    <w:p>
      <w:pPr>
        <w:pStyle w:val="32"/>
        <w:spacing w:before="0" w:beforeLines="0" w:after="0" w:afterLines="0"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w:t>
      </w:r>
      <w:r>
        <w:rPr>
          <w:rFonts w:hint="eastAsia" w:ascii="仿宋" w:hAnsi="仿宋" w:eastAsia="仿宋" w:cs="仿宋"/>
          <w:b/>
          <w:bCs/>
          <w:sz w:val="24"/>
          <w:szCs w:val="24"/>
          <w:lang w:eastAsia="zh-CN"/>
        </w:rPr>
        <w:t>采购</w:t>
      </w:r>
      <w:r>
        <w:rPr>
          <w:rFonts w:hint="eastAsia" w:ascii="仿宋" w:hAnsi="仿宋" w:eastAsia="仿宋" w:cs="仿宋"/>
          <w:b/>
          <w:bCs/>
          <w:sz w:val="24"/>
          <w:szCs w:val="24"/>
        </w:rPr>
        <w:t>清单及需求</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5205"/>
        <w:gridCol w:w="1394"/>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序号</w:t>
            </w:r>
          </w:p>
        </w:tc>
        <w:tc>
          <w:tcPr>
            <w:tcW w:w="2803"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设备名称</w:t>
            </w:r>
          </w:p>
        </w:tc>
        <w:tc>
          <w:tcPr>
            <w:tcW w:w="751"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单位</w:t>
            </w:r>
          </w:p>
        </w:tc>
        <w:tc>
          <w:tcPr>
            <w:tcW w:w="741"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1</w:t>
            </w:r>
          </w:p>
        </w:tc>
        <w:tc>
          <w:tcPr>
            <w:tcW w:w="2803" w:type="pct"/>
            <w:shd w:val="clear" w:color="auto" w:fill="auto"/>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kern w:val="0"/>
                <w:sz w:val="24"/>
                <w:szCs w:val="24"/>
                <w:lang w:bidi="ar"/>
              </w:rPr>
              <w:t>机械实训室数据服务中心</w:t>
            </w:r>
          </w:p>
        </w:tc>
        <w:tc>
          <w:tcPr>
            <w:tcW w:w="751" w:type="pct"/>
            <w:shd w:val="clear" w:color="auto" w:fill="auto"/>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741" w:type="pct"/>
            <w:shd w:val="clear" w:color="auto" w:fill="auto"/>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2</w:t>
            </w:r>
          </w:p>
        </w:tc>
        <w:tc>
          <w:tcPr>
            <w:tcW w:w="2803" w:type="pct"/>
            <w:shd w:val="clear" w:color="auto" w:fill="auto"/>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kern w:val="0"/>
                <w:sz w:val="24"/>
                <w:szCs w:val="24"/>
                <w:lang w:bidi="ar"/>
              </w:rPr>
              <w:t>机械实训室数据中心配套设备</w:t>
            </w:r>
          </w:p>
        </w:tc>
        <w:tc>
          <w:tcPr>
            <w:tcW w:w="751" w:type="pct"/>
            <w:shd w:val="clear" w:color="auto" w:fill="auto"/>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kern w:val="0"/>
                <w:sz w:val="24"/>
                <w:szCs w:val="24"/>
                <w:lang w:bidi="ar"/>
              </w:rPr>
              <w:t>套</w:t>
            </w:r>
          </w:p>
        </w:tc>
        <w:tc>
          <w:tcPr>
            <w:tcW w:w="741" w:type="pct"/>
            <w:shd w:val="clear" w:color="auto" w:fill="auto"/>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3</w:t>
            </w:r>
          </w:p>
        </w:tc>
        <w:tc>
          <w:tcPr>
            <w:tcW w:w="2803" w:type="pct"/>
            <w:shd w:val="clear" w:color="auto" w:fill="auto"/>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kern w:val="0"/>
                <w:sz w:val="24"/>
                <w:szCs w:val="24"/>
                <w:lang w:bidi="ar"/>
              </w:rPr>
              <w:t>机械实训室视频切换器</w:t>
            </w:r>
          </w:p>
        </w:tc>
        <w:tc>
          <w:tcPr>
            <w:tcW w:w="751" w:type="pct"/>
            <w:shd w:val="clear" w:color="auto" w:fill="auto"/>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741" w:type="pct"/>
            <w:shd w:val="clear" w:color="auto" w:fill="auto"/>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4</w:t>
            </w:r>
          </w:p>
        </w:tc>
        <w:tc>
          <w:tcPr>
            <w:tcW w:w="2803" w:type="pct"/>
            <w:shd w:val="clear" w:color="auto" w:fill="auto"/>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kern w:val="0"/>
                <w:sz w:val="24"/>
                <w:szCs w:val="24"/>
                <w:lang w:bidi="ar"/>
              </w:rPr>
              <w:t>机械实训室智能无线交换机</w:t>
            </w:r>
          </w:p>
        </w:tc>
        <w:tc>
          <w:tcPr>
            <w:tcW w:w="751" w:type="pct"/>
            <w:shd w:val="clear" w:color="auto" w:fill="auto"/>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741" w:type="pct"/>
            <w:shd w:val="clear" w:color="auto" w:fill="auto"/>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5</w:t>
            </w:r>
          </w:p>
        </w:tc>
        <w:tc>
          <w:tcPr>
            <w:tcW w:w="2803" w:type="pct"/>
            <w:shd w:val="clear" w:color="auto" w:fill="auto"/>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kern w:val="0"/>
                <w:sz w:val="24"/>
                <w:szCs w:val="24"/>
                <w:lang w:bidi="ar"/>
              </w:rPr>
              <w:t>机械实训室交换机1</w:t>
            </w:r>
          </w:p>
        </w:tc>
        <w:tc>
          <w:tcPr>
            <w:tcW w:w="751" w:type="pct"/>
            <w:shd w:val="clear" w:color="auto" w:fill="auto"/>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741" w:type="pct"/>
            <w:shd w:val="clear" w:color="auto" w:fill="auto"/>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6</w:t>
            </w:r>
          </w:p>
        </w:tc>
        <w:tc>
          <w:tcPr>
            <w:tcW w:w="2803" w:type="pct"/>
            <w:shd w:val="clear" w:color="auto" w:fill="auto"/>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kern w:val="0"/>
                <w:sz w:val="24"/>
                <w:szCs w:val="24"/>
                <w:lang w:bidi="ar"/>
              </w:rPr>
              <w:t>机械实训室触摸一体机</w:t>
            </w:r>
          </w:p>
        </w:tc>
        <w:tc>
          <w:tcPr>
            <w:tcW w:w="751" w:type="pct"/>
            <w:shd w:val="clear" w:color="auto" w:fill="auto"/>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741" w:type="pct"/>
            <w:shd w:val="clear" w:color="auto" w:fill="auto"/>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7</w:t>
            </w:r>
          </w:p>
        </w:tc>
        <w:tc>
          <w:tcPr>
            <w:tcW w:w="2803" w:type="pct"/>
            <w:shd w:val="clear" w:color="auto" w:fill="auto"/>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kern w:val="0"/>
                <w:sz w:val="24"/>
                <w:szCs w:val="24"/>
                <w:lang w:bidi="ar"/>
              </w:rPr>
              <w:t>机械实训室移动平板</w:t>
            </w:r>
          </w:p>
        </w:tc>
        <w:tc>
          <w:tcPr>
            <w:tcW w:w="751" w:type="pct"/>
            <w:shd w:val="clear" w:color="auto" w:fill="auto"/>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741" w:type="pct"/>
            <w:shd w:val="clear" w:color="auto" w:fill="auto"/>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8</w:t>
            </w:r>
          </w:p>
        </w:tc>
        <w:tc>
          <w:tcPr>
            <w:tcW w:w="2803" w:type="pct"/>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机械实训室钳工信息化数据服务器</w:t>
            </w:r>
          </w:p>
        </w:tc>
        <w:tc>
          <w:tcPr>
            <w:tcW w:w="751" w:type="pct"/>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套</w:t>
            </w:r>
          </w:p>
        </w:tc>
        <w:tc>
          <w:tcPr>
            <w:tcW w:w="741" w:type="pct"/>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9</w:t>
            </w:r>
          </w:p>
        </w:tc>
        <w:tc>
          <w:tcPr>
            <w:tcW w:w="2803" w:type="pct"/>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0"/>
                <w:sz w:val="24"/>
                <w:szCs w:val="24"/>
                <w:lang w:bidi="ar"/>
              </w:rPr>
              <w:t>机械实训室零测与综合加工实训室网络布线</w:t>
            </w:r>
          </w:p>
        </w:tc>
        <w:tc>
          <w:tcPr>
            <w:tcW w:w="751" w:type="pct"/>
            <w:shd w:val="clear" w:color="auto" w:fill="auto"/>
            <w:vAlign w:val="center"/>
          </w:tcPr>
          <w:p>
            <w:pPr>
              <w:pStyle w:val="374"/>
              <w:ind w:left="0" w:firstLine="0"/>
              <w:jc w:val="both"/>
              <w:rPr>
                <w:rFonts w:hint="eastAsia" w:ascii="仿宋" w:hAnsi="仿宋" w:eastAsia="仿宋" w:cs="仿宋"/>
                <w:kern w:val="11"/>
                <w:sz w:val="24"/>
                <w:szCs w:val="24"/>
              </w:rPr>
            </w:pPr>
            <w:r>
              <w:rPr>
                <w:rFonts w:hint="eastAsia" w:ascii="仿宋" w:hAnsi="仿宋" w:eastAsia="仿宋" w:cs="仿宋"/>
                <w:kern w:val="11"/>
                <w:sz w:val="24"/>
                <w:szCs w:val="24"/>
              </w:rPr>
              <w:t>项</w:t>
            </w:r>
          </w:p>
        </w:tc>
        <w:tc>
          <w:tcPr>
            <w:tcW w:w="741" w:type="pct"/>
            <w:shd w:val="clear" w:color="auto" w:fill="auto"/>
          </w:tcPr>
          <w:p>
            <w:pPr>
              <w:pStyle w:val="374"/>
              <w:ind w:left="0" w:firstLine="0"/>
              <w:jc w:val="both"/>
              <w:rPr>
                <w:rFonts w:hint="eastAsia" w:ascii="仿宋" w:hAnsi="仿宋" w:eastAsia="仿宋" w:cs="仿宋"/>
                <w:kern w:val="11"/>
                <w:sz w:val="24"/>
                <w:szCs w:val="24"/>
              </w:rPr>
            </w:pPr>
            <w:r>
              <w:rPr>
                <w:rFonts w:hint="eastAsia" w:ascii="仿宋" w:hAnsi="仿宋" w:eastAsia="仿宋" w:cs="仿宋"/>
                <w:kern w:val="11"/>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10</w:t>
            </w:r>
          </w:p>
        </w:tc>
        <w:tc>
          <w:tcPr>
            <w:tcW w:w="2803" w:type="pct"/>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图形工作站（含电子4台）</w:t>
            </w:r>
          </w:p>
        </w:tc>
        <w:tc>
          <w:tcPr>
            <w:tcW w:w="751" w:type="pct"/>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台</w:t>
            </w:r>
          </w:p>
        </w:tc>
        <w:tc>
          <w:tcPr>
            <w:tcW w:w="741" w:type="pct"/>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sz w:val="24"/>
                <w:szCs w:val="24"/>
              </w:rPr>
              <w:t>★</w:t>
            </w:r>
            <w:r>
              <w:rPr>
                <w:rFonts w:hint="eastAsia" w:ascii="仿宋" w:hAnsi="仿宋" w:eastAsia="仿宋" w:cs="仿宋"/>
                <w:kern w:val="11"/>
                <w:sz w:val="24"/>
                <w:szCs w:val="24"/>
              </w:rPr>
              <w:t>11</w:t>
            </w:r>
          </w:p>
        </w:tc>
        <w:tc>
          <w:tcPr>
            <w:tcW w:w="2803" w:type="pct"/>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商务计算机</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12</w:t>
            </w:r>
          </w:p>
        </w:tc>
        <w:tc>
          <w:tcPr>
            <w:tcW w:w="2803" w:type="pct"/>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电子教室软件</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13</w:t>
            </w:r>
          </w:p>
        </w:tc>
        <w:tc>
          <w:tcPr>
            <w:tcW w:w="2803" w:type="pct"/>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机柜</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14</w:t>
            </w:r>
          </w:p>
        </w:tc>
        <w:tc>
          <w:tcPr>
            <w:tcW w:w="2803" w:type="pct"/>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48口交换机</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15</w:t>
            </w:r>
          </w:p>
        </w:tc>
        <w:tc>
          <w:tcPr>
            <w:tcW w:w="2803" w:type="pct"/>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8口交换机</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16</w:t>
            </w:r>
          </w:p>
        </w:tc>
        <w:tc>
          <w:tcPr>
            <w:tcW w:w="2803" w:type="pct"/>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电脑桌</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17</w:t>
            </w:r>
          </w:p>
        </w:tc>
        <w:tc>
          <w:tcPr>
            <w:tcW w:w="2803" w:type="pct"/>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电脑椅</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18</w:t>
            </w:r>
          </w:p>
        </w:tc>
        <w:tc>
          <w:tcPr>
            <w:tcW w:w="2803" w:type="pct"/>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服务器</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19</w:t>
            </w:r>
          </w:p>
        </w:tc>
        <w:tc>
          <w:tcPr>
            <w:tcW w:w="2803" w:type="pct"/>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文件柜</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20</w:t>
            </w:r>
          </w:p>
        </w:tc>
        <w:tc>
          <w:tcPr>
            <w:tcW w:w="2803" w:type="pct"/>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椅子</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21</w:t>
            </w:r>
          </w:p>
        </w:tc>
        <w:tc>
          <w:tcPr>
            <w:tcW w:w="2803" w:type="pct"/>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休息区沙发</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22</w:t>
            </w:r>
          </w:p>
        </w:tc>
        <w:tc>
          <w:tcPr>
            <w:tcW w:w="2803" w:type="pct"/>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茶具</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23</w:t>
            </w:r>
          </w:p>
        </w:tc>
        <w:tc>
          <w:tcPr>
            <w:tcW w:w="2803" w:type="pct"/>
            <w:shd w:val="clear" w:color="auto" w:fill="auto"/>
            <w:vAlign w:val="center"/>
          </w:tcPr>
          <w:p>
            <w:pPr>
              <w:jc w:val="left"/>
              <w:rPr>
                <w:rFonts w:hint="eastAsia" w:ascii="仿宋" w:hAnsi="仿宋" w:eastAsia="仿宋" w:cs="仿宋"/>
                <w:kern w:val="11"/>
                <w:sz w:val="24"/>
                <w:szCs w:val="24"/>
              </w:rPr>
            </w:pPr>
            <w:r>
              <w:rPr>
                <w:rFonts w:hint="eastAsia" w:ascii="仿宋" w:hAnsi="仿宋" w:eastAsia="仿宋" w:cs="仿宋"/>
                <w:sz w:val="24"/>
                <w:szCs w:val="24"/>
              </w:rPr>
              <w:t>茶水区吧台</w:t>
            </w:r>
          </w:p>
        </w:tc>
        <w:tc>
          <w:tcPr>
            <w:tcW w:w="75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套</w:t>
            </w:r>
          </w:p>
        </w:tc>
        <w:tc>
          <w:tcPr>
            <w:tcW w:w="74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24</w:t>
            </w:r>
          </w:p>
        </w:tc>
        <w:tc>
          <w:tcPr>
            <w:tcW w:w="2803" w:type="pct"/>
            <w:shd w:val="clear" w:color="auto" w:fill="auto"/>
            <w:vAlign w:val="center"/>
          </w:tcPr>
          <w:p>
            <w:pPr>
              <w:jc w:val="left"/>
              <w:rPr>
                <w:rFonts w:hint="eastAsia" w:ascii="仿宋" w:hAnsi="仿宋" w:eastAsia="仿宋" w:cs="仿宋"/>
                <w:kern w:val="11"/>
                <w:sz w:val="24"/>
                <w:szCs w:val="24"/>
              </w:rPr>
            </w:pPr>
            <w:r>
              <w:rPr>
                <w:rFonts w:hint="eastAsia" w:ascii="仿宋" w:hAnsi="仿宋" w:eastAsia="仿宋" w:cs="仿宋"/>
                <w:sz w:val="24"/>
                <w:szCs w:val="24"/>
              </w:rPr>
              <w:t>一体机</w:t>
            </w:r>
          </w:p>
        </w:tc>
        <w:tc>
          <w:tcPr>
            <w:tcW w:w="75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套</w:t>
            </w:r>
          </w:p>
        </w:tc>
        <w:tc>
          <w:tcPr>
            <w:tcW w:w="74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25</w:t>
            </w:r>
          </w:p>
        </w:tc>
        <w:tc>
          <w:tcPr>
            <w:tcW w:w="2803" w:type="pct"/>
            <w:shd w:val="clear" w:color="auto" w:fill="auto"/>
            <w:vAlign w:val="center"/>
          </w:tcPr>
          <w:p>
            <w:pPr>
              <w:jc w:val="left"/>
              <w:rPr>
                <w:rFonts w:hint="eastAsia" w:ascii="仿宋" w:hAnsi="仿宋" w:eastAsia="仿宋" w:cs="仿宋"/>
                <w:kern w:val="11"/>
                <w:sz w:val="24"/>
                <w:szCs w:val="24"/>
              </w:rPr>
            </w:pPr>
            <w:r>
              <w:rPr>
                <w:rFonts w:hint="eastAsia" w:ascii="仿宋" w:hAnsi="仿宋" w:eastAsia="仿宋" w:cs="仿宋"/>
                <w:sz w:val="24"/>
                <w:szCs w:val="24"/>
              </w:rPr>
              <w:t>铁皮更衣柜</w:t>
            </w:r>
          </w:p>
        </w:tc>
        <w:tc>
          <w:tcPr>
            <w:tcW w:w="75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个</w:t>
            </w:r>
          </w:p>
        </w:tc>
        <w:tc>
          <w:tcPr>
            <w:tcW w:w="74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26</w:t>
            </w:r>
          </w:p>
        </w:tc>
        <w:tc>
          <w:tcPr>
            <w:tcW w:w="2803" w:type="pct"/>
            <w:shd w:val="clear" w:color="auto" w:fill="auto"/>
            <w:vAlign w:val="center"/>
          </w:tcPr>
          <w:p>
            <w:pPr>
              <w:jc w:val="left"/>
              <w:rPr>
                <w:rFonts w:hint="eastAsia" w:ascii="仿宋" w:hAnsi="仿宋" w:eastAsia="仿宋" w:cs="仿宋"/>
                <w:kern w:val="11"/>
                <w:sz w:val="24"/>
                <w:szCs w:val="24"/>
              </w:rPr>
            </w:pPr>
            <w:r>
              <w:rPr>
                <w:rFonts w:hint="eastAsia" w:ascii="仿宋" w:hAnsi="仿宋" w:eastAsia="仿宋" w:cs="仿宋"/>
                <w:sz w:val="24"/>
                <w:szCs w:val="24"/>
              </w:rPr>
              <w:t>长条凳子</w:t>
            </w:r>
          </w:p>
        </w:tc>
        <w:tc>
          <w:tcPr>
            <w:tcW w:w="75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个</w:t>
            </w:r>
          </w:p>
        </w:tc>
        <w:tc>
          <w:tcPr>
            <w:tcW w:w="74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27</w:t>
            </w:r>
          </w:p>
        </w:tc>
        <w:tc>
          <w:tcPr>
            <w:tcW w:w="2803" w:type="pct"/>
            <w:shd w:val="clear" w:color="auto" w:fill="auto"/>
            <w:vAlign w:val="center"/>
          </w:tcPr>
          <w:p>
            <w:pPr>
              <w:jc w:val="left"/>
              <w:rPr>
                <w:rFonts w:hint="eastAsia" w:ascii="仿宋" w:hAnsi="仿宋" w:eastAsia="仿宋" w:cs="仿宋"/>
                <w:kern w:val="11"/>
                <w:sz w:val="24"/>
                <w:szCs w:val="24"/>
              </w:rPr>
            </w:pPr>
            <w:r>
              <w:rPr>
                <w:rFonts w:hint="eastAsia" w:ascii="仿宋" w:hAnsi="仿宋" w:eastAsia="仿宋" w:cs="仿宋"/>
                <w:sz w:val="24"/>
                <w:szCs w:val="24"/>
              </w:rPr>
              <w:t>会议桌</w:t>
            </w:r>
          </w:p>
        </w:tc>
        <w:tc>
          <w:tcPr>
            <w:tcW w:w="75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个</w:t>
            </w:r>
          </w:p>
        </w:tc>
        <w:tc>
          <w:tcPr>
            <w:tcW w:w="74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28</w:t>
            </w:r>
          </w:p>
        </w:tc>
        <w:tc>
          <w:tcPr>
            <w:tcW w:w="2803" w:type="pct"/>
            <w:shd w:val="clear" w:color="auto" w:fill="auto"/>
            <w:vAlign w:val="center"/>
          </w:tcPr>
          <w:p>
            <w:pPr>
              <w:jc w:val="left"/>
              <w:rPr>
                <w:rFonts w:hint="eastAsia" w:ascii="仿宋" w:hAnsi="仿宋" w:eastAsia="仿宋" w:cs="仿宋"/>
                <w:kern w:val="11"/>
                <w:sz w:val="24"/>
                <w:szCs w:val="24"/>
              </w:rPr>
            </w:pPr>
            <w:r>
              <w:rPr>
                <w:rFonts w:hint="eastAsia" w:ascii="仿宋" w:hAnsi="仿宋" w:eastAsia="仿宋" w:cs="仿宋"/>
                <w:sz w:val="24"/>
                <w:szCs w:val="24"/>
              </w:rPr>
              <w:t>投影仪及幕布</w:t>
            </w:r>
          </w:p>
        </w:tc>
        <w:tc>
          <w:tcPr>
            <w:tcW w:w="75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套</w:t>
            </w:r>
          </w:p>
        </w:tc>
        <w:tc>
          <w:tcPr>
            <w:tcW w:w="74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29</w:t>
            </w:r>
          </w:p>
        </w:tc>
        <w:tc>
          <w:tcPr>
            <w:tcW w:w="2803" w:type="pct"/>
            <w:shd w:val="clear" w:color="auto" w:fill="auto"/>
            <w:vAlign w:val="center"/>
          </w:tcPr>
          <w:p>
            <w:pPr>
              <w:jc w:val="left"/>
              <w:rPr>
                <w:rFonts w:hint="eastAsia" w:ascii="仿宋" w:hAnsi="仿宋" w:eastAsia="仿宋" w:cs="仿宋"/>
                <w:kern w:val="11"/>
                <w:sz w:val="24"/>
                <w:szCs w:val="24"/>
              </w:rPr>
            </w:pPr>
            <w:r>
              <w:rPr>
                <w:rFonts w:hint="eastAsia" w:ascii="仿宋" w:hAnsi="仿宋" w:eastAsia="仿宋" w:cs="仿宋"/>
                <w:sz w:val="24"/>
                <w:szCs w:val="24"/>
              </w:rPr>
              <w:t>平板</w:t>
            </w:r>
          </w:p>
        </w:tc>
        <w:tc>
          <w:tcPr>
            <w:tcW w:w="75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套</w:t>
            </w:r>
          </w:p>
        </w:tc>
        <w:tc>
          <w:tcPr>
            <w:tcW w:w="74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30</w:t>
            </w:r>
          </w:p>
        </w:tc>
        <w:tc>
          <w:tcPr>
            <w:tcW w:w="2803" w:type="pct"/>
            <w:shd w:val="clear" w:color="auto" w:fill="auto"/>
            <w:vAlign w:val="center"/>
          </w:tcPr>
          <w:p>
            <w:pPr>
              <w:jc w:val="left"/>
              <w:rPr>
                <w:rFonts w:hint="eastAsia" w:ascii="仿宋" w:hAnsi="仿宋" w:eastAsia="仿宋" w:cs="仿宋"/>
                <w:kern w:val="11"/>
                <w:sz w:val="24"/>
                <w:szCs w:val="24"/>
              </w:rPr>
            </w:pPr>
            <w:r>
              <w:rPr>
                <w:rFonts w:hint="eastAsia" w:ascii="仿宋" w:hAnsi="仿宋" w:eastAsia="仿宋" w:cs="仿宋"/>
                <w:sz w:val="24"/>
                <w:szCs w:val="24"/>
              </w:rPr>
              <w:t>一体机</w:t>
            </w:r>
          </w:p>
        </w:tc>
        <w:tc>
          <w:tcPr>
            <w:tcW w:w="75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台</w:t>
            </w:r>
          </w:p>
        </w:tc>
        <w:tc>
          <w:tcPr>
            <w:tcW w:w="74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31</w:t>
            </w:r>
          </w:p>
        </w:tc>
        <w:tc>
          <w:tcPr>
            <w:tcW w:w="2803" w:type="pct"/>
            <w:shd w:val="clear" w:color="auto" w:fill="auto"/>
            <w:vAlign w:val="center"/>
          </w:tcPr>
          <w:p>
            <w:pPr>
              <w:jc w:val="left"/>
              <w:rPr>
                <w:rFonts w:hint="eastAsia" w:ascii="仿宋" w:hAnsi="仿宋" w:eastAsia="仿宋" w:cs="仿宋"/>
                <w:kern w:val="11"/>
                <w:sz w:val="24"/>
                <w:szCs w:val="24"/>
              </w:rPr>
            </w:pPr>
            <w:r>
              <w:rPr>
                <w:rFonts w:hint="eastAsia" w:ascii="仿宋" w:hAnsi="仿宋" w:eastAsia="仿宋" w:cs="仿宋"/>
                <w:sz w:val="24"/>
                <w:szCs w:val="24"/>
              </w:rPr>
              <w:t>交换机2</w:t>
            </w:r>
          </w:p>
        </w:tc>
        <w:tc>
          <w:tcPr>
            <w:tcW w:w="75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台</w:t>
            </w:r>
          </w:p>
        </w:tc>
        <w:tc>
          <w:tcPr>
            <w:tcW w:w="741" w:type="pct"/>
            <w:shd w:val="clear" w:color="auto" w:fill="auto"/>
            <w:vAlign w:val="center"/>
          </w:tcPr>
          <w:p>
            <w:pPr>
              <w:jc w:val="center"/>
              <w:rPr>
                <w:rFonts w:hint="eastAsia" w:ascii="仿宋" w:hAnsi="仿宋" w:eastAsia="仿宋" w:cs="仿宋"/>
                <w:kern w:val="11"/>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32</w:t>
            </w:r>
          </w:p>
        </w:tc>
        <w:tc>
          <w:tcPr>
            <w:tcW w:w="2803" w:type="pct"/>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机柜</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33</w:t>
            </w:r>
          </w:p>
        </w:tc>
        <w:tc>
          <w:tcPr>
            <w:tcW w:w="2803" w:type="pct"/>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86寸交互智能平板</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34</w:t>
            </w:r>
          </w:p>
        </w:tc>
        <w:tc>
          <w:tcPr>
            <w:tcW w:w="2803" w:type="pct"/>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壁挂高清展台</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35</w:t>
            </w:r>
          </w:p>
        </w:tc>
        <w:tc>
          <w:tcPr>
            <w:tcW w:w="2803" w:type="pct"/>
            <w:shd w:val="clear" w:color="auto" w:fill="auto"/>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一体机白板软件</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36</w:t>
            </w:r>
          </w:p>
        </w:tc>
        <w:tc>
          <w:tcPr>
            <w:tcW w:w="2803" w:type="pct"/>
            <w:shd w:val="clear" w:color="auto" w:fill="auto"/>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双人电脑桌（带双凳)</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37</w:t>
            </w:r>
          </w:p>
        </w:tc>
        <w:tc>
          <w:tcPr>
            <w:tcW w:w="2803" w:type="pct"/>
            <w:shd w:val="clear" w:color="auto" w:fill="auto"/>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交换机3</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38</w:t>
            </w:r>
          </w:p>
        </w:tc>
        <w:tc>
          <w:tcPr>
            <w:tcW w:w="2803" w:type="pct"/>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lang w:bidi="ar"/>
              </w:rPr>
              <w:t>移动支架</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支</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39</w:t>
            </w:r>
          </w:p>
        </w:tc>
        <w:tc>
          <w:tcPr>
            <w:tcW w:w="2803" w:type="pct"/>
            <w:shd w:val="clear" w:color="auto" w:fill="auto"/>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sz w:val="24"/>
                <w:szCs w:val="24"/>
              </w:rPr>
              <w:t>讲台加椅子</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40</w:t>
            </w:r>
          </w:p>
        </w:tc>
        <w:tc>
          <w:tcPr>
            <w:tcW w:w="2803" w:type="pct"/>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磁性黑板</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张</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41</w:t>
            </w:r>
          </w:p>
        </w:tc>
        <w:tc>
          <w:tcPr>
            <w:tcW w:w="2803" w:type="pct"/>
            <w:shd w:val="clear" w:color="auto" w:fill="auto"/>
            <w:vAlign w:val="center"/>
          </w:tcPr>
          <w:p>
            <w:pPr>
              <w:jc w:val="left"/>
              <w:rPr>
                <w:rFonts w:hint="eastAsia" w:ascii="仿宋" w:hAnsi="仿宋" w:eastAsia="仿宋" w:cs="仿宋"/>
                <w:sz w:val="24"/>
                <w:szCs w:val="24"/>
              </w:rPr>
            </w:pPr>
            <w:r>
              <w:rPr>
                <w:rFonts w:hint="eastAsia" w:ascii="仿宋" w:hAnsi="仿宋" w:eastAsia="仿宋" w:cs="仿宋"/>
                <w:kern w:val="0"/>
                <w:sz w:val="24"/>
                <w:szCs w:val="24"/>
                <w:lang w:bidi="ar"/>
              </w:rPr>
              <w:t>18个场室综合布线</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批</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42</w:t>
            </w:r>
          </w:p>
        </w:tc>
        <w:tc>
          <w:tcPr>
            <w:tcW w:w="2803" w:type="pct"/>
            <w:shd w:val="clear" w:color="auto" w:fill="auto"/>
            <w:vAlign w:val="center"/>
          </w:tcPr>
          <w:p>
            <w:pPr>
              <w:jc w:val="left"/>
              <w:rPr>
                <w:rFonts w:hint="eastAsia" w:ascii="仿宋" w:hAnsi="仿宋" w:eastAsia="仿宋" w:cs="仿宋"/>
                <w:sz w:val="24"/>
                <w:szCs w:val="24"/>
              </w:rPr>
            </w:pPr>
            <w:r>
              <w:rPr>
                <w:rFonts w:hint="eastAsia" w:ascii="仿宋" w:hAnsi="仿宋" w:eastAsia="仿宋" w:cs="仿宋"/>
                <w:kern w:val="0"/>
                <w:sz w:val="24"/>
                <w:szCs w:val="24"/>
                <w:lang w:bidi="ar"/>
              </w:rPr>
              <w:t>静电地板</w:t>
            </w:r>
          </w:p>
        </w:tc>
        <w:tc>
          <w:tcPr>
            <w:tcW w:w="75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平方</w:t>
            </w:r>
          </w:p>
        </w:tc>
        <w:tc>
          <w:tcPr>
            <w:tcW w:w="741"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100</w:t>
            </w:r>
          </w:p>
        </w:tc>
      </w:tr>
    </w:tbl>
    <w:p>
      <w:pPr>
        <w:adjustRightInd w:val="0"/>
        <w:snapToGrid w:val="0"/>
        <w:spacing w:line="360" w:lineRule="auto"/>
        <w:rPr>
          <w:rFonts w:hint="eastAsia" w:ascii="仿宋_GB2312" w:hAnsi="仿宋" w:eastAsia="仿宋_GB2312" w:cs="Times New Roman"/>
          <w:sz w:val="24"/>
          <w:szCs w:val="24"/>
          <w:lang w:eastAsia="zh-CN"/>
        </w:rPr>
      </w:pPr>
      <w:r>
        <w:rPr>
          <w:rFonts w:hint="eastAsia" w:ascii="仿宋_GB2312" w:hAnsi="仿宋" w:eastAsia="仿宋_GB2312" w:cs="Times New Roman"/>
          <w:b/>
          <w:bCs/>
          <w:sz w:val="24"/>
          <w:szCs w:val="24"/>
          <w:lang w:eastAsia="zh-CN"/>
        </w:rPr>
        <w:t>注：采购人拟采购的产品属于政府强制采购的节能产品品目清单范围的，投标人未按招标文件要求提供国家确定的认证机构出具的、处于有效期之内的节能产品认证证书的投标无效。</w:t>
      </w:r>
    </w:p>
    <w:p>
      <w:pPr>
        <w:pStyle w:val="2"/>
        <w:spacing w:line="360" w:lineRule="auto"/>
        <w:rPr>
          <w:rFonts w:hint="eastAsia" w:ascii="仿宋" w:hAnsi="仿宋" w:eastAsia="仿宋" w:cs="仿宋"/>
          <w:b/>
          <w:bCs/>
          <w:sz w:val="24"/>
          <w:szCs w:val="24"/>
        </w:rPr>
      </w:pPr>
      <w:r>
        <w:rPr>
          <w:rFonts w:hint="eastAsia" w:ascii="仿宋" w:hAnsi="仿宋" w:eastAsia="仿宋" w:cs="仿宋"/>
          <w:b/>
          <w:bCs/>
          <w:kern w:val="0"/>
          <w:sz w:val="24"/>
          <w:szCs w:val="24"/>
          <w:lang w:eastAsia="zh-CN" w:bidi="ar"/>
        </w:rPr>
        <w:t>（六）</w:t>
      </w:r>
      <w:r>
        <w:rPr>
          <w:rFonts w:hint="eastAsia" w:ascii="仿宋" w:hAnsi="仿宋" w:eastAsia="仿宋" w:cs="仿宋"/>
          <w:b/>
          <w:bCs/>
          <w:kern w:val="0"/>
          <w:sz w:val="24"/>
          <w:szCs w:val="24"/>
          <w:lang w:bidi="ar"/>
        </w:rPr>
        <w:t>功能参数表</w:t>
      </w:r>
    </w:p>
    <w:tbl>
      <w:tblPr>
        <w:tblStyle w:val="62"/>
        <w:tblW w:w="9285"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799"/>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序号</w:t>
            </w:r>
          </w:p>
        </w:tc>
        <w:tc>
          <w:tcPr>
            <w:tcW w:w="1799"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设备名称</w:t>
            </w:r>
          </w:p>
        </w:tc>
        <w:tc>
          <w:tcPr>
            <w:tcW w:w="6661" w:type="dxa"/>
            <w:shd w:val="clear" w:color="auto" w:fill="auto"/>
            <w:vAlign w:val="center"/>
          </w:tcPr>
          <w:p>
            <w:pPr>
              <w:pStyle w:val="374"/>
              <w:ind w:left="0" w:leftChars="0" w:firstLine="0" w:firstLineChars="0"/>
              <w:jc w:val="both"/>
              <w:rPr>
                <w:rFonts w:hint="eastAsia" w:ascii="仿宋" w:hAnsi="仿宋" w:eastAsia="仿宋" w:cs="仿宋"/>
                <w:b/>
                <w:bCs/>
                <w:sz w:val="24"/>
                <w:szCs w:val="24"/>
              </w:rPr>
            </w:pPr>
            <w:r>
              <w:rPr>
                <w:rFonts w:hint="eastAsia" w:ascii="仿宋" w:hAnsi="仿宋" w:eastAsia="仿宋" w:cs="仿宋"/>
                <w:kern w:val="11"/>
                <w:sz w:val="24"/>
                <w:szCs w:val="24"/>
              </w:rPr>
              <w:t>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firstLine="0"/>
              <w:jc w:val="both"/>
              <w:rPr>
                <w:rFonts w:hint="eastAsia" w:ascii="仿宋" w:hAnsi="仿宋" w:eastAsia="仿宋" w:cs="仿宋"/>
                <w:kern w:val="11"/>
                <w:sz w:val="24"/>
                <w:szCs w:val="24"/>
              </w:rPr>
            </w:pPr>
            <w:r>
              <w:rPr>
                <w:rFonts w:hint="eastAsia" w:ascii="仿宋" w:hAnsi="仿宋" w:eastAsia="仿宋" w:cs="仿宋"/>
                <w:kern w:val="11"/>
                <w:sz w:val="24"/>
                <w:szCs w:val="24"/>
              </w:rPr>
              <w:t>1</w:t>
            </w:r>
          </w:p>
        </w:tc>
        <w:tc>
          <w:tcPr>
            <w:tcW w:w="1799" w:type="dxa"/>
            <w:shd w:val="clear" w:color="auto" w:fill="auto"/>
            <w:vAlign w:val="center"/>
          </w:tcPr>
          <w:p>
            <w:pPr>
              <w:widowControl/>
              <w:jc w:val="both"/>
              <w:textAlignment w:val="bottom"/>
              <w:rPr>
                <w:rFonts w:hint="eastAsia" w:ascii="仿宋" w:hAnsi="仿宋" w:eastAsia="仿宋" w:cs="仿宋"/>
                <w:sz w:val="24"/>
                <w:szCs w:val="24"/>
              </w:rPr>
            </w:pPr>
            <w:r>
              <w:rPr>
                <w:rFonts w:hint="eastAsia" w:ascii="仿宋" w:hAnsi="仿宋" w:eastAsia="仿宋" w:cs="仿宋"/>
                <w:kern w:val="0"/>
                <w:sz w:val="24"/>
                <w:szCs w:val="24"/>
                <w:lang w:bidi="ar"/>
              </w:rPr>
              <w:t>机械实训室数据服务中心</w:t>
            </w:r>
          </w:p>
        </w:tc>
        <w:tc>
          <w:tcPr>
            <w:tcW w:w="6661" w:type="dxa"/>
            <w:shd w:val="clear" w:color="auto" w:fill="auto"/>
            <w:vAlign w:val="center"/>
          </w:tcPr>
          <w:p>
            <w:pPr>
              <w:pStyle w:val="374"/>
              <w:numPr>
                <w:ilvl w:val="0"/>
                <w:numId w:val="13"/>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 基本参数</w:t>
            </w:r>
          </w:p>
          <w:p>
            <w:pPr>
              <w:pStyle w:val="374"/>
              <w:numPr>
                <w:ilvl w:val="0"/>
                <w:numId w:val="14"/>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产品类别:机架式</w:t>
            </w:r>
          </w:p>
          <w:p>
            <w:pPr>
              <w:pStyle w:val="374"/>
              <w:numPr>
                <w:ilvl w:val="0"/>
                <w:numId w:val="14"/>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产品结构:2U</w:t>
            </w:r>
          </w:p>
          <w:p>
            <w:pPr>
              <w:pStyle w:val="374"/>
              <w:numPr>
                <w:ilvl w:val="0"/>
                <w:numId w:val="13"/>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 处理器</w:t>
            </w:r>
          </w:p>
          <w:p>
            <w:pPr>
              <w:pStyle w:val="374"/>
              <w:numPr>
                <w:ilvl w:val="0"/>
                <w:numId w:val="15"/>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CPU型号:3204或以上配置</w:t>
            </w:r>
          </w:p>
          <w:p>
            <w:pPr>
              <w:pStyle w:val="374"/>
              <w:numPr>
                <w:ilvl w:val="0"/>
                <w:numId w:val="15"/>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CPU频率:≥1.9GHz</w:t>
            </w:r>
          </w:p>
          <w:p>
            <w:pPr>
              <w:pStyle w:val="374"/>
              <w:numPr>
                <w:ilvl w:val="0"/>
                <w:numId w:val="13"/>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 主板</w:t>
            </w:r>
          </w:p>
          <w:p>
            <w:pPr>
              <w:pStyle w:val="374"/>
              <w:numPr>
                <w:ilvl w:val="0"/>
                <w:numId w:val="16"/>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扩展槽最多:4x16插槽</w:t>
            </w:r>
          </w:p>
          <w:p>
            <w:pPr>
              <w:pStyle w:val="374"/>
              <w:numPr>
                <w:ilvl w:val="0"/>
                <w:numId w:val="13"/>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 内存</w:t>
            </w:r>
          </w:p>
          <w:p>
            <w:pPr>
              <w:pStyle w:val="374"/>
              <w:numPr>
                <w:ilvl w:val="0"/>
                <w:numId w:val="17"/>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内存容量: ≥16GB</w:t>
            </w:r>
          </w:p>
          <w:p>
            <w:pPr>
              <w:pStyle w:val="374"/>
              <w:numPr>
                <w:ilvl w:val="0"/>
                <w:numId w:val="13"/>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 存储</w:t>
            </w:r>
          </w:p>
          <w:p>
            <w:pPr>
              <w:pStyle w:val="374"/>
              <w:numPr>
                <w:ilvl w:val="0"/>
                <w:numId w:val="18"/>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标配硬盘容量: ≥4TB,8块3.5英寸硬位</w:t>
            </w:r>
          </w:p>
          <w:p>
            <w:pPr>
              <w:pStyle w:val="374"/>
              <w:numPr>
                <w:ilvl w:val="0"/>
                <w:numId w:val="18"/>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硬盘描述：≥2块2TBSATA硬盘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firstLine="0"/>
              <w:jc w:val="both"/>
              <w:rPr>
                <w:rFonts w:hint="eastAsia" w:ascii="仿宋" w:hAnsi="仿宋" w:eastAsia="仿宋" w:cs="仿宋"/>
                <w:kern w:val="11"/>
                <w:sz w:val="24"/>
                <w:szCs w:val="24"/>
              </w:rPr>
            </w:pPr>
            <w:r>
              <w:rPr>
                <w:rFonts w:hint="eastAsia" w:ascii="仿宋" w:hAnsi="仿宋" w:eastAsia="仿宋" w:cs="仿宋"/>
                <w:kern w:val="11"/>
                <w:sz w:val="24"/>
                <w:szCs w:val="24"/>
              </w:rPr>
              <w:t>2</w:t>
            </w:r>
          </w:p>
        </w:tc>
        <w:tc>
          <w:tcPr>
            <w:tcW w:w="1799" w:type="dxa"/>
            <w:shd w:val="clear" w:color="auto" w:fill="auto"/>
            <w:vAlign w:val="center"/>
          </w:tcPr>
          <w:p>
            <w:pPr>
              <w:widowControl/>
              <w:jc w:val="both"/>
              <w:textAlignment w:val="bottom"/>
              <w:rPr>
                <w:rFonts w:hint="eastAsia" w:ascii="仿宋" w:hAnsi="仿宋" w:eastAsia="仿宋" w:cs="仿宋"/>
                <w:sz w:val="24"/>
                <w:szCs w:val="24"/>
              </w:rPr>
            </w:pPr>
            <w:r>
              <w:rPr>
                <w:rFonts w:hint="eastAsia" w:ascii="仿宋" w:hAnsi="仿宋" w:eastAsia="仿宋" w:cs="仿宋"/>
                <w:kern w:val="0"/>
                <w:sz w:val="24"/>
                <w:szCs w:val="24"/>
                <w:lang w:bidi="ar"/>
              </w:rPr>
              <w:t>机械实训室数据中心配套设备</w:t>
            </w:r>
          </w:p>
        </w:tc>
        <w:tc>
          <w:tcPr>
            <w:tcW w:w="6661" w:type="dxa"/>
            <w:shd w:val="clear" w:color="auto" w:fill="auto"/>
            <w:vAlign w:val="center"/>
          </w:tcPr>
          <w:p>
            <w:pPr>
              <w:pStyle w:val="374"/>
              <w:numPr>
                <w:ilvl w:val="0"/>
                <w:numId w:val="19"/>
              </w:numPr>
              <w:ind w:left="0" w:firstLine="0"/>
              <w:jc w:val="both"/>
              <w:rPr>
                <w:rFonts w:hint="eastAsia" w:ascii="仿宋" w:hAnsi="仿宋" w:eastAsia="仿宋" w:cs="仿宋"/>
                <w:sz w:val="24"/>
                <w:szCs w:val="24"/>
              </w:rPr>
            </w:pPr>
            <w:r>
              <w:rPr>
                <w:rFonts w:hint="eastAsia" w:ascii="仿宋" w:hAnsi="仿宋" w:eastAsia="仿宋" w:cs="仿宋"/>
                <w:sz w:val="24"/>
                <w:szCs w:val="24"/>
              </w:rPr>
              <w:t>设备类型：服务器式</w:t>
            </w:r>
          </w:p>
          <w:p>
            <w:pPr>
              <w:pStyle w:val="374"/>
              <w:numPr>
                <w:ilvl w:val="0"/>
                <w:numId w:val="19"/>
              </w:numPr>
              <w:ind w:left="0" w:firstLine="0"/>
              <w:jc w:val="both"/>
              <w:rPr>
                <w:rFonts w:hint="eastAsia" w:ascii="仿宋" w:hAnsi="仿宋" w:eastAsia="仿宋" w:cs="仿宋"/>
                <w:sz w:val="24"/>
                <w:szCs w:val="24"/>
              </w:rPr>
            </w:pPr>
            <w:r>
              <w:rPr>
                <w:rFonts w:hint="eastAsia" w:ascii="仿宋" w:hAnsi="仿宋" w:eastAsia="仿宋" w:cs="仿宋"/>
                <w:sz w:val="24"/>
                <w:szCs w:val="24"/>
              </w:rPr>
              <w:t>颜色：黑色</w:t>
            </w:r>
          </w:p>
          <w:p>
            <w:pPr>
              <w:pStyle w:val="374"/>
              <w:numPr>
                <w:ilvl w:val="0"/>
                <w:numId w:val="19"/>
              </w:numPr>
              <w:ind w:left="0" w:firstLine="0"/>
              <w:jc w:val="both"/>
              <w:rPr>
                <w:rFonts w:hint="eastAsia" w:ascii="仿宋" w:hAnsi="仿宋" w:eastAsia="仿宋" w:cs="仿宋"/>
                <w:sz w:val="24"/>
                <w:szCs w:val="24"/>
              </w:rPr>
            </w:pPr>
            <w:r>
              <w:rPr>
                <w:rFonts w:hint="eastAsia" w:ascii="仿宋" w:hAnsi="仿宋" w:eastAsia="仿宋" w:cs="仿宋"/>
                <w:sz w:val="24"/>
                <w:szCs w:val="24"/>
              </w:rPr>
              <w:t>外形尺寸：≧600*1000*1800（mm）</w:t>
            </w:r>
          </w:p>
          <w:p>
            <w:pPr>
              <w:pStyle w:val="374"/>
              <w:numPr>
                <w:ilvl w:val="0"/>
                <w:numId w:val="19"/>
              </w:numPr>
              <w:ind w:left="0" w:firstLine="0"/>
              <w:jc w:val="both"/>
              <w:rPr>
                <w:rFonts w:hint="eastAsia" w:ascii="仿宋" w:hAnsi="仿宋" w:eastAsia="仿宋" w:cs="仿宋"/>
                <w:sz w:val="24"/>
                <w:szCs w:val="24"/>
              </w:rPr>
            </w:pPr>
            <w:r>
              <w:rPr>
                <w:rFonts w:hint="eastAsia" w:ascii="仿宋" w:hAnsi="仿宋" w:eastAsia="仿宋" w:cs="仿宋"/>
                <w:sz w:val="24"/>
                <w:szCs w:val="24"/>
              </w:rPr>
              <w:t>支架板厚：≥2mm</w:t>
            </w:r>
          </w:p>
          <w:p>
            <w:pPr>
              <w:pStyle w:val="374"/>
              <w:numPr>
                <w:ilvl w:val="0"/>
                <w:numId w:val="19"/>
              </w:numPr>
              <w:ind w:left="0" w:firstLine="0"/>
              <w:jc w:val="both"/>
              <w:rPr>
                <w:rFonts w:hint="eastAsia" w:ascii="仿宋" w:hAnsi="仿宋" w:eastAsia="仿宋" w:cs="仿宋"/>
                <w:sz w:val="24"/>
                <w:szCs w:val="24"/>
              </w:rPr>
            </w:pPr>
            <w:r>
              <w:rPr>
                <w:rFonts w:hint="eastAsia" w:ascii="仿宋" w:hAnsi="仿宋" w:eastAsia="仿宋" w:cs="仿宋"/>
                <w:sz w:val="24"/>
                <w:szCs w:val="24"/>
              </w:rPr>
              <w:t>隔板厚度：≥1.2mm</w:t>
            </w:r>
          </w:p>
          <w:p>
            <w:pPr>
              <w:pStyle w:val="374"/>
              <w:numPr>
                <w:ilvl w:val="0"/>
                <w:numId w:val="19"/>
              </w:numPr>
              <w:ind w:left="0" w:firstLine="0"/>
              <w:jc w:val="both"/>
              <w:rPr>
                <w:rFonts w:hint="eastAsia" w:ascii="仿宋" w:hAnsi="仿宋" w:eastAsia="仿宋" w:cs="仿宋"/>
                <w:sz w:val="24"/>
                <w:szCs w:val="24"/>
              </w:rPr>
            </w:pPr>
            <w:r>
              <w:rPr>
                <w:rFonts w:hint="eastAsia" w:ascii="仿宋" w:hAnsi="仿宋" w:eastAsia="仿宋" w:cs="仿宋"/>
                <w:sz w:val="24"/>
                <w:szCs w:val="24"/>
              </w:rPr>
              <w:t>隔板数量：≥5层</w:t>
            </w:r>
          </w:p>
          <w:p>
            <w:pPr>
              <w:pStyle w:val="374"/>
              <w:numPr>
                <w:ilvl w:val="0"/>
                <w:numId w:val="19"/>
              </w:numPr>
              <w:ind w:left="0" w:firstLine="0"/>
              <w:jc w:val="both"/>
              <w:rPr>
                <w:rFonts w:hint="eastAsia" w:ascii="仿宋" w:hAnsi="仿宋" w:eastAsia="仿宋" w:cs="仿宋"/>
                <w:b/>
                <w:bCs/>
                <w:sz w:val="24"/>
                <w:szCs w:val="24"/>
              </w:rPr>
            </w:pPr>
            <w:r>
              <w:rPr>
                <w:rFonts w:hint="eastAsia" w:ascii="仿宋" w:hAnsi="仿宋" w:eastAsia="仿宋" w:cs="仿宋"/>
                <w:sz w:val="24"/>
                <w:szCs w:val="24"/>
              </w:rPr>
              <w:t>侧板：可拆卸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firstLine="0"/>
              <w:jc w:val="both"/>
              <w:rPr>
                <w:rFonts w:hint="eastAsia" w:ascii="仿宋" w:hAnsi="仿宋" w:eastAsia="仿宋" w:cs="仿宋"/>
                <w:kern w:val="11"/>
                <w:sz w:val="24"/>
                <w:szCs w:val="24"/>
              </w:rPr>
            </w:pPr>
            <w:r>
              <w:rPr>
                <w:rFonts w:hint="eastAsia" w:ascii="仿宋" w:hAnsi="仿宋" w:eastAsia="仿宋" w:cs="仿宋"/>
                <w:kern w:val="11"/>
                <w:sz w:val="24"/>
                <w:szCs w:val="24"/>
              </w:rPr>
              <w:t>3</w:t>
            </w:r>
          </w:p>
        </w:tc>
        <w:tc>
          <w:tcPr>
            <w:tcW w:w="1799" w:type="dxa"/>
            <w:shd w:val="clear" w:color="auto" w:fill="auto"/>
            <w:vAlign w:val="center"/>
          </w:tcPr>
          <w:p>
            <w:pPr>
              <w:widowControl/>
              <w:jc w:val="both"/>
              <w:textAlignment w:val="bottom"/>
              <w:rPr>
                <w:rFonts w:hint="eastAsia" w:ascii="仿宋" w:hAnsi="仿宋" w:eastAsia="仿宋" w:cs="仿宋"/>
                <w:sz w:val="24"/>
                <w:szCs w:val="24"/>
              </w:rPr>
            </w:pPr>
            <w:r>
              <w:rPr>
                <w:rFonts w:hint="eastAsia" w:ascii="仿宋" w:hAnsi="仿宋" w:eastAsia="仿宋" w:cs="仿宋"/>
                <w:kern w:val="0"/>
                <w:sz w:val="24"/>
                <w:szCs w:val="24"/>
                <w:lang w:bidi="ar"/>
              </w:rPr>
              <w:t>机械实训室视频切换器</w:t>
            </w:r>
          </w:p>
        </w:tc>
        <w:tc>
          <w:tcPr>
            <w:tcW w:w="6661" w:type="dxa"/>
            <w:shd w:val="clear" w:color="auto" w:fill="auto"/>
            <w:vAlign w:val="center"/>
          </w:tcPr>
          <w:p>
            <w:pPr>
              <w:pStyle w:val="374"/>
              <w:numPr>
                <w:ilvl w:val="0"/>
                <w:numId w:val="20"/>
              </w:numPr>
              <w:ind w:left="0" w:firstLine="0"/>
              <w:jc w:val="both"/>
              <w:rPr>
                <w:rFonts w:hint="eastAsia" w:ascii="仿宋" w:hAnsi="仿宋" w:eastAsia="仿宋" w:cs="仿宋"/>
                <w:sz w:val="24"/>
                <w:szCs w:val="24"/>
              </w:rPr>
            </w:pPr>
            <w:r>
              <w:rPr>
                <w:rFonts w:hint="eastAsia" w:ascii="仿宋" w:hAnsi="仿宋" w:eastAsia="仿宋" w:cs="仿宋"/>
                <w:sz w:val="24"/>
                <w:szCs w:val="24"/>
              </w:rPr>
              <w:t>外壳;金属</w:t>
            </w:r>
          </w:p>
          <w:p>
            <w:pPr>
              <w:pStyle w:val="374"/>
              <w:numPr>
                <w:ilvl w:val="0"/>
                <w:numId w:val="20"/>
              </w:numPr>
              <w:ind w:left="0" w:firstLine="0"/>
              <w:jc w:val="both"/>
              <w:rPr>
                <w:rFonts w:hint="eastAsia" w:ascii="仿宋" w:hAnsi="仿宋" w:eastAsia="仿宋" w:cs="仿宋"/>
                <w:sz w:val="24"/>
                <w:szCs w:val="24"/>
              </w:rPr>
            </w:pPr>
            <w:r>
              <w:rPr>
                <w:rFonts w:hint="eastAsia" w:ascii="仿宋" w:hAnsi="仿宋" w:eastAsia="仿宋" w:cs="仿宋"/>
                <w:sz w:val="24"/>
                <w:szCs w:val="24"/>
              </w:rPr>
              <w:t>输入接口：视频、USB设备</w:t>
            </w:r>
          </w:p>
          <w:p>
            <w:pPr>
              <w:pStyle w:val="374"/>
              <w:numPr>
                <w:ilvl w:val="0"/>
                <w:numId w:val="20"/>
              </w:numPr>
              <w:ind w:left="0" w:firstLine="0"/>
              <w:jc w:val="both"/>
              <w:rPr>
                <w:rFonts w:hint="eastAsia" w:ascii="仿宋" w:hAnsi="仿宋" w:eastAsia="仿宋" w:cs="仿宋"/>
                <w:sz w:val="24"/>
                <w:szCs w:val="24"/>
              </w:rPr>
            </w:pPr>
            <w:r>
              <w:rPr>
                <w:rFonts w:hint="eastAsia" w:ascii="仿宋" w:hAnsi="仿宋" w:eastAsia="仿宋" w:cs="仿宋"/>
                <w:sz w:val="24"/>
                <w:szCs w:val="24"/>
              </w:rPr>
              <w:t>输入数量：≧4路</w:t>
            </w:r>
          </w:p>
          <w:p>
            <w:pPr>
              <w:pStyle w:val="374"/>
              <w:numPr>
                <w:ilvl w:val="0"/>
                <w:numId w:val="20"/>
              </w:numPr>
              <w:ind w:left="0" w:firstLine="0"/>
              <w:jc w:val="both"/>
              <w:rPr>
                <w:rFonts w:hint="eastAsia" w:ascii="仿宋" w:hAnsi="仿宋" w:eastAsia="仿宋" w:cs="仿宋"/>
                <w:sz w:val="24"/>
                <w:szCs w:val="24"/>
              </w:rPr>
            </w:pPr>
            <w:r>
              <w:rPr>
                <w:rFonts w:hint="eastAsia" w:ascii="仿宋" w:hAnsi="仿宋" w:eastAsia="仿宋" w:cs="仿宋"/>
                <w:sz w:val="24"/>
                <w:szCs w:val="24"/>
              </w:rPr>
              <w:t>输出数量：≧1路</w:t>
            </w:r>
          </w:p>
          <w:p>
            <w:pPr>
              <w:pStyle w:val="374"/>
              <w:numPr>
                <w:ilvl w:val="0"/>
                <w:numId w:val="20"/>
              </w:numPr>
              <w:ind w:left="0" w:firstLine="0"/>
              <w:jc w:val="both"/>
              <w:rPr>
                <w:rFonts w:hint="eastAsia" w:ascii="仿宋" w:hAnsi="仿宋" w:eastAsia="仿宋" w:cs="仿宋"/>
                <w:sz w:val="24"/>
                <w:szCs w:val="24"/>
              </w:rPr>
            </w:pPr>
            <w:r>
              <w:rPr>
                <w:rFonts w:hint="eastAsia" w:ascii="仿宋" w:hAnsi="仿宋" w:eastAsia="仿宋" w:cs="仿宋"/>
                <w:sz w:val="24"/>
                <w:szCs w:val="24"/>
              </w:rPr>
              <w:t>1080P无损传输，距离不小于25米</w:t>
            </w:r>
          </w:p>
          <w:p>
            <w:pPr>
              <w:pStyle w:val="374"/>
              <w:numPr>
                <w:ilvl w:val="0"/>
                <w:numId w:val="20"/>
              </w:numPr>
              <w:ind w:left="0" w:firstLine="0"/>
              <w:jc w:val="both"/>
              <w:rPr>
                <w:rFonts w:hint="eastAsia" w:ascii="仿宋" w:hAnsi="仿宋" w:eastAsia="仿宋" w:cs="仿宋"/>
                <w:b/>
                <w:bCs/>
                <w:sz w:val="24"/>
                <w:szCs w:val="24"/>
              </w:rPr>
            </w:pPr>
            <w:r>
              <w:rPr>
                <w:rFonts w:hint="eastAsia" w:ascii="仿宋" w:hAnsi="仿宋" w:eastAsia="仿宋" w:cs="仿宋"/>
                <w:sz w:val="24"/>
                <w:szCs w:val="24"/>
              </w:rPr>
              <w:t>有指示灯，支持一键切换。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0" w:hRule="atLeast"/>
        </w:trPr>
        <w:tc>
          <w:tcPr>
            <w:tcW w:w="825" w:type="dxa"/>
            <w:shd w:val="clear" w:color="auto" w:fill="auto"/>
            <w:vAlign w:val="center"/>
          </w:tcPr>
          <w:p>
            <w:pPr>
              <w:pStyle w:val="374"/>
              <w:ind w:left="0" w:firstLine="0"/>
              <w:jc w:val="both"/>
              <w:rPr>
                <w:rFonts w:hint="eastAsia" w:ascii="仿宋" w:hAnsi="仿宋" w:eastAsia="仿宋" w:cs="仿宋"/>
                <w:kern w:val="11"/>
                <w:sz w:val="24"/>
                <w:szCs w:val="24"/>
              </w:rPr>
            </w:pPr>
            <w:r>
              <w:rPr>
                <w:rFonts w:hint="eastAsia" w:ascii="仿宋" w:hAnsi="仿宋" w:eastAsia="仿宋" w:cs="仿宋"/>
                <w:kern w:val="11"/>
                <w:sz w:val="24"/>
                <w:szCs w:val="24"/>
              </w:rPr>
              <w:t>4</w:t>
            </w:r>
          </w:p>
        </w:tc>
        <w:tc>
          <w:tcPr>
            <w:tcW w:w="1799" w:type="dxa"/>
            <w:shd w:val="clear" w:color="auto" w:fill="auto"/>
            <w:vAlign w:val="center"/>
          </w:tcPr>
          <w:p>
            <w:pPr>
              <w:widowControl/>
              <w:jc w:val="both"/>
              <w:textAlignment w:val="bottom"/>
              <w:rPr>
                <w:rFonts w:hint="eastAsia" w:ascii="仿宋" w:hAnsi="仿宋" w:eastAsia="仿宋" w:cs="仿宋"/>
                <w:sz w:val="24"/>
                <w:szCs w:val="24"/>
              </w:rPr>
            </w:pPr>
            <w:r>
              <w:rPr>
                <w:rFonts w:hint="eastAsia" w:ascii="仿宋" w:hAnsi="仿宋" w:eastAsia="仿宋" w:cs="仿宋"/>
                <w:kern w:val="0"/>
                <w:sz w:val="24"/>
                <w:szCs w:val="24"/>
                <w:lang w:bidi="ar"/>
              </w:rPr>
              <w:t>机械实训室智能无线交换机</w:t>
            </w:r>
          </w:p>
        </w:tc>
        <w:tc>
          <w:tcPr>
            <w:tcW w:w="6661" w:type="dxa"/>
            <w:shd w:val="clear" w:color="auto" w:fill="auto"/>
            <w:vAlign w:val="center"/>
          </w:tcPr>
          <w:p>
            <w:pPr>
              <w:pStyle w:val="374"/>
              <w:numPr>
                <w:ilvl w:val="0"/>
                <w:numId w:val="21"/>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基本参数</w:t>
            </w:r>
          </w:p>
          <w:p>
            <w:pPr>
              <w:pStyle w:val="374"/>
              <w:numPr>
                <w:ilvl w:val="0"/>
                <w:numId w:val="22"/>
              </w:numPr>
              <w:ind w:left="0" w:firstLine="0"/>
              <w:jc w:val="both"/>
              <w:rPr>
                <w:rFonts w:hint="eastAsia" w:ascii="仿宋" w:hAnsi="仿宋" w:eastAsia="仿宋" w:cs="仿宋"/>
                <w:sz w:val="24"/>
                <w:szCs w:val="24"/>
              </w:rPr>
            </w:pPr>
            <w:r>
              <w:rPr>
                <w:rFonts w:hint="eastAsia" w:ascii="仿宋" w:hAnsi="仿宋" w:eastAsia="仿宋" w:cs="仿宋"/>
                <w:sz w:val="24"/>
                <w:szCs w:val="24"/>
              </w:rPr>
              <w:t>产品类型：智能路由器</w:t>
            </w:r>
          </w:p>
          <w:p>
            <w:pPr>
              <w:pStyle w:val="374"/>
              <w:numPr>
                <w:ilvl w:val="0"/>
                <w:numId w:val="22"/>
              </w:numPr>
              <w:ind w:left="0" w:firstLine="0"/>
              <w:jc w:val="both"/>
              <w:rPr>
                <w:rFonts w:hint="eastAsia" w:ascii="仿宋" w:hAnsi="仿宋" w:eastAsia="仿宋" w:cs="仿宋"/>
                <w:sz w:val="24"/>
                <w:szCs w:val="24"/>
              </w:rPr>
            </w:pPr>
            <w:r>
              <w:rPr>
                <w:rFonts w:hint="eastAsia" w:ascii="仿宋" w:hAnsi="仿宋" w:eastAsia="仿宋" w:cs="仿宋"/>
                <w:sz w:val="24"/>
                <w:szCs w:val="24"/>
              </w:rPr>
              <w:t>无线标准：支持IEEE 802.11a/b/g/n/ac/ax</w:t>
            </w:r>
          </w:p>
          <w:p>
            <w:pPr>
              <w:pStyle w:val="374"/>
              <w:numPr>
                <w:ilvl w:val="0"/>
                <w:numId w:val="21"/>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软件参数</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 网络管理：支持Web、Android、iOS</w:t>
            </w:r>
          </w:p>
          <w:p>
            <w:pPr>
              <w:pStyle w:val="374"/>
              <w:numPr>
                <w:ilvl w:val="0"/>
                <w:numId w:val="21"/>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接口参数</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 局域网接口：≧3个10/100/1000Mbps WAN/LAN自适应以太网端口</w:t>
            </w:r>
          </w:p>
          <w:p>
            <w:pPr>
              <w:pStyle w:val="374"/>
              <w:numPr>
                <w:ilvl w:val="0"/>
                <w:numId w:val="21"/>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工作环境</w:t>
            </w:r>
          </w:p>
          <w:p>
            <w:pPr>
              <w:pStyle w:val="374"/>
              <w:numPr>
                <w:ilvl w:val="0"/>
                <w:numId w:val="23"/>
              </w:numPr>
              <w:ind w:left="0" w:firstLine="0"/>
              <w:jc w:val="both"/>
              <w:rPr>
                <w:rFonts w:hint="eastAsia" w:ascii="仿宋" w:hAnsi="仿宋" w:eastAsia="仿宋" w:cs="仿宋"/>
                <w:sz w:val="24"/>
                <w:szCs w:val="24"/>
              </w:rPr>
            </w:pPr>
            <w:r>
              <w:rPr>
                <w:rFonts w:hint="eastAsia" w:ascii="仿宋" w:hAnsi="仿宋" w:eastAsia="仿宋" w:cs="仿宋"/>
                <w:sz w:val="24"/>
                <w:szCs w:val="24"/>
              </w:rPr>
              <w:t>工作温度：0-40℃</w:t>
            </w:r>
          </w:p>
          <w:p>
            <w:pPr>
              <w:pStyle w:val="374"/>
              <w:numPr>
                <w:ilvl w:val="0"/>
                <w:numId w:val="23"/>
              </w:numPr>
              <w:ind w:left="0" w:firstLine="0"/>
              <w:jc w:val="both"/>
              <w:rPr>
                <w:rFonts w:hint="eastAsia" w:ascii="仿宋" w:hAnsi="仿宋" w:eastAsia="仿宋" w:cs="仿宋"/>
                <w:sz w:val="24"/>
                <w:szCs w:val="24"/>
              </w:rPr>
            </w:pPr>
            <w:r>
              <w:rPr>
                <w:rFonts w:hint="eastAsia" w:ascii="仿宋" w:hAnsi="仿宋" w:eastAsia="仿宋" w:cs="仿宋"/>
                <w:sz w:val="24"/>
                <w:szCs w:val="24"/>
              </w:rPr>
              <w:t>工作湿度：10%-90% RH（不凝结）</w:t>
            </w:r>
          </w:p>
          <w:p>
            <w:pPr>
              <w:pStyle w:val="374"/>
              <w:numPr>
                <w:ilvl w:val="0"/>
                <w:numId w:val="23"/>
              </w:numPr>
              <w:ind w:left="0" w:firstLine="0"/>
              <w:jc w:val="both"/>
              <w:rPr>
                <w:rFonts w:hint="eastAsia" w:ascii="仿宋" w:hAnsi="仿宋" w:eastAsia="仿宋" w:cs="仿宋"/>
                <w:sz w:val="24"/>
                <w:szCs w:val="24"/>
              </w:rPr>
            </w:pPr>
            <w:r>
              <w:rPr>
                <w:rFonts w:hint="eastAsia" w:ascii="仿宋" w:hAnsi="仿宋" w:eastAsia="仿宋" w:cs="仿宋"/>
                <w:sz w:val="24"/>
                <w:szCs w:val="24"/>
              </w:rPr>
              <w:t>存储温度：-40-70℃</w:t>
            </w:r>
          </w:p>
          <w:p>
            <w:pPr>
              <w:pStyle w:val="374"/>
              <w:numPr>
                <w:ilvl w:val="0"/>
                <w:numId w:val="23"/>
              </w:numPr>
              <w:ind w:left="0" w:firstLine="0"/>
              <w:jc w:val="both"/>
              <w:rPr>
                <w:rFonts w:hint="eastAsia" w:ascii="仿宋" w:hAnsi="仿宋" w:eastAsia="仿宋" w:cs="仿宋"/>
                <w:sz w:val="24"/>
                <w:szCs w:val="24"/>
              </w:rPr>
            </w:pPr>
            <w:r>
              <w:rPr>
                <w:rFonts w:hint="eastAsia" w:ascii="仿宋" w:hAnsi="仿宋" w:eastAsia="仿宋" w:cs="仿宋"/>
                <w:sz w:val="24"/>
                <w:szCs w:val="24"/>
              </w:rPr>
              <w:t>存储湿度：5%-90% RH（不凝结）</w:t>
            </w:r>
          </w:p>
          <w:p>
            <w:pPr>
              <w:pStyle w:val="374"/>
              <w:numPr>
                <w:ilvl w:val="0"/>
                <w:numId w:val="0"/>
              </w:numPr>
              <w:ind w:leftChars="200"/>
              <w:jc w:val="both"/>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其他参数</w:t>
            </w:r>
          </w:p>
          <w:p>
            <w:pPr>
              <w:pStyle w:val="374"/>
              <w:numPr>
                <w:ilvl w:val="0"/>
                <w:numId w:val="0"/>
              </w:numPr>
              <w:ind w:leftChars="200"/>
              <w:jc w:val="both"/>
              <w:rPr>
                <w:rFonts w:hint="eastAsia" w:ascii="仿宋" w:hAnsi="仿宋" w:eastAsia="仿宋" w:cs="仿宋"/>
                <w:sz w:val="24"/>
                <w:szCs w:val="24"/>
              </w:rPr>
            </w:pPr>
            <w:r>
              <w:rPr>
                <w:rFonts w:hint="eastAsia" w:ascii="仿宋" w:hAnsi="仿宋" w:eastAsia="仿宋" w:cs="仿宋"/>
                <w:sz w:val="24"/>
                <w:szCs w:val="24"/>
              </w:rPr>
              <w:t>(1)电源100-240V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firstLine="0"/>
              <w:jc w:val="both"/>
              <w:rPr>
                <w:rFonts w:hint="eastAsia" w:ascii="仿宋" w:hAnsi="仿宋" w:eastAsia="仿宋" w:cs="仿宋"/>
                <w:kern w:val="11"/>
                <w:sz w:val="24"/>
                <w:szCs w:val="24"/>
              </w:rPr>
            </w:pPr>
            <w:r>
              <w:rPr>
                <w:rFonts w:hint="eastAsia" w:ascii="仿宋" w:hAnsi="仿宋" w:eastAsia="仿宋" w:cs="仿宋"/>
                <w:kern w:val="11"/>
                <w:sz w:val="24"/>
                <w:szCs w:val="24"/>
              </w:rPr>
              <w:t>5</w:t>
            </w:r>
          </w:p>
        </w:tc>
        <w:tc>
          <w:tcPr>
            <w:tcW w:w="1799" w:type="dxa"/>
            <w:shd w:val="clear" w:color="auto" w:fill="auto"/>
            <w:vAlign w:val="center"/>
          </w:tcPr>
          <w:p>
            <w:pPr>
              <w:widowControl/>
              <w:jc w:val="both"/>
              <w:textAlignment w:val="bottom"/>
              <w:rPr>
                <w:rFonts w:hint="eastAsia" w:ascii="仿宋" w:hAnsi="仿宋" w:eastAsia="仿宋" w:cs="仿宋"/>
                <w:sz w:val="24"/>
                <w:szCs w:val="24"/>
              </w:rPr>
            </w:pPr>
            <w:r>
              <w:rPr>
                <w:rFonts w:hint="eastAsia" w:ascii="仿宋" w:hAnsi="仿宋" w:eastAsia="仿宋" w:cs="仿宋"/>
                <w:kern w:val="0"/>
                <w:sz w:val="24"/>
                <w:szCs w:val="24"/>
                <w:lang w:bidi="ar"/>
              </w:rPr>
              <w:t>机械实训室交换机1</w:t>
            </w:r>
          </w:p>
        </w:tc>
        <w:tc>
          <w:tcPr>
            <w:tcW w:w="6661" w:type="dxa"/>
            <w:shd w:val="clear" w:color="auto" w:fill="auto"/>
            <w:vAlign w:val="center"/>
          </w:tcPr>
          <w:p>
            <w:pPr>
              <w:pStyle w:val="374"/>
              <w:numPr>
                <w:ilvl w:val="0"/>
                <w:numId w:val="24"/>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主要参数</w:t>
            </w:r>
          </w:p>
          <w:p>
            <w:pPr>
              <w:pStyle w:val="374"/>
              <w:numPr>
                <w:ilvl w:val="0"/>
                <w:numId w:val="25"/>
              </w:numPr>
              <w:ind w:left="0" w:firstLine="0"/>
              <w:jc w:val="both"/>
              <w:rPr>
                <w:rFonts w:hint="eastAsia" w:ascii="仿宋" w:hAnsi="仿宋" w:eastAsia="仿宋" w:cs="仿宋"/>
                <w:sz w:val="24"/>
                <w:szCs w:val="24"/>
              </w:rPr>
            </w:pPr>
            <w:r>
              <w:rPr>
                <w:rFonts w:hint="eastAsia" w:ascii="仿宋" w:hAnsi="仿宋" w:eastAsia="仿宋" w:cs="仿宋"/>
                <w:sz w:val="24"/>
                <w:szCs w:val="24"/>
              </w:rPr>
              <w:t>传输速率：10/100/1000Mbps</w:t>
            </w:r>
          </w:p>
          <w:p>
            <w:pPr>
              <w:pStyle w:val="374"/>
              <w:numPr>
                <w:ilvl w:val="0"/>
                <w:numId w:val="25"/>
              </w:numPr>
              <w:ind w:left="0" w:firstLine="0"/>
              <w:jc w:val="both"/>
              <w:rPr>
                <w:rFonts w:hint="eastAsia" w:ascii="仿宋" w:hAnsi="仿宋" w:eastAsia="仿宋" w:cs="仿宋"/>
                <w:sz w:val="24"/>
                <w:szCs w:val="24"/>
              </w:rPr>
            </w:pPr>
            <w:r>
              <w:rPr>
                <w:rFonts w:hint="eastAsia" w:ascii="仿宋" w:hAnsi="仿宋" w:eastAsia="仿宋" w:cs="仿宋"/>
                <w:sz w:val="24"/>
                <w:szCs w:val="24"/>
              </w:rPr>
              <w:t>交换方式：存储-转发</w:t>
            </w:r>
          </w:p>
          <w:p>
            <w:pPr>
              <w:pStyle w:val="374"/>
              <w:numPr>
                <w:ilvl w:val="0"/>
                <w:numId w:val="25"/>
              </w:numPr>
              <w:ind w:left="0" w:firstLine="0"/>
              <w:jc w:val="both"/>
              <w:rPr>
                <w:rFonts w:hint="eastAsia" w:ascii="仿宋" w:hAnsi="仿宋" w:eastAsia="仿宋" w:cs="仿宋"/>
                <w:sz w:val="24"/>
                <w:szCs w:val="24"/>
              </w:rPr>
            </w:pPr>
            <w:r>
              <w:rPr>
                <w:rFonts w:hint="eastAsia" w:ascii="仿宋" w:hAnsi="仿宋" w:eastAsia="仿宋" w:cs="仿宋"/>
                <w:sz w:val="24"/>
                <w:szCs w:val="24"/>
              </w:rPr>
              <w:t>背板带宽：≧336Gbps</w:t>
            </w:r>
          </w:p>
          <w:p>
            <w:pPr>
              <w:pStyle w:val="374"/>
              <w:numPr>
                <w:ilvl w:val="0"/>
                <w:numId w:val="25"/>
              </w:numPr>
              <w:ind w:left="0" w:firstLine="0"/>
              <w:jc w:val="both"/>
              <w:rPr>
                <w:rFonts w:hint="eastAsia" w:ascii="仿宋" w:hAnsi="仿宋" w:eastAsia="仿宋" w:cs="仿宋"/>
                <w:sz w:val="24"/>
                <w:szCs w:val="24"/>
              </w:rPr>
            </w:pPr>
            <w:r>
              <w:rPr>
                <w:rFonts w:hint="eastAsia" w:ascii="仿宋" w:hAnsi="仿宋" w:eastAsia="仿宋" w:cs="仿宋"/>
                <w:sz w:val="24"/>
                <w:szCs w:val="24"/>
              </w:rPr>
              <w:t>包转发率：≧92Mpps</w:t>
            </w:r>
          </w:p>
          <w:p>
            <w:pPr>
              <w:pStyle w:val="374"/>
              <w:numPr>
                <w:ilvl w:val="0"/>
                <w:numId w:val="24"/>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端口参数</w:t>
            </w:r>
          </w:p>
          <w:p>
            <w:pPr>
              <w:pStyle w:val="374"/>
              <w:numPr>
                <w:ilvl w:val="0"/>
                <w:numId w:val="26"/>
              </w:numPr>
              <w:ind w:left="0" w:firstLine="0"/>
              <w:jc w:val="both"/>
              <w:rPr>
                <w:rFonts w:hint="eastAsia" w:ascii="仿宋" w:hAnsi="仿宋" w:eastAsia="仿宋" w:cs="仿宋"/>
                <w:sz w:val="24"/>
                <w:szCs w:val="24"/>
              </w:rPr>
            </w:pPr>
            <w:r>
              <w:rPr>
                <w:rFonts w:hint="eastAsia" w:ascii="仿宋" w:hAnsi="仿宋" w:eastAsia="仿宋" w:cs="仿宋"/>
                <w:sz w:val="24"/>
                <w:szCs w:val="24"/>
              </w:rPr>
              <w:t>端口结构：非模块化</w:t>
            </w:r>
          </w:p>
          <w:p>
            <w:pPr>
              <w:pStyle w:val="374"/>
              <w:numPr>
                <w:ilvl w:val="0"/>
                <w:numId w:val="26"/>
              </w:numPr>
              <w:ind w:left="0" w:firstLine="0"/>
              <w:jc w:val="both"/>
              <w:rPr>
                <w:rFonts w:hint="eastAsia" w:ascii="仿宋" w:hAnsi="仿宋" w:eastAsia="仿宋" w:cs="仿宋"/>
                <w:sz w:val="24"/>
                <w:szCs w:val="24"/>
              </w:rPr>
            </w:pPr>
            <w:r>
              <w:rPr>
                <w:rFonts w:hint="eastAsia" w:ascii="仿宋" w:hAnsi="仿宋" w:eastAsia="仿宋" w:cs="仿宋"/>
                <w:sz w:val="24"/>
                <w:szCs w:val="24"/>
              </w:rPr>
              <w:t>端口数量：≧28个</w:t>
            </w:r>
          </w:p>
          <w:p>
            <w:pPr>
              <w:pStyle w:val="374"/>
              <w:numPr>
                <w:ilvl w:val="0"/>
                <w:numId w:val="26"/>
              </w:numPr>
              <w:ind w:left="0" w:firstLine="0"/>
              <w:jc w:val="both"/>
              <w:rPr>
                <w:rFonts w:hint="eastAsia" w:ascii="仿宋" w:hAnsi="仿宋" w:eastAsia="仿宋" w:cs="仿宋"/>
                <w:sz w:val="24"/>
                <w:szCs w:val="24"/>
              </w:rPr>
            </w:pPr>
            <w:r>
              <w:rPr>
                <w:rFonts w:hint="eastAsia" w:ascii="仿宋" w:hAnsi="仿宋" w:eastAsia="仿宋" w:cs="仿宋"/>
                <w:sz w:val="24"/>
                <w:szCs w:val="24"/>
              </w:rPr>
              <w:t>端口描述：≧24个10/100/1000Base-T以太网端口，4个100/1000 Base-X SFP光口</w:t>
            </w:r>
          </w:p>
          <w:p>
            <w:pPr>
              <w:pStyle w:val="374"/>
              <w:numPr>
                <w:ilvl w:val="0"/>
                <w:numId w:val="26"/>
              </w:numPr>
              <w:ind w:left="0" w:firstLine="0"/>
              <w:jc w:val="both"/>
              <w:rPr>
                <w:rFonts w:hint="eastAsia" w:ascii="仿宋" w:hAnsi="仿宋" w:eastAsia="仿宋" w:cs="仿宋"/>
                <w:sz w:val="24"/>
                <w:szCs w:val="24"/>
              </w:rPr>
            </w:pPr>
            <w:r>
              <w:rPr>
                <w:rFonts w:hint="eastAsia" w:ascii="仿宋" w:hAnsi="仿宋" w:eastAsia="仿宋" w:cs="仿宋"/>
                <w:sz w:val="24"/>
                <w:szCs w:val="24"/>
              </w:rPr>
              <w:t>传输模式：全双工/半双工自适应</w:t>
            </w:r>
          </w:p>
          <w:p>
            <w:pPr>
              <w:pStyle w:val="374"/>
              <w:numPr>
                <w:ilvl w:val="0"/>
                <w:numId w:val="24"/>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其它参数</w:t>
            </w:r>
          </w:p>
          <w:p>
            <w:pPr>
              <w:pStyle w:val="374"/>
              <w:numPr>
                <w:ilvl w:val="0"/>
                <w:numId w:val="27"/>
              </w:numPr>
              <w:ind w:left="0" w:firstLine="0"/>
              <w:jc w:val="both"/>
              <w:rPr>
                <w:rFonts w:hint="eastAsia" w:ascii="仿宋" w:hAnsi="仿宋" w:eastAsia="仿宋" w:cs="仿宋"/>
                <w:sz w:val="24"/>
                <w:szCs w:val="24"/>
              </w:rPr>
            </w:pPr>
            <w:r>
              <w:rPr>
                <w:rFonts w:hint="eastAsia" w:ascii="仿宋" w:hAnsi="仿宋" w:eastAsia="仿宋" w:cs="仿宋"/>
                <w:sz w:val="24"/>
                <w:szCs w:val="24"/>
              </w:rPr>
              <w:t>电源电压:100V-240V AC，50/60Hz</w:t>
            </w:r>
          </w:p>
          <w:p>
            <w:pPr>
              <w:pStyle w:val="374"/>
              <w:numPr>
                <w:ilvl w:val="0"/>
                <w:numId w:val="27"/>
              </w:numPr>
              <w:ind w:left="0" w:firstLine="0"/>
              <w:jc w:val="both"/>
              <w:rPr>
                <w:rFonts w:hint="eastAsia" w:ascii="仿宋" w:hAnsi="仿宋" w:eastAsia="仿宋" w:cs="仿宋"/>
                <w:sz w:val="24"/>
                <w:szCs w:val="24"/>
              </w:rPr>
            </w:pPr>
            <w:r>
              <w:rPr>
                <w:rFonts w:hint="eastAsia" w:ascii="仿宋" w:hAnsi="仿宋" w:eastAsia="仿宋" w:cs="仿宋"/>
                <w:sz w:val="24"/>
                <w:szCs w:val="24"/>
              </w:rPr>
              <w:t>电源功率:≤23W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firstLine="0"/>
              <w:jc w:val="both"/>
              <w:rPr>
                <w:rFonts w:hint="eastAsia" w:ascii="仿宋" w:hAnsi="仿宋" w:eastAsia="仿宋" w:cs="仿宋"/>
                <w:kern w:val="11"/>
                <w:sz w:val="24"/>
                <w:szCs w:val="24"/>
              </w:rPr>
            </w:pPr>
            <w:r>
              <w:rPr>
                <w:rFonts w:hint="eastAsia" w:ascii="仿宋" w:hAnsi="仿宋" w:eastAsia="仿宋" w:cs="仿宋"/>
                <w:kern w:val="11"/>
                <w:sz w:val="24"/>
                <w:szCs w:val="24"/>
              </w:rPr>
              <w:t>6</w:t>
            </w:r>
          </w:p>
        </w:tc>
        <w:tc>
          <w:tcPr>
            <w:tcW w:w="1799" w:type="dxa"/>
            <w:shd w:val="clear" w:color="auto" w:fill="auto"/>
            <w:vAlign w:val="center"/>
          </w:tcPr>
          <w:p>
            <w:pPr>
              <w:widowControl/>
              <w:jc w:val="both"/>
              <w:textAlignment w:val="bottom"/>
              <w:rPr>
                <w:rFonts w:hint="eastAsia" w:ascii="仿宋" w:hAnsi="仿宋" w:eastAsia="仿宋" w:cs="仿宋"/>
                <w:sz w:val="24"/>
                <w:szCs w:val="24"/>
              </w:rPr>
            </w:pPr>
            <w:r>
              <w:rPr>
                <w:rFonts w:hint="eastAsia" w:ascii="仿宋" w:hAnsi="仿宋" w:eastAsia="仿宋" w:cs="仿宋"/>
                <w:kern w:val="0"/>
                <w:sz w:val="24"/>
                <w:szCs w:val="24"/>
                <w:lang w:bidi="ar"/>
              </w:rPr>
              <w:t>机械实训室触摸一体机</w:t>
            </w:r>
          </w:p>
        </w:tc>
        <w:tc>
          <w:tcPr>
            <w:tcW w:w="6661" w:type="dxa"/>
            <w:shd w:val="clear" w:color="auto" w:fill="auto"/>
            <w:vAlign w:val="center"/>
          </w:tcPr>
          <w:p>
            <w:pPr>
              <w:pStyle w:val="374"/>
              <w:numPr>
                <w:ilvl w:val="0"/>
                <w:numId w:val="2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 整机系统功能</w:t>
            </w:r>
          </w:p>
          <w:p>
            <w:pPr>
              <w:pStyle w:val="374"/>
              <w:numPr>
                <w:ilvl w:val="0"/>
                <w:numId w:val="29"/>
              </w:numPr>
              <w:ind w:left="0" w:firstLine="0"/>
              <w:jc w:val="both"/>
              <w:rPr>
                <w:rFonts w:hint="eastAsia" w:ascii="仿宋" w:hAnsi="仿宋" w:eastAsia="仿宋" w:cs="仿宋"/>
                <w:sz w:val="24"/>
                <w:szCs w:val="24"/>
              </w:rPr>
            </w:pPr>
            <w:r>
              <w:rPr>
                <w:rFonts w:hint="eastAsia" w:ascii="仿宋" w:hAnsi="仿宋" w:eastAsia="仿宋" w:cs="仿宋"/>
                <w:sz w:val="24"/>
                <w:szCs w:val="24"/>
              </w:rPr>
              <w:t>整机屏幕采用UHD超高清LED 液晶屏，背光源，A 规屏或以上标准；显示尺寸不小于65英寸，显示比例16:9，显示分辨率不小于3840×2160，可视角度不小于178°，保证学生观看效果；</w:t>
            </w:r>
          </w:p>
          <w:p>
            <w:pPr>
              <w:pStyle w:val="374"/>
              <w:numPr>
                <w:ilvl w:val="0"/>
                <w:numId w:val="29"/>
              </w:numPr>
              <w:ind w:left="0" w:firstLine="0"/>
              <w:jc w:val="both"/>
              <w:rPr>
                <w:rFonts w:hint="eastAsia" w:ascii="仿宋" w:hAnsi="仿宋" w:eastAsia="仿宋" w:cs="仿宋"/>
                <w:sz w:val="24"/>
                <w:szCs w:val="24"/>
              </w:rPr>
            </w:pPr>
            <w:r>
              <w:rPr>
                <w:rFonts w:hint="eastAsia" w:ascii="仿宋" w:hAnsi="仿宋" w:eastAsia="仿宋" w:cs="仿宋"/>
                <w:sz w:val="24"/>
                <w:szCs w:val="24"/>
              </w:rPr>
              <w:t>安卓主页面提供≥3个应用入口，任意应用入口可以根据教学需要自行更换。</w:t>
            </w:r>
          </w:p>
          <w:p>
            <w:pPr>
              <w:pStyle w:val="374"/>
              <w:numPr>
                <w:ilvl w:val="0"/>
                <w:numId w:val="29"/>
              </w:numPr>
              <w:ind w:left="0" w:firstLine="0"/>
              <w:jc w:val="both"/>
              <w:rPr>
                <w:rFonts w:hint="eastAsia" w:ascii="仿宋" w:hAnsi="仿宋" w:eastAsia="仿宋" w:cs="仿宋"/>
                <w:sz w:val="24"/>
                <w:szCs w:val="24"/>
              </w:rPr>
            </w:pPr>
            <w:r>
              <w:rPr>
                <w:rFonts w:hint="eastAsia" w:ascii="仿宋" w:hAnsi="仿宋" w:eastAsia="仿宋" w:cs="仿宋"/>
                <w:sz w:val="24"/>
                <w:szCs w:val="24"/>
              </w:rPr>
              <w:t>支持双路WIFI，支持2.4G/5G双频，在无PC条件下，整机可上网，同时可开AP热点；</w:t>
            </w:r>
          </w:p>
          <w:p>
            <w:pPr>
              <w:pStyle w:val="374"/>
              <w:numPr>
                <w:ilvl w:val="0"/>
                <w:numId w:val="29"/>
              </w:numPr>
              <w:ind w:left="0" w:firstLine="0"/>
              <w:jc w:val="both"/>
              <w:rPr>
                <w:rFonts w:hint="eastAsia" w:ascii="仿宋" w:hAnsi="仿宋" w:eastAsia="仿宋" w:cs="仿宋"/>
                <w:sz w:val="24"/>
                <w:szCs w:val="24"/>
              </w:rPr>
            </w:pPr>
            <w:r>
              <w:rPr>
                <w:rFonts w:hint="eastAsia" w:ascii="仿宋" w:hAnsi="仿宋" w:eastAsia="仿宋" w:cs="仿宋"/>
                <w:sz w:val="24"/>
                <w:szCs w:val="24"/>
              </w:rPr>
              <w:t>支持全通道批注功能，自带锁屏功能；</w:t>
            </w:r>
          </w:p>
          <w:p>
            <w:pPr>
              <w:pStyle w:val="374"/>
              <w:numPr>
                <w:ilvl w:val="0"/>
                <w:numId w:val="29"/>
              </w:numPr>
              <w:ind w:left="0" w:firstLine="0"/>
              <w:jc w:val="both"/>
              <w:rPr>
                <w:rFonts w:hint="eastAsia" w:ascii="仿宋" w:hAnsi="仿宋" w:eastAsia="仿宋" w:cs="仿宋"/>
                <w:sz w:val="24"/>
                <w:szCs w:val="24"/>
              </w:rPr>
            </w:pPr>
            <w:r>
              <w:rPr>
                <w:rFonts w:hint="eastAsia" w:ascii="仿宋" w:hAnsi="仿宋" w:eastAsia="仿宋" w:cs="仿宋"/>
                <w:sz w:val="24"/>
                <w:szCs w:val="24"/>
              </w:rPr>
              <w:t>外边框铝合金材质，前框四角圆弧型设计，全金属后壳，防腐蚀设计，高可靠性；</w:t>
            </w:r>
          </w:p>
          <w:p>
            <w:pPr>
              <w:pStyle w:val="374"/>
              <w:numPr>
                <w:ilvl w:val="0"/>
                <w:numId w:val="29"/>
              </w:numPr>
              <w:ind w:left="0" w:firstLine="0"/>
              <w:jc w:val="both"/>
              <w:rPr>
                <w:rFonts w:hint="eastAsia" w:ascii="仿宋" w:hAnsi="仿宋" w:eastAsia="仿宋" w:cs="仿宋"/>
                <w:sz w:val="24"/>
                <w:szCs w:val="24"/>
                <w:highlight w:val="none"/>
              </w:rPr>
            </w:pPr>
            <w:r>
              <w:rPr>
                <w:rFonts w:hint="eastAsia" w:ascii="仿宋" w:hAnsi="仿宋" w:eastAsia="仿宋" w:cs="仿宋"/>
                <w:sz w:val="24"/>
                <w:szCs w:val="24"/>
              </w:rPr>
              <w:t>为了满足老师便于操作的功能，前置配置按键，可实现包含电源、音量+、音量-、设置、主页、返回、护眼、录屏等</w:t>
            </w:r>
            <w:r>
              <w:rPr>
                <w:rFonts w:hint="eastAsia" w:ascii="仿宋" w:hAnsi="仿宋" w:eastAsia="仿宋" w:cs="仿宋"/>
                <w:sz w:val="24"/>
                <w:szCs w:val="24"/>
                <w:highlight w:val="none"/>
              </w:rPr>
              <w:t>功能。</w:t>
            </w:r>
          </w:p>
          <w:p>
            <w:pPr>
              <w:pStyle w:val="374"/>
              <w:ind w:left="0" w:firstLine="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☆支持 Android8.0系统，大屏硬件内存不低于3GB，存储空间不低于12GB；(提供参数配置截图证明文件)</w:t>
            </w:r>
          </w:p>
          <w:p>
            <w:pPr>
              <w:pStyle w:val="374"/>
              <w:numPr>
                <w:ilvl w:val="0"/>
                <w:numId w:val="29"/>
              </w:numPr>
              <w:ind w:left="0" w:firstLine="0"/>
              <w:jc w:val="both"/>
              <w:rPr>
                <w:rFonts w:hint="eastAsia" w:ascii="仿宋" w:hAnsi="仿宋" w:eastAsia="仿宋" w:cs="仿宋"/>
                <w:sz w:val="24"/>
                <w:szCs w:val="24"/>
              </w:rPr>
            </w:pPr>
            <w:r>
              <w:rPr>
                <w:rFonts w:hint="eastAsia" w:ascii="仿宋" w:hAnsi="仿宋" w:eastAsia="仿宋" w:cs="仿宋"/>
                <w:sz w:val="24"/>
                <w:szCs w:val="24"/>
              </w:rPr>
              <w:t>应用HDR10技术，提升动态对比度、色彩梯度，让多媒体教学视频显示效果更真实更自然；</w:t>
            </w:r>
          </w:p>
          <w:p>
            <w:pPr>
              <w:pStyle w:val="374"/>
              <w:numPr>
                <w:ilvl w:val="0"/>
                <w:numId w:val="29"/>
              </w:numPr>
              <w:ind w:left="0" w:firstLine="0"/>
              <w:jc w:val="both"/>
              <w:rPr>
                <w:rFonts w:hint="eastAsia" w:ascii="仿宋" w:hAnsi="仿宋" w:eastAsia="仿宋" w:cs="仿宋"/>
                <w:sz w:val="24"/>
                <w:szCs w:val="24"/>
              </w:rPr>
            </w:pPr>
            <w:r>
              <w:rPr>
                <w:rFonts w:hint="eastAsia" w:ascii="仿宋" w:hAnsi="仿宋" w:eastAsia="仿宋" w:cs="仿宋"/>
                <w:sz w:val="24"/>
                <w:szCs w:val="24"/>
              </w:rPr>
              <w:t>需具备安卓系统的小工具，支持截屏、聚光灯、计算器、倒计时、一键锁屏、投票、一键清理等功能；</w:t>
            </w:r>
          </w:p>
          <w:p>
            <w:pPr>
              <w:pStyle w:val="374"/>
              <w:numPr>
                <w:ilvl w:val="0"/>
                <w:numId w:val="29"/>
              </w:numPr>
              <w:ind w:left="0" w:firstLine="0"/>
              <w:jc w:val="both"/>
              <w:rPr>
                <w:rFonts w:hint="eastAsia" w:ascii="仿宋" w:hAnsi="仿宋" w:eastAsia="仿宋" w:cs="仿宋"/>
                <w:sz w:val="24"/>
                <w:szCs w:val="24"/>
              </w:rPr>
            </w:pPr>
            <w:r>
              <w:rPr>
                <w:rFonts w:hint="eastAsia" w:ascii="仿宋" w:hAnsi="仿宋" w:eastAsia="仿宋" w:cs="仿宋"/>
                <w:sz w:val="24"/>
                <w:szCs w:val="24"/>
              </w:rPr>
              <w:t>为了提升教师上课效率，便于教师操作，整机前置接口需具备：USB3.0≥2，HDMI≥1，Touch USB≥1，Type-C≥1；</w:t>
            </w:r>
          </w:p>
          <w:p>
            <w:pPr>
              <w:pStyle w:val="374"/>
              <w:numPr>
                <w:ilvl w:val="0"/>
                <w:numId w:val="29"/>
              </w:numPr>
              <w:ind w:left="0" w:firstLine="0"/>
              <w:jc w:val="both"/>
              <w:rPr>
                <w:rFonts w:hint="eastAsia" w:ascii="仿宋" w:hAnsi="仿宋" w:eastAsia="仿宋" w:cs="仿宋"/>
                <w:sz w:val="24"/>
                <w:szCs w:val="24"/>
              </w:rPr>
            </w:pPr>
            <w:r>
              <w:rPr>
                <w:rFonts w:hint="eastAsia" w:ascii="仿宋" w:hAnsi="仿宋" w:eastAsia="仿宋" w:cs="仿宋"/>
                <w:sz w:val="24"/>
                <w:szCs w:val="24"/>
              </w:rPr>
              <w:t>前置USB接口支持Windows 及Android 双系统读取，将U盘插入任意前置USB接口，均能被Windows及Android 系统识别，防止老师误操作；</w:t>
            </w:r>
          </w:p>
          <w:p>
            <w:pPr>
              <w:pStyle w:val="374"/>
              <w:numPr>
                <w:ilvl w:val="0"/>
                <w:numId w:val="29"/>
              </w:numPr>
              <w:ind w:left="0" w:firstLine="0"/>
              <w:jc w:val="both"/>
              <w:rPr>
                <w:rFonts w:hint="eastAsia" w:ascii="仿宋" w:hAnsi="仿宋" w:eastAsia="仿宋" w:cs="仿宋"/>
                <w:sz w:val="24"/>
                <w:szCs w:val="24"/>
              </w:rPr>
            </w:pPr>
            <w:r>
              <w:rPr>
                <w:rFonts w:hint="eastAsia" w:ascii="仿宋" w:hAnsi="仿宋" w:eastAsia="仿宋" w:cs="仿宋"/>
                <w:sz w:val="24"/>
                <w:szCs w:val="24"/>
              </w:rPr>
              <w:t>在任意信号源通道下均可通过两指调出悬浮菜单，悬浮菜单具有一键启动白板软件、调节音量、切换信号源等功能。 </w:t>
            </w:r>
          </w:p>
          <w:p>
            <w:pPr>
              <w:pStyle w:val="374"/>
              <w:numPr>
                <w:ilvl w:val="0"/>
                <w:numId w:val="29"/>
              </w:numPr>
              <w:ind w:left="0" w:firstLine="0"/>
              <w:jc w:val="both"/>
              <w:rPr>
                <w:rFonts w:hint="eastAsia" w:ascii="仿宋" w:hAnsi="仿宋" w:eastAsia="仿宋" w:cs="仿宋"/>
                <w:sz w:val="24"/>
                <w:szCs w:val="24"/>
              </w:rPr>
            </w:pPr>
            <w:r>
              <w:rPr>
                <w:rFonts w:hint="eastAsia" w:ascii="仿宋" w:hAnsi="仿宋" w:eastAsia="仿宋" w:cs="仿宋"/>
                <w:sz w:val="24"/>
                <w:szCs w:val="24"/>
              </w:rPr>
              <w:t>为了保证教学质量，提供教师电脑和大屏或者其它设备同时通过有线上网，整机后置接口需具备：USB≥2，YPbPr IN≥1，AV IN≥1，RJ45≥2 （不含OPS RJ45接口）等；</w:t>
            </w:r>
          </w:p>
          <w:p>
            <w:pPr>
              <w:pStyle w:val="374"/>
              <w:numPr>
                <w:ilvl w:val="0"/>
                <w:numId w:val="29"/>
              </w:numPr>
              <w:ind w:left="0" w:firstLine="0"/>
              <w:jc w:val="both"/>
              <w:rPr>
                <w:rFonts w:hint="eastAsia" w:ascii="仿宋" w:hAnsi="仿宋" w:eastAsia="仿宋" w:cs="仿宋"/>
                <w:sz w:val="24"/>
                <w:szCs w:val="24"/>
              </w:rPr>
            </w:pPr>
            <w:r>
              <w:rPr>
                <w:rFonts w:hint="eastAsia" w:ascii="仿宋" w:hAnsi="仿宋" w:eastAsia="仿宋" w:cs="仿宋"/>
                <w:sz w:val="24"/>
                <w:szCs w:val="24"/>
              </w:rPr>
              <w:t>整机只需连接一根网线，即可实现Windows 及Android系统同时联网。</w:t>
            </w:r>
          </w:p>
          <w:p>
            <w:pPr>
              <w:pStyle w:val="374"/>
              <w:numPr>
                <w:ilvl w:val="0"/>
                <w:numId w:val="29"/>
              </w:numPr>
              <w:ind w:left="0" w:firstLine="0"/>
              <w:jc w:val="both"/>
              <w:rPr>
                <w:rFonts w:hint="eastAsia" w:ascii="仿宋" w:hAnsi="仿宋" w:eastAsia="仿宋" w:cs="仿宋"/>
                <w:sz w:val="24"/>
                <w:szCs w:val="24"/>
              </w:rPr>
            </w:pPr>
            <w:r>
              <w:rPr>
                <w:rFonts w:hint="eastAsia" w:ascii="仿宋" w:hAnsi="仿宋" w:eastAsia="仿宋" w:cs="仿宋"/>
                <w:sz w:val="24"/>
                <w:szCs w:val="24"/>
              </w:rPr>
              <w:t>触控特性：要求20点以上红外触控技术，无需安装驱动和校准定位，无遮挡下同时识别10点独立书写操作。</w:t>
            </w:r>
          </w:p>
          <w:p>
            <w:pPr>
              <w:pStyle w:val="374"/>
              <w:numPr>
                <w:ilvl w:val="0"/>
                <w:numId w:val="29"/>
              </w:numPr>
              <w:ind w:left="0" w:firstLine="0"/>
              <w:jc w:val="both"/>
              <w:rPr>
                <w:rFonts w:hint="eastAsia" w:ascii="仿宋" w:hAnsi="仿宋" w:eastAsia="仿宋" w:cs="仿宋"/>
                <w:sz w:val="24"/>
                <w:szCs w:val="24"/>
              </w:rPr>
            </w:pPr>
            <w:r>
              <w:rPr>
                <w:rFonts w:hint="eastAsia" w:ascii="仿宋" w:hAnsi="仿宋" w:eastAsia="仿宋" w:cs="仿宋"/>
                <w:sz w:val="24"/>
                <w:szCs w:val="24"/>
              </w:rPr>
              <w:t>为了提升教学过程中传输课件的效率，大屏整机蓝牙（非OPS）：≥5.0版本。</w:t>
            </w:r>
          </w:p>
          <w:p>
            <w:pPr>
              <w:pStyle w:val="374"/>
              <w:numPr>
                <w:ilvl w:val="0"/>
                <w:numId w:val="28"/>
              </w:numPr>
              <w:tabs>
                <w:tab w:val="clear" w:pos="8268"/>
              </w:tabs>
              <w:ind w:left="0" w:firstLine="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OPS内置电脑需求</w:t>
            </w:r>
          </w:p>
          <w:p>
            <w:pPr>
              <w:pStyle w:val="374"/>
              <w:ind w:left="0" w:firstLine="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w:t>
            </w:r>
            <w:bookmarkStart w:id="553" w:name="_GoBack"/>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☆内置OPS电脑采用抽拉式模块化设计，80pin接口，无任何外接电源线和信号线，方便检测维护；(提供参数配置截图证明文件)</w:t>
            </w:r>
          </w:p>
          <w:p>
            <w:pPr>
              <w:pStyle w:val="374"/>
              <w:ind w:left="0" w:firstLine="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）内置</w:t>
            </w:r>
            <w:r>
              <w:rPr>
                <w:rFonts w:hint="eastAsia" w:ascii="仿宋" w:hAnsi="仿宋" w:eastAsia="仿宋" w:cs="仿宋"/>
                <w:sz w:val="24"/>
                <w:szCs w:val="24"/>
                <w:highlight w:val="none"/>
              </w:rPr>
              <w:t>8GB DDR4及以上内存；256G SSD及以上硬盘；</w:t>
            </w:r>
          </w:p>
          <w:bookmarkEnd w:id="553"/>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3. 白板工具需求</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(1)支持16点以上点同时书写，可自由选择笔颜色及粗细</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 无PC条件下， 需支持便捷实用功能：支持一指书写、两指放大缩小、多指漫游、手背/手掌擦除功能；</w:t>
            </w:r>
          </w:p>
          <w:p>
            <w:pPr>
              <w:pStyle w:val="374"/>
              <w:ind w:left="0" w:firstLine="0"/>
              <w:jc w:val="both"/>
              <w:rPr>
                <w:rFonts w:hint="eastAsia" w:ascii="仿宋" w:hAnsi="仿宋" w:eastAsia="仿宋" w:cs="仿宋"/>
                <w:sz w:val="24"/>
                <w:szCs w:val="24"/>
                <w:highlight w:val="none"/>
              </w:rPr>
            </w:pPr>
            <w:r>
              <w:rPr>
                <w:rFonts w:hint="eastAsia" w:ascii="仿宋" w:hAnsi="仿宋" w:eastAsia="仿宋" w:cs="仿宋"/>
                <w:sz w:val="24"/>
                <w:szCs w:val="24"/>
              </w:rPr>
              <w:t>(3)</w:t>
            </w:r>
            <w:r>
              <w:rPr>
                <w:rFonts w:hint="eastAsia" w:ascii="仿宋" w:hAnsi="仿宋" w:eastAsia="仿宋" w:cs="仿宋"/>
                <w:sz w:val="24"/>
                <w:szCs w:val="24"/>
                <w:highlight w:val="none"/>
              </w:rPr>
              <w:t> ☆</w:t>
            </w:r>
            <w:r>
              <w:rPr>
                <w:rFonts w:hint="eastAsia" w:ascii="仿宋" w:hAnsi="仿宋" w:eastAsia="仿宋" w:cs="仿宋"/>
                <w:sz w:val="24"/>
                <w:szCs w:val="24"/>
              </w:rPr>
              <w:t>无PC条件下，白板软件需具备精细擦除功能，可模拟铅笔使用习惯，细头识别书写，粗头</w:t>
            </w:r>
            <w:r>
              <w:rPr>
                <w:rFonts w:hint="eastAsia" w:ascii="仿宋" w:hAnsi="仿宋" w:eastAsia="仿宋" w:cs="仿宋"/>
                <w:sz w:val="24"/>
                <w:szCs w:val="24"/>
                <w:highlight w:val="none"/>
              </w:rPr>
              <w:t>识别橡皮擦；(中标后提供功能证明文件)</w:t>
            </w:r>
          </w:p>
          <w:p>
            <w:pPr>
              <w:pStyle w:val="374"/>
              <w:ind w:left="0" w:firstLine="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 无PC条件下，具备识别两种笔头直径，无需切换菜单，可自动识别粗细笔迹，既能够方便教师板书及批注重点，又可以保留真实书写；</w:t>
            </w:r>
          </w:p>
          <w:p>
            <w:pPr>
              <w:pStyle w:val="374"/>
              <w:ind w:left="0" w:firstLine="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(5) 无PC条件下，白板软件需支持二维码分享白板记录。</w:t>
            </w:r>
          </w:p>
          <w:p>
            <w:pPr>
              <w:pStyle w:val="374"/>
              <w:ind w:left="0" w:firstLine="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(6) ☆无PC条件下，提供分屏书写，具备2分屏和3分屏功能，支持多个学生同时上台书写。(中标后提供功能证明文件)</w:t>
            </w:r>
          </w:p>
          <w:p>
            <w:pPr>
              <w:pStyle w:val="374"/>
              <w:ind w:left="0" w:firstLine="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 投屏器（可选，第三方）</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 投屏软件需支持Android手机、iOS手机、Windows电脑、Mac OS电脑在大屏上实现投屏功能，支持投屏视频、音乐、图片等；</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 投屏硬件采用 USB 端口进行传输，单按键设计，只需按一下即可传屏；</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(3) 大屏接收端软件需具有翻页PPt的功能；</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(4) 大屏接收端软件需具有反控功能。对于PPT、Word、Excel文档，不但支持单次点击控制，还支持通过手势操作，进行向上翻页、向下翻页、上下滚动；</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(5) 接收端大屏作为展示设备，可以对接入设备进行控制，包括以下功能：可以设定主讲人，主讲权限可以转移给其他人；可以指定某台设备为锁定模式，独占投屏，其他设备不能抢占；可以主动拉起某一台设备投屏，也可以让某台正在投屏的设备去投屏；可设定允许快照，或禁止快照；</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(6) 通过数字信号传输，信号更稳定，抗干扰性强；</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(7) 传输分辨率：支持 1920×1080@30Hz以上级别；</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(8) 电脑免驱，无需额外安装驱动，连接上即可使用；</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(9) 可支持在windows 和Android下投屏；</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(10) 通过手机APP反向镜像，对正在投屏的设备进行批注。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firstLine="0"/>
              <w:jc w:val="both"/>
              <w:rPr>
                <w:rFonts w:hint="eastAsia" w:ascii="仿宋" w:hAnsi="仿宋" w:eastAsia="仿宋" w:cs="仿宋"/>
                <w:kern w:val="11"/>
                <w:sz w:val="24"/>
                <w:szCs w:val="24"/>
              </w:rPr>
            </w:pPr>
            <w:r>
              <w:rPr>
                <w:rFonts w:hint="eastAsia" w:ascii="仿宋" w:hAnsi="仿宋" w:eastAsia="仿宋" w:cs="仿宋"/>
                <w:kern w:val="11"/>
                <w:sz w:val="24"/>
                <w:szCs w:val="24"/>
              </w:rPr>
              <w:t>7</w:t>
            </w:r>
          </w:p>
        </w:tc>
        <w:tc>
          <w:tcPr>
            <w:tcW w:w="1799" w:type="dxa"/>
            <w:shd w:val="clear" w:color="auto" w:fill="auto"/>
            <w:vAlign w:val="center"/>
          </w:tcPr>
          <w:p>
            <w:pPr>
              <w:widowControl/>
              <w:jc w:val="both"/>
              <w:textAlignment w:val="bottom"/>
              <w:rPr>
                <w:rFonts w:hint="eastAsia" w:ascii="仿宋" w:hAnsi="仿宋" w:eastAsia="仿宋" w:cs="仿宋"/>
                <w:sz w:val="24"/>
                <w:szCs w:val="24"/>
              </w:rPr>
            </w:pPr>
            <w:r>
              <w:rPr>
                <w:rFonts w:hint="eastAsia" w:ascii="仿宋" w:hAnsi="仿宋" w:eastAsia="仿宋" w:cs="仿宋"/>
                <w:kern w:val="0"/>
                <w:sz w:val="24"/>
                <w:szCs w:val="24"/>
                <w:lang w:bidi="ar"/>
              </w:rPr>
              <w:t>机械实训室移动平板</w:t>
            </w:r>
          </w:p>
        </w:tc>
        <w:tc>
          <w:tcPr>
            <w:tcW w:w="6661" w:type="dxa"/>
            <w:shd w:val="clear" w:color="auto" w:fill="auto"/>
            <w:vAlign w:val="center"/>
          </w:tcPr>
          <w:p>
            <w:pPr>
              <w:pStyle w:val="374"/>
              <w:numPr>
                <w:ilvl w:val="0"/>
                <w:numId w:val="3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基本参数</w:t>
            </w:r>
          </w:p>
          <w:p>
            <w:pPr>
              <w:pStyle w:val="374"/>
              <w:numPr>
                <w:ilvl w:val="0"/>
                <w:numId w:val="31"/>
              </w:numPr>
              <w:ind w:left="0" w:firstLine="0"/>
              <w:jc w:val="both"/>
              <w:rPr>
                <w:rFonts w:hint="eastAsia" w:ascii="仿宋" w:hAnsi="仿宋" w:eastAsia="仿宋" w:cs="仿宋"/>
                <w:sz w:val="24"/>
                <w:szCs w:val="24"/>
              </w:rPr>
            </w:pPr>
            <w:r>
              <w:rPr>
                <w:rFonts w:hint="eastAsia" w:ascii="仿宋" w:hAnsi="仿宋" w:eastAsia="仿宋" w:cs="仿宋"/>
                <w:sz w:val="24"/>
                <w:szCs w:val="24"/>
              </w:rPr>
              <w:t>操作系统：预装Windows11家庭版</w:t>
            </w:r>
          </w:p>
          <w:p>
            <w:pPr>
              <w:pStyle w:val="374"/>
              <w:numPr>
                <w:ilvl w:val="0"/>
                <w:numId w:val="31"/>
              </w:numPr>
              <w:ind w:left="0" w:firstLine="0"/>
              <w:jc w:val="both"/>
              <w:rPr>
                <w:rFonts w:hint="eastAsia" w:ascii="仿宋" w:hAnsi="仿宋" w:eastAsia="仿宋" w:cs="仿宋"/>
                <w:sz w:val="24"/>
                <w:szCs w:val="24"/>
              </w:rPr>
            </w:pPr>
            <w:r>
              <w:rPr>
                <w:rFonts w:hint="eastAsia" w:ascii="仿宋" w:hAnsi="仿宋" w:eastAsia="仿宋" w:cs="仿宋"/>
                <w:sz w:val="24"/>
                <w:szCs w:val="24"/>
              </w:rPr>
              <w:t>接口：USB type-C*2、3.5耳机接口、SD卡槽、（SIM卡槽*1，LTE版）、POGO Pin*5</w:t>
            </w:r>
          </w:p>
          <w:p>
            <w:pPr>
              <w:pStyle w:val="374"/>
              <w:numPr>
                <w:ilvl w:val="0"/>
                <w:numId w:val="3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处理器</w:t>
            </w:r>
          </w:p>
          <w:p>
            <w:pPr>
              <w:pStyle w:val="374"/>
              <w:numPr>
                <w:ilvl w:val="0"/>
                <w:numId w:val="32"/>
              </w:numPr>
              <w:ind w:left="0" w:firstLine="0"/>
              <w:jc w:val="both"/>
              <w:rPr>
                <w:rFonts w:hint="eastAsia" w:ascii="仿宋" w:hAnsi="仿宋" w:eastAsia="仿宋" w:cs="仿宋"/>
                <w:sz w:val="24"/>
                <w:szCs w:val="24"/>
              </w:rPr>
            </w:pPr>
            <w:r>
              <w:rPr>
                <w:rFonts w:hint="eastAsia" w:ascii="仿宋" w:hAnsi="仿宋" w:eastAsia="仿宋" w:cs="仿宋"/>
                <w:sz w:val="24"/>
                <w:szCs w:val="24"/>
              </w:rPr>
              <w:t>CPU≧2核，主频≧1.1GHz</w:t>
            </w:r>
          </w:p>
          <w:p>
            <w:pPr>
              <w:pStyle w:val="374"/>
              <w:numPr>
                <w:ilvl w:val="0"/>
                <w:numId w:val="3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 存储设备</w:t>
            </w:r>
          </w:p>
          <w:p>
            <w:pPr>
              <w:pStyle w:val="374"/>
              <w:numPr>
                <w:ilvl w:val="0"/>
                <w:numId w:val="33"/>
              </w:numPr>
              <w:ind w:left="0" w:firstLine="0"/>
              <w:jc w:val="both"/>
              <w:rPr>
                <w:rFonts w:hint="eastAsia" w:ascii="仿宋" w:hAnsi="仿宋" w:eastAsia="仿宋" w:cs="仿宋"/>
                <w:sz w:val="24"/>
                <w:szCs w:val="24"/>
              </w:rPr>
            </w:pPr>
            <w:r>
              <w:rPr>
                <w:rFonts w:hint="eastAsia" w:ascii="仿宋" w:hAnsi="仿宋" w:eastAsia="仿宋" w:cs="仿宋"/>
                <w:sz w:val="24"/>
                <w:szCs w:val="24"/>
              </w:rPr>
              <w:t>内存容量≧4GB</w:t>
            </w:r>
          </w:p>
          <w:p>
            <w:pPr>
              <w:pStyle w:val="374"/>
              <w:numPr>
                <w:ilvl w:val="0"/>
                <w:numId w:val="33"/>
              </w:numPr>
              <w:ind w:left="0" w:firstLine="0"/>
              <w:jc w:val="both"/>
              <w:rPr>
                <w:rFonts w:hint="eastAsia" w:ascii="仿宋" w:hAnsi="仿宋" w:eastAsia="仿宋" w:cs="仿宋"/>
                <w:sz w:val="24"/>
                <w:szCs w:val="24"/>
              </w:rPr>
            </w:pPr>
            <w:r>
              <w:rPr>
                <w:rFonts w:hint="eastAsia" w:ascii="仿宋" w:hAnsi="仿宋" w:eastAsia="仿宋" w:cs="仿宋"/>
                <w:sz w:val="24"/>
                <w:szCs w:val="24"/>
              </w:rPr>
              <w:t>硬盘容量≧64GB</w:t>
            </w:r>
          </w:p>
          <w:p>
            <w:pPr>
              <w:pStyle w:val="374"/>
              <w:numPr>
                <w:ilvl w:val="0"/>
                <w:numId w:val="3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 显示屏</w:t>
            </w:r>
          </w:p>
          <w:p>
            <w:pPr>
              <w:pStyle w:val="374"/>
              <w:numPr>
                <w:ilvl w:val="0"/>
                <w:numId w:val="34"/>
              </w:numPr>
              <w:ind w:left="0" w:firstLine="0"/>
              <w:jc w:val="both"/>
              <w:rPr>
                <w:rFonts w:hint="eastAsia" w:ascii="仿宋" w:hAnsi="仿宋" w:eastAsia="仿宋" w:cs="仿宋"/>
                <w:sz w:val="24"/>
                <w:szCs w:val="24"/>
              </w:rPr>
            </w:pPr>
            <w:r>
              <w:rPr>
                <w:rFonts w:hint="eastAsia" w:ascii="仿宋" w:hAnsi="仿宋" w:eastAsia="仿宋" w:cs="仿宋"/>
                <w:sz w:val="24"/>
                <w:szCs w:val="24"/>
              </w:rPr>
              <w:t>触控屏：支持10点触控、支持4096级主动压感笔（需单独购买）</w:t>
            </w:r>
          </w:p>
          <w:p>
            <w:pPr>
              <w:pStyle w:val="374"/>
              <w:numPr>
                <w:ilvl w:val="0"/>
                <w:numId w:val="34"/>
              </w:numPr>
              <w:ind w:left="0" w:firstLine="0"/>
              <w:jc w:val="both"/>
              <w:rPr>
                <w:rFonts w:hint="eastAsia" w:ascii="仿宋" w:hAnsi="仿宋" w:eastAsia="仿宋" w:cs="仿宋"/>
                <w:sz w:val="24"/>
                <w:szCs w:val="24"/>
              </w:rPr>
            </w:pPr>
            <w:r>
              <w:rPr>
                <w:rFonts w:hint="eastAsia" w:ascii="仿宋" w:hAnsi="仿宋" w:eastAsia="仿宋" w:cs="仿宋"/>
                <w:sz w:val="24"/>
                <w:szCs w:val="24"/>
              </w:rPr>
              <w:t>屏幕尺寸≧10.3英寸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firstLine="0"/>
              <w:jc w:val="both"/>
              <w:rPr>
                <w:rFonts w:hint="eastAsia" w:ascii="仿宋" w:hAnsi="仿宋" w:eastAsia="仿宋" w:cs="仿宋"/>
                <w:kern w:val="11"/>
                <w:sz w:val="24"/>
                <w:szCs w:val="24"/>
              </w:rPr>
            </w:pPr>
            <w:r>
              <w:rPr>
                <w:rFonts w:hint="eastAsia" w:ascii="仿宋" w:hAnsi="仿宋" w:eastAsia="仿宋" w:cs="仿宋"/>
                <w:kern w:val="11"/>
                <w:sz w:val="24"/>
                <w:szCs w:val="24"/>
              </w:rPr>
              <w:t>8</w:t>
            </w:r>
          </w:p>
        </w:tc>
        <w:tc>
          <w:tcPr>
            <w:tcW w:w="1799" w:type="dxa"/>
            <w:shd w:val="clear" w:color="auto" w:fill="auto"/>
            <w:vAlign w:val="center"/>
          </w:tcPr>
          <w:p>
            <w:pPr>
              <w:widowControl/>
              <w:jc w:val="both"/>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机械实训室钳工信息化数据服务器</w:t>
            </w:r>
          </w:p>
        </w:tc>
        <w:tc>
          <w:tcPr>
            <w:tcW w:w="6661" w:type="dxa"/>
            <w:shd w:val="clear" w:color="auto" w:fill="auto"/>
            <w:vAlign w:val="center"/>
          </w:tcPr>
          <w:p>
            <w:pPr>
              <w:pStyle w:val="374"/>
              <w:numPr>
                <w:ilvl w:val="0"/>
                <w:numId w:val="35"/>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 基本参数</w:t>
            </w:r>
          </w:p>
          <w:p>
            <w:pPr>
              <w:pStyle w:val="374"/>
              <w:numPr>
                <w:ilvl w:val="0"/>
                <w:numId w:val="36"/>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产品类别:机架式</w:t>
            </w:r>
          </w:p>
          <w:p>
            <w:pPr>
              <w:pStyle w:val="374"/>
              <w:numPr>
                <w:ilvl w:val="0"/>
                <w:numId w:val="36"/>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产品结构:2U</w:t>
            </w:r>
          </w:p>
          <w:p>
            <w:pPr>
              <w:pStyle w:val="374"/>
              <w:numPr>
                <w:ilvl w:val="0"/>
                <w:numId w:val="35"/>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 处理器</w:t>
            </w:r>
          </w:p>
          <w:p>
            <w:pPr>
              <w:pStyle w:val="374"/>
              <w:numPr>
                <w:ilvl w:val="0"/>
                <w:numId w:val="37"/>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CPU型号:3204或以上配置</w:t>
            </w:r>
          </w:p>
          <w:p>
            <w:pPr>
              <w:pStyle w:val="374"/>
              <w:numPr>
                <w:ilvl w:val="0"/>
                <w:numId w:val="37"/>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CPU频率:≥1.9GHz</w:t>
            </w:r>
          </w:p>
          <w:p>
            <w:pPr>
              <w:pStyle w:val="374"/>
              <w:numPr>
                <w:ilvl w:val="0"/>
                <w:numId w:val="35"/>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 主板</w:t>
            </w:r>
          </w:p>
          <w:p>
            <w:pPr>
              <w:pStyle w:val="374"/>
              <w:numPr>
                <w:ilvl w:val="0"/>
                <w:numId w:val="38"/>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主板芯片组:H330</w:t>
            </w:r>
          </w:p>
          <w:p>
            <w:pPr>
              <w:pStyle w:val="374"/>
              <w:numPr>
                <w:ilvl w:val="0"/>
                <w:numId w:val="38"/>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扩展槽最多:4x16插槽</w:t>
            </w:r>
          </w:p>
          <w:p>
            <w:pPr>
              <w:pStyle w:val="374"/>
              <w:numPr>
                <w:ilvl w:val="0"/>
                <w:numId w:val="35"/>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 内存</w:t>
            </w:r>
          </w:p>
          <w:p>
            <w:pPr>
              <w:pStyle w:val="374"/>
              <w:numPr>
                <w:ilvl w:val="0"/>
                <w:numId w:val="17"/>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内存容量: ≥16GB</w:t>
            </w:r>
          </w:p>
          <w:p>
            <w:pPr>
              <w:pStyle w:val="374"/>
              <w:numPr>
                <w:ilvl w:val="0"/>
                <w:numId w:val="35"/>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 存储</w:t>
            </w:r>
          </w:p>
          <w:p>
            <w:pPr>
              <w:pStyle w:val="374"/>
              <w:numPr>
                <w:ilvl w:val="0"/>
                <w:numId w:val="39"/>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标配硬盘容量: ≥4TB,8块3.5英寸硬位</w:t>
            </w:r>
          </w:p>
          <w:p>
            <w:pPr>
              <w:pStyle w:val="374"/>
              <w:numPr>
                <w:ilvl w:val="0"/>
                <w:numId w:val="39"/>
              </w:numPr>
              <w:tabs>
                <w:tab w:val="clear" w:pos="8268"/>
              </w:tabs>
              <w:ind w:left="-51" w:firstLine="51"/>
              <w:jc w:val="both"/>
              <w:rPr>
                <w:rFonts w:hint="eastAsia" w:ascii="仿宋" w:hAnsi="仿宋" w:eastAsia="仿宋" w:cs="仿宋"/>
                <w:sz w:val="24"/>
                <w:szCs w:val="24"/>
              </w:rPr>
            </w:pPr>
            <w:r>
              <w:rPr>
                <w:rFonts w:hint="eastAsia" w:ascii="仿宋" w:hAnsi="仿宋" w:eastAsia="仿宋" w:cs="仿宋"/>
                <w:sz w:val="24"/>
                <w:szCs w:val="24"/>
              </w:rPr>
              <w:t>硬盘描述：≥2块2TB硬盘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firstLine="0"/>
              <w:jc w:val="both"/>
              <w:rPr>
                <w:rFonts w:hint="eastAsia" w:ascii="仿宋" w:hAnsi="仿宋" w:eastAsia="仿宋" w:cs="仿宋"/>
                <w:kern w:val="11"/>
                <w:sz w:val="24"/>
                <w:szCs w:val="24"/>
              </w:rPr>
            </w:pPr>
            <w:r>
              <w:rPr>
                <w:rFonts w:hint="eastAsia" w:ascii="仿宋" w:hAnsi="仿宋" w:eastAsia="仿宋" w:cs="仿宋"/>
                <w:kern w:val="11"/>
                <w:sz w:val="24"/>
                <w:szCs w:val="24"/>
              </w:rPr>
              <w:t>9</w:t>
            </w:r>
          </w:p>
        </w:tc>
        <w:tc>
          <w:tcPr>
            <w:tcW w:w="1799"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0"/>
                <w:sz w:val="24"/>
                <w:szCs w:val="24"/>
                <w:lang w:bidi="ar"/>
              </w:rPr>
              <w:t>机械实训室零测与综合加工实训室网络布线</w:t>
            </w:r>
          </w:p>
        </w:tc>
        <w:tc>
          <w:tcPr>
            <w:tcW w:w="6661" w:type="dxa"/>
            <w:shd w:val="clear" w:color="auto" w:fill="auto"/>
            <w:vAlign w:val="center"/>
          </w:tcPr>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本项包含如下内容，必要时可自行组织现场勘测：</w:t>
            </w:r>
          </w:p>
          <w:p>
            <w:pPr>
              <w:pStyle w:val="374"/>
              <w:numPr>
                <w:ilvl w:val="0"/>
                <w:numId w:val="4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含配件机柜1台，具体尺寸根据实际需要配置；</w:t>
            </w:r>
          </w:p>
          <w:p>
            <w:pPr>
              <w:pStyle w:val="374"/>
              <w:numPr>
                <w:ilvl w:val="0"/>
                <w:numId w:val="4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24口全千兆交换机1台；</w:t>
            </w:r>
          </w:p>
          <w:p>
            <w:pPr>
              <w:pStyle w:val="374"/>
              <w:numPr>
                <w:ilvl w:val="0"/>
                <w:numId w:val="4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六类网线若干，根据实际布线需要提供；</w:t>
            </w:r>
          </w:p>
          <w:p>
            <w:pPr>
              <w:pStyle w:val="374"/>
              <w:numPr>
                <w:ilvl w:val="0"/>
                <w:numId w:val="4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RVV2*2.0mm2护套电源线若干，根据实际需要提供；</w:t>
            </w:r>
          </w:p>
          <w:p>
            <w:pPr>
              <w:pStyle w:val="374"/>
              <w:numPr>
                <w:ilvl w:val="0"/>
                <w:numId w:val="4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RVV2*1.5mm2电源线，根据实际需要提供；</w:t>
            </w:r>
          </w:p>
          <w:p>
            <w:pPr>
              <w:pStyle w:val="374"/>
              <w:numPr>
                <w:ilvl w:val="0"/>
                <w:numId w:val="4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防踩踏不锈钢线槽，尺寸与规格，根据实际需要提供；</w:t>
            </w:r>
          </w:p>
          <w:p>
            <w:pPr>
              <w:pStyle w:val="374"/>
              <w:numPr>
                <w:ilvl w:val="0"/>
                <w:numId w:val="4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六类水晶头一盒；</w:t>
            </w:r>
          </w:p>
          <w:p>
            <w:pPr>
              <w:pStyle w:val="374"/>
              <w:numPr>
                <w:ilvl w:val="0"/>
                <w:numId w:val="4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玻璃胶一批；</w:t>
            </w:r>
          </w:p>
          <w:p>
            <w:pPr>
              <w:pStyle w:val="374"/>
              <w:numPr>
                <w:ilvl w:val="0"/>
                <w:numId w:val="4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配线架1个、理线架1个、编号牌1包、插座、电源，数量根据实际需要配置；</w:t>
            </w:r>
          </w:p>
          <w:p>
            <w:pPr>
              <w:pStyle w:val="374"/>
              <w:numPr>
                <w:ilvl w:val="0"/>
                <w:numId w:val="4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网络布线施工。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center"/>
              <w:rPr>
                <w:rFonts w:hint="eastAsia" w:ascii="仿宋" w:hAnsi="仿宋" w:eastAsia="仿宋" w:cs="仿宋"/>
                <w:kern w:val="11"/>
                <w:sz w:val="24"/>
                <w:szCs w:val="24"/>
              </w:rPr>
            </w:pPr>
            <w:r>
              <w:rPr>
                <w:rFonts w:hint="eastAsia" w:ascii="仿宋" w:hAnsi="仿宋" w:eastAsia="仿宋" w:cs="仿宋"/>
                <w:kern w:val="11"/>
                <w:sz w:val="24"/>
                <w:szCs w:val="24"/>
              </w:rPr>
              <w:t>10</w:t>
            </w:r>
          </w:p>
        </w:tc>
        <w:tc>
          <w:tcPr>
            <w:tcW w:w="1799" w:type="dxa"/>
            <w:shd w:val="clear" w:color="auto" w:fill="auto"/>
            <w:vAlign w:val="center"/>
          </w:tcPr>
          <w:p>
            <w:pPr>
              <w:widowControl/>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图形工作站</w:t>
            </w:r>
          </w:p>
        </w:tc>
        <w:tc>
          <w:tcPr>
            <w:tcW w:w="6661" w:type="dxa"/>
            <w:shd w:val="clear" w:color="auto" w:fill="auto"/>
            <w:vAlign w:val="center"/>
          </w:tcPr>
          <w:p>
            <w:pPr>
              <w:pStyle w:val="374"/>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1.▲主板芯片组：Pro565及以上芯片组或IntelQ470及以上芯片组(提供参数配置截图证明文件)</w:t>
            </w:r>
          </w:p>
          <w:p>
            <w:pPr>
              <w:pStyle w:val="374"/>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2.▲处理器：处理器：AMD锐龙7及以上 ，核心数≥8核，线程≥16线程，基本主频≥3.8GHz 或Intel i7 十代及以上，核心数≥8核，线程≥16线程(提供参数配置截图证明文件)</w:t>
            </w:r>
          </w:p>
          <w:p>
            <w:pPr>
              <w:pStyle w:val="374"/>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3.内存：16GB DDR4-3200（单根），不少于4个内存插槽，系统最大支持128GB或以上</w:t>
            </w:r>
          </w:p>
          <w:p>
            <w:pPr>
              <w:pStyle w:val="374"/>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4.硬盘：SSD固态硬盘，容量≥512G M2 PCIe NVMe</w:t>
            </w:r>
          </w:p>
          <w:p>
            <w:pPr>
              <w:pStyle w:val="374"/>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 xml:space="preserve">5.显卡：专业工作站图形独立显卡，显卡内存≥6GB </w:t>
            </w:r>
          </w:p>
          <w:p>
            <w:pPr>
              <w:pStyle w:val="374"/>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6.输入设备：原厂USB键盘鼠标</w:t>
            </w:r>
          </w:p>
          <w:p>
            <w:pPr>
              <w:pStyle w:val="374"/>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7.音频：一个音频输入接口，一个音频输出接口，一个麦克风输入接口；</w:t>
            </w:r>
          </w:p>
          <w:p>
            <w:pPr>
              <w:pStyle w:val="374"/>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8.网卡：主板集成1000M自适应以太网卡；</w:t>
            </w:r>
          </w:p>
          <w:p>
            <w:pPr>
              <w:pStyle w:val="374"/>
              <w:ind w:left="0" w:leftChars="0"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rPr>
              <w:t>9.电源：≥500 W, ≥92% 能效</w:t>
            </w:r>
            <w:r>
              <w:rPr>
                <w:rFonts w:hint="eastAsia" w:ascii="仿宋" w:hAnsi="仿宋" w:eastAsia="仿宋" w:cs="仿宋"/>
                <w:sz w:val="24"/>
                <w:szCs w:val="24"/>
                <w:lang w:eastAsia="zh-CN"/>
              </w:rPr>
              <w:t>；</w:t>
            </w:r>
          </w:p>
          <w:p>
            <w:pPr>
              <w:pStyle w:val="374"/>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10机箱：标准MATX立式机箱,机箱 ≥17L，免工具拆卸</w:t>
            </w:r>
          </w:p>
          <w:p>
            <w:pPr>
              <w:pStyle w:val="374"/>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11.端口：≥8个USB接口,可根据客户安全要求进行USB端口屏蔽</w:t>
            </w:r>
          </w:p>
          <w:p>
            <w:pPr>
              <w:pStyle w:val="374"/>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12.主板插槽：1个PCI-E*16以上、1个PCI-E*1以上</w:t>
            </w:r>
          </w:p>
          <w:p>
            <w:pPr>
              <w:pStyle w:val="374"/>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13.操作系统：出厂预装windows 10及以上操作系统 ，交付时安装windows 10</w:t>
            </w:r>
          </w:p>
          <w:p>
            <w:pPr>
              <w:pStyle w:val="374"/>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14.☆保修服务：原厂商整机三年全免费保修；</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中标后提供原厂针对本项目售后服务及相应承诺的质保年数承诺函</w:t>
            </w:r>
            <w:r>
              <w:rPr>
                <w:rFonts w:hint="eastAsia" w:ascii="仿宋" w:hAnsi="仿宋" w:eastAsia="仿宋" w:cs="仿宋"/>
                <w:sz w:val="24"/>
                <w:szCs w:val="24"/>
                <w:highlight w:val="none"/>
                <w:lang w:eastAsia="zh-CN"/>
              </w:rPr>
              <w:t>）</w:t>
            </w:r>
          </w:p>
          <w:p>
            <w:pPr>
              <w:pStyle w:val="374"/>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15.显示器：与主机同一品牌21.5"及以上宽屏（16:9 ）、LED低蓝光液晶显示器，接口：VGA与显卡匹配的高清接口。</w:t>
            </w:r>
          </w:p>
          <w:p>
            <w:pPr>
              <w:pStyle w:val="374"/>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管理软件：</w:t>
            </w:r>
          </w:p>
          <w:p>
            <w:pPr>
              <w:pStyle w:val="374"/>
              <w:numPr>
                <w:ilvl w:val="0"/>
                <w:numId w:val="41"/>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支持双网卡，支持NVME，M.2新型高速固态硬盘，双盘管理，支持对第二磁盘格式化、读写、只读等设置。</w:t>
            </w:r>
          </w:p>
          <w:p>
            <w:pPr>
              <w:pStyle w:val="374"/>
              <w:numPr>
                <w:ilvl w:val="0"/>
                <w:numId w:val="41"/>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拥有硬盘保护及桌面还原功能。支持批量管理设置终端机计算机名、IP地址、分辨率、时间同步等配置信息。支持限制使用多种外设设备。支持批量自动登入域及多域名分配管理。</w:t>
            </w:r>
          </w:p>
          <w:p>
            <w:pPr>
              <w:pStyle w:val="374"/>
              <w:numPr>
                <w:ilvl w:val="0"/>
                <w:numId w:val="41"/>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支持离线脱网运行:客户端可在没有网络连接的情况下可离线运行与在线状态下一致的操作系统及软件，并保证同一桌面环境在线与离线数据一致。</w:t>
            </w:r>
          </w:p>
          <w:p>
            <w:pPr>
              <w:pStyle w:val="374"/>
              <w:numPr>
                <w:ilvl w:val="0"/>
                <w:numId w:val="41"/>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支持U盘、网络等多种部署方式。</w:t>
            </w:r>
          </w:p>
          <w:p>
            <w:pPr>
              <w:pStyle w:val="374"/>
              <w:numPr>
                <w:ilvl w:val="0"/>
                <w:numId w:val="41"/>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支持终端在无法进入系统情况下，通过数据恢复模块（基于Linux和Windows两种方式）进行系统数据恢复。</w:t>
            </w:r>
          </w:p>
          <w:p>
            <w:pPr>
              <w:pStyle w:val="374"/>
              <w:numPr>
                <w:ilvl w:val="0"/>
                <w:numId w:val="41"/>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支持从服务器端发起对客户端进行远程开机、关机、发送通知消息，发送远程命令，在提供授权情况下，支持管理员远程桌面协助排错功能。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11</w:t>
            </w:r>
          </w:p>
        </w:tc>
        <w:tc>
          <w:tcPr>
            <w:tcW w:w="1799" w:type="dxa"/>
            <w:shd w:val="clear" w:color="auto" w:fill="auto"/>
            <w:vAlign w:val="center"/>
          </w:tcPr>
          <w:p>
            <w:pPr>
              <w:widowControl/>
              <w:jc w:val="both"/>
              <w:textAlignment w:val="bottom"/>
              <w:rPr>
                <w:rFonts w:hint="eastAsia" w:ascii="仿宋" w:hAnsi="仿宋" w:eastAsia="仿宋" w:cs="仿宋"/>
                <w:sz w:val="24"/>
                <w:szCs w:val="24"/>
              </w:rPr>
            </w:pPr>
            <w:r>
              <w:rPr>
                <w:rFonts w:hint="eastAsia" w:ascii="仿宋" w:hAnsi="仿宋" w:eastAsia="仿宋" w:cs="仿宋"/>
                <w:sz w:val="24"/>
                <w:szCs w:val="24"/>
              </w:rPr>
              <w:t>★商务计算机</w:t>
            </w:r>
          </w:p>
        </w:tc>
        <w:tc>
          <w:tcPr>
            <w:tcW w:w="666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snapToGrid/>
              <w:spacing w:line="400" w:lineRule="exact"/>
              <w:ind w:leftChars="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▲主板芯片组：Pro565及以上芯片组或IntelQ470及以上芯片组(提供参数配置截图证明文件)</w:t>
            </w:r>
          </w:p>
          <w:p>
            <w:pPr>
              <w:keepNext w:val="0"/>
              <w:keepLines w:val="0"/>
              <w:pageBreakBefore w:val="0"/>
              <w:widowControl w:val="0"/>
              <w:numPr>
                <w:ilvl w:val="0"/>
                <w:numId w:val="0"/>
              </w:numPr>
              <w:kinsoku/>
              <w:wordWrap/>
              <w:overflowPunct/>
              <w:topLinePunct w:val="0"/>
              <w:autoSpaceDE/>
              <w:autoSpaceDN/>
              <w:bidi w:val="0"/>
              <w:snapToGrid/>
              <w:spacing w:line="400" w:lineRule="exact"/>
              <w:ind w:leftChars="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▲处理器：AMD 锐龙5及以上，核心数≥6核，线程≥12线程，基本主频≥3.6GHz或Intel i5 十代及以上，核心数≥6核，线程≥12线程(提供参数配置截图证明文件)</w:t>
            </w:r>
          </w:p>
          <w:p>
            <w:pPr>
              <w:keepNext w:val="0"/>
              <w:keepLines w:val="0"/>
              <w:pageBreakBefore w:val="0"/>
              <w:widowControl w:val="0"/>
              <w:numPr>
                <w:ilvl w:val="0"/>
                <w:numId w:val="42"/>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内存：≥16G DDR4 2666MHz 内存（单根），最大支持64G内存容量；</w:t>
            </w:r>
          </w:p>
          <w:p>
            <w:pPr>
              <w:keepNext w:val="0"/>
              <w:keepLines w:val="0"/>
              <w:pageBreakBefore w:val="0"/>
              <w:widowControl w:val="0"/>
              <w:numPr>
                <w:ilvl w:val="0"/>
                <w:numId w:val="42"/>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硬盘：≥512G 固态硬盘</w:t>
            </w:r>
          </w:p>
          <w:p>
            <w:pPr>
              <w:keepNext w:val="0"/>
              <w:keepLines w:val="0"/>
              <w:pageBreakBefore w:val="0"/>
              <w:widowControl w:val="0"/>
              <w:numPr>
                <w:ilvl w:val="0"/>
                <w:numId w:val="42"/>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显卡： 独立显卡，显卡内存≥2GB</w:t>
            </w:r>
          </w:p>
          <w:p>
            <w:pPr>
              <w:keepNext w:val="0"/>
              <w:keepLines w:val="0"/>
              <w:pageBreakBefore w:val="0"/>
              <w:widowControl w:val="0"/>
              <w:numPr>
                <w:ilvl w:val="0"/>
                <w:numId w:val="42"/>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输入设备：原厂USB键盘鼠标</w:t>
            </w:r>
          </w:p>
          <w:p>
            <w:pPr>
              <w:keepNext w:val="0"/>
              <w:keepLines w:val="0"/>
              <w:pageBreakBefore w:val="0"/>
              <w:widowControl w:val="0"/>
              <w:numPr>
                <w:ilvl w:val="0"/>
                <w:numId w:val="42"/>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网卡：主板集成1000M自适应以太网卡； </w:t>
            </w:r>
          </w:p>
          <w:p>
            <w:pPr>
              <w:keepNext w:val="0"/>
              <w:keepLines w:val="0"/>
              <w:pageBreakBefore w:val="0"/>
              <w:widowControl w:val="0"/>
              <w:numPr>
                <w:ilvl w:val="0"/>
                <w:numId w:val="42"/>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主板插槽：1个PCI-E*16以上、1个PCI-E*1以上 </w:t>
            </w:r>
          </w:p>
          <w:p>
            <w:pPr>
              <w:keepNext w:val="0"/>
              <w:keepLines w:val="0"/>
              <w:pageBreakBefore w:val="0"/>
              <w:widowControl w:val="0"/>
              <w:numPr>
                <w:ilvl w:val="0"/>
                <w:numId w:val="42"/>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机箱：机箱≤1</w:t>
            </w:r>
            <w:r>
              <w:rPr>
                <w:rFonts w:hint="eastAsia" w:ascii="仿宋" w:hAnsi="仿宋" w:eastAsia="仿宋" w:cs="仿宋"/>
                <w:sz w:val="24"/>
                <w:szCs w:val="24"/>
                <w:lang w:val="en-US" w:eastAsia="zh-CN"/>
              </w:rPr>
              <w:t>6</w:t>
            </w:r>
            <w:r>
              <w:rPr>
                <w:rFonts w:hint="eastAsia" w:ascii="仿宋" w:hAnsi="仿宋" w:eastAsia="仿宋" w:cs="仿宋"/>
                <w:sz w:val="24"/>
                <w:szCs w:val="24"/>
              </w:rPr>
              <w:t>L ，免工具拆卸</w:t>
            </w:r>
          </w:p>
          <w:p>
            <w:pPr>
              <w:keepNext w:val="0"/>
              <w:keepLines w:val="0"/>
              <w:pageBreakBefore w:val="0"/>
              <w:widowControl w:val="0"/>
              <w:numPr>
                <w:ilvl w:val="0"/>
                <w:numId w:val="42"/>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电源： ≥260W 高效电源，能效 ≥85%</w:t>
            </w:r>
          </w:p>
          <w:p>
            <w:pPr>
              <w:keepNext w:val="0"/>
              <w:keepLines w:val="0"/>
              <w:pageBreakBefore w:val="0"/>
              <w:widowControl w:val="0"/>
              <w:numPr>
                <w:ilvl w:val="0"/>
                <w:numId w:val="42"/>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音频：一个音频输入接口，一个音频输出接口，一个麦克风输入接口；</w:t>
            </w:r>
          </w:p>
          <w:p>
            <w:pPr>
              <w:keepNext w:val="0"/>
              <w:keepLines w:val="0"/>
              <w:pageBreakBefore w:val="0"/>
              <w:widowControl w:val="0"/>
              <w:numPr>
                <w:ilvl w:val="0"/>
                <w:numId w:val="42"/>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端口：≥6个USB接口1组PS/2接口、1个串口</w:t>
            </w:r>
          </w:p>
          <w:p>
            <w:pPr>
              <w:keepNext w:val="0"/>
              <w:keepLines w:val="0"/>
              <w:pageBreakBefore w:val="0"/>
              <w:widowControl w:val="0"/>
              <w:numPr>
                <w:ilvl w:val="0"/>
                <w:numId w:val="42"/>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显示器：与主机同一品牌19.5"及以上宽屏（16:9）、 LED低蓝光液晶显示器 </w:t>
            </w:r>
          </w:p>
          <w:p>
            <w:pPr>
              <w:keepNext w:val="0"/>
              <w:keepLines w:val="0"/>
              <w:pageBreakBefore w:val="0"/>
              <w:widowControl w:val="0"/>
              <w:numPr>
                <w:ilvl w:val="0"/>
                <w:numId w:val="42"/>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操作系统：出厂预装windows 10及以上操作系统，交付时安装windows 10</w:t>
            </w:r>
          </w:p>
          <w:p>
            <w:pPr>
              <w:keepNext w:val="0"/>
              <w:keepLines w:val="0"/>
              <w:pageBreakBefore w:val="0"/>
              <w:widowControl w:val="0"/>
              <w:numPr>
                <w:ilvl w:val="0"/>
                <w:numId w:val="42"/>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☆保修服务：原厂商三年全免费保修；</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中标后提供原厂针对本项目售后服务及相应承诺的质保年数承诺函</w:t>
            </w:r>
            <w:r>
              <w:rPr>
                <w:rFonts w:hint="eastAsia" w:ascii="仿宋" w:hAnsi="仿宋" w:eastAsia="仿宋" w:cs="仿宋"/>
                <w:sz w:val="24"/>
                <w:szCs w:val="24"/>
                <w:highlight w:val="none"/>
                <w:lang w:eastAsia="zh-CN"/>
              </w:rPr>
              <w:t>）</w:t>
            </w:r>
          </w:p>
          <w:p>
            <w:pPr>
              <w:keepNext w:val="0"/>
              <w:keepLines w:val="0"/>
              <w:pageBreakBefore w:val="0"/>
              <w:widowControl w:val="0"/>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管理软件：</w:t>
            </w:r>
          </w:p>
          <w:p>
            <w:pPr>
              <w:keepNext w:val="0"/>
              <w:keepLines w:val="0"/>
              <w:pageBreakBefore w:val="0"/>
              <w:widowControl w:val="0"/>
              <w:numPr>
                <w:ilvl w:val="0"/>
                <w:numId w:val="43"/>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支持双网卡，支持NVME，M.2新型高速固态硬盘，双盘管理，支持对第二磁盘格式化、读写、只读等设置。</w:t>
            </w:r>
          </w:p>
          <w:p>
            <w:pPr>
              <w:keepNext w:val="0"/>
              <w:keepLines w:val="0"/>
              <w:pageBreakBefore w:val="0"/>
              <w:widowControl w:val="0"/>
              <w:numPr>
                <w:ilvl w:val="0"/>
                <w:numId w:val="43"/>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拥有硬盘保护及桌面还原功能。支持批量管理设置终端机计算机名、IP地址、分辨率、时间同步等配置信息。支持限制使用多种外设设备。支持批量自动登入域及多域名分配管理。</w:t>
            </w:r>
          </w:p>
          <w:p>
            <w:pPr>
              <w:keepNext w:val="0"/>
              <w:keepLines w:val="0"/>
              <w:pageBreakBefore w:val="0"/>
              <w:widowControl w:val="0"/>
              <w:numPr>
                <w:ilvl w:val="0"/>
                <w:numId w:val="43"/>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支持离线脱网运行:客户端可在没有网络连接的情况下可离线运行与在线状态下一致的操作系统及软件，并保证同一桌面环境在线与离线数据一致。</w:t>
            </w:r>
          </w:p>
          <w:p>
            <w:pPr>
              <w:keepNext w:val="0"/>
              <w:keepLines w:val="0"/>
              <w:pageBreakBefore w:val="0"/>
              <w:widowControl w:val="0"/>
              <w:numPr>
                <w:ilvl w:val="0"/>
                <w:numId w:val="43"/>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支持U盘、网络等多种部署方式。</w:t>
            </w:r>
          </w:p>
          <w:p>
            <w:pPr>
              <w:keepNext w:val="0"/>
              <w:keepLines w:val="0"/>
              <w:pageBreakBefore w:val="0"/>
              <w:widowControl w:val="0"/>
              <w:numPr>
                <w:ilvl w:val="0"/>
                <w:numId w:val="43"/>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支持终端在无法进入系统情况下，通过数据恢复模块（基于Linux和Windows两种方式）进行系统数据恢复。</w:t>
            </w:r>
          </w:p>
          <w:p>
            <w:pPr>
              <w:keepNext w:val="0"/>
              <w:keepLines w:val="0"/>
              <w:pageBreakBefore w:val="0"/>
              <w:widowControl w:val="0"/>
              <w:numPr>
                <w:ilvl w:val="0"/>
                <w:numId w:val="43"/>
              </w:numPr>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支持从服务器端发起对客户端进行远程开机、关机、发送通知消息，发送远程命令，在提供授权情况下，支持管理员远程桌面协助排错功能。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12</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电子教室软件</w:t>
            </w:r>
          </w:p>
        </w:tc>
        <w:tc>
          <w:tcPr>
            <w:tcW w:w="6661" w:type="dxa"/>
            <w:shd w:val="clear" w:color="auto" w:fill="auto"/>
            <w:vAlign w:val="center"/>
          </w:tcPr>
          <w:p>
            <w:pPr>
              <w:pStyle w:val="374"/>
              <w:keepNext w:val="0"/>
              <w:keepLines w:val="0"/>
              <w:pageBreakBefore w:val="0"/>
              <w:widowControl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1. 全面支持Windows系列操作系统。</w:t>
            </w:r>
          </w:p>
          <w:p>
            <w:pPr>
              <w:pStyle w:val="374"/>
              <w:keepNext w:val="0"/>
              <w:keepLines w:val="0"/>
              <w:pageBreakBefore w:val="0"/>
              <w:widowControl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2. 软件支持服务器端授权、在线序列号、离线文件等多种方式。</w:t>
            </w:r>
          </w:p>
          <w:p>
            <w:pPr>
              <w:pStyle w:val="374"/>
              <w:keepNext w:val="0"/>
              <w:keepLines w:val="0"/>
              <w:pageBreakBefore w:val="0"/>
              <w:widowControl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3. 屏幕广播可选择全屏或窗口方式。</w:t>
            </w:r>
          </w:p>
          <w:p>
            <w:pPr>
              <w:pStyle w:val="374"/>
              <w:keepNext w:val="0"/>
              <w:keepLines w:val="0"/>
              <w:pageBreakBefore w:val="0"/>
              <w:widowControl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4. 网络影院可将教师机播放的视频同步到学生机，支持几乎所有常见的媒体音视频格式，支持1080p高清视频。</w:t>
            </w:r>
          </w:p>
          <w:p>
            <w:pPr>
              <w:pStyle w:val="374"/>
              <w:keepNext w:val="0"/>
              <w:keepLines w:val="0"/>
              <w:pageBreakBefore w:val="0"/>
              <w:widowControl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5. 教师可指定一台学生机作为示范，由此学生代替教师示范教学。</w:t>
            </w:r>
          </w:p>
          <w:p>
            <w:pPr>
              <w:pStyle w:val="374"/>
              <w:keepNext w:val="0"/>
              <w:keepLines w:val="0"/>
              <w:pageBreakBefore w:val="0"/>
              <w:widowControl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6. 可进行分组讨论。</w:t>
            </w:r>
          </w:p>
          <w:p>
            <w:pPr>
              <w:pStyle w:val="374"/>
              <w:keepNext w:val="0"/>
              <w:keepLines w:val="0"/>
              <w:pageBreakBefore w:val="0"/>
              <w:widowControl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7. 文件收发功能，可拖拽添加文件，可限制学生提交文件的数目和大小。</w:t>
            </w:r>
          </w:p>
          <w:p>
            <w:pPr>
              <w:pStyle w:val="374"/>
              <w:keepNext w:val="0"/>
              <w:keepLines w:val="0"/>
              <w:pageBreakBefore w:val="0"/>
              <w:widowControl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8. 可设置上网、程序限制策略，可对不同学生设置不同策略</w:t>
            </w:r>
          </w:p>
          <w:p>
            <w:pPr>
              <w:pStyle w:val="374"/>
              <w:keepNext w:val="0"/>
              <w:keepLines w:val="0"/>
              <w:pageBreakBefore w:val="0"/>
              <w:widowControl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 ☆屏幕笔：教师教学使用的辅助工具，突出显示项目、添加注释，添加批注等等。（提供功能界面截图证明）。</w:t>
            </w:r>
          </w:p>
          <w:p>
            <w:pPr>
              <w:pStyle w:val="374"/>
              <w:keepNext w:val="0"/>
              <w:keepLines w:val="0"/>
              <w:pageBreakBefore w:val="0"/>
              <w:widowControl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10. 教师可设置题目请学生作答。</w:t>
            </w:r>
          </w:p>
          <w:p>
            <w:pPr>
              <w:pStyle w:val="374"/>
              <w:keepNext w:val="0"/>
              <w:keepLines w:val="0"/>
              <w:pageBreakBefore w:val="0"/>
              <w:widowControl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11.系统具备单独的班级模型管理功能，实现对班级模型的统一管理。</w:t>
            </w:r>
          </w:p>
          <w:p>
            <w:pPr>
              <w:pStyle w:val="374"/>
              <w:keepNext w:val="0"/>
              <w:keepLines w:val="0"/>
              <w:pageBreakBefore w:val="0"/>
              <w:widowControl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highlight w:val="none"/>
              </w:rPr>
              <w:t> ☆可实现学生签到、电子点名功能。（提供功能界面截图证明）</w:t>
            </w:r>
          </w:p>
          <w:p>
            <w:pPr>
              <w:pStyle w:val="374"/>
              <w:keepNext w:val="0"/>
              <w:keepLines w:val="0"/>
              <w:pageBreakBefore w:val="0"/>
              <w:widowControl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13</w:t>
            </w:r>
            <w:r>
              <w:rPr>
                <w:rFonts w:hint="eastAsia" w:ascii="仿宋" w:hAnsi="仿宋" w:eastAsia="仿宋" w:cs="仿宋"/>
                <w:sz w:val="24"/>
                <w:szCs w:val="24"/>
                <w:highlight w:val="none"/>
              </w:rPr>
              <w:t>.☆可实现远程开关机、远程命令、远程设置、远程登录功能（提供功能界面截图证明）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13</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机柜</w:t>
            </w:r>
          </w:p>
        </w:tc>
        <w:tc>
          <w:tcPr>
            <w:tcW w:w="6661" w:type="dxa"/>
            <w:shd w:val="clear" w:color="auto" w:fill="auto"/>
            <w:vAlign w:val="center"/>
          </w:tcPr>
          <w:p>
            <w:pPr>
              <w:pStyle w:val="374"/>
              <w:numPr>
                <w:ilvl w:val="0"/>
                <w:numId w:val="44"/>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机柜尺寸≥600*600*1000mm，符合ANSI/EIA RS-310-D、IEC297-2、DIN41494；PART1、DIN41494;PART7、GB/T3047.2-92；兼容ETSI标准；</w:t>
            </w:r>
          </w:p>
          <w:p>
            <w:pPr>
              <w:pStyle w:val="374"/>
              <w:numPr>
                <w:ilvl w:val="0"/>
                <w:numId w:val="44"/>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静载≥800KG(带支架)；</w:t>
            </w:r>
          </w:p>
          <w:p>
            <w:pPr>
              <w:pStyle w:val="374"/>
              <w:numPr>
                <w:ilvl w:val="0"/>
                <w:numId w:val="44"/>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防护等级≥IP20；</w:t>
            </w:r>
          </w:p>
          <w:p>
            <w:pPr>
              <w:pStyle w:val="374"/>
              <w:numPr>
                <w:ilvl w:val="0"/>
                <w:numId w:val="44"/>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工艺要求表面处理脱脂、硅烷化处理、静电喷塑；</w:t>
            </w:r>
          </w:p>
          <w:p>
            <w:pPr>
              <w:pStyle w:val="374"/>
              <w:numPr>
                <w:ilvl w:val="0"/>
                <w:numId w:val="44"/>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厚度：方孔条 ≥2.0mm；安装梁 ≥1.5mm；其余 ≥1.2mm。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14</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48口交换机</w:t>
            </w:r>
          </w:p>
        </w:tc>
        <w:tc>
          <w:tcPr>
            <w:tcW w:w="6661" w:type="dxa"/>
            <w:shd w:val="clear" w:color="auto" w:fill="auto"/>
            <w:vAlign w:val="center"/>
          </w:tcPr>
          <w:p>
            <w:pPr>
              <w:pStyle w:val="374"/>
              <w:numPr>
                <w:ilvl w:val="0"/>
                <w:numId w:val="45"/>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外形尺寸标准19英寸机箱</w:t>
            </w:r>
          </w:p>
          <w:p>
            <w:pPr>
              <w:pStyle w:val="374"/>
              <w:numPr>
                <w:ilvl w:val="0"/>
                <w:numId w:val="45"/>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固定端口：≥48个10/100/1000Base-T电口</w:t>
            </w:r>
          </w:p>
          <w:p>
            <w:pPr>
              <w:pStyle w:val="374"/>
              <w:numPr>
                <w:ilvl w:val="0"/>
                <w:numId w:val="45"/>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端口交换容量：≥96Gbps</w:t>
            </w:r>
          </w:p>
          <w:p>
            <w:pPr>
              <w:pStyle w:val="374"/>
              <w:numPr>
                <w:ilvl w:val="0"/>
                <w:numId w:val="45"/>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转发能力：≥71.4Mpps</w:t>
            </w:r>
          </w:p>
          <w:p>
            <w:pPr>
              <w:pStyle w:val="374"/>
              <w:numPr>
                <w:ilvl w:val="0"/>
                <w:numId w:val="45"/>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包缓存：≥12Mb</w:t>
            </w:r>
          </w:p>
          <w:p>
            <w:pPr>
              <w:pStyle w:val="374"/>
              <w:numPr>
                <w:ilvl w:val="0"/>
                <w:numId w:val="45"/>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支持半双工、全双工、自协商工作模式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15</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8口交换机</w:t>
            </w:r>
          </w:p>
        </w:tc>
        <w:tc>
          <w:tcPr>
            <w:tcW w:w="6661" w:type="dxa"/>
            <w:shd w:val="clear" w:color="auto" w:fill="auto"/>
            <w:vAlign w:val="center"/>
          </w:tcPr>
          <w:p>
            <w:pPr>
              <w:pStyle w:val="374"/>
              <w:numPr>
                <w:ilvl w:val="0"/>
                <w:numId w:val="46"/>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无线速率：≥1900Mbps，AC双频3T3R架构。</w:t>
            </w:r>
          </w:p>
          <w:p>
            <w:pPr>
              <w:pStyle w:val="374"/>
              <w:numPr>
                <w:ilvl w:val="0"/>
                <w:numId w:val="46"/>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接口：≥3个10/100M/1000M自适应LAN口，支持自动翻转</w:t>
            </w:r>
          </w:p>
          <w:p>
            <w:pPr>
              <w:pStyle w:val="374"/>
              <w:numPr>
                <w:ilvl w:val="0"/>
                <w:numId w:val="46"/>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≥1个10/100M/1000M自适应WAN口，支持自动翻转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16</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电脑桌</w:t>
            </w:r>
          </w:p>
        </w:tc>
        <w:tc>
          <w:tcPr>
            <w:tcW w:w="6661" w:type="dxa"/>
            <w:shd w:val="clear" w:color="auto" w:fill="auto"/>
            <w:vAlign w:val="center"/>
          </w:tcPr>
          <w:p>
            <w:pPr>
              <w:pStyle w:val="374"/>
              <w:numPr>
                <w:ilvl w:val="0"/>
                <w:numId w:val="4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 电脑桌：≥25MM 厚度面板、3D 肌理木纹、 耐水耐脏、≥60*60*2MM</w:t>
            </w:r>
          </w:p>
          <w:p>
            <w:pPr>
              <w:pStyle w:val="374"/>
              <w:numPr>
                <w:ilvl w:val="0"/>
                <w:numId w:val="4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方形光管支架、尺寸： ≥1600*500*760</w:t>
            </w:r>
          </w:p>
          <w:p>
            <w:pPr>
              <w:pStyle w:val="374"/>
              <w:numPr>
                <w:ilvl w:val="0"/>
                <w:numId w:val="4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颜色：巴西橡木，前边两个桌腿增加线槽至桌面线孔处，桌面两个线孔要开在工位中间，每张桌子固定两个主机托。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17</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电脑椅</w:t>
            </w:r>
          </w:p>
        </w:tc>
        <w:tc>
          <w:tcPr>
            <w:tcW w:w="6661" w:type="dxa"/>
            <w:shd w:val="clear" w:color="auto" w:fill="auto"/>
            <w:vAlign w:val="center"/>
          </w:tcPr>
          <w:p>
            <w:pPr>
              <w:pStyle w:val="374"/>
              <w:numPr>
                <w:ilvl w:val="0"/>
                <w:numId w:val="4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尺寸：≥47*54*95cm；</w:t>
            </w:r>
          </w:p>
          <w:p>
            <w:pPr>
              <w:pStyle w:val="374"/>
              <w:numPr>
                <w:ilvl w:val="0"/>
                <w:numId w:val="4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人体工学靠背，网布材料：环保纳米材质</w:t>
            </w:r>
          </w:p>
          <w:p>
            <w:pPr>
              <w:pStyle w:val="374"/>
              <w:numPr>
                <w:ilvl w:val="0"/>
                <w:numId w:val="4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框架：加厚加粗钢管，稳固结构，承重性能强，固定扶手；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18</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服务器</w:t>
            </w:r>
          </w:p>
        </w:tc>
        <w:tc>
          <w:tcPr>
            <w:tcW w:w="6661" w:type="dxa"/>
            <w:shd w:val="clear" w:color="auto" w:fill="auto"/>
            <w:vAlign w:val="center"/>
          </w:tcPr>
          <w:p>
            <w:pPr>
              <w:pStyle w:val="374"/>
              <w:numPr>
                <w:ilvl w:val="0"/>
                <w:numId w:val="49"/>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塔式服务器台式主机,数据库虚拟化服务器整机</w:t>
            </w:r>
          </w:p>
          <w:p>
            <w:pPr>
              <w:pStyle w:val="374"/>
              <w:numPr>
                <w:ilvl w:val="0"/>
                <w:numId w:val="49"/>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企业采购升级 TS80X 至强2224G、四核、3.5GHz、 32G内存、240G固态、4T硬盘、双网卡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19</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文件柜</w:t>
            </w:r>
          </w:p>
        </w:tc>
        <w:tc>
          <w:tcPr>
            <w:tcW w:w="6661" w:type="dxa"/>
            <w:shd w:val="clear" w:color="auto" w:fill="auto"/>
            <w:vAlign w:val="center"/>
          </w:tcPr>
          <w:p>
            <w:pPr>
              <w:pStyle w:val="374"/>
              <w:numPr>
                <w:ilvl w:val="0"/>
                <w:numId w:val="5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 高档专业定制，用于汽车营销实训室建设</w:t>
            </w:r>
          </w:p>
          <w:p>
            <w:pPr>
              <w:pStyle w:val="374"/>
              <w:numPr>
                <w:ilvl w:val="0"/>
                <w:numId w:val="5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采用国家级标准环保板材，具有防霉、防潮、防污等功能，整体根据人体工程学进行设计，美观大方，满足实际所需</w:t>
            </w:r>
          </w:p>
          <w:p>
            <w:pPr>
              <w:pStyle w:val="374"/>
              <w:numPr>
                <w:ilvl w:val="0"/>
                <w:numId w:val="5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尺寸约为H1800*D360*L850mm，四门两抽，可放置文件、资料等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20</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椅子</w:t>
            </w:r>
          </w:p>
        </w:tc>
        <w:tc>
          <w:tcPr>
            <w:tcW w:w="6661" w:type="dxa"/>
            <w:shd w:val="clear" w:color="auto" w:fill="auto"/>
            <w:vAlign w:val="center"/>
          </w:tcPr>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 工位椅：高档皮质座椅，用于汽车营销实训室建设，具有耐污、易清洁等功能，不锈钢双弓形骨架，支撑稳定，不易变形，带扶手，符合人体工程学的设计，舒适耐用，与工位桌配套使用。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21</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休息区沙发</w:t>
            </w:r>
          </w:p>
        </w:tc>
        <w:tc>
          <w:tcPr>
            <w:tcW w:w="6661" w:type="dxa"/>
            <w:shd w:val="clear" w:color="auto" w:fill="auto"/>
            <w:vAlign w:val="center"/>
          </w:tcPr>
          <w:p>
            <w:pPr>
              <w:pStyle w:val="374"/>
              <w:numPr>
                <w:ilvl w:val="0"/>
                <w:numId w:val="51"/>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 高档环保皮质沙发，用于汽车营销实训室建设，3+1+1 组合，具有防污、易清洁等特点，不锈钢龙骨底架，高密度海绵，耐高温，人体工程学设计，美观大方，舒适耐用，富有现代商务气息，用于实训室客户休息区。</w:t>
            </w:r>
          </w:p>
          <w:p>
            <w:pPr>
              <w:pStyle w:val="374"/>
              <w:numPr>
                <w:ilvl w:val="0"/>
                <w:numId w:val="51"/>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单位不低于 800*700*720mm，双位不低于 1250*700*720mm ，三位不低于 1750*700*720mm将根据现场实际布置进行购买；</w:t>
            </w:r>
          </w:p>
          <w:p>
            <w:pPr>
              <w:pStyle w:val="374"/>
              <w:numPr>
                <w:ilvl w:val="0"/>
                <w:numId w:val="51"/>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配茶几：高档专业设计，用于汽车营销实训室建设，双层钢化玻璃，环保、无毒、无辐射，对水、油、污渍、细菌有较强抵抗力，容易清洗；手感温润，耐冷热，耐冲击，坚固耐用，不变形，不锈钢龙骨底架，现代简约商务设计风格，符合人体工程学设计，美观实用，用于实训室客户休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22</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茶具</w:t>
            </w:r>
          </w:p>
        </w:tc>
        <w:tc>
          <w:tcPr>
            <w:tcW w:w="6661" w:type="dxa"/>
            <w:shd w:val="clear" w:color="auto" w:fill="auto"/>
            <w:vAlign w:val="center"/>
          </w:tcPr>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 茶杯一套、陶瓷茶具一套、玻璃杯一套、茶托一套、电热水壶一套。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23</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茶水区吧台</w:t>
            </w:r>
          </w:p>
        </w:tc>
        <w:tc>
          <w:tcPr>
            <w:tcW w:w="6661" w:type="dxa"/>
            <w:shd w:val="clear" w:color="auto" w:fill="auto"/>
            <w:vAlign w:val="center"/>
          </w:tcPr>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(1)高档专业定制，用于汽车营销实训室建设，采用国家级标准环保、防污耐磨板材，整体根据人体工程学进行设</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 L(3000~3400)*W800*H1100mm(长度根据实际场地面积大小进行定制），厚度25mm,特殊部位根据实际情况进行专业加厚，包含活动柜、键盘托、移动主机托、通线孔，可根据实际需要进行字体制作，简约实用，整体美观大方，可用于接待实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24</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一体机</w:t>
            </w:r>
            <w:r>
              <w:rPr>
                <w:rFonts w:hint="eastAsia" w:ascii="仿宋" w:hAnsi="仿宋" w:eastAsia="仿宋" w:cs="仿宋"/>
                <w:kern w:val="0"/>
                <w:sz w:val="24"/>
                <w:szCs w:val="24"/>
                <w:lang w:bidi="ar"/>
              </w:rPr>
              <w:t>1</w:t>
            </w:r>
          </w:p>
        </w:tc>
        <w:tc>
          <w:tcPr>
            <w:tcW w:w="6661" w:type="dxa"/>
            <w:shd w:val="clear" w:color="auto" w:fill="auto"/>
            <w:vAlign w:val="center"/>
          </w:tcPr>
          <w:p>
            <w:pPr>
              <w:pStyle w:val="374"/>
              <w:numPr>
                <w:ilvl w:val="0"/>
                <w:numId w:val="52"/>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一体机电脑，多功能平放式底座，支持屏幕俯仰、左右旋转 ；</w:t>
            </w:r>
          </w:p>
          <w:p>
            <w:pPr>
              <w:pStyle w:val="374"/>
              <w:numPr>
                <w:ilvl w:val="0"/>
                <w:numId w:val="52"/>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6核，12线程， 主频≥3.3GHz</w:t>
            </w:r>
          </w:p>
          <w:p>
            <w:pPr>
              <w:pStyle w:val="374"/>
              <w:numPr>
                <w:ilvl w:val="0"/>
                <w:numId w:val="52"/>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300系列以上芯片组，2个内存插槽</w:t>
            </w:r>
          </w:p>
          <w:p>
            <w:pPr>
              <w:pStyle w:val="374"/>
              <w:numPr>
                <w:ilvl w:val="0"/>
                <w:numId w:val="52"/>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8GB DDR4 3200 SoDIMM 512GB SSD M.2 2280 NVMe TLC</w:t>
            </w:r>
          </w:p>
          <w:p>
            <w:pPr>
              <w:pStyle w:val="374"/>
              <w:numPr>
                <w:ilvl w:val="0"/>
                <w:numId w:val="52"/>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显示屏: 21.5寸全高清FHD液晶显示屏(1920x1080)，窄边框设计，亮度调节物理按键、屏幕开关按钮，带低蓝光护眼功能</w:t>
            </w:r>
          </w:p>
          <w:p>
            <w:pPr>
              <w:pStyle w:val="374"/>
              <w:numPr>
                <w:ilvl w:val="0"/>
                <w:numId w:val="52"/>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显卡:2G 独显</w:t>
            </w:r>
          </w:p>
          <w:p>
            <w:pPr>
              <w:pStyle w:val="374"/>
              <w:numPr>
                <w:ilvl w:val="0"/>
                <w:numId w:val="52"/>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声卡:集成标准声卡</w:t>
            </w:r>
          </w:p>
          <w:p>
            <w:pPr>
              <w:pStyle w:val="374"/>
              <w:numPr>
                <w:ilvl w:val="0"/>
                <w:numId w:val="52"/>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音频设备：集成数字阵列麦克风，内置音箱</w:t>
            </w:r>
          </w:p>
          <w:p>
            <w:pPr>
              <w:pStyle w:val="374"/>
              <w:numPr>
                <w:ilvl w:val="0"/>
                <w:numId w:val="52"/>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网卡:集成千兆网卡</w:t>
            </w:r>
          </w:p>
          <w:p>
            <w:pPr>
              <w:pStyle w:val="374"/>
              <w:numPr>
                <w:ilvl w:val="0"/>
                <w:numId w:val="52"/>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键盘：USB抗菌防水键盘</w:t>
            </w:r>
          </w:p>
          <w:p>
            <w:pPr>
              <w:pStyle w:val="374"/>
              <w:numPr>
                <w:ilvl w:val="0"/>
                <w:numId w:val="52"/>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鼠标：符合人体工程学，USB光电鼠标</w:t>
            </w:r>
          </w:p>
          <w:p>
            <w:pPr>
              <w:pStyle w:val="374"/>
              <w:numPr>
                <w:ilvl w:val="0"/>
                <w:numId w:val="52"/>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电源：≥120W 89%电源</w:t>
            </w:r>
          </w:p>
          <w:p>
            <w:pPr>
              <w:pStyle w:val="374"/>
              <w:numPr>
                <w:ilvl w:val="0"/>
                <w:numId w:val="52"/>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接口：前置≥2个USB 3.2接口、≥1个Type-c接口、1个HDMI-Out、耳麦二合一接口；</w:t>
            </w:r>
          </w:p>
          <w:p>
            <w:pPr>
              <w:pStyle w:val="374"/>
              <w:numPr>
                <w:ilvl w:val="0"/>
                <w:numId w:val="52"/>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操作系统：Windows 10及以上</w:t>
            </w:r>
          </w:p>
          <w:p>
            <w:pPr>
              <w:pStyle w:val="374"/>
              <w:numPr>
                <w:ilvl w:val="0"/>
                <w:numId w:val="52"/>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安全特性：BIOS中标配USB智能屏蔽技术，仅识别USB键盘、鼠标，无法识别其他USB存储设备，有效防止数据泄露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25</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铁皮更衣柜</w:t>
            </w:r>
          </w:p>
        </w:tc>
        <w:tc>
          <w:tcPr>
            <w:tcW w:w="6661" w:type="dxa"/>
            <w:shd w:val="clear" w:color="auto" w:fill="auto"/>
            <w:vAlign w:val="center"/>
          </w:tcPr>
          <w:p>
            <w:pPr>
              <w:pStyle w:val="374"/>
              <w:numPr>
                <w:ilvl w:val="0"/>
                <w:numId w:val="53"/>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窄边双色三门更衣柜</w:t>
            </w:r>
          </w:p>
          <w:p>
            <w:pPr>
              <w:pStyle w:val="374"/>
              <w:numPr>
                <w:ilvl w:val="0"/>
                <w:numId w:val="53"/>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规格： 双色1800mm*900mm*450mm</w:t>
            </w:r>
          </w:p>
          <w:p>
            <w:pPr>
              <w:pStyle w:val="374"/>
              <w:numPr>
                <w:ilvl w:val="0"/>
                <w:numId w:val="53"/>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金属灰&amp;珍珠白 简约时尚</w:t>
            </w:r>
          </w:p>
          <w:p>
            <w:pPr>
              <w:pStyle w:val="374"/>
              <w:numPr>
                <w:ilvl w:val="0"/>
                <w:numId w:val="53"/>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独特薄边工艺 超薄边框</w:t>
            </w:r>
          </w:p>
          <w:p>
            <w:pPr>
              <w:pStyle w:val="374"/>
              <w:numPr>
                <w:ilvl w:val="0"/>
                <w:numId w:val="53"/>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人性化设计 底部调节角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26</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长条凳子</w:t>
            </w:r>
          </w:p>
        </w:tc>
        <w:tc>
          <w:tcPr>
            <w:tcW w:w="6661" w:type="dxa"/>
            <w:shd w:val="clear" w:color="auto" w:fill="auto"/>
            <w:vAlign w:val="center"/>
          </w:tcPr>
          <w:p>
            <w:pPr>
              <w:pStyle w:val="374"/>
              <w:numPr>
                <w:ilvl w:val="0"/>
                <w:numId w:val="54"/>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钢木结构；</w:t>
            </w:r>
          </w:p>
          <w:p>
            <w:pPr>
              <w:pStyle w:val="374"/>
              <w:numPr>
                <w:ilvl w:val="0"/>
                <w:numId w:val="54"/>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规格：2000mm*35mm*45mm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27</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会议桌</w:t>
            </w:r>
          </w:p>
        </w:tc>
        <w:tc>
          <w:tcPr>
            <w:tcW w:w="6661" w:type="dxa"/>
            <w:shd w:val="clear" w:color="auto" w:fill="auto"/>
            <w:vAlign w:val="center"/>
          </w:tcPr>
          <w:p>
            <w:pPr>
              <w:pStyle w:val="374"/>
              <w:numPr>
                <w:ilvl w:val="0"/>
                <w:numId w:val="55"/>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12人位会议桌</w:t>
            </w:r>
          </w:p>
          <w:p>
            <w:pPr>
              <w:pStyle w:val="374"/>
              <w:numPr>
                <w:ilvl w:val="0"/>
                <w:numId w:val="55"/>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采用国家级标准环保板材，具有防霉、防潮、防污等功能。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28</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汽修实训室</w:t>
            </w:r>
            <w:r>
              <w:rPr>
                <w:rFonts w:hint="eastAsia" w:ascii="仿宋" w:hAnsi="仿宋" w:eastAsia="仿宋" w:cs="仿宋"/>
                <w:kern w:val="0"/>
                <w:sz w:val="24"/>
                <w:szCs w:val="24"/>
                <w:lang w:eastAsia="zh-Hans" w:bidi="ar"/>
              </w:rPr>
              <w:t>投影仪及幕布</w:t>
            </w:r>
          </w:p>
        </w:tc>
        <w:tc>
          <w:tcPr>
            <w:tcW w:w="6661" w:type="dxa"/>
            <w:shd w:val="clear" w:color="auto" w:fill="auto"/>
            <w:vAlign w:val="center"/>
          </w:tcPr>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1.主要参数</w:t>
            </w:r>
          </w:p>
          <w:p>
            <w:pPr>
              <w:pStyle w:val="374"/>
              <w:numPr>
                <w:ilvl w:val="0"/>
                <w:numId w:val="56"/>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产品类型 商务投影机</w:t>
            </w:r>
          </w:p>
          <w:p>
            <w:pPr>
              <w:pStyle w:val="374"/>
              <w:numPr>
                <w:ilvl w:val="0"/>
                <w:numId w:val="56"/>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投影机特性 3D</w:t>
            </w:r>
          </w:p>
          <w:p>
            <w:pPr>
              <w:pStyle w:val="374"/>
              <w:numPr>
                <w:ilvl w:val="0"/>
                <w:numId w:val="56"/>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投影技术 DLP</w:t>
            </w:r>
          </w:p>
          <w:p>
            <w:pPr>
              <w:pStyle w:val="374"/>
              <w:numPr>
                <w:ilvl w:val="0"/>
                <w:numId w:val="56"/>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亮度 3300流明</w:t>
            </w:r>
          </w:p>
          <w:p>
            <w:pPr>
              <w:pStyle w:val="374"/>
              <w:numPr>
                <w:ilvl w:val="0"/>
                <w:numId w:val="56"/>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对比度 20000:1</w:t>
            </w:r>
          </w:p>
          <w:p>
            <w:pPr>
              <w:pStyle w:val="374"/>
              <w:numPr>
                <w:ilvl w:val="0"/>
                <w:numId w:val="56"/>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标准分辨率 XGA（1024*768）</w:t>
            </w:r>
          </w:p>
          <w:p>
            <w:pPr>
              <w:pStyle w:val="374"/>
              <w:numPr>
                <w:ilvl w:val="0"/>
                <w:numId w:val="56"/>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最高分辨率 WUXGA（1920*1200）</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2.光源参数</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(1)光源类型 超高压汞灯</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3.投影参数</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(1)变焦方式 手动变焦</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(2)聚焦方式 手动聚焦</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(3)变焦比 1.1:1</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(4)投影尺寸 40-300英寸</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(5)屏幕比例 4:3</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(6)梯形校正 垂直</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(7)投影方式 正投，背投，桌上，吊顶</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(8)视频兼容性 NTSC, PAL, SECAM</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4.系统参数</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 CPU 四核 Coretex A53</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 存储容量 ROM：8GB</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(3) 操作系统 Android</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(4) 扬声器 2W</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5.接口参数</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 输入接口 VGA输入 1×D-sub 15针</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 Video：1×RCA</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(3) S-Video：1×Mini Din 4针</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(4) 音频输入 1×（Mini Jack）</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(5) 1×USB（Type Mini A）</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(6) 1×USB（Type Mini B）</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(7) 输出接口 VGA：1×D-sub 15针</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(8) 1×音频输出（Mini Jack）</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(9) 控制接口 串口：1×RS232 9针</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6.规格参数</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 产品噪音 正常模式：33dB，经济模式：28dB</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 电源功率 260W</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(3) 电源性能 AC100-240V，50/60Hz</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(4) 电池性能 AC 100 to 240 V, 50/60 Hz</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(5) 配套100英寸可遥控自动升降幕布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29</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汽修实训室平板</w:t>
            </w:r>
          </w:p>
        </w:tc>
        <w:tc>
          <w:tcPr>
            <w:tcW w:w="6661" w:type="dxa"/>
            <w:shd w:val="clear" w:color="auto" w:fill="auto"/>
            <w:vAlign w:val="center"/>
          </w:tcPr>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CPU处理器：核心数不低于八核</w:t>
            </w:r>
          </w:p>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最高主频：单核最高主频≥2.05GHZ</w:t>
            </w:r>
          </w:p>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最低主频：单核最低主频≥2.0GHZ</w:t>
            </w:r>
          </w:p>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操作系统：Android 11及以上</w:t>
            </w:r>
          </w:p>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存储容量：不低于RAM=6GB、ROM=128GB；</w:t>
            </w:r>
          </w:p>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屏幕尺寸：屏幕不低于11英寸</w:t>
            </w:r>
          </w:p>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屏幕功能：屏幕具有护眼模式</w:t>
            </w:r>
          </w:p>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屏幕分辨率：分辨率不低于2000*1200</w:t>
            </w:r>
          </w:p>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手写屏：支持4096级压感手写笔</w:t>
            </w:r>
          </w:p>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电池容量： 电池容量不低于7700mAh（典型值）；</w:t>
            </w:r>
          </w:p>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前置摄像头： 不低于800万像素；</w:t>
            </w:r>
          </w:p>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后置摄像头： 不低于1300万像素；带闪光灯</w:t>
            </w:r>
          </w:p>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接口：具备USB Type-C / Micro SD / OTG，支持POGO Pin功能</w:t>
            </w:r>
          </w:p>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无线网络：支持802.11 a/b/g/n/ac无线协议；支持GPS、北斗、A-GPS；支持蓝牙5.0及以上</w:t>
            </w:r>
          </w:p>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音频：扬声器不低于4扬声器，麦克风不低于2麦克风</w:t>
            </w:r>
          </w:p>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传感器：具备陀螺仪、重力感应器、接近传感器、光线传感器、霍尔传感器</w:t>
            </w:r>
          </w:p>
          <w:p>
            <w:pPr>
              <w:pStyle w:val="374"/>
              <w:numPr>
                <w:ilvl w:val="0"/>
                <w:numId w:val="57"/>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生物识别：支持人脸识别或指纹识别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30</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汽修实训室一体机2</w:t>
            </w:r>
          </w:p>
        </w:tc>
        <w:tc>
          <w:tcPr>
            <w:tcW w:w="6661" w:type="dxa"/>
            <w:shd w:val="clear" w:color="auto" w:fill="auto"/>
            <w:vAlign w:val="center"/>
          </w:tcPr>
          <w:p>
            <w:pPr>
              <w:pStyle w:val="374"/>
              <w:numPr>
                <w:ilvl w:val="0"/>
                <w:numId w:val="5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一体机电脑，多功能平放式底座，支持屏幕俯仰、左右旋转 ；</w:t>
            </w:r>
          </w:p>
          <w:p>
            <w:pPr>
              <w:pStyle w:val="374"/>
              <w:numPr>
                <w:ilvl w:val="0"/>
                <w:numId w:val="5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6核，12线程， 主频≥3.3GHz</w:t>
            </w:r>
          </w:p>
          <w:p>
            <w:pPr>
              <w:pStyle w:val="374"/>
              <w:numPr>
                <w:ilvl w:val="0"/>
                <w:numId w:val="5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300系列以上芯片组，2个内存插槽</w:t>
            </w:r>
          </w:p>
          <w:p>
            <w:pPr>
              <w:pStyle w:val="374"/>
              <w:numPr>
                <w:ilvl w:val="0"/>
                <w:numId w:val="5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8GB DDR4 3200 SoDIMM 512GB SSD M.2 2280 NVMe TLC</w:t>
            </w:r>
          </w:p>
          <w:p>
            <w:pPr>
              <w:pStyle w:val="374"/>
              <w:numPr>
                <w:ilvl w:val="0"/>
                <w:numId w:val="5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显示屏: 21.5寸全高清FHD液晶显示屏(1920x1080)，窄边框设计，亮度调节物理按键、屏幕开关按钮，带低蓝光护眼功能</w:t>
            </w:r>
          </w:p>
          <w:p>
            <w:pPr>
              <w:pStyle w:val="374"/>
              <w:numPr>
                <w:ilvl w:val="0"/>
                <w:numId w:val="5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显卡:2G 独显</w:t>
            </w:r>
          </w:p>
          <w:p>
            <w:pPr>
              <w:pStyle w:val="374"/>
              <w:numPr>
                <w:ilvl w:val="0"/>
                <w:numId w:val="5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声卡:集成标准声卡</w:t>
            </w:r>
          </w:p>
          <w:p>
            <w:pPr>
              <w:pStyle w:val="374"/>
              <w:numPr>
                <w:ilvl w:val="0"/>
                <w:numId w:val="5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音频设备：集成数字阵列麦克风，内置音箱</w:t>
            </w:r>
          </w:p>
          <w:p>
            <w:pPr>
              <w:pStyle w:val="374"/>
              <w:numPr>
                <w:ilvl w:val="0"/>
                <w:numId w:val="5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网卡:集成千兆网卡</w:t>
            </w:r>
          </w:p>
          <w:p>
            <w:pPr>
              <w:pStyle w:val="374"/>
              <w:numPr>
                <w:ilvl w:val="0"/>
                <w:numId w:val="5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键盘：USB抗菌防水键盘</w:t>
            </w:r>
          </w:p>
          <w:p>
            <w:pPr>
              <w:pStyle w:val="374"/>
              <w:numPr>
                <w:ilvl w:val="0"/>
                <w:numId w:val="5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鼠标：符合人体工程学，USB光电鼠标</w:t>
            </w:r>
          </w:p>
          <w:p>
            <w:pPr>
              <w:pStyle w:val="374"/>
              <w:numPr>
                <w:ilvl w:val="0"/>
                <w:numId w:val="5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电源：≥120W 89%电源</w:t>
            </w:r>
          </w:p>
          <w:p>
            <w:pPr>
              <w:pStyle w:val="374"/>
              <w:numPr>
                <w:ilvl w:val="0"/>
                <w:numId w:val="5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接口：前置≥2个USB 3.2接口、≥1个Type-c接口、1个HDMI-Out、耳麦二合一接口；</w:t>
            </w:r>
          </w:p>
          <w:p>
            <w:pPr>
              <w:pStyle w:val="374"/>
              <w:numPr>
                <w:ilvl w:val="0"/>
                <w:numId w:val="5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操作系统： Windows 10及以上</w:t>
            </w:r>
          </w:p>
          <w:p>
            <w:pPr>
              <w:pStyle w:val="374"/>
              <w:numPr>
                <w:ilvl w:val="0"/>
                <w:numId w:val="58"/>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安全特性：BIOS中标配USB智能屏蔽技术，仅识别USB键盘、鼠标，无法识别其他USB存储设备，有效防止数据泄露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31</w:t>
            </w:r>
          </w:p>
        </w:tc>
        <w:tc>
          <w:tcPr>
            <w:tcW w:w="1799" w:type="dxa"/>
            <w:shd w:val="clear" w:color="auto" w:fill="auto"/>
            <w:vAlign w:val="center"/>
          </w:tcPr>
          <w:p>
            <w:pPr>
              <w:widowControl/>
              <w:jc w:val="both"/>
              <w:textAlignment w:val="bottom"/>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汽修实训室交换机2</w:t>
            </w:r>
          </w:p>
        </w:tc>
        <w:tc>
          <w:tcPr>
            <w:tcW w:w="6661" w:type="dxa"/>
            <w:shd w:val="clear" w:color="auto" w:fill="auto"/>
            <w:vAlign w:val="center"/>
          </w:tcPr>
          <w:p>
            <w:pPr>
              <w:pStyle w:val="374"/>
              <w:numPr>
                <w:ilvl w:val="0"/>
                <w:numId w:val="59"/>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性能要求：交换容量≥192Gbps，包转发速率≥42Mpps；</w:t>
            </w:r>
          </w:p>
          <w:p>
            <w:pPr>
              <w:pStyle w:val="374"/>
              <w:numPr>
                <w:ilvl w:val="0"/>
                <w:numId w:val="59"/>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接口要求：≥24 个千兆电口，并提供 4 个独立非复用的上行 1000Base-X SFP 千兆光口</w:t>
            </w:r>
          </w:p>
          <w:p>
            <w:pPr>
              <w:pStyle w:val="374"/>
              <w:numPr>
                <w:ilvl w:val="0"/>
                <w:numId w:val="59"/>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支持 802.1Q (最大 4K 个 VLAN)/支持基于 MAC 的 VLAN/支持 GUEST 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32</w:t>
            </w:r>
          </w:p>
        </w:tc>
        <w:tc>
          <w:tcPr>
            <w:tcW w:w="1799" w:type="dxa"/>
            <w:shd w:val="clear" w:color="auto" w:fill="auto"/>
            <w:vAlign w:val="center"/>
          </w:tcPr>
          <w:p>
            <w:pPr>
              <w:widowControl/>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机柜</w:t>
            </w:r>
          </w:p>
        </w:tc>
        <w:tc>
          <w:tcPr>
            <w:tcW w:w="6661" w:type="dxa"/>
            <w:shd w:val="clear" w:color="auto" w:fill="auto"/>
            <w:vAlign w:val="center"/>
          </w:tcPr>
          <w:p>
            <w:pPr>
              <w:pStyle w:val="374"/>
              <w:numPr>
                <w:ilvl w:val="0"/>
                <w:numId w:val="60"/>
              </w:numPr>
              <w:tabs>
                <w:tab w:val="clear" w:pos="8268"/>
              </w:tabs>
              <w:ind w:left="0" w:firstLine="0"/>
              <w:jc w:val="both"/>
              <w:rPr>
                <w:rFonts w:hint="eastAsia" w:ascii="仿宋" w:hAnsi="仿宋" w:eastAsia="仿宋" w:cs="仿宋"/>
                <w:sz w:val="24"/>
                <w:szCs w:val="24"/>
              </w:rPr>
            </w:pPr>
            <w:r>
              <w:rPr>
                <w:rFonts w:hint="eastAsia" w:ascii="仿宋" w:hAnsi="仿宋" w:eastAsia="仿宋" w:cs="仿宋"/>
                <w:sz w:val="24"/>
                <w:szCs w:val="24"/>
              </w:rPr>
              <w:t>弱电机柜600*600*1200，含PDU 电源，含除路由器及交换机外相应附件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33</w:t>
            </w:r>
          </w:p>
        </w:tc>
        <w:tc>
          <w:tcPr>
            <w:tcW w:w="1799" w:type="dxa"/>
            <w:shd w:val="clear" w:color="auto" w:fill="auto"/>
            <w:vAlign w:val="center"/>
          </w:tcPr>
          <w:p>
            <w:pPr>
              <w:widowControl/>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86寸交互智能平板</w:t>
            </w:r>
          </w:p>
        </w:tc>
        <w:tc>
          <w:tcPr>
            <w:tcW w:w="6661" w:type="dxa"/>
            <w:shd w:val="clear" w:color="auto" w:fill="auto"/>
            <w:vAlign w:val="center"/>
          </w:tcPr>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一、整体设计</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1、整机采用一体设计，外部无任何可见内部功能模块连接线。</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2、整机采用全金属外壳设计，边角采用弧形设计，表面无尖锐边缘或凸起。</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3、整机屏幕采用86英寸液晶显示器。</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4、整机采用UHD超高清LED 液晶屏，显示比例16:9，分辨率3840*2160。</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5、灰度等级≥256级。</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6、采用钢化玻璃，有效保护屏幕显示画面。</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7、玻璃厚度≤4mm，玻璃表面硬度≥9H。</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8、玻璃表面采用纳米材料镀膜环保工艺，书写更加顺滑，防眩光效果更加优异。</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9、整机能感应并自动调节屏幕亮度来达到在不同光照环境下的不同亮度显示效果，此功能可自行开启或关闭。</w:t>
            </w:r>
          </w:p>
          <w:p>
            <w:pPr>
              <w:pStyle w:val="374"/>
              <w:ind w:left="0" w:firstLine="0"/>
              <w:jc w:val="both"/>
              <w:rPr>
                <w:rFonts w:hint="eastAsia" w:ascii="仿宋" w:hAnsi="仿宋" w:eastAsia="仿宋" w:cs="仿宋"/>
                <w:sz w:val="24"/>
                <w:szCs w:val="24"/>
                <w:highlight w:val="red"/>
              </w:rPr>
            </w:pPr>
            <w:r>
              <w:rPr>
                <w:rFonts w:hint="eastAsia" w:ascii="仿宋" w:hAnsi="仿宋" w:eastAsia="仿宋" w:cs="仿宋"/>
                <w:sz w:val="24"/>
                <w:szCs w:val="24"/>
              </w:rPr>
              <w:t>10、整机视网膜蓝光危害（蓝光加权辐射亮度LB）符合IEC62471标准，LB限值范围≤0.55（蓝光危害最大状况下）。</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二、整机设计</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1、整机内置 2.1 声道扬声器，前朝向 15W中高音扬声器 2 个，后朝向 20W 低音扬声器 1 个，额定总功率 50W。</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2、支持传屏功能，可以将外部电脑的屏幕画面通过无线方式传输到整机上显示。</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3、整机内置无线网络模块，PC模块无任何外接或转接天线、网卡可实现Wi-Fi无线上网连接和AP无线热点发射。</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4、Wi-Fi和AP热点均支持频段 2.4GHz/5GHz ，满足IEEE 802.11 a/b/g/n/ac标准。</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5、Wi-Fi和AP热点工作距离≥12m。</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6、三合一电源按键，同一电源物理按键完成Android系统和Windows系统的开机、节能熄屏、关机操作；关机状态下轻按按键开机；开机状态下轻按按键实现节能熄屏/唤醒，长按按键实现关机。</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7、整机具备至少6个前置按键，实现老师开关机、调出中控菜单、音量+/-、护眼、录屏的操作。</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8、整机具有护眼功能，可通过前置面板物理功能按键一键启用护眼模式。9、设备支持通过前置面板物理按键一键启动录屏功能，可将屏幕中显示的课件、音频内容与老师人声同时录制。</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10、支持智能U盘锁功能，整机可设置触摸及按键锁定，锁定后无法随意自由操作，需要使用时插入USB key可解锁。</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11、支持自定义开机通道，用户可设置默认通道，开机自动进入无需手动切换。</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12、支持通道记忆功能，开机默认回到最近一次关机时的显示通道。</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13、整机内置非独立的高清摄像头，可拍摄不低于 800 万像素数的照片。</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14、摄像头对角角度≥120°。</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15、支持远程巡课应用。</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16、整机内置摄像头（非外扩），PC通道下支持通过视频展台软件调用摄像头进行二维码扫码识别。</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17、整机内置非独立外扩展的阵列麦克风，可用于对教室环境音频进行采集，拾音距离≥12m。</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18、内置摄像头、麦克风，无外接线材连接，无可见模块化拼接，未占用整机设备端口。</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19、外接电脑设备连接整机且触摸信号连通时，外接电脑设备可直接读取整机前置USB接口的移动存储设备数据，连接整机前置USB接口的翻页笔和无线键鼠可直接使用于外接电脑。</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20、Android系统和Windows系统下，支持通过任何一个前置USB接口读取外接移动存储设备。</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21、外接电脑设备通过HDMI线投送画面至整机时，再连接TypeB USB线至整机触控输出接口，即可直接调用整机内置的摄像头、麦克风、扬声器，在外接电脑即可拍摄教室画面。</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22、整机具备不少于1路侧置双通道USB接口，双系统USB接口支持Windows和Android双系统读取外接存储设备数据和识别展台信号。</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23、支持前置Type-C接口，通过Type-C接口实现音视频输入，外接电脑设备通过标准Type-C线连接至整机Type-C口，即可把外接电脑设备画面投到整机上，同时在整机上操作画面，可实现触摸电脑的操作，无需再连接触控USB线。</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24、外接电脑设备通过机外Type-C线连接至整机Type-C口，可直接调用整机内置的摄像头、麦克风、扬声器，在外接电脑可拍摄教室画面。25、前置Type-C接口，支持通过外部线缆，实现外接电脑HDMI信号的接入显示。</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26、。机身具备防盐雾锈蚀特性，且满足GB4943.1-2011标准中的防火要求。</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27、整机具备抗振动、防跌落特性，保证整机运输或使用过程中不易受损。</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28、整机在0℃- 40℃环境下可正常工作，在-20℃—60℃的环境下可正常贮存且贮存后功能无损。</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三、主要功能</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1、支持通道自动跳转功能，如整机处于正常使用状态，HDMI信号接入时，能自动识别并切换到对应的HDMI信号源通道，且断开后能回到上一通道，自动跳转前支持选择确认，待确认后再跳转。</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2、支持外接信号输入时自动唤醒功能，整机处于关机通电状态，外接电脑显示信号通过HDMI传输线连接至整机时，整机可智能识别外接电脑设备信号输入并自动开机。</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3、整机关机状态下，通过长按电源键进入设置界面后，可点击屏幕选择恢复整机系统及Windows操作系统到出厂默认状态，无需额外工具辅助。4、支持半屏模式，将Windows显示画面上半部分下拉到显示屏的下半部分显示，此时依然可以正常触控操作Windows系统；点击非Windows显示画面区域，即可退出该模式，无需其他设置。</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5、支持锁定屏幕触摸和整机前置按键，可通过遥控器、十指长按屏幕5秒、软件菜单（调试菜单）实现该功能，也可通过前置面板的物理按键以组合按键的形式进行锁定/解锁。</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6、具备智能手势识别功能，在任意信号源通道下可识别五指上、下、左、右方向手势滑动并调用响应功能，支持将各手势滑动方向自定义设置为无操作、熄屏、批注、桌面、半屏模式。</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7、整机内置专业硬件自检维护工具（非第三方工具），支持对触摸框、PC模块等模块进行检测，针对不同模块给出问题原因提示。</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8、前置 USB 接口具备防撞挡板设计，防撞挡板采用转轴式翻转。</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9、整机具备供电保护模块，能够检测内置电脑是否插好在位，在内置电脑未在位的情况下，内置电脑无法上电工作。</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10、支持黑板关闭后整机自动节能，当整机安装到推拉黑板中时，关闭推拉黑板一分钟，整机自动熄屏。</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11、内置蓝牙模块，能连接外部蓝牙音箱播放音频，也能接收外部手机通过蓝牙发送的文件。</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12、蓝牙支持 Bluetooth 4.2 标准。</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13、内置蓝牙模块工作距离不低于12m。</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14、整机无需外接无线网卡，在Windows系统下接入无线网络，切换到嵌入式Android系统下可直接实现无线上网功能，不需手动重复设置。</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15、部署单根网线可实现Android、Windows双系统有线网络连通。</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16、支持标准、HDR、节能图像模式调节。</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17、具备摄像头工作指示灯，摄像头运行时，有指示灯提示。</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18、支持将自定义图片设置为开机画面。</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19、从PC通道切换到外部通道后在4s内达到可触摸状态。</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20、支持通过Type-C接口U盘进行文件传输，兼容手机充电。</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21、整机在五分钟内处于无信号接收状态时，能够自动关机。</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22、内置触摸中控菜单，将信号源通道切换、护眼、声音调节整合到同一菜单下，无须实体按键，在任意显示通道下均可通过手势在屏幕上调取该触摸菜单。</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23、整机在任意通道的侧拉栏批注模式下，支持通过手势识别调出板擦工具擦除批注内容，可根据手与屏幕的接触面积自动调整板擦工具的大小。</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四、触摸系统</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1、支持红外触控，支持Windows系统中进行20点或以上触控，安卓系统中进行 10 点或以上触控，支持红外笔书写</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2、触摸屏在照度100k lux 环境下可正常工作。</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3、触摸分辨率32768×32768。</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4、触摸响应时间≤4ms。</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5、触摸最小识别物≤3mm。</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6、整机屏幕触摸有效识别高度不超过3.5mm,即触摸物体距离玻璃外表面高度不超过3.5mm时，触摸屏识别为点击操作。 </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7、触摸屏具有防遮挡功能，触摸接收器在单点或多点遮挡后仍能正常书写。</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8、从外部通道切换到内部PC通道后，触摸框在1s内达到可触控状态。</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9、Windows XP、Windows 7、Windows 8、Windows 8.1、 Windows 10、Linux、Mac Os系统外置电脑操作系统接入时，无需安装触摸框驱动。</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五、安卓系统</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1、嵌入式系统版本不低于Android9.0，内存≥2GB，存储空间≥8GB。</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2、嵌入式Android操作系统下，白板支持对已经书写的笔迹和形状的颜色进行更换。</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3、嵌入式Android操作系统下，互动白板支持不同背景颜色，同时提供学科专用背景，如：五线谱、信纸、田字格、英文格、篮球和足球场地平面图。</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4、无PC状态下，嵌入式系统内置互动白板支持十笔书写及手掌擦除（手掌擦除面积根据手掌与屏幕的接触面大小自动调整），白板书写内容可导出PDF、IWB、SVG格式。支持10种以上平面图形工具，支持8种以上立体图形工具。</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5、无PC状态下，嵌入式系统内置互动白板支持全局漫游，并对全局内容进行预览和移动。</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6、无PC状态下，嵌入式Android操作系统下可实现windows系统中常用的教学应用功能，如白板书写、WPS软件使用、网页浏览。</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7、在嵌入式Android操作系统下，能对TV多媒体USB所读取到的文件进行自动归类，可分类查找文档、板书、图片、音视频，检索后可直接在界面中打开。六、电脑配置：</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 采用模块化电脑方案，抽拉内置式，PC模块可完全插入整机，保护PC模块不易受教室灰尘影响，PC模块可抽拉式插入整机，可实现无单独接线的插拔。</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 PC和整机的连接采用万兆级接口，传输速率≥10Gbps。</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3. 采用按压式卡扣，无需工具即可快速拆卸电脑模块，机身采用热浸镀锌金属材质，采用智能风扇低噪音散热设计,模块主体预留足够散热空间，确保封闭空间内有效散热。</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4. 处理器：Intel 8代酷睿系列 i5 CPU</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5. 芯片组：Intel H310</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6. 内存：8G DDR4笔记本内存或以上配置。</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 xml:space="preserve">7. 硬盘：128G或以上SSD </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8. 具有独立非外扩展的视频输出接口：≥1路HDMI ，具有独立非外扩展的电脑USB接口：≥3路USB。</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9. PC模块支持不断电情况下热插拔，以便快速维护或替换模块</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10. PC模块的USB接口须为冗余备份接口，在正常使用整机的内置摄像头、内置麦克风功能时，USB接口不被占用，确保教师有足够的接口外接存储设备及显示设备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34</w:t>
            </w:r>
          </w:p>
        </w:tc>
        <w:tc>
          <w:tcPr>
            <w:tcW w:w="1799" w:type="dxa"/>
            <w:shd w:val="clear" w:color="auto" w:fill="auto"/>
            <w:vAlign w:val="center"/>
          </w:tcPr>
          <w:p>
            <w:pPr>
              <w:widowControl/>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壁挂高清展台</w:t>
            </w:r>
          </w:p>
        </w:tc>
        <w:tc>
          <w:tcPr>
            <w:tcW w:w="6661" w:type="dxa"/>
            <w:shd w:val="clear" w:color="auto" w:fill="auto"/>
            <w:vAlign w:val="center"/>
          </w:tcPr>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1、壁挂式安装，防盗防破坏。</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2、无锐角无利边设计，有效防止师生碰伤、划伤。</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3、采用三折叠开合式托板，展开后托板尺寸≥A4面积，收起时小巧不占空间，高效利用挂墙面积。</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4、采用USB高速接口，单根USB线实现供电、高清数据传输需求。</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5、采用800W像素自动对焦摄像头，可拍摄A4画幅。</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6、展台按键采用触摸按键，可实现一键启动展台画面、画面放大、画面缩小、画面旋转、拍照截图等功能，同时也支持在一体机或电脑上进行同样的操作。</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7、整机自带均光罩LED补光灯，光线不足时可进行亮度补充，亮度均匀。</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8、外壳在摄像头部分带保护镜片密封，防止灰尘沾染摄像头，防护等级达到IP4X级别。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35</w:t>
            </w:r>
          </w:p>
        </w:tc>
        <w:tc>
          <w:tcPr>
            <w:tcW w:w="1799" w:type="dxa"/>
            <w:shd w:val="clear" w:color="auto" w:fill="auto"/>
            <w:vAlign w:val="center"/>
          </w:tcPr>
          <w:p>
            <w:pPr>
              <w:widowControl/>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一体机白板软件</w:t>
            </w:r>
          </w:p>
        </w:tc>
        <w:tc>
          <w:tcPr>
            <w:tcW w:w="6661" w:type="dxa"/>
            <w:shd w:val="clear" w:color="auto" w:fill="auto"/>
            <w:vAlign w:val="center"/>
          </w:tcPr>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1、要求提供备授课一体化教学系统，采用云端备份管理，支持多终端使用，内嵌多种信息化教学应用，根据每名教师使用时长与教学资料制作频率提供可扩展升级至不小于200G的个人云空间。</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要求教学系统须为使用方全体教师配备个人账号，形成一体的信息化教学账号体系；根据教师账号信息将教师云空间匹配至对应学校、学科校本资源库。支持通过数字账号、微信二维码、硬件密钥方式登录教师个人账号。</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3、课件精准分享：互动教学课件支持定向精准分享，分享者可将互动课件、课件组精准推送至指定接收方账号云空间，接收方可在云空间接收并打开分享课件；</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4、课件接收：接收方通过web链接或二维码的课件分享入口可预览互动课件内容并可触控课件互动元素，并能将互动课件转存至个人云空间，登陆云空间即可接收并打开互动课件。</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5、快捷抠图：教学系统内置图片处理功能，无需借助专业图片处理软件即可对课件内的图片进行快速抠图，图片主体处理后边缘无明显毛边，且处理后的图片可直接上传至教师云空间供后续复用。</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6、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支持智能填写功能。系统需提供不少于10种游戏模板，直接选择并输入相应内容即可轻松生成互动分类游戏，提升课堂趣味性。</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7、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8、化学方程式编辑器：提供化学方程式快速编辑工具，当输入一个化学元素时，软件界面将自动显示出和该元素相关的多个常用化学反应方程式，可直接选择使用。插入后的化学方程式可重新编辑。</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9、微课视频：提供涵盖小学、初中、高中超过2000个微课程视频。微课内容可在线点播，下载至课件播放。微课视频支持视频关键帧打点标记，播放过程中可一键跳转至标记位置，同时支持一键对视频内容进行截图插入课件。</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10、多学科题库：提供涵盖小学、初中、高中的总知识点不少于9000个，试题数量不少于30万道试题，可批量选择试题以交互试题卡的形式插入课件。试题卡包含题干、答案和解析，并可一键展开收起答案和解析。</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11、数学画板：支持课件中插入在线数学画板，授课时一键打开使用。提供不少于500个数学画板资源，按照小学、初中、高中学段数学学科主要知识点分类，便于教师查找使用。</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12、移动授课：支持移动授课，实现公网连接控制课件翻页、播放，支持手机拍照上传、投屏。手机端和电脑端登录同一账号后即可自动连接，拍照上传、控制课件支持公网。</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13、授课评价：要求能对教师进行授课评价，教师在授课界面可选择评课表、学科、年级等一键生成评课二维码，参与听课老师只需扫描二维码即可通过手机进行评课，评课结果自动上传到数据管理平台，展示教研组听评课数据概况，数据包含教研组授课节数、听课人数、优秀课例，支持获取查看优秀课例，可查看教师评课维度得分详情。</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14、云教案：可在备课平台直接编写教案，教案为云端存储，支持文本、图片、视频、公式的插入。可将教案关联至教师课件，支持课件同时关联多份教案，关联后教师可在备课界面调用查看教案，便于教研工作开展。</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15、课件库：要求提供互动式教学课件资源，包含学科教育各学段教材版本全部教学章节、专题教育多个主题教育、特殊教育三大分类的不少于100000份的交互式课件。课件支持直接预览并下载，预览时支持拖动课堂活动、形状、几何、文本等元素；下载时课件可同步至教师个人云课件存储空间；课件支持教师在线评分。</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16、提供备课场景中搜索课件库课件资源，涵盖10w+课件资源，支持整份课件页插入课件中；支持按照教学环节筛选对应课件页一键插入课件中，例如导入新课、作者简介等等按需所取，在查看部分课件的同时支持查看对应整份课件，了解作者整体教学思路，便于教师积木式补充课件缺失部分。</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17、空中课堂功能：内置于交互式备授课软件中，无需额外安装部署直播软件，可实现语音直播、课件同步、互动工具等远程教学功能。教师可一键开课生成课程海报，学生扫描课程海报微信二维码即可加入直播课堂，无需额外安装APP；在直播课堂中，教师可指定授权学生远程互动，学生可在直播的课件画面进行书写、移动、擦除、参与互动活动等，学生操作过程实时同步至班级其他学生，可支持不少于5位学生同时参与远程互动；直播课程结束后，后台自动统计报名学生名单和学生学习清单；课程结束后自动生成直播回放，报名课程的学生可反复学习。</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18、集体备课：支持在系统中创建集体备课活动，老师可以针对课件、教案进行批注和研讨。主备人可多次修改稿件后上传，具备稿件版本对比功能。支持数据统计和访问记录查看。</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19、知识胶囊：胶囊式微课功能内置于交互式课件工具中，支持快速录制胶囊式微课，微课可录制保存音频和课件的互动操作；录制过程中可对课件中的元素进行拖动、克隆、删除等操作，支持在录制过程中进行书写和擦除；支持按照课件页面片段剪辑和重录微课，支持一键上传至云端保存；微课录制结束后自动生成分享海报，学生扫码在即可在微信观看，无需下载额外app使用；学生观看胶囊式微课时可进行多种互动，可在控制课件模式下移动、删除克隆课件内的元素，参与课堂活动互动练习；系统后台自动统计胶囊式微课的观看次数，便于教师做教研管理。</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20、发布作业：教师可通过微信小程序或白板软件自带功能发布作业，微信小程序或白板软件提供多学科的题目供老师快速选择，老师选择相应题目后可通过分享二维码的形式发布至家长端；学生通过移动端只需扫码即可快速答题，答题完成后可自动批改；学生作答完成后，教师可实时在后台查看完成人数、题目正确率、题目耗时，也可将正确率分布、优秀作业同步至教师后台，方便教师实时掌握不同学生的学习情况，方便进一步分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36</w:t>
            </w:r>
          </w:p>
        </w:tc>
        <w:tc>
          <w:tcPr>
            <w:tcW w:w="1799" w:type="dxa"/>
            <w:shd w:val="clear" w:color="auto" w:fill="auto"/>
            <w:vAlign w:val="center"/>
          </w:tcPr>
          <w:p>
            <w:pPr>
              <w:widowControl/>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双人电脑桌（带双凳)</w:t>
            </w:r>
          </w:p>
        </w:tc>
        <w:tc>
          <w:tcPr>
            <w:tcW w:w="6661" w:type="dxa"/>
            <w:shd w:val="clear" w:color="auto" w:fill="auto"/>
            <w:vAlign w:val="center"/>
          </w:tcPr>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1.机房电脑桌尺寸：(长) 1300 ×(宽)600× (高)750MM，整体钢木结构，可组合并排放。可坐2个学生。</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桌面采用18mm厚度灰白色E1级环保板板，防静电。下支架采用40*40mm镀锌方管，颜色为电脑灰，焊接拼接而成</w:t>
            </w:r>
          </w:p>
          <w:p>
            <w:pPr>
              <w:pStyle w:val="374"/>
              <w:numPr>
                <w:ilvl w:val="0"/>
                <w:numId w:val="61"/>
              </w:numPr>
              <w:ind w:left="0" w:firstLine="0"/>
              <w:jc w:val="both"/>
              <w:rPr>
                <w:rFonts w:hint="eastAsia" w:ascii="仿宋" w:hAnsi="仿宋" w:eastAsia="仿宋" w:cs="仿宋"/>
                <w:sz w:val="24"/>
                <w:szCs w:val="24"/>
              </w:rPr>
            </w:pPr>
            <w:r>
              <w:rPr>
                <w:rFonts w:hint="eastAsia" w:ascii="仿宋" w:hAnsi="仿宋" w:eastAsia="仿宋" w:cs="仿宋"/>
                <w:sz w:val="24"/>
                <w:szCs w:val="24"/>
              </w:rPr>
              <w:t>桌体三边为镀锌钢板折弯和电焊加工而成，为了主机有更好的散热正面冲压星星孔。表面酸洗磷化处理防生锈，经典喷塑灰白粉末。</w:t>
            </w:r>
          </w:p>
          <w:p>
            <w:pPr>
              <w:pStyle w:val="427"/>
              <w:ind w:firstLine="0" w:firstLineChars="0"/>
              <w:jc w:val="both"/>
              <w:rPr>
                <w:rFonts w:hint="eastAsia" w:ascii="仿宋" w:hAnsi="仿宋" w:eastAsia="仿宋" w:cs="仿宋"/>
                <w:sz w:val="24"/>
                <w:szCs w:val="24"/>
              </w:rPr>
            </w:pPr>
            <w:r>
              <w:rPr>
                <w:rFonts w:hint="eastAsia" w:ascii="仿宋" w:hAnsi="仿宋" w:eastAsia="仿宋" w:cs="仿宋"/>
                <w:sz w:val="24"/>
                <w:szCs w:val="24"/>
              </w:rPr>
              <w:t>3.凳子面板：座板340*240*15mmE1级灰白色面板椅架：全部采用25*25mm方管焊接而成，表面酸洗磷化处理防生锈。颜色灰白色。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37</w:t>
            </w:r>
          </w:p>
        </w:tc>
        <w:tc>
          <w:tcPr>
            <w:tcW w:w="1799" w:type="dxa"/>
            <w:shd w:val="clear" w:color="auto" w:fill="auto"/>
            <w:vAlign w:val="center"/>
          </w:tcPr>
          <w:p>
            <w:pPr>
              <w:widowControl/>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交换机3</w:t>
            </w:r>
          </w:p>
        </w:tc>
        <w:tc>
          <w:tcPr>
            <w:tcW w:w="6661" w:type="dxa"/>
            <w:shd w:val="clear" w:color="auto" w:fill="auto"/>
            <w:vAlign w:val="center"/>
          </w:tcPr>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1.24口千兆</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2.下行接口类型：以太网交换机</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3.上行端口速率：千兆</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4.网管类型：网管</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5.类型：19英寸（标准机架）</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6.下行端口速率：千兆</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7.端口数量：24口</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8.端口供电功能：非POE供电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38</w:t>
            </w:r>
          </w:p>
        </w:tc>
        <w:tc>
          <w:tcPr>
            <w:tcW w:w="1799" w:type="dxa"/>
            <w:shd w:val="clear" w:color="auto" w:fill="auto"/>
            <w:vAlign w:val="center"/>
          </w:tcPr>
          <w:p>
            <w:pPr>
              <w:widowControl/>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移动支架</w:t>
            </w:r>
          </w:p>
        </w:tc>
        <w:tc>
          <w:tcPr>
            <w:tcW w:w="6661" w:type="dxa"/>
            <w:shd w:val="clear" w:color="auto" w:fill="auto"/>
            <w:vAlign w:val="center"/>
          </w:tcPr>
          <w:p>
            <w:pPr>
              <w:pStyle w:val="374"/>
              <w:keepNext w:val="0"/>
              <w:keepLines w:val="0"/>
              <w:pageBreakBefore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1.移动支架通过防倾斜实验，正负10度倾斜角度下不能翻倒；</w:t>
            </w:r>
          </w:p>
          <w:p>
            <w:pPr>
              <w:pStyle w:val="374"/>
              <w:keepNext w:val="0"/>
              <w:keepLines w:val="0"/>
              <w:pageBreakBefore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2.承挂≥100kg，壁挂高度可调；整体高度≥1597mm；</w:t>
            </w:r>
          </w:p>
          <w:p>
            <w:pPr>
              <w:pStyle w:val="374"/>
              <w:keepNext w:val="0"/>
              <w:keepLines w:val="0"/>
              <w:pageBreakBefore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3.托盘承重25KG,模具设置U型置物槽，方便触摸笔、遥控器等物品放置；</w:t>
            </w:r>
          </w:p>
          <w:p>
            <w:pPr>
              <w:pStyle w:val="374"/>
              <w:keepNext w:val="0"/>
              <w:keepLines w:val="0"/>
              <w:pageBreakBefore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4.支撑立杆采用壁厚≥1.8mm方通冷轧钢材质，表面黑色喷涂；</w:t>
            </w:r>
          </w:p>
          <w:p>
            <w:pPr>
              <w:pStyle w:val="374"/>
              <w:keepNext w:val="0"/>
              <w:keepLines w:val="0"/>
              <w:pageBreakBefore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5.脚轮为万向轮，聚氨酯（PU）材质，均带脚刹，直径不小于∮75mm；</w:t>
            </w:r>
          </w:p>
          <w:p>
            <w:pPr>
              <w:pStyle w:val="374"/>
              <w:keepNext w:val="0"/>
              <w:keepLines w:val="0"/>
              <w:pageBreakBefore w:val="0"/>
              <w:kinsoku/>
              <w:wordWrap/>
              <w:overflowPunct/>
              <w:topLinePunct w:val="0"/>
              <w:autoSpaceDE/>
              <w:autoSpaceDN/>
              <w:bidi w:val="0"/>
              <w:snapToGrid/>
              <w:spacing w:line="400" w:lineRule="exact"/>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rPr>
              <w:t>6.脚轮中心距横向≥1115mm，纵向≥627mm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39</w:t>
            </w:r>
          </w:p>
        </w:tc>
        <w:tc>
          <w:tcPr>
            <w:tcW w:w="1799" w:type="dxa"/>
            <w:shd w:val="clear" w:color="auto" w:fill="auto"/>
            <w:vAlign w:val="center"/>
          </w:tcPr>
          <w:p>
            <w:pPr>
              <w:widowControl/>
              <w:jc w:val="both"/>
              <w:textAlignment w:val="center"/>
              <w:rPr>
                <w:rFonts w:hint="eastAsia" w:ascii="仿宋" w:hAnsi="仿宋" w:eastAsia="仿宋" w:cs="仿宋"/>
                <w:kern w:val="0"/>
                <w:sz w:val="24"/>
                <w:szCs w:val="24"/>
                <w:lang w:bidi="ar"/>
              </w:rPr>
            </w:pPr>
            <w:r>
              <w:rPr>
                <w:rFonts w:hint="eastAsia" w:ascii="仿宋" w:hAnsi="仿宋" w:eastAsia="仿宋" w:cs="仿宋"/>
                <w:sz w:val="24"/>
                <w:szCs w:val="24"/>
              </w:rPr>
              <w:t>讲台加椅子</w:t>
            </w:r>
          </w:p>
        </w:tc>
        <w:tc>
          <w:tcPr>
            <w:tcW w:w="6661" w:type="dxa"/>
            <w:shd w:val="clear" w:color="auto" w:fill="auto"/>
            <w:vAlign w:val="center"/>
          </w:tcPr>
          <w:p>
            <w:pPr>
              <w:keepNext w:val="0"/>
              <w:keepLines w:val="0"/>
              <w:pageBreakBefore w:val="0"/>
              <w:widowControl/>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kern w:val="0"/>
                <w:sz w:val="24"/>
                <w:szCs w:val="24"/>
              </w:rPr>
              <w:t xml:space="preserve">教师讲台（含配套椅子）1.常规桌面尺寸： </w:t>
            </w:r>
          </w:p>
          <w:p>
            <w:pPr>
              <w:keepNext w:val="0"/>
              <w:keepLines w:val="0"/>
              <w:pageBreakBefore w:val="0"/>
              <w:widowControl/>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kern w:val="0"/>
                <w:sz w:val="24"/>
                <w:szCs w:val="24"/>
              </w:rPr>
              <w:t xml:space="preserve">L1400*W750*H750。 </w:t>
            </w:r>
          </w:p>
          <w:p>
            <w:pPr>
              <w:keepNext w:val="0"/>
              <w:keepLines w:val="0"/>
              <w:pageBreakBefore w:val="0"/>
              <w:widowControl/>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kern w:val="0"/>
                <w:sz w:val="24"/>
                <w:szCs w:val="24"/>
              </w:rPr>
              <w:t xml:space="preserve">2.桌面采用 16mm 的实木板，颜色为原木清漆色 </w:t>
            </w:r>
          </w:p>
          <w:p>
            <w:pPr>
              <w:keepNext w:val="0"/>
              <w:keepLines w:val="0"/>
              <w:pageBreakBefore w:val="0"/>
              <w:widowControl/>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kern w:val="0"/>
                <w:sz w:val="24"/>
                <w:szCs w:val="24"/>
              </w:rPr>
              <w:t xml:space="preserve">3.桌体（桌面以下）采用钢板冲焊接（厚度不低于 </w:t>
            </w:r>
          </w:p>
          <w:p>
            <w:pPr>
              <w:keepNext w:val="0"/>
              <w:keepLines w:val="0"/>
              <w:pageBreakBefore w:val="0"/>
              <w:widowControl/>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kern w:val="0"/>
                <w:sz w:val="24"/>
                <w:szCs w:val="24"/>
              </w:rPr>
              <w:t xml:space="preserve">1mm），前面板和左右侧板采用焊接做成，机箱柜与用 </w:t>
            </w:r>
          </w:p>
          <w:p>
            <w:pPr>
              <w:keepNext w:val="0"/>
              <w:keepLines w:val="0"/>
              <w:pageBreakBefore w:val="0"/>
              <w:widowControl/>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kern w:val="0"/>
                <w:sz w:val="24"/>
                <w:szCs w:val="24"/>
              </w:rPr>
              <w:t xml:space="preserve">户采购电脑相匹配，可定制。 </w:t>
            </w:r>
          </w:p>
          <w:p>
            <w:pPr>
              <w:keepNext w:val="0"/>
              <w:keepLines w:val="0"/>
              <w:pageBreakBefore w:val="0"/>
              <w:widowControl/>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kern w:val="0"/>
                <w:sz w:val="24"/>
                <w:szCs w:val="24"/>
              </w:rPr>
              <w:t xml:space="preserve">4. 桌体（桌面以下）表面经过酸洗、磷化防腐防锈处 </w:t>
            </w:r>
          </w:p>
          <w:p>
            <w:pPr>
              <w:keepNext w:val="0"/>
              <w:keepLines w:val="0"/>
              <w:pageBreakBefore w:val="0"/>
              <w:widowControl/>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kern w:val="0"/>
                <w:sz w:val="24"/>
                <w:szCs w:val="24"/>
              </w:rPr>
              <w:t xml:space="preserve">理后静电喷塑，经久耐用。左右侧板预留布线位置，方 </w:t>
            </w:r>
          </w:p>
          <w:p>
            <w:pPr>
              <w:keepNext w:val="0"/>
              <w:keepLines w:val="0"/>
              <w:pageBreakBefore w:val="0"/>
              <w:widowControl/>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kern w:val="0"/>
                <w:sz w:val="24"/>
                <w:szCs w:val="24"/>
              </w:rPr>
              <w:t xml:space="preserve">便走线。 </w:t>
            </w:r>
          </w:p>
          <w:p>
            <w:pPr>
              <w:keepNext w:val="0"/>
              <w:keepLines w:val="0"/>
              <w:pageBreakBefore w:val="0"/>
              <w:widowControl/>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kern w:val="0"/>
                <w:sz w:val="24"/>
                <w:szCs w:val="24"/>
              </w:rPr>
              <w:t xml:space="preserve">转角柜采用 18mm 的实木板，上下两层，办公桌大小可 </w:t>
            </w:r>
          </w:p>
          <w:p>
            <w:pPr>
              <w:keepNext w:val="0"/>
              <w:keepLines w:val="0"/>
              <w:pageBreakBefore w:val="0"/>
              <w:widowControl/>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kern w:val="0"/>
                <w:sz w:val="24"/>
                <w:szCs w:val="24"/>
              </w:rPr>
              <w:t xml:space="preserve">根据教室大小进行定制。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40</w:t>
            </w:r>
          </w:p>
        </w:tc>
        <w:tc>
          <w:tcPr>
            <w:tcW w:w="1799" w:type="dxa"/>
            <w:shd w:val="clear" w:color="auto" w:fill="auto"/>
            <w:vAlign w:val="center"/>
          </w:tcPr>
          <w:p>
            <w:pPr>
              <w:widowControl/>
              <w:jc w:val="both"/>
              <w:textAlignment w:val="center"/>
              <w:rPr>
                <w:rFonts w:hint="eastAsia" w:ascii="仿宋" w:hAnsi="仿宋" w:eastAsia="仿宋" w:cs="仿宋"/>
                <w:sz w:val="24"/>
                <w:szCs w:val="24"/>
              </w:rPr>
            </w:pPr>
            <w:r>
              <w:rPr>
                <w:rFonts w:hint="eastAsia" w:ascii="仿宋" w:hAnsi="仿宋" w:eastAsia="仿宋" w:cs="仿宋"/>
                <w:sz w:val="24"/>
                <w:szCs w:val="24"/>
              </w:rPr>
              <w:t>磁性黑板</w:t>
            </w:r>
          </w:p>
        </w:tc>
        <w:tc>
          <w:tcPr>
            <w:tcW w:w="6661" w:type="dxa"/>
            <w:shd w:val="clear" w:color="auto" w:fill="auto"/>
            <w:vAlign w:val="center"/>
          </w:tcPr>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材料：磁性绿板</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尺寸：4000mm*1200mm*25mm</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铝合金框边：1.2mm</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制作工艺：双面金属板中间夹层</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制定场室安装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41</w:t>
            </w:r>
          </w:p>
        </w:tc>
        <w:tc>
          <w:tcPr>
            <w:tcW w:w="1799" w:type="dxa"/>
            <w:shd w:val="clear" w:color="auto" w:fill="auto"/>
            <w:vAlign w:val="center"/>
          </w:tcPr>
          <w:p>
            <w:pPr>
              <w:widowControl/>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综合布线</w:t>
            </w:r>
          </w:p>
        </w:tc>
        <w:tc>
          <w:tcPr>
            <w:tcW w:w="6661" w:type="dxa"/>
            <w:shd w:val="clear" w:color="auto" w:fill="auto"/>
            <w:vAlign w:val="center"/>
          </w:tcPr>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18个场室及中心机房整体综合布线，包括插座，信息座，六类网线，线条，电源线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pStyle w:val="374"/>
              <w:ind w:left="0" w:leftChars="0" w:firstLine="0" w:firstLineChars="0"/>
              <w:jc w:val="both"/>
              <w:rPr>
                <w:rFonts w:hint="eastAsia" w:ascii="仿宋" w:hAnsi="仿宋" w:eastAsia="仿宋" w:cs="仿宋"/>
                <w:kern w:val="11"/>
                <w:sz w:val="24"/>
                <w:szCs w:val="24"/>
              </w:rPr>
            </w:pPr>
            <w:r>
              <w:rPr>
                <w:rFonts w:hint="eastAsia" w:ascii="仿宋" w:hAnsi="仿宋" w:eastAsia="仿宋" w:cs="仿宋"/>
                <w:kern w:val="11"/>
                <w:sz w:val="24"/>
                <w:szCs w:val="24"/>
              </w:rPr>
              <w:t>42</w:t>
            </w:r>
          </w:p>
        </w:tc>
        <w:tc>
          <w:tcPr>
            <w:tcW w:w="1799" w:type="dxa"/>
            <w:shd w:val="clear" w:color="auto" w:fill="auto"/>
            <w:vAlign w:val="center"/>
          </w:tcPr>
          <w:p>
            <w:pPr>
              <w:widowControl/>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静电地板</w:t>
            </w:r>
          </w:p>
        </w:tc>
        <w:tc>
          <w:tcPr>
            <w:tcW w:w="6661" w:type="dxa"/>
            <w:shd w:val="clear" w:color="auto" w:fill="auto"/>
            <w:vAlign w:val="center"/>
          </w:tcPr>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1.防静电瓷砖活动地板.型号：HDG.600.40.CQ.D 1.1.1、2.地 板  规 格：600X600X40mm</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 xml:space="preserve">3.极 载  载 荷：≥8855N </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4.均 布  载 荷：≥12505N/㎡  1000公斤/平米</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 xml:space="preserve">5.钢板厚度：下面0.4毫米 </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6.滚 动  载 荷：滚动10000次，饶度≦2mm，永久变形≦0.25mm</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7.冲 击  载 荷：实验区不能有任何塌陷，地板永久变形≦0.25mm</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8.表面  平整度： ≦0.6mm</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9.板厚极限偏差：±0.3mm</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10.相邻边垂直度：≦0.3mm </w:t>
            </w:r>
          </w:p>
          <w:p>
            <w:pPr>
              <w:pStyle w:val="374"/>
              <w:ind w:left="0" w:firstLine="0"/>
              <w:jc w:val="both"/>
              <w:rPr>
                <w:rFonts w:hint="eastAsia" w:ascii="仿宋" w:hAnsi="仿宋" w:eastAsia="仿宋" w:cs="仿宋"/>
                <w:sz w:val="24"/>
                <w:szCs w:val="24"/>
              </w:rPr>
            </w:pPr>
            <w:r>
              <w:rPr>
                <w:rFonts w:hint="eastAsia" w:ascii="仿宋" w:hAnsi="仿宋" w:eastAsia="仿宋" w:cs="仿宋"/>
                <w:sz w:val="24"/>
                <w:szCs w:val="24"/>
              </w:rPr>
              <w:t>11.耐磨性： 0.1g/1000转</w:t>
            </w:r>
          </w:p>
        </w:tc>
      </w:tr>
    </w:tbl>
    <w:p>
      <w:pPr>
        <w:adjustRightInd w:val="0"/>
        <w:snapToGrid w:val="0"/>
        <w:spacing w:line="460" w:lineRule="exact"/>
        <w:ind w:firstLine="480" w:firstLineChars="200"/>
        <w:rPr>
          <w:rFonts w:ascii="仿宋_GB2312" w:hAnsi="宋体" w:eastAsia="仿宋_GB2312" w:cs="Arial"/>
          <w:snapToGrid w:val="0"/>
          <w:kern w:val="0"/>
          <w:sz w:val="24"/>
          <w:szCs w:val="24"/>
        </w:rPr>
      </w:pPr>
    </w:p>
    <w:p>
      <w:pPr>
        <w:snapToGrid w:val="0"/>
        <w:spacing w:line="360" w:lineRule="auto"/>
        <w:jc w:val="center"/>
        <w:rPr>
          <w:rFonts w:ascii="仿宋" w:hAnsi="仿宋" w:eastAsia="仿宋" w:cs="仿宋_GB2312"/>
          <w:b/>
          <w:color w:val="000000" w:themeColor="text1"/>
          <w:sz w:val="36"/>
          <w:szCs w:val="36"/>
          <w:highlight w:val="none"/>
          <w14:textFill>
            <w14:solidFill>
              <w14:schemeClr w14:val="tx1"/>
            </w14:solidFill>
          </w14:textFill>
        </w:rPr>
      </w:pPr>
      <w:r>
        <w:rPr>
          <w:rFonts w:ascii="仿宋_GB2312" w:hAnsi="仿宋" w:eastAsia="仿宋_GB2312" w:cs="仿宋_GB2312"/>
          <w:b/>
          <w:sz w:val="36"/>
          <w:szCs w:val="36"/>
        </w:rPr>
        <w:br w:type="page"/>
      </w:r>
      <w:r>
        <w:rPr>
          <w:rFonts w:hint="eastAsia" w:ascii="仿宋_GB2312" w:hAnsi="仿宋" w:eastAsia="仿宋_GB2312" w:cs="仿宋_GB2312"/>
          <w:b/>
          <w:sz w:val="36"/>
          <w:szCs w:val="36"/>
        </w:rPr>
        <w:t xml:space="preserve">第四部分   </w:t>
      </w:r>
      <w:bookmarkStart w:id="25" w:name="_Toc184310283"/>
      <w:bookmarkEnd w:id="25"/>
      <w:bookmarkStart w:id="26" w:name="_Toc184313290"/>
      <w:bookmarkEnd w:id="26"/>
      <w:bookmarkStart w:id="27" w:name="_Toc184312071"/>
      <w:bookmarkEnd w:id="27"/>
      <w:bookmarkStart w:id="28" w:name="_Toc184313257"/>
      <w:bookmarkEnd w:id="28"/>
      <w:bookmarkStart w:id="29" w:name="_Toc184313307"/>
      <w:bookmarkEnd w:id="29"/>
      <w:bookmarkStart w:id="30" w:name="_Toc184312087"/>
      <w:bookmarkEnd w:id="30"/>
      <w:bookmarkStart w:id="31" w:name="_Toc184308054"/>
      <w:bookmarkEnd w:id="31"/>
      <w:bookmarkStart w:id="32" w:name="_Toc184313255"/>
      <w:bookmarkEnd w:id="32"/>
      <w:bookmarkStart w:id="33" w:name="_Toc184310321"/>
      <w:bookmarkEnd w:id="33"/>
      <w:bookmarkStart w:id="34" w:name="_Toc184313248"/>
      <w:bookmarkEnd w:id="34"/>
      <w:bookmarkStart w:id="35" w:name="_Toc184314481"/>
      <w:bookmarkEnd w:id="35"/>
      <w:bookmarkStart w:id="36" w:name="_Toc184310329"/>
      <w:bookmarkEnd w:id="36"/>
      <w:bookmarkStart w:id="37" w:name="_Toc184308043"/>
      <w:bookmarkEnd w:id="37"/>
      <w:bookmarkStart w:id="38" w:name="_Toc184310336"/>
      <w:bookmarkEnd w:id="38"/>
      <w:bookmarkStart w:id="39" w:name="_Toc184313306"/>
      <w:bookmarkEnd w:id="39"/>
      <w:bookmarkStart w:id="40" w:name="_Toc184314466"/>
      <w:bookmarkEnd w:id="40"/>
      <w:bookmarkStart w:id="41" w:name="_Toc184308079"/>
      <w:bookmarkEnd w:id="41"/>
      <w:bookmarkStart w:id="42" w:name="_Toc184310310"/>
      <w:bookmarkEnd w:id="42"/>
      <w:bookmarkStart w:id="43" w:name="_Toc184312076"/>
      <w:bookmarkEnd w:id="43"/>
      <w:bookmarkStart w:id="44" w:name="_Toc184312111"/>
      <w:bookmarkEnd w:id="44"/>
      <w:bookmarkStart w:id="45" w:name="_Toc184310291"/>
      <w:bookmarkEnd w:id="45"/>
      <w:bookmarkStart w:id="46" w:name="_Toc184310343"/>
      <w:bookmarkEnd w:id="46"/>
      <w:bookmarkStart w:id="47" w:name="_Toc184308060"/>
      <w:bookmarkEnd w:id="47"/>
      <w:bookmarkStart w:id="48" w:name="_Toc184312137"/>
      <w:bookmarkEnd w:id="48"/>
      <w:bookmarkStart w:id="49" w:name="_Toc184308098"/>
      <w:bookmarkEnd w:id="49"/>
      <w:bookmarkStart w:id="50" w:name="_Toc184308105"/>
      <w:bookmarkEnd w:id="50"/>
      <w:bookmarkStart w:id="51" w:name="_Toc184313239"/>
      <w:bookmarkEnd w:id="51"/>
      <w:bookmarkStart w:id="52" w:name="_Toc184313285"/>
      <w:bookmarkEnd w:id="52"/>
      <w:bookmarkStart w:id="53" w:name="_Toc184312077"/>
      <w:bookmarkEnd w:id="53"/>
      <w:bookmarkStart w:id="54" w:name="_Toc184314454"/>
      <w:bookmarkEnd w:id="54"/>
      <w:bookmarkStart w:id="55" w:name="_Toc184314444"/>
      <w:bookmarkEnd w:id="55"/>
      <w:bookmarkStart w:id="56" w:name="_Toc184312093"/>
      <w:bookmarkEnd w:id="56"/>
      <w:bookmarkStart w:id="57" w:name="_Toc184308108"/>
      <w:bookmarkEnd w:id="57"/>
      <w:bookmarkStart w:id="58" w:name="_Toc184313242"/>
      <w:bookmarkEnd w:id="58"/>
      <w:bookmarkStart w:id="59" w:name="_Toc184313262"/>
      <w:bookmarkEnd w:id="59"/>
      <w:bookmarkStart w:id="60" w:name="_Toc184310328"/>
      <w:bookmarkEnd w:id="60"/>
      <w:bookmarkStart w:id="61" w:name="_Toc184314425"/>
      <w:bookmarkEnd w:id="61"/>
      <w:bookmarkStart w:id="62" w:name="_Toc184313249"/>
      <w:bookmarkEnd w:id="62"/>
      <w:bookmarkStart w:id="63" w:name="_Toc184312129"/>
      <w:bookmarkEnd w:id="63"/>
      <w:bookmarkStart w:id="64" w:name="_Toc184313301"/>
      <w:bookmarkEnd w:id="64"/>
      <w:bookmarkStart w:id="65" w:name="_Toc184310295"/>
      <w:bookmarkEnd w:id="65"/>
      <w:bookmarkStart w:id="66" w:name="_Toc184314447"/>
      <w:bookmarkEnd w:id="66"/>
      <w:bookmarkStart w:id="67" w:name="_Toc184308107"/>
      <w:bookmarkEnd w:id="67"/>
      <w:bookmarkStart w:id="68" w:name="_Toc184314420"/>
      <w:bookmarkEnd w:id="68"/>
      <w:bookmarkStart w:id="69" w:name="_Toc184308088"/>
      <w:bookmarkEnd w:id="69"/>
      <w:bookmarkStart w:id="70" w:name="_Toc184314460"/>
      <w:bookmarkEnd w:id="70"/>
      <w:bookmarkStart w:id="71" w:name="_Toc184312115"/>
      <w:bookmarkEnd w:id="71"/>
      <w:bookmarkStart w:id="72" w:name="_Toc184314415"/>
      <w:bookmarkEnd w:id="72"/>
      <w:bookmarkStart w:id="73" w:name="_Toc184313261"/>
      <w:bookmarkEnd w:id="73"/>
      <w:bookmarkStart w:id="74" w:name="_Toc184313252"/>
      <w:bookmarkEnd w:id="74"/>
      <w:bookmarkStart w:id="75" w:name="_Toc184314434"/>
      <w:bookmarkEnd w:id="75"/>
      <w:bookmarkStart w:id="76" w:name="_Toc184313271"/>
      <w:bookmarkEnd w:id="76"/>
      <w:bookmarkStart w:id="77" w:name="_Toc184314431"/>
      <w:bookmarkEnd w:id="77"/>
      <w:bookmarkStart w:id="78" w:name="_Toc184313240"/>
      <w:bookmarkEnd w:id="78"/>
      <w:bookmarkStart w:id="79" w:name="_Toc184312083"/>
      <w:bookmarkEnd w:id="79"/>
      <w:bookmarkStart w:id="80" w:name="_Toc184313279"/>
      <w:bookmarkEnd w:id="80"/>
      <w:bookmarkStart w:id="81" w:name="_Toc184312097"/>
      <w:bookmarkEnd w:id="81"/>
      <w:bookmarkStart w:id="82" w:name="_Toc184308099"/>
      <w:bookmarkEnd w:id="82"/>
      <w:bookmarkStart w:id="83" w:name="_Toc184310281"/>
      <w:bookmarkEnd w:id="83"/>
      <w:bookmarkStart w:id="84" w:name="_Toc184314441"/>
      <w:bookmarkEnd w:id="84"/>
      <w:bookmarkStart w:id="85" w:name="_Toc184313259"/>
      <w:bookmarkEnd w:id="85"/>
      <w:bookmarkStart w:id="86" w:name="_Toc184308038"/>
      <w:bookmarkEnd w:id="86"/>
      <w:bookmarkStart w:id="87" w:name="_Toc184310339"/>
      <w:bookmarkEnd w:id="87"/>
      <w:bookmarkStart w:id="88" w:name="_Toc184314432"/>
      <w:bookmarkEnd w:id="88"/>
      <w:bookmarkStart w:id="89" w:name="_Toc184313265"/>
      <w:bookmarkEnd w:id="89"/>
      <w:bookmarkStart w:id="90" w:name="_Toc184308091"/>
      <w:bookmarkEnd w:id="90"/>
      <w:bookmarkStart w:id="91" w:name="_Toc184312134"/>
      <w:bookmarkEnd w:id="91"/>
      <w:bookmarkStart w:id="92" w:name="_Toc184308044"/>
      <w:bookmarkEnd w:id="92"/>
      <w:bookmarkStart w:id="93" w:name="_Toc184313268"/>
      <w:bookmarkEnd w:id="93"/>
      <w:bookmarkStart w:id="94" w:name="_Toc184313258"/>
      <w:bookmarkEnd w:id="94"/>
      <w:bookmarkStart w:id="95" w:name="_Toc184310312"/>
      <w:bookmarkEnd w:id="95"/>
      <w:bookmarkStart w:id="96" w:name="_Toc184313254"/>
      <w:bookmarkEnd w:id="96"/>
      <w:bookmarkStart w:id="97" w:name="_Toc184313269"/>
      <w:bookmarkEnd w:id="97"/>
      <w:bookmarkStart w:id="98" w:name="_Toc184310342"/>
      <w:bookmarkEnd w:id="98"/>
      <w:bookmarkStart w:id="99" w:name="_Toc184313246"/>
      <w:bookmarkEnd w:id="99"/>
      <w:bookmarkStart w:id="100" w:name="_Toc184308100"/>
      <w:bookmarkEnd w:id="100"/>
      <w:bookmarkStart w:id="101" w:name="_Toc184314482"/>
      <w:bookmarkEnd w:id="101"/>
      <w:bookmarkStart w:id="102" w:name="_Toc184312126"/>
      <w:bookmarkEnd w:id="102"/>
      <w:bookmarkStart w:id="103" w:name="_Toc184312096"/>
      <w:bookmarkEnd w:id="103"/>
      <w:bookmarkStart w:id="104" w:name="_Toc184314459"/>
      <w:bookmarkEnd w:id="104"/>
      <w:bookmarkStart w:id="105" w:name="_Toc184308052"/>
      <w:bookmarkEnd w:id="105"/>
      <w:bookmarkStart w:id="106" w:name="_Toc184312086"/>
      <w:bookmarkEnd w:id="106"/>
      <w:bookmarkStart w:id="107" w:name="_Toc184308082"/>
      <w:bookmarkEnd w:id="107"/>
      <w:bookmarkStart w:id="108" w:name="_Toc184314418"/>
      <w:bookmarkEnd w:id="108"/>
      <w:bookmarkStart w:id="109" w:name="_Toc184312112"/>
      <w:bookmarkEnd w:id="109"/>
      <w:bookmarkStart w:id="110" w:name="_Toc184308090"/>
      <w:bookmarkEnd w:id="110"/>
      <w:bookmarkStart w:id="111" w:name="_Toc184312107"/>
      <w:bookmarkEnd w:id="111"/>
      <w:bookmarkStart w:id="112" w:name="_Toc184310307"/>
      <w:bookmarkEnd w:id="112"/>
      <w:bookmarkStart w:id="113" w:name="_Toc184308057"/>
      <w:bookmarkEnd w:id="113"/>
      <w:bookmarkStart w:id="114" w:name="_Toc184310330"/>
      <w:bookmarkEnd w:id="114"/>
      <w:bookmarkStart w:id="115" w:name="_Toc184310305"/>
      <w:bookmarkEnd w:id="115"/>
      <w:bookmarkStart w:id="116" w:name="_Toc184310322"/>
      <w:bookmarkEnd w:id="116"/>
      <w:bookmarkStart w:id="117" w:name="_Toc184308086"/>
      <w:bookmarkEnd w:id="117"/>
      <w:bookmarkStart w:id="118" w:name="_Toc184312123"/>
      <w:bookmarkEnd w:id="118"/>
      <w:bookmarkStart w:id="119" w:name="_Toc184314478"/>
      <w:bookmarkEnd w:id="119"/>
      <w:bookmarkStart w:id="120" w:name="_Toc184308056"/>
      <w:bookmarkEnd w:id="120"/>
      <w:bookmarkStart w:id="121" w:name="_Toc184310293"/>
      <w:bookmarkEnd w:id="121"/>
      <w:bookmarkStart w:id="122" w:name="_Toc184310323"/>
      <w:bookmarkEnd w:id="122"/>
      <w:bookmarkStart w:id="123" w:name="_Toc184314474"/>
      <w:bookmarkEnd w:id="123"/>
      <w:bookmarkStart w:id="124" w:name="_Toc184314411"/>
      <w:bookmarkEnd w:id="124"/>
      <w:bookmarkStart w:id="125" w:name="_Toc184308055"/>
      <w:bookmarkEnd w:id="125"/>
      <w:bookmarkStart w:id="126" w:name="_Toc184314464"/>
      <w:bookmarkEnd w:id="126"/>
      <w:bookmarkStart w:id="127" w:name="_Toc184310333"/>
      <w:bookmarkEnd w:id="127"/>
      <w:bookmarkStart w:id="128" w:name="_Toc184308093"/>
      <w:bookmarkEnd w:id="128"/>
      <w:bookmarkStart w:id="129" w:name="_Toc184314417"/>
      <w:bookmarkEnd w:id="129"/>
      <w:bookmarkStart w:id="130" w:name="_Toc184310316"/>
      <w:bookmarkEnd w:id="130"/>
      <w:bookmarkStart w:id="131" w:name="_Toc184313309"/>
      <w:bookmarkEnd w:id="131"/>
      <w:bookmarkStart w:id="132" w:name="_Toc184310327"/>
      <w:bookmarkEnd w:id="132"/>
      <w:bookmarkStart w:id="133" w:name="_Toc184312117"/>
      <w:bookmarkEnd w:id="133"/>
      <w:bookmarkStart w:id="134" w:name="_Toc184312080"/>
      <w:bookmarkEnd w:id="134"/>
      <w:bookmarkStart w:id="135" w:name="_Toc184314448"/>
      <w:bookmarkEnd w:id="135"/>
      <w:bookmarkStart w:id="136" w:name="_Toc184314430"/>
      <w:bookmarkEnd w:id="136"/>
      <w:bookmarkStart w:id="137" w:name="_Toc184308094"/>
      <w:bookmarkEnd w:id="137"/>
      <w:bookmarkStart w:id="138" w:name="_Toc184308070"/>
      <w:bookmarkEnd w:id="138"/>
      <w:bookmarkStart w:id="139" w:name="_Toc184312125"/>
      <w:bookmarkEnd w:id="139"/>
      <w:bookmarkStart w:id="140" w:name="_Toc184312102"/>
      <w:bookmarkEnd w:id="140"/>
      <w:bookmarkStart w:id="141" w:name="_Toc184312079"/>
      <w:bookmarkEnd w:id="141"/>
      <w:bookmarkStart w:id="142" w:name="_Toc184312103"/>
      <w:bookmarkEnd w:id="142"/>
      <w:bookmarkStart w:id="143" w:name="_Toc184313280"/>
      <w:bookmarkEnd w:id="143"/>
      <w:bookmarkStart w:id="144" w:name="_Toc184313308"/>
      <w:bookmarkEnd w:id="144"/>
      <w:bookmarkStart w:id="145" w:name="_Toc184308065"/>
      <w:bookmarkEnd w:id="145"/>
      <w:bookmarkStart w:id="146" w:name="_Toc184313303"/>
      <w:bookmarkEnd w:id="146"/>
      <w:bookmarkStart w:id="147" w:name="_Toc184314471"/>
      <w:bookmarkEnd w:id="147"/>
      <w:bookmarkStart w:id="148" w:name="_Toc184313294"/>
      <w:bookmarkEnd w:id="148"/>
      <w:bookmarkStart w:id="149" w:name="_Toc184310311"/>
      <w:bookmarkEnd w:id="149"/>
      <w:bookmarkStart w:id="150" w:name="_Toc184310276"/>
      <w:bookmarkEnd w:id="150"/>
      <w:bookmarkStart w:id="151" w:name="_Toc184312128"/>
      <w:bookmarkEnd w:id="151"/>
      <w:bookmarkStart w:id="152" w:name="_Toc184308101"/>
      <w:bookmarkEnd w:id="152"/>
      <w:bookmarkStart w:id="153" w:name="_Toc184313267"/>
      <w:bookmarkEnd w:id="153"/>
      <w:bookmarkStart w:id="154" w:name="_Toc184308058"/>
      <w:bookmarkEnd w:id="154"/>
      <w:bookmarkStart w:id="155" w:name="_Toc184310317"/>
      <w:bookmarkEnd w:id="155"/>
      <w:bookmarkStart w:id="156" w:name="_Toc184313277"/>
      <w:bookmarkEnd w:id="156"/>
      <w:bookmarkStart w:id="157" w:name="_Toc184312095"/>
      <w:bookmarkEnd w:id="157"/>
      <w:bookmarkStart w:id="158" w:name="_Toc184314457"/>
      <w:bookmarkEnd w:id="158"/>
      <w:bookmarkStart w:id="159" w:name="_Toc184310309"/>
      <w:bookmarkEnd w:id="159"/>
      <w:bookmarkStart w:id="160" w:name="_Toc184308062"/>
      <w:bookmarkEnd w:id="160"/>
      <w:bookmarkStart w:id="161" w:name="_Toc184310298"/>
      <w:bookmarkEnd w:id="161"/>
      <w:bookmarkStart w:id="162" w:name="_Toc184310287"/>
      <w:bookmarkEnd w:id="162"/>
      <w:bookmarkStart w:id="163" w:name="_Toc184314473"/>
      <w:bookmarkEnd w:id="163"/>
      <w:bookmarkStart w:id="164" w:name="_Toc184313260"/>
      <w:bookmarkEnd w:id="164"/>
      <w:bookmarkStart w:id="165" w:name="_Toc184312084"/>
      <w:bookmarkEnd w:id="165"/>
      <w:bookmarkStart w:id="166" w:name="_Toc184313295"/>
      <w:bookmarkEnd w:id="166"/>
      <w:bookmarkStart w:id="167" w:name="_Toc184314453"/>
      <w:bookmarkEnd w:id="167"/>
      <w:bookmarkStart w:id="168" w:name="_Toc184312100"/>
      <w:bookmarkEnd w:id="168"/>
      <w:bookmarkStart w:id="169" w:name="_Toc184312110"/>
      <w:bookmarkEnd w:id="169"/>
      <w:bookmarkStart w:id="170" w:name="_Toc184308046"/>
      <w:bookmarkEnd w:id="170"/>
      <w:bookmarkStart w:id="171" w:name="_Toc184313244"/>
      <w:bookmarkEnd w:id="171"/>
      <w:bookmarkStart w:id="172" w:name="_Toc184314436"/>
      <w:bookmarkEnd w:id="172"/>
      <w:bookmarkStart w:id="173" w:name="_Toc184310285"/>
      <w:bookmarkEnd w:id="173"/>
      <w:bookmarkStart w:id="174" w:name="_Toc184313278"/>
      <w:bookmarkEnd w:id="174"/>
      <w:bookmarkStart w:id="175" w:name="_Toc184308063"/>
      <w:bookmarkEnd w:id="175"/>
      <w:bookmarkStart w:id="176" w:name="_Toc184308036"/>
      <w:bookmarkEnd w:id="176"/>
      <w:bookmarkStart w:id="177" w:name="_Toc184312082"/>
      <w:bookmarkEnd w:id="177"/>
      <w:bookmarkStart w:id="178" w:name="_Toc184308039"/>
      <w:bookmarkEnd w:id="178"/>
      <w:bookmarkStart w:id="179" w:name="_Toc184312074"/>
      <w:bookmarkEnd w:id="179"/>
      <w:bookmarkStart w:id="180" w:name="_Toc184312067"/>
      <w:bookmarkEnd w:id="180"/>
      <w:bookmarkStart w:id="181" w:name="_Toc184310335"/>
      <w:bookmarkEnd w:id="181"/>
      <w:bookmarkStart w:id="182" w:name="_Toc184312106"/>
      <w:bookmarkEnd w:id="182"/>
      <w:bookmarkStart w:id="183" w:name="_Toc184310292"/>
      <w:bookmarkEnd w:id="183"/>
      <w:bookmarkStart w:id="184" w:name="_Toc184313302"/>
      <w:bookmarkEnd w:id="184"/>
      <w:bookmarkStart w:id="185" w:name="_Toc184314468"/>
      <w:bookmarkEnd w:id="185"/>
      <w:bookmarkStart w:id="186" w:name="_Toc184310344"/>
      <w:bookmarkEnd w:id="186"/>
      <w:bookmarkStart w:id="187" w:name="_Toc184312133"/>
      <w:bookmarkEnd w:id="187"/>
      <w:bookmarkStart w:id="188" w:name="_Toc184313256"/>
      <w:bookmarkEnd w:id="188"/>
      <w:bookmarkStart w:id="189" w:name="_Toc184313281"/>
      <w:bookmarkEnd w:id="189"/>
      <w:bookmarkStart w:id="190" w:name="_Toc184312139"/>
      <w:bookmarkEnd w:id="190"/>
      <w:bookmarkStart w:id="191" w:name="_Toc184308064"/>
      <w:bookmarkEnd w:id="191"/>
      <w:bookmarkStart w:id="192" w:name="_Toc184310314"/>
      <w:bookmarkEnd w:id="192"/>
      <w:bookmarkStart w:id="193" w:name="_Toc184313245"/>
      <w:bookmarkEnd w:id="193"/>
      <w:bookmarkStart w:id="194" w:name="_Toc184310320"/>
      <w:bookmarkEnd w:id="194"/>
      <w:bookmarkStart w:id="195" w:name="_Toc184314463"/>
      <w:bookmarkEnd w:id="195"/>
      <w:bookmarkStart w:id="196" w:name="_Toc184313275"/>
      <w:bookmarkEnd w:id="196"/>
      <w:bookmarkStart w:id="197" w:name="_Toc184314427"/>
      <w:bookmarkEnd w:id="197"/>
      <w:bookmarkStart w:id="198" w:name="_Toc184314465"/>
      <w:bookmarkEnd w:id="198"/>
      <w:bookmarkStart w:id="199" w:name="_Toc184310338"/>
      <w:bookmarkEnd w:id="199"/>
      <w:bookmarkStart w:id="200" w:name="_Toc184313247"/>
      <w:bookmarkEnd w:id="200"/>
      <w:bookmarkStart w:id="201" w:name="_Toc184314424"/>
      <w:bookmarkEnd w:id="201"/>
      <w:bookmarkStart w:id="202" w:name="_Toc184308083"/>
      <w:bookmarkEnd w:id="202"/>
      <w:bookmarkStart w:id="203" w:name="_Toc184314410"/>
      <w:bookmarkEnd w:id="203"/>
      <w:bookmarkStart w:id="204" w:name="_Toc184314450"/>
      <w:bookmarkEnd w:id="204"/>
      <w:bookmarkStart w:id="205" w:name="_Toc184310302"/>
      <w:bookmarkEnd w:id="205"/>
      <w:bookmarkStart w:id="206" w:name="_Toc184312081"/>
      <w:bookmarkEnd w:id="206"/>
      <w:bookmarkStart w:id="207" w:name="_Toc184310284"/>
      <w:bookmarkEnd w:id="207"/>
      <w:bookmarkStart w:id="208" w:name="_Toc184312136"/>
      <w:bookmarkEnd w:id="208"/>
      <w:bookmarkStart w:id="209" w:name="_Toc184310304"/>
      <w:bookmarkEnd w:id="209"/>
      <w:bookmarkStart w:id="210" w:name="_Toc184308053"/>
      <w:bookmarkEnd w:id="210"/>
      <w:bookmarkStart w:id="211" w:name="_Toc184312091"/>
      <w:bookmarkEnd w:id="211"/>
      <w:bookmarkStart w:id="212" w:name="_Toc184310334"/>
      <w:bookmarkEnd w:id="212"/>
      <w:bookmarkStart w:id="213" w:name="_Toc184313288"/>
      <w:bookmarkEnd w:id="213"/>
      <w:bookmarkStart w:id="214" w:name="_Toc184308050"/>
      <w:bookmarkEnd w:id="214"/>
      <w:bookmarkStart w:id="215" w:name="_Toc184308072"/>
      <w:bookmarkEnd w:id="215"/>
      <w:bookmarkStart w:id="216" w:name="_Toc184313274"/>
      <w:bookmarkEnd w:id="216"/>
      <w:bookmarkStart w:id="217" w:name="_Toc184310273"/>
      <w:bookmarkEnd w:id="217"/>
      <w:bookmarkStart w:id="218" w:name="_Toc184308092"/>
      <w:bookmarkEnd w:id="218"/>
      <w:bookmarkStart w:id="219" w:name="_Toc184308085"/>
      <w:bookmarkEnd w:id="219"/>
      <w:bookmarkStart w:id="220" w:name="_Toc184314455"/>
      <w:bookmarkEnd w:id="220"/>
      <w:bookmarkStart w:id="221" w:name="_Toc184310325"/>
      <w:bookmarkEnd w:id="221"/>
      <w:bookmarkStart w:id="222" w:name="_Toc184310286"/>
      <w:bookmarkEnd w:id="222"/>
      <w:bookmarkStart w:id="223" w:name="_Toc184314475"/>
      <w:bookmarkEnd w:id="223"/>
      <w:bookmarkStart w:id="224" w:name="_Toc184312104"/>
      <w:bookmarkEnd w:id="224"/>
      <w:bookmarkStart w:id="225" w:name="_Toc184314429"/>
      <w:bookmarkEnd w:id="225"/>
      <w:bookmarkStart w:id="226" w:name="_Toc184313287"/>
      <w:bookmarkEnd w:id="226"/>
      <w:bookmarkStart w:id="227" w:name="_Toc184308087"/>
      <w:bookmarkEnd w:id="227"/>
      <w:bookmarkStart w:id="228" w:name="_Toc184312132"/>
      <w:bookmarkEnd w:id="228"/>
      <w:bookmarkStart w:id="229" w:name="_Toc184313276"/>
      <w:bookmarkEnd w:id="229"/>
      <w:bookmarkStart w:id="230" w:name="_Toc184313238"/>
      <w:bookmarkEnd w:id="230"/>
      <w:bookmarkStart w:id="231" w:name="_Toc184310296"/>
      <w:bookmarkEnd w:id="231"/>
      <w:bookmarkStart w:id="232" w:name="_Toc184310303"/>
      <w:bookmarkEnd w:id="232"/>
      <w:bookmarkStart w:id="233" w:name="_Toc184308068"/>
      <w:bookmarkEnd w:id="233"/>
      <w:bookmarkStart w:id="234" w:name="_Toc184312105"/>
      <w:bookmarkEnd w:id="234"/>
      <w:bookmarkStart w:id="235" w:name="_Toc184312075"/>
      <w:bookmarkEnd w:id="235"/>
      <w:bookmarkStart w:id="236" w:name="_Toc184313273"/>
      <w:bookmarkEnd w:id="236"/>
      <w:bookmarkStart w:id="237" w:name="_Toc184314416"/>
      <w:bookmarkEnd w:id="237"/>
      <w:bookmarkStart w:id="238" w:name="_Toc184313296"/>
      <w:bookmarkEnd w:id="238"/>
      <w:bookmarkStart w:id="239" w:name="_Toc184310294"/>
      <w:bookmarkEnd w:id="239"/>
      <w:bookmarkStart w:id="240" w:name="_Toc184312122"/>
      <w:bookmarkEnd w:id="240"/>
      <w:bookmarkStart w:id="241" w:name="_Toc184308074"/>
      <w:bookmarkEnd w:id="241"/>
      <w:bookmarkStart w:id="242" w:name="_Toc184312089"/>
      <w:bookmarkEnd w:id="242"/>
      <w:bookmarkStart w:id="243" w:name="_Toc184312098"/>
      <w:bookmarkEnd w:id="243"/>
      <w:bookmarkStart w:id="244" w:name="_Toc184313282"/>
      <w:bookmarkEnd w:id="244"/>
      <w:bookmarkStart w:id="245" w:name="_Toc184310277"/>
      <w:bookmarkEnd w:id="245"/>
      <w:bookmarkStart w:id="246" w:name="_Toc184310272"/>
      <w:bookmarkEnd w:id="246"/>
      <w:bookmarkStart w:id="247" w:name="_Toc184310331"/>
      <w:bookmarkEnd w:id="247"/>
      <w:bookmarkStart w:id="248" w:name="_Toc184314470"/>
      <w:bookmarkEnd w:id="248"/>
      <w:bookmarkStart w:id="249" w:name="_Toc184308095"/>
      <w:bookmarkEnd w:id="249"/>
      <w:bookmarkStart w:id="250" w:name="_Toc184310340"/>
      <w:bookmarkEnd w:id="250"/>
      <w:bookmarkStart w:id="251" w:name="_Toc184314456"/>
      <w:bookmarkEnd w:id="251"/>
      <w:bookmarkStart w:id="252" w:name="_Toc184313283"/>
      <w:bookmarkEnd w:id="252"/>
      <w:bookmarkStart w:id="253" w:name="_Toc184312072"/>
      <w:bookmarkEnd w:id="253"/>
      <w:bookmarkStart w:id="254" w:name="_Toc184312130"/>
      <w:bookmarkEnd w:id="254"/>
      <w:bookmarkStart w:id="255" w:name="_Toc184314414"/>
      <w:bookmarkEnd w:id="255"/>
      <w:bookmarkStart w:id="256" w:name="_Toc184314479"/>
      <w:bookmarkEnd w:id="256"/>
      <w:bookmarkStart w:id="257" w:name="_Toc184312070"/>
      <w:bookmarkEnd w:id="257"/>
      <w:bookmarkStart w:id="258" w:name="_Toc184312073"/>
      <w:bookmarkEnd w:id="258"/>
      <w:bookmarkStart w:id="259" w:name="_Toc184313266"/>
      <w:bookmarkEnd w:id="259"/>
      <w:bookmarkStart w:id="260" w:name="_Toc184314419"/>
      <w:bookmarkEnd w:id="260"/>
      <w:bookmarkStart w:id="261" w:name="_Toc184312085"/>
      <w:bookmarkEnd w:id="261"/>
      <w:bookmarkStart w:id="262" w:name="_Toc184314451"/>
      <w:bookmarkEnd w:id="262"/>
      <w:bookmarkStart w:id="263" w:name="_Toc184310313"/>
      <w:bookmarkEnd w:id="263"/>
      <w:bookmarkStart w:id="264" w:name="_Toc184313250"/>
      <w:bookmarkEnd w:id="264"/>
      <w:bookmarkStart w:id="265" w:name="_Toc184308037"/>
      <w:bookmarkEnd w:id="265"/>
      <w:bookmarkStart w:id="266" w:name="_Toc184310290"/>
      <w:bookmarkEnd w:id="266"/>
      <w:bookmarkStart w:id="267" w:name="_Toc184308076"/>
      <w:bookmarkEnd w:id="267"/>
      <w:bookmarkStart w:id="268" w:name="_Toc184314437"/>
      <w:bookmarkEnd w:id="268"/>
      <w:bookmarkStart w:id="269" w:name="_Toc184308051"/>
      <w:bookmarkEnd w:id="269"/>
      <w:bookmarkStart w:id="270" w:name="_Toc184312113"/>
      <w:bookmarkEnd w:id="270"/>
      <w:bookmarkStart w:id="271" w:name="_Toc184310289"/>
      <w:bookmarkEnd w:id="271"/>
      <w:bookmarkStart w:id="272" w:name="_Toc184314472"/>
      <w:bookmarkEnd w:id="272"/>
      <w:bookmarkStart w:id="273" w:name="_Toc184308075"/>
      <w:bookmarkEnd w:id="273"/>
      <w:bookmarkStart w:id="274" w:name="_Toc184314435"/>
      <w:bookmarkEnd w:id="274"/>
      <w:bookmarkStart w:id="275" w:name="_Toc184310279"/>
      <w:bookmarkEnd w:id="275"/>
      <w:bookmarkStart w:id="276" w:name="_Toc184313251"/>
      <w:bookmarkEnd w:id="276"/>
      <w:bookmarkStart w:id="277" w:name="_Toc184308073"/>
      <w:bookmarkEnd w:id="277"/>
      <w:bookmarkStart w:id="278" w:name="_Toc184312090"/>
      <w:bookmarkEnd w:id="278"/>
      <w:bookmarkStart w:id="279" w:name="_Toc184314439"/>
      <w:bookmarkEnd w:id="279"/>
      <w:bookmarkStart w:id="280" w:name="_Toc184313284"/>
      <w:bookmarkEnd w:id="280"/>
      <w:bookmarkStart w:id="281" w:name="_Toc184312127"/>
      <w:bookmarkEnd w:id="281"/>
      <w:bookmarkStart w:id="282" w:name="_Toc184310297"/>
      <w:bookmarkEnd w:id="282"/>
      <w:bookmarkStart w:id="283" w:name="_Toc184310308"/>
      <w:bookmarkEnd w:id="283"/>
      <w:bookmarkStart w:id="284" w:name="_Toc184310299"/>
      <w:bookmarkEnd w:id="284"/>
      <w:bookmarkStart w:id="285" w:name="_Toc184314443"/>
      <w:bookmarkEnd w:id="285"/>
      <w:bookmarkStart w:id="286" w:name="_Toc184310280"/>
      <w:bookmarkEnd w:id="286"/>
      <w:bookmarkStart w:id="287" w:name="_Toc184313241"/>
      <w:bookmarkEnd w:id="287"/>
      <w:bookmarkStart w:id="288" w:name="_Toc184308102"/>
      <w:bookmarkEnd w:id="288"/>
      <w:bookmarkStart w:id="289" w:name="_Toc184312118"/>
      <w:bookmarkEnd w:id="289"/>
      <w:bookmarkStart w:id="290" w:name="_Toc184308040"/>
      <w:bookmarkEnd w:id="290"/>
      <w:bookmarkStart w:id="291" w:name="_Toc184314423"/>
      <w:bookmarkEnd w:id="291"/>
      <w:bookmarkStart w:id="292" w:name="_Toc184313293"/>
      <w:bookmarkEnd w:id="292"/>
      <w:bookmarkStart w:id="293" w:name="_Toc184308089"/>
      <w:bookmarkEnd w:id="293"/>
      <w:bookmarkStart w:id="294" w:name="_Toc184313263"/>
      <w:bookmarkEnd w:id="294"/>
      <w:bookmarkStart w:id="295" w:name="_Toc184308041"/>
      <w:bookmarkEnd w:id="295"/>
      <w:bookmarkStart w:id="296" w:name="_Toc184314422"/>
      <w:bookmarkEnd w:id="296"/>
      <w:bookmarkStart w:id="297" w:name="_Toc184314469"/>
      <w:bookmarkEnd w:id="297"/>
      <w:bookmarkStart w:id="298" w:name="_Toc184314480"/>
      <w:bookmarkEnd w:id="298"/>
      <w:bookmarkStart w:id="299" w:name="_Toc184308059"/>
      <w:bookmarkEnd w:id="299"/>
      <w:bookmarkStart w:id="300" w:name="_Toc184313304"/>
      <w:bookmarkEnd w:id="300"/>
      <w:bookmarkStart w:id="301" w:name="_Toc184308097"/>
      <w:bookmarkEnd w:id="301"/>
      <w:bookmarkStart w:id="302" w:name="_Toc184313289"/>
      <w:bookmarkEnd w:id="302"/>
      <w:bookmarkStart w:id="303" w:name="_Toc184312068"/>
      <w:bookmarkEnd w:id="303"/>
      <w:bookmarkStart w:id="304" w:name="_Toc184314438"/>
      <w:bookmarkEnd w:id="304"/>
      <w:bookmarkStart w:id="305" w:name="_Toc184308071"/>
      <w:bookmarkEnd w:id="305"/>
      <w:bookmarkStart w:id="306" w:name="_Toc184310274"/>
      <w:bookmarkEnd w:id="306"/>
      <w:bookmarkStart w:id="307" w:name="_Toc184314413"/>
      <w:bookmarkEnd w:id="307"/>
      <w:bookmarkStart w:id="308" w:name="_Toc184313286"/>
      <w:bookmarkEnd w:id="308"/>
      <w:bookmarkStart w:id="309" w:name="_Toc184314421"/>
      <w:bookmarkEnd w:id="309"/>
      <w:bookmarkStart w:id="310" w:name="_Toc184313297"/>
      <w:bookmarkEnd w:id="310"/>
      <w:bookmarkStart w:id="311" w:name="_Toc184310337"/>
      <w:bookmarkEnd w:id="311"/>
      <w:bookmarkStart w:id="312" w:name="_Toc184308106"/>
      <w:bookmarkEnd w:id="312"/>
      <w:bookmarkStart w:id="313" w:name="_Toc184314428"/>
      <w:bookmarkEnd w:id="313"/>
      <w:bookmarkStart w:id="314" w:name="_Toc184314467"/>
      <w:bookmarkEnd w:id="314"/>
      <w:bookmarkStart w:id="315" w:name="_Toc184310278"/>
      <w:bookmarkEnd w:id="315"/>
      <w:bookmarkStart w:id="316" w:name="_Toc184310315"/>
      <w:bookmarkEnd w:id="316"/>
      <w:bookmarkStart w:id="317" w:name="_Toc184310326"/>
      <w:bookmarkEnd w:id="317"/>
      <w:bookmarkStart w:id="318" w:name="_Toc184313291"/>
      <w:bookmarkEnd w:id="318"/>
      <w:bookmarkStart w:id="319" w:name="_Toc184308045"/>
      <w:bookmarkEnd w:id="319"/>
      <w:bookmarkStart w:id="320" w:name="_Toc184308067"/>
      <w:bookmarkEnd w:id="320"/>
      <w:bookmarkStart w:id="321" w:name="_Toc184312099"/>
      <w:bookmarkEnd w:id="321"/>
      <w:bookmarkStart w:id="322" w:name="_Toc184308103"/>
      <w:bookmarkEnd w:id="322"/>
      <w:bookmarkStart w:id="323" w:name="_Toc184313264"/>
      <w:bookmarkEnd w:id="323"/>
      <w:bookmarkStart w:id="324" w:name="_Toc184312124"/>
      <w:bookmarkEnd w:id="324"/>
      <w:bookmarkStart w:id="325" w:name="_Toc184310300"/>
      <w:bookmarkEnd w:id="325"/>
      <w:bookmarkStart w:id="326" w:name="_Toc184314446"/>
      <w:bookmarkEnd w:id="326"/>
      <w:bookmarkStart w:id="327" w:name="_Toc184314449"/>
      <w:bookmarkEnd w:id="327"/>
      <w:bookmarkStart w:id="328" w:name="_Toc184314433"/>
      <w:bookmarkEnd w:id="328"/>
      <w:bookmarkStart w:id="329" w:name="_Toc184313292"/>
      <w:bookmarkEnd w:id="329"/>
      <w:bookmarkStart w:id="330" w:name="_Toc184312138"/>
      <w:bookmarkEnd w:id="330"/>
      <w:bookmarkStart w:id="331" w:name="_Toc184314458"/>
      <w:bookmarkEnd w:id="331"/>
      <w:bookmarkStart w:id="332" w:name="_Toc184308069"/>
      <w:bookmarkEnd w:id="332"/>
      <w:bookmarkStart w:id="333" w:name="_Toc184312120"/>
      <w:bookmarkEnd w:id="333"/>
      <w:bookmarkStart w:id="334" w:name="_Toc184308096"/>
      <w:bookmarkEnd w:id="334"/>
      <w:bookmarkStart w:id="335" w:name="_Toc184310282"/>
      <w:bookmarkEnd w:id="335"/>
      <w:bookmarkStart w:id="336" w:name="_Toc184312116"/>
      <w:bookmarkEnd w:id="336"/>
      <w:bookmarkStart w:id="337" w:name="_Toc184314426"/>
      <w:bookmarkEnd w:id="337"/>
      <w:bookmarkStart w:id="338" w:name="_Toc184312092"/>
      <w:bookmarkEnd w:id="338"/>
      <w:bookmarkStart w:id="339" w:name="_Toc184313253"/>
      <w:bookmarkEnd w:id="339"/>
      <w:bookmarkStart w:id="340" w:name="_Toc184312069"/>
      <w:bookmarkEnd w:id="340"/>
      <w:bookmarkStart w:id="341" w:name="_Toc184310341"/>
      <w:bookmarkEnd w:id="341"/>
      <w:bookmarkStart w:id="342" w:name="_Toc184308042"/>
      <w:bookmarkEnd w:id="342"/>
      <w:bookmarkStart w:id="343" w:name="_Toc184308078"/>
      <w:bookmarkEnd w:id="343"/>
      <w:bookmarkStart w:id="344" w:name="_Toc184314452"/>
      <w:bookmarkEnd w:id="344"/>
      <w:bookmarkStart w:id="345" w:name="_Toc184310318"/>
      <w:bookmarkEnd w:id="345"/>
      <w:bookmarkStart w:id="346" w:name="_Toc184313300"/>
      <w:bookmarkEnd w:id="346"/>
      <w:bookmarkStart w:id="347" w:name="_Toc184313272"/>
      <w:bookmarkEnd w:id="347"/>
      <w:bookmarkStart w:id="348" w:name="_Toc184314461"/>
      <w:bookmarkEnd w:id="348"/>
      <w:bookmarkStart w:id="349" w:name="_Toc184310332"/>
      <w:bookmarkEnd w:id="349"/>
      <w:bookmarkStart w:id="350" w:name="_Toc184310319"/>
      <w:bookmarkEnd w:id="350"/>
      <w:bookmarkStart w:id="351" w:name="_Toc184308077"/>
      <w:bookmarkEnd w:id="351"/>
      <w:bookmarkStart w:id="352" w:name="_Toc184312121"/>
      <w:bookmarkEnd w:id="352"/>
      <w:bookmarkStart w:id="353" w:name="_Toc184312114"/>
      <w:bookmarkEnd w:id="353"/>
      <w:bookmarkStart w:id="354" w:name="_Toc184313243"/>
      <w:bookmarkEnd w:id="354"/>
      <w:bookmarkStart w:id="355" w:name="_Toc184314462"/>
      <w:bookmarkEnd w:id="355"/>
      <w:bookmarkStart w:id="356" w:name="_Toc184312108"/>
      <w:bookmarkEnd w:id="356"/>
      <w:bookmarkStart w:id="357" w:name="_Toc184308061"/>
      <w:bookmarkEnd w:id="357"/>
      <w:bookmarkStart w:id="358" w:name="_Toc184310288"/>
      <w:bookmarkEnd w:id="358"/>
      <w:bookmarkStart w:id="359" w:name="_Toc184314476"/>
      <w:bookmarkEnd w:id="359"/>
      <w:bookmarkStart w:id="360" w:name="_Toc184310306"/>
      <w:bookmarkEnd w:id="360"/>
      <w:bookmarkStart w:id="361" w:name="_Toc184308104"/>
      <w:bookmarkEnd w:id="361"/>
      <w:bookmarkStart w:id="362" w:name="_Toc184312101"/>
      <w:bookmarkEnd w:id="362"/>
      <w:bookmarkStart w:id="363" w:name="_Toc184312119"/>
      <w:bookmarkEnd w:id="363"/>
      <w:bookmarkStart w:id="364" w:name="_Toc184314440"/>
      <w:bookmarkEnd w:id="364"/>
      <w:bookmarkStart w:id="365" w:name="_Toc184308047"/>
      <w:bookmarkEnd w:id="365"/>
      <w:bookmarkStart w:id="366" w:name="_Toc184313270"/>
      <w:bookmarkEnd w:id="366"/>
      <w:bookmarkStart w:id="367" w:name="_Toc184308080"/>
      <w:bookmarkEnd w:id="367"/>
      <w:bookmarkStart w:id="368" w:name="_Toc184312135"/>
      <w:bookmarkEnd w:id="368"/>
      <w:bookmarkStart w:id="369" w:name="_Toc184313305"/>
      <w:bookmarkEnd w:id="369"/>
      <w:bookmarkStart w:id="370" w:name="_Toc184310324"/>
      <w:bookmarkEnd w:id="370"/>
      <w:bookmarkStart w:id="371" w:name="_Toc184310275"/>
      <w:bookmarkEnd w:id="371"/>
      <w:bookmarkStart w:id="372" w:name="_Toc184312094"/>
      <w:bookmarkEnd w:id="372"/>
      <w:bookmarkStart w:id="373" w:name="_Toc184313298"/>
      <w:bookmarkEnd w:id="373"/>
      <w:bookmarkStart w:id="374" w:name="_Toc184313299"/>
      <w:bookmarkEnd w:id="374"/>
      <w:bookmarkStart w:id="375" w:name="_Toc184314477"/>
      <w:bookmarkEnd w:id="375"/>
      <w:bookmarkStart w:id="376" w:name="_Toc184308048"/>
      <w:bookmarkEnd w:id="376"/>
      <w:bookmarkStart w:id="377" w:name="_Toc184314412"/>
      <w:bookmarkEnd w:id="377"/>
      <w:bookmarkStart w:id="378" w:name="_Toc184314442"/>
      <w:bookmarkEnd w:id="378"/>
      <w:bookmarkStart w:id="379" w:name="_Toc184312088"/>
      <w:bookmarkEnd w:id="379"/>
      <w:bookmarkStart w:id="380" w:name="_Toc184313310"/>
      <w:bookmarkEnd w:id="380"/>
      <w:bookmarkStart w:id="381" w:name="_Toc184312131"/>
      <w:bookmarkEnd w:id="381"/>
      <w:bookmarkStart w:id="382" w:name="_Toc184314445"/>
      <w:bookmarkEnd w:id="382"/>
      <w:bookmarkStart w:id="383" w:name="_Toc184308084"/>
      <w:bookmarkEnd w:id="383"/>
      <w:bookmarkStart w:id="384" w:name="_Toc184312109"/>
      <w:bookmarkEnd w:id="384"/>
      <w:bookmarkStart w:id="385" w:name="_Toc184310301"/>
      <w:bookmarkEnd w:id="385"/>
      <w:bookmarkStart w:id="386" w:name="_Toc184308081"/>
      <w:bookmarkEnd w:id="386"/>
      <w:bookmarkStart w:id="387" w:name="_Toc184308049"/>
      <w:bookmarkEnd w:id="387"/>
      <w:bookmarkStart w:id="388" w:name="_Toc184312078"/>
      <w:bookmarkEnd w:id="388"/>
      <w:bookmarkStart w:id="389" w:name="_Toc184308066"/>
      <w:bookmarkEnd w:id="389"/>
      <w:r>
        <w:rPr>
          <w:rFonts w:hint="eastAsia" w:ascii="仿宋" w:hAnsi="仿宋" w:eastAsia="仿宋" w:cs="仿宋_GB2312"/>
          <w:b/>
          <w:color w:val="000000" w:themeColor="text1"/>
          <w:sz w:val="36"/>
          <w:szCs w:val="36"/>
          <w:highlight w:val="none"/>
          <w14:textFill>
            <w14:solidFill>
              <w14:schemeClr w14:val="tx1"/>
            </w14:solidFill>
          </w14:textFill>
        </w:rPr>
        <w:t>评标办法</w:t>
      </w:r>
    </w:p>
    <w:p>
      <w:pPr>
        <w:snapToGrid w:val="0"/>
        <w:spacing w:line="360" w:lineRule="auto"/>
        <w:jc w:val="center"/>
        <w:rPr>
          <w:rFonts w:hint="eastAsia" w:ascii="仿宋" w:hAnsi="仿宋" w:eastAsia="仿宋" w:cs="仿宋_GB2312"/>
          <w:b/>
          <w:color w:val="000000" w:themeColor="text1"/>
          <w:sz w:val="32"/>
          <w:szCs w:val="20"/>
          <w:highlight w:val="none"/>
          <w14:textFill>
            <w14:solidFill>
              <w14:schemeClr w14:val="tx1"/>
            </w14:solidFill>
          </w14:textFill>
        </w:rPr>
      </w:pPr>
      <w:r>
        <w:rPr>
          <w:rFonts w:hint="eastAsia" w:ascii="仿宋" w:hAnsi="仿宋" w:eastAsia="仿宋" w:cs="仿宋_GB2312"/>
          <w:b/>
          <w:color w:val="000000" w:themeColor="text1"/>
          <w:sz w:val="32"/>
          <w:szCs w:val="20"/>
          <w:highlight w:val="none"/>
          <w14:textFill>
            <w14:solidFill>
              <w14:schemeClr w14:val="tx1"/>
            </w14:solidFill>
          </w14:textFill>
        </w:rPr>
        <w:t>评标办法前附表</w:t>
      </w:r>
    </w:p>
    <w:tbl>
      <w:tblPr>
        <w:tblStyle w:val="62"/>
        <w:tblpPr w:leftFromText="180" w:rightFromText="180" w:vertAnchor="text" w:horzAnchor="page" w:tblpX="1031" w:tblpY="126"/>
        <w:tblW w:w="52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5903"/>
        <w:gridCol w:w="795"/>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468" w:type="pct"/>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3027" w:type="pct"/>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407" w:type="pct"/>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权重</w:t>
            </w:r>
          </w:p>
        </w:tc>
        <w:tc>
          <w:tcPr>
            <w:tcW w:w="1096" w:type="pct"/>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宋体" w:hAnsi="宋体" w:cs="宋体"/>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68" w:type="pct"/>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1</w:t>
            </w:r>
          </w:p>
        </w:tc>
        <w:tc>
          <w:tcPr>
            <w:tcW w:w="3027" w:type="pct"/>
            <w:vAlign w:val="center"/>
          </w:tcPr>
          <w:p>
            <w:pPr>
              <w:spacing w:line="360" w:lineRule="auto"/>
              <w:outlineLvl w:val="0"/>
              <w:rPr>
                <w:rFonts w:hint="default" w:ascii="仿宋" w:hAnsi="仿宋" w:eastAsia="仿宋" w:cs="仿宋_GB2312"/>
                <w:sz w:val="24"/>
                <w:highlight w:val="none"/>
                <w:lang w:val="en-US" w:eastAsia="zh-CN"/>
              </w:rPr>
            </w:pPr>
            <w:r>
              <w:rPr>
                <w:rFonts w:hint="default" w:ascii="仿宋" w:hAnsi="仿宋" w:eastAsia="仿宋" w:cs="仿宋_GB2312"/>
                <w:sz w:val="24"/>
                <w:highlight w:val="none"/>
                <w:lang w:val="en-US" w:eastAsia="zh-CN"/>
              </w:rPr>
              <w:t>投标产品的技术指标的吻合程度和偏差情况（包括所投标产品的规格型号、详细配置、主要技术参数、随机软件、证明材料</w:t>
            </w:r>
            <w:r>
              <w:rPr>
                <w:rFonts w:hint="eastAsia" w:ascii="仿宋" w:hAnsi="仿宋" w:eastAsia="仿宋" w:cs="仿宋_GB2312"/>
                <w:sz w:val="24"/>
                <w:highlight w:val="none"/>
                <w:lang w:val="en-US" w:eastAsia="zh-CN"/>
              </w:rPr>
              <w:t>、产品售后</w:t>
            </w:r>
            <w:r>
              <w:rPr>
                <w:rFonts w:hint="default" w:ascii="仿宋" w:hAnsi="仿宋" w:eastAsia="仿宋" w:cs="仿宋_GB2312"/>
                <w:sz w:val="24"/>
                <w:highlight w:val="none"/>
                <w:lang w:val="en-US" w:eastAsia="zh-CN"/>
              </w:rPr>
              <w:t>等），满足</w:t>
            </w:r>
            <w:r>
              <w:rPr>
                <w:rFonts w:hint="eastAsia" w:ascii="仿宋" w:hAnsi="仿宋" w:eastAsia="仿宋" w:cs="仿宋_GB2312"/>
                <w:sz w:val="24"/>
                <w:highlight w:val="none"/>
                <w:lang w:val="en-US" w:eastAsia="zh-CN"/>
              </w:rPr>
              <w:t>采购</w:t>
            </w:r>
            <w:r>
              <w:rPr>
                <w:rFonts w:hint="default" w:ascii="仿宋" w:hAnsi="仿宋" w:eastAsia="仿宋" w:cs="仿宋_GB2312"/>
                <w:sz w:val="24"/>
                <w:highlight w:val="none"/>
                <w:lang w:val="en-US" w:eastAsia="zh-CN"/>
              </w:rPr>
              <w:t>件技术指标的得基准分</w:t>
            </w:r>
            <w:r>
              <w:rPr>
                <w:rFonts w:hint="eastAsia" w:ascii="仿宋" w:hAnsi="仿宋" w:eastAsia="仿宋" w:cs="仿宋_GB2312"/>
                <w:sz w:val="24"/>
                <w:highlight w:val="none"/>
                <w:lang w:val="en-US" w:eastAsia="zh-CN"/>
              </w:rPr>
              <w:t>36</w:t>
            </w:r>
            <w:r>
              <w:rPr>
                <w:rFonts w:hint="default" w:ascii="仿宋" w:hAnsi="仿宋" w:eastAsia="仿宋" w:cs="仿宋_GB2312"/>
                <w:sz w:val="24"/>
                <w:highlight w:val="none"/>
                <w:lang w:val="en-US" w:eastAsia="zh-CN"/>
              </w:rPr>
              <w:t>分，带“▲”为实际业务需要，不得出现负偏离，否则做无效标处理，标“☆”参数每负偏离或未响应的每项扣2分，对其他参数或功能要求负偏离或未响应的每项扣1分（无实质性意义的负偏离不扣分）</w:t>
            </w:r>
            <w:r>
              <w:rPr>
                <w:rFonts w:hint="eastAsia" w:ascii="仿宋" w:hAnsi="仿宋" w:eastAsia="仿宋" w:cs="仿宋_GB2312"/>
                <w:sz w:val="24"/>
                <w:highlight w:val="none"/>
                <w:lang w:val="en-US" w:eastAsia="zh-CN"/>
              </w:rPr>
              <w:t>。共36分。</w:t>
            </w:r>
          </w:p>
          <w:p>
            <w:pPr>
              <w:spacing w:line="360" w:lineRule="auto"/>
              <w:outlineLvl w:val="0"/>
              <w:rPr>
                <w:rFonts w:ascii="仿宋" w:hAnsi="仿宋" w:eastAsia="仿宋" w:cs="仿宋_GB2312"/>
                <w:sz w:val="24"/>
              </w:rPr>
            </w:pPr>
            <w:r>
              <w:rPr>
                <w:rFonts w:hint="default" w:ascii="仿宋" w:hAnsi="仿宋" w:eastAsia="仿宋" w:cs="仿宋_GB2312"/>
                <w:sz w:val="24"/>
                <w:highlight w:val="none"/>
                <w:lang w:val="en-US" w:eastAsia="zh-CN"/>
              </w:rPr>
              <w:t>注：要求提供测试报告复印件、证书复印件等证明材料而未提供视作一项负偏离。</w:t>
            </w:r>
          </w:p>
        </w:tc>
        <w:tc>
          <w:tcPr>
            <w:tcW w:w="407" w:type="pct"/>
            <w:vAlign w:val="center"/>
          </w:tcPr>
          <w:p>
            <w:pPr>
              <w:jc w:val="center"/>
              <w:rPr>
                <w:rFonts w:hint="eastAsia" w:ascii="仿宋" w:hAnsi="仿宋" w:eastAsia="仿宋" w:cs="仿宋"/>
                <w:sz w:val="24"/>
                <w:szCs w:val="24"/>
              </w:rPr>
            </w:pPr>
          </w:p>
          <w:p>
            <w:pPr>
              <w:spacing w:line="360" w:lineRule="auto"/>
              <w:ind w:firstLine="240" w:firstLineChars="10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w:t>
            </w:r>
          </w:p>
        </w:tc>
        <w:tc>
          <w:tcPr>
            <w:tcW w:w="1096" w:type="pct"/>
            <w:vAlign w:val="center"/>
          </w:tcPr>
          <w:p>
            <w:pPr>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lang w:eastAsia="zh-CN"/>
              </w:rPr>
              <w:t>（一）参数、功能</w:t>
            </w:r>
            <w:r>
              <w:rPr>
                <w:rFonts w:hint="eastAsia" w:ascii="仿宋" w:hAnsi="仿宋" w:eastAsia="仿宋" w:cs="仿宋"/>
                <w:sz w:val="24"/>
                <w:szCs w:val="24"/>
                <w:highlight w:val="none"/>
                <w:lang w:val="en-US" w:eastAsia="zh-CN"/>
              </w:rPr>
              <w:t>偏差情况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ind w:firstLine="360" w:firstLineChars="150"/>
              <w:jc w:val="left"/>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2</w:t>
            </w:r>
          </w:p>
        </w:tc>
        <w:tc>
          <w:tcPr>
            <w:tcW w:w="3027"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lang w:eastAsia="zh-CN"/>
              </w:rPr>
              <w:t>项目实施方案</w:t>
            </w:r>
            <w:r>
              <w:rPr>
                <w:rFonts w:hint="eastAsia" w:ascii="仿宋" w:hAnsi="仿宋" w:eastAsia="仿宋" w:cs="仿宋_GB2312"/>
                <w:sz w:val="24"/>
              </w:rPr>
              <w:t>;工期供货措施;施工时间进度表;运输计划的安排；现场安装管理计划的合理性、全面性、可执行性；试运行方案合理可行性。满足一项得</w:t>
            </w:r>
            <w:r>
              <w:rPr>
                <w:rFonts w:hint="eastAsia" w:ascii="仿宋" w:hAnsi="仿宋" w:eastAsia="仿宋" w:cs="仿宋_GB2312"/>
                <w:sz w:val="24"/>
                <w:lang w:val="en-US" w:eastAsia="zh-CN"/>
              </w:rPr>
              <w:t>1</w:t>
            </w:r>
            <w:r>
              <w:rPr>
                <w:rFonts w:hint="eastAsia" w:ascii="仿宋" w:hAnsi="仿宋" w:eastAsia="仿宋" w:cs="仿宋_GB2312"/>
                <w:sz w:val="24"/>
              </w:rPr>
              <w:t>分，最高得</w:t>
            </w:r>
            <w:r>
              <w:rPr>
                <w:rFonts w:hint="eastAsia" w:ascii="仿宋" w:hAnsi="仿宋" w:eastAsia="仿宋" w:cs="仿宋_GB2312"/>
                <w:sz w:val="24"/>
                <w:lang w:val="en-US" w:eastAsia="zh-CN"/>
              </w:rPr>
              <w:t>5</w:t>
            </w:r>
            <w:r>
              <w:rPr>
                <w:rFonts w:hint="eastAsia" w:ascii="仿宋" w:hAnsi="仿宋" w:eastAsia="仿宋" w:cs="仿宋_GB2312"/>
                <w:sz w:val="24"/>
              </w:rPr>
              <w:t>分。</w:t>
            </w:r>
          </w:p>
        </w:tc>
        <w:tc>
          <w:tcPr>
            <w:tcW w:w="407" w:type="pct"/>
            <w:vAlign w:val="center"/>
          </w:tcPr>
          <w:p>
            <w:pPr>
              <w:spacing w:line="360" w:lineRule="auto"/>
              <w:ind w:firstLine="240" w:firstLineChars="10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96" w:type="pct"/>
            <w:vMerge w:val="restart"/>
            <w:vAlign w:val="center"/>
          </w:tcPr>
          <w:p>
            <w:pPr>
              <w:spacing w:line="360" w:lineRule="auto"/>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（二）</w:t>
            </w:r>
            <w:r>
              <w:rPr>
                <w:rFonts w:hint="eastAsia" w:ascii="仿宋" w:hAnsi="仿宋" w:eastAsia="仿宋" w:cs="仿宋_GB2312"/>
                <w:sz w:val="24"/>
                <w:lang w:eastAsia="zh-CN"/>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ind w:firstLine="360" w:firstLineChars="150"/>
              <w:jc w:val="left"/>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3</w:t>
            </w:r>
          </w:p>
        </w:tc>
        <w:tc>
          <w:tcPr>
            <w:tcW w:w="3027" w:type="pct"/>
            <w:vAlign w:val="center"/>
          </w:tcPr>
          <w:p>
            <w:pPr>
              <w:spacing w:line="360" w:lineRule="auto"/>
              <w:outlineLvl w:val="0"/>
              <w:rPr>
                <w:rFonts w:hint="default" w:ascii="仿宋" w:hAnsi="仿宋" w:eastAsia="仿宋" w:cs="仿宋_GB2312"/>
                <w:sz w:val="24"/>
                <w:lang w:val="en-US" w:eastAsia="zh-CN"/>
              </w:rPr>
            </w:pPr>
            <w:r>
              <w:rPr>
                <w:rFonts w:hint="eastAsia" w:ascii="仿宋" w:hAnsi="仿宋" w:eastAsia="仿宋" w:cs="仿宋_GB2312"/>
                <w:sz w:val="24"/>
                <w:lang w:eastAsia="zh-Hans"/>
              </w:rPr>
              <w:t>投标人组织实施方案的科学性、合理性、规范性和可操作性，包括机房设计布线、机房静电处理、机房电气电源处理</w:t>
            </w:r>
            <w:r>
              <w:rPr>
                <w:rFonts w:hint="eastAsia" w:ascii="仿宋" w:hAnsi="仿宋" w:eastAsia="仿宋" w:cs="仿宋_GB2312"/>
                <w:sz w:val="24"/>
                <w:lang w:eastAsia="zh-CN"/>
              </w:rPr>
              <w:t>，以上每一项符合得</w:t>
            </w:r>
            <w:r>
              <w:rPr>
                <w:rFonts w:hint="eastAsia" w:ascii="仿宋" w:hAnsi="仿宋" w:eastAsia="仿宋" w:cs="仿宋_GB2312"/>
                <w:sz w:val="24"/>
                <w:lang w:val="en-US" w:eastAsia="zh-CN"/>
              </w:rPr>
              <w:t>1分，不符合不得分，共3分。</w:t>
            </w:r>
          </w:p>
        </w:tc>
        <w:tc>
          <w:tcPr>
            <w:tcW w:w="407" w:type="pct"/>
            <w:vAlign w:val="center"/>
          </w:tcPr>
          <w:p>
            <w:pPr>
              <w:spacing w:line="360" w:lineRule="auto"/>
              <w:ind w:firstLine="240" w:firstLineChars="100"/>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96" w:type="pct"/>
            <w:vMerge w:val="continue"/>
            <w:vAlign w:val="center"/>
          </w:tcPr>
          <w:p>
            <w:pPr>
              <w:spacing w:line="36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ind w:firstLine="360" w:firstLineChars="150"/>
              <w:jc w:val="left"/>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4</w:t>
            </w:r>
          </w:p>
        </w:tc>
        <w:tc>
          <w:tcPr>
            <w:tcW w:w="3027" w:type="pct"/>
            <w:vAlign w:val="center"/>
          </w:tcPr>
          <w:p>
            <w:pPr>
              <w:spacing w:line="360" w:lineRule="auto"/>
              <w:outlineLvl w:val="0"/>
              <w:rPr>
                <w:rFonts w:hint="eastAsia" w:ascii="仿宋" w:hAnsi="仿宋" w:eastAsia="仿宋" w:cs="仿宋"/>
                <w:sz w:val="24"/>
                <w:szCs w:val="24"/>
              </w:rPr>
            </w:pPr>
            <w:r>
              <w:rPr>
                <w:rFonts w:hint="eastAsia" w:ascii="仿宋" w:hAnsi="仿宋" w:eastAsia="仿宋" w:cs="仿宋_GB2312"/>
                <w:sz w:val="24"/>
                <w:lang w:eastAsia="zh-Hans"/>
              </w:rPr>
              <w:t>测试及验收方案</w:t>
            </w:r>
            <w:r>
              <w:rPr>
                <w:rFonts w:hint="eastAsia" w:ascii="仿宋" w:hAnsi="仿宋" w:eastAsia="仿宋" w:cs="仿宋_GB2312"/>
                <w:sz w:val="24"/>
                <w:lang w:eastAsia="zh-CN"/>
              </w:rPr>
              <w:t>：投标人</w:t>
            </w:r>
            <w:r>
              <w:rPr>
                <w:rFonts w:hint="eastAsia" w:ascii="仿宋" w:hAnsi="仿宋" w:eastAsia="仿宋" w:cs="仿宋_GB2312"/>
                <w:sz w:val="24"/>
                <w:lang w:eastAsia="zh-Hans"/>
              </w:rPr>
              <w:t>是否提出合理可行的功能测试及验收方案。满足得</w:t>
            </w:r>
            <w:r>
              <w:rPr>
                <w:rFonts w:hint="eastAsia" w:ascii="仿宋" w:hAnsi="仿宋" w:eastAsia="仿宋" w:cs="仿宋_GB2312"/>
                <w:sz w:val="24"/>
                <w:lang w:val="en-US" w:eastAsia="zh-CN"/>
              </w:rPr>
              <w:t>2</w:t>
            </w:r>
            <w:r>
              <w:rPr>
                <w:rFonts w:hint="eastAsia" w:ascii="仿宋" w:hAnsi="仿宋" w:eastAsia="仿宋" w:cs="仿宋_GB2312"/>
                <w:sz w:val="24"/>
                <w:lang w:eastAsia="zh-Hans"/>
              </w:rPr>
              <w:t>分，部分满足得1分，不满足不得分</w:t>
            </w:r>
            <w:r>
              <w:rPr>
                <w:rFonts w:hint="eastAsia" w:ascii="仿宋" w:hAnsi="仿宋" w:eastAsia="仿宋" w:cs="仿宋_GB2312"/>
                <w:sz w:val="24"/>
                <w:lang w:eastAsia="zh-CN"/>
              </w:rPr>
              <w:t>。共</w:t>
            </w:r>
            <w:r>
              <w:rPr>
                <w:rFonts w:hint="eastAsia" w:ascii="仿宋" w:hAnsi="仿宋" w:eastAsia="仿宋" w:cs="仿宋_GB2312"/>
                <w:sz w:val="24"/>
                <w:lang w:val="en-US" w:eastAsia="zh-CN"/>
              </w:rPr>
              <w:t>2</w:t>
            </w:r>
            <w:r>
              <w:rPr>
                <w:rFonts w:hint="eastAsia" w:ascii="仿宋" w:hAnsi="仿宋" w:eastAsia="仿宋" w:cs="仿宋_GB2312"/>
                <w:sz w:val="24"/>
                <w:lang w:eastAsia="zh-Hans"/>
              </w:rPr>
              <w:t>分</w:t>
            </w:r>
            <w:r>
              <w:rPr>
                <w:rFonts w:hint="eastAsia" w:ascii="仿宋" w:hAnsi="仿宋" w:eastAsia="仿宋" w:cs="仿宋_GB2312"/>
                <w:sz w:val="24"/>
                <w:lang w:eastAsia="zh-CN"/>
              </w:rPr>
              <w:t>。</w:t>
            </w:r>
          </w:p>
        </w:tc>
        <w:tc>
          <w:tcPr>
            <w:tcW w:w="407" w:type="pct"/>
            <w:vAlign w:val="center"/>
          </w:tcPr>
          <w:p>
            <w:pPr>
              <w:spacing w:line="360" w:lineRule="auto"/>
              <w:ind w:firstLine="240" w:firstLineChars="10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96" w:type="pct"/>
            <w:vAlign w:val="center"/>
          </w:tcPr>
          <w:p>
            <w:pPr>
              <w:spacing w:line="360" w:lineRule="auto"/>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（三）</w:t>
            </w:r>
            <w:r>
              <w:rPr>
                <w:rFonts w:hint="eastAsia" w:ascii="仿宋" w:hAnsi="仿宋" w:eastAsia="仿宋" w:cs="仿宋_GB2312"/>
                <w:sz w:val="24"/>
                <w:lang w:eastAsia="zh-Hans"/>
              </w:rPr>
              <w:t>测试及验收方案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ind w:firstLine="360" w:firstLineChars="150"/>
              <w:jc w:val="left"/>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5</w:t>
            </w:r>
          </w:p>
        </w:tc>
        <w:tc>
          <w:tcPr>
            <w:tcW w:w="3027" w:type="pct"/>
            <w:vAlign w:val="center"/>
          </w:tcPr>
          <w:p>
            <w:pPr>
              <w:spacing w:line="360" w:lineRule="auto"/>
              <w:outlineLvl w:val="0"/>
              <w:rPr>
                <w:rFonts w:hint="eastAsia" w:ascii="仿宋" w:hAnsi="仿宋" w:eastAsia="仿宋" w:cs="仿宋_GB2312"/>
                <w:sz w:val="24"/>
                <w:lang w:eastAsia="zh-CN"/>
              </w:rPr>
            </w:pPr>
            <w:r>
              <w:rPr>
                <w:rFonts w:hint="eastAsia" w:ascii="仿宋" w:hAnsi="仿宋" w:eastAsia="仿宋" w:cs="仿宋"/>
                <w:sz w:val="24"/>
                <w:szCs w:val="24"/>
                <w:lang w:eastAsia="zh-CN"/>
              </w:rPr>
              <w:t>项目实施人员：</w:t>
            </w:r>
            <w:r>
              <w:rPr>
                <w:rFonts w:hint="eastAsia" w:ascii="仿宋" w:hAnsi="仿宋" w:eastAsia="仿宋" w:cs="仿宋"/>
                <w:sz w:val="24"/>
                <w:szCs w:val="24"/>
              </w:rPr>
              <w:t>提供项目实施阶段项目组主要成员</w:t>
            </w:r>
            <w:r>
              <w:rPr>
                <w:rFonts w:hint="eastAsia" w:ascii="仿宋" w:hAnsi="仿宋" w:eastAsia="仿宋" w:cs="仿宋"/>
                <w:sz w:val="24"/>
                <w:szCs w:val="24"/>
                <w:lang w:eastAsia="zh-CN"/>
              </w:rPr>
              <w:t>名单、成员</w:t>
            </w:r>
            <w:r>
              <w:rPr>
                <w:rFonts w:hint="eastAsia" w:ascii="仿宋" w:hAnsi="仿宋" w:eastAsia="仿宋" w:cs="仿宋"/>
                <w:sz w:val="24"/>
                <w:szCs w:val="24"/>
              </w:rPr>
              <w:t>履历、</w:t>
            </w:r>
            <w:r>
              <w:rPr>
                <w:rFonts w:hint="eastAsia" w:ascii="仿宋" w:hAnsi="仿宋" w:eastAsia="仿宋" w:cs="仿宋"/>
                <w:sz w:val="24"/>
                <w:szCs w:val="24"/>
                <w:lang w:eastAsia="zh-CN"/>
              </w:rPr>
              <w:t>相关证书</w:t>
            </w:r>
            <w:r>
              <w:rPr>
                <w:rFonts w:hint="eastAsia" w:ascii="仿宋" w:hAnsi="仿宋" w:eastAsia="仿宋" w:cs="仿宋"/>
                <w:sz w:val="24"/>
                <w:szCs w:val="24"/>
              </w:rPr>
              <w:t>及社保缴纳证明。</w:t>
            </w:r>
            <w:r>
              <w:rPr>
                <w:rFonts w:hint="eastAsia" w:ascii="仿宋" w:hAnsi="仿宋" w:eastAsia="仿宋" w:cs="仿宋_GB2312"/>
                <w:sz w:val="24"/>
              </w:rPr>
              <w:t>符合得2分，不符合不得分。</w:t>
            </w:r>
          </w:p>
        </w:tc>
        <w:tc>
          <w:tcPr>
            <w:tcW w:w="407" w:type="pct"/>
            <w:vAlign w:val="center"/>
          </w:tcPr>
          <w:p>
            <w:pPr>
              <w:spacing w:line="360" w:lineRule="auto"/>
              <w:ind w:firstLine="240" w:firstLineChars="10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96" w:type="pct"/>
            <w:vAlign w:val="center"/>
          </w:tcPr>
          <w:p>
            <w:pPr>
              <w:spacing w:line="360" w:lineRule="auto"/>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（四）项目实施人员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ind w:firstLine="360" w:firstLineChars="150"/>
              <w:jc w:val="left"/>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6</w:t>
            </w:r>
          </w:p>
        </w:tc>
        <w:tc>
          <w:tcPr>
            <w:tcW w:w="3027"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lang w:eastAsia="zh-CN"/>
              </w:rPr>
              <w:t>投标人根据项目需求，提供</w:t>
            </w:r>
            <w:r>
              <w:rPr>
                <w:rFonts w:hint="eastAsia" w:ascii="仿宋" w:hAnsi="仿宋" w:eastAsia="仿宋" w:cs="仿宋_GB2312"/>
                <w:sz w:val="24"/>
              </w:rPr>
              <w:t>技术支持、售后服务</w:t>
            </w:r>
            <w:r>
              <w:rPr>
                <w:rFonts w:hint="eastAsia" w:ascii="仿宋" w:hAnsi="仿宋" w:eastAsia="仿宋" w:cs="仿宋_GB2312"/>
                <w:sz w:val="24"/>
                <w:lang w:eastAsia="zh-CN"/>
              </w:rPr>
              <w:t>内容，</w:t>
            </w:r>
            <w:r>
              <w:rPr>
                <w:rFonts w:hint="eastAsia" w:ascii="仿宋" w:hAnsi="仿宋" w:eastAsia="仿宋" w:cs="仿宋_GB2312"/>
                <w:sz w:val="24"/>
              </w:rPr>
              <w:t>出现质量问题的处理，日常检测及保养，故障处理效率，应急维修承诺等的具体方案</w:t>
            </w:r>
            <w:r>
              <w:rPr>
                <w:rFonts w:hint="eastAsia" w:ascii="仿宋" w:hAnsi="仿宋" w:eastAsia="仿宋" w:cs="仿宋_GB2312"/>
                <w:sz w:val="24"/>
                <w:lang w:eastAsia="zh-CN"/>
              </w:rPr>
              <w:t>。方案满足采购需求，科学合理便于操作的得</w:t>
            </w:r>
            <w:r>
              <w:rPr>
                <w:rFonts w:hint="eastAsia" w:ascii="仿宋" w:hAnsi="仿宋" w:eastAsia="仿宋" w:cs="仿宋_GB2312"/>
                <w:sz w:val="24"/>
                <w:lang w:val="en-US" w:eastAsia="zh-CN"/>
              </w:rPr>
              <w:t>5分；方案满足采购需求，合理可操作的得3分；方案不利于操作的得1分；没提供不得分</w:t>
            </w:r>
            <w:r>
              <w:rPr>
                <w:rFonts w:hint="eastAsia" w:ascii="仿宋" w:hAnsi="仿宋" w:eastAsia="仿宋" w:cs="仿宋_GB2312"/>
                <w:sz w:val="24"/>
                <w:lang w:eastAsia="zh-CN"/>
              </w:rPr>
              <w:t>，共</w:t>
            </w:r>
            <w:r>
              <w:rPr>
                <w:rFonts w:hint="eastAsia" w:ascii="仿宋" w:hAnsi="仿宋" w:eastAsia="仿宋" w:cs="仿宋_GB2312"/>
                <w:sz w:val="24"/>
                <w:lang w:val="en-US" w:eastAsia="zh-CN"/>
              </w:rPr>
              <w:t>5分</w:t>
            </w:r>
            <w:r>
              <w:rPr>
                <w:rFonts w:hint="eastAsia" w:ascii="仿宋" w:hAnsi="仿宋" w:eastAsia="仿宋" w:cs="仿宋_GB2312"/>
                <w:sz w:val="24"/>
              </w:rPr>
              <w:t>。</w:t>
            </w:r>
          </w:p>
        </w:tc>
        <w:tc>
          <w:tcPr>
            <w:tcW w:w="407" w:type="pct"/>
            <w:vAlign w:val="center"/>
          </w:tcPr>
          <w:p>
            <w:pPr>
              <w:spacing w:line="360" w:lineRule="auto"/>
              <w:ind w:firstLine="240" w:firstLineChars="10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96" w:type="pct"/>
            <w:vMerge w:val="restart"/>
            <w:vAlign w:val="center"/>
          </w:tcPr>
          <w:p>
            <w:pPr>
              <w:spacing w:line="360" w:lineRule="auto"/>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（五）售后服务方案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ind w:firstLine="360" w:firstLineChars="150"/>
              <w:jc w:val="left"/>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7</w:t>
            </w:r>
          </w:p>
        </w:tc>
        <w:tc>
          <w:tcPr>
            <w:tcW w:w="3027" w:type="pct"/>
            <w:vAlign w:val="center"/>
          </w:tcPr>
          <w:p>
            <w:pPr>
              <w:spacing w:line="360" w:lineRule="auto"/>
              <w:outlineLvl w:val="0"/>
              <w:rPr>
                <w:rFonts w:hint="default" w:ascii="仿宋" w:hAnsi="仿宋" w:eastAsia="仿宋" w:cs="仿宋_GB2312"/>
                <w:sz w:val="24"/>
                <w:lang w:val="en-US"/>
              </w:rPr>
            </w:pPr>
            <w:r>
              <w:rPr>
                <w:rFonts w:hint="eastAsia" w:ascii="仿宋" w:hAnsi="仿宋" w:eastAsia="仿宋" w:cs="仿宋_GB2312"/>
                <w:sz w:val="24"/>
                <w:lang w:eastAsia="zh-CN"/>
              </w:rPr>
              <w:t>投标人承诺“质保期内，</w:t>
            </w:r>
            <w:r>
              <w:rPr>
                <w:rFonts w:hint="eastAsia" w:ascii="仿宋" w:hAnsi="仿宋" w:eastAsia="仿宋" w:cs="仿宋_GB2312"/>
                <w:sz w:val="24"/>
              </w:rPr>
              <w:t>提供7×24技术支持热线，2小时电话响应， 48小时内解决问题；不能当场修复的，必须采取提供备品、备件或备机等措施，以保证采购单位的正常使用。</w:t>
            </w:r>
            <w:r>
              <w:rPr>
                <w:rFonts w:hint="eastAsia" w:ascii="仿宋" w:hAnsi="仿宋" w:eastAsia="仿宋" w:cs="仿宋_GB2312"/>
                <w:sz w:val="24"/>
                <w:lang w:eastAsia="zh-CN"/>
              </w:rPr>
              <w:t>”的得</w:t>
            </w:r>
            <w:r>
              <w:rPr>
                <w:rFonts w:hint="eastAsia" w:ascii="仿宋" w:hAnsi="仿宋" w:eastAsia="仿宋" w:cs="仿宋_GB2312"/>
                <w:sz w:val="24"/>
                <w:lang w:val="en-US" w:eastAsia="zh-CN"/>
              </w:rPr>
              <w:t>2分。</w:t>
            </w:r>
          </w:p>
        </w:tc>
        <w:tc>
          <w:tcPr>
            <w:tcW w:w="407" w:type="pct"/>
            <w:vAlign w:val="center"/>
          </w:tcPr>
          <w:p>
            <w:pPr>
              <w:spacing w:line="360" w:lineRule="auto"/>
              <w:ind w:firstLine="240" w:firstLineChars="10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96" w:type="pct"/>
            <w:vMerge w:val="continue"/>
            <w:vAlign w:val="center"/>
          </w:tcPr>
          <w:p>
            <w:pPr>
              <w:spacing w:line="36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ind w:firstLine="360" w:firstLineChars="150"/>
              <w:jc w:val="left"/>
              <w:outlineLvl w:val="0"/>
              <w:rPr>
                <w:rFonts w:hint="eastAsia" w:ascii="仿宋" w:hAnsi="仿宋" w:eastAsia="仿宋" w:cs="仿宋_GB2312"/>
                <w:kern w:val="2"/>
                <w:sz w:val="24"/>
                <w:szCs w:val="22"/>
                <w:lang w:val="en-US" w:eastAsia="zh-CN" w:bidi="ar-SA"/>
              </w:rPr>
            </w:pPr>
            <w:r>
              <w:rPr>
                <w:rFonts w:hint="eastAsia" w:ascii="仿宋" w:hAnsi="仿宋" w:eastAsia="仿宋" w:cs="仿宋_GB2312"/>
                <w:sz w:val="24"/>
                <w:lang w:val="en-US" w:eastAsia="zh-CN"/>
              </w:rPr>
              <w:t>8</w:t>
            </w:r>
          </w:p>
        </w:tc>
        <w:tc>
          <w:tcPr>
            <w:tcW w:w="3027" w:type="pct"/>
            <w:vAlign w:val="center"/>
          </w:tcPr>
          <w:p>
            <w:pPr>
              <w:spacing w:line="360" w:lineRule="auto"/>
              <w:outlineLvl w:val="0"/>
              <w:rPr>
                <w:rFonts w:hint="eastAsia" w:ascii="仿宋" w:hAnsi="仿宋" w:eastAsia="仿宋" w:cs="仿宋_GB2312"/>
                <w:kern w:val="2"/>
                <w:sz w:val="24"/>
                <w:szCs w:val="22"/>
                <w:highlight w:val="none"/>
                <w:lang w:val="en-US" w:eastAsia="zh-CN" w:bidi="ar-SA"/>
              </w:rPr>
            </w:pPr>
            <w:r>
              <w:rPr>
                <w:rFonts w:hint="default" w:ascii="仿宋" w:hAnsi="仿宋" w:eastAsia="仿宋" w:cs="仿宋_GB2312"/>
                <w:sz w:val="24"/>
                <w:highlight w:val="none"/>
                <w:lang w:val="en-US" w:eastAsia="zh-CN"/>
              </w:rPr>
              <w:t>在满足招标文件的要求下，每延长1年质保期，加</w:t>
            </w:r>
            <w:r>
              <w:rPr>
                <w:rFonts w:hint="eastAsia" w:ascii="仿宋" w:hAnsi="仿宋" w:eastAsia="仿宋" w:cs="仿宋_GB2312"/>
                <w:sz w:val="24"/>
                <w:highlight w:val="none"/>
                <w:lang w:val="en-US" w:eastAsia="zh-CN"/>
              </w:rPr>
              <w:t>2</w:t>
            </w:r>
            <w:r>
              <w:rPr>
                <w:rFonts w:hint="default" w:ascii="仿宋" w:hAnsi="仿宋" w:eastAsia="仿宋" w:cs="仿宋_GB2312"/>
                <w:sz w:val="24"/>
                <w:highlight w:val="none"/>
                <w:lang w:val="en-US" w:eastAsia="zh-CN"/>
              </w:rPr>
              <w:t>分，</w:t>
            </w:r>
            <w:r>
              <w:rPr>
                <w:rFonts w:hint="eastAsia" w:ascii="仿宋" w:hAnsi="仿宋" w:eastAsia="仿宋" w:cs="仿宋_GB2312"/>
                <w:sz w:val="24"/>
                <w:highlight w:val="none"/>
                <w:lang w:val="en-US" w:eastAsia="zh-CN"/>
              </w:rPr>
              <w:t>共6分。</w:t>
            </w:r>
          </w:p>
        </w:tc>
        <w:tc>
          <w:tcPr>
            <w:tcW w:w="407" w:type="pct"/>
            <w:vAlign w:val="center"/>
          </w:tcPr>
          <w:p>
            <w:pPr>
              <w:jc w:val="center"/>
              <w:rPr>
                <w:rFonts w:hint="eastAsia" w:ascii="仿宋" w:hAnsi="仿宋" w:eastAsia="仿宋" w:cs="仿宋"/>
                <w:sz w:val="24"/>
                <w:szCs w:val="24"/>
              </w:rPr>
            </w:pPr>
          </w:p>
          <w:p>
            <w:pPr>
              <w:spacing w:line="360" w:lineRule="auto"/>
              <w:ind w:firstLine="240" w:firstLineChars="100"/>
              <w:jc w:val="center"/>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6</w:t>
            </w:r>
          </w:p>
        </w:tc>
        <w:tc>
          <w:tcPr>
            <w:tcW w:w="1096" w:type="pct"/>
            <w:vMerge w:val="continue"/>
            <w:vAlign w:val="center"/>
          </w:tcPr>
          <w:p>
            <w:pPr>
              <w:spacing w:line="360" w:lineRule="auto"/>
              <w:jc w:val="center"/>
              <w:outlineLvl w:val="0"/>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ind w:firstLine="360" w:firstLineChars="150"/>
              <w:jc w:val="left"/>
              <w:outlineLvl w:val="0"/>
              <w:rPr>
                <w:rFonts w:hint="eastAsia" w:ascii="仿宋" w:hAnsi="仿宋" w:eastAsia="仿宋" w:cs="仿宋_GB2312"/>
                <w:kern w:val="2"/>
                <w:sz w:val="24"/>
                <w:szCs w:val="22"/>
                <w:lang w:val="en-US" w:eastAsia="zh-CN" w:bidi="ar-SA"/>
              </w:rPr>
            </w:pPr>
            <w:r>
              <w:rPr>
                <w:rFonts w:hint="eastAsia" w:ascii="仿宋" w:hAnsi="仿宋" w:eastAsia="仿宋" w:cs="仿宋_GB2312"/>
                <w:sz w:val="24"/>
                <w:lang w:val="en-US" w:eastAsia="zh-CN"/>
              </w:rPr>
              <w:t>9</w:t>
            </w:r>
          </w:p>
        </w:tc>
        <w:tc>
          <w:tcPr>
            <w:tcW w:w="3027" w:type="pct"/>
            <w:vAlign w:val="center"/>
          </w:tcPr>
          <w:p>
            <w:pPr>
              <w:spacing w:line="360" w:lineRule="auto"/>
              <w:outlineLvl w:val="0"/>
              <w:rPr>
                <w:rFonts w:hint="eastAsia" w:ascii="仿宋" w:hAnsi="仿宋" w:eastAsia="仿宋" w:cs="仿宋_GB2312"/>
                <w:sz w:val="24"/>
              </w:rPr>
            </w:pPr>
            <w:r>
              <w:rPr>
                <w:rFonts w:hint="eastAsia" w:ascii="仿宋" w:hAnsi="仿宋" w:eastAsia="仿宋" w:cs="仿宋_GB2312"/>
                <w:sz w:val="24"/>
              </w:rPr>
              <w:t>投标人须有较强的售后服务服务能力，拥有技术支持机构以及较强的专业技术队伍，能提供快速的售后服务响应,提供技术支持机构</w:t>
            </w:r>
            <w:r>
              <w:rPr>
                <w:rFonts w:hint="eastAsia" w:ascii="仿宋" w:hAnsi="仿宋" w:eastAsia="仿宋" w:cs="仿宋_GB2312"/>
                <w:sz w:val="24"/>
                <w:lang w:eastAsia="zh-CN"/>
              </w:rPr>
              <w:t>以及</w:t>
            </w:r>
            <w:r>
              <w:rPr>
                <w:rFonts w:hint="eastAsia" w:ascii="仿宋" w:hAnsi="仿宋" w:eastAsia="仿宋" w:cs="仿宋_GB2312"/>
                <w:sz w:val="24"/>
              </w:rPr>
              <w:t>专业技术队伍名单。符合得2分，不符合不得分。</w:t>
            </w:r>
          </w:p>
        </w:tc>
        <w:tc>
          <w:tcPr>
            <w:tcW w:w="407" w:type="pct"/>
            <w:vAlign w:val="center"/>
          </w:tcPr>
          <w:p>
            <w:pPr>
              <w:spacing w:line="360" w:lineRule="auto"/>
              <w:ind w:firstLine="240" w:firstLineChars="10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96" w:type="pct"/>
            <w:vMerge w:val="continue"/>
            <w:vAlign w:val="center"/>
          </w:tcPr>
          <w:p>
            <w:pPr>
              <w:spacing w:line="36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ind w:firstLine="360" w:firstLineChars="150"/>
              <w:jc w:val="left"/>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10</w:t>
            </w:r>
          </w:p>
        </w:tc>
        <w:tc>
          <w:tcPr>
            <w:tcW w:w="3027"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备品备件情况：提供满足项目需求的备品备件或可用于项目售后的备品备件清单</w:t>
            </w:r>
            <w:r>
              <w:rPr>
                <w:rFonts w:hint="eastAsia" w:ascii="仿宋" w:hAnsi="仿宋" w:eastAsia="仿宋" w:cs="仿宋_GB2312"/>
                <w:sz w:val="24"/>
                <w:lang w:eastAsia="zh-CN"/>
              </w:rPr>
              <w:t>，清单中含</w:t>
            </w:r>
            <w:r>
              <w:rPr>
                <w:rFonts w:hint="eastAsia" w:ascii="仿宋" w:hAnsi="仿宋" w:eastAsia="仿宋" w:cs="仿宋_GB2312"/>
                <w:sz w:val="24"/>
              </w:rPr>
              <w:t>备用服务器</w:t>
            </w:r>
            <w:r>
              <w:rPr>
                <w:rFonts w:hint="eastAsia" w:ascii="仿宋" w:hAnsi="仿宋" w:eastAsia="仿宋" w:cs="仿宋_GB2312"/>
                <w:sz w:val="24"/>
                <w:lang w:eastAsia="zh-CN"/>
              </w:rPr>
              <w:t>、</w:t>
            </w:r>
            <w:r>
              <w:rPr>
                <w:rFonts w:hint="eastAsia" w:ascii="仿宋" w:hAnsi="仿宋" w:eastAsia="仿宋" w:cs="仿宋_GB2312"/>
                <w:sz w:val="24"/>
              </w:rPr>
              <w:t>电脑</w:t>
            </w:r>
            <w:r>
              <w:rPr>
                <w:rFonts w:hint="eastAsia" w:ascii="仿宋" w:hAnsi="仿宋" w:eastAsia="仿宋" w:cs="仿宋_GB2312"/>
                <w:sz w:val="24"/>
                <w:lang w:eastAsia="zh-CN"/>
              </w:rPr>
              <w:t>、</w:t>
            </w:r>
            <w:r>
              <w:rPr>
                <w:rFonts w:hint="eastAsia" w:ascii="仿宋" w:hAnsi="仿宋" w:eastAsia="仿宋" w:cs="仿宋_GB2312"/>
                <w:sz w:val="24"/>
              </w:rPr>
              <w:t>集线器</w:t>
            </w:r>
            <w:r>
              <w:rPr>
                <w:rFonts w:hint="eastAsia" w:ascii="仿宋" w:hAnsi="仿宋" w:eastAsia="仿宋" w:cs="仿宋_GB2312"/>
                <w:sz w:val="24"/>
                <w:lang w:eastAsia="zh-CN"/>
              </w:rPr>
              <w:t>，</w:t>
            </w:r>
            <w:r>
              <w:rPr>
                <w:rFonts w:hint="eastAsia" w:ascii="仿宋" w:hAnsi="仿宋" w:eastAsia="仿宋" w:cs="仿宋_GB2312"/>
                <w:sz w:val="24"/>
              </w:rPr>
              <w:t>符合得2分，不符合不得分。</w:t>
            </w:r>
          </w:p>
        </w:tc>
        <w:tc>
          <w:tcPr>
            <w:tcW w:w="407" w:type="pct"/>
            <w:vAlign w:val="center"/>
          </w:tcPr>
          <w:p>
            <w:pPr>
              <w:jc w:val="center"/>
              <w:rPr>
                <w:rFonts w:hint="eastAsia" w:ascii="仿宋" w:hAnsi="仿宋" w:eastAsia="仿宋" w:cs="仿宋"/>
                <w:sz w:val="24"/>
                <w:szCs w:val="24"/>
              </w:rPr>
            </w:pPr>
          </w:p>
          <w:p>
            <w:pPr>
              <w:spacing w:line="360" w:lineRule="auto"/>
              <w:ind w:firstLine="240" w:firstLineChars="10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96" w:type="pct"/>
            <w:vAlign w:val="center"/>
          </w:tcPr>
          <w:p>
            <w:pPr>
              <w:spacing w:line="360" w:lineRule="auto"/>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（六）</w:t>
            </w:r>
            <w:r>
              <w:rPr>
                <w:rFonts w:hint="eastAsia" w:ascii="仿宋" w:hAnsi="仿宋" w:eastAsia="仿宋" w:cs="仿宋_GB2312"/>
                <w:sz w:val="24"/>
              </w:rPr>
              <w:t>备品备件情况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8" w:type="pct"/>
            <w:vAlign w:val="center"/>
          </w:tcPr>
          <w:p>
            <w:pPr>
              <w:spacing w:line="360" w:lineRule="auto"/>
              <w:ind w:firstLine="360" w:firstLineChars="150"/>
              <w:jc w:val="left"/>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11</w:t>
            </w:r>
          </w:p>
        </w:tc>
        <w:tc>
          <w:tcPr>
            <w:tcW w:w="3027" w:type="pct"/>
            <w:vAlign w:val="center"/>
          </w:tcPr>
          <w:p>
            <w:pPr>
              <w:spacing w:line="360" w:lineRule="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投标人具有ISO9001质量管理体系认证证书、ISO14001环境管理体系认证证书，在有效期内的每提供1个得1分。共2分。</w:t>
            </w:r>
          </w:p>
        </w:tc>
        <w:tc>
          <w:tcPr>
            <w:tcW w:w="407" w:type="pct"/>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96" w:type="pct"/>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（七）相关证书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8" w:type="pct"/>
            <w:vAlign w:val="center"/>
          </w:tcPr>
          <w:p>
            <w:pPr>
              <w:spacing w:line="360" w:lineRule="auto"/>
              <w:ind w:firstLine="360" w:firstLineChars="150"/>
              <w:jc w:val="left"/>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12</w:t>
            </w:r>
          </w:p>
        </w:tc>
        <w:tc>
          <w:tcPr>
            <w:tcW w:w="3027" w:type="pct"/>
            <w:vAlign w:val="center"/>
          </w:tcPr>
          <w:p>
            <w:pPr>
              <w:spacing w:line="360" w:lineRule="auto"/>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投标人从2019年1月1日至今有计算机建设项目每个得1分，最高得3分。投标人提供的业绩或案例证明均非计算机建设项目的，本项不得分。（提供完整的合同扫描件及验收报告，未提供证明材料的，该部分评分时不予认可）</w:t>
            </w:r>
          </w:p>
        </w:tc>
        <w:tc>
          <w:tcPr>
            <w:tcW w:w="407" w:type="pc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96" w:type="pct"/>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（八）同类业绩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468" w:type="pct"/>
            <w:vAlign w:val="center"/>
          </w:tcPr>
          <w:p>
            <w:pPr>
              <w:spacing w:line="360" w:lineRule="auto"/>
              <w:ind w:firstLine="360" w:firstLineChars="150"/>
              <w:jc w:val="left"/>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 xml:space="preserve"> </w:t>
            </w:r>
          </w:p>
        </w:tc>
        <w:tc>
          <w:tcPr>
            <w:tcW w:w="3027" w:type="pct"/>
          </w:tcPr>
          <w:p>
            <w:pPr>
              <w:spacing w:line="360" w:lineRule="auto"/>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=（评标基准价/投标报价）*30］的计算公式计算。</w:t>
            </w:r>
          </w:p>
          <w:p>
            <w:pPr>
              <w:widowControl/>
              <w:shd w:val="clear" w:color="auto" w:fill="FFFFFF"/>
              <w:adjustRightInd/>
              <w:spacing w:after="225" w:line="315" w:lineRule="atLeast"/>
              <w:ind w:firstLine="420"/>
              <w:jc w:val="left"/>
              <w:rPr>
                <w:rFonts w:ascii="仿宋" w:hAnsi="仿宋" w:eastAsia="仿宋" w:cs="仿宋_GB2312"/>
                <w:sz w:val="24"/>
              </w:rPr>
            </w:pPr>
            <w:r>
              <w:rPr>
                <w:rFonts w:ascii="仿宋" w:hAnsi="仿宋" w:eastAsia="仿宋" w:cs="仿宋_GB2312"/>
                <w:sz w:val="24"/>
              </w:rPr>
              <w:t>评标过程中，不得去掉报价中的最高报价和最低报价。</w:t>
            </w:r>
          </w:p>
          <w:p>
            <w:pPr>
              <w:widowControl/>
              <w:shd w:val="clear" w:color="auto" w:fill="FFFFFF"/>
              <w:adjustRightInd/>
              <w:spacing w:after="225" w:line="315" w:lineRule="atLeast"/>
              <w:ind w:firstLine="420"/>
              <w:jc w:val="left"/>
              <w:rPr>
                <w:rFonts w:ascii="仿宋" w:eastAsia="仿宋"/>
                <w:sz w:val="24"/>
              </w:rPr>
            </w:pPr>
            <w:r>
              <w:rPr>
                <w:rFonts w:ascii="仿宋" w:hAnsi="仿宋" w:eastAsia="仿宋" w:cs="仿宋_GB2312"/>
                <w:sz w:val="24"/>
              </w:rPr>
              <w:t>因落实政府采购政策</w:t>
            </w:r>
            <w:r>
              <w:rPr>
                <w:rFonts w:hint="eastAsia" w:ascii="仿宋" w:hAnsi="仿宋" w:eastAsia="仿宋" w:cs="仿宋_GB2312"/>
                <w:sz w:val="24"/>
              </w:rPr>
              <w:t>需要</w:t>
            </w:r>
            <w:r>
              <w:rPr>
                <w:rFonts w:ascii="仿宋" w:hAnsi="仿宋" w:eastAsia="仿宋" w:cs="仿宋_GB2312"/>
                <w:sz w:val="24"/>
              </w:rPr>
              <w:t>进行价格调整的，以调整后的价格计算评标基准价和投标报价。</w:t>
            </w:r>
          </w:p>
        </w:tc>
        <w:tc>
          <w:tcPr>
            <w:tcW w:w="407" w:type="pct"/>
            <w:vAlign w:val="center"/>
          </w:tcPr>
          <w:p>
            <w:pPr>
              <w:spacing w:line="360" w:lineRule="auto"/>
              <w:ind w:firstLine="120" w:firstLineChars="50"/>
              <w:jc w:val="center"/>
              <w:outlineLvl w:val="0"/>
              <w:rPr>
                <w:rFonts w:hint="eastAsia" w:ascii="仿宋" w:hAnsi="仿宋" w:eastAsia="仿宋" w:cs="仿宋"/>
                <w:sz w:val="24"/>
                <w:szCs w:val="24"/>
              </w:rPr>
            </w:pPr>
            <w:r>
              <w:rPr>
                <w:rFonts w:hint="eastAsia" w:ascii="仿宋" w:hAnsi="仿宋" w:eastAsia="仿宋" w:cs="仿宋"/>
                <w:sz w:val="24"/>
                <w:szCs w:val="24"/>
              </w:rPr>
              <w:t>30</w:t>
            </w:r>
          </w:p>
        </w:tc>
        <w:tc>
          <w:tcPr>
            <w:tcW w:w="1096" w:type="pct"/>
            <w:vAlign w:val="center"/>
          </w:tcPr>
          <w:p>
            <w:pPr>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w:t>
            </w:r>
          </w:p>
        </w:tc>
      </w:tr>
    </w:tbl>
    <w:p>
      <w:pPr>
        <w:snapToGrid w:val="0"/>
        <w:spacing w:line="360" w:lineRule="auto"/>
      </w:pPr>
      <w:r>
        <w:rPr>
          <w:rFonts w:ascii="Arial" w:hAnsi="Arial" w:cs="Arial"/>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_GB2312"/>
          <w:b/>
          <w:color w:val="000000" w:themeColor="text1"/>
          <w:sz w:val="24"/>
          <w:highlight w:val="none"/>
          <w14:textFill>
            <w14:solidFill>
              <w14:schemeClr w14:val="tx1"/>
            </w14:solidFill>
          </w14:textFill>
        </w:rPr>
        <w:t>备注：</w:t>
      </w:r>
      <w:r>
        <w:rPr>
          <w:rFonts w:hint="eastAsia" w:ascii="仿宋" w:hAnsi="仿宋" w:eastAsia="仿宋" w:cs="仿宋_GB2312"/>
          <w:color w:val="000000" w:themeColor="text1"/>
          <w:sz w:val="24"/>
          <w:highlight w:val="none"/>
          <w14:textFill>
            <w14:solidFill>
              <w14:schemeClr w14:val="tx1"/>
            </w14:solidFill>
          </w14:textFill>
        </w:rPr>
        <w:t>投标人编制投标文件（商务技术文件部分）时，建议按此目录（序号和内容）提供评标标准相应的商务技术资料。</w:t>
      </w:r>
      <w:r>
        <w:rPr>
          <w:rFonts w:ascii="仿宋" w:hAnsi="仿宋" w:eastAsia="仿宋" w:cs="仿宋_GB2312"/>
          <w:color w:val="000000" w:themeColor="text1"/>
          <w:sz w:val="24"/>
          <w:highlight w:val="none"/>
          <w14:textFill>
            <w14:solidFill>
              <w14:schemeClr w14:val="tx1"/>
            </w14:solidFill>
          </w14:textFill>
        </w:rPr>
        <w:t> </w:t>
      </w:r>
    </w:p>
    <w:p>
      <w:pPr>
        <w:adjustRightInd w:val="0"/>
        <w:snapToGrid w:val="0"/>
        <w:spacing w:line="360" w:lineRule="auto"/>
        <w:jc w:val="both"/>
        <w:rPr>
          <w:rFonts w:ascii="仿宋_GB2312" w:hAnsi="仿宋" w:eastAsia="仿宋_GB2312" w:cs="Times New Roman"/>
          <w:b/>
          <w:sz w:val="28"/>
          <w:szCs w:val="28"/>
        </w:rPr>
      </w:pPr>
      <w:r>
        <w:rPr>
          <w:rFonts w:hint="eastAsia" w:ascii="仿宋_GB2312" w:hAnsi="仿宋" w:eastAsia="仿宋_GB2312" w:cs="仿宋_GB2312"/>
          <w:b/>
          <w:sz w:val="32"/>
          <w:szCs w:val="24"/>
        </w:rPr>
        <w:t>一、评标方法</w:t>
      </w:r>
    </w:p>
    <w:p>
      <w:pPr>
        <w:adjustRightInd/>
        <w:spacing w:line="360" w:lineRule="auto"/>
        <w:ind w:firstLine="472" w:firstLineChars="196"/>
        <w:rPr>
          <w:rFonts w:ascii="仿宋_GB2312" w:hAnsi="仿宋" w:eastAsia="仿宋_GB2312" w:cs="Arial"/>
          <w:kern w:val="0"/>
          <w:sz w:val="24"/>
          <w:szCs w:val="24"/>
        </w:rPr>
      </w:pPr>
      <w:r>
        <w:rPr>
          <w:rFonts w:ascii="仿宋_GB2312" w:hAnsi="仿宋" w:eastAsia="仿宋_GB2312" w:cs="Arial"/>
          <w:b/>
          <w:color w:val="000000" w:themeColor="text1"/>
          <w:kern w:val="0"/>
          <w:sz w:val="24"/>
          <w:highlight w:val="none"/>
          <w14:textFill>
            <w14:solidFill>
              <w14:schemeClr w14:val="tx1"/>
            </w14:solidFill>
          </w14:textFill>
        </w:rPr>
        <w:t>1.</w:t>
      </w:r>
      <w:r>
        <w:rPr>
          <w:rFonts w:hint="eastAsia" w:ascii="仿宋_GB2312" w:hAnsi="仿宋" w:eastAsia="仿宋_GB2312" w:cs="Arial"/>
          <w:b/>
          <w:color w:val="000000" w:themeColor="text1"/>
          <w:kern w:val="0"/>
          <w:sz w:val="24"/>
          <w:highlight w:val="none"/>
          <w14:textFill>
            <w14:solidFill>
              <w14:schemeClr w14:val="tx1"/>
            </w14:solidFill>
          </w14:textFill>
        </w:rPr>
        <w:t>本项目采用综合评分法。</w:t>
      </w:r>
      <w:r>
        <w:rPr>
          <w:rFonts w:hint="eastAsia" w:ascii="仿宋_GB2312" w:hAnsi="仿宋" w:eastAsia="仿宋_GB2312" w:cs="Arial"/>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val="0"/>
        <w:snapToGrid w:val="0"/>
        <w:spacing w:line="360" w:lineRule="auto"/>
        <w:jc w:val="both"/>
        <w:rPr>
          <w:rFonts w:hint="eastAsia"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sz w:val="32"/>
          <w:szCs w:val="24"/>
        </w:rPr>
        <w:t>二、</w:t>
      </w:r>
      <w:r>
        <w:rPr>
          <w:rFonts w:hint="eastAsia" w:ascii="仿宋_GB2312" w:hAnsi="仿宋" w:eastAsia="仿宋_GB2312" w:cs="仿宋_GB2312"/>
          <w:b/>
          <w:color w:val="000000" w:themeColor="text1"/>
          <w:sz w:val="32"/>
          <w:highlight w:val="none"/>
          <w14:textFill>
            <w14:solidFill>
              <w14:schemeClr w14:val="tx1"/>
            </w14:solidFill>
          </w14:textFill>
        </w:rPr>
        <w:t>评标标准</w:t>
      </w:r>
    </w:p>
    <w:p>
      <w:pPr>
        <w:spacing w:line="360" w:lineRule="auto"/>
        <w:ind w:firstLine="472" w:firstLineChars="196"/>
        <w:rPr>
          <w:rFonts w:hint="eastAsia" w:ascii="仿宋_GB2312" w:hAnsi="仿宋" w:eastAsia="仿宋_GB2312" w:cs="Arial"/>
          <w:color w:val="000000" w:themeColor="text1"/>
          <w:kern w:val="0"/>
          <w:sz w:val="24"/>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highlight w:val="none"/>
          <w14:textFill>
            <w14:solidFill>
              <w14:schemeClr w14:val="tx1"/>
            </w14:solidFill>
          </w14:textFill>
        </w:rPr>
        <w:t>评标标准：</w:t>
      </w:r>
      <w:r>
        <w:rPr>
          <w:rFonts w:hint="eastAsia" w:ascii="仿宋_GB2312" w:hAnsi="仿宋" w:eastAsia="仿宋_GB2312" w:cs="Arial"/>
          <w:color w:val="000000" w:themeColor="text1"/>
          <w:kern w:val="0"/>
          <w:sz w:val="24"/>
          <w:highlight w:val="none"/>
          <w14:textFill>
            <w14:solidFill>
              <w14:schemeClr w14:val="tx1"/>
            </w14:solidFill>
          </w14:textFill>
        </w:rPr>
        <w:t>见评标办法前附表。</w:t>
      </w:r>
    </w:p>
    <w:p>
      <w:pPr>
        <w:spacing w:line="360" w:lineRule="auto"/>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color w:val="000000" w:themeColor="text1"/>
          <w:kern w:val="0"/>
          <w:sz w:val="24"/>
          <w:highlight w:val="none"/>
          <w14:textFill>
            <w14:solidFill>
              <w14:schemeClr w14:val="tx1"/>
            </w14:solidFill>
          </w14:textFill>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 xml:space="preserve">3.2 </w:t>
      </w:r>
      <w:r>
        <w:rPr>
          <w:rFonts w:hint="eastAsia" w:ascii="仿宋_GB2312" w:hAnsi="仿宋" w:eastAsia="仿宋_GB2312" w:cs="Arial"/>
          <w:b/>
          <w:color w:val="000000" w:themeColor="text1"/>
          <w:kern w:val="0"/>
          <w:sz w:val="24"/>
          <w:highlight w:val="none"/>
          <w14:textFill>
            <w14:solidFill>
              <w14:schemeClr w14:val="tx1"/>
            </w14:solidFill>
          </w14:textFill>
        </w:rPr>
        <w:t>比较与评价。</w:t>
      </w:r>
      <w:r>
        <w:rPr>
          <w:rFonts w:ascii="仿宋_GB2312" w:hAnsi="仿宋" w:eastAsia="仿宋_GB2312" w:cs="Arial"/>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3.3汇总商务技术得分。</w:t>
      </w:r>
      <w:r>
        <w:rPr>
          <w:rFonts w:hint="eastAsia" w:ascii="仿宋_GB2312" w:hAnsi="仿宋" w:eastAsia="仿宋_GB2312" w:cs="Arial"/>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3.4报价评审。</w:t>
      </w:r>
    </w:p>
    <w:p>
      <w:pPr>
        <w:pStyle w:val="232"/>
        <w:spacing w:before="0"/>
        <w:ind w:firstLine="508" w:firstLineChars="212"/>
        <w:rPr>
          <w:rFonts w:ascii="仿宋_GB2312" w:hAnsi="仿宋" w:eastAsia="仿宋_GB2312" w:cs="Arial"/>
          <w:color w:val="000000" w:themeColor="text1"/>
          <w:kern w:val="0"/>
          <w:highlight w:val="none"/>
          <w14:textFill>
            <w14:solidFill>
              <w14:schemeClr w14:val="tx1"/>
            </w14:solidFill>
          </w14:textFill>
        </w:rPr>
      </w:pPr>
      <w:r>
        <w:rPr>
          <w:rFonts w:ascii="仿宋_GB2312" w:hAnsi="仿宋" w:eastAsia="仿宋_GB2312" w:cs="Arial"/>
          <w:color w:val="000000" w:themeColor="text1"/>
          <w:kern w:val="0"/>
          <w:highlight w:val="none"/>
          <w14:textFill>
            <w14:solidFill>
              <w14:schemeClr w14:val="tx1"/>
            </w14:solidFill>
          </w14:textFill>
        </w:rPr>
        <w:t>3.4.1投标文件报价出现前后不一致的，按照下列规定修正：</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3.4.1.5同时出现两种以上不一致的，按照3.4.1</w:t>
      </w:r>
      <w:r>
        <w:rPr>
          <w:rFonts w:hint="eastAsia" w:ascii="仿宋" w:hAnsi="仿宋" w:eastAsia="仿宋" w:cs="仿宋"/>
          <w:color w:val="000000" w:themeColor="text1"/>
          <w:kern w:val="0"/>
          <w:szCs w:val="24"/>
          <w:highlight w:val="none"/>
          <w14:textFill>
            <w14:solidFill>
              <w14:schemeClr w14:val="tx1"/>
            </w14:solidFill>
          </w14:textFill>
        </w:rPr>
        <w:t>规定的顺序修正。修正后的报价按照财政部第</w:t>
      </w:r>
      <w:r>
        <w:rPr>
          <w:rFonts w:ascii="仿宋" w:hAnsi="仿宋" w:eastAsia="仿宋" w:cs="仿宋"/>
          <w:color w:val="000000" w:themeColor="text1"/>
          <w:kern w:val="0"/>
          <w:szCs w:val="24"/>
          <w:highlight w:val="none"/>
          <w14:textFill>
            <w14:solidFill>
              <w14:schemeClr w14:val="tx1"/>
            </w14:solidFill>
          </w14:textFill>
        </w:rPr>
        <w:t xml:space="preserve">87号令 </w:t>
      </w:r>
      <w:r>
        <w:rPr>
          <w:rFonts w:hint="eastAsia" w:ascii="仿宋" w:hAnsi="仿宋" w:eastAsia="仿宋" w:cs="仿宋"/>
          <w:color w:val="000000" w:themeColor="text1"/>
          <w:kern w:val="0"/>
          <w:szCs w:val="24"/>
          <w:highlight w:val="none"/>
          <w14:textFill>
            <w14:solidFill>
              <w14:schemeClr w14:val="tx1"/>
            </w14:solidFill>
          </w14:textFill>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3.4.2</w:t>
      </w:r>
      <w:r>
        <w:rPr>
          <w:rFonts w:hint="eastAsia" w:ascii="仿宋" w:hAnsi="仿宋" w:eastAsia="仿宋" w:cs="仿宋"/>
          <w:color w:val="000000" w:themeColor="text1"/>
          <w:kern w:val="0"/>
          <w:sz w:val="24"/>
          <w:highlight w:val="none"/>
          <w14:textFill>
            <w14:solidFill>
              <w14:schemeClr w14:val="tx1"/>
            </w14:solidFill>
          </w14:textFill>
        </w:rPr>
        <w:t>投标文件出现不是唯一的、有选择性投标报价的，投标无效。</w:t>
      </w:r>
    </w:p>
    <w:p>
      <w:pPr>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3.4.3</w:t>
      </w:r>
      <w:r>
        <w:rPr>
          <w:rFonts w:hint="eastAsia" w:ascii="仿宋" w:hAnsi="仿宋" w:eastAsia="仿宋" w:cs="仿宋"/>
          <w:color w:val="000000" w:themeColor="text1"/>
          <w:kern w:val="0"/>
          <w:sz w:val="24"/>
          <w:highlight w:val="none"/>
          <w14:textFill>
            <w14:solidFill>
              <w14:schemeClr w14:val="tx1"/>
            </w14:solidFill>
          </w14:textFill>
        </w:rPr>
        <w:t>投标报价超过招标文件中规定的预算金额或者最高限价的，投标无效。</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3.4.5</w:t>
      </w:r>
      <w:r>
        <w:rPr>
          <w:rFonts w:hint="eastAsia" w:ascii="仿宋" w:hAnsi="仿宋" w:eastAsia="仿宋" w:cs="仿宋"/>
          <w:color w:val="000000" w:themeColor="text1"/>
          <w:kern w:val="0"/>
          <w:szCs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000000" w:themeColor="text1"/>
          <w:kern w:val="0"/>
          <w:szCs w:val="24"/>
          <w:highlight w:val="none"/>
          <w14:textFill>
            <w14:solidFill>
              <w14:schemeClr w14:val="tx1"/>
            </w14:solidFill>
          </w14:textFill>
        </w:rPr>
        <w:t>10%的扣除，用扣除后的价格参与评审。接受大中型企业与小</w:t>
      </w:r>
      <w:r>
        <w:rPr>
          <w:rFonts w:hint="eastAsia" w:ascii="仿宋" w:hAnsi="仿宋" w:eastAsia="仿宋" w:cs="仿宋"/>
          <w:color w:val="000000" w:themeColor="text1"/>
          <w:kern w:val="0"/>
          <w:szCs w:val="24"/>
          <w:highlight w:val="none"/>
          <w14:textFill>
            <w14:solidFill>
              <w14:schemeClr w14:val="tx1"/>
            </w14:solidFill>
          </w14:textFill>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000000" w:themeColor="text1"/>
          <w:kern w:val="0"/>
          <w:szCs w:val="24"/>
          <w:highlight w:val="none"/>
          <w14:textFill>
            <w14:solidFill>
              <w14:schemeClr w14:val="tx1"/>
            </w14:solidFill>
          </w14:textFill>
        </w:rPr>
        <w:t>30%以上的，对联合体或者大中型企业的报价给予3%的扣除，用扣除后的价格参加评审。组成联合体或者接受分包的小</w:t>
      </w:r>
      <w:r>
        <w:rPr>
          <w:rFonts w:hint="eastAsia" w:ascii="仿宋" w:hAnsi="仿宋" w:eastAsia="仿宋" w:cs="仿宋"/>
          <w:color w:val="000000" w:themeColor="text1"/>
          <w:kern w:val="0"/>
          <w:szCs w:val="24"/>
          <w:highlight w:val="none"/>
          <w14:textFill>
            <w14:solidFill>
              <w14:schemeClr w14:val="tx1"/>
            </w14:solidFill>
          </w14:textFill>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color w:val="000000" w:themeColor="text1"/>
          <w:kern w:val="0"/>
          <w:sz w:val="24"/>
          <w:highlight w:val="none"/>
          <w14:textFill>
            <w14:solidFill>
              <w14:schemeClr w14:val="tx1"/>
            </w14:solidFill>
          </w14:textFill>
        </w:rPr>
        <w:t>3.5</w:t>
      </w:r>
      <w:r>
        <w:rPr>
          <w:rFonts w:hint="eastAsia" w:ascii="仿宋_GB2312" w:hAnsi="仿宋" w:eastAsia="仿宋_GB2312" w:cs="Arial"/>
          <w:b/>
          <w:color w:val="000000" w:themeColor="text1"/>
          <w:kern w:val="0"/>
          <w:sz w:val="24"/>
          <w:highlight w:val="none"/>
          <w14:textFill>
            <w14:solidFill>
              <w14:schemeClr w14:val="tx1"/>
            </w14:solidFill>
          </w14:textFill>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color w:val="000000" w:themeColor="text1"/>
          <w:kern w:val="0"/>
          <w:sz w:val="24"/>
          <w:highlight w:val="none"/>
          <w14:textFill>
            <w14:solidFill>
              <w14:schemeClr w14:val="tx1"/>
            </w14:solidFill>
          </w14:textFill>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3.6编写评标报告。</w:t>
      </w:r>
      <w:r>
        <w:rPr>
          <w:rFonts w:ascii="仿宋_GB2312" w:hAnsi="仿宋" w:eastAsia="仿宋_GB2312" w:cs="Arial"/>
          <w:color w:val="000000" w:themeColor="text1"/>
          <w:kern w:val="0"/>
          <w:sz w:val="24"/>
          <w:highlight w:val="none"/>
          <w14:textFill>
            <w14:solidFill>
              <w14:schemeClr w14:val="tx1"/>
            </w14:solidFill>
          </w14:textFill>
        </w:rPr>
        <w:t>评标委员会根据全体评标成员签字的原始评标记录和评标结果编写评标报告。</w:t>
      </w:r>
      <w:r>
        <w:rPr>
          <w:rFonts w:hint="eastAsia" w:ascii="仿宋_GB2312" w:hAnsi="仿宋" w:eastAsia="仿宋_GB2312" w:cs="Arial"/>
          <w:color w:val="000000" w:themeColor="text1"/>
          <w:kern w:val="0"/>
          <w:sz w:val="24"/>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四、评标中的其他事项</w:t>
      </w:r>
    </w:p>
    <w:p>
      <w:pPr>
        <w:pStyle w:val="232"/>
        <w:pageBreakBefore w:val="0"/>
        <w:widowControl w:val="0"/>
        <w:kinsoku/>
        <w:wordWrap/>
        <w:overflowPunct/>
        <w:topLinePunct w:val="0"/>
        <w:autoSpaceDE/>
        <w:autoSpaceDN/>
        <w:bidi w:val="0"/>
        <w:spacing w:before="0" w:line="360" w:lineRule="auto"/>
        <w:ind w:firstLine="472" w:firstLineChars="196"/>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b/>
          <w:color w:val="000000" w:themeColor="text1"/>
          <w:kern w:val="0"/>
          <w:sz w:val="24"/>
          <w:szCs w:val="24"/>
          <w:highlight w:val="none"/>
          <w14:textFill>
            <w14:solidFill>
              <w14:schemeClr w14:val="tx1"/>
            </w14:solidFill>
          </w14:textFill>
        </w:rPr>
        <w:t>4.1</w:t>
      </w:r>
      <w:r>
        <w:rPr>
          <w:rFonts w:hint="eastAsia" w:ascii="仿宋_GB2312" w:hAnsi="仿宋" w:eastAsia="仿宋_GB2312" w:cs="Arial"/>
          <w:b/>
          <w:color w:val="000000" w:themeColor="text1"/>
          <w:kern w:val="0"/>
          <w:sz w:val="24"/>
          <w:szCs w:val="24"/>
          <w:highlight w:val="none"/>
          <w14:textFill>
            <w14:solidFill>
              <w14:schemeClr w14:val="tx1"/>
            </w14:solidFill>
          </w14:textFill>
        </w:rPr>
        <w:t>投标人澄清、说明或者补正。</w:t>
      </w:r>
      <w:r>
        <w:rPr>
          <w:rFonts w:hint="eastAsia" w:ascii="仿宋_GB2312" w:hAnsi="仿宋" w:eastAsia="仿宋_GB2312" w:cs="Arial"/>
          <w:color w:val="000000" w:themeColor="text1"/>
          <w:kern w:val="0"/>
          <w:sz w:val="24"/>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pageBreakBefore w:val="0"/>
        <w:widowControl w:val="0"/>
        <w:kinsoku/>
        <w:wordWrap/>
        <w:overflowPunct/>
        <w:topLinePunct w:val="0"/>
        <w:autoSpaceDE/>
        <w:autoSpaceDN/>
        <w:bidi w:val="0"/>
        <w:spacing w:line="360" w:lineRule="auto"/>
        <w:ind w:left="954" w:leftChars="226" w:hanging="479" w:firstLineChars="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Arial"/>
          <w:b/>
          <w:color w:val="000000" w:themeColor="text1"/>
          <w:kern w:val="0"/>
          <w:sz w:val="24"/>
          <w:szCs w:val="24"/>
          <w:highlight w:val="none"/>
          <w14:textFill>
            <w14:solidFill>
              <w14:schemeClr w14:val="tx1"/>
            </w14:solidFill>
          </w14:textFill>
        </w:rPr>
        <w:t>4.2投标无效。</w:t>
      </w:r>
      <w:r>
        <w:rPr>
          <w:rFonts w:hint="eastAsia" w:ascii="仿宋_GB2312" w:hAnsi="仿宋" w:eastAsia="仿宋_GB2312" w:cs="仿宋_GB2312"/>
          <w:color w:val="000000" w:themeColor="text1"/>
          <w:sz w:val="24"/>
          <w:szCs w:val="24"/>
          <w:highlight w:val="none"/>
          <w14:textFill>
            <w14:solidFill>
              <w14:schemeClr w14:val="tx1"/>
            </w14:solidFill>
          </w14:textFill>
        </w:rPr>
        <w:t>有下列情况之一的，投标无效：</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4.2.2投标文件未按照招标文件要求签署、盖章的；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000000" w:themeColor="text1"/>
          <w:kern w:val="0"/>
          <w:sz w:val="24"/>
          <w:szCs w:val="24"/>
          <w:highlight w:val="none"/>
          <w14:textFill>
            <w14:solidFill>
              <w14:schemeClr w14:val="tx1"/>
            </w14:solidFill>
          </w14:textFill>
        </w:rPr>
        <w:t>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4.2.4投标文件含有采购人不能接受的附加条件的；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4.2.5投标文件中承诺的投标有效期少于招标文件中载明的投标有效期的；</w:t>
      </w:r>
    </w:p>
    <w:p>
      <w:pPr>
        <w:pageBreakBefore w:val="0"/>
        <w:widowControl w:val="0"/>
        <w:kinsoku/>
        <w:wordWrap/>
        <w:overflowPunct/>
        <w:topLinePunct w:val="0"/>
        <w:autoSpaceDE/>
        <w:autoSpaceDN/>
        <w:bidi w:val="0"/>
        <w:snapToGrid w:val="0"/>
        <w:spacing w:line="360" w:lineRule="auto"/>
        <w:ind w:firstLine="120" w:firstLineChars="50"/>
        <w:jc w:val="left"/>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 xml:space="preserve">  </w:t>
      </w:r>
      <w:r>
        <w:rPr>
          <w:rFonts w:hint="eastAsia" w:ascii="仿宋_GB2312" w:hAnsi="仿宋" w:eastAsia="仿宋_GB2312" w:cs="Arial"/>
          <w:color w:val="000000" w:themeColor="text1"/>
          <w:kern w:val="0"/>
          <w:sz w:val="24"/>
          <w:szCs w:val="24"/>
          <w:highlight w:val="none"/>
          <w14:textFill>
            <w14:solidFill>
              <w14:schemeClr w14:val="tx1"/>
            </w14:solidFill>
          </w14:textFill>
        </w:rPr>
        <w:t xml:space="preserve"> </w:t>
      </w:r>
      <w:r>
        <w:rPr>
          <w:rFonts w:ascii="仿宋_GB2312" w:hAnsi="仿宋" w:eastAsia="仿宋_GB2312" w:cs="Arial"/>
          <w:color w:val="000000" w:themeColor="text1"/>
          <w:kern w:val="0"/>
          <w:sz w:val="24"/>
          <w:szCs w:val="24"/>
          <w:highlight w:val="none"/>
          <w14:textFill>
            <w14:solidFill>
              <w14:schemeClr w14:val="tx1"/>
            </w14:solidFill>
          </w14:textFill>
        </w:rPr>
        <w:t>4.2.6投标文件出现不是唯一的、有选择性投标报价的;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4.2.7投标报价超过招标文件中规定的预算金额或者最高限价的;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4.2.9投标人对根据修正原则修正后的报价不确认的；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4.2.10投标人提供虚假材料投标的；</w:t>
      </w:r>
    </w:p>
    <w:p>
      <w:pPr>
        <w:pageBreakBefore w:val="0"/>
        <w:widowControl w:val="0"/>
        <w:kinsoku/>
        <w:wordWrap/>
        <w:overflowPunct/>
        <w:topLinePunct w:val="0"/>
        <w:autoSpaceDE/>
        <w:autoSpaceDN/>
        <w:bidi w:val="0"/>
        <w:spacing w:line="360" w:lineRule="auto"/>
        <w:ind w:firstLine="240" w:firstLineChars="1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 xml:space="preserve">  4.2.11投标人有恶意串通、妨碍其他投标人的竞争行为、损害采购人或者其他投标人的合法权益情形的；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4.2.12投标人仅提交备份投标文件，没有在电子交易平台传输递交投标文件的，投标无效；</w:t>
      </w:r>
    </w:p>
    <w:p>
      <w:pPr>
        <w:pStyle w:val="4"/>
        <w:pageBreakBefore w:val="0"/>
        <w:widowControl w:val="0"/>
        <w:numPr>
          <w:ilvl w:val="0"/>
          <w:numId w:val="0"/>
        </w:numPr>
        <w:kinsoku/>
        <w:wordWrap/>
        <w:overflowPunct/>
        <w:topLinePunct w:val="0"/>
        <w:autoSpaceDE/>
        <w:autoSpaceDN/>
        <w:bidi w:val="0"/>
        <w:spacing w:line="360" w:lineRule="auto"/>
        <w:ind w:leftChars="205"/>
        <w:textAlignment w:val="auto"/>
        <w:rPr>
          <w:rFonts w:cs="Arial"/>
          <w:b w:val="0"/>
          <w:bCs w:val="0"/>
          <w:color w:val="000000" w:themeColor="text1"/>
          <w:kern w:val="0"/>
          <w:sz w:val="24"/>
          <w:szCs w:val="24"/>
          <w:highlight w:val="none"/>
          <w:lang w:val="en-US"/>
          <w14:textFill>
            <w14:solidFill>
              <w14:schemeClr w14:val="tx1"/>
            </w14:solidFill>
          </w14:textFill>
        </w:rPr>
      </w:pPr>
      <w:r>
        <w:rPr>
          <w:rFonts w:cs="Arial"/>
          <w:b w:val="0"/>
          <w:bCs w:val="0"/>
          <w:color w:val="000000" w:themeColor="text1"/>
          <w:kern w:val="0"/>
          <w:sz w:val="24"/>
          <w:szCs w:val="24"/>
          <w:highlight w:val="none"/>
          <w:lang w:val="en-US"/>
          <w14:textFill>
            <w14:solidFill>
              <w14:schemeClr w14:val="tx1"/>
            </w14:solidFill>
          </w14:textFill>
        </w:rPr>
        <w:t xml:space="preserve">4.2.13 </w:t>
      </w:r>
      <w:r>
        <w:rPr>
          <w:rFonts w:hint="eastAsia" w:cs="Arial"/>
          <w:b w:val="0"/>
          <w:bCs w:val="0"/>
          <w:color w:val="000000" w:themeColor="text1"/>
          <w:kern w:val="0"/>
          <w:sz w:val="24"/>
          <w:szCs w:val="24"/>
          <w:highlight w:val="none"/>
          <w:lang w:val="en-US"/>
          <w14:textFill>
            <w14:solidFill>
              <w14:schemeClr w14:val="tx1"/>
            </w14:solidFill>
          </w14:textFill>
        </w:rPr>
        <w:t>投标文件不满足招标文件的其它实质性要求的；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4.2.14法律、法规、规章（适用本市的）及省级以上规范性文件（适用本市的）规定的其他无效情形。</w:t>
      </w:r>
    </w:p>
    <w:p>
      <w:pPr>
        <w:pStyle w:val="2"/>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5.废标。</w:t>
      </w:r>
      <w:r>
        <w:rPr>
          <w:rFonts w:hint="eastAsia" w:ascii="仿宋_GB2312" w:hAnsi="仿宋" w:eastAsia="仿宋_GB2312" w:cs="仿宋_GB2312"/>
          <w:color w:val="000000" w:themeColor="text1"/>
          <w:sz w:val="24"/>
          <w:szCs w:val="24"/>
          <w:highlight w:val="none"/>
          <w14:textFill>
            <w14:solidFill>
              <w14:schemeClr w14:val="tx1"/>
            </w14:solidFill>
          </w14:textFill>
        </w:rPr>
        <w:t>根据《中华人民共和国政府采购法》第三十六条之规定，在采购中，出现下列情形之一的，应予废标：</w:t>
      </w:r>
    </w:p>
    <w:p>
      <w:pPr>
        <w:pStyle w:val="2"/>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5.1符合专业条件的供应商或者对招标文件作实质响应的供应商不足3家的；</w:t>
      </w:r>
    </w:p>
    <w:p>
      <w:pPr>
        <w:pStyle w:val="2"/>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5.2出现影响采购公正的违法、违规行为的；</w:t>
      </w:r>
    </w:p>
    <w:p>
      <w:pPr>
        <w:pStyle w:val="2"/>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5.3投标人的报价均超过了采购预算，采购人不能支付的；</w:t>
      </w:r>
    </w:p>
    <w:p>
      <w:pPr>
        <w:pStyle w:val="2"/>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5.4因重大变故，采购任务取消的。</w:t>
      </w:r>
    </w:p>
    <w:p>
      <w:pPr>
        <w:pStyle w:val="2"/>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仿宋" w:eastAsia="仿宋_GB2312" w:cs="仿宋_GB2312"/>
          <w:color w:val="000000" w:themeColor="text1"/>
          <w:sz w:val="24"/>
          <w:szCs w:val="24"/>
          <w:highlight w:val="none"/>
          <w14:textFill>
            <w14:solidFill>
              <w14:schemeClr w14:val="tx1"/>
            </w14:solidFill>
          </w14:textFill>
        </w:rPr>
        <w:t>废标后，采购机构应当将废标理由通知所有投标人。</w:t>
      </w:r>
    </w:p>
    <w:p>
      <w:pPr>
        <w:pStyle w:val="2"/>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6.修改招标文件，重新组织采购活动。</w:t>
      </w:r>
      <w:r>
        <w:rPr>
          <w:rFonts w:hint="eastAsia" w:ascii="仿宋_GB2312" w:hAnsi="仿宋" w:eastAsia="仿宋_GB2312" w:cs="仿宋_GB2312"/>
          <w:color w:val="000000" w:themeColor="text1"/>
          <w:sz w:val="24"/>
          <w:szCs w:val="24"/>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Helvetica" w:eastAsia="仿宋_GB2312" w:cs="Helvetica"/>
          <w:b/>
          <w:color w:val="000000" w:themeColor="text1"/>
          <w:kern w:val="0"/>
          <w:sz w:val="24"/>
          <w:szCs w:val="24"/>
          <w:highlight w:val="none"/>
          <w14:textFill>
            <w14:solidFill>
              <w14:schemeClr w14:val="tx1"/>
            </w14:solidFill>
          </w14:textFill>
        </w:rPr>
        <w:t>7.重新开展采购。</w:t>
      </w:r>
      <w:r>
        <w:rPr>
          <w:rFonts w:hint="eastAsia" w:ascii="仿宋_GB2312" w:hAnsi="仿宋" w:eastAsia="仿宋_GB2312" w:cs="仿宋_GB2312"/>
          <w:color w:val="000000" w:themeColor="text1"/>
          <w:sz w:val="24"/>
          <w:szCs w:val="24"/>
          <w:highlight w:val="none"/>
          <w14:textFill>
            <w14:solidFill>
              <w14:schemeClr w14:val="tx1"/>
            </w14:solidFill>
          </w14:textFill>
        </w:rPr>
        <w:t>有政府采购法第七十一条、第七十二条规定的违法行为之一，影响或者可能影响中标、成交结果的，依照下列规定处理：</w:t>
      </w:r>
    </w:p>
    <w:p>
      <w:pPr>
        <w:pStyle w:val="2"/>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7.1未确定中标或者中标人的，终止本次政府采购活动，重新开展政府采购</w:t>
      </w:r>
      <w:r>
        <w:rPr>
          <w:rFonts w:hint="eastAsia" w:ascii="仿宋_GB2312" w:hAnsi="仿宋" w:eastAsia="仿宋_GB2312" w:cs="仿宋_GB2312"/>
          <w:color w:val="000000" w:themeColor="text1"/>
          <w:sz w:val="24"/>
          <w:szCs w:val="24"/>
          <w:highlight w:val="none"/>
          <w14:textFill>
            <w14:solidFill>
              <w14:schemeClr w14:val="tx1"/>
            </w14:solidFill>
          </w14:textFill>
        </w:rPr>
        <w:t>活动。</w:t>
      </w:r>
    </w:p>
    <w:p>
      <w:pPr>
        <w:pStyle w:val="2"/>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2"/>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7.4政府采购合同已经履行，给采购人、供应</w:t>
      </w:r>
      <w:r>
        <w:rPr>
          <w:rFonts w:hint="eastAsia" w:ascii="仿宋_GB2312" w:hAnsi="仿宋" w:eastAsia="仿宋_GB2312" w:cs="仿宋_GB2312"/>
          <w:color w:val="000000" w:themeColor="text1"/>
          <w:sz w:val="24"/>
          <w:szCs w:val="24"/>
          <w:highlight w:val="none"/>
          <w14:textFill>
            <w14:solidFill>
              <w14:schemeClr w14:val="tx1"/>
            </w14:solidFill>
          </w14:textFill>
        </w:rPr>
        <w:t>商造成损失的，由责任人承担赔偿责任。</w:t>
      </w:r>
    </w:p>
    <w:p>
      <w:pPr>
        <w:pStyle w:val="2"/>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7.5政府采购当事人有其他违反政府采购</w:t>
      </w:r>
      <w:r>
        <w:rPr>
          <w:rFonts w:hint="eastAsia" w:ascii="仿宋_GB2312" w:hAnsi="仿宋" w:eastAsia="仿宋_GB2312" w:cs="仿宋_GB2312"/>
          <w:color w:val="000000" w:themeColor="text1"/>
          <w:sz w:val="24"/>
          <w:szCs w:val="24"/>
          <w:highlight w:val="none"/>
          <w14:textFill>
            <w14:solidFill>
              <w14:schemeClr w14:val="tx1"/>
            </w14:solidFill>
          </w14:textFill>
        </w:rPr>
        <w:t>法</w:t>
      </w:r>
      <w:r>
        <w:rPr>
          <w:rFonts w:hint="eastAsia" w:ascii="仿宋_GB2312" w:hAnsi="仿宋" w:eastAsia="仿宋_GB2312" w:cs="Arial"/>
          <w:color w:val="000000" w:themeColor="text1"/>
          <w:kern w:val="0"/>
          <w:sz w:val="24"/>
          <w:szCs w:val="24"/>
          <w:highlight w:val="none"/>
          <w14:textFill>
            <w14:solidFill>
              <w14:schemeClr w14:val="tx1"/>
            </w14:solidFill>
          </w14:textFill>
        </w:rPr>
        <w:t>或者政府采购法实施条例等法律法规规定</w:t>
      </w:r>
      <w:r>
        <w:rPr>
          <w:rFonts w:hint="eastAsia" w:ascii="仿宋_GB2312" w:hAnsi="仿宋" w:eastAsia="仿宋_GB2312" w:cs="仿宋_GB2312"/>
          <w:color w:val="000000" w:themeColor="text1"/>
          <w:sz w:val="24"/>
          <w:szCs w:val="24"/>
          <w:highlight w:val="none"/>
          <w14:textFill>
            <w14:solidFill>
              <w14:schemeClr w14:val="tx1"/>
            </w14:solidFill>
          </w14:textFill>
        </w:rPr>
        <w:t>的行为，经改正后仍然影响或者可能影响中标、成交结果或者依法被认定为中标、成交无效的，依照</w:t>
      </w:r>
      <w:r>
        <w:rPr>
          <w:rFonts w:ascii="仿宋_GB2312" w:hAnsi="仿宋" w:eastAsia="仿宋_GB2312" w:cs="仿宋_GB2312"/>
          <w:color w:val="000000" w:themeColor="text1"/>
          <w:sz w:val="24"/>
          <w:szCs w:val="24"/>
          <w:highlight w:val="none"/>
          <w14:textFill>
            <w14:solidFill>
              <w14:schemeClr w14:val="tx1"/>
            </w14:solidFill>
          </w14:textFill>
        </w:rPr>
        <w:t>7.1-7.4规定处理。</w:t>
      </w:r>
    </w:p>
    <w:p>
      <w:pPr>
        <w:adjustRightInd w:val="0"/>
        <w:spacing w:line="360" w:lineRule="auto"/>
        <w:ind w:firstLine="467" w:firstLineChars="194"/>
        <w:rPr>
          <w:rFonts w:ascii="仿宋_GB2312" w:hAnsi="仿宋" w:eastAsia="仿宋_GB2312" w:cs="仿宋_GB2312"/>
          <w:b/>
          <w:sz w:val="24"/>
          <w:szCs w:val="24"/>
        </w:rPr>
      </w:pPr>
    </w:p>
    <w:p>
      <w:pPr>
        <w:adjustRightInd w:val="0"/>
        <w:spacing w:line="360" w:lineRule="auto"/>
        <w:ind w:left="720" w:leftChars="343" w:firstLine="1446" w:firstLineChars="400"/>
        <w:outlineLvl w:val="0"/>
        <w:rPr>
          <w:rFonts w:hint="eastAsia" w:ascii="仿宋_GB2312" w:hAnsi="仿宋" w:eastAsia="仿宋_GB2312" w:cs="仿宋_GB2312"/>
          <w:b/>
          <w:sz w:val="36"/>
          <w:szCs w:val="36"/>
        </w:rPr>
      </w:pPr>
    </w:p>
    <w:bookmarkEnd w:id="24"/>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bookmarkStart w:id="390" w:name="第五部分"/>
      <w:bookmarkStart w:id="391" w:name="_Toc86217003"/>
    </w:p>
    <w:p>
      <w:pPr>
        <w:spacing w:line="360" w:lineRule="auto"/>
        <w:ind w:left="720" w:leftChars="343" w:firstLine="1084" w:firstLineChars="300"/>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第五部分</w:t>
      </w:r>
      <w:r>
        <w:rPr>
          <w:rFonts w:ascii="仿宋_GB2312" w:hAnsi="仿宋" w:eastAsia="仿宋_GB2312" w:cs="仿宋_GB2312"/>
          <w:b/>
          <w:color w:val="000000" w:themeColor="text1"/>
          <w:sz w:val="36"/>
          <w:szCs w:val="36"/>
          <w:highlight w:val="none"/>
          <w14:textFill>
            <w14:solidFill>
              <w14:schemeClr w14:val="tx1"/>
            </w14:solidFill>
          </w14:textFill>
        </w:rPr>
        <w:t xml:space="preserve"> </w:t>
      </w:r>
      <w:r>
        <w:rPr>
          <w:rFonts w:hint="eastAsia" w:ascii="仿宋_GB2312" w:hAnsi="仿宋" w:eastAsia="仿宋_GB2312" w:cs="仿宋_GB2312"/>
          <w:b/>
          <w:color w:val="000000" w:themeColor="text1"/>
          <w:sz w:val="36"/>
          <w:szCs w:val="36"/>
          <w:highlight w:val="none"/>
          <w14:textFill>
            <w14:solidFill>
              <w14:schemeClr w14:val="tx1"/>
            </w14:solidFill>
          </w14:textFill>
        </w:rPr>
        <w:t>拟签订的合同文本</w:t>
      </w:r>
    </w:p>
    <w:p>
      <w:pPr>
        <w:rPr>
          <w:rFonts w:ascii="楷体" w:hAnsi="楷体" w:eastAsia="楷体"/>
          <w:color w:val="000000" w:themeColor="text1"/>
          <w:sz w:val="24"/>
          <w:highlight w:val="none"/>
          <w:u w:val="singl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合同编号：</w:t>
      </w:r>
      <w:r>
        <w:rPr>
          <w:rFonts w:ascii="楷体" w:hAnsi="楷体" w:eastAsia="楷体"/>
          <w:color w:val="000000" w:themeColor="text1"/>
          <w:sz w:val="24"/>
          <w:highlight w:val="none"/>
          <w:u w:val="single"/>
          <w14:textFill>
            <w14:solidFill>
              <w14:schemeClr w14:val="tx1"/>
            </w14:solidFill>
          </w14:textFill>
        </w:rPr>
        <w:t xml:space="preserve">           </w:t>
      </w:r>
    </w:p>
    <w:p>
      <w:pPr>
        <w:spacing w:line="480" w:lineRule="auto"/>
        <w:jc w:val="center"/>
        <w:rPr>
          <w:rFonts w:ascii="楷体" w:hAnsi="楷体" w:eastAsia="楷体"/>
          <w:b/>
          <w:color w:val="000000" w:themeColor="text1"/>
          <w:sz w:val="28"/>
          <w:szCs w:val="28"/>
          <w:highlight w:val="none"/>
          <w14:textFill>
            <w14:solidFill>
              <w14:schemeClr w14:val="tx1"/>
            </w14:solidFill>
          </w14:textFill>
        </w:rPr>
      </w:pPr>
    </w:p>
    <w:p>
      <w:pPr>
        <w:spacing w:line="480" w:lineRule="auto"/>
        <w:jc w:val="center"/>
        <w:rPr>
          <w:rFonts w:ascii="仿宋" w:hAnsi="仿宋" w:eastAsia="仿宋"/>
          <w:b/>
          <w:color w:val="000000" w:themeColor="text1"/>
          <w:sz w:val="24"/>
          <w:highlight w:val="none"/>
          <w14:textFill>
            <w14:solidFill>
              <w14:schemeClr w14:val="tx1"/>
            </w14:solidFill>
          </w14:textFill>
        </w:rPr>
      </w:pPr>
    </w:p>
    <w:p>
      <w:pPr>
        <w:spacing w:line="480" w:lineRule="auto"/>
        <w:jc w:val="center"/>
        <w:rPr>
          <w:rFonts w:ascii="仿宋" w:hAnsi="仿宋" w:eastAsia="仿宋"/>
          <w:b/>
          <w:color w:val="000000" w:themeColor="text1"/>
          <w:sz w:val="24"/>
          <w:highlight w:val="none"/>
          <w14:textFill>
            <w14:solidFill>
              <w14:schemeClr w14:val="tx1"/>
            </w14:solidFill>
          </w14:textFill>
        </w:rPr>
      </w:pPr>
    </w:p>
    <w:p>
      <w:pPr>
        <w:spacing w:line="480" w:lineRule="auto"/>
        <w:jc w:val="center"/>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政府采购合同参考范本</w:t>
      </w:r>
    </w:p>
    <w:p>
      <w:pPr>
        <w:spacing w:line="480" w:lineRule="auto"/>
        <w:jc w:val="center"/>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（货物类）</w:t>
      </w:r>
    </w:p>
    <w:p>
      <w:pPr>
        <w:pStyle w:val="330"/>
        <w:rPr>
          <w:rFonts w:ascii="仿宋" w:hAnsi="仿宋" w:eastAsia="仿宋"/>
          <w:color w:val="000000" w:themeColor="text1"/>
          <w:szCs w:val="24"/>
          <w:highlight w:val="none"/>
          <w14:textFill>
            <w14:solidFill>
              <w14:schemeClr w14:val="tx1"/>
            </w14:solidFill>
          </w14:textFill>
        </w:rPr>
      </w:pPr>
    </w:p>
    <w:p>
      <w:pPr>
        <w:pStyle w:val="330"/>
        <w:rPr>
          <w:rFonts w:ascii="仿宋" w:hAnsi="仿宋" w:eastAsia="仿宋"/>
          <w:color w:val="000000" w:themeColor="text1"/>
          <w:szCs w:val="24"/>
          <w:highlight w:val="none"/>
          <w14:textFill>
            <w14:solidFill>
              <w14:schemeClr w14:val="tx1"/>
            </w14:solidFill>
          </w14:textFill>
        </w:rPr>
      </w:pPr>
    </w:p>
    <w:p>
      <w:pPr>
        <w:pStyle w:val="330"/>
        <w:jc w:val="center"/>
        <w:rPr>
          <w:rFonts w:ascii="仿宋" w:hAnsi="仿宋" w:eastAsia="仿宋"/>
          <w:color w:val="000000" w:themeColor="text1"/>
          <w:szCs w:val="24"/>
          <w:highlight w:val="none"/>
          <w14:textFill>
            <w14:solidFill>
              <w14:schemeClr w14:val="tx1"/>
            </w14:solidFill>
          </w14:textFill>
        </w:rPr>
      </w:pPr>
    </w:p>
    <w:p>
      <w:pPr>
        <w:pStyle w:val="330"/>
        <w:ind w:firstLine="2843" w:firstLineChars="1180"/>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第一部分</w:t>
      </w:r>
      <w:r>
        <w:rPr>
          <w:rFonts w:ascii="仿宋" w:hAnsi="仿宋" w:eastAsia="仿宋"/>
          <w:b/>
          <w:color w:val="000000" w:themeColor="text1"/>
          <w:szCs w:val="24"/>
          <w:highlight w:val="none"/>
          <w14:textFill>
            <w14:solidFill>
              <w14:schemeClr w14:val="tx1"/>
            </w14:solidFill>
          </w14:textFill>
        </w:rPr>
        <w:t xml:space="preserve"> </w:t>
      </w:r>
      <w:r>
        <w:rPr>
          <w:rFonts w:hint="eastAsia" w:ascii="仿宋" w:hAnsi="仿宋" w:eastAsia="仿宋"/>
          <w:b/>
          <w:color w:val="000000" w:themeColor="text1"/>
          <w:szCs w:val="24"/>
          <w:highlight w:val="none"/>
          <w14:textFill>
            <w14:solidFill>
              <w14:schemeClr w14:val="tx1"/>
            </w14:solidFill>
          </w14:textFill>
        </w:rPr>
        <w:t>合同书</w:t>
      </w:r>
    </w:p>
    <w:p>
      <w:pPr>
        <w:pStyle w:val="330"/>
        <w:rPr>
          <w:rFonts w:ascii="仿宋" w:hAnsi="仿宋" w:eastAsia="仿宋"/>
          <w:color w:val="000000" w:themeColor="text1"/>
          <w:szCs w:val="24"/>
          <w:highlight w:val="none"/>
          <w14:textFill>
            <w14:solidFill>
              <w14:schemeClr w14:val="tx1"/>
            </w14:solidFill>
          </w14:textFill>
        </w:rPr>
      </w:pPr>
    </w:p>
    <w:p>
      <w:pPr>
        <w:pStyle w:val="330"/>
        <w:rPr>
          <w:rFonts w:ascii="仿宋" w:hAnsi="仿宋" w:eastAsia="仿宋"/>
          <w:color w:val="000000" w:themeColor="text1"/>
          <w:szCs w:val="24"/>
          <w:highlight w:val="none"/>
          <w14:textFill>
            <w14:solidFill>
              <w14:schemeClr w14:val="tx1"/>
            </w14:solidFill>
          </w14:textFill>
        </w:rPr>
      </w:pPr>
    </w:p>
    <w:p>
      <w:pPr>
        <w:spacing w:before="120" w:line="22" w:lineRule="atLeast"/>
        <w:rPr>
          <w:rFonts w:ascii="仿宋" w:hAnsi="仿宋" w:eastAsia="仿宋"/>
          <w:color w:val="000000" w:themeColor="text1"/>
          <w:sz w:val="24"/>
          <w:highlight w:val="none"/>
          <w14:textFill>
            <w14:solidFill>
              <w14:schemeClr w14:val="tx1"/>
            </w14:solidFill>
          </w14:textFill>
        </w:rPr>
      </w:pPr>
    </w:p>
    <w:p>
      <w:pPr>
        <w:spacing w:before="120" w:line="22" w:lineRule="atLeast"/>
        <w:ind w:left="96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p>
    <w:p>
      <w:pPr>
        <w:pStyle w:val="648"/>
        <w:spacing w:before="120" w:line="22" w:lineRule="atLeast"/>
        <w:rPr>
          <w:rFonts w:ascii="仿宋" w:hAnsi="仿宋" w:eastAsia="仿宋"/>
          <w:color w:val="000000" w:themeColor="text1"/>
          <w:szCs w:val="24"/>
          <w:highlight w:val="none"/>
          <w14:textFill>
            <w14:solidFill>
              <w14:schemeClr w14:val="tx1"/>
            </w14:solidFill>
          </w14:textFill>
        </w:rPr>
      </w:pPr>
    </w:p>
    <w:p>
      <w:pPr>
        <w:pStyle w:val="648"/>
        <w:spacing w:before="120" w:line="22" w:lineRule="atLeast"/>
        <w:rPr>
          <w:rFonts w:ascii="仿宋" w:hAnsi="仿宋" w:eastAsia="仿宋"/>
          <w:color w:val="000000" w:themeColor="text1"/>
          <w:szCs w:val="24"/>
          <w:highlight w:val="none"/>
          <w14:textFill>
            <w14:solidFill>
              <w14:schemeClr w14:val="tx1"/>
            </w14:solidFill>
          </w14:textFill>
        </w:rPr>
      </w:pPr>
    </w:p>
    <w:p>
      <w:pPr>
        <w:rPr>
          <w:rFonts w:ascii="仿宋" w:hAnsi="仿宋" w:eastAsia="仿宋"/>
          <w:color w:val="000000" w:themeColor="text1"/>
          <w:sz w:val="24"/>
          <w:highlight w:val="none"/>
          <w14:textFill>
            <w14:solidFill>
              <w14:schemeClr w14:val="tx1"/>
            </w14:solidFill>
          </w14:textFill>
        </w:rPr>
      </w:pPr>
    </w:p>
    <w:p>
      <w:pPr>
        <w:spacing w:before="120" w:line="22" w:lineRule="atLeast"/>
        <w:ind w:left="96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甲方：</w:t>
      </w:r>
      <w:r>
        <w:rPr>
          <w:rFonts w:ascii="仿宋" w:hAnsi="仿宋" w:eastAsia="仿宋"/>
          <w:color w:val="000000" w:themeColor="text1"/>
          <w:sz w:val="24"/>
          <w:highlight w:val="none"/>
          <w:u w:val="single"/>
          <w14:textFill>
            <w14:solidFill>
              <w14:schemeClr w14:val="tx1"/>
            </w14:solidFill>
          </w14:textFill>
        </w:rPr>
        <w:t xml:space="preserve">                                       </w:t>
      </w:r>
    </w:p>
    <w:p>
      <w:pPr>
        <w:spacing w:before="120" w:line="22" w:lineRule="atLeast"/>
        <w:rPr>
          <w:rFonts w:ascii="仿宋" w:hAnsi="仿宋" w:eastAsia="仿宋"/>
          <w:color w:val="000000" w:themeColor="text1"/>
          <w:sz w:val="24"/>
          <w:highlight w:val="none"/>
          <w14:textFill>
            <w14:solidFill>
              <w14:schemeClr w14:val="tx1"/>
            </w14:solidFill>
          </w14:textFill>
        </w:rPr>
      </w:pPr>
    </w:p>
    <w:p>
      <w:pPr>
        <w:spacing w:before="120" w:line="22" w:lineRule="atLeast"/>
        <w:ind w:left="96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乙方：</w:t>
      </w:r>
      <w:r>
        <w:rPr>
          <w:rFonts w:ascii="仿宋" w:hAnsi="仿宋" w:eastAsia="仿宋"/>
          <w:color w:val="000000" w:themeColor="text1"/>
          <w:sz w:val="24"/>
          <w:highlight w:val="none"/>
          <w:u w:val="single"/>
          <w14:textFill>
            <w14:solidFill>
              <w14:schemeClr w14:val="tx1"/>
            </w14:solidFill>
          </w14:textFill>
        </w:rPr>
        <w:t xml:space="preserve">                                       </w:t>
      </w:r>
    </w:p>
    <w:p>
      <w:pPr>
        <w:spacing w:before="120" w:line="22" w:lineRule="atLeast"/>
        <w:rPr>
          <w:rFonts w:ascii="仿宋" w:hAnsi="仿宋" w:eastAsia="仿宋"/>
          <w:color w:val="000000" w:themeColor="text1"/>
          <w:sz w:val="24"/>
          <w:highlight w:val="none"/>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签订地：</w:t>
      </w:r>
      <w:r>
        <w:rPr>
          <w:rFonts w:ascii="仿宋" w:hAnsi="仿宋" w:eastAsia="仿宋"/>
          <w:color w:val="000000" w:themeColor="text1"/>
          <w:sz w:val="24"/>
          <w:highlight w:val="none"/>
          <w:u w:val="single"/>
          <w14:textFill>
            <w14:solidFill>
              <w14:schemeClr w14:val="tx1"/>
            </w14:solidFill>
          </w14:textFill>
        </w:rPr>
        <w:t xml:space="preserve">                                     </w:t>
      </w:r>
    </w:p>
    <w:p>
      <w:pPr>
        <w:spacing w:before="120" w:line="22" w:lineRule="atLeast"/>
        <w:rPr>
          <w:rFonts w:ascii="仿宋" w:hAnsi="仿宋" w:eastAsia="仿宋"/>
          <w:color w:val="000000" w:themeColor="text1"/>
          <w:sz w:val="24"/>
          <w:highlight w:val="none"/>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签订日期：</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年</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月</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日</w:t>
      </w:r>
    </w:p>
    <w:p>
      <w:pPr>
        <w:widowControl/>
        <w:jc w:val="left"/>
        <w:rPr>
          <w:rFonts w:ascii="仿宋" w:hAnsi="仿宋" w:eastAsia="仿宋"/>
          <w:color w:val="000000" w:themeColor="text1"/>
          <w:kern w:val="0"/>
          <w:sz w:val="24"/>
          <w:highlight w:val="none"/>
          <w14:textFill>
            <w14:solidFill>
              <w14:schemeClr w14:val="tx1"/>
            </w14:solidFill>
          </w14:textFill>
        </w:rPr>
        <w:sectPr>
          <w:pgSz w:w="11907" w:h="16840"/>
          <w:pgMar w:top="680" w:right="1417" w:bottom="454" w:left="1417" w:header="851" w:footer="851" w:gutter="0"/>
          <w:pgNumType w:fmt="decimal"/>
          <w:cols w:space="720" w:num="1"/>
        </w:sectPr>
      </w:pP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bookmarkStart w:id="392" w:name="_Toc3029"/>
      <w:bookmarkStart w:id="393" w:name="_Toc24059"/>
      <w:bookmarkStart w:id="394" w:name="_Toc2232"/>
      <w:r>
        <w:rPr>
          <w:rFonts w:ascii="仿宋" w:hAnsi="仿宋" w:eastAsia="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年</w:t>
      </w:r>
      <w:r>
        <w:rPr>
          <w:rFonts w:ascii="仿宋" w:hAnsi="仿宋" w:eastAsia="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月</w:t>
      </w:r>
      <w:r>
        <w:rPr>
          <w:rFonts w:ascii="仿宋" w:hAnsi="仿宋" w:eastAsia="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日</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eastAsia="zh-CN"/>
          <w14:textFill>
            <w14:solidFill>
              <w14:schemeClr w14:val="tx1"/>
            </w14:solidFill>
          </w14:textFill>
        </w:rPr>
        <w:t>（采购人名称）</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以</w:t>
      </w:r>
      <w:r>
        <w:rPr>
          <w:rFonts w:ascii="仿宋" w:hAnsi="仿宋" w:eastAsia="仿宋"/>
          <w:color w:val="000000" w:themeColor="text1"/>
          <w:sz w:val="24"/>
          <w:highlight w:val="none"/>
          <w:u w:val="single"/>
          <w14:textFill>
            <w14:solidFill>
              <w14:schemeClr w14:val="tx1"/>
            </w14:solidFill>
          </w14:textFill>
        </w:rPr>
        <w:t xml:space="preserve">   （政府采购方式）  </w:t>
      </w:r>
      <w:r>
        <w:rPr>
          <w:rFonts w:hint="eastAsia" w:ascii="仿宋" w:hAnsi="仿宋" w:eastAsia="仿宋"/>
          <w:color w:val="000000" w:themeColor="text1"/>
          <w:sz w:val="24"/>
          <w:highlight w:val="none"/>
          <w14:textFill>
            <w14:solidFill>
              <w14:schemeClr w14:val="tx1"/>
            </w14:solidFill>
          </w14:textFill>
        </w:rPr>
        <w:t>对</w:t>
      </w:r>
      <w:r>
        <w:rPr>
          <w:rFonts w:ascii="仿宋" w:hAnsi="仿宋" w:eastAsia="仿宋"/>
          <w:color w:val="000000" w:themeColor="text1"/>
          <w:sz w:val="24"/>
          <w:highlight w:val="none"/>
          <w:u w:val="single"/>
          <w14:textFill>
            <w14:solidFill>
              <w14:schemeClr w14:val="tx1"/>
            </w14:solidFill>
          </w14:textFill>
        </w:rPr>
        <w:t xml:space="preserve">   （同前</w:t>
      </w:r>
      <w:r>
        <w:rPr>
          <w:rFonts w:hint="eastAsia" w:ascii="仿宋" w:hAnsi="仿宋" w:eastAsia="仿宋"/>
          <w:color w:val="000000" w:themeColor="text1"/>
          <w:sz w:val="24"/>
          <w:highlight w:val="none"/>
          <w:u w:val="single"/>
          <w14:textFill>
            <w14:solidFill>
              <w14:schemeClr w14:val="tx1"/>
            </w14:solidFill>
          </w14:textFill>
        </w:rPr>
        <w:t>页项目名称）</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项目进行了采购。经</w:t>
      </w:r>
      <w:r>
        <w:rPr>
          <w:rFonts w:ascii="仿宋" w:hAnsi="仿宋" w:eastAsia="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olor w:val="000000" w:themeColor="text1"/>
          <w:sz w:val="24"/>
          <w:highlight w:val="none"/>
          <w14:textFill>
            <w14:solidFill>
              <w14:schemeClr w14:val="tx1"/>
            </w14:solidFill>
          </w14:textFill>
        </w:rPr>
        <w:t>评定，</w:t>
      </w:r>
      <w:r>
        <w:rPr>
          <w:rFonts w:ascii="仿宋" w:hAnsi="仿宋" w:eastAsia="仿宋"/>
          <w:color w:val="000000" w:themeColor="text1"/>
          <w:sz w:val="24"/>
          <w:highlight w:val="none"/>
          <w:u w:val="single"/>
          <w14:textFill>
            <w14:solidFill>
              <w14:schemeClr w14:val="tx1"/>
            </w14:solidFill>
          </w14:textFill>
        </w:rPr>
        <w:t xml:space="preserve">   （中标供应商名称）</w:t>
      </w:r>
      <w:r>
        <w:rPr>
          <w:rFonts w:hint="eastAsia" w:ascii="仿宋" w:hAnsi="仿宋" w:eastAsia="仿宋"/>
          <w:color w:val="000000" w:themeColor="text1"/>
          <w:sz w:val="24"/>
          <w:highlight w:val="none"/>
          <w14:textFill>
            <w14:solidFill>
              <w14:schemeClr w14:val="tx1"/>
            </w14:solidFill>
          </w14:textFill>
        </w:rPr>
        <w:t>为该项目中标供应商。现于中标通知书发出之日起三十日内，按照采购文件确定的事项签订本合同。</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eastAsia="zh-CN"/>
          <w14:textFill>
            <w14:solidFill>
              <w14:schemeClr w14:val="tx1"/>
            </w14:solidFill>
          </w14:textFill>
        </w:rPr>
        <w:t>（采购人名称）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lang w:val="zh-CN"/>
          <w14:textFill>
            <w14:solidFill>
              <w14:schemeClr w14:val="tx1"/>
            </w14:solidFill>
          </w14:textFill>
        </w:rPr>
        <w:t>(以下简称：甲方)和</w:t>
      </w:r>
      <w:r>
        <w:rPr>
          <w:rFonts w:ascii="仿宋" w:hAnsi="仿宋" w:eastAsia="仿宋"/>
          <w:color w:val="000000" w:themeColor="text1"/>
          <w:sz w:val="24"/>
          <w:highlight w:val="none"/>
          <w:u w:val="single"/>
          <w14:textFill>
            <w14:solidFill>
              <w14:schemeClr w14:val="tx1"/>
            </w14:solidFill>
          </w14:textFill>
        </w:rPr>
        <w:t xml:space="preserve">   （中标供应商名称）   </w:t>
      </w:r>
      <w:r>
        <w:rPr>
          <w:rFonts w:ascii="仿宋" w:hAnsi="仿宋" w:eastAsia="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olor w:val="000000" w:themeColor="text1"/>
          <w:sz w:val="24"/>
          <w:highlight w:val="none"/>
          <w14:textFill>
            <w14:solidFill>
              <w14:schemeClr w14:val="tx1"/>
            </w14:solidFill>
          </w14:textFill>
        </w:rPr>
        <w:t>条款，以兹共同遵守、全面履行。</w:t>
      </w:r>
    </w:p>
    <w:bookmarkEnd w:id="392"/>
    <w:bookmarkEnd w:id="393"/>
    <w:bookmarkEnd w:id="394"/>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395" w:name="_Toc27126"/>
      <w:bookmarkStart w:id="396" w:name="_Toc21295"/>
      <w:bookmarkStart w:id="397" w:name="_Toc24300"/>
      <w:r>
        <w:rPr>
          <w:rFonts w:ascii="仿宋" w:hAnsi="仿宋" w:eastAsia="仿宋"/>
          <w:b/>
          <w:color w:val="000000" w:themeColor="text1"/>
          <w:sz w:val="24"/>
          <w:highlight w:val="none"/>
          <w14:textFill>
            <w14:solidFill>
              <w14:schemeClr w14:val="tx1"/>
            </w14:solidFill>
          </w14:textFill>
        </w:rPr>
        <w:t xml:space="preserve">1.1 </w:t>
      </w:r>
      <w:r>
        <w:rPr>
          <w:rFonts w:hint="eastAsia" w:ascii="仿宋" w:hAnsi="仿宋" w:eastAsia="仿宋"/>
          <w:b/>
          <w:color w:val="000000" w:themeColor="text1"/>
          <w:sz w:val="24"/>
          <w:highlight w:val="none"/>
          <w14:textFill>
            <w14:solidFill>
              <w14:schemeClr w14:val="tx1"/>
            </w14:solidFill>
          </w14:textFill>
        </w:rPr>
        <w:t>合同组成部分</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1.1.1 </w:t>
      </w:r>
      <w:r>
        <w:rPr>
          <w:rFonts w:hint="eastAsia" w:ascii="仿宋" w:hAnsi="仿宋" w:eastAsia="仿宋"/>
          <w:color w:val="000000" w:themeColor="text1"/>
          <w:sz w:val="24"/>
          <w:highlight w:val="none"/>
          <w14:textFill>
            <w14:solidFill>
              <w14:schemeClr w14:val="tx1"/>
            </w14:solidFill>
          </w14:textFill>
        </w:rPr>
        <w:t>本合同及其补充合同、变更协议；</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1.1.2 </w:t>
      </w:r>
      <w:r>
        <w:rPr>
          <w:rFonts w:hint="eastAsia" w:ascii="仿宋" w:hAnsi="仿宋" w:eastAsia="仿宋"/>
          <w:color w:val="000000" w:themeColor="text1"/>
          <w:sz w:val="24"/>
          <w:highlight w:val="none"/>
          <w14:textFill>
            <w14:solidFill>
              <w14:schemeClr w14:val="tx1"/>
            </w14:solidFill>
          </w14:textFill>
        </w:rPr>
        <w:t>中标通知书；</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1.1.3 </w:t>
      </w:r>
      <w:r>
        <w:rPr>
          <w:rFonts w:hint="eastAsia" w:ascii="仿宋" w:hAnsi="仿宋" w:eastAsia="仿宋"/>
          <w:color w:val="000000" w:themeColor="text1"/>
          <w:sz w:val="24"/>
          <w:highlight w:val="none"/>
          <w14:textFill>
            <w14:solidFill>
              <w14:schemeClr w14:val="tx1"/>
            </w14:solidFill>
          </w14:textFill>
        </w:rPr>
        <w:t>投标文件（含澄清或者说明文件）；</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1.1.4 </w:t>
      </w:r>
      <w:r>
        <w:rPr>
          <w:rFonts w:hint="eastAsia" w:ascii="仿宋" w:hAnsi="仿宋" w:eastAsia="仿宋"/>
          <w:color w:val="000000" w:themeColor="text1"/>
          <w:sz w:val="24"/>
          <w:highlight w:val="none"/>
          <w14:textFill>
            <w14:solidFill>
              <w14:schemeClr w14:val="tx1"/>
            </w14:solidFill>
          </w14:textFill>
        </w:rPr>
        <w:t>招标文件（含澄清或者修改文件）；</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1.1.5 </w:t>
      </w:r>
      <w:r>
        <w:rPr>
          <w:rFonts w:hint="eastAsia" w:ascii="仿宋" w:hAnsi="仿宋" w:eastAsia="仿宋"/>
          <w:color w:val="000000" w:themeColor="text1"/>
          <w:sz w:val="24"/>
          <w:highlight w:val="none"/>
          <w14:textFill>
            <w14:solidFill>
              <w14:schemeClr w14:val="tx1"/>
            </w14:solidFill>
          </w14:textFill>
        </w:rPr>
        <w:t>其他相关采购文件。</w:t>
      </w:r>
    </w:p>
    <w:bookmarkEnd w:id="395"/>
    <w:bookmarkEnd w:id="396"/>
    <w:bookmarkEnd w:id="397"/>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398" w:name="_Toc21551"/>
      <w:bookmarkStart w:id="399" w:name="_Toc21631"/>
      <w:bookmarkStart w:id="400" w:name="_Toc23292"/>
      <w:r>
        <w:rPr>
          <w:rFonts w:ascii="仿宋" w:hAnsi="仿宋" w:eastAsia="仿宋"/>
          <w:b/>
          <w:color w:val="000000" w:themeColor="text1"/>
          <w:sz w:val="24"/>
          <w:highlight w:val="none"/>
          <w14:textFill>
            <w14:solidFill>
              <w14:schemeClr w14:val="tx1"/>
            </w14:solidFill>
          </w14:textFill>
        </w:rPr>
        <w:t xml:space="preserve">1.2 </w:t>
      </w:r>
      <w:r>
        <w:rPr>
          <w:rFonts w:hint="eastAsia" w:ascii="仿宋" w:hAnsi="仿宋" w:eastAsia="仿宋"/>
          <w:b/>
          <w:color w:val="000000" w:themeColor="text1"/>
          <w:sz w:val="24"/>
          <w:highlight w:val="none"/>
          <w14:textFill>
            <w14:solidFill>
              <w14:schemeClr w14:val="tx1"/>
            </w14:solidFill>
          </w14:textFill>
        </w:rPr>
        <w:t>货物</w:t>
      </w:r>
    </w:p>
    <w:p>
      <w:pPr>
        <w:spacing w:line="560" w:lineRule="exact"/>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1.2.1 </w:t>
      </w:r>
      <w:r>
        <w:rPr>
          <w:rFonts w:hint="eastAsia" w:ascii="仿宋" w:hAnsi="仿宋" w:eastAsia="仿宋"/>
          <w:color w:val="000000" w:themeColor="text1"/>
          <w:sz w:val="24"/>
          <w:highlight w:val="none"/>
          <w14:textFill>
            <w14:solidFill>
              <w14:schemeClr w14:val="tx1"/>
            </w14:solidFill>
          </w14:textFill>
        </w:rPr>
        <w:t>货物名称：</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1.2.2 </w:t>
      </w:r>
      <w:r>
        <w:rPr>
          <w:rFonts w:hint="eastAsia" w:ascii="仿宋" w:hAnsi="仿宋" w:eastAsia="仿宋"/>
          <w:color w:val="000000" w:themeColor="text1"/>
          <w:sz w:val="24"/>
          <w:highlight w:val="none"/>
          <w14:textFill>
            <w14:solidFill>
              <w14:schemeClr w14:val="tx1"/>
            </w14:solidFill>
          </w14:textFill>
        </w:rPr>
        <w:t>货物数量：</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1.2.3 </w:t>
      </w:r>
      <w:r>
        <w:rPr>
          <w:rFonts w:hint="eastAsia" w:ascii="仿宋" w:hAnsi="仿宋" w:eastAsia="仿宋"/>
          <w:color w:val="000000" w:themeColor="text1"/>
          <w:sz w:val="24"/>
          <w:highlight w:val="none"/>
          <w14:textFill>
            <w14:solidFill>
              <w14:schemeClr w14:val="tx1"/>
            </w14:solidFill>
          </w14:textFill>
        </w:rPr>
        <w:t>货物质量：</w:t>
      </w:r>
      <w:r>
        <w:rPr>
          <w:rFonts w:hint="eastAsia" w:ascii="仿宋" w:hAnsi="仿宋" w:eastAsia="仿宋"/>
          <w:color w:val="000000" w:themeColor="text1"/>
          <w:sz w:val="24"/>
          <w:highlight w:val="none"/>
          <w:u w:val="single"/>
          <w14:textFill>
            <w14:solidFill>
              <w14:schemeClr w14:val="tx1"/>
            </w14:solidFill>
          </w14:textFill>
        </w:rPr>
        <w:t>　　　　　　　　　</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w:t>
      </w:r>
    </w:p>
    <w:bookmarkEnd w:id="398"/>
    <w:bookmarkEnd w:id="399"/>
    <w:bookmarkEnd w:id="400"/>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01" w:name="_Toc22618"/>
      <w:bookmarkStart w:id="402" w:name="_Toc10340"/>
      <w:bookmarkStart w:id="403" w:name="_Toc1814"/>
      <w:r>
        <w:rPr>
          <w:rFonts w:ascii="仿宋" w:hAnsi="仿宋" w:eastAsia="仿宋"/>
          <w:b/>
          <w:color w:val="000000" w:themeColor="text1"/>
          <w:sz w:val="24"/>
          <w:highlight w:val="none"/>
          <w14:textFill>
            <w14:solidFill>
              <w14:schemeClr w14:val="tx1"/>
            </w14:solidFill>
          </w14:textFill>
        </w:rPr>
        <w:t xml:space="preserve">1.3 </w:t>
      </w:r>
      <w:r>
        <w:rPr>
          <w:rFonts w:hint="eastAsia" w:ascii="仿宋" w:hAnsi="仿宋" w:eastAsia="仿宋"/>
          <w:b/>
          <w:color w:val="000000" w:themeColor="text1"/>
          <w:sz w:val="24"/>
          <w:highlight w:val="none"/>
          <w14:textFill>
            <w14:solidFill>
              <w14:schemeClr w14:val="tx1"/>
            </w14:solidFill>
          </w14:textFill>
        </w:rPr>
        <w:t>价款</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本合同总价为：￥</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元（大写：</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元人民币）。</w:t>
      </w:r>
    </w:p>
    <w:p>
      <w:pPr>
        <w:spacing w:line="560" w:lineRule="exact"/>
        <w:ind w:firstLine="480" w:firstLineChars="20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bookmarkEnd w:id="401"/>
      <w:bookmarkEnd w:id="402"/>
      <w:bookmarkEnd w:id="403"/>
    </w:tbl>
    <w:p>
      <w:pPr>
        <w:spacing w:line="560" w:lineRule="exact"/>
        <w:ind w:firstLine="482" w:firstLineChars="200"/>
        <w:rPr>
          <w:rFonts w:hint="eastAsia" w:ascii="仿宋" w:hAnsi="仿宋" w:eastAsia="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1.4 付款方式、时间和条件</w:t>
      </w:r>
    </w:p>
    <w:p>
      <w:pPr>
        <w:spacing w:line="560" w:lineRule="exact"/>
        <w:ind w:firstLine="480" w:firstLineChars="200"/>
        <w:rPr>
          <w:rFonts w:hint="eastAsia" w:ascii="仿宋" w:hAnsi="仿宋" w:eastAsia="仿宋"/>
          <w:color w:val="000000" w:themeColor="text1"/>
          <w:sz w:val="24"/>
          <w:highlight w:val="none"/>
          <w14:textFill>
            <w14:solidFill>
              <w14:schemeClr w14:val="tx1"/>
            </w14:solidFill>
          </w14:textFill>
        </w:rPr>
      </w:pPr>
      <w:bookmarkStart w:id="404" w:name="_Toc2846"/>
      <w:bookmarkStart w:id="405" w:name="_Toc32071"/>
      <w:bookmarkStart w:id="406" w:name="_Toc19304"/>
      <w:r>
        <w:rPr>
          <w:rFonts w:hint="eastAsia" w:ascii="仿宋" w:hAnsi="仿宋" w:eastAsia="仿宋"/>
          <w:color w:val="000000" w:themeColor="text1"/>
          <w:sz w:val="24"/>
          <w:highlight w:val="none"/>
          <w14:textFill>
            <w14:solidFill>
              <w14:schemeClr w14:val="tx1"/>
            </w14:solidFill>
          </w14:textFill>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1.4.3甲方迟延支付乙方款项的，向乙方支付逾期利息。双方可以在合同专用条款中约定逾期利率，约定利率不得低于合同订立时</w:t>
      </w:r>
      <w:r>
        <w:rPr>
          <w:rFonts w:ascii="仿宋" w:hAnsi="仿宋" w:eastAsia="仿宋"/>
          <w:color w:val="000000" w:themeColor="text1"/>
          <w:sz w:val="24"/>
          <w:highlight w:val="none"/>
          <w14:textFill>
            <w14:solidFill>
              <w14:schemeClr w14:val="tx1"/>
            </w14:solidFill>
          </w14:textFill>
        </w:rPr>
        <w:t>1年</w:t>
      </w:r>
      <w:r>
        <w:rPr>
          <w:rFonts w:hint="eastAsia" w:ascii="仿宋" w:hAnsi="仿宋" w:eastAsia="仿宋"/>
          <w:color w:val="000000" w:themeColor="text1"/>
          <w:sz w:val="24"/>
          <w:highlight w:val="none"/>
          <w14:textFill>
            <w14:solidFill>
              <w14:schemeClr w14:val="tx1"/>
            </w14:solidFill>
          </w14:textFill>
        </w:rPr>
        <w:t>期贷款市场报价利率；未作约定的，按照每日利率万分之五支付逾期利息。</w:t>
      </w:r>
    </w:p>
    <w:p>
      <w:pPr>
        <w:spacing w:line="560" w:lineRule="exact"/>
        <w:ind w:firstLine="480" w:firstLineChars="200"/>
        <w:outlineLvl w:val="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1.4.4资金支付的方式、时间和条件详见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0" w:firstLineChars="200"/>
        <w:outlineLvl w:val="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1.4.5</w:t>
      </w:r>
      <w:r>
        <w:rPr>
          <w:rFonts w:hint="eastAsia" w:ascii="仿宋" w:hAnsi="仿宋" w:eastAsia="仿宋"/>
          <w:color w:val="000000" w:themeColor="text1"/>
          <w:sz w:val="24"/>
          <w:highlight w:val="none"/>
          <w14:textFill>
            <w14:solidFill>
              <w14:schemeClr w14:val="tx1"/>
            </w14:solidFill>
          </w14:textFill>
        </w:rPr>
        <w:t>乙方</w:t>
      </w:r>
      <w:r>
        <w:rPr>
          <w:rFonts w:ascii="仿宋" w:hAnsi="仿宋" w:eastAsia="仿宋"/>
          <w:color w:val="000000" w:themeColor="text1"/>
          <w:sz w:val="24"/>
          <w:highlight w:val="none"/>
          <w14:textFill>
            <w14:solidFill>
              <w14:schemeClr w14:val="tx1"/>
            </w14:solidFill>
          </w14:textFill>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themeColor="text1"/>
          <w:sz w:val="24"/>
          <w:highlight w:val="none"/>
          <w14:textFill>
            <w14:solidFill>
              <w14:schemeClr w14:val="tx1"/>
            </w14:solidFill>
          </w14:textFill>
        </w:rPr>
        <w:t>杭财采监〔</w:t>
      </w:r>
      <w:r>
        <w:rPr>
          <w:rFonts w:ascii="仿宋" w:hAnsi="仿宋" w:eastAsia="仿宋"/>
          <w:color w:val="000000" w:themeColor="text1"/>
          <w:sz w:val="24"/>
          <w:highlight w:val="none"/>
          <w14:textFill>
            <w14:solidFill>
              <w14:schemeClr w14:val="tx1"/>
            </w14:solidFill>
          </w14:textFill>
        </w:rPr>
        <w:t>2021〕17号）。</w:t>
      </w:r>
    </w:p>
    <w:bookmarkEnd w:id="404"/>
    <w:bookmarkEnd w:id="405"/>
    <w:bookmarkEnd w:id="406"/>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 xml:space="preserve">1.5 </w:t>
      </w:r>
      <w:r>
        <w:rPr>
          <w:rFonts w:hint="eastAsia" w:ascii="仿宋" w:hAnsi="仿宋" w:eastAsia="仿宋"/>
          <w:b/>
          <w:color w:val="000000" w:themeColor="text1"/>
          <w:sz w:val="24"/>
          <w:highlight w:val="none"/>
          <w14:textFill>
            <w14:solidFill>
              <w14:schemeClr w14:val="tx1"/>
            </w14:solidFill>
          </w14:textFill>
        </w:rPr>
        <w:t>货物交付期限、地点和方式</w:t>
      </w:r>
    </w:p>
    <w:p>
      <w:pPr>
        <w:spacing w:line="560" w:lineRule="exact"/>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1.5.1 </w:t>
      </w:r>
      <w:r>
        <w:rPr>
          <w:rFonts w:hint="eastAsia" w:ascii="仿宋" w:hAnsi="仿宋" w:eastAsia="仿宋"/>
          <w:color w:val="000000" w:themeColor="text1"/>
          <w:sz w:val="24"/>
          <w:highlight w:val="none"/>
          <w14:textFill>
            <w14:solidFill>
              <w14:schemeClr w14:val="tx1"/>
            </w14:solidFill>
          </w14:textFill>
        </w:rPr>
        <w:t>交付期限：</w:t>
      </w:r>
      <w:r>
        <w:rPr>
          <w:rFonts w:ascii="仿宋" w:hAnsi="仿宋" w:eastAsia="仿宋"/>
          <w:color w:val="000000" w:themeColor="text1"/>
          <w:sz w:val="24"/>
          <w:highlight w:val="none"/>
          <w14:textFill>
            <w14:solidFill>
              <w14:schemeClr w14:val="tx1"/>
            </w14:solidFill>
          </w14:textFill>
        </w:rPr>
        <w:t>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1.5.2 </w:t>
      </w:r>
      <w:r>
        <w:rPr>
          <w:rFonts w:hint="eastAsia" w:ascii="仿宋" w:hAnsi="仿宋" w:eastAsia="仿宋"/>
          <w:color w:val="000000" w:themeColor="text1"/>
          <w:sz w:val="24"/>
          <w:highlight w:val="none"/>
          <w14:textFill>
            <w14:solidFill>
              <w14:schemeClr w14:val="tx1"/>
            </w14:solidFill>
          </w14:textFill>
        </w:rPr>
        <w:t>交付地点：</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pacing w:line="360" w:lineRule="auto"/>
        <w:ind w:firstLine="480" w:firstLineChars="200"/>
        <w:rPr>
          <w:rFonts w:ascii="仿宋_GB2312" w:hAnsi="楷体" w:eastAsia="仿宋_GB2312"/>
          <w:sz w:val="24"/>
        </w:rPr>
      </w:pPr>
      <w:r>
        <w:rPr>
          <w:rFonts w:ascii="仿宋" w:hAnsi="仿宋" w:eastAsia="仿宋"/>
          <w:color w:val="000000" w:themeColor="text1"/>
          <w:sz w:val="24"/>
          <w:highlight w:val="none"/>
          <w14:textFill>
            <w14:solidFill>
              <w14:schemeClr w14:val="tx1"/>
            </w14:solidFill>
          </w14:textFill>
        </w:rPr>
        <w:t xml:space="preserve">1.5.3 </w:t>
      </w:r>
      <w:r>
        <w:rPr>
          <w:rFonts w:hint="eastAsia" w:ascii="仿宋" w:hAnsi="仿宋" w:eastAsia="仿宋"/>
          <w:color w:val="000000" w:themeColor="text1"/>
          <w:sz w:val="24"/>
          <w:highlight w:val="none"/>
          <w14:textFill>
            <w14:solidFill>
              <w14:schemeClr w14:val="tx1"/>
            </w14:solidFill>
          </w14:textFill>
        </w:rPr>
        <w:t>交付方式：</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07" w:name="_Toc19554"/>
      <w:bookmarkStart w:id="408" w:name="_Toc27250"/>
      <w:bookmarkStart w:id="409" w:name="_Toc21423"/>
      <w:bookmarkStart w:id="410" w:name="_Toc28375"/>
      <w:bookmarkStart w:id="411" w:name="_Toc16021"/>
      <w:bookmarkStart w:id="412" w:name="_Toc15583"/>
      <w:r>
        <w:rPr>
          <w:rFonts w:ascii="仿宋" w:hAnsi="仿宋" w:eastAsia="仿宋"/>
          <w:b/>
          <w:color w:val="000000" w:themeColor="text1"/>
          <w:sz w:val="24"/>
          <w:highlight w:val="none"/>
          <w14:textFill>
            <w14:solidFill>
              <w14:schemeClr w14:val="tx1"/>
            </w14:solidFill>
          </w14:textFill>
        </w:rPr>
        <w:t xml:space="preserve">1.6 </w:t>
      </w:r>
      <w:r>
        <w:rPr>
          <w:rFonts w:hint="eastAsia" w:ascii="仿宋" w:hAnsi="仿宋" w:eastAsia="仿宋"/>
          <w:b/>
          <w:color w:val="000000" w:themeColor="text1"/>
          <w:sz w:val="24"/>
          <w:highlight w:val="none"/>
          <w14:textFill>
            <w14:solidFill>
              <w14:schemeClr w14:val="tx1"/>
            </w14:solidFill>
          </w14:textFill>
        </w:rPr>
        <w:t>违约责任</w:t>
      </w:r>
      <w:bookmarkEnd w:id="407"/>
      <w:bookmarkEnd w:id="408"/>
      <w:bookmarkEnd w:id="409"/>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1.6.1 </w:t>
      </w:r>
      <w:r>
        <w:rPr>
          <w:rFonts w:hint="eastAsia" w:ascii="仿宋" w:hAnsi="仿宋" w:eastAsia="仿宋"/>
          <w:color w:val="000000" w:themeColor="text1"/>
          <w:sz w:val="24"/>
          <w:highlight w:val="none"/>
          <w14:textFill>
            <w14:solidFill>
              <w14:schemeClr w14:val="tx1"/>
            </w14:solidFill>
          </w14:textFill>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0.05</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%计算，最高限额为本合同总价的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20</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1.6.2 </w:t>
      </w:r>
      <w:r>
        <w:rPr>
          <w:rFonts w:hint="eastAsia" w:ascii="仿宋" w:hAnsi="仿宋" w:eastAsia="仿宋"/>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0.05</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%计算，最高限额为本合同总价的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20</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1.6.3 </w:t>
      </w:r>
      <w:r>
        <w:rPr>
          <w:rFonts w:hint="eastAsia" w:ascii="仿宋" w:hAnsi="仿宋" w:eastAsia="仿宋"/>
          <w:color w:val="000000" w:themeColor="text1"/>
          <w:sz w:val="24"/>
          <w:highlight w:val="none"/>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1.6.4 </w:t>
      </w:r>
      <w:r>
        <w:rPr>
          <w:rFonts w:hint="eastAsia" w:ascii="仿宋" w:hAnsi="仿宋" w:eastAsia="仿宋"/>
          <w:color w:val="000000" w:themeColor="text1"/>
          <w:sz w:val="24"/>
          <w:highlight w:val="none"/>
          <w14:textFill>
            <w14:solidFill>
              <w14:schemeClr w14:val="tx1"/>
            </w14:solidFill>
          </w14:textFill>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1.6.5 </w:t>
      </w:r>
      <w:r>
        <w:rPr>
          <w:rFonts w:hint="eastAsia" w:ascii="仿宋" w:hAnsi="仿宋" w:eastAsia="仿宋"/>
          <w:color w:val="000000" w:themeColor="text1"/>
          <w:sz w:val="24"/>
          <w:highlight w:val="none"/>
          <w14:textFill>
            <w14:solidFill>
              <w14:schemeClr w14:val="tx1"/>
            </w14:solidFill>
          </w14:textFill>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1.6.6 </w:t>
      </w:r>
      <w:r>
        <w:rPr>
          <w:rFonts w:hint="eastAsia" w:ascii="仿宋" w:hAnsi="仿宋" w:eastAsia="仿宋"/>
          <w:color w:val="000000" w:themeColor="text1"/>
          <w:sz w:val="24"/>
          <w:highlight w:val="none"/>
          <w14:textFill>
            <w14:solidFill>
              <w14:schemeClr w14:val="tx1"/>
            </w14:solidFill>
          </w14:textFill>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color w:val="000000" w:themeColor="text1"/>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1.6.7违约责任</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另有约定的，从其约定。</w:t>
      </w:r>
    </w:p>
    <w:bookmarkEnd w:id="410"/>
    <w:bookmarkEnd w:id="411"/>
    <w:bookmarkEnd w:id="412"/>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13" w:name="_Toc331685783"/>
      <w:r>
        <w:rPr>
          <w:rFonts w:ascii="仿宋" w:hAnsi="仿宋" w:eastAsia="仿宋"/>
          <w:b/>
          <w:color w:val="000000" w:themeColor="text1"/>
          <w:sz w:val="24"/>
          <w:highlight w:val="none"/>
          <w14:textFill>
            <w14:solidFill>
              <w14:schemeClr w14:val="tx1"/>
            </w14:solidFill>
          </w14:textFill>
        </w:rPr>
        <w:t xml:space="preserve">1.7 </w:t>
      </w:r>
      <w:r>
        <w:rPr>
          <w:rFonts w:hint="eastAsia" w:ascii="仿宋" w:hAnsi="仿宋" w:eastAsia="仿宋"/>
          <w:b/>
          <w:color w:val="000000" w:themeColor="text1"/>
          <w:sz w:val="24"/>
          <w:highlight w:val="none"/>
          <w14:textFill>
            <w14:solidFill>
              <w14:schemeClr w14:val="tx1"/>
            </w14:solidFill>
          </w14:textFill>
        </w:rPr>
        <w:t>合同争议的解决</w:t>
      </w:r>
    </w:p>
    <w:p>
      <w:pPr>
        <w:spacing w:line="560" w:lineRule="exact"/>
        <w:ind w:left="-61" w:leftChars="-29" w:right="-420" w:rightChars="-200" w:firstLine="240" w:firstLineChars="1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仿宋" w:hAnsi="仿宋" w:eastAsia="仿宋"/>
          <w:b/>
          <w:i/>
          <w:color w:val="000000" w:themeColor="text1"/>
          <w:sz w:val="24"/>
          <w:highlight w:val="none"/>
          <w:u w:val="single"/>
          <w14:textFill>
            <w14:solidFill>
              <w14:schemeClr w14:val="tx1"/>
            </w14:solidFill>
          </w14:textFill>
        </w:rPr>
        <w:t xml:space="preserve"> 合同专用条款  </w:t>
      </w:r>
      <w:r>
        <w:rPr>
          <w:rFonts w:hint="eastAsia" w:ascii="仿宋" w:hAnsi="仿宋" w:eastAsia="仿宋"/>
          <w:color w:val="000000" w:themeColor="text1"/>
          <w:sz w:val="24"/>
          <w:highlight w:val="none"/>
          <w14:textFill>
            <w14:solidFill>
              <w14:schemeClr w14:val="tx1"/>
            </w14:solidFill>
          </w14:textFill>
        </w:rPr>
        <w:t>条款规定的方式解决：</w:t>
      </w:r>
    </w:p>
    <w:p>
      <w:pPr>
        <w:spacing w:line="560" w:lineRule="exact"/>
        <w:ind w:left="-420" w:leftChars="-200" w:right="-420" w:rightChars="-200" w:firstLine="600" w:firstLineChars="25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1.7.1 </w:t>
      </w:r>
      <w:r>
        <w:rPr>
          <w:rFonts w:hint="eastAsia" w:ascii="仿宋" w:hAnsi="仿宋" w:eastAsia="仿宋"/>
          <w:color w:val="000000" w:themeColor="text1"/>
          <w:sz w:val="24"/>
          <w:highlight w:val="none"/>
          <w14:textFill>
            <w14:solidFill>
              <w14:schemeClr w14:val="tx1"/>
            </w14:solidFill>
          </w14:textFill>
        </w:rPr>
        <w:t>将争议提交</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1.7.2 </w:t>
      </w:r>
      <w:r>
        <w:rPr>
          <w:rFonts w:hint="eastAsia" w:ascii="仿宋" w:hAnsi="仿宋" w:eastAsia="仿宋"/>
          <w:color w:val="000000" w:themeColor="text1"/>
          <w:sz w:val="24"/>
          <w:highlight w:val="none"/>
          <w14:textFill>
            <w14:solidFill>
              <w14:schemeClr w14:val="tx1"/>
            </w14:solidFill>
          </w14:textFill>
        </w:rPr>
        <w:t>向</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人民法院起诉。</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14" w:name="_Toc7245"/>
      <w:bookmarkStart w:id="415" w:name="_Toc11173"/>
      <w:bookmarkStart w:id="416" w:name="_Toc15322"/>
      <w:r>
        <w:rPr>
          <w:rFonts w:ascii="仿宋" w:hAnsi="仿宋" w:eastAsia="仿宋"/>
          <w:b/>
          <w:color w:val="000000" w:themeColor="text1"/>
          <w:sz w:val="24"/>
          <w:highlight w:val="none"/>
          <w14:textFill>
            <w14:solidFill>
              <w14:schemeClr w14:val="tx1"/>
            </w14:solidFill>
          </w14:textFill>
        </w:rPr>
        <w:t xml:space="preserve">1.8 </w:t>
      </w:r>
      <w:r>
        <w:rPr>
          <w:rFonts w:hint="eastAsia" w:ascii="仿宋" w:hAnsi="仿宋" w:eastAsia="仿宋"/>
          <w:b/>
          <w:color w:val="000000" w:themeColor="text1"/>
          <w:sz w:val="24"/>
          <w:highlight w:val="none"/>
          <w14:textFill>
            <w14:solidFill>
              <w14:schemeClr w14:val="tx1"/>
            </w14:solidFill>
          </w14:textFill>
        </w:rPr>
        <w:t>合同生效</w:t>
      </w:r>
      <w:bookmarkEnd w:id="414"/>
      <w:bookmarkEnd w:id="415"/>
      <w:bookmarkEnd w:id="416"/>
    </w:p>
    <w:p>
      <w:pPr>
        <w:spacing w:line="560" w:lineRule="exact"/>
        <w:ind w:firstLine="480" w:firstLineChars="20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本合同自双方当事人盖章或者签字时生效。</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b/>
          <w:color w:val="000000" w:themeColor="text1"/>
          <w:sz w:val="24"/>
          <w:highlight w:val="none"/>
          <w:lang w:val="zh-CN"/>
          <w14:textFill>
            <w14:solidFill>
              <w14:schemeClr w14:val="tx1"/>
            </w14:solidFill>
          </w14:textFill>
        </w:rPr>
        <w:t>甲方</w:t>
      </w:r>
      <w:r>
        <w:rPr>
          <w:rFonts w:hint="eastAsia" w:ascii="仿宋" w:hAnsi="仿宋" w:eastAsia="仿宋"/>
          <w:color w:val="000000" w:themeColor="text1"/>
          <w:sz w:val="24"/>
          <w:highlight w:val="none"/>
          <w:lang w:val="zh-CN"/>
          <w14:textFill>
            <w14:solidFill>
              <w14:schemeClr w14:val="tx1"/>
            </w14:solidFill>
          </w14:textFill>
        </w:rPr>
        <w:t>：</w:t>
      </w:r>
      <w:r>
        <w:rPr>
          <w:rFonts w:ascii="仿宋" w:hAnsi="仿宋" w:eastAsia="仿宋"/>
          <w:color w:val="000000" w:themeColor="text1"/>
          <w:sz w:val="24"/>
          <w:highlight w:val="none"/>
          <w:lang w:val="zh-CN"/>
          <w14:textFill>
            <w14:solidFill>
              <w14:schemeClr w14:val="tx1"/>
            </w14:solidFill>
          </w14:textFill>
        </w:rPr>
        <w:t xml:space="preserve">                             </w:t>
      </w:r>
      <w:r>
        <w:rPr>
          <w:rFonts w:ascii="仿宋" w:hAnsi="仿宋" w:eastAsia="仿宋"/>
          <w:b/>
          <w:color w:val="000000" w:themeColor="text1"/>
          <w:sz w:val="24"/>
          <w:highlight w:val="none"/>
          <w:lang w:val="zh-CN"/>
          <w14:textFill>
            <w14:solidFill>
              <w14:schemeClr w14:val="tx1"/>
            </w14:solidFill>
          </w14:textFill>
        </w:rPr>
        <w:t xml:space="preserve">      乙方</w:t>
      </w:r>
      <w:r>
        <w:rPr>
          <w:rFonts w:hint="eastAsia" w:ascii="仿宋" w:hAnsi="仿宋" w:eastAsia="仿宋"/>
          <w:color w:val="000000" w:themeColor="text1"/>
          <w:sz w:val="24"/>
          <w:highlight w:val="none"/>
          <w:lang w:val="zh-CN"/>
          <w14:textFill>
            <w14:solidFill>
              <w14:schemeClr w14:val="tx1"/>
            </w14:solidFill>
          </w14:textFill>
        </w:rPr>
        <w:t>：</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统一社会信用代码：</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统一社会信用代码或身份证号码：</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住所：</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住所：</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法定代表人或</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法定代表人</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授权代表（签字）：</w:t>
      </w:r>
      <w:r>
        <w:rPr>
          <w:rFonts w:ascii="仿宋" w:hAnsi="仿宋" w:eastAsia="仿宋"/>
          <w:color w:val="000000" w:themeColor="text1"/>
          <w:sz w:val="24"/>
          <w:highlight w:val="none"/>
          <w:lang w:val="zh-CN"/>
          <w14:textFill>
            <w14:solidFill>
              <w14:schemeClr w14:val="tx1"/>
            </w14:solidFill>
          </w14:textFill>
        </w:rPr>
        <w:t xml:space="preserve">                        或授权代表（签字）: </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联系人：</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联系人：</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约定送达地址：</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约定送达地址：</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邮政编码：</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邮政编码：</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电话</w:t>
      </w:r>
      <w:r>
        <w:rPr>
          <w:rFonts w:ascii="仿宋" w:hAnsi="仿宋" w:eastAsia="仿宋"/>
          <w:color w:val="000000" w:themeColor="text1"/>
          <w:sz w:val="24"/>
          <w:highlight w:val="none"/>
          <w:lang w:val="zh-CN"/>
          <w14:textFill>
            <w14:solidFill>
              <w14:schemeClr w14:val="tx1"/>
            </w14:solidFill>
          </w14:textFill>
        </w:rPr>
        <w:t xml:space="preserve">:                                    电话: </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传真</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传真</w:t>
      </w:r>
      <w:r>
        <w:rPr>
          <w:rFonts w:ascii="仿宋" w:hAnsi="仿宋" w:eastAsia="仿宋"/>
          <w:color w:val="000000" w:themeColor="text1"/>
          <w:sz w:val="24"/>
          <w:highlight w:val="none"/>
          <w:lang w:val="zh-CN"/>
          <w14:textFill>
            <w14:solidFill>
              <w14:schemeClr w14:val="tx1"/>
            </w14:solidFill>
          </w14:textFill>
        </w:rPr>
        <w:t>:</w:t>
      </w:r>
    </w:p>
    <w:p>
      <w:pPr>
        <w:autoSpaceDE w:val="0"/>
        <w:autoSpaceDN w:val="0"/>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电子邮箱：</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电子邮箱：</w:t>
      </w:r>
    </w:p>
    <w:p>
      <w:pPr>
        <w:autoSpaceDE w:val="0"/>
        <w:autoSpaceDN w:val="0"/>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开户银行：</w:t>
      </w:r>
      <w:r>
        <w:rPr>
          <w:rFonts w:ascii="仿宋" w:hAnsi="仿宋" w:eastAsia="仿宋"/>
          <w:color w:val="000000" w:themeColor="text1"/>
          <w:sz w:val="24"/>
          <w:highlight w:val="none"/>
          <w14:textFill>
            <w14:solidFill>
              <w14:schemeClr w14:val="tx1"/>
            </w14:solidFill>
          </w14:textFill>
        </w:rPr>
        <w:t xml:space="preserve">                               开户银行： </w:t>
      </w:r>
    </w:p>
    <w:p>
      <w:pPr>
        <w:autoSpaceDE w:val="0"/>
        <w:autoSpaceDN w:val="0"/>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开户名称：</w:t>
      </w:r>
      <w:r>
        <w:rPr>
          <w:rFonts w:ascii="仿宋" w:hAnsi="仿宋" w:eastAsia="仿宋"/>
          <w:color w:val="000000" w:themeColor="text1"/>
          <w:sz w:val="24"/>
          <w:highlight w:val="none"/>
          <w14:textFill>
            <w14:solidFill>
              <w14:schemeClr w14:val="tx1"/>
            </w14:solidFill>
          </w14:textFill>
        </w:rPr>
        <w:t xml:space="preserve">                               开户名称： </w:t>
      </w:r>
    </w:p>
    <w:p>
      <w:pPr>
        <w:widowControl/>
        <w:jc w:val="left"/>
        <w:rPr>
          <w:rFonts w:ascii="仿宋_GB2312" w:hAnsi="楷体" w:eastAsia="仿宋_GB2312"/>
          <w:b/>
          <w:sz w:val="24"/>
        </w:rPr>
      </w:pPr>
      <w:r>
        <w:rPr>
          <w:rFonts w:hint="eastAsia" w:ascii="仿宋" w:hAnsi="仿宋" w:eastAsia="仿宋"/>
          <w:color w:val="000000" w:themeColor="text1"/>
          <w:sz w:val="24"/>
          <w:highlight w:val="none"/>
          <w14:textFill>
            <w14:solidFill>
              <w14:schemeClr w14:val="tx1"/>
            </w14:solidFill>
          </w14:textFill>
        </w:rPr>
        <w:t>开户账号：</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开户账号：</w:t>
      </w:r>
      <w:r>
        <w:rPr>
          <w:rFonts w:hint="eastAsia" w:ascii="仿宋_GB2312" w:hAnsi="楷体" w:eastAsia="仿宋_GB2312"/>
          <w:b/>
        </w:rPr>
        <w:br w:type="page"/>
      </w:r>
    </w:p>
    <w:bookmarkEnd w:id="413"/>
    <w:p>
      <w:pPr>
        <w:pStyle w:val="330"/>
        <w:spacing w:line="560" w:lineRule="exact"/>
        <w:ind w:firstLine="482"/>
        <w:jc w:val="center"/>
        <w:rPr>
          <w:rFonts w:ascii="仿宋" w:hAnsi="仿宋" w:eastAsia="仿宋"/>
          <w:b/>
          <w:color w:val="000000" w:themeColor="text1"/>
          <w:szCs w:val="24"/>
          <w:highlight w:val="none"/>
          <w14:textFill>
            <w14:solidFill>
              <w14:schemeClr w14:val="tx1"/>
            </w14:solidFill>
          </w14:textFill>
        </w:rPr>
      </w:pPr>
      <w:bookmarkStart w:id="417" w:name="_Toc331685784"/>
      <w:r>
        <w:rPr>
          <w:rFonts w:hint="eastAsia" w:ascii="仿宋" w:hAnsi="仿宋" w:eastAsia="仿宋"/>
          <w:b/>
          <w:color w:val="000000" w:themeColor="text1"/>
          <w:szCs w:val="24"/>
          <w:highlight w:val="none"/>
          <w14:textFill>
            <w14:solidFill>
              <w14:schemeClr w14:val="tx1"/>
            </w14:solidFill>
          </w14:textFill>
        </w:rPr>
        <w:t>第二部分</w:t>
      </w:r>
      <w:r>
        <w:rPr>
          <w:rFonts w:ascii="仿宋" w:hAnsi="仿宋" w:eastAsia="仿宋"/>
          <w:b/>
          <w:color w:val="000000" w:themeColor="text1"/>
          <w:szCs w:val="24"/>
          <w:highlight w:val="none"/>
          <w14:textFill>
            <w14:solidFill>
              <w14:schemeClr w14:val="tx1"/>
            </w14:solidFill>
          </w14:textFill>
        </w:rPr>
        <w:t xml:space="preserve"> </w:t>
      </w:r>
      <w:r>
        <w:rPr>
          <w:rFonts w:hint="eastAsia" w:ascii="仿宋" w:hAnsi="仿宋" w:eastAsia="仿宋"/>
          <w:b/>
          <w:color w:val="000000" w:themeColor="text1"/>
          <w:szCs w:val="24"/>
          <w:highlight w:val="none"/>
          <w14:textFill>
            <w14:solidFill>
              <w14:schemeClr w14:val="tx1"/>
            </w14:solidFill>
          </w14:textFill>
        </w:rPr>
        <w:t>合同一般条款</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18" w:name="_Ref467379094"/>
      <w:bookmarkStart w:id="419" w:name="_Ref467379225"/>
      <w:bookmarkStart w:id="420" w:name="_Ref467378499"/>
      <w:bookmarkStart w:id="421" w:name="_Toc16917"/>
      <w:bookmarkStart w:id="422" w:name="_Ref467378463"/>
      <w:bookmarkStart w:id="423" w:name="_Toc28763"/>
      <w:bookmarkStart w:id="424" w:name="_Ref467379109"/>
      <w:bookmarkStart w:id="425" w:name="_Ref467379205"/>
      <w:bookmarkStart w:id="426" w:name="_Ref467379195"/>
      <w:bookmarkStart w:id="427" w:name="_Toc19614"/>
      <w:bookmarkStart w:id="428" w:name="_Ref467379214"/>
      <w:bookmarkStart w:id="429" w:name="_Toc259093669"/>
      <w:bookmarkStart w:id="430" w:name="_Ref467379101"/>
      <w:bookmarkStart w:id="431" w:name="_Toc487900349"/>
      <w:bookmarkStart w:id="432" w:name="_Ref467378404"/>
      <w:bookmarkStart w:id="433" w:name="_Toc279701240"/>
      <w:r>
        <w:rPr>
          <w:rFonts w:ascii="仿宋" w:hAnsi="仿宋" w:eastAsia="仿宋"/>
          <w:b/>
          <w:color w:val="000000" w:themeColor="text1"/>
          <w:sz w:val="24"/>
          <w:highlight w:val="none"/>
          <w14:textFill>
            <w14:solidFill>
              <w14:schemeClr w14:val="tx1"/>
            </w14:solidFill>
          </w14:textFill>
        </w:rPr>
        <w:t xml:space="preserve">2.1 </w:t>
      </w:r>
      <w:r>
        <w:rPr>
          <w:rFonts w:hint="eastAsia" w:ascii="仿宋" w:hAnsi="仿宋" w:eastAsia="仿宋"/>
          <w:b/>
          <w:color w:val="000000" w:themeColor="text1"/>
          <w:sz w:val="24"/>
          <w:highlight w:val="none"/>
          <w14:textFill>
            <w14:solidFill>
              <w14:schemeClr w14:val="tx1"/>
            </w14:solidFill>
          </w14:textFill>
        </w:rPr>
        <w:t>定义</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本合同中的下列词语应按以下内容进行解释：</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2.1.1 </w:t>
      </w:r>
      <w:r>
        <w:rPr>
          <w:rFonts w:hint="eastAsia" w:ascii="仿宋" w:hAnsi="仿宋" w:eastAsia="仿宋"/>
          <w:color w:val="000000" w:themeColor="text1"/>
          <w:sz w:val="24"/>
          <w:highlight w:val="none"/>
          <w14:textFill>
            <w14:solidFill>
              <w14:schemeClr w14:val="tx1"/>
            </w14:solidFill>
          </w14:textFill>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2.1.2 </w:t>
      </w:r>
      <w:r>
        <w:rPr>
          <w:rFonts w:hint="eastAsia" w:ascii="仿宋" w:hAnsi="仿宋" w:eastAsia="仿宋"/>
          <w:color w:val="000000" w:themeColor="text1"/>
          <w:sz w:val="24"/>
          <w:highlight w:val="none"/>
          <w14:textFill>
            <w14:solidFill>
              <w14:schemeClr w14:val="tx1"/>
            </w14:solidFill>
          </w14:textFill>
        </w:rPr>
        <w:t>“合同价”系指根据合同约定，中标供应商在完全履行合同义务后，采购人应支付给中标供应商的价格。</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2.1.3 </w:t>
      </w:r>
      <w:r>
        <w:rPr>
          <w:rFonts w:hint="eastAsia" w:ascii="仿宋" w:hAnsi="仿宋" w:eastAsia="仿宋"/>
          <w:color w:val="000000" w:themeColor="text1"/>
          <w:sz w:val="24"/>
          <w:highlight w:val="none"/>
          <w14:textFill>
            <w14:solidFill>
              <w14:schemeClr w14:val="tx1"/>
            </w14:solidFill>
          </w14:textFill>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bookmarkStart w:id="434" w:name="_Ref467378840"/>
      <w:r>
        <w:rPr>
          <w:rFonts w:ascii="仿宋" w:hAnsi="仿宋" w:eastAsia="仿宋"/>
          <w:color w:val="000000" w:themeColor="text1"/>
          <w:sz w:val="24"/>
          <w:highlight w:val="none"/>
          <w14:textFill>
            <w14:solidFill>
              <w14:schemeClr w14:val="tx1"/>
            </w14:solidFill>
          </w14:textFill>
        </w:rPr>
        <w:t xml:space="preserve">2.1.4 </w:t>
      </w:r>
      <w:r>
        <w:rPr>
          <w:rFonts w:hint="eastAsia" w:ascii="仿宋" w:hAnsi="仿宋" w:eastAsia="仿宋"/>
          <w:color w:val="000000" w:themeColor="text1"/>
          <w:sz w:val="24"/>
          <w:highlight w:val="none"/>
          <w14:textFill>
            <w14:solidFill>
              <w14:schemeClr w14:val="tx1"/>
            </w14:solidFill>
          </w14:textFill>
        </w:rPr>
        <w:t>“甲方”系指与中标供应商签署合同的采购人</w:t>
      </w:r>
      <w:bookmarkEnd w:id="434"/>
      <w:r>
        <w:rPr>
          <w:rFonts w:hint="eastAsia" w:ascii="仿宋" w:hAnsi="仿宋" w:eastAsia="仿宋"/>
          <w:color w:val="000000" w:themeColor="text1"/>
          <w:sz w:val="24"/>
          <w:highlight w:val="none"/>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bookmarkStart w:id="435" w:name="_Ref467379400"/>
      <w:r>
        <w:rPr>
          <w:rFonts w:ascii="仿宋" w:hAnsi="仿宋" w:eastAsia="仿宋"/>
          <w:color w:val="000000" w:themeColor="text1"/>
          <w:sz w:val="24"/>
          <w:highlight w:val="none"/>
          <w14:textFill>
            <w14:solidFill>
              <w14:schemeClr w14:val="tx1"/>
            </w14:solidFill>
          </w14:textFill>
        </w:rPr>
        <w:t xml:space="preserve">2.1.5 </w:t>
      </w:r>
      <w:r>
        <w:rPr>
          <w:rFonts w:hint="eastAsia" w:ascii="仿宋" w:hAnsi="仿宋" w:eastAsia="仿宋"/>
          <w:color w:val="000000" w:themeColor="text1"/>
          <w:sz w:val="24"/>
          <w:highlight w:val="none"/>
          <w14:textFill>
            <w14:solidFill>
              <w14:schemeClr w14:val="tx1"/>
            </w14:solidFill>
          </w14:textFill>
        </w:rPr>
        <w:t>“乙方”系指根据合同约定交付货物的中标供应商</w:t>
      </w:r>
      <w:bookmarkEnd w:id="435"/>
      <w:r>
        <w:rPr>
          <w:rFonts w:hint="eastAsia" w:ascii="仿宋" w:hAnsi="仿宋" w:eastAsia="仿宋"/>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bookmarkStart w:id="436" w:name="_Ref467379436"/>
      <w:r>
        <w:rPr>
          <w:rFonts w:ascii="仿宋" w:hAnsi="仿宋" w:eastAsia="仿宋"/>
          <w:color w:val="000000" w:themeColor="text1"/>
          <w:sz w:val="24"/>
          <w:highlight w:val="none"/>
          <w14:textFill>
            <w14:solidFill>
              <w14:schemeClr w14:val="tx1"/>
            </w14:solidFill>
          </w14:textFill>
        </w:rPr>
        <w:t xml:space="preserve">2.1.6 </w:t>
      </w:r>
      <w:r>
        <w:rPr>
          <w:rFonts w:hint="eastAsia" w:ascii="仿宋" w:hAnsi="仿宋" w:eastAsia="仿宋"/>
          <w:color w:val="000000" w:themeColor="text1"/>
          <w:sz w:val="24"/>
          <w:highlight w:val="none"/>
          <w14:textFill>
            <w14:solidFill>
              <w14:schemeClr w14:val="tx1"/>
            </w14:solidFill>
          </w14:textFill>
        </w:rPr>
        <w:t>“现场”系指合同约定货物将要运至或者安装的地点。</w:t>
      </w:r>
      <w:bookmarkEnd w:id="436"/>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37" w:name="_Toc27635"/>
      <w:bookmarkStart w:id="438" w:name="_Toc32504"/>
      <w:bookmarkStart w:id="439" w:name="_Toc13336"/>
      <w:bookmarkStart w:id="440" w:name="_Toc259093670"/>
      <w:bookmarkStart w:id="441" w:name="_Toc487900350"/>
      <w:bookmarkStart w:id="442" w:name="_Toc279701241"/>
      <w:r>
        <w:rPr>
          <w:rFonts w:ascii="仿宋" w:hAnsi="仿宋" w:eastAsia="仿宋"/>
          <w:b/>
          <w:color w:val="000000" w:themeColor="text1"/>
          <w:sz w:val="24"/>
          <w:highlight w:val="none"/>
          <w14:textFill>
            <w14:solidFill>
              <w14:schemeClr w14:val="tx1"/>
            </w14:solidFill>
          </w14:textFill>
        </w:rPr>
        <w:t xml:space="preserve">2.2 </w:t>
      </w:r>
      <w:r>
        <w:rPr>
          <w:rFonts w:hint="eastAsia" w:ascii="仿宋" w:hAnsi="仿宋" w:eastAsia="仿宋"/>
          <w:b/>
          <w:color w:val="000000" w:themeColor="text1"/>
          <w:sz w:val="24"/>
          <w:highlight w:val="none"/>
          <w14:textFill>
            <w14:solidFill>
              <w14:schemeClr w14:val="tx1"/>
            </w14:solidFill>
          </w14:textFill>
        </w:rPr>
        <w:t>技术规范</w:t>
      </w:r>
      <w:bookmarkEnd w:id="437"/>
      <w:bookmarkEnd w:id="438"/>
      <w:bookmarkEnd w:id="439"/>
      <w:bookmarkEnd w:id="440"/>
      <w:bookmarkEnd w:id="441"/>
      <w:bookmarkEnd w:id="442"/>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货物所应遵守的技术规范应与采购文件规定的技术规范和技术规范附件</w:t>
      </w:r>
      <w:r>
        <w:rPr>
          <w:rFonts w:ascii="仿宋" w:hAnsi="仿宋" w:eastAsia="仿宋"/>
          <w:color w:val="000000" w:themeColor="text1"/>
          <w:sz w:val="24"/>
          <w:highlight w:val="none"/>
          <w14:textFill>
            <w14:solidFill>
              <w14:schemeClr w14:val="tx1"/>
            </w14:solidFill>
          </w14:textFill>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43" w:name="_Toc259093671"/>
      <w:bookmarkStart w:id="444" w:name="_Toc31634"/>
      <w:bookmarkStart w:id="445" w:name="_Toc487900351"/>
      <w:bookmarkStart w:id="446" w:name="_Toc9829"/>
      <w:bookmarkStart w:id="447" w:name="_Toc279701242"/>
      <w:bookmarkStart w:id="448" w:name="_Toc27853"/>
      <w:r>
        <w:rPr>
          <w:rFonts w:ascii="仿宋" w:hAnsi="仿宋" w:eastAsia="仿宋"/>
          <w:b/>
          <w:color w:val="000000" w:themeColor="text1"/>
          <w:sz w:val="24"/>
          <w:highlight w:val="none"/>
          <w14:textFill>
            <w14:solidFill>
              <w14:schemeClr w14:val="tx1"/>
            </w14:solidFill>
          </w14:textFill>
        </w:rPr>
        <w:t xml:space="preserve">2.3 </w:t>
      </w:r>
      <w:r>
        <w:rPr>
          <w:rFonts w:hint="eastAsia" w:ascii="仿宋" w:hAnsi="仿宋" w:eastAsia="仿宋"/>
          <w:b/>
          <w:color w:val="000000" w:themeColor="text1"/>
          <w:sz w:val="24"/>
          <w:highlight w:val="none"/>
          <w14:textFill>
            <w14:solidFill>
              <w14:schemeClr w14:val="tx1"/>
            </w14:solidFill>
          </w14:textFill>
        </w:rPr>
        <w:t>知识产权</w:t>
      </w:r>
      <w:bookmarkEnd w:id="443"/>
      <w:bookmarkEnd w:id="444"/>
      <w:bookmarkEnd w:id="445"/>
      <w:bookmarkEnd w:id="446"/>
      <w:bookmarkEnd w:id="447"/>
      <w:bookmarkEnd w:id="448"/>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2.3.1 </w:t>
      </w:r>
      <w:r>
        <w:rPr>
          <w:rFonts w:hint="eastAsia" w:ascii="仿宋" w:hAnsi="仿宋" w:eastAsia="仿宋"/>
          <w:color w:val="000000" w:themeColor="text1"/>
          <w:sz w:val="24"/>
          <w:highlight w:val="none"/>
          <w14:textFill>
            <w14:solidFill>
              <w14:schemeClr w14:val="tx1"/>
            </w14:solidFill>
          </w14:textFill>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2.3.2具有知识产权的计算机软件等货物的知识产权归属，详见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49" w:name="_Toc4194"/>
      <w:bookmarkStart w:id="450" w:name="_Toc29149"/>
      <w:bookmarkStart w:id="451" w:name="_Toc11932"/>
      <w:r>
        <w:rPr>
          <w:rFonts w:ascii="仿宋" w:hAnsi="仿宋" w:eastAsia="仿宋"/>
          <w:b/>
          <w:color w:val="000000" w:themeColor="text1"/>
          <w:sz w:val="24"/>
          <w:highlight w:val="none"/>
          <w14:textFill>
            <w14:solidFill>
              <w14:schemeClr w14:val="tx1"/>
            </w14:solidFill>
          </w14:textFill>
        </w:rPr>
        <w:t xml:space="preserve">2.4 </w:t>
      </w:r>
      <w:r>
        <w:rPr>
          <w:rFonts w:hint="eastAsia" w:ascii="仿宋" w:hAnsi="仿宋" w:eastAsia="仿宋"/>
          <w:b/>
          <w:color w:val="000000" w:themeColor="text1"/>
          <w:sz w:val="24"/>
          <w:highlight w:val="none"/>
          <w14:textFill>
            <w14:solidFill>
              <w14:schemeClr w14:val="tx1"/>
            </w14:solidFill>
          </w14:textFill>
        </w:rPr>
        <w:t>包装和装运</w:t>
      </w:r>
      <w:bookmarkEnd w:id="449"/>
      <w:bookmarkEnd w:id="450"/>
      <w:bookmarkEnd w:id="451"/>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2.4.1除</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另有约定外</w:t>
      </w:r>
      <w:r>
        <w:rPr>
          <w:rFonts w:ascii="仿宋" w:hAnsi="仿宋" w:eastAsia="仿宋"/>
          <w:color w:val="000000" w:themeColor="text1"/>
          <w:sz w:val="24"/>
          <w:highlight w:val="none"/>
          <w14:textFill>
            <w14:solidFill>
              <w14:schemeClr w14:val="tx1"/>
            </w14:solidFill>
          </w14:textFill>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2.4.2 </w:t>
      </w:r>
      <w:r>
        <w:rPr>
          <w:rFonts w:hint="eastAsia" w:ascii="仿宋" w:hAnsi="仿宋" w:eastAsia="仿宋"/>
          <w:color w:val="000000" w:themeColor="text1"/>
          <w:sz w:val="24"/>
          <w:highlight w:val="none"/>
          <w14:textFill>
            <w14:solidFill>
              <w14:schemeClr w14:val="tx1"/>
            </w14:solidFill>
          </w14:textFill>
        </w:rPr>
        <w:t>装运货物的要求和通知，详见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52" w:name="_Ref467379527"/>
      <w:bookmarkStart w:id="453" w:name="_Ref467379536"/>
      <w:bookmarkStart w:id="454" w:name="_Toc279701245"/>
      <w:bookmarkStart w:id="455" w:name="_Toc487900354"/>
      <w:bookmarkStart w:id="456" w:name="_Toc259093674"/>
      <w:bookmarkStart w:id="457" w:name="_Ref467378591"/>
      <w:bookmarkStart w:id="458" w:name="_Ref467379542"/>
      <w:bookmarkStart w:id="459" w:name="_Ref467378541"/>
      <w:bookmarkStart w:id="460" w:name="_Toc26182"/>
      <w:bookmarkStart w:id="461" w:name="_Toc30272"/>
      <w:bookmarkStart w:id="462" w:name="_Toc19074"/>
      <w:r>
        <w:rPr>
          <w:rFonts w:ascii="仿宋" w:hAnsi="仿宋" w:eastAsia="仿宋"/>
          <w:b/>
          <w:color w:val="000000" w:themeColor="text1"/>
          <w:sz w:val="24"/>
          <w:highlight w:val="none"/>
          <w14:textFill>
            <w14:solidFill>
              <w14:schemeClr w14:val="tx1"/>
            </w14:solidFill>
          </w14:textFill>
        </w:rPr>
        <w:t>2.</w:t>
      </w:r>
      <w:bookmarkEnd w:id="452"/>
      <w:bookmarkEnd w:id="453"/>
      <w:bookmarkEnd w:id="454"/>
      <w:bookmarkEnd w:id="455"/>
      <w:bookmarkEnd w:id="456"/>
      <w:bookmarkEnd w:id="457"/>
      <w:bookmarkEnd w:id="458"/>
      <w:bookmarkEnd w:id="459"/>
      <w:r>
        <w:rPr>
          <w:rFonts w:ascii="仿宋" w:hAnsi="仿宋" w:eastAsia="仿宋"/>
          <w:b/>
          <w:color w:val="000000" w:themeColor="text1"/>
          <w:sz w:val="24"/>
          <w:highlight w:val="none"/>
          <w14:textFill>
            <w14:solidFill>
              <w14:schemeClr w14:val="tx1"/>
            </w14:solidFill>
          </w14:textFill>
        </w:rPr>
        <w:t xml:space="preserve">5 </w:t>
      </w:r>
      <w:r>
        <w:rPr>
          <w:rFonts w:hint="eastAsia" w:ascii="仿宋" w:hAnsi="仿宋" w:eastAsia="仿宋"/>
          <w:b/>
          <w:color w:val="000000" w:themeColor="text1"/>
          <w:sz w:val="24"/>
          <w:highlight w:val="none"/>
          <w14:textFill>
            <w14:solidFill>
              <w14:schemeClr w14:val="tx1"/>
            </w14:solidFill>
          </w14:textFill>
        </w:rPr>
        <w:t>履约检查和问题反馈</w:t>
      </w:r>
      <w:bookmarkEnd w:id="460"/>
      <w:bookmarkEnd w:id="461"/>
      <w:bookmarkEnd w:id="462"/>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bookmarkStart w:id="463" w:name="_Ref467379657"/>
      <w:r>
        <w:rPr>
          <w:rFonts w:ascii="仿宋" w:hAnsi="仿宋" w:eastAsia="仿宋"/>
          <w:color w:val="000000" w:themeColor="text1"/>
          <w:sz w:val="24"/>
          <w:highlight w:val="none"/>
          <w14:textFill>
            <w14:solidFill>
              <w14:schemeClr w14:val="tx1"/>
            </w14:solidFill>
          </w14:textFill>
        </w:rPr>
        <w:t>2.5.1</w:t>
      </w:r>
      <w:bookmarkEnd w:id="463"/>
      <w:bookmarkStart w:id="464" w:name="_Toc186431854"/>
      <w:bookmarkStart w:id="465" w:name="_Toc259093676"/>
      <w:bookmarkStart w:id="466" w:name="_Ref467379807"/>
      <w:bookmarkStart w:id="467" w:name="_Toc487900357"/>
      <w:bookmarkStart w:id="468" w:name="_Ref467379793"/>
      <w:bookmarkStart w:id="469" w:name="_Toc279701247"/>
      <w:r>
        <w:rPr>
          <w:rFonts w:hint="eastAsia" w:ascii="仿宋" w:hAnsi="仿宋" w:eastAsia="仿宋"/>
          <w:color w:val="000000" w:themeColor="text1"/>
          <w:sz w:val="24"/>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2.5.2 </w:t>
      </w:r>
      <w:r>
        <w:rPr>
          <w:rFonts w:hint="eastAsia" w:ascii="仿宋" w:hAnsi="仿宋" w:eastAsia="仿宋"/>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bookmarkEnd w:id="464"/>
      <w:bookmarkStart w:id="470" w:name="_Toc186431855"/>
      <w:r>
        <w:rPr>
          <w:rFonts w:hint="eastAsia" w:ascii="仿宋" w:hAnsi="仿宋" w:eastAsia="仿宋"/>
          <w:color w:val="000000" w:themeColor="text1"/>
          <w:sz w:val="24"/>
          <w:highlight w:val="none"/>
          <w14:textFill>
            <w14:solidFill>
              <w14:schemeClr w14:val="tx1"/>
            </w14:solidFill>
          </w14:textFill>
        </w:rPr>
        <w:t>。</w:t>
      </w:r>
    </w:p>
    <w:bookmarkEnd w:id="465"/>
    <w:bookmarkEnd w:id="466"/>
    <w:bookmarkEnd w:id="467"/>
    <w:bookmarkEnd w:id="468"/>
    <w:bookmarkEnd w:id="469"/>
    <w:bookmarkEnd w:id="470"/>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71" w:name="_Toc279701248"/>
      <w:bookmarkStart w:id="472" w:name="_Toc487900358"/>
      <w:bookmarkStart w:id="473" w:name="_Ref467379863"/>
      <w:bookmarkStart w:id="474" w:name="_Ref467379923"/>
      <w:bookmarkStart w:id="475" w:name="_Ref467379852"/>
      <w:bookmarkStart w:id="476" w:name="_Toc259093677"/>
      <w:bookmarkStart w:id="477" w:name="_Toc774"/>
      <w:bookmarkStart w:id="478" w:name="_Toc3225"/>
      <w:bookmarkStart w:id="479" w:name="_Toc16110"/>
      <w:r>
        <w:rPr>
          <w:rFonts w:ascii="仿宋" w:hAnsi="仿宋" w:eastAsia="仿宋"/>
          <w:b/>
          <w:color w:val="000000" w:themeColor="text1"/>
          <w:sz w:val="24"/>
          <w:highlight w:val="none"/>
          <w14:textFill>
            <w14:solidFill>
              <w14:schemeClr w14:val="tx1"/>
            </w14:solidFill>
          </w14:textFill>
        </w:rPr>
        <w:t xml:space="preserve">2.6 </w:t>
      </w:r>
      <w:r>
        <w:rPr>
          <w:rFonts w:hint="eastAsia" w:ascii="仿宋" w:hAnsi="仿宋" w:eastAsia="仿宋"/>
          <w:b/>
          <w:color w:val="000000" w:themeColor="text1"/>
          <w:sz w:val="24"/>
          <w:highlight w:val="none"/>
          <w14:textFill>
            <w14:solidFill>
              <w14:schemeClr w14:val="tx1"/>
            </w14:solidFill>
          </w14:textFill>
        </w:rPr>
        <w:t>技术资料</w:t>
      </w:r>
      <w:bookmarkEnd w:id="471"/>
      <w:bookmarkEnd w:id="472"/>
      <w:bookmarkEnd w:id="473"/>
      <w:bookmarkEnd w:id="474"/>
      <w:bookmarkEnd w:id="475"/>
      <w:bookmarkEnd w:id="476"/>
      <w:r>
        <w:rPr>
          <w:rFonts w:hint="eastAsia" w:ascii="仿宋" w:hAnsi="仿宋" w:eastAsia="仿宋"/>
          <w:b/>
          <w:color w:val="000000" w:themeColor="text1"/>
          <w:sz w:val="24"/>
          <w:highlight w:val="none"/>
          <w14:textFill>
            <w14:solidFill>
              <w14:schemeClr w14:val="tx1"/>
            </w14:solidFill>
          </w14:textFill>
        </w:rPr>
        <w:t>和保密义务</w:t>
      </w:r>
      <w:bookmarkEnd w:id="477"/>
      <w:bookmarkEnd w:id="478"/>
      <w:bookmarkEnd w:id="479"/>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2.6.1 </w:t>
      </w:r>
      <w:r>
        <w:rPr>
          <w:rFonts w:hint="eastAsia" w:ascii="仿宋" w:hAnsi="仿宋" w:eastAsia="仿宋"/>
          <w:color w:val="000000" w:themeColor="text1"/>
          <w:sz w:val="24"/>
          <w:highlight w:val="none"/>
          <w14:textFill>
            <w14:solidFill>
              <w14:schemeClr w14:val="tx1"/>
            </w14:solidFill>
          </w14:textFill>
        </w:rPr>
        <w:t>乙方有权依据合同约定和项目需要，向甲方了解有关情况，调阅有关资料等，甲方应予积极配合；</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2.6.2 </w:t>
      </w:r>
      <w:r>
        <w:rPr>
          <w:rFonts w:hint="eastAsia" w:ascii="仿宋" w:hAnsi="仿宋" w:eastAsia="仿宋"/>
          <w:color w:val="000000" w:themeColor="text1"/>
          <w:sz w:val="24"/>
          <w:highlight w:val="none"/>
          <w14:textFill>
            <w14:solidFill>
              <w14:schemeClr w14:val="tx1"/>
            </w14:solidFill>
          </w14:textFill>
        </w:rPr>
        <w:t>乙方有义务妥善保管和保护由甲方提供的前款信息和资料等；</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2.6.3 </w:t>
      </w:r>
      <w:r>
        <w:rPr>
          <w:rFonts w:hint="eastAsia" w:ascii="仿宋" w:hAnsi="仿宋" w:eastAsia="仿宋"/>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0" w:name="_Toc7860"/>
      <w:r>
        <w:rPr>
          <w:rFonts w:ascii="仿宋" w:hAnsi="仿宋" w:eastAsia="仿宋"/>
          <w:b/>
          <w:color w:val="000000" w:themeColor="text1"/>
          <w:sz w:val="24"/>
          <w:highlight w:val="none"/>
          <w14:textFill>
            <w14:solidFill>
              <w14:schemeClr w14:val="tx1"/>
            </w14:solidFill>
          </w14:textFill>
        </w:rPr>
        <w:t xml:space="preserve">2.7 </w:t>
      </w:r>
      <w:r>
        <w:rPr>
          <w:rFonts w:hint="eastAsia" w:ascii="仿宋" w:hAnsi="仿宋" w:eastAsia="仿宋"/>
          <w:b/>
          <w:color w:val="000000" w:themeColor="text1"/>
          <w:sz w:val="24"/>
          <w:highlight w:val="none"/>
          <w14:textFill>
            <w14:solidFill>
              <w14:schemeClr w14:val="tx1"/>
            </w14:solidFill>
          </w14:textFill>
        </w:rPr>
        <w:t>质量保证</w:t>
      </w:r>
      <w:bookmarkEnd w:id="480"/>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2.7.1 </w:t>
      </w:r>
      <w:r>
        <w:rPr>
          <w:rFonts w:hint="eastAsia" w:ascii="仿宋" w:hAnsi="仿宋" w:eastAsia="仿宋"/>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2.7.2 </w:t>
      </w:r>
      <w:r>
        <w:rPr>
          <w:rFonts w:hint="eastAsia" w:ascii="仿宋" w:hAnsi="仿宋" w:eastAsia="仿宋"/>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1" w:name="_Toc17244"/>
      <w:bookmarkStart w:id="482" w:name="_Toc279701252"/>
      <w:bookmarkStart w:id="483" w:name="_Toc487900362"/>
      <w:bookmarkStart w:id="484" w:name="_Toc259093681"/>
      <w:r>
        <w:rPr>
          <w:rFonts w:ascii="仿宋" w:hAnsi="仿宋" w:eastAsia="仿宋"/>
          <w:b/>
          <w:color w:val="000000" w:themeColor="text1"/>
          <w:sz w:val="24"/>
          <w:highlight w:val="none"/>
          <w14:textFill>
            <w14:solidFill>
              <w14:schemeClr w14:val="tx1"/>
            </w14:solidFill>
          </w14:textFill>
        </w:rPr>
        <w:t xml:space="preserve">2.8 </w:t>
      </w:r>
      <w:r>
        <w:rPr>
          <w:rFonts w:hint="eastAsia" w:ascii="仿宋" w:hAnsi="仿宋" w:eastAsia="仿宋"/>
          <w:b/>
          <w:color w:val="000000" w:themeColor="text1"/>
          <w:sz w:val="24"/>
          <w:highlight w:val="none"/>
          <w14:textFill>
            <w14:solidFill>
              <w14:schemeClr w14:val="tx1"/>
            </w14:solidFill>
          </w14:textFill>
        </w:rPr>
        <w:t>货物的风险负担</w:t>
      </w:r>
      <w:bookmarkEnd w:id="481"/>
    </w:p>
    <w:p>
      <w:pPr>
        <w:spacing w:line="560" w:lineRule="exact"/>
        <w:ind w:firstLine="480" w:firstLineChars="20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货物或者在途货物或者交付给第一承运人后的货物毁损、灭失的风险负担详见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5" w:name="_Toc14055"/>
      <w:r>
        <w:rPr>
          <w:rFonts w:ascii="仿宋" w:hAnsi="仿宋" w:eastAsia="仿宋"/>
          <w:b/>
          <w:color w:val="000000" w:themeColor="text1"/>
          <w:sz w:val="24"/>
          <w:highlight w:val="none"/>
          <w14:textFill>
            <w14:solidFill>
              <w14:schemeClr w14:val="tx1"/>
            </w14:solidFill>
          </w14:textFill>
        </w:rPr>
        <w:t xml:space="preserve">2.9 </w:t>
      </w:r>
      <w:r>
        <w:rPr>
          <w:rFonts w:hint="eastAsia" w:ascii="仿宋" w:hAnsi="仿宋" w:eastAsia="仿宋"/>
          <w:b/>
          <w:color w:val="000000" w:themeColor="text1"/>
          <w:sz w:val="24"/>
          <w:highlight w:val="none"/>
          <w14:textFill>
            <w14:solidFill>
              <w14:schemeClr w14:val="tx1"/>
            </w14:solidFill>
          </w14:textFill>
        </w:rPr>
        <w:t>延迟交货</w:t>
      </w:r>
      <w:bookmarkEnd w:id="482"/>
      <w:bookmarkEnd w:id="483"/>
      <w:bookmarkEnd w:id="484"/>
      <w:bookmarkEnd w:id="485"/>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6" w:name="_Toc7502"/>
      <w:bookmarkStart w:id="487" w:name="_Toc259093683"/>
      <w:bookmarkStart w:id="488" w:name="_Ref467378121"/>
      <w:bookmarkStart w:id="489" w:name="_Toc487900364"/>
      <w:bookmarkStart w:id="490" w:name="_Toc279701254"/>
      <w:r>
        <w:rPr>
          <w:rFonts w:ascii="仿宋" w:hAnsi="仿宋" w:eastAsia="仿宋"/>
          <w:b/>
          <w:color w:val="000000" w:themeColor="text1"/>
          <w:sz w:val="24"/>
          <w:highlight w:val="none"/>
          <w14:textFill>
            <w14:solidFill>
              <w14:schemeClr w14:val="tx1"/>
            </w14:solidFill>
          </w14:textFill>
        </w:rPr>
        <w:t xml:space="preserve">2.10 </w:t>
      </w:r>
      <w:r>
        <w:rPr>
          <w:rFonts w:hint="eastAsia" w:ascii="仿宋" w:hAnsi="仿宋" w:eastAsia="仿宋"/>
          <w:b/>
          <w:color w:val="000000" w:themeColor="text1"/>
          <w:sz w:val="24"/>
          <w:highlight w:val="none"/>
          <w14:textFill>
            <w14:solidFill>
              <w14:schemeClr w14:val="tx1"/>
            </w14:solidFill>
          </w14:textFill>
        </w:rPr>
        <w:t>合同变更</w:t>
      </w:r>
      <w:bookmarkEnd w:id="486"/>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91" w:name="_Toc279701259"/>
      <w:bookmarkStart w:id="492" w:name="_Toc487900369"/>
      <w:bookmarkStart w:id="493" w:name="_Toc259093688"/>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94" w:name="_Toc10366"/>
      <w:bookmarkStart w:id="495" w:name="_Toc15237"/>
      <w:bookmarkStart w:id="496" w:name="_Toc22955"/>
      <w:r>
        <w:rPr>
          <w:rFonts w:ascii="仿宋" w:hAnsi="仿宋" w:eastAsia="仿宋"/>
          <w:b/>
          <w:color w:val="000000" w:themeColor="text1"/>
          <w:sz w:val="24"/>
          <w:highlight w:val="none"/>
          <w14:textFill>
            <w14:solidFill>
              <w14:schemeClr w14:val="tx1"/>
            </w14:solidFill>
          </w14:textFill>
        </w:rPr>
        <w:t xml:space="preserve">2.11 </w:t>
      </w:r>
      <w:r>
        <w:rPr>
          <w:rFonts w:hint="eastAsia" w:ascii="仿宋" w:hAnsi="仿宋" w:eastAsia="仿宋"/>
          <w:b/>
          <w:color w:val="000000" w:themeColor="text1"/>
          <w:sz w:val="24"/>
          <w:highlight w:val="none"/>
          <w14:textFill>
            <w14:solidFill>
              <w14:schemeClr w14:val="tx1"/>
            </w14:solidFill>
          </w14:textFill>
        </w:rPr>
        <w:t>合同转让</w:t>
      </w:r>
      <w:bookmarkEnd w:id="491"/>
      <w:bookmarkEnd w:id="492"/>
      <w:bookmarkEnd w:id="493"/>
      <w:r>
        <w:rPr>
          <w:rFonts w:hint="eastAsia" w:ascii="仿宋" w:hAnsi="仿宋" w:eastAsia="仿宋"/>
          <w:b/>
          <w:color w:val="000000" w:themeColor="text1"/>
          <w:sz w:val="24"/>
          <w:highlight w:val="none"/>
          <w14:textFill>
            <w14:solidFill>
              <w14:schemeClr w14:val="tx1"/>
            </w14:solidFill>
          </w14:textFill>
        </w:rPr>
        <w:t>和分包</w:t>
      </w:r>
      <w:bookmarkEnd w:id="494"/>
      <w:bookmarkEnd w:id="495"/>
      <w:bookmarkEnd w:id="496"/>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2.11.2乙方采取分包方式履行合同的，甲方可直接向分包供应商支付款项。</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97" w:name="_Toc14066"/>
      <w:bookmarkStart w:id="498" w:name="_Toc16508"/>
      <w:bookmarkStart w:id="499" w:name="_Toc13566"/>
      <w:r>
        <w:rPr>
          <w:rFonts w:ascii="仿宋" w:hAnsi="仿宋" w:eastAsia="仿宋"/>
          <w:b/>
          <w:color w:val="000000" w:themeColor="text1"/>
          <w:sz w:val="24"/>
          <w:highlight w:val="none"/>
          <w14:textFill>
            <w14:solidFill>
              <w14:schemeClr w14:val="tx1"/>
            </w14:solidFill>
          </w14:textFill>
        </w:rPr>
        <w:t xml:space="preserve">2.12 </w:t>
      </w:r>
      <w:r>
        <w:rPr>
          <w:rFonts w:hint="eastAsia" w:ascii="仿宋" w:hAnsi="仿宋" w:eastAsia="仿宋"/>
          <w:b/>
          <w:color w:val="000000" w:themeColor="text1"/>
          <w:sz w:val="24"/>
          <w:highlight w:val="none"/>
          <w14:textFill>
            <w14:solidFill>
              <w14:schemeClr w14:val="tx1"/>
            </w14:solidFill>
          </w14:textFill>
        </w:rPr>
        <w:t>不可抗力</w:t>
      </w:r>
      <w:bookmarkEnd w:id="497"/>
      <w:bookmarkEnd w:id="498"/>
      <w:bookmarkEnd w:id="499"/>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2.12.2 </w:t>
      </w:r>
      <w:r>
        <w:rPr>
          <w:rFonts w:hint="eastAsia" w:ascii="仿宋" w:hAnsi="仿宋" w:eastAsia="仿宋"/>
          <w:color w:val="000000" w:themeColor="text1"/>
          <w:sz w:val="24"/>
          <w:highlight w:val="none"/>
          <w14:textFill>
            <w14:solidFill>
              <w14:schemeClr w14:val="tx1"/>
            </w14:solidFill>
          </w14:textFill>
        </w:rPr>
        <w:t>因不可抗力致使不能实现合同目的的，当事人可以解除合同；</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2.12.3 </w:t>
      </w:r>
      <w:r>
        <w:rPr>
          <w:rFonts w:hint="eastAsia" w:ascii="仿宋" w:hAnsi="仿宋" w:eastAsia="仿宋"/>
          <w:color w:val="000000" w:themeColor="text1"/>
          <w:sz w:val="24"/>
          <w:highlight w:val="none"/>
          <w14:textFill>
            <w14:solidFill>
              <w14:schemeClr w14:val="tx1"/>
            </w14:solidFill>
          </w14:textFill>
        </w:rPr>
        <w:t>因不可抗力致使合同有变更必要的，双方当事人应在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约定时间内以书面形式变更合同；</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2.12.4受不可抗力影响的一方在不可抗力发生后，应在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约定时间内以书面形式通知对方当事人，并在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约定时间内，将有关部门出具的证明文件送达对方当事人。</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00" w:name="_Toc6969"/>
      <w:bookmarkStart w:id="501" w:name="_Toc259093684"/>
      <w:bookmarkStart w:id="502" w:name="_Toc30676"/>
      <w:bookmarkStart w:id="503" w:name="_Toc279701255"/>
      <w:bookmarkStart w:id="504" w:name="_Toc689"/>
      <w:bookmarkStart w:id="505" w:name="_Toc487900365"/>
      <w:r>
        <w:rPr>
          <w:rFonts w:ascii="仿宋" w:hAnsi="仿宋" w:eastAsia="仿宋"/>
          <w:b/>
          <w:color w:val="000000" w:themeColor="text1"/>
          <w:sz w:val="24"/>
          <w:highlight w:val="none"/>
          <w14:textFill>
            <w14:solidFill>
              <w14:schemeClr w14:val="tx1"/>
            </w14:solidFill>
          </w14:textFill>
        </w:rPr>
        <w:t xml:space="preserve">2.13 </w:t>
      </w:r>
      <w:r>
        <w:rPr>
          <w:rFonts w:hint="eastAsia" w:ascii="仿宋" w:hAnsi="仿宋" w:eastAsia="仿宋"/>
          <w:b/>
          <w:color w:val="000000" w:themeColor="text1"/>
          <w:sz w:val="24"/>
          <w:highlight w:val="none"/>
          <w14:textFill>
            <w14:solidFill>
              <w14:schemeClr w14:val="tx1"/>
            </w14:solidFill>
          </w14:textFill>
        </w:rPr>
        <w:t>税费</w:t>
      </w:r>
      <w:bookmarkEnd w:id="500"/>
      <w:bookmarkEnd w:id="501"/>
      <w:bookmarkEnd w:id="502"/>
      <w:bookmarkEnd w:id="503"/>
      <w:bookmarkEnd w:id="504"/>
      <w:bookmarkEnd w:id="505"/>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与合同有关的一切税费，均按照中华人民共和国法律的相关规定。</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06" w:name="_Toc8298"/>
      <w:bookmarkStart w:id="507" w:name="_Toc16959"/>
      <w:bookmarkStart w:id="508" w:name="_Toc279701258"/>
      <w:bookmarkStart w:id="509" w:name="_Toc259093687"/>
      <w:bookmarkStart w:id="510" w:name="_Toc487900368"/>
      <w:bookmarkStart w:id="511" w:name="_Toc7102"/>
      <w:r>
        <w:rPr>
          <w:rFonts w:ascii="仿宋" w:hAnsi="仿宋" w:eastAsia="仿宋"/>
          <w:b/>
          <w:color w:val="000000" w:themeColor="text1"/>
          <w:sz w:val="24"/>
          <w:highlight w:val="none"/>
          <w14:textFill>
            <w14:solidFill>
              <w14:schemeClr w14:val="tx1"/>
            </w14:solidFill>
          </w14:textFill>
        </w:rPr>
        <w:t>2.14乙方破产</w:t>
      </w:r>
      <w:bookmarkEnd w:id="506"/>
      <w:bookmarkEnd w:id="507"/>
      <w:bookmarkEnd w:id="508"/>
      <w:bookmarkEnd w:id="509"/>
      <w:bookmarkEnd w:id="510"/>
      <w:bookmarkEnd w:id="511"/>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12" w:name="_Toc29333"/>
      <w:bookmarkStart w:id="513" w:name="_Toc15387"/>
      <w:bookmarkStart w:id="514" w:name="_Toc6134"/>
      <w:r>
        <w:rPr>
          <w:rFonts w:ascii="仿宋" w:hAnsi="仿宋" w:eastAsia="仿宋"/>
          <w:b/>
          <w:color w:val="000000" w:themeColor="text1"/>
          <w:sz w:val="24"/>
          <w:highlight w:val="none"/>
          <w14:textFill>
            <w14:solidFill>
              <w14:schemeClr w14:val="tx1"/>
            </w14:solidFill>
          </w14:textFill>
        </w:rPr>
        <w:t xml:space="preserve">2.15 </w:t>
      </w:r>
      <w:r>
        <w:rPr>
          <w:rFonts w:hint="eastAsia" w:ascii="仿宋" w:hAnsi="仿宋" w:eastAsia="仿宋"/>
          <w:b/>
          <w:color w:val="000000" w:themeColor="text1"/>
          <w:sz w:val="24"/>
          <w:highlight w:val="none"/>
          <w14:textFill>
            <w14:solidFill>
              <w14:schemeClr w14:val="tx1"/>
            </w14:solidFill>
          </w14:textFill>
        </w:rPr>
        <w:t>合同中止、终止</w:t>
      </w:r>
      <w:bookmarkEnd w:id="512"/>
      <w:bookmarkEnd w:id="513"/>
      <w:bookmarkEnd w:id="514"/>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2.15.1 </w:t>
      </w:r>
      <w:r>
        <w:rPr>
          <w:rFonts w:hint="eastAsia" w:ascii="仿宋" w:hAnsi="仿宋" w:eastAsia="仿宋"/>
          <w:color w:val="000000" w:themeColor="text1"/>
          <w:sz w:val="24"/>
          <w:highlight w:val="none"/>
          <w14:textFill>
            <w14:solidFill>
              <w14:schemeClr w14:val="tx1"/>
            </w14:solidFill>
          </w14:textFill>
        </w:rPr>
        <w:t>双方当事人不得擅自中止或者终止合同；</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15" w:name="_Toc1125"/>
      <w:bookmarkStart w:id="516" w:name="_Toc14563"/>
      <w:bookmarkStart w:id="517" w:name="_Toc6596"/>
      <w:r>
        <w:rPr>
          <w:rFonts w:ascii="仿宋" w:hAnsi="仿宋" w:eastAsia="仿宋"/>
          <w:b/>
          <w:color w:val="000000" w:themeColor="text1"/>
          <w:sz w:val="24"/>
          <w:highlight w:val="none"/>
          <w14:textFill>
            <w14:solidFill>
              <w14:schemeClr w14:val="tx1"/>
            </w14:solidFill>
          </w14:textFill>
        </w:rPr>
        <w:t>2.16检验和验收</w:t>
      </w:r>
      <w:bookmarkEnd w:id="515"/>
      <w:bookmarkEnd w:id="516"/>
      <w:bookmarkEnd w:id="517"/>
    </w:p>
    <w:p>
      <w:pPr>
        <w:tabs>
          <w:tab w:val="left" w:pos="360"/>
          <w:tab w:val="left" w:pos="540"/>
          <w:tab w:val="left" w:pos="1080"/>
        </w:tabs>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2.16.1货物交付前，乙方应对货物的质量、数量等方面进行详细、全面的检验，并向甲方出具证明货物符合合同约定的文件；货物交付时，乙方在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2.16.3 </w:t>
      </w:r>
      <w:r>
        <w:rPr>
          <w:rFonts w:hint="eastAsia" w:ascii="仿宋" w:hAnsi="仿宋" w:eastAsia="仿宋"/>
          <w:color w:val="000000" w:themeColor="text1"/>
          <w:sz w:val="24"/>
          <w:highlight w:val="none"/>
          <w14:textFill>
            <w14:solidFill>
              <w14:schemeClr w14:val="tx1"/>
            </w14:solidFill>
          </w14:textFill>
        </w:rPr>
        <w:t>检验和验收标准、程序等具体内容以及前述验收书的效力详见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i/>
          <w:color w:val="000000" w:themeColor="text1"/>
          <w:sz w:val="24"/>
          <w:highlight w:val="none"/>
          <w14:textFill>
            <w14:solidFill>
              <w14:schemeClr w14:val="tx1"/>
            </w14:solidFill>
          </w14:textFill>
        </w:rPr>
        <w:t>。</w:t>
      </w:r>
    </w:p>
    <w:bookmarkEnd w:id="487"/>
    <w:bookmarkEnd w:id="488"/>
    <w:bookmarkEnd w:id="489"/>
    <w:bookmarkEnd w:id="490"/>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18" w:name="_Toc279701261"/>
      <w:bookmarkStart w:id="519" w:name="_Toc259093690"/>
      <w:bookmarkStart w:id="520" w:name="_Toc487900371"/>
      <w:bookmarkStart w:id="521" w:name="_Toc25182"/>
      <w:bookmarkStart w:id="522" w:name="_Toc11284"/>
      <w:bookmarkStart w:id="523" w:name="_Toc19604"/>
      <w:r>
        <w:rPr>
          <w:rFonts w:ascii="仿宋" w:hAnsi="仿宋" w:eastAsia="仿宋"/>
          <w:b/>
          <w:color w:val="000000" w:themeColor="text1"/>
          <w:sz w:val="24"/>
          <w:highlight w:val="none"/>
          <w14:textFill>
            <w14:solidFill>
              <w14:schemeClr w14:val="tx1"/>
            </w14:solidFill>
          </w14:textFill>
        </w:rPr>
        <w:t xml:space="preserve">2.17 </w:t>
      </w:r>
      <w:r>
        <w:rPr>
          <w:rFonts w:hint="eastAsia" w:ascii="仿宋" w:hAnsi="仿宋" w:eastAsia="仿宋"/>
          <w:b/>
          <w:color w:val="000000" w:themeColor="text1"/>
          <w:sz w:val="24"/>
          <w:highlight w:val="none"/>
          <w14:textFill>
            <w14:solidFill>
              <w14:schemeClr w14:val="tx1"/>
            </w14:solidFill>
          </w14:textFill>
        </w:rPr>
        <w:t>通知</w:t>
      </w:r>
      <w:bookmarkEnd w:id="518"/>
      <w:bookmarkEnd w:id="519"/>
      <w:bookmarkEnd w:id="520"/>
      <w:r>
        <w:rPr>
          <w:rFonts w:hint="eastAsia" w:ascii="仿宋" w:hAnsi="仿宋" w:eastAsia="仿宋"/>
          <w:b/>
          <w:color w:val="000000" w:themeColor="text1"/>
          <w:sz w:val="24"/>
          <w:highlight w:val="none"/>
          <w14:textFill>
            <w14:solidFill>
              <w14:schemeClr w14:val="tx1"/>
            </w14:solidFill>
          </w14:textFill>
        </w:rPr>
        <w:t>和送达</w:t>
      </w:r>
      <w:bookmarkEnd w:id="521"/>
      <w:bookmarkEnd w:id="522"/>
      <w:bookmarkEnd w:id="523"/>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bookmarkStart w:id="524" w:name="_Toc3135"/>
      <w:bookmarkStart w:id="525" w:name="_Toc6698"/>
      <w:bookmarkStart w:id="526" w:name="_Toc279701262"/>
      <w:bookmarkStart w:id="527" w:name="_Toc487900372"/>
      <w:bookmarkStart w:id="528" w:name="_Toc259093691"/>
      <w:r>
        <w:rPr>
          <w:rFonts w:ascii="仿宋" w:hAnsi="仿宋" w:eastAsia="仿宋"/>
          <w:color w:val="000000" w:themeColor="text1"/>
          <w:sz w:val="24"/>
          <w:highlight w:val="none"/>
          <w14:textFill>
            <w14:solidFill>
              <w14:schemeClr w14:val="tx1"/>
            </w14:solidFill>
          </w14:textFill>
        </w:rPr>
        <w:t>2.17.1</w:t>
      </w:r>
      <w:r>
        <w:rPr>
          <w:rFonts w:hint="eastAsia" w:ascii="仿宋" w:hAnsi="仿宋" w:eastAsia="仿宋"/>
          <w:color w:val="000000" w:themeColor="text1"/>
          <w:sz w:val="24"/>
          <w:highlight w:val="none"/>
          <w14:textFill>
            <w14:solidFill>
              <w14:schemeClr w14:val="tx1"/>
            </w14:solidFill>
          </w14:textFill>
        </w:rPr>
        <w:t>任何一方因履行合同而以合同第一部分尾部所列明的传真或电子邮件</w:t>
      </w:r>
      <w:r>
        <w:rPr>
          <w:rFonts w:ascii="仿宋" w:hAnsi="仿宋" w:eastAsia="仿宋"/>
          <w:color w:val="000000" w:themeColor="text1"/>
          <w:sz w:val="24"/>
          <w:highlight w:val="none"/>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olor w:val="000000" w:themeColor="text1"/>
          <w:sz w:val="24"/>
          <w:highlight w:val="none"/>
          <w:u w:val="single"/>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bookmarkEnd w:id="524"/>
      <w:bookmarkEnd w:id="525"/>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bookmarkStart w:id="529" w:name="_Toc23128"/>
      <w:bookmarkStart w:id="530" w:name="_Toc23294"/>
      <w:r>
        <w:rPr>
          <w:rFonts w:ascii="仿宋" w:hAnsi="仿宋" w:eastAsia="仿宋"/>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highlight w:val="none"/>
          <w14:textFill>
            <w14:solidFill>
              <w14:schemeClr w14:val="tx1"/>
            </w14:solidFill>
          </w14:textFill>
        </w:rPr>
        <w:t>的，邮件挂号寄出或者交邮之日之次日视为送达。</w:t>
      </w:r>
      <w:bookmarkEnd w:id="529"/>
      <w:bookmarkEnd w:id="530"/>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31" w:name="_Toc30599"/>
      <w:bookmarkStart w:id="532" w:name="_Toc18540"/>
      <w:bookmarkStart w:id="533" w:name="_Toc4355"/>
      <w:r>
        <w:rPr>
          <w:rFonts w:ascii="仿宋" w:hAnsi="仿宋" w:eastAsia="仿宋"/>
          <w:b/>
          <w:color w:val="000000" w:themeColor="text1"/>
          <w:sz w:val="24"/>
          <w:highlight w:val="none"/>
          <w14:textFill>
            <w14:solidFill>
              <w14:schemeClr w14:val="tx1"/>
            </w14:solidFill>
          </w14:textFill>
        </w:rPr>
        <w:t xml:space="preserve">2.18 </w:t>
      </w:r>
      <w:r>
        <w:rPr>
          <w:rFonts w:hint="eastAsia" w:ascii="仿宋" w:hAnsi="仿宋" w:eastAsia="仿宋"/>
          <w:b/>
          <w:color w:val="000000" w:themeColor="text1"/>
          <w:sz w:val="24"/>
          <w:highlight w:val="none"/>
          <w14:textFill>
            <w14:solidFill>
              <w14:schemeClr w14:val="tx1"/>
            </w14:solidFill>
          </w14:textFill>
        </w:rPr>
        <w:t>计量单位</w:t>
      </w:r>
      <w:bookmarkEnd w:id="526"/>
      <w:bookmarkEnd w:id="527"/>
      <w:bookmarkEnd w:id="528"/>
      <w:bookmarkEnd w:id="531"/>
      <w:bookmarkEnd w:id="532"/>
      <w:bookmarkEnd w:id="533"/>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除技术规范中另有规定外</w:t>
      </w:r>
      <w:r>
        <w:rPr>
          <w:rFonts w:ascii="仿宋" w:hAnsi="仿宋" w:eastAsia="仿宋"/>
          <w:color w:val="000000" w:themeColor="text1"/>
          <w:sz w:val="24"/>
          <w:highlight w:val="none"/>
          <w14:textFill>
            <w14:solidFill>
              <w14:schemeClr w14:val="tx1"/>
            </w14:solidFill>
          </w14:textFill>
        </w:rPr>
        <w:t>,合同的计量单位均使用国家法定计量单位。</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34" w:name="_Toc259093692"/>
      <w:bookmarkStart w:id="535" w:name="_Toc10330"/>
      <w:bookmarkStart w:id="536" w:name="_Toc18567"/>
      <w:bookmarkStart w:id="537" w:name="_Toc12773"/>
      <w:bookmarkStart w:id="538" w:name="_Toc279701263"/>
      <w:bookmarkStart w:id="539" w:name="_Toc487900373"/>
      <w:r>
        <w:rPr>
          <w:rFonts w:ascii="仿宋" w:hAnsi="仿宋" w:eastAsia="仿宋"/>
          <w:b/>
          <w:color w:val="000000" w:themeColor="text1"/>
          <w:sz w:val="24"/>
          <w:highlight w:val="none"/>
          <w14:textFill>
            <w14:solidFill>
              <w14:schemeClr w14:val="tx1"/>
            </w14:solidFill>
          </w14:textFill>
        </w:rPr>
        <w:t xml:space="preserve">2.19 </w:t>
      </w:r>
      <w:r>
        <w:rPr>
          <w:rFonts w:hint="eastAsia" w:ascii="仿宋" w:hAnsi="仿宋" w:eastAsia="仿宋"/>
          <w:b/>
          <w:color w:val="000000" w:themeColor="text1"/>
          <w:sz w:val="24"/>
          <w:highlight w:val="none"/>
          <w14:textFill>
            <w14:solidFill>
              <w14:schemeClr w14:val="tx1"/>
            </w14:solidFill>
          </w14:textFill>
        </w:rPr>
        <w:t>合同使用的文字和适用的法律</w:t>
      </w:r>
      <w:bookmarkEnd w:id="534"/>
      <w:bookmarkEnd w:id="535"/>
      <w:bookmarkEnd w:id="536"/>
      <w:bookmarkEnd w:id="537"/>
      <w:bookmarkEnd w:id="538"/>
      <w:bookmarkEnd w:id="539"/>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2.19.1 </w:t>
      </w:r>
      <w:r>
        <w:rPr>
          <w:rFonts w:hint="eastAsia" w:ascii="仿宋" w:hAnsi="仿宋" w:eastAsia="仿宋"/>
          <w:color w:val="000000" w:themeColor="text1"/>
          <w:sz w:val="24"/>
          <w:highlight w:val="none"/>
          <w14:textFill>
            <w14:solidFill>
              <w14:schemeClr w14:val="tx1"/>
            </w14:solidFill>
          </w14:textFill>
        </w:rPr>
        <w:t>合同使用汉语书就、变更和解释；</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2.19.2 </w:t>
      </w:r>
      <w:r>
        <w:rPr>
          <w:rFonts w:hint="eastAsia" w:ascii="仿宋" w:hAnsi="仿宋" w:eastAsia="仿宋"/>
          <w:color w:val="000000" w:themeColor="text1"/>
          <w:sz w:val="24"/>
          <w:highlight w:val="none"/>
          <w14:textFill>
            <w14:solidFill>
              <w14:schemeClr w14:val="tx1"/>
            </w14:solidFill>
          </w14:textFill>
        </w:rPr>
        <w:t>合同适用中华人民共和国法律。</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40" w:name="_Toc16673"/>
      <w:bookmarkStart w:id="541" w:name="_Toc12004"/>
      <w:bookmarkStart w:id="542" w:name="_Toc3148"/>
      <w:bookmarkStart w:id="543" w:name="_Toc279701264"/>
      <w:bookmarkStart w:id="544" w:name="_Toc259093693"/>
      <w:bookmarkStart w:id="545" w:name="_Toc487900374"/>
      <w:r>
        <w:rPr>
          <w:rFonts w:ascii="仿宋" w:hAnsi="仿宋" w:eastAsia="仿宋"/>
          <w:b/>
          <w:color w:val="000000" w:themeColor="text1"/>
          <w:sz w:val="24"/>
          <w:highlight w:val="none"/>
          <w14:textFill>
            <w14:solidFill>
              <w14:schemeClr w14:val="tx1"/>
            </w14:solidFill>
          </w14:textFill>
        </w:rPr>
        <w:t xml:space="preserve">2.20 </w:t>
      </w:r>
      <w:r>
        <w:rPr>
          <w:rFonts w:hint="eastAsia" w:ascii="仿宋" w:hAnsi="仿宋" w:eastAsia="仿宋"/>
          <w:b/>
          <w:color w:val="000000" w:themeColor="text1"/>
          <w:sz w:val="24"/>
          <w:highlight w:val="none"/>
          <w14:textFill>
            <w14:solidFill>
              <w14:schemeClr w14:val="tx1"/>
            </w14:solidFill>
          </w14:textFill>
        </w:rPr>
        <w:t>履约保证金</w:t>
      </w:r>
      <w:bookmarkEnd w:id="540"/>
      <w:bookmarkEnd w:id="541"/>
      <w:bookmarkEnd w:id="542"/>
      <w:bookmarkEnd w:id="543"/>
      <w:bookmarkEnd w:id="544"/>
    </w:p>
    <w:p>
      <w:pPr>
        <w:pStyle w:val="933"/>
        <w:spacing w:before="0" w:beforeAutospacing="0" w:after="0" w:afterAutospacing="0" w:line="360" w:lineRule="auto"/>
        <w:ind w:firstLine="42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 xml:space="preserve">2.20.1 </w:t>
      </w:r>
      <w:r>
        <w:rPr>
          <w:rFonts w:hint="eastAsia" w:ascii="仿宋" w:hAnsi="仿宋" w:eastAsia="仿宋"/>
          <w:color w:val="000000" w:themeColor="text1"/>
          <w:highlight w:val="none"/>
          <w14:textFill>
            <w14:solidFill>
              <w14:schemeClr w14:val="tx1"/>
            </w14:solidFill>
          </w14:textFill>
        </w:rPr>
        <w:t>采购文件要求乙方提交履约保证金的，乙方应按</w:t>
      </w:r>
      <w:r>
        <w:rPr>
          <w:rFonts w:hint="eastAsia" w:ascii="仿宋" w:hAnsi="仿宋" w:eastAsia="仿宋"/>
          <w:b/>
          <w:i/>
          <w:color w:val="000000" w:themeColor="text1"/>
          <w:highlight w:val="none"/>
          <w:u w:val="single"/>
          <w14:textFill>
            <w14:solidFill>
              <w14:schemeClr w14:val="tx1"/>
            </w14:solidFill>
          </w14:textFill>
        </w:rPr>
        <w:t>合同专用条款</w:t>
      </w:r>
      <w:r>
        <w:rPr>
          <w:rFonts w:hint="eastAsia" w:ascii="仿宋" w:hAnsi="仿宋" w:eastAsia="仿宋"/>
          <w:color w:val="000000" w:themeColor="text1"/>
          <w:highlight w:val="none"/>
          <w14:textFill>
            <w14:solidFill>
              <w14:schemeClr w14:val="tx1"/>
            </w14:solidFill>
          </w14:textFill>
        </w:rPr>
        <w:t>约定的方式，以支票、汇票、本票或者金融机构、担保机构出具的保函等非现金形式，提交不超过合同金额</w:t>
      </w:r>
      <w:r>
        <w:rPr>
          <w:rFonts w:hint="eastAsia" w:ascii="仿宋" w:hAnsi="仿宋" w:eastAsia="仿宋"/>
          <w:color w:val="000000" w:themeColor="text1"/>
          <w:highlight w:val="none"/>
          <w:lang w:val="en-US" w:eastAsia="zh-CN"/>
          <w14:textFill>
            <w14:solidFill>
              <w14:schemeClr w14:val="tx1"/>
            </w14:solidFill>
          </w14:textFill>
        </w:rPr>
        <w:t>2.</w:t>
      </w:r>
      <w:r>
        <w:rPr>
          <w:rFonts w:ascii="仿宋" w:hAnsi="仿宋" w:eastAsia="仿宋"/>
          <w:color w:val="000000" w:themeColor="text1"/>
          <w:highlight w:val="none"/>
          <w14:textFill>
            <w14:solidFill>
              <w14:schemeClr w14:val="tx1"/>
            </w14:solidFill>
          </w14:textFill>
        </w:rPr>
        <w:t>5%的履约保证金；鼓励和支持乙方以银行、保险公司出具的保函形式提供履约保证。</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2.20.2  </w:t>
      </w:r>
      <w:r>
        <w:rPr>
          <w:rFonts w:hint="eastAsia" w:ascii="仿宋" w:hAnsi="仿宋" w:eastAsia="仿宋"/>
          <w:color w:val="000000" w:themeColor="text1"/>
          <w:sz w:val="24"/>
          <w:highlight w:val="none"/>
          <w14:textFill>
            <w14:solidFill>
              <w14:schemeClr w14:val="tx1"/>
            </w14:solidFill>
          </w14:textFill>
        </w:rPr>
        <w:t>履约保证金在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约定期间内不予退还。乙方在前述约定期间届满前能履行完合同约定义务事项的，甲方在前述约定期间届满之日起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5</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个工作日内，按</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约定的方式将履约保证金退还乙方，逾期退还的，乙方可要求甲方支付违约金，违约金按每迟延退还一日的应退还而未退还金额的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0.05</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%计算，最高限额为本合同履约保证金的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20</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2.20.3 </w:t>
      </w:r>
      <w:r>
        <w:rPr>
          <w:rFonts w:hint="eastAsia" w:ascii="仿宋" w:hAnsi="仿宋" w:eastAsia="仿宋"/>
          <w:color w:val="000000" w:themeColor="text1"/>
          <w:sz w:val="24"/>
          <w:highlight w:val="none"/>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2.2</w:t>
      </w:r>
      <w:r>
        <w:rPr>
          <w:rFonts w:hint="eastAsia" w:ascii="仿宋" w:hAnsi="仿宋" w:eastAsia="仿宋"/>
          <w:color w:val="000000" w:themeColor="text1"/>
          <w:sz w:val="24"/>
          <w:highlight w:val="none"/>
          <w:lang w:val="en-US" w:eastAsia="zh-CN"/>
          <w14:textFill>
            <w14:solidFill>
              <w14:schemeClr w14:val="tx1"/>
            </w14:solidFill>
          </w14:textFill>
        </w:rPr>
        <w:t>0</w:t>
      </w:r>
      <w:r>
        <w:rPr>
          <w:rFonts w:ascii="仿宋" w:hAnsi="仿宋" w:eastAsia="仿宋"/>
          <w:color w:val="000000" w:themeColor="text1"/>
          <w:sz w:val="24"/>
          <w:highlight w:val="none"/>
          <w14:textFill>
            <w14:solidFill>
              <w14:schemeClr w14:val="tx1"/>
            </w14:solidFill>
          </w14:textFill>
        </w:rPr>
        <w:t>.4</w:t>
      </w:r>
      <w:r>
        <w:rPr>
          <w:rFonts w:hint="eastAsia" w:ascii="仿宋" w:hAnsi="仿宋" w:eastAsia="仿宋"/>
          <w:color w:val="000000" w:themeColor="text1"/>
          <w:sz w:val="24"/>
          <w:highlight w:val="none"/>
          <w14:textFill>
            <w14:solidFill>
              <w14:schemeClr w14:val="tx1"/>
            </w14:solidFill>
          </w14:textFill>
        </w:rPr>
        <w:t> 甲方根据杭州市政府采购网公布的供应商履约评价情况减免履约保证金。乙方履约验收评价总分为</w:t>
      </w:r>
      <w:r>
        <w:rPr>
          <w:rFonts w:ascii="仿宋" w:hAnsi="仿宋" w:eastAsia="仿宋"/>
          <w:color w:val="000000" w:themeColor="text1"/>
          <w:sz w:val="24"/>
          <w:highlight w:val="none"/>
          <w14:textFill>
            <w14:solidFill>
              <w14:schemeClr w14:val="tx1"/>
            </w14:solidFill>
          </w14:textFill>
        </w:rPr>
        <w:t>100分的，甲方免收履约保证金；评价总分在90分以上的，收取履约保证金</w:t>
      </w:r>
      <w:r>
        <w:rPr>
          <w:rFonts w:hint="eastAsia" w:ascii="仿宋" w:hAnsi="仿宋" w:eastAsia="仿宋"/>
          <w:color w:val="000000" w:themeColor="text1"/>
          <w:sz w:val="24"/>
          <w:highlight w:val="none"/>
          <w14:textFill>
            <w14:solidFill>
              <w14:schemeClr w14:val="tx1"/>
            </w14:solidFill>
          </w14:textFill>
        </w:rPr>
        <w:t>为</w:t>
      </w:r>
      <w:r>
        <w:rPr>
          <w:rFonts w:ascii="仿宋" w:hAnsi="仿宋" w:eastAsia="仿宋"/>
          <w:color w:val="000000" w:themeColor="text1"/>
          <w:sz w:val="24"/>
          <w:highlight w:val="none"/>
          <w14:textFill>
            <w14:solidFill>
              <w14:schemeClr w14:val="tx1"/>
            </w14:solidFill>
          </w14:textFill>
        </w:rPr>
        <w:t>合同金额2%；评价总分在不满90分或者暂无评分的，收取履约保证金</w:t>
      </w:r>
      <w:r>
        <w:rPr>
          <w:rFonts w:hint="eastAsia" w:ascii="仿宋" w:hAnsi="仿宋" w:eastAsia="仿宋"/>
          <w:color w:val="000000" w:themeColor="text1"/>
          <w:sz w:val="24"/>
          <w:highlight w:val="none"/>
          <w14:textFill>
            <w14:solidFill>
              <w14:schemeClr w14:val="tx1"/>
            </w14:solidFill>
          </w14:textFill>
        </w:rPr>
        <w:t>为</w:t>
      </w:r>
      <w:r>
        <w:rPr>
          <w:rFonts w:ascii="仿宋" w:hAnsi="仿宋" w:eastAsia="仿宋"/>
          <w:color w:val="000000" w:themeColor="text1"/>
          <w:sz w:val="24"/>
          <w:highlight w:val="none"/>
          <w14:textFill>
            <w14:solidFill>
              <w14:schemeClr w14:val="tx1"/>
            </w14:solidFill>
          </w14:textFill>
        </w:rPr>
        <w:t>合同金额</w:t>
      </w:r>
      <w:r>
        <w:rPr>
          <w:rFonts w:hint="eastAsia" w:ascii="仿宋" w:hAnsi="仿宋" w:eastAsia="仿宋"/>
          <w:color w:val="000000" w:themeColor="text1"/>
          <w:sz w:val="24"/>
          <w:highlight w:val="none"/>
          <w:lang w:val="en-US" w:eastAsia="zh-CN"/>
          <w14:textFill>
            <w14:solidFill>
              <w14:schemeClr w14:val="tx1"/>
            </w14:solidFill>
          </w14:textFill>
        </w:rPr>
        <w:t>2.</w:t>
      </w:r>
      <w:r>
        <w:rPr>
          <w:rFonts w:ascii="仿宋" w:hAnsi="仿宋" w:eastAsia="仿宋"/>
          <w:color w:val="000000" w:themeColor="text1"/>
          <w:sz w:val="24"/>
          <w:highlight w:val="none"/>
          <w14:textFill>
            <w14:solidFill>
              <w14:schemeClr w14:val="tx1"/>
            </w14:solidFill>
          </w14:textFill>
        </w:rPr>
        <w:t>5%。</w:t>
      </w:r>
    </w:p>
    <w:bookmarkEnd w:id="545"/>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46" w:name="_Toc19890"/>
      <w:bookmarkStart w:id="547" w:name="_Toc6885"/>
      <w:bookmarkStart w:id="548" w:name="_Toc14001"/>
      <w:r>
        <w:rPr>
          <w:rFonts w:ascii="仿宋" w:hAnsi="仿宋" w:eastAsia="仿宋"/>
          <w:b/>
          <w:color w:val="000000" w:themeColor="text1"/>
          <w:sz w:val="24"/>
          <w:highlight w:val="none"/>
          <w14:textFill>
            <w14:solidFill>
              <w14:schemeClr w14:val="tx1"/>
            </w14:solidFill>
          </w14:textFill>
        </w:rPr>
        <w:t xml:space="preserve">2.21 </w:t>
      </w:r>
      <w:r>
        <w:rPr>
          <w:rFonts w:hint="eastAsia" w:ascii="仿宋" w:hAnsi="仿宋" w:eastAsia="仿宋"/>
          <w:b/>
          <w:color w:val="000000" w:themeColor="text1"/>
          <w:sz w:val="24"/>
          <w:highlight w:val="none"/>
          <w14:textFill>
            <w14:solidFill>
              <w14:schemeClr w14:val="tx1"/>
            </w14:solidFill>
          </w14:textFill>
        </w:rPr>
        <w:t>合同份数</w:t>
      </w:r>
      <w:bookmarkEnd w:id="546"/>
      <w:bookmarkEnd w:id="547"/>
      <w:bookmarkEnd w:id="548"/>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合同份数按</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规定，每份均具有同等法律效力。</w:t>
      </w:r>
    </w:p>
    <w:bookmarkEnd w:id="417"/>
    <w:p>
      <w:pPr>
        <w:spacing w:line="560" w:lineRule="exact"/>
        <w:ind w:left="-420" w:leftChars="-200" w:right="-420" w:rightChars="-200" w:firstLine="480" w:firstLineChars="200"/>
        <w:rPr>
          <w:color w:val="000000" w:themeColor="text1"/>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color w:val="000000" w:themeColor="text1"/>
                <w:sz w:val="24"/>
                <w:highlight w:val="none"/>
                <w14:textFill>
                  <w14:solidFill>
                    <w14:schemeClr w14:val="tx1"/>
                  </w14:solidFill>
                </w14:textFill>
              </w:rPr>
            </w:pPr>
            <w:r>
              <w:rPr>
                <w:rFonts w:hint="eastAsia" w:ascii="仿宋_GB2312" w:hAnsi="楷体" w:eastAsia="仿宋_GB2312"/>
                <w:b/>
                <w:color w:val="000000" w:themeColor="text1"/>
                <w:sz w:val="24"/>
                <w:highlight w:val="none"/>
                <w14:textFill>
                  <w14:solidFill>
                    <w14:schemeClr w14:val="tx1"/>
                  </w14:solidFill>
                </w14:textFill>
              </w:rPr>
              <w:t>条款号</w:t>
            </w:r>
          </w:p>
        </w:tc>
        <w:tc>
          <w:tcPr>
            <w:tcW w:w="8275" w:type="dxa"/>
            <w:vAlign w:val="center"/>
          </w:tcPr>
          <w:p>
            <w:pPr>
              <w:spacing w:line="360" w:lineRule="auto"/>
              <w:jc w:val="center"/>
              <w:rPr>
                <w:rFonts w:ascii="仿宋_GB2312" w:hAnsi="楷体" w:eastAsia="仿宋_GB2312"/>
                <w:b/>
                <w:color w:val="000000" w:themeColor="text1"/>
                <w:sz w:val="24"/>
                <w:highlight w:val="none"/>
                <w14:textFill>
                  <w14:solidFill>
                    <w14:schemeClr w14:val="tx1"/>
                  </w14:solidFill>
                </w14:textFill>
              </w:rPr>
            </w:pPr>
            <w:r>
              <w:rPr>
                <w:rFonts w:hint="eastAsia" w:ascii="仿宋_GB2312" w:hAnsi="楷体" w:eastAsia="仿宋_GB2312"/>
                <w:b/>
                <w:color w:val="000000" w:themeColor="text1"/>
                <w:sz w:val="24"/>
                <w:highlight w:val="none"/>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1.4.4</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支付方式：</w:t>
            </w:r>
            <w:r>
              <w:rPr>
                <w:rFonts w:hint="eastAsia" w:ascii="仿宋" w:hAnsi="仿宋" w:eastAsia="仿宋"/>
                <w:color w:val="000000" w:themeColor="text1"/>
                <w:sz w:val="24"/>
                <w:highlight w:val="none"/>
                <w14:textFill>
                  <w14:solidFill>
                    <w14:schemeClr w14:val="tx1"/>
                  </w14:solidFill>
                </w14:textFill>
              </w:rPr>
              <w:t>同签订后7个工作日内，中标人向采购人交纳合同总价2%的履约担保（采用保函等形式），采购人支付合同总价40%的预付款，货物到场后支付合同总价的30%，验收合格后支付剩余货款30%（不计息）。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1.5.1 </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工期：</w:t>
            </w:r>
            <w:r>
              <w:rPr>
                <w:rFonts w:hint="eastAsia" w:ascii="仿宋" w:hAnsi="仿宋" w:eastAsia="仿宋"/>
                <w:color w:val="000000" w:themeColor="text1"/>
                <w:sz w:val="24"/>
                <w:highlight w:val="none"/>
                <w14:textFill>
                  <w14:solidFill>
                    <w14:schemeClr w14:val="tx1"/>
                  </w14:solidFill>
                </w14:textFill>
              </w:rPr>
              <w:t>2022年</w:t>
            </w:r>
            <w:r>
              <w:rPr>
                <w:rFonts w:hint="eastAsia" w:ascii="仿宋" w:hAnsi="仿宋" w:eastAsia="仿宋"/>
                <w:color w:val="000000" w:themeColor="text1"/>
                <w:sz w:val="24"/>
                <w:highlight w:val="none"/>
                <w:lang w:val="en-US" w:eastAsia="zh-CN"/>
                <w14:textFill>
                  <w14:solidFill>
                    <w14:schemeClr w14:val="tx1"/>
                  </w14:solidFill>
                </w14:textFill>
              </w:rPr>
              <w:t>8</w:t>
            </w:r>
            <w:r>
              <w:rPr>
                <w:rFonts w:hint="eastAsia" w:ascii="仿宋" w:hAnsi="仿宋" w:eastAsia="仿宋"/>
                <w:color w:val="000000" w:themeColor="text1"/>
                <w:sz w:val="24"/>
                <w:highlight w:val="none"/>
                <w14:textFill>
                  <w14:solidFill>
                    <w14:schemeClr w14:val="tx1"/>
                  </w14:solidFill>
                </w14:textFill>
              </w:rPr>
              <w:t>月</w:t>
            </w:r>
            <w:r>
              <w:rPr>
                <w:rFonts w:hint="eastAsia" w:ascii="仿宋" w:hAnsi="仿宋" w:eastAsia="仿宋"/>
                <w:color w:val="000000" w:themeColor="text1"/>
                <w:sz w:val="24"/>
                <w:highlight w:val="none"/>
                <w:lang w:val="en-US" w:eastAsia="zh-CN"/>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0日前完成安装调试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1.5.2</w:t>
            </w:r>
          </w:p>
        </w:tc>
        <w:tc>
          <w:tcPr>
            <w:tcW w:w="8275" w:type="dxa"/>
            <w:vAlign w:val="center"/>
          </w:tcPr>
          <w:p>
            <w:pPr>
              <w:spacing w:line="360" w:lineRule="auto"/>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交付地点：</w:t>
            </w:r>
            <w:r>
              <w:rPr>
                <w:rFonts w:hint="eastAsia" w:ascii="仿宋" w:hAnsi="仿宋" w:eastAsia="仿宋"/>
                <w:color w:val="000000" w:themeColor="text1"/>
                <w:sz w:val="24"/>
                <w:highlight w:val="none"/>
                <w:lang w:eastAsia="zh-CN"/>
                <w14:textFill>
                  <w14:solidFill>
                    <w14:schemeClr w14:val="tx1"/>
                  </w14:solidFill>
                </w14:textFill>
              </w:rPr>
              <w:t>采购人指定地点</w:t>
            </w:r>
            <w:r>
              <w:rPr>
                <w:rFonts w:hint="eastAsia" w:ascii="仿宋_GB2312" w:hAnsi="仿宋" w:eastAsia="仿宋_GB2312"/>
                <w:color w:val="000000" w:themeColor="text1"/>
                <w:kern w:val="0"/>
                <w:sz w:val="24"/>
                <w:highlight w:val="none"/>
                <w:lang w:val="en-US" w:eastAsia="zh-CN"/>
                <w14:textFill>
                  <w14:solidFill>
                    <w14:schemeClr w14:val="tx1"/>
                  </w14:solidFill>
                </w14:textFill>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1.5.3 </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交付方式：现场交付。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1.6.7</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1.7</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1.7.</w:t>
            </w:r>
            <w:r>
              <w:rPr>
                <w:rFonts w:hint="eastAsia" w:ascii="仿宋" w:hAnsi="仿宋" w:eastAsia="仿宋"/>
                <w:color w:val="000000" w:themeColor="text1"/>
                <w:sz w:val="24"/>
                <w:highlight w:val="none"/>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1.7.2</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1.7.2</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2.3.2</w:t>
            </w:r>
          </w:p>
        </w:tc>
        <w:tc>
          <w:tcPr>
            <w:tcW w:w="8275" w:type="dxa"/>
            <w:vAlign w:val="center"/>
          </w:tcPr>
          <w:p>
            <w:pPr>
              <w:spacing w:line="360" w:lineRule="auto"/>
              <w:ind w:left="-420" w:leftChars="-200" w:right="-420" w:rightChars="-200"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基于甲方需求经二次开发后，</w:t>
            </w:r>
            <w:r>
              <w:rPr>
                <w:rFonts w:ascii="仿宋" w:hAnsi="仿宋" w:eastAsia="仿宋"/>
                <w:color w:val="000000" w:themeColor="text1"/>
                <w:sz w:val="24"/>
                <w:highlight w:val="none"/>
                <w14:textFill>
                  <w14:solidFill>
                    <w14:schemeClr w14:val="tx1"/>
                  </w14:solidFill>
                </w14:textFill>
              </w:rPr>
              <w:t>具有知识产权的软件的知识产权</w:t>
            </w:r>
            <w:r>
              <w:rPr>
                <w:rFonts w:hint="eastAsia" w:ascii="仿宋" w:hAnsi="仿宋" w:eastAsia="仿宋"/>
                <w:color w:val="000000" w:themeColor="text1"/>
                <w:sz w:val="24"/>
                <w:highlight w:val="none"/>
                <w14:textFill>
                  <w14:solidFill>
                    <w14:schemeClr w14:val="tx1"/>
                  </w14:solidFill>
                </w14:textFill>
              </w:rPr>
              <w:t>归甲方。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2.4.1</w:t>
            </w:r>
          </w:p>
        </w:tc>
        <w:tc>
          <w:tcPr>
            <w:tcW w:w="8275" w:type="dxa"/>
            <w:vAlign w:val="center"/>
          </w:tcPr>
          <w:p>
            <w:pPr>
              <w:spacing w:line="360" w:lineRule="auto"/>
              <w:ind w:left="-420" w:leftChars="-200" w:right="-420" w:rightChars="-200"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2.4.2</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接到甲方发货通知后，3个自然日内将装运货物运送到现场。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2.8 </w:t>
            </w:r>
          </w:p>
        </w:tc>
        <w:tc>
          <w:tcPr>
            <w:tcW w:w="8275" w:type="dxa"/>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货物或者在途货物或者交付给第一承运人后的货物毁损、灭失的风险由乙方承担一切责任并赔偿甲方损失。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2.12.3</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因不可抗力致使合同有变更必要的，双方当事人应在15日内以书面形式变更合同；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2.12.4</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受不可抗力影响的一方在不可抗力发生后，应在</w:t>
            </w:r>
            <w:r>
              <w:rPr>
                <w:rFonts w:hint="eastAsia" w:ascii="仿宋" w:hAnsi="仿宋" w:eastAsia="仿宋"/>
                <w:color w:val="000000" w:themeColor="text1"/>
                <w:sz w:val="24"/>
                <w:highlight w:val="none"/>
                <w14:textFill>
                  <w14:solidFill>
                    <w14:schemeClr w14:val="tx1"/>
                  </w14:solidFill>
                </w14:textFill>
              </w:rPr>
              <w:t>15日内以书面形式通知对方当事人，并在15日内，将有关部门出具的证明文件送达对方当事人。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2.16.1</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货物交付前，乙方应对货物的质量、数量等方面进行详细、全面的检验，并向甲方出具证明货物符合合同约定的文件；货物交付时，乙方在</w:t>
            </w:r>
            <w:r>
              <w:rPr>
                <w:rFonts w:hint="eastAsia" w:ascii="仿宋" w:hAnsi="仿宋" w:eastAsia="仿宋"/>
                <w:color w:val="000000" w:themeColor="text1"/>
                <w:sz w:val="24"/>
                <w:highlight w:val="none"/>
                <w14:textFill>
                  <w14:solidFill>
                    <w14:schemeClr w14:val="tx1"/>
                  </w14:solidFill>
                </w14:textFill>
              </w:rPr>
              <w:t>15日内组织验收，并可依法邀请相关方参加，验收应出具验收书。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2.16.3</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检验和验收标准、程序等具体内容以及前述验收书的效力，采用本行业通用标准。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2.20.1</w:t>
            </w:r>
          </w:p>
        </w:tc>
        <w:tc>
          <w:tcPr>
            <w:tcW w:w="8275" w:type="dxa"/>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采购文件要求乙方提交履约保证金的，乙方应提交合同价</w:t>
            </w:r>
            <w:r>
              <w:rPr>
                <w:rFonts w:hint="eastAsia" w:ascii="仿宋" w:hAnsi="仿宋" w:eastAsia="仿宋"/>
                <w:color w:val="000000" w:themeColor="text1"/>
                <w:sz w:val="24"/>
                <w:highlight w:val="none"/>
                <w:lang w:val="en-US" w:eastAsia="zh-CN"/>
                <w14:textFill>
                  <w14:solidFill>
                    <w14:schemeClr w14:val="tx1"/>
                  </w14:solidFill>
                </w14:textFill>
              </w:rPr>
              <w:t>2</w:t>
            </w:r>
            <w:r>
              <w:rPr>
                <w:rFonts w:hint="eastAsia" w:ascii="仿宋" w:hAnsi="仿宋" w:eastAsia="仿宋"/>
                <w:color w:val="000000" w:themeColor="text1"/>
                <w:sz w:val="24"/>
                <w:highlight w:val="none"/>
                <w14:textFill>
                  <w14:solidFill>
                    <w14:schemeClr w14:val="tx1"/>
                  </w14:solidFill>
                </w14:textFill>
              </w:rPr>
              <w:t>%的履约保证金，以支票、汇票、本票或者金融机构、担保机构出具的保函等非现金形式；鼓励和支持乙方以银行、保险公司出具的保函形式提供履约保证。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2.20.2 </w:t>
            </w:r>
          </w:p>
        </w:tc>
        <w:tc>
          <w:tcPr>
            <w:tcW w:w="8275" w:type="dxa"/>
            <w:vAlign w:val="center"/>
          </w:tcPr>
          <w:p>
            <w:pPr>
              <w:spacing w:line="360" w:lineRule="auto"/>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2.21 </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本合同一式六份。</w:t>
            </w:r>
          </w:p>
        </w:tc>
      </w:tr>
    </w:tbl>
    <w:p>
      <w:pPr>
        <w:widowControl/>
        <w:jc w:val="both"/>
        <w:rPr>
          <w:rFonts w:hint="eastAsia" w:ascii="仿宋_GB2312" w:hAnsi="仿宋" w:eastAsia="仿宋_GB2312" w:cs="仿宋_GB2312"/>
          <w:b/>
          <w:sz w:val="36"/>
          <w:szCs w:val="20"/>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14:textFill>
            <w14:solidFill>
              <w14:schemeClr w14:val="tx1"/>
            </w14:solidFill>
          </w14:textFill>
        </w:rPr>
      </w:pPr>
    </w:p>
    <w:p>
      <w:pPr>
        <w:widowControl/>
        <w:ind w:firstLine="1446" w:firstLineChars="400"/>
        <w:jc w:val="center"/>
        <w:rPr>
          <w:rFonts w:hint="eastAsia" w:ascii="仿宋_GB2312" w:hAnsi="仿宋" w:eastAsia="仿宋_GB2312" w:cs="仿宋_GB2312"/>
          <w:b/>
          <w:sz w:val="36"/>
          <w:szCs w:val="20"/>
        </w:rPr>
      </w:pPr>
    </w:p>
    <w:bookmarkEnd w:id="390"/>
    <w:bookmarkEnd w:id="391"/>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ascii="仿宋" w:hAnsi="仿宋" w:eastAsia="仿宋" w:cs="仿宋_GB2312"/>
          <w:b/>
          <w:color w:val="000000" w:themeColor="text1"/>
          <w:sz w:val="36"/>
          <w:szCs w:val="20"/>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r>
        <w:rPr>
          <w:rFonts w:hint="eastAsia" w:ascii="仿宋" w:hAnsi="仿宋" w:eastAsia="仿宋" w:cs="仿宋_GB2312"/>
          <w:b/>
          <w:color w:val="000000" w:themeColor="text1"/>
          <w:sz w:val="36"/>
          <w:szCs w:val="20"/>
          <w14:textFill>
            <w14:solidFill>
              <w14:schemeClr w14:val="tx1"/>
            </w14:solidFill>
          </w14:textFill>
        </w:rPr>
        <w:t>第六部分</w:t>
      </w:r>
      <w:r>
        <w:rPr>
          <w:rFonts w:ascii="仿宋" w:hAnsi="仿宋" w:eastAsia="仿宋" w:cs="仿宋_GB2312"/>
          <w:b/>
          <w:color w:val="000000" w:themeColor="text1"/>
          <w:sz w:val="36"/>
          <w:szCs w:val="20"/>
          <w14:textFill>
            <w14:solidFill>
              <w14:schemeClr w14:val="tx1"/>
            </w14:solidFill>
          </w14:textFill>
        </w:rPr>
        <w:t xml:space="preserve"> </w:t>
      </w:r>
      <w:r>
        <w:rPr>
          <w:rFonts w:hint="eastAsia" w:ascii="仿宋" w:hAnsi="仿宋" w:eastAsia="仿宋" w:cs="仿宋_GB2312"/>
          <w:b/>
          <w:color w:val="000000" w:themeColor="text1"/>
          <w:sz w:val="36"/>
          <w:szCs w:val="20"/>
          <w14:textFill>
            <w14:solidFill>
              <w14:schemeClr w14:val="tx1"/>
            </w14:solidFill>
          </w14:textFill>
        </w:rPr>
        <w:t>应提交的有关格式范例</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资格文件部分</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目录</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1）符合参加政府采购活动应当具备的一般条件的承诺函……</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2）落实政府采购政策需满足的资格要求……</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3）本项目的特定资格要求……</w:t>
      </w:r>
      <w:r>
        <w:rPr>
          <w:rFonts w:hint="eastAsia" w:ascii="仿宋_GB2312" w:hAnsi="仿宋" w:eastAsia="仿宋_GB2312" w:cs="仿宋_GB2312"/>
          <w:color w:val="000000" w:themeColor="text1"/>
          <w:sz w:val="24"/>
          <w14:textFill>
            <w14:solidFill>
              <w14:schemeClr w14:val="tx1"/>
            </w14:solidFill>
          </w14:textFill>
        </w:rPr>
        <w:t>…………………………………………（页码）</w:t>
      </w:r>
    </w:p>
    <w:p>
      <w:pPr>
        <w:adjustRightInd w:val="0"/>
        <w:snapToGrid w:val="0"/>
        <w:spacing w:line="360" w:lineRule="auto"/>
        <w:rPr>
          <w:rFonts w:ascii="仿宋_GB2312" w:hAnsi="仿宋" w:eastAsia="仿宋_GB2312" w:cs="仿宋_GB2312"/>
          <w:b/>
          <w:kern w:val="0"/>
          <w:sz w:val="32"/>
          <w:szCs w:val="32"/>
          <w:lang w:val="zh-CN"/>
        </w:rPr>
      </w:pPr>
    </w:p>
    <w:p>
      <w:pPr>
        <w:pStyle w:val="4"/>
        <w:numPr>
          <w:ilvl w:val="0"/>
          <w:numId w:val="0"/>
        </w:numPr>
        <w:ind w:leftChars="0"/>
        <w:rPr>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t xml:space="preserve">  一、 符合参加政府采购活动应当具备的一般条件的承诺函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我方参与</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项目【招标编号：</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】政府采购活动，郑重承诺：</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（一）具备《中华人民共和国政府采购法》第二十二条第一款规定的条件：</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具有独立承担民事责任的能力；</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w:t>
      </w:r>
      <w:r>
        <w:rPr>
          <w:rFonts w:ascii="仿宋_GB2312" w:hAnsi="仿宋" w:eastAsia="仿宋_GB2312"/>
          <w:color w:val="000000" w:themeColor="text1"/>
          <w:sz w:val="24"/>
          <w14:textFill>
            <w14:solidFill>
              <w14:schemeClr w14:val="tx1"/>
            </w14:solidFill>
          </w14:textFill>
        </w:rPr>
        <w:t xml:space="preserve">具有良好的商业信誉和健全的财务会计制度； </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w:t>
      </w:r>
      <w:r>
        <w:rPr>
          <w:rFonts w:ascii="仿宋_GB2312" w:hAnsi="仿宋" w:eastAsia="仿宋_GB2312"/>
          <w:color w:val="000000" w:themeColor="text1"/>
          <w:sz w:val="24"/>
          <w14:textFill>
            <w14:solidFill>
              <w14:schemeClr w14:val="tx1"/>
            </w14:solidFill>
          </w14:textFill>
        </w:rPr>
        <w:t>具有履行合同所必需的设备和专业技术能力；</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4、</w:t>
      </w:r>
      <w:r>
        <w:rPr>
          <w:rFonts w:ascii="仿宋_GB2312" w:hAnsi="仿宋" w:eastAsia="仿宋_GB2312"/>
          <w:color w:val="000000" w:themeColor="text1"/>
          <w:sz w:val="24"/>
          <w14:textFill>
            <w14:solidFill>
              <w14:schemeClr w14:val="tx1"/>
            </w14:solidFill>
          </w14:textFill>
        </w:rPr>
        <w:t>有依法缴纳税收和社会保障资金的良好记录；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5、</w:t>
      </w:r>
      <w:r>
        <w:rPr>
          <w:rFonts w:ascii="仿宋_GB2312" w:hAnsi="仿宋" w:eastAsia="仿宋_GB2312"/>
          <w:color w:val="000000" w:themeColor="text1"/>
          <w:sz w:val="24"/>
          <w14:textFill>
            <w14:solidFill>
              <w14:schemeClr w14:val="tx1"/>
            </w14:solidFill>
          </w14:textFill>
        </w:rPr>
        <w:t>参加政府采购活动前三年内，在经营活动中没有重大违法记录；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6、</w:t>
      </w:r>
      <w:r>
        <w:rPr>
          <w:rFonts w:ascii="仿宋_GB2312" w:hAnsi="仿宋" w:eastAsia="仿宋_GB2312"/>
          <w:color w:val="000000" w:themeColor="text1"/>
          <w:sz w:val="24"/>
          <w14:textFill>
            <w14:solidFill>
              <w14:schemeClr w14:val="tx1"/>
            </w14:solidFill>
          </w14:textFill>
        </w:rPr>
        <w:t>具有法律、行政法规规定的其他条件。</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（二）未被信用中国（</w:t>
      </w:r>
      <w:r>
        <w:rPr>
          <w:rFonts w:ascii="仿宋_GB2312" w:hAnsi="仿宋" w:eastAsia="仿宋_GB2312"/>
          <w:color w:val="000000" w:themeColor="text1"/>
          <w:sz w:val="24"/>
          <w14:textFill>
            <w14:solidFill>
              <w14:schemeClr w14:val="tx1"/>
            </w14:solidFill>
          </w14:textFill>
        </w:rPr>
        <w:t>www.creditchina.gov.cn)、中国政府采购网（www.ccgp.gov.cn）列入失信被执行人、重大税收违法案件当事人名单、政府采购严重违法失信行为记录名单。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（三）不存在以下情况：</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单位负责人为同一人或者存在直接控股、管理关系的不同供应商参加同一合同项下的政府采购活动的；</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14:textFill>
            <w14:solidFill>
              <w14:schemeClr w14:val="tx1"/>
            </w14:solidFill>
          </w14:textFill>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投标人名称</w:t>
      </w:r>
      <w:r>
        <w:rPr>
          <w:rFonts w:ascii="仿宋_GB2312" w:hAnsi="仿宋" w:eastAsia="仿宋_GB2312" w:cs="仿宋_GB2312"/>
          <w:color w:val="000000" w:themeColor="text1"/>
          <w:kern w:val="0"/>
          <w:sz w:val="24"/>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日期</w:t>
      </w:r>
      <w:r>
        <w:rPr>
          <w:rFonts w:hint="eastAsia" w:ascii="仿宋_GB2312" w:hAnsi="仿宋" w:eastAsia="仿宋_GB2312" w:cs="仿宋_GB2312"/>
          <w:color w:val="000000" w:themeColor="text1"/>
          <w:kern w:val="0"/>
          <w:sz w:val="24"/>
          <w14:textFill>
            <w14:solidFill>
              <w14:schemeClr w14:val="tx1"/>
            </w14:solidFill>
          </w14:textFill>
        </w:rPr>
        <w:t>：</w:t>
      </w:r>
      <w:r>
        <w:rPr>
          <w:rFonts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w:t>
      </w: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pStyle w:val="4"/>
        <w:numPr>
          <w:ilvl w:val="0"/>
          <w:numId w:val="0"/>
        </w:numPr>
        <w:ind w:leftChars="0"/>
      </w:pPr>
    </w:p>
    <w:p>
      <w:pPr>
        <w:rPr>
          <w:color w:val="000000" w:themeColor="text1"/>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二、落实政府采购政策需满足的资格要求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（根据招标公告</w:t>
      </w:r>
      <w:r>
        <w:rPr>
          <w:rFonts w:hint="eastAsia" w:ascii="仿宋_GB2312" w:hAnsi="仿宋" w:eastAsia="仿宋_GB2312"/>
          <w:color w:val="000000" w:themeColor="text1"/>
          <w:sz w:val="24"/>
          <w14:textFill>
            <w14:solidFill>
              <w14:schemeClr w14:val="tx1"/>
            </w14:solidFill>
          </w14:textFill>
        </w:rPr>
        <w:t>落实政府采购政策需满足的资格要求选择提供相应的材料；未要求的，无需提供</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before="50" w:after="50" w:line="360" w:lineRule="auto"/>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A</w:t>
      </w:r>
      <w:r>
        <w:rPr>
          <w:rFonts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 xml:space="preserve"> </w:t>
      </w:r>
    </w:p>
    <w:p>
      <w:pPr>
        <w:widowControl/>
        <w:spacing w:line="360" w:lineRule="auto"/>
        <w:ind w:firstLine="480"/>
        <w:jc w:val="left"/>
        <w:rPr>
          <w:rFonts w:ascii="仿宋_GB2312" w:hAnsi="宋体" w:eastAsia="仿宋_GB2312"/>
          <w:color w:val="000000" w:themeColor="text1"/>
          <w:sz w:val="24"/>
          <w14:textFill>
            <w14:solidFill>
              <w14:schemeClr w14:val="tx1"/>
            </w14:solidFill>
          </w14:textFill>
        </w:rPr>
      </w:pPr>
    </w:p>
    <w:p>
      <w:pPr>
        <w:widowControl/>
        <w:spacing w:line="360" w:lineRule="auto"/>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B.</w:t>
      </w:r>
      <w:r>
        <w:rPr>
          <w:rFonts w:hint="eastAsia" w:ascii="仿宋_GB2312" w:hAnsi="仿宋" w:eastAsia="仿宋_GB2312" w:cs="仿宋_GB2312"/>
          <w:color w:val="000000" w:themeColor="text1"/>
          <w:sz w:val="24"/>
          <w14:textFill>
            <w14:solidFill>
              <w14:schemeClr w14:val="tx1"/>
            </w14:solidFill>
          </w14:textFill>
        </w:rPr>
        <w:t>要求以联合体形式参加的，提供联合协议和中小企业声明函（附件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联合协议</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（联合体所有成员名称）</w:t>
      </w:r>
      <w:r>
        <w:rPr>
          <w:rFonts w:hint="eastAsia" w:ascii="仿宋_GB2312" w:hAnsi="仿宋" w:eastAsia="仿宋_GB2312" w:cs="仿宋_GB2312"/>
          <w:color w:val="000000" w:themeColor="text1"/>
          <w:kern w:val="0"/>
          <w:sz w:val="24"/>
          <w14:textFill>
            <w14:solidFill>
              <w14:schemeClr w14:val="tx1"/>
            </w14:solidFill>
          </w14:textFill>
        </w:rPr>
        <w:t>自愿</w:t>
      </w:r>
      <w:r>
        <w:rPr>
          <w:rFonts w:hint="eastAsia" w:ascii="仿宋_GB2312" w:hAnsi="仿宋" w:eastAsia="仿宋_GB2312" w:cs="仿宋_GB2312"/>
          <w:color w:val="000000" w:themeColor="text1"/>
          <w:kern w:val="0"/>
          <w:sz w:val="24"/>
          <w:lang w:val="zh-CN"/>
          <w14:textFill>
            <w14:solidFill>
              <w14:schemeClr w14:val="tx1"/>
            </w14:solidFill>
          </w14:textFill>
        </w:rPr>
        <w:t>组成一个联合体，以一个投标人的身份</w:t>
      </w:r>
      <w:r>
        <w:rPr>
          <w:rFonts w:hint="eastAsia" w:ascii="仿宋_GB2312" w:hAnsi="仿宋" w:eastAsia="仿宋_GB2312" w:cs="仿宋_GB2312"/>
          <w:color w:val="000000" w:themeColor="text1"/>
          <w:kern w:val="0"/>
          <w:sz w:val="24"/>
          <w14:textFill>
            <w14:solidFill>
              <w14:schemeClr w14:val="tx1"/>
            </w14:solidFill>
          </w14:textFill>
        </w:rPr>
        <w:t>参加</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投标。</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一、各方一致决定，</w:t>
      </w:r>
      <w:r>
        <w:rPr>
          <w:rFonts w:hint="eastAsia" w:ascii="仿宋_GB2312" w:hAnsi="仿宋" w:eastAsia="仿宋_GB2312" w:cs="仿宋_GB2312"/>
          <w:color w:val="000000" w:themeColor="text1"/>
          <w:kern w:val="0"/>
          <w:sz w:val="24"/>
          <w:u w:val="single"/>
          <w14:textFill>
            <w14:solidFill>
              <w14:schemeClr w14:val="tx1"/>
            </w14:solidFill>
          </w14:textFill>
        </w:rPr>
        <w:t>（某联合体成员名称）</w:t>
      </w:r>
      <w:r>
        <w:rPr>
          <w:rFonts w:hint="eastAsia" w:ascii="仿宋_GB2312" w:hAnsi="仿宋" w:eastAsia="仿宋_GB2312" w:cs="仿宋_GB2312"/>
          <w:color w:val="000000" w:themeColor="text1"/>
          <w:kern w:val="0"/>
          <w:sz w:val="24"/>
          <w14:textFill>
            <w14:solidFill>
              <w14:schemeClr w14:val="tx1"/>
            </w14:solidFill>
          </w14:textFill>
        </w:rPr>
        <w:t>为联合体</w:t>
      </w:r>
      <w:r>
        <w:rPr>
          <w:rFonts w:hint="eastAsia" w:ascii="仿宋_GB2312" w:hAnsi="仿宋" w:eastAsia="仿宋_GB2312" w:cs="仿宋_GB2312"/>
          <w:color w:val="000000" w:themeColor="text1"/>
          <w:kern w:val="0"/>
          <w:sz w:val="24"/>
          <w:lang w:val="zh-CN"/>
          <w14:textFill>
            <w14:solidFill>
              <w14:schemeClr w14:val="tx1"/>
            </w14:solidFill>
          </w14:textFill>
        </w:rPr>
        <w:t>牵头人</w:t>
      </w:r>
      <w:r>
        <w:rPr>
          <w:rFonts w:hint="eastAsia" w:ascii="仿宋_GB2312" w:hAnsi="仿宋" w:eastAsia="仿宋_GB2312" w:cs="Arial"/>
          <w:color w:val="000000" w:themeColor="text1"/>
          <w:sz w:val="24"/>
          <w14:textFill>
            <w14:solidFill>
              <w14:schemeClr w14:val="tx1"/>
            </w14:solidFill>
          </w14:textFill>
        </w:rPr>
        <w:t>，代表所有联合体成员负责投标和合同实施阶段的主办、协调工作</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w:t>
      </w:r>
      <w:r>
        <w:rPr>
          <w:rFonts w:hint="eastAsia" w:ascii="仿宋_GB2312" w:hAnsi="仿宋" w:eastAsia="仿宋_GB2312" w:cs="Arial"/>
          <w:color w:val="000000" w:themeColor="text1"/>
          <w:sz w:val="24"/>
          <w14:textFill>
            <w14:solidFill>
              <w14:schemeClr w14:val="tx1"/>
            </w14:solidFill>
          </w14:textFill>
        </w:rPr>
        <w:t>所有联合体成员各方签署授权书，授权书载明的</w:t>
      </w:r>
      <w:r>
        <w:rPr>
          <w:rFonts w:hint="eastAsia" w:ascii="仿宋_GB2312" w:hAnsi="仿宋" w:eastAsia="仿宋_GB2312" w:cs="仿宋_GB2312"/>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三、本次联合投标中，分工如下：</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ascii="仿宋_GB2312" w:hAnsi="仿宋" w:eastAsia="仿宋_GB2312"/>
          <w:color w:val="000000" w:themeColor="text1"/>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ascii="仿宋_GB2312" w:hAnsi="仿宋" w:eastAsia="仿宋_GB2312"/>
          <w:color w:val="000000" w:themeColor="text1"/>
          <w:u w:val="single"/>
          <w14:textFill>
            <w14:solidFill>
              <w14:schemeClr w14:val="tx1"/>
            </w14:solidFill>
          </w14:textFill>
        </w:rPr>
        <w:t xml:space="preserve">            </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w:t>
      </w:r>
      <w:r>
        <w:rPr>
          <w:rFonts w:hint="eastAsia" w:ascii="仿宋_GB2312" w:hAnsi="仿宋" w:eastAsia="仿宋_GB2312"/>
          <w:color w:val="000000" w:themeColor="text1"/>
          <w:sz w:val="24"/>
          <w14:textFill>
            <w14:solidFill>
              <w14:schemeClr w14:val="tx1"/>
            </w14:solidFill>
          </w14:textFill>
        </w:rPr>
        <w:t>中小企业合同金额达到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%，小</w:t>
      </w:r>
      <w:r>
        <w:rPr>
          <w:rFonts w:hint="eastAsia" w:ascii="仿宋_GB2312" w:hAnsi="仿宋" w:eastAsia="仿宋_GB2312"/>
          <w:color w:val="000000" w:themeColor="text1"/>
          <w:sz w:val="24"/>
          <w14:textFill>
            <w14:solidFill>
              <w14:schemeClr w14:val="tx1"/>
            </w14:solidFill>
          </w14:textFill>
        </w:rPr>
        <w:t>微企业合同金额达到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五、如果中标，</w:t>
      </w:r>
      <w:r>
        <w:rPr>
          <w:rFonts w:hint="eastAsia" w:ascii="仿宋_GB2312" w:hAnsi="仿宋" w:eastAsia="仿宋_GB2312"/>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1、联合体各方不再单独参加或者与其</w:t>
      </w:r>
      <w:r>
        <w:rPr>
          <w:rFonts w:hint="eastAsia" w:ascii="仿宋_GB2312" w:hAnsi="仿宋" w:eastAsia="仿宋_GB2312" w:cs="仿宋_GB2312"/>
          <w:color w:val="000000" w:themeColor="text1"/>
          <w:kern w:val="0"/>
          <w:sz w:val="24"/>
          <w:lang w:val="zh-CN"/>
          <w14:textFill>
            <w14:solidFill>
              <w14:schemeClr w14:val="tx1"/>
            </w14:solidFill>
          </w14:textFill>
        </w:rPr>
        <w:t>他供应商另外组成联合体参加同一合同项下的政府采购活动。</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spacing w:line="360" w:lineRule="auto"/>
        <w:ind w:firstLine="482" w:firstLineChars="200"/>
        <w:rPr>
          <w:rFonts w:ascii="仿宋" w:hAnsi="仿宋" w:eastAsia="仿宋"/>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C、</w:t>
      </w:r>
      <w:r>
        <w:rPr>
          <w:rFonts w:hint="eastAsia" w:ascii="仿宋_GB2312" w:hAnsi="仿宋" w:eastAsia="仿宋_GB2312" w:cs="仿宋_GB2312"/>
          <w:color w:val="000000" w:themeColor="text1"/>
          <w:sz w:val="24"/>
          <w14:textFill>
            <w14:solidFill>
              <w14:schemeClr w14:val="tx1"/>
            </w14:solidFill>
          </w14:textFill>
        </w:rPr>
        <w:t>要求合同分包的，提供分包意向协议和中小企业声明函（附件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分包意向协议</w:t>
      </w:r>
    </w:p>
    <w:p>
      <w:pPr>
        <w:widowControl/>
        <w:spacing w:line="360" w:lineRule="auto"/>
        <w:ind w:firstLine="120" w:firstLineChars="5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lang w:val="zh-CN"/>
          <w14:textFill>
            <w14:solidFill>
              <w14:schemeClr w14:val="tx1"/>
            </w14:solidFill>
          </w14:textFill>
        </w:rPr>
        <w:t>若成为</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14:textFill>
            <w14:solidFill>
              <w14:schemeClr w14:val="tx1"/>
            </w14:solidFill>
          </w14:textFill>
        </w:rPr>
        <w:t>：</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的中标供应商，将依法采取分包方式履行合同。</w:t>
      </w: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14:textFill>
            <w14:solidFill>
              <w14:schemeClr w14:val="tx1"/>
            </w14:solidFill>
          </w14:textFill>
        </w:rPr>
        <w:t>与</w:t>
      </w:r>
      <w:r>
        <w:rPr>
          <w:rFonts w:hint="eastAsia" w:ascii="仿宋_GB2312" w:hAnsi="仿宋" w:eastAsia="仿宋_GB2312" w:cs="仿宋_GB2312"/>
          <w:color w:val="000000" w:themeColor="text1"/>
          <w:kern w:val="0"/>
          <w:sz w:val="24"/>
          <w:u w:val="single"/>
          <w14:textFill>
            <w14:solidFill>
              <w14:schemeClr w14:val="tx1"/>
            </w14:solidFill>
          </w14:textFill>
        </w:rPr>
        <w:t>（所有分包供应商名称）</w:t>
      </w:r>
      <w:r>
        <w:rPr>
          <w:rFonts w:hint="eastAsia" w:ascii="仿宋_GB2312" w:hAnsi="仿宋" w:eastAsia="仿宋_GB2312" w:cs="仿宋_GB2312"/>
          <w:color w:val="000000" w:themeColor="text1"/>
          <w:kern w:val="0"/>
          <w:sz w:val="24"/>
          <w14:textFill>
            <w14:solidFill>
              <w14:schemeClr w14:val="tx1"/>
            </w14:solidFill>
          </w14:textFill>
        </w:rPr>
        <w:t>达成分包意向协议</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一、分包标的及数量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lang w:val="zh-CN"/>
          <w14:textFill>
            <w14:solidFill>
              <w14:schemeClr w14:val="tx1"/>
            </w14:solidFill>
          </w14:textFill>
        </w:rPr>
        <w:t>将</w:t>
      </w:r>
      <w:r>
        <w:rPr>
          <w:rFonts w:ascii="仿宋_GB2312" w:hAnsi="仿宋" w:eastAsia="仿宋_GB2312"/>
          <w:color w:val="000000" w:themeColor="text1"/>
          <w:u w:val="single"/>
          <w14:textFill>
            <w14:solidFill>
              <w14:schemeClr w14:val="tx1"/>
            </w14:solidFill>
          </w14:textFill>
        </w:rPr>
        <w:t xml:space="preserve">   XX工作内容   </w:t>
      </w:r>
      <w:r>
        <w:rPr>
          <w:rFonts w:hint="eastAsia" w:ascii="仿宋_GB2312" w:hAnsi="仿宋" w:eastAsia="仿宋_GB2312" w:cs="Arial"/>
          <w:color w:val="000000" w:themeColor="text1"/>
          <w:sz w:val="24"/>
          <w14:textFill>
            <w14:solidFill>
              <w14:schemeClr w14:val="tx1"/>
            </w14:solidFill>
          </w14:textFill>
        </w:rPr>
        <w:t>分包给</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具备承</w:t>
      </w:r>
      <w:r>
        <w:rPr>
          <w:rFonts w:hint="eastAsia" w:ascii="仿宋_GB2312" w:hAnsi="仿宋" w:eastAsia="仿宋_GB2312" w:cs="仿宋_GB2312"/>
          <w:color w:val="000000" w:themeColor="text1"/>
          <w:kern w:val="0"/>
          <w:sz w:val="24"/>
          <w14:textFill>
            <w14:solidFill>
              <w14:schemeClr w14:val="tx1"/>
            </w14:solidFill>
          </w14:textFill>
        </w:rPr>
        <w:t>担</w:t>
      </w:r>
      <w:r>
        <w:rPr>
          <w:rFonts w:ascii="仿宋_GB2312" w:hAnsi="仿宋" w:eastAsia="仿宋_GB2312" w:cs="仿宋_GB2312"/>
          <w:color w:val="000000" w:themeColor="text1"/>
          <w:kern w:val="0"/>
          <w:sz w:val="24"/>
          <w:u w:val="single"/>
          <w:lang w:val="zh-CN"/>
          <w14:textFill>
            <w14:solidFill>
              <w14:schemeClr w14:val="tx1"/>
            </w14:solidFill>
          </w14:textFill>
        </w:rPr>
        <w:t>XX工作内容</w:t>
      </w:r>
      <w:r>
        <w:rPr>
          <w:rFonts w:hint="eastAsia" w:ascii="仿宋_GB2312" w:hAnsi="仿宋" w:eastAsia="仿宋_GB2312" w:cs="仿宋_GB2312"/>
          <w:color w:val="000000" w:themeColor="text1"/>
          <w:kern w:val="0"/>
          <w:sz w:val="24"/>
          <w:lang w:val="zh-CN"/>
          <w14:textFill>
            <w14:solidFill>
              <w14:schemeClr w14:val="tx1"/>
            </w14:solidFill>
          </w14:textFill>
        </w:rPr>
        <w:t>相应资质条件且不得再次分包；</w:t>
      </w:r>
    </w:p>
    <w:p>
      <w:pPr>
        <w:pStyle w:val="4"/>
        <w:numPr>
          <w:ilvl w:val="0"/>
          <w:numId w:val="0"/>
        </w:numPr>
        <w:ind w:leftChars="411"/>
        <w:rPr>
          <w:color w:val="000000" w:themeColor="text1"/>
          <w14:textFill>
            <w14:solidFill>
              <w14:schemeClr w14:val="tx1"/>
            </w14:solidFill>
          </w14:textFill>
        </w:rPr>
      </w:pPr>
      <w:r>
        <w:rPr>
          <w:rFonts w:hint="eastAsia" w:cs="仿宋_GB2312"/>
          <w:color w:val="000000" w:themeColor="text1"/>
          <w:kern w:val="0"/>
          <w:sz w:val="24"/>
          <w:szCs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二、分包工作履行期限、地点、方式</w:t>
      </w:r>
    </w:p>
    <w:p>
      <w:pPr>
        <w:snapToGrid w:val="0"/>
        <w:spacing w:line="360" w:lineRule="auto"/>
        <w:ind w:firstLine="576"/>
        <w:rPr>
          <w:rFonts w:ascii="仿宋_GB2312" w:hAnsi="仿宋" w:eastAsia="仿宋_GB2312"/>
          <w:color w:val="000000" w:themeColor="text1"/>
          <w:u w:val="single"/>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三、质量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四、价款或者报酬</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五、违约责任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六、争议解决的办法</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七、其他</w:t>
      </w:r>
    </w:p>
    <w:p>
      <w:pPr>
        <w:snapToGrid w:val="0"/>
        <w:spacing w:line="360" w:lineRule="auto"/>
        <w:ind w:left="5758" w:leftChars="342" w:hanging="5040" w:hanging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中小企业合同金额达到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%，小</w:t>
      </w:r>
      <w:r>
        <w:rPr>
          <w:rFonts w:hint="eastAsia" w:ascii="仿宋_GB2312" w:hAnsi="仿宋" w:eastAsia="仿宋_GB2312"/>
          <w:color w:val="000000" w:themeColor="text1"/>
          <w:sz w:val="24"/>
          <w14:textFill>
            <w14:solidFill>
              <w14:schemeClr w14:val="tx1"/>
            </w14:solidFill>
          </w14:textFill>
        </w:rPr>
        <w:t>微企业合同金额达到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                                           投标人名称(电子签名)：</w:t>
      </w:r>
    </w:p>
    <w:p>
      <w:pPr>
        <w:snapToGrid w:val="0"/>
        <w:spacing w:line="360" w:lineRule="auto"/>
        <w:ind w:firstLine="5640" w:firstLineChars="235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分包供应商名称：</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三、本项目的特定资格要求</w:t>
      </w:r>
    </w:p>
    <w:p>
      <w:pPr>
        <w:spacing w:line="360" w:lineRule="auto"/>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（根据招标公告本项目的特定资格要求</w:t>
      </w:r>
      <w:r>
        <w:rPr>
          <w:rFonts w:hint="eastAsia" w:ascii="仿宋_GB2312" w:hAnsi="仿宋" w:eastAsia="仿宋_GB2312"/>
          <w:color w:val="000000" w:themeColor="text1"/>
          <w:sz w:val="24"/>
          <w14:textFill>
            <w14:solidFill>
              <w14:schemeClr w14:val="tx1"/>
            </w14:solidFill>
          </w14:textFill>
        </w:rPr>
        <w:t>提供相应的材料；未要求的，无需提供</w:t>
      </w:r>
      <w:r>
        <w:rPr>
          <w:rFonts w:hint="eastAsia" w:ascii="仿宋_GB2312" w:hAnsi="仿宋" w:eastAsia="仿宋_GB2312" w:cs="仿宋_GB2312"/>
          <w:color w:val="000000" w:themeColor="text1"/>
          <w:sz w:val="24"/>
          <w14:textFill>
            <w14:solidFill>
              <w14:schemeClr w14:val="tx1"/>
            </w14:solidFill>
          </w14:textFill>
        </w:rPr>
        <w:t>）</w:t>
      </w:r>
    </w:p>
    <w:p>
      <w:pPr>
        <w:rPr>
          <w:color w:val="000000" w:themeColor="text1"/>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商务技术文件部分</w:t>
      </w:r>
    </w:p>
    <w:p>
      <w:pPr>
        <w:spacing w:line="360" w:lineRule="auto"/>
        <w:jc w:val="center"/>
        <w:outlineLvl w:val="0"/>
        <w:rPr>
          <w:rFonts w:ascii="仿宋_GB2312" w:hAnsi="仿宋" w:eastAsia="仿宋_GB2312" w:cs="仿宋_GB2312"/>
          <w:b/>
          <w:color w:val="000000" w:themeColor="text1"/>
          <w:kern w:val="0"/>
          <w:sz w:val="24"/>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28"/>
          <w:szCs w:val="28"/>
          <w14:textFill>
            <w14:solidFill>
              <w14:schemeClr w14:val="tx1"/>
            </w14:solidFill>
          </w14:textFill>
        </w:rPr>
      </w:pPr>
      <w:r>
        <w:rPr>
          <w:rFonts w:hint="eastAsia" w:ascii="仿宋_GB2312" w:hAnsi="仿宋" w:eastAsia="仿宋_GB2312" w:cs="仿宋_GB2312"/>
          <w:b/>
          <w:color w:val="000000" w:themeColor="text1"/>
          <w:kern w:val="0"/>
          <w:sz w:val="28"/>
          <w:szCs w:val="28"/>
          <w14:textFill>
            <w14:solidFill>
              <w14:schemeClr w14:val="tx1"/>
            </w14:solidFill>
          </w14:textFill>
        </w:rPr>
        <w:t>目录</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1）投标函</w:t>
      </w:r>
      <w:r>
        <w:rPr>
          <w:rFonts w:hint="eastAsia" w:cs="仿宋_GB2312"/>
          <w:color w:val="000000" w:themeColor="text1"/>
          <w14:textFill>
            <w14:solidFill>
              <w14:schemeClr w14:val="tx1"/>
            </w14:solidFill>
          </w14:textFill>
        </w:rPr>
        <w:t>…………………………………………………………………………………（页码）</w:t>
      </w: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2）授权委托书或法定代表人（单位负责人、自然人本人）身份证明</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3）联合协议</w:t>
      </w:r>
      <w:r>
        <w:rPr>
          <w:rFonts w:hint="eastAsia" w:cs="仿宋_GB2312"/>
          <w:color w:val="000000" w:themeColor="text1"/>
          <w14:textFill>
            <w14:solidFill>
              <w14:schemeClr w14:val="tx1"/>
            </w14:solidFill>
          </w14:textFill>
        </w:rPr>
        <w:t>………………………………………………………………………………（页码）</w:t>
      </w:r>
    </w:p>
    <w:p>
      <w:pPr>
        <w:snapToGrid w:val="0"/>
        <w:spacing w:line="360" w:lineRule="auto"/>
        <w:ind w:firstLine="480" w:firstLineChars="200"/>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4）分包意向协议</w:t>
      </w:r>
      <w:r>
        <w:rPr>
          <w:rFonts w:hint="eastAsia" w:cs="仿宋_GB2312"/>
          <w:color w:val="000000" w:themeColor="text1"/>
          <w14:textFill>
            <w14:solidFill>
              <w14:schemeClr w14:val="tx1"/>
            </w14:solidFill>
          </w14:textFill>
        </w:rPr>
        <w:t>…………………………………………………………………………（页码）</w:t>
      </w:r>
    </w:p>
    <w:p>
      <w:pPr>
        <w:snapToGrid w:val="0"/>
        <w:spacing w:line="360" w:lineRule="auto"/>
        <w:ind w:firstLine="480" w:firstLineChars="200"/>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5）符合性审查资料</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hint="eastAsia"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6）评标标准相应的商务技术资料</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……………（页码）</w:t>
      </w:r>
    </w:p>
    <w:p>
      <w:pPr>
        <w:snapToGrid w:val="0"/>
        <w:spacing w:line="360" w:lineRule="auto"/>
        <w:ind w:left="479" w:leftChars="228"/>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lang w:val="en-US" w:eastAsia="zh-CN"/>
          <w14:textFill>
            <w14:solidFill>
              <w14:schemeClr w14:val="tx1"/>
            </w14:solidFill>
          </w14:textFill>
        </w:rPr>
        <w:t>7</w:t>
      </w:r>
      <w:r>
        <w:rPr>
          <w:rFonts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投标标的清单</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lang w:val="en-US" w:eastAsia="zh-CN"/>
          <w14:textFill>
            <w14:solidFill>
              <w14:schemeClr w14:val="tx1"/>
            </w14:solidFill>
          </w14:textFill>
        </w:rPr>
        <w:t>8</w:t>
      </w:r>
      <w:r>
        <w:rPr>
          <w:rFonts w:ascii="仿宋_GB2312" w:hAnsi="仿宋" w:eastAsia="仿宋_GB2312" w:cs="仿宋_GB2312"/>
          <w:color w:val="000000" w:themeColor="text1"/>
          <w:sz w:val="24"/>
          <w14:textFill>
            <w14:solidFill>
              <w14:schemeClr w14:val="tx1"/>
            </w14:solidFill>
          </w14:textFill>
        </w:rPr>
        <w:t>）商务技术偏离表</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lang w:val="zh-CN"/>
          <w14:textFill>
            <w14:solidFill>
              <w14:schemeClr w14:val="tx1"/>
            </w14:solidFill>
          </w14:textFill>
        </w:rPr>
        <w:t>（</w:t>
      </w:r>
      <w:r>
        <w:rPr>
          <w:rFonts w:hint="eastAsia" w:ascii="仿宋_GB2312" w:hAnsi="仿宋" w:eastAsia="仿宋_GB2312" w:cs="仿宋_GB2312"/>
          <w:color w:val="000000" w:themeColor="text1"/>
          <w:sz w:val="24"/>
          <w:lang w:val="en-US" w:eastAsia="zh-CN"/>
          <w14:textFill>
            <w14:solidFill>
              <w14:schemeClr w14:val="tx1"/>
            </w14:solidFill>
          </w14:textFill>
        </w:rPr>
        <w:t>9</w:t>
      </w:r>
      <w:r>
        <w:rPr>
          <w:rFonts w:hint="eastAsia" w:ascii="仿宋_GB2312" w:hAnsi="仿宋" w:eastAsia="仿宋_GB2312" w:cs="仿宋_GB2312"/>
          <w:color w:val="000000" w:themeColor="text1"/>
          <w:sz w:val="24"/>
          <w:lang w:val="zh-CN"/>
          <w14:textFill>
            <w14:solidFill>
              <w14:schemeClr w14:val="tx1"/>
            </w14:solidFill>
          </w14:textFill>
        </w:rPr>
        <w:t>）政府采购供应商廉洁自律承诺书</w:t>
      </w:r>
      <w:r>
        <w:rPr>
          <w:rFonts w:hint="eastAsia" w:cs="仿宋_GB2312"/>
          <w:color w:val="000000" w:themeColor="text1"/>
          <w14:textFill>
            <w14:solidFill>
              <w14:schemeClr w14:val="tx1"/>
            </w14:solidFill>
          </w14:textFill>
        </w:rPr>
        <w:t>…………………………………………………（页码）</w:t>
      </w: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pStyle w:val="4"/>
        <w:numPr>
          <w:ilvl w:val="0"/>
          <w:numId w:val="0"/>
        </w:numPr>
        <w:ind w:leftChars="0"/>
      </w:pPr>
    </w:p>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pStyle w:val="2"/>
        <w:rPr>
          <w:rFonts w:hint="eastAsia"/>
        </w:rPr>
      </w:pP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snapToGrid w:val="0"/>
        <w:spacing w:line="360" w:lineRule="auto"/>
        <w:jc w:val="center"/>
        <w:outlineLvl w:val="0"/>
        <w:rPr>
          <w:rFonts w:ascii="仿宋_GB2312" w:hAnsi="仿宋" w:eastAsia="仿宋_GB2312" w:cs="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一、投标</w:t>
      </w:r>
      <w:r>
        <w:rPr>
          <w:rFonts w:hint="eastAsia" w:ascii="仿宋_GB2312" w:hAnsi="仿宋" w:eastAsia="仿宋_GB2312" w:cs="仿宋_GB2312"/>
          <w:b/>
          <w:color w:val="000000" w:themeColor="text1"/>
          <w:sz w:val="32"/>
          <w:szCs w:val="32"/>
          <w14:textFill>
            <w14:solidFill>
              <w14:schemeClr w14:val="tx1"/>
            </w14:solidFill>
          </w14:textFill>
        </w:rPr>
        <w:t>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color w:val="000000" w:themeColor="text1"/>
          <w:kern w:val="0"/>
          <w:sz w:val="24"/>
          <w:u w:val="singl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w:t>
      </w:r>
    </w:p>
    <w:p>
      <w:pPr>
        <w:snapToGrid w:val="0"/>
        <w:spacing w:line="360" w:lineRule="auto"/>
        <w:ind w:firstLine="2872" w:firstLineChars="894"/>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授权委托书（适用于非联合体投标）</w:t>
      </w:r>
      <w:r>
        <w:rPr>
          <w:color w:val="000000" w:themeColor="text1"/>
          <w14:textFill>
            <w14:solidFill>
              <w14:schemeClr w14:val="tx1"/>
            </w14:solidFill>
          </w14:textFill>
        </w:rPr>
        <w:t xml:space="preserve">                               </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投标人名称(电子签名)：</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lang w:val="zh-CN"/>
          <w14:textFill>
            <w14:solidFill>
              <w14:schemeClr w14:val="tx1"/>
            </w14:solidFill>
          </w14:textFill>
        </w:rPr>
        <w:t xml:space="preserve">      </w:t>
      </w:r>
      <w:r>
        <w:rPr>
          <w:rFonts w:ascii="仿宋_GB2312" w:hAnsi="仿宋" w:eastAsia="仿宋_GB2312" w:cs="仿宋_GB2312"/>
          <w:b/>
          <w:color w:val="000000" w:themeColor="text1"/>
          <w:kern w:val="0"/>
          <w:sz w:val="32"/>
          <w:szCs w:val="32"/>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autoSpaceDE w:val="0"/>
        <w:autoSpaceDN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法定代表人、单位负责人或自然人本人</w:t>
      </w:r>
      <w:r>
        <w:rPr>
          <w:rFonts w:hint="eastAsia" w:ascii="仿宋_GB2312" w:hAnsi="仿宋" w:eastAsia="仿宋_GB2312" w:cs="仿宋_GB2312"/>
          <w:b/>
          <w:color w:val="000000" w:themeColor="text1"/>
          <w:sz w:val="30"/>
          <w:szCs w:val="30"/>
          <w14:textFill>
            <w14:solidFill>
              <w14:schemeClr w14:val="tx1"/>
            </w14:solidFill>
          </w14:textFill>
        </w:rPr>
        <w:t>的身份证明（适用于法定代表人、单位负责人或者自然人本人代表投标人参加投标）</w:t>
      </w:r>
    </w:p>
    <w:p>
      <w:pPr>
        <w:pStyle w:val="646"/>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46"/>
              <w:adjustRightInd w:val="0"/>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正面：</w:t>
            </w:r>
            <w:r>
              <w:rPr>
                <w:rFonts w:ascii="仿宋_GB2312" w:hAnsi="仿宋" w:eastAsia="仿宋_GB2312"/>
                <w:bCs/>
                <w:color w:val="000000" w:themeColor="text1"/>
                <w:sz w:val="24"/>
                <w14:textFill>
                  <w14:solidFill>
                    <w14:schemeClr w14:val="tx1"/>
                  </w14:solidFill>
                </w14:textFill>
              </w:rPr>
              <w:t xml:space="preserve">                                 </w:t>
            </w:r>
            <w:r>
              <w:rPr>
                <w:rFonts w:hint="eastAsia" w:ascii="仿宋_GB2312" w:hAnsi="仿宋" w:eastAsia="仿宋_GB2312"/>
                <w:bCs/>
                <w:color w:val="000000" w:themeColor="text1"/>
                <w:sz w:val="24"/>
                <w14:textFill>
                  <w14:solidFill>
                    <w14:schemeClr w14:val="tx1"/>
                  </w14:solidFill>
                </w14:textFill>
              </w:rPr>
              <w:t>反面：</w:t>
            </w:r>
          </w:p>
          <w:p>
            <w:pPr>
              <w:pStyle w:val="646"/>
              <w:adjustRightInd w:val="0"/>
              <w:spacing w:line="360" w:lineRule="auto"/>
              <w:rPr>
                <w:rFonts w:ascii="仿宋_GB2312" w:hAnsi="仿宋" w:eastAsia="仿宋_GB2312"/>
                <w:bCs/>
                <w:color w:val="000000" w:themeColor="text1"/>
                <w:sz w:val="24"/>
                <w14:textFill>
                  <w14:solidFill>
                    <w14:schemeClr w14:val="tx1"/>
                  </w14:solidFill>
                </w14:textFill>
              </w:rPr>
            </w:pPr>
          </w:p>
        </w:tc>
      </w:tr>
    </w:tbl>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投标人名称(电子签名)：                              </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w:t>
      </w: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numPr>
          <w:ilvl w:val="0"/>
          <w:numId w:val="0"/>
        </w:numPr>
        <w:ind w:leftChars="411"/>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五、符合性审查资料</w:t>
      </w:r>
    </w:p>
    <w:p>
      <w:pPr>
        <w:jc w:val="center"/>
        <w:rPr>
          <w:rFonts w:ascii="仿宋_GB2312" w:hAnsi="仿宋" w:eastAsia="仿宋_GB2312" w:cs="仿宋_GB2312"/>
          <w:b/>
          <w:color w:val="000000" w:themeColor="text1"/>
          <w:kern w:val="0"/>
          <w:sz w:val="32"/>
          <w:szCs w:val="32"/>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投标文件中的</w:t>
            </w:r>
          </w:p>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w:t>
            </w:r>
            <w:r>
              <w:rPr>
                <w:rFonts w:hint="eastAsia" w:ascii="仿宋_GB2312" w:hAnsi="仿宋" w:eastAsia="仿宋_GB2312" w:cs="仿宋_GB2312"/>
                <w:color w:val="000000" w:themeColor="text1"/>
                <w:sz w:val="24"/>
                <w14:textFill>
                  <w14:solidFill>
                    <w14:schemeClr w14:val="tx1"/>
                  </w14:solidFill>
                </w14:textFill>
              </w:rPr>
              <w:t>投标文件未按照招标文件要求签署、盖章。</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需要使用电子签名或者签字盖章的投标文件的组成部分</w:t>
            </w:r>
          </w:p>
        </w:tc>
        <w:tc>
          <w:tcPr>
            <w:tcW w:w="1418" w:type="dxa"/>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w:t>
            </w:r>
          </w:p>
          <w:p>
            <w:pPr>
              <w:jc w:val="center"/>
              <w:rPr>
                <w:color w:val="000000" w:themeColor="text1"/>
                <w14:textFill>
                  <w14:solidFill>
                    <w14:schemeClr w14:val="tx1"/>
                  </w14:solidFill>
                </w14:textFill>
              </w:rPr>
            </w:pPr>
            <w:r>
              <w:rPr>
                <w:rFonts w:hint="eastAsia" w:ascii="仿宋" w:eastAsia="仿宋" w:cs="仿宋_GB2312"/>
                <w:color w:val="000000" w:themeColor="text1"/>
                <w:sz w:val="24"/>
                <w14:textFill>
                  <w14:solidFill>
                    <w14:schemeClr w14:val="tx1"/>
                  </w14:solidFill>
                </w14:textFill>
              </w:rPr>
              <w:t>第</w:t>
            </w:r>
            <w:r>
              <w:rPr>
                <w:rFonts w:ascii="仿宋" w:eastAsia="仿宋" w:cs="仿宋_GB2312"/>
                <w:color w:val="000000" w:themeColor="text1"/>
                <w:sz w:val="24"/>
                <w:u w:val="single"/>
                <w14:textFill>
                  <w14:solidFill>
                    <w14:schemeClr w14:val="tx1"/>
                  </w14:solidFill>
                </w14:textFill>
              </w:rPr>
              <w:t xml:space="preserve">  </w:t>
            </w:r>
            <w:r>
              <w:rPr>
                <w:rFonts w:hint="eastAsia" w:asci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w:t>
            </w:r>
          </w:p>
        </w:tc>
        <w:tc>
          <w:tcPr>
            <w:tcW w:w="4991" w:type="dxa"/>
          </w:tcPr>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不存在如下情形：采购人拟采购的产品属于政府强制采购的节能产品品目清单范围的，投标人未按招标文件要求提供国家确定的认证机构出具的、处于有效期之内的节能产品认证证书。</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节能产品认证证书（本项目</w:t>
            </w:r>
            <w:r>
              <w:rPr>
                <w:rFonts w:hint="eastAsia" w:ascii="仿宋_GB2312" w:hAnsi="仿宋" w:eastAsia="仿宋_GB2312"/>
                <w:color w:val="000000" w:themeColor="text1"/>
                <w:sz w:val="24"/>
                <w14:textFill>
                  <w14:solidFill>
                    <w14:schemeClr w14:val="tx1"/>
                  </w14:solidFill>
                </w14:textFill>
              </w:rPr>
              <w:t>拟采购的产品不属于政府强制采购的节能产品品目清单范围的</w:t>
            </w:r>
            <w:r>
              <w:rPr>
                <w:rFonts w:hint="eastAsia" w:ascii="仿宋_GB2312" w:hAnsi="仿宋" w:eastAsia="仿宋_GB2312" w:cs="仿宋_GB2312"/>
                <w:color w:val="000000" w:themeColor="text1"/>
                <w:sz w:val="24"/>
                <w14:textFill>
                  <w14:solidFill>
                    <w14:schemeClr w14:val="tx1"/>
                  </w14:solidFill>
                </w14:textFill>
              </w:rPr>
              <w:t>，无需提供）</w:t>
            </w:r>
          </w:p>
        </w:tc>
        <w:tc>
          <w:tcPr>
            <w:tcW w:w="1418" w:type="dxa"/>
          </w:tcPr>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w:t>
            </w:r>
          </w:p>
          <w:p>
            <w:pPr>
              <w:pStyle w:val="4"/>
              <w:numPr>
                <w:ilvl w:val="0"/>
                <w:numId w:val="0"/>
              </w:numPr>
              <w:ind w:leftChars="0"/>
              <w:jc w:val="center"/>
              <w:rPr>
                <w:color w:val="000000" w:themeColor="text1"/>
                <w:lang w:val="en-US"/>
                <w14:textFill>
                  <w14:solidFill>
                    <w14:schemeClr w14:val="tx1"/>
                  </w14:solidFill>
                </w14:textFill>
              </w:rPr>
            </w:pPr>
            <w:r>
              <w:rPr>
                <w:rFonts w:hint="eastAsia" w:ascii="仿宋" w:eastAsia="仿宋" w:cs="仿宋_GB2312"/>
                <w:b w:val="0"/>
                <w:bCs w:val="0"/>
                <w:color w:val="000000" w:themeColor="text1"/>
                <w:sz w:val="24"/>
                <w:szCs w:val="24"/>
                <w:lang w:val="en-US"/>
                <w14:textFill>
                  <w14:solidFill>
                    <w14:schemeClr w14:val="tx1"/>
                  </w14:solidFill>
                </w14:textFill>
              </w:rPr>
              <w:t>第</w:t>
            </w:r>
            <w:r>
              <w:rPr>
                <w:rFonts w:ascii="仿宋" w:eastAsia="仿宋" w:cs="仿宋_GB2312"/>
                <w:b w:val="0"/>
                <w:bCs w:val="0"/>
                <w:color w:val="000000" w:themeColor="text1"/>
                <w:sz w:val="24"/>
                <w:szCs w:val="24"/>
                <w:u w:val="single"/>
                <w:lang w:val="en-US"/>
                <w14:textFill>
                  <w14:solidFill>
                    <w14:schemeClr w14:val="tx1"/>
                  </w14:solidFill>
                </w14:textFill>
              </w:rPr>
              <w:t xml:space="preserve">  </w:t>
            </w:r>
            <w:r>
              <w:rPr>
                <w:rFonts w:hint="eastAsia" w:ascii="仿宋" w:eastAsia="仿宋" w:cs="仿宋_GB2312"/>
                <w:b w:val="0"/>
                <w:bCs w:val="0"/>
                <w:color w:val="000000" w:themeColor="text1"/>
                <w:sz w:val="24"/>
                <w:szCs w:val="24"/>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不存在如下情形：投标文件中承诺的投标有效期少于招标文件中载明的投标有效期。</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投标函</w:t>
            </w:r>
          </w:p>
        </w:tc>
        <w:tc>
          <w:tcPr>
            <w:tcW w:w="1418" w:type="dxa"/>
          </w:tcPr>
          <w:p>
            <w:pPr>
              <w:jc w:val="cente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p>
        </w:tc>
        <w:tc>
          <w:tcPr>
            <w:tcW w:w="4991" w:type="dxa"/>
          </w:tcPr>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不存在如下情形：投标文件不满足招标文件的其它实质性要求。</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除上述三项实质性要求外，招标文件其它实质性要求相应的材料（“▲”</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14:textFill>
                  <w14:solidFill>
                    <w14:schemeClr w14:val="tx1"/>
                  </w14:solidFill>
                </w14:textFill>
              </w:rPr>
              <w:t>系指实质性要求条款，招标文件无其它实质性要求的，无需提供）</w:t>
            </w:r>
          </w:p>
        </w:tc>
        <w:tc>
          <w:tcPr>
            <w:tcW w:w="1418" w:type="dxa"/>
          </w:tcPr>
          <w:p>
            <w:pPr>
              <w:jc w:val="cente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bl>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t xml:space="preserve">            </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六、评标标准相应的商务技术资料</w:t>
      </w:r>
    </w:p>
    <w:p>
      <w:pPr>
        <w:snapToGrid w:val="0"/>
        <w:spacing w:line="360" w:lineRule="auto"/>
        <w:jc w:val="left"/>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（按招标文件第四部分评标办法前附表中“投标文件中评标标准相应的商务技术资料目录”提供资料）</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hint="eastAsia" w:cs="仿宋_GB2312" w:asciiTheme="minorEastAsia" w:hAnsiTheme="minorEastAsia" w:eastAsiaTheme="minorEastAsia"/>
          <w:b/>
          <w:kern w:val="0"/>
          <w:sz w:val="32"/>
          <w:szCs w:val="32"/>
        </w:rPr>
      </w:pPr>
    </w:p>
    <w:p>
      <w:pPr>
        <w:jc w:val="center"/>
        <w:rPr>
          <w:rFonts w:hint="eastAsia"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lang w:eastAsia="zh-CN"/>
          <w14:textFill>
            <w14:solidFill>
              <w14:schemeClr w14:val="tx1"/>
            </w14:solidFill>
          </w14:textFill>
        </w:rPr>
        <w:t>七</w:t>
      </w:r>
      <w:r>
        <w:rPr>
          <w:rFonts w:hint="eastAsia" w:ascii="仿宋_GB2312" w:hAnsi="仿宋" w:eastAsia="仿宋_GB2312" w:cs="仿宋_GB2312"/>
          <w:b/>
          <w:color w:val="000000" w:themeColor="text1"/>
          <w:kern w:val="0"/>
          <w:sz w:val="32"/>
          <w:szCs w:val="32"/>
          <w14:textFill>
            <w14:solidFill>
              <w14:schemeClr w14:val="tx1"/>
            </w14:solidFill>
          </w14:textFill>
        </w:rPr>
        <w:t>、投标标的清单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szCs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szCs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szCs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szCs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szCs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szCs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szCs w:val="24"/>
              </w:rPr>
            </w:pPr>
          </w:p>
        </w:tc>
      </w:tr>
    </w:tbl>
    <w:p>
      <w:pPr>
        <w:spacing w:line="360" w:lineRule="auto"/>
        <w:ind w:righ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注：按本格式和要求提供。</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lang w:eastAsia="zh-CN"/>
          <w14:textFill>
            <w14:solidFill>
              <w14:schemeClr w14:val="tx1"/>
            </w14:solidFill>
          </w14:textFill>
        </w:rPr>
        <w:t>八</w:t>
      </w:r>
      <w:r>
        <w:rPr>
          <w:rFonts w:hint="eastAsia" w:ascii="仿宋_GB2312" w:hAnsi="仿宋" w:eastAsia="仿宋_GB2312" w:cs="仿宋_GB2312"/>
          <w:b/>
          <w:color w:val="000000" w:themeColor="text1"/>
          <w:kern w:val="0"/>
          <w:sz w:val="32"/>
          <w:szCs w:val="32"/>
          <w14:textFill>
            <w14:solidFill>
              <w14:schemeClr w14:val="tx1"/>
            </w14:solidFill>
          </w14:textFill>
        </w:rPr>
        <w:t>、商务技术偏离表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序号</w:t>
            </w:r>
          </w:p>
        </w:tc>
        <w:tc>
          <w:tcPr>
            <w:tcW w:w="3683"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招标文件章节及具体内容</w:t>
            </w:r>
          </w:p>
        </w:tc>
        <w:tc>
          <w:tcPr>
            <w:tcW w:w="354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投标文件章节及具体内容</w:t>
            </w:r>
          </w:p>
        </w:tc>
        <w:tc>
          <w:tcPr>
            <w:tcW w:w="127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1</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2</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bl>
    <w:p>
      <w:pPr>
        <w:jc w:val="left"/>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投标人保证：除商务技术偏离表列出的偏离外，投标人响应招标文件的全部要求</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rPr>
          <w:rFonts w:ascii="仿宋_GB2312" w:hAnsi="仿宋" w:eastAsia="仿宋_GB2312" w:cs="仿宋_GB2312"/>
          <w:b/>
          <w:color w:val="000000" w:themeColor="text1"/>
          <w:kern w:val="0"/>
          <w:sz w:val="32"/>
          <w:szCs w:val="32"/>
          <w14:textFill>
            <w14:solidFill>
              <w14:schemeClr w14:val="tx1"/>
            </w14:solidFill>
          </w14:textFill>
        </w:rPr>
      </w:pPr>
    </w:p>
    <w:p>
      <w:pPr>
        <w:ind w:firstLine="1911" w:firstLineChars="595"/>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lang w:eastAsia="zh-CN"/>
          <w14:textFill>
            <w14:solidFill>
              <w14:schemeClr w14:val="tx1"/>
            </w14:solidFill>
          </w14:textFill>
        </w:rPr>
        <w:t>九</w:t>
      </w:r>
      <w:r>
        <w:rPr>
          <w:rFonts w:hint="eastAsia" w:ascii="仿宋_GB2312" w:hAnsi="仿宋" w:eastAsia="仿宋_GB2312" w:cs="仿宋_GB2312"/>
          <w:b/>
          <w:color w:val="000000" w:themeColor="text1"/>
          <w:kern w:val="0"/>
          <w:sz w:val="32"/>
          <w:szCs w:val="32"/>
          <w14:textFill>
            <w14:solidFill>
              <w14:schemeClr w14:val="tx1"/>
            </w14:solidFill>
          </w14:textFill>
        </w:rPr>
        <w:t>、</w:t>
      </w:r>
      <w:r>
        <w:rPr>
          <w:rFonts w:hint="eastAsia" w:ascii="仿宋_GB2312" w:hAnsi="仿宋" w:eastAsia="仿宋_GB2312" w:cs="仿宋_GB2312"/>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投标人名称（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仿宋_GB2312" w:eastAsia="仿宋_GB2312" w:cs="仿宋_GB2312"/>
          <w:color w:val="000000" w:themeColor="text1"/>
          <w:kern w:val="0"/>
          <w:sz w:val="24"/>
          <w:lang w:val="zh-CN"/>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spacing w:line="360" w:lineRule="auto"/>
        <w:ind w:left="4620" w:leftChars="2200"/>
        <w:rPr>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日期</w:t>
      </w:r>
      <w:r>
        <w:rPr>
          <w:rFonts w:hint="eastAsia" w:ascii="仿宋_GB2312" w:hAnsi="仿宋_GB2312" w:eastAsia="仿宋_GB2312" w:cs="仿宋_GB2312"/>
          <w:color w:val="000000" w:themeColor="text1"/>
          <w:kern w:val="0"/>
          <w:sz w:val="24"/>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年   月   日</w:t>
      </w: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adjustRightInd w:val="0"/>
        <w:spacing w:line="360" w:lineRule="auto"/>
        <w:jc w:val="center"/>
        <w:outlineLvl w:val="0"/>
        <w:rPr>
          <w:rFonts w:ascii="仿宋_GB2312" w:hAnsi="仿宋" w:eastAsia="仿宋_GB2312" w:cs="仿宋_GB2312"/>
          <w:b/>
          <w:kern w:val="0"/>
          <w:sz w:val="24"/>
          <w:szCs w:val="24"/>
        </w:rPr>
      </w:pPr>
    </w:p>
    <w:p>
      <w:pPr>
        <w:adjustRightInd w:val="0"/>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1）开标一览表（报价表）……</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2）中小企业声明函……</w:t>
      </w:r>
      <w:r>
        <w:rPr>
          <w:rFonts w:hint="eastAsia" w:ascii="仿宋_GB2312" w:hAnsi="仿宋" w:eastAsia="仿宋_GB2312" w:cs="仿宋_GB2312"/>
          <w:color w:val="000000" w:themeColor="text1"/>
          <w:sz w:val="24"/>
          <w14:textFill>
            <w14:solidFill>
              <w14:schemeClr w14:val="tx1"/>
            </w14:solidFill>
          </w14:textFill>
        </w:rPr>
        <w:t>…………………………………………………………（页码）</w:t>
      </w: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before="120" w:after="120" w:line="360" w:lineRule="auto"/>
        <w:ind w:firstLine="643"/>
        <w:jc w:val="center"/>
        <w:rPr>
          <w:rFonts w:hint="eastAsia" w:ascii="仿宋_GB2312" w:hAnsi="仿宋" w:eastAsia="仿宋_GB2312" w:cs="仿宋_GB2312"/>
          <w:b/>
          <w:sz w:val="32"/>
          <w:szCs w:val="32"/>
        </w:rPr>
      </w:pPr>
    </w:p>
    <w:p>
      <w:pPr>
        <w:pStyle w:val="625"/>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pPr>
        <w:pStyle w:val="625"/>
        <w:keepNext w:val="0"/>
        <w:pageBreakBefore w:val="0"/>
        <w:tabs>
          <w:tab w:val="clear" w:pos="720"/>
        </w:tabs>
        <w:snapToGrid w:val="0"/>
        <w:spacing w:before="120" w:after="120"/>
        <w:ind w:firstLine="643"/>
        <w:outlineLvl w:val="9"/>
        <w:rPr>
          <w:rFonts w:ascii="仿宋_GB2312" w:hAnsi="仿宋" w:eastAsia="仿宋_GB2312" w:cs="仿宋_GB2312"/>
          <w:b/>
          <w:sz w:val="32"/>
          <w:szCs w:val="32"/>
        </w:rPr>
      </w:pPr>
      <w:r>
        <w:rPr>
          <w:rFonts w:hint="eastAsia" w:ascii="仿宋_GB2312" w:hAnsi="仿宋" w:eastAsia="仿宋_GB2312" w:cs="仿宋_GB2312"/>
          <w:color w:val="000000" w:themeColor="text1"/>
          <w:kern w:val="2"/>
          <w:sz w:val="32"/>
          <w:szCs w:val="32"/>
          <w14:textFill>
            <w14:solidFill>
              <w14:schemeClr w14:val="tx1"/>
            </w14:solidFill>
          </w14:textFill>
        </w:rPr>
        <w:t>一、开标一览表（报价表）</w:t>
      </w:r>
    </w:p>
    <w:p>
      <w:pPr>
        <w:adjustRightInd w:val="0"/>
        <w:snapToGrid w:val="0"/>
        <w:spacing w:line="360" w:lineRule="auto"/>
        <w:rPr>
          <w:rFonts w:ascii="仿宋_GB2312" w:hAnsi="仿宋" w:eastAsia="仿宋_GB2312" w:cs="仿宋_GB2312"/>
          <w:kern w:val="0"/>
          <w:sz w:val="24"/>
          <w:szCs w:val="24"/>
        </w:rPr>
      </w:pPr>
      <w:bookmarkStart w:id="549" w:name="_Toc86217005"/>
      <w:r>
        <w:rPr>
          <w:rFonts w:hint="eastAsia" w:ascii="仿宋_GB2312" w:hAnsi="仿宋" w:eastAsia="仿宋_GB2312" w:cs="仿宋_GB2312"/>
          <w:sz w:val="24"/>
          <w:szCs w:val="24"/>
        </w:rPr>
        <w:t>XXX（采购人名称）、杭州市公共资源交易中心</w:t>
      </w:r>
      <w:r>
        <w:rPr>
          <w:rFonts w:hint="eastAsia" w:ascii="仿宋_GB2312" w:hAnsi="仿宋" w:eastAsia="仿宋_GB2312" w:cs="仿宋_GB2312"/>
          <w:sz w:val="24"/>
          <w:szCs w:val="24"/>
          <w:lang w:eastAsia="zh-CN"/>
        </w:rPr>
        <w:t>临安分中心</w:t>
      </w:r>
      <w:r>
        <w:rPr>
          <w:rFonts w:hint="eastAsia" w:ascii="仿宋_GB2312" w:hAnsi="仿宋" w:eastAsia="仿宋_GB2312" w:cs="仿宋_GB2312"/>
          <w:kern w:val="0"/>
          <w:sz w:val="24"/>
          <w:szCs w:val="24"/>
          <w:lang w:val="zh-CN"/>
        </w:rPr>
        <w:t>：</w:t>
      </w:r>
    </w:p>
    <w:p>
      <w:pPr>
        <w:adjustRightInd w:val="0"/>
        <w:snapToGrid w:val="0"/>
        <w:spacing w:line="360" w:lineRule="auto"/>
        <w:ind w:firstLine="482"/>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按你方招标文件要求，我们，本投标文件签字方，谨此向你方发出要约如下：如你方接受本投标，我方承诺按照如下投标(开标)一览表的价格完成</w:t>
      </w:r>
      <w:r>
        <w:rPr>
          <w:rFonts w:hint="eastAsia" w:ascii="仿宋_GB2312" w:hAnsi="仿宋" w:eastAsia="仿宋_GB2312" w:cs="仿宋_GB2312"/>
          <w:sz w:val="24"/>
          <w:szCs w:val="24"/>
          <w:u w:val="single"/>
          <w:lang w:val="en-US" w:eastAsia="zh-CN"/>
        </w:rPr>
        <w:t xml:space="preserve">      （</w:t>
      </w:r>
      <w:r>
        <w:rPr>
          <w:rFonts w:hint="eastAsia" w:ascii="仿宋_GB2312" w:hAnsi="仿宋" w:eastAsia="仿宋_GB2312" w:cs="仿宋_GB2312"/>
          <w:sz w:val="24"/>
          <w:szCs w:val="24"/>
          <w:u w:val="single"/>
          <w:lang w:eastAsia="zh-CN"/>
        </w:rPr>
        <w:t>项目名称）</w:t>
      </w:r>
      <w:r>
        <w:rPr>
          <w:rFonts w:hint="eastAsia" w:ascii="仿宋_GB2312" w:hAnsi="仿宋" w:eastAsia="仿宋_GB2312" w:cs="仿宋_GB2312"/>
          <w:kern w:val="0"/>
          <w:sz w:val="24"/>
          <w:szCs w:val="24"/>
          <w:lang w:val="zh-CN"/>
        </w:rPr>
        <w:t>【招标编号：</w:t>
      </w:r>
      <w:r>
        <w:rPr>
          <w:rFonts w:hint="eastAsia" w:ascii="仿宋_GB2312" w:hAnsi="仿宋" w:eastAsia="仿宋_GB2312" w:cs="仿宋_GB2312"/>
          <w:sz w:val="24"/>
          <w:szCs w:val="24"/>
          <w:u w:val="single"/>
          <w:lang w:val="en-US" w:eastAsia="zh-CN"/>
        </w:rPr>
        <w:t xml:space="preserve">     </w:t>
      </w:r>
      <w:r>
        <w:rPr>
          <w:rFonts w:hint="eastAsia" w:ascii="仿宋_GB2312" w:hAnsi="仿宋" w:eastAsia="仿宋_GB2312" w:cs="仿宋_GB2312"/>
          <w:sz w:val="24"/>
          <w:szCs w:val="24"/>
        </w:rPr>
        <w:t>】</w:t>
      </w:r>
      <w:r>
        <w:rPr>
          <w:rFonts w:hint="eastAsia" w:ascii="仿宋_GB2312" w:hAnsi="仿宋" w:eastAsia="仿宋_GB2312" w:cs="仿宋_GB2312"/>
          <w:color w:val="000000" w:themeColor="text1"/>
          <w:sz w:val="24"/>
          <w14:textFill>
            <w14:solidFill>
              <w14:schemeClr w14:val="tx1"/>
            </w14:solidFill>
          </w14:textFill>
        </w:rPr>
        <w:t>的实施</w:t>
      </w:r>
      <w:r>
        <w:rPr>
          <w:rFonts w:hint="eastAsia" w:ascii="仿宋_GB2312" w:hAnsi="仿宋" w:eastAsia="仿宋_GB2312" w:cs="仿宋_GB2312"/>
          <w:kern w:val="0"/>
          <w:sz w:val="24"/>
          <w:szCs w:val="24"/>
          <w:lang w:val="zh-CN"/>
        </w:rPr>
        <w:t>。</w:t>
      </w:r>
    </w:p>
    <w:p>
      <w:pPr>
        <w:spacing w:line="360" w:lineRule="auto"/>
        <w:jc w:val="center"/>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开标一览表（报价表）</w:t>
      </w:r>
      <w:r>
        <w:rPr>
          <w:rFonts w:ascii="仿宋_GB2312" w:hAnsi="仿宋" w:eastAsia="仿宋_GB2312" w:cs="仿宋_GB2312"/>
          <w:b/>
          <w:color w:val="000000" w:themeColor="text1"/>
          <w:kern w:val="0"/>
          <w:sz w:val="24"/>
          <w:lang w:val="zh-CN"/>
          <w14:textFill>
            <w14:solidFill>
              <w14:schemeClr w14:val="tx1"/>
            </w14:solidFill>
          </w14:textFill>
        </w:rPr>
        <w:t>(单位均为人民币元)</w:t>
      </w:r>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4724"/>
        <w:gridCol w:w="1559"/>
        <w:gridCol w:w="1550"/>
        <w:gridCol w:w="1179"/>
        <w:gridCol w:w="1257"/>
        <w:gridCol w:w="1527"/>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38" w:type="pct"/>
            <w:vAlign w:val="center"/>
          </w:tcPr>
          <w:p>
            <w:pPr>
              <w:spacing w:line="360" w:lineRule="auto"/>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序号</w:t>
            </w:r>
          </w:p>
        </w:tc>
        <w:tc>
          <w:tcPr>
            <w:tcW w:w="1627" w:type="pct"/>
            <w:vAlign w:val="center"/>
          </w:tcPr>
          <w:p>
            <w:pPr>
              <w:spacing w:line="360" w:lineRule="auto"/>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名称</w:t>
            </w:r>
          </w:p>
        </w:tc>
        <w:tc>
          <w:tcPr>
            <w:tcW w:w="537" w:type="pct"/>
          </w:tcPr>
          <w:p>
            <w:pPr>
              <w:spacing w:line="360" w:lineRule="auto"/>
              <w:jc w:val="center"/>
              <w:rPr>
                <w:rFonts w:hint="eastAsia" w:ascii="仿宋_GB2312" w:hAnsi="仿宋_GB2312" w:eastAsia="仿宋_GB2312" w:cs="仿宋_GB2312"/>
                <w:b/>
                <w:color w:val="000000" w:themeColor="text1"/>
                <w:sz w:val="24"/>
                <w:szCs w:val="24"/>
                <w14:textFill>
                  <w14:solidFill>
                    <w14:schemeClr w14:val="tx1"/>
                  </w14:solidFill>
                </w14:textFill>
              </w:rPr>
            </w:pPr>
          </w:p>
          <w:p>
            <w:pPr>
              <w:spacing w:line="360" w:lineRule="auto"/>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品牌（如果有）</w:t>
            </w:r>
          </w:p>
        </w:tc>
        <w:tc>
          <w:tcPr>
            <w:tcW w:w="533" w:type="pct"/>
            <w:vAlign w:val="center"/>
          </w:tcPr>
          <w:p>
            <w:pPr>
              <w:spacing w:line="360" w:lineRule="auto"/>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规格型号（或具体服务）</w:t>
            </w:r>
          </w:p>
        </w:tc>
        <w:tc>
          <w:tcPr>
            <w:tcW w:w="406" w:type="pct"/>
            <w:vAlign w:val="center"/>
          </w:tcPr>
          <w:p>
            <w:pPr>
              <w:spacing w:line="360" w:lineRule="auto"/>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数量</w:t>
            </w:r>
          </w:p>
        </w:tc>
        <w:tc>
          <w:tcPr>
            <w:tcW w:w="433" w:type="pct"/>
            <w:vAlign w:val="center"/>
          </w:tcPr>
          <w:p>
            <w:pPr>
              <w:spacing w:line="360" w:lineRule="auto"/>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单价</w:t>
            </w:r>
          </w:p>
        </w:tc>
        <w:tc>
          <w:tcPr>
            <w:tcW w:w="526" w:type="pct"/>
            <w:vAlign w:val="center"/>
          </w:tcPr>
          <w:p>
            <w:pPr>
              <w:spacing w:line="360" w:lineRule="auto"/>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总价</w:t>
            </w:r>
          </w:p>
        </w:tc>
        <w:tc>
          <w:tcPr>
            <w:tcW w:w="698" w:type="pct"/>
            <w:vAlign w:val="center"/>
          </w:tcPr>
          <w:p>
            <w:pPr>
              <w:spacing w:line="360" w:lineRule="auto"/>
              <w:jc w:val="center"/>
              <w:rPr>
                <w:rFonts w:hint="eastAsia" w:ascii="仿宋_GB2312" w:hAnsi="仿宋_GB2312" w:eastAsia="仿宋_GB2312" w:cs="仿宋_GB2312"/>
                <w:b/>
                <w:color w:val="000000" w:themeColor="text1"/>
                <w:sz w:val="24"/>
                <w:szCs w:val="24"/>
                <w14:textFill>
                  <w14:solidFill>
                    <w14:schemeClr w14:val="tx1"/>
                  </w14:solidFill>
                </w14:textFill>
              </w:rPr>
            </w:pPr>
          </w:p>
          <w:p>
            <w:pPr>
              <w:spacing w:line="360" w:lineRule="auto"/>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服务要求（年限）</w:t>
            </w:r>
          </w:p>
          <w:p>
            <w:pPr>
              <w:spacing w:line="360" w:lineRule="auto"/>
              <w:jc w:val="center"/>
              <w:rPr>
                <w:rFonts w:hint="eastAsia" w:ascii="仿宋_GB2312" w:hAnsi="仿宋_GB2312" w:eastAsia="仿宋_GB2312" w:cs="仿宋_GB2312"/>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c>
          <w:tcPr>
            <w:tcW w:w="1627" w:type="pct"/>
            <w:vAlign w:val="bottom"/>
          </w:tcPr>
          <w:p>
            <w:pPr>
              <w:spacing w:line="360" w:lineRule="auto"/>
              <w:jc w:val="both"/>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机械实训室数据服务中心</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widowControl/>
              <w:jc w:val="center"/>
              <w:textAlignment w:val="bottom"/>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c>
          <w:tcPr>
            <w:tcW w:w="1627" w:type="pct"/>
            <w:vAlign w:val="bottom"/>
          </w:tcPr>
          <w:p>
            <w:pPr>
              <w:widowControl/>
              <w:jc w:val="left"/>
              <w:textAlignment w:val="bottom"/>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机械实训室数据中心配套设备</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widowControl/>
              <w:jc w:val="center"/>
              <w:textAlignment w:val="bottom"/>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c>
          <w:tcPr>
            <w:tcW w:w="1627" w:type="pct"/>
            <w:vAlign w:val="bottom"/>
          </w:tcPr>
          <w:p>
            <w:pPr>
              <w:widowControl/>
              <w:jc w:val="left"/>
              <w:textAlignment w:val="bottom"/>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机械实训室视频切换器</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widowControl/>
              <w:jc w:val="center"/>
              <w:textAlignment w:val="bottom"/>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c>
          <w:tcPr>
            <w:tcW w:w="1627" w:type="pct"/>
            <w:vAlign w:val="bottom"/>
          </w:tcPr>
          <w:p>
            <w:pPr>
              <w:widowControl/>
              <w:jc w:val="left"/>
              <w:textAlignment w:val="bottom"/>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机械实训室智能无线交换机</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widowControl/>
              <w:jc w:val="center"/>
              <w:textAlignment w:val="bottom"/>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p>
        </w:tc>
        <w:tc>
          <w:tcPr>
            <w:tcW w:w="1627" w:type="pct"/>
            <w:vAlign w:val="bottom"/>
          </w:tcPr>
          <w:p>
            <w:pPr>
              <w:widowControl/>
              <w:jc w:val="left"/>
              <w:textAlignment w:val="bottom"/>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机械实训室交换机1</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widowControl/>
              <w:jc w:val="center"/>
              <w:textAlignment w:val="bottom"/>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c>
          <w:tcPr>
            <w:tcW w:w="1627" w:type="pct"/>
            <w:vAlign w:val="bottom"/>
          </w:tcPr>
          <w:p>
            <w:pPr>
              <w:widowControl/>
              <w:jc w:val="left"/>
              <w:textAlignment w:val="bottom"/>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机械实训室触摸一体机</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widowControl/>
              <w:jc w:val="center"/>
              <w:textAlignment w:val="bottom"/>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w:t>
            </w:r>
          </w:p>
        </w:tc>
        <w:tc>
          <w:tcPr>
            <w:tcW w:w="1627" w:type="pct"/>
            <w:vAlign w:val="bottom"/>
          </w:tcPr>
          <w:p>
            <w:pPr>
              <w:widowControl/>
              <w:jc w:val="left"/>
              <w:textAlignment w:val="bottom"/>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机械实训室移动平板</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widowControl/>
              <w:jc w:val="center"/>
              <w:textAlignment w:val="bottom"/>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w:t>
            </w:r>
          </w:p>
        </w:tc>
        <w:tc>
          <w:tcPr>
            <w:tcW w:w="1627" w:type="pct"/>
            <w:vAlign w:val="center"/>
          </w:tcPr>
          <w:p>
            <w:pPr>
              <w:widowControl/>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机械实训室钳工信息化数据服务器</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w:t>
            </w:r>
          </w:p>
        </w:tc>
        <w:tc>
          <w:tcPr>
            <w:tcW w:w="1627" w:type="pct"/>
            <w:vAlign w:val="center"/>
          </w:tcPr>
          <w:p>
            <w:pPr>
              <w:pStyle w:val="374"/>
              <w:ind w:left="0" w:leftChars="0" w:firstLine="0" w:firstLineChars="0"/>
              <w:jc w:val="both"/>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kern w:val="0"/>
                <w:sz w:val="24"/>
                <w:szCs w:val="24"/>
                <w:lang w:bidi="ar"/>
              </w:rPr>
              <w:t>机械实训室零测与综合加工实训室网络布线</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pStyle w:val="374"/>
              <w:ind w:left="0" w:leftChars="0" w:firstLine="0" w:firstLineChars="0"/>
              <w:jc w:val="center"/>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kern w:val="11"/>
                <w:sz w:val="24"/>
                <w:szCs w:val="24"/>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10</w:t>
            </w:r>
          </w:p>
        </w:tc>
        <w:tc>
          <w:tcPr>
            <w:tcW w:w="1627" w:type="pct"/>
            <w:vAlign w:val="center"/>
          </w:tcPr>
          <w:p>
            <w:pPr>
              <w:widowControl/>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图形工作站（含电子4台）</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293</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w:t>
            </w:r>
          </w:p>
        </w:tc>
        <w:tc>
          <w:tcPr>
            <w:tcW w:w="1627" w:type="pct"/>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商务计算机</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524</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12</w:t>
            </w:r>
          </w:p>
        </w:tc>
        <w:tc>
          <w:tcPr>
            <w:tcW w:w="1627" w:type="pct"/>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电子教室软件</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13</w:t>
            </w:r>
          </w:p>
        </w:tc>
        <w:tc>
          <w:tcPr>
            <w:tcW w:w="1627" w:type="pct"/>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机柜</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14</w:t>
            </w:r>
          </w:p>
        </w:tc>
        <w:tc>
          <w:tcPr>
            <w:tcW w:w="1627" w:type="pct"/>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48口交换机</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15</w:t>
            </w:r>
          </w:p>
        </w:tc>
        <w:tc>
          <w:tcPr>
            <w:tcW w:w="1627" w:type="pct"/>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8口交换机</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16</w:t>
            </w:r>
          </w:p>
        </w:tc>
        <w:tc>
          <w:tcPr>
            <w:tcW w:w="1627" w:type="pct"/>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电脑桌</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17</w:t>
            </w:r>
          </w:p>
        </w:tc>
        <w:tc>
          <w:tcPr>
            <w:tcW w:w="1627" w:type="pct"/>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电脑椅</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41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18</w:t>
            </w:r>
          </w:p>
        </w:tc>
        <w:tc>
          <w:tcPr>
            <w:tcW w:w="1627" w:type="pct"/>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服务器</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19</w:t>
            </w:r>
          </w:p>
        </w:tc>
        <w:tc>
          <w:tcPr>
            <w:tcW w:w="1627" w:type="pct"/>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文件柜</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20</w:t>
            </w:r>
          </w:p>
        </w:tc>
        <w:tc>
          <w:tcPr>
            <w:tcW w:w="1627" w:type="pct"/>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椅子</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19</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21</w:t>
            </w:r>
          </w:p>
        </w:tc>
        <w:tc>
          <w:tcPr>
            <w:tcW w:w="1627" w:type="pct"/>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休息区沙发</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22</w:t>
            </w:r>
          </w:p>
        </w:tc>
        <w:tc>
          <w:tcPr>
            <w:tcW w:w="1627" w:type="pct"/>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茶具</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23</w:t>
            </w:r>
          </w:p>
        </w:tc>
        <w:tc>
          <w:tcPr>
            <w:tcW w:w="1627" w:type="pct"/>
            <w:vAlign w:val="center"/>
          </w:tcPr>
          <w:p>
            <w:pPr>
              <w:jc w:val="left"/>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茶水区吧台</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24</w:t>
            </w:r>
          </w:p>
        </w:tc>
        <w:tc>
          <w:tcPr>
            <w:tcW w:w="1627" w:type="pct"/>
            <w:vAlign w:val="center"/>
          </w:tcPr>
          <w:p>
            <w:pPr>
              <w:jc w:val="left"/>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一体机</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5</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25</w:t>
            </w:r>
          </w:p>
        </w:tc>
        <w:tc>
          <w:tcPr>
            <w:tcW w:w="1627" w:type="pct"/>
            <w:vAlign w:val="center"/>
          </w:tcPr>
          <w:p>
            <w:pPr>
              <w:jc w:val="left"/>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铁皮更衣柜</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8</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26</w:t>
            </w:r>
          </w:p>
        </w:tc>
        <w:tc>
          <w:tcPr>
            <w:tcW w:w="1627" w:type="pct"/>
            <w:vAlign w:val="center"/>
          </w:tcPr>
          <w:p>
            <w:pPr>
              <w:jc w:val="left"/>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长条凳子</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4</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27</w:t>
            </w:r>
          </w:p>
        </w:tc>
        <w:tc>
          <w:tcPr>
            <w:tcW w:w="1627" w:type="pct"/>
            <w:vAlign w:val="center"/>
          </w:tcPr>
          <w:p>
            <w:pPr>
              <w:jc w:val="left"/>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会议桌</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28</w:t>
            </w:r>
          </w:p>
        </w:tc>
        <w:tc>
          <w:tcPr>
            <w:tcW w:w="1627" w:type="pct"/>
            <w:vAlign w:val="center"/>
          </w:tcPr>
          <w:p>
            <w:pPr>
              <w:jc w:val="left"/>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投影仪及幕布</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29</w:t>
            </w:r>
          </w:p>
        </w:tc>
        <w:tc>
          <w:tcPr>
            <w:tcW w:w="1627" w:type="pct"/>
            <w:vAlign w:val="center"/>
          </w:tcPr>
          <w:p>
            <w:pPr>
              <w:jc w:val="left"/>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平板</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20</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30</w:t>
            </w:r>
          </w:p>
        </w:tc>
        <w:tc>
          <w:tcPr>
            <w:tcW w:w="1627" w:type="pct"/>
            <w:vAlign w:val="center"/>
          </w:tcPr>
          <w:p>
            <w:pPr>
              <w:jc w:val="left"/>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一体机</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11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31</w:t>
            </w:r>
          </w:p>
        </w:tc>
        <w:tc>
          <w:tcPr>
            <w:tcW w:w="1627" w:type="pct"/>
            <w:vAlign w:val="center"/>
          </w:tcPr>
          <w:p>
            <w:pPr>
              <w:jc w:val="left"/>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交换机2</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11"/>
                <w:sz w:val="24"/>
                <w:szCs w:val="24"/>
                <w:lang w:val="en-US" w:eastAsia="zh-CN" w:bidi="ar-SA"/>
              </w:rPr>
            </w:pPr>
            <w:r>
              <w:rPr>
                <w:rFonts w:hint="eastAsia" w:ascii="仿宋_GB2312" w:hAnsi="仿宋_GB2312" w:eastAsia="仿宋_GB2312" w:cs="仿宋_GB2312"/>
                <w:sz w:val="24"/>
                <w:szCs w:val="24"/>
              </w:rPr>
              <w:t>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32</w:t>
            </w:r>
          </w:p>
        </w:tc>
        <w:tc>
          <w:tcPr>
            <w:tcW w:w="1627" w:type="pct"/>
            <w:vAlign w:val="center"/>
          </w:tcPr>
          <w:p>
            <w:pPr>
              <w:widowControl/>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机柜</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11</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33</w:t>
            </w:r>
          </w:p>
        </w:tc>
        <w:tc>
          <w:tcPr>
            <w:tcW w:w="1627" w:type="pct"/>
            <w:vAlign w:val="center"/>
          </w:tcPr>
          <w:p>
            <w:pPr>
              <w:widowControl/>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86寸交互智能平板</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10</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34</w:t>
            </w:r>
          </w:p>
        </w:tc>
        <w:tc>
          <w:tcPr>
            <w:tcW w:w="1627" w:type="pct"/>
            <w:vAlign w:val="center"/>
          </w:tcPr>
          <w:p>
            <w:pPr>
              <w:widowControl/>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壁挂高清展台</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10</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35</w:t>
            </w:r>
          </w:p>
        </w:tc>
        <w:tc>
          <w:tcPr>
            <w:tcW w:w="1627" w:type="pct"/>
            <w:vAlign w:val="center"/>
          </w:tcPr>
          <w:p>
            <w:pPr>
              <w:widowControl/>
              <w:jc w:val="left"/>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bidi="ar"/>
              </w:rPr>
              <w:t>一体机白板软件</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10</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36</w:t>
            </w:r>
          </w:p>
        </w:tc>
        <w:tc>
          <w:tcPr>
            <w:tcW w:w="1627" w:type="pct"/>
            <w:vAlign w:val="center"/>
          </w:tcPr>
          <w:p>
            <w:pPr>
              <w:widowControl/>
              <w:jc w:val="left"/>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bidi="ar"/>
              </w:rPr>
              <w:t>双人电脑桌（带双凳)</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405</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37</w:t>
            </w:r>
          </w:p>
        </w:tc>
        <w:tc>
          <w:tcPr>
            <w:tcW w:w="1627" w:type="pct"/>
            <w:vAlign w:val="center"/>
          </w:tcPr>
          <w:p>
            <w:pPr>
              <w:widowControl/>
              <w:jc w:val="left"/>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bidi="ar"/>
              </w:rPr>
              <w:t>交换机3</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3</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38</w:t>
            </w:r>
          </w:p>
        </w:tc>
        <w:tc>
          <w:tcPr>
            <w:tcW w:w="1627" w:type="pct"/>
            <w:vAlign w:val="center"/>
          </w:tcPr>
          <w:p>
            <w:pPr>
              <w:widowControl/>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移动支架</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10</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39</w:t>
            </w:r>
          </w:p>
        </w:tc>
        <w:tc>
          <w:tcPr>
            <w:tcW w:w="1627" w:type="pct"/>
            <w:vAlign w:val="center"/>
          </w:tcPr>
          <w:p>
            <w:pPr>
              <w:widowControl/>
              <w:jc w:val="left"/>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rPr>
              <w:t>讲台加椅子</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17</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40</w:t>
            </w:r>
          </w:p>
        </w:tc>
        <w:tc>
          <w:tcPr>
            <w:tcW w:w="1627" w:type="pct"/>
            <w:vAlign w:val="center"/>
          </w:tcPr>
          <w:p>
            <w:pPr>
              <w:widowControl/>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磁性黑板</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18</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41</w:t>
            </w:r>
          </w:p>
        </w:tc>
        <w:tc>
          <w:tcPr>
            <w:tcW w:w="1627" w:type="pct"/>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18个场室综合布线</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764</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8" w:type="pct"/>
            <w:vAlign w:val="center"/>
          </w:tcPr>
          <w:p>
            <w:pPr>
              <w:spacing w:line="360" w:lineRule="auto"/>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42</w:t>
            </w:r>
          </w:p>
        </w:tc>
        <w:tc>
          <w:tcPr>
            <w:tcW w:w="1627" w:type="pct"/>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静电地板</w:t>
            </w:r>
          </w:p>
        </w:tc>
        <w:tc>
          <w:tcPr>
            <w:tcW w:w="537"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33" w:type="pct"/>
            <w:vAlign w:val="center"/>
          </w:tcPr>
          <w:p>
            <w:pPr>
              <w:snapToGrid w:val="0"/>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406" w:type="pct"/>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100</w:t>
            </w:r>
          </w:p>
        </w:tc>
        <w:tc>
          <w:tcPr>
            <w:tcW w:w="433"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526"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698" w:type="pct"/>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936" w:type="pct"/>
            <w:gridSpan w:val="4"/>
            <w:vAlign w:val="center"/>
          </w:tcPr>
          <w:p>
            <w:pPr>
              <w:spacing w:line="360" w:lineRule="auto"/>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投标报价（小写）</w:t>
            </w:r>
          </w:p>
        </w:tc>
        <w:tc>
          <w:tcPr>
            <w:tcW w:w="2063" w:type="pct"/>
            <w:gridSpan w:val="4"/>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936" w:type="pct"/>
            <w:gridSpan w:val="4"/>
            <w:vAlign w:val="center"/>
          </w:tcPr>
          <w:p>
            <w:pPr>
              <w:spacing w:line="360" w:lineRule="auto"/>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投标报价（大写）</w:t>
            </w:r>
          </w:p>
        </w:tc>
        <w:tc>
          <w:tcPr>
            <w:tcW w:w="2063" w:type="pct"/>
            <w:gridSpan w:val="4"/>
            <w:vAlign w:val="center"/>
          </w:tcPr>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p>
        </w:tc>
      </w:tr>
    </w:tbl>
    <w:p>
      <w:pPr>
        <w:snapToGrid w:val="0"/>
        <w:spacing w:line="360" w:lineRule="auto"/>
        <w:ind w:left="480"/>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w:t>
      </w:r>
      <w:r>
        <w:rPr>
          <w:rFonts w:hint="eastAsia" w:ascii="仿宋_GB2312" w:hAnsi="仿宋" w:eastAsia="仿宋_GB2312" w:cs="仿宋_GB2312"/>
          <w:kern w:val="0"/>
          <w:sz w:val="24"/>
          <w:lang w:val="zh-CN"/>
        </w:rPr>
        <w:t>要求</w:t>
      </w:r>
      <w:r>
        <w:rPr>
          <w:rFonts w:ascii="仿宋_GB2312" w:hAnsi="仿宋" w:eastAsia="仿宋_GB2312" w:cs="仿宋_GB2312"/>
          <w:kern w:val="0"/>
          <w:sz w:val="24"/>
          <w:lang w:val="zh-CN"/>
        </w:rPr>
        <w:t>填写</w:t>
      </w:r>
      <w:r>
        <w:rPr>
          <w:rFonts w:hint="eastAsia" w:ascii="仿宋_GB2312" w:hAnsi="仿宋" w:eastAsia="仿宋_GB2312" w:cs="仿宋_GB2312"/>
          <w:kern w:val="0"/>
          <w:sz w:val="24"/>
          <w:lang w:val="zh-CN"/>
        </w:rPr>
        <w:t>，</w:t>
      </w:r>
      <w:r>
        <w:rPr>
          <w:rFonts w:hint="eastAsia" w:ascii="仿宋_GB2312" w:hAnsi="仿宋" w:eastAsia="仿宋_GB2312" w:cs="仿宋_GB2312"/>
          <w:b/>
          <w:bCs/>
          <w:kern w:val="0"/>
          <w:sz w:val="24"/>
          <w:lang w:val="zh-CN"/>
        </w:rPr>
        <w:t>否则视为投标文件含有采购人不能接受的附加条件，投标无效</w:t>
      </w:r>
      <w:r>
        <w:rPr>
          <w:rFonts w:ascii="仿宋_GB2312" w:hAnsi="仿宋" w:eastAsia="仿宋_GB2312" w:cs="仿宋_GB2312"/>
          <w:kern w:val="0"/>
          <w:sz w:val="24"/>
          <w:lang w:val="zh-CN"/>
        </w:rPr>
        <w:t>。</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bCs/>
          <w:kern w:val="0"/>
          <w:sz w:val="24"/>
          <w:lang w:val="zh-CN"/>
        </w:rPr>
        <w:t>采购人将以合同形式有偿取得货物或服务，不接受投标人给予的赠品、回扣或者与采购无关的其他商品、服务，不得出现“</w:t>
      </w:r>
      <w:r>
        <w:rPr>
          <w:rFonts w:ascii="仿宋_GB2312" w:hAnsi="仿宋" w:eastAsia="仿宋_GB2312" w:cs="仿宋_GB2312"/>
          <w:b/>
          <w:bCs/>
          <w:kern w:val="0"/>
          <w:sz w:val="24"/>
          <w:lang w:val="zh-CN"/>
        </w:rPr>
        <w:t>0元”“免费赠送”等形式的无偿报价</w:t>
      </w:r>
      <w:r>
        <w:rPr>
          <w:rFonts w:hint="eastAsia" w:ascii="仿宋_GB2312" w:hAnsi="仿宋" w:eastAsia="仿宋_GB2312" w:cs="仿宋_GB2312"/>
          <w:b/>
          <w:bCs/>
          <w:kern w:val="0"/>
          <w:sz w:val="24"/>
          <w:lang w:val="zh-CN"/>
        </w:rPr>
        <w:t>，否则视为投标文件含有采购人不能接受的附加条件的，投标无效；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bookmarkEnd w:id="549"/>
    <w:p>
      <w:pPr>
        <w:adjustRightInd w:val="0"/>
        <w:spacing w:line="360" w:lineRule="auto"/>
        <w:jc w:val="both"/>
        <w:outlineLvl w:val="0"/>
        <w:rPr>
          <w:rFonts w:ascii="仿宋_GB2312" w:hAnsi="仿宋" w:eastAsia="仿宋_GB2312" w:cs="仿宋_GB2312"/>
          <w:sz w:val="36"/>
          <w:szCs w:val="36"/>
          <w:lang w:val="zh-CN"/>
        </w:rPr>
      </w:pPr>
    </w:p>
    <w:p>
      <w:pPr>
        <w:pStyle w:val="4"/>
        <w:numPr>
          <w:ilvl w:val="0"/>
          <w:numId w:val="0"/>
        </w:numPr>
        <w:ind w:leftChars="0"/>
        <w:rPr>
          <w:lang w:val="zh-CN"/>
        </w:rPr>
        <w:sectPr>
          <w:pgSz w:w="16838" w:h="11906" w:orient="landscape"/>
          <w:pgMar w:top="1418" w:right="1276" w:bottom="1418" w:left="1247" w:header="851" w:footer="992" w:gutter="0"/>
          <w:pgNumType w:fmt="decimal"/>
          <w:cols w:space="720" w:num="1"/>
          <w:titlePg/>
          <w:docGrid w:linePitch="312" w:charSpace="0"/>
        </w:sectPr>
      </w:pPr>
    </w:p>
    <w:p>
      <w:pPr>
        <w:pStyle w:val="625"/>
        <w:keepNext w:val="0"/>
        <w:pageBreakBefore w:val="0"/>
        <w:tabs>
          <w:tab w:val="clear" w:pos="720"/>
        </w:tabs>
        <w:snapToGrid w:val="0"/>
        <w:spacing w:before="120" w:after="120"/>
        <w:ind w:firstLine="643"/>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kern w:val="2"/>
          <w:sz w:val="32"/>
          <w:szCs w:val="32"/>
          <w14:textFill>
            <w14:solidFill>
              <w14:schemeClr w14:val="tx1"/>
            </w14:solidFill>
          </w14:textFill>
        </w:rPr>
        <w:t>二、</w:t>
      </w:r>
      <w:r>
        <w:rPr>
          <w:rFonts w:hint="eastAsia" w:ascii="仿宋_GB2312" w:hAnsi="宋体" w:eastAsia="仿宋_GB2312"/>
          <w:color w:val="000000" w:themeColor="text1"/>
          <w:sz w:val="32"/>
          <w:szCs w:val="32"/>
          <w14:textFill>
            <w14:solidFill>
              <w14:schemeClr w14:val="tx1"/>
            </w14:solidFill>
          </w14:textFill>
        </w:rPr>
        <w:t>中小企业声明函</w:t>
      </w:r>
    </w:p>
    <w:p>
      <w:pPr>
        <w:widowControl/>
        <w:spacing w:line="360" w:lineRule="auto"/>
        <w:ind w:firstLine="120" w:firstLineChars="50"/>
        <w:jc w:val="left"/>
        <w:rPr>
          <w:rFonts w:hint="eastAsia"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000000" w:themeColor="text1"/>
          <w:sz w:val="24"/>
          <w14:textFill>
            <w14:solidFill>
              <w14:schemeClr w14:val="tx1"/>
            </w14:solidFill>
          </w14:textFill>
        </w:rPr>
        <w:t>5）。</w:t>
      </w:r>
      <w:r>
        <w:rPr>
          <w:rFonts w:hint="eastAsia" w:ascii="仿宋_GB2312" w:hAnsi="仿宋" w:eastAsia="仿宋_GB2312" w:cs="仿宋_GB2312"/>
          <w:b/>
          <w:color w:val="000000" w:themeColor="text1"/>
          <w:sz w:val="24"/>
          <w14:textFill>
            <w14:solidFill>
              <w14:schemeClr w14:val="tx1"/>
            </w14:solidFill>
          </w14:textFill>
        </w:rPr>
        <w:t>]</w:t>
      </w:r>
    </w:p>
    <w:p>
      <w:pPr>
        <w:pStyle w:val="4"/>
        <w:numPr>
          <w:ilvl w:val="0"/>
          <w:numId w:val="0"/>
        </w:numPr>
        <w:ind w:leftChars="0"/>
      </w:pPr>
    </w:p>
    <w:p>
      <w:pPr>
        <w:tabs>
          <w:tab w:val="left" w:pos="8085"/>
        </w:tabs>
        <w:spacing w:line="360" w:lineRule="auto"/>
        <w:ind w:firstLine="1285" w:firstLineChars="400"/>
        <w:jc w:val="left"/>
        <w:rPr>
          <w:rFonts w:hint="eastAsia" w:ascii="仿宋_GB2312" w:hAnsi="仿宋" w:eastAsia="仿宋_GB2312" w:cs="仿宋_GB2312"/>
          <w:b/>
          <w:sz w:val="32"/>
          <w:szCs w:val="32"/>
        </w:rPr>
      </w:pPr>
      <w:bookmarkStart w:id="550" w:name="_Toc465665161"/>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4"/>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4"/>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pStyle w:val="3"/>
        <w:keepNext w:val="0"/>
        <w:keepLines w:val="0"/>
        <w:pageBreakBefore/>
        <w:widowControl/>
        <w:numPr>
          <w:ilvl w:val="0"/>
          <w:numId w:val="0"/>
        </w:numPr>
        <w:spacing w:before="100" w:beforeAutospacing="1" w:after="100" w:afterAutospacing="1" w:line="360" w:lineRule="auto"/>
        <w:jc w:val="center"/>
        <w:rPr>
          <w:rFonts w:hint="eastAsia" w:ascii="仿宋" w:hAnsi="仿宋" w:eastAsia="仿宋" w:cs="仿宋"/>
        </w:rPr>
      </w:pPr>
      <w:r>
        <w:rPr>
          <w:rFonts w:hint="eastAsia" w:ascii="仿宋" w:hAnsi="仿宋" w:eastAsia="仿宋" w:cs="仿宋"/>
        </w:rPr>
        <w:t>附件</w:t>
      </w:r>
      <w:bookmarkEnd w:id="550"/>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551" w:name="OLE_LINK14"/>
      <w:bookmarkStart w:id="552" w:name="OLE_LINK13"/>
      <w:r>
        <w:rPr>
          <w:rFonts w:hint="eastAsia" w:ascii="仿宋" w:hAnsi="仿宋" w:eastAsia="仿宋" w:cs="仿宋"/>
          <w:b/>
          <w:spacing w:val="6"/>
          <w:sz w:val="32"/>
          <w:szCs w:val="32"/>
        </w:rPr>
        <w:t>残疾人福利性单位声明函</w:t>
      </w:r>
    </w:p>
    <w:bookmarkEnd w:id="551"/>
    <w:bookmarkEnd w:id="552"/>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pStyle w:val="24"/>
        <w:jc w:val="both"/>
        <w:rPr>
          <w:rFonts w:hint="eastAsia" w:ascii="仿宋" w:hAnsi="仿宋" w:eastAsia="仿宋" w:cs="仿宋"/>
          <w:b/>
          <w:bCs/>
          <w:sz w:val="32"/>
          <w:szCs w:val="32"/>
          <w:lang w:val="en-US" w:eastAsia="zh-CN"/>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2：质疑函范本及制作说明</w:t>
      </w: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一、质疑供应商基本信息</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质疑供应商：</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联系人：</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授权代表：</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r>
        <w:rPr>
          <w:rFonts w:ascii="仿宋_GB2312" w:hAnsi="仿宋" w:eastAsia="仿宋_GB2312" w:cs="仿宋"/>
          <w:color w:val="000000" w:themeColor="text1"/>
          <w:sz w:val="24"/>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14:textFill>
            <w14:solidFill>
              <w14:schemeClr w14:val="tx1"/>
            </w14:solidFill>
          </w14:textFill>
        </w:rPr>
        <w:t xml:space="preserve"> </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二、质疑项目基本情况</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质疑项目的编号：</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包号：</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采购人名称：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采购文件获取日期：</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三、质疑事项具体内容</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1：</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事实依据：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法律依据：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2</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四、与质疑事项相关的质疑请求</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请求：</w:t>
      </w:r>
      <w:r>
        <w:rPr>
          <w:rFonts w:ascii="仿宋_GB2312" w:hAnsi="仿宋" w:eastAsia="仿宋_GB2312" w:cs="仿宋"/>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jc w:val="center"/>
        <w:rPr>
          <w:rFonts w:ascii="仿宋_GB2312" w:hAnsi="仿宋" w:eastAsia="仿宋_GB2312" w:cs="仿宋"/>
          <w:b/>
          <w:bCs/>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质疑函制作说明：</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2.质疑供应商若委托代理人进行质疑的，</w:t>
      </w:r>
      <w:r>
        <w:rPr>
          <w:rFonts w:hint="eastAsia" w:ascii="仿宋_GB2312" w:hAnsi="仿宋" w:eastAsia="仿宋_GB2312"/>
          <w:color w:val="000000" w:themeColor="text1"/>
          <w:sz w:val="24"/>
          <w14:textFill>
            <w14:solidFill>
              <w14:schemeClr w14:val="tx1"/>
            </w14:solidFill>
          </w14:textFill>
        </w:rPr>
        <w:t>质疑函应按要求列明“授权代表”的有关内容，并在附件中提交由质疑</w:t>
      </w:r>
      <w:r>
        <w:rPr>
          <w:rFonts w:hint="eastAsia" w:ascii="仿宋_GB2312" w:hAnsi="仿宋" w:eastAsia="仿宋_GB2312"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6.质疑供应商为自然人的，</w:t>
      </w:r>
      <w:r>
        <w:rPr>
          <w:rFonts w:hint="eastAsia" w:ascii="仿宋_GB2312" w:hAnsi="仿宋" w:eastAsia="仿宋_GB2312"/>
          <w:color w:val="000000" w:themeColor="text1"/>
          <w:sz w:val="24"/>
          <w14:textFill>
            <w14:solidFill>
              <w14:schemeClr w14:val="tx1"/>
            </w14:solidFill>
          </w14:textFill>
        </w:rPr>
        <w:t>质疑函应由本人签字；质疑供应商为法人或者其他组织的，质疑函应由法定代表人、主要负责人，或者其授权代表签字或者盖章，并加盖公章。</w:t>
      </w: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3：投诉书范本及制作说明</w:t>
      </w:r>
    </w:p>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投诉书范本</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一、投诉相关主体基本情况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tabs>
          <w:tab w:val="left" w:pos="6510"/>
        </w:tabs>
        <w:spacing w:line="360" w:lineRule="auto"/>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法定代表人</w:t>
      </w:r>
      <w:r>
        <w:rPr>
          <w:rFonts w:ascii="仿宋_GB2312" w:hAnsi="仿宋" w:eastAsia="仿宋_GB2312"/>
          <w:color w:val="000000" w:themeColor="text1"/>
          <w:sz w:val="24"/>
          <w14:textFill>
            <w14:solidFill>
              <w14:schemeClr w14:val="tx1"/>
            </w14:solidFill>
          </w14:textFill>
        </w:rPr>
        <w:t>/主要负责人：</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tabs>
          <w:tab w:val="left" w:pos="6510"/>
        </w:tabs>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授权代表：</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hint="eastAsia" w:ascii="仿宋_GB2312" w:hAnsi="仿宋" w:eastAsia="仿宋_GB2312"/>
          <w:color w:val="000000" w:themeColor="text1"/>
          <w:sz w:val="24"/>
          <w:u w:val="dotted"/>
          <w14:textFill>
            <w14:solidFill>
              <w14:schemeClr w14:val="tx1"/>
            </w14:solidFill>
          </w14:textFill>
        </w:rPr>
        <w:t>：</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1：</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相关供应商：</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二、投诉项目基本情况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采购项目编号：</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包号：</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采购人名称：</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代理机构名称：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采购文件公告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采购结果公告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三、质疑基本情况</w:t>
      </w:r>
    </w:p>
    <w:p>
      <w:pPr>
        <w:spacing w:line="360" w:lineRule="auto"/>
        <w:ind w:firstLine="480" w:firstLineChars="200"/>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,向</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提出质疑，质疑事项为：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ind w:firstLine="360" w:firstLineChars="15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u w:val="dotted"/>
          <w14:textFill>
            <w14:solidFill>
              <w14:schemeClr w14:val="tx1"/>
            </w14:solidFill>
          </w14:textFill>
        </w:rPr>
        <w:t>采购人</w:t>
      </w:r>
      <w:r>
        <w:rPr>
          <w:rFonts w:ascii="仿宋_GB2312" w:hAnsi="仿宋" w:eastAsia="仿宋_GB2312"/>
          <w:color w:val="000000" w:themeColor="text1"/>
          <w:sz w:val="24"/>
          <w:u w:val="dotted"/>
          <w14:textFill>
            <w14:solidFill>
              <w14:schemeClr w14:val="tx1"/>
            </w14:solidFill>
          </w14:textFill>
        </w:rPr>
        <w:t>/代理机构</w:t>
      </w:r>
      <w:r>
        <w:rPr>
          <w:rFonts w:hint="eastAsia" w:ascii="仿宋_GB2312" w:hAnsi="仿宋" w:eastAsia="仿宋_GB2312"/>
          <w:color w:val="000000" w:themeColor="text1"/>
          <w:sz w:val="24"/>
          <w14:textFill>
            <w14:solidFill>
              <w14:schemeClr w14:val="tx1"/>
            </w14:solidFill>
          </w14:textFill>
        </w:rPr>
        <w:t>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,就质疑事项</w:t>
      </w:r>
      <w:r>
        <w:rPr>
          <w:rFonts w:hint="eastAsia" w:ascii="仿宋_GB2312" w:hAnsi="仿宋" w:eastAsia="仿宋_GB2312"/>
          <w:color w:val="000000" w:themeColor="text1"/>
          <w:sz w:val="24"/>
          <w14:textFill>
            <w14:solidFill>
              <w14:schemeClr w14:val="tx1"/>
            </w14:solidFill>
          </w14:textFill>
        </w:rPr>
        <w:t>作出了答复</w:t>
      </w:r>
      <w:r>
        <w:rPr>
          <w:rFonts w:ascii="仿宋_GB2312" w:hAnsi="仿宋" w:eastAsia="仿宋_GB2312"/>
          <w:color w:val="000000" w:themeColor="text1"/>
          <w:sz w:val="24"/>
          <w14:textFill>
            <w14:solidFill>
              <w14:schemeClr w14:val="tx1"/>
            </w14:solidFill>
          </w14:textFill>
        </w:rPr>
        <w:t>/没有在法定期限内</w:t>
      </w:r>
      <w:r>
        <w:rPr>
          <w:rFonts w:hint="eastAsia" w:ascii="仿宋_GB2312" w:hAnsi="仿宋" w:eastAsia="仿宋_GB2312"/>
          <w:color w:val="000000" w:themeColor="text1"/>
          <w:sz w:val="24"/>
          <w14:textFill>
            <w14:solidFill>
              <w14:schemeClr w14:val="tx1"/>
            </w14:solidFill>
          </w14:textFill>
        </w:rPr>
        <w:t>作出答复。</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四、投诉事项具体内容</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 xml:space="preserve"> 1：</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事实依据：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法律依据：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五、与投诉事项相关的投诉请求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请求：</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投诉书制作说明：</w:t>
      </w:r>
    </w:p>
    <w:p>
      <w:pPr>
        <w:widowControl/>
        <w:spacing w:line="360" w:lineRule="auto"/>
        <w:ind w:firstLine="480" w:firstLineChars="200"/>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_GB2312" w:hAnsi="仿宋" w:eastAsia="仿宋_GB2312"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pStyle w:val="60"/>
        <w:ind w:left="0" w:leftChars="0" w:firstLine="0" w:firstLineChars="0"/>
        <w:rPr>
          <w:rFonts w:hint="eastAsia" w:ascii="仿宋" w:hAnsi="仿宋" w:eastAsia="仿宋" w:cs="仿宋"/>
          <w:b/>
          <w:bCs/>
          <w:sz w:val="32"/>
          <w:szCs w:val="32"/>
          <w:lang w:val="en-US" w:eastAsia="zh-CN"/>
        </w:rPr>
      </w:pPr>
    </w:p>
    <w:p>
      <w:pPr>
        <w:autoSpaceDE w:val="0"/>
        <w:autoSpaceDN w:val="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4：</w:t>
      </w:r>
      <w:r>
        <w:rPr>
          <w:rFonts w:hint="eastAsia" w:ascii="仿宋" w:hAnsi="仿宋" w:eastAsia="仿宋"/>
          <w:b/>
          <w:bCs/>
          <w:color w:val="000000" w:themeColor="text1"/>
          <w:sz w:val="32"/>
          <w:szCs w:val="32"/>
          <w14:textFill>
            <w14:solidFill>
              <w14:schemeClr w14:val="tx1"/>
            </w14:solidFill>
          </w14:textFill>
        </w:rPr>
        <w:t>业务专用章使用说明函</w:t>
      </w:r>
    </w:p>
    <w:p>
      <w:pPr>
        <w:spacing w:line="360" w:lineRule="auto"/>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s="仿宋_GB2312"/>
          <w:color w:val="000000" w:themeColor="text1"/>
          <w:sz w:val="24"/>
          <w:u w:val="single"/>
          <w:lang w:val="en-US" w:eastAsia="zh-CN"/>
          <w14:textFill>
            <w14:solidFill>
              <w14:schemeClr w14:val="tx1"/>
            </w14:solidFill>
          </w14:textFill>
        </w:rPr>
        <w:t>XXXX</w:t>
      </w:r>
      <w:r>
        <w:rPr>
          <w:rFonts w:hint="eastAsia" w:ascii="仿宋" w:hAnsi="仿宋" w:eastAsia="仿宋" w:cs="仿宋_GB2312"/>
          <w:color w:val="000000" w:themeColor="text1"/>
          <w:sz w:val="24"/>
          <w:u w:val="single"/>
          <w:lang w:eastAsia="zh-CN"/>
          <w14:textFill>
            <w14:solidFill>
              <w14:schemeClr w14:val="tx1"/>
            </w14:solidFill>
          </w14:textFill>
        </w:rPr>
        <w:t>（采购人名称）</w:t>
      </w:r>
      <w:r>
        <w:rPr>
          <w:rFonts w:hint="eastAsia" w:ascii="仿宋" w:hAnsi="仿宋" w:eastAsia="仿宋" w:cs="仿宋_GB2312"/>
          <w:color w:val="000000" w:themeColor="text1"/>
          <w:sz w:val="24"/>
          <w:u w:val="single"/>
          <w14:textFill>
            <w14:solidFill>
              <w14:schemeClr w14:val="tx1"/>
            </w14:solidFill>
          </w14:textFill>
        </w:rPr>
        <w:t xml:space="preserve"> 、杭州市公共资源交易中心</w:t>
      </w:r>
      <w:r>
        <w:rPr>
          <w:rFonts w:hint="eastAsia" w:ascii="仿宋" w:hAnsi="仿宋" w:eastAsia="仿宋" w:cs="仿宋_GB2312"/>
          <w:color w:val="000000" w:themeColor="text1"/>
          <w:sz w:val="24"/>
          <w:u w:val="single"/>
          <w:lang w:eastAsia="zh-CN"/>
          <w14:textFill>
            <w14:solidFill>
              <w14:schemeClr w14:val="tx1"/>
            </w14:solidFill>
          </w14:textFill>
        </w:rPr>
        <w:t>临安分中心</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我方</w:t>
      </w:r>
      <w:r>
        <w:rPr>
          <w:rFonts w:ascii="仿宋" w:hAnsi="仿宋" w:eastAsia="仿宋" w:cs="仿宋_GB2312"/>
          <w:color w:val="000000" w:themeColor="text1"/>
          <w:kern w:val="0"/>
          <w:sz w:val="24"/>
          <w:u w:val="single"/>
          <w:lang w:val="zh-CN"/>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(投标人全称)</w:t>
      </w:r>
      <w:r>
        <w:rPr>
          <w:rFonts w:hint="eastAsia" w:ascii="仿宋" w:hAnsi="仿宋" w:eastAsia="仿宋"/>
          <w:color w:val="000000" w:themeColor="text1"/>
          <w:sz w:val="24"/>
          <w14:textFill>
            <w14:solidFill>
              <w14:schemeClr w14:val="tx1"/>
            </w14:solidFill>
          </w14:textFill>
        </w:rPr>
        <w:t>是中华人民共和国依法登记注册的合法企业，</w:t>
      </w:r>
      <w:r>
        <w:rPr>
          <w:rFonts w:hint="eastAsia" w:ascii="仿宋" w:hAnsi="仿宋" w:eastAsia="仿宋" w:cs="宋体"/>
          <w:bCs/>
          <w:color w:val="000000" w:themeColor="text1"/>
          <w:sz w:val="24"/>
          <w14:textFill>
            <w14:solidFill>
              <w14:schemeClr w14:val="tx1"/>
            </w14:solidFill>
          </w14:textFill>
        </w:rPr>
        <w:t>在参加</w:t>
      </w:r>
      <w:r>
        <w:rPr>
          <w:rFonts w:hint="eastAsia" w:ascii="仿宋" w:hAnsi="仿宋" w:eastAsia="仿宋" w:cs="仿宋_GB2312"/>
          <w:color w:val="000000" w:themeColor="text1"/>
          <w:sz w:val="24"/>
          <w14:textFill>
            <w14:solidFill>
              <w14:schemeClr w14:val="tx1"/>
            </w14:solidFill>
          </w14:textFill>
        </w:rPr>
        <w:t>你方组织的</w:t>
      </w:r>
      <w:r>
        <w:rPr>
          <w:rFonts w:hint="eastAsia" w:ascii="仿宋" w:hAnsi="仿宋" w:eastAsia="仿宋"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 w:hAnsi="仿宋" w:eastAsia="仿宋" w:cs="仿宋_GB2312"/>
          <w:color w:val="000000" w:themeColor="text1"/>
          <w:sz w:val="24"/>
          <w14:textFill>
            <w14:solidFill>
              <w14:schemeClr w14:val="tx1"/>
            </w14:solidFill>
          </w14:textFill>
        </w:rPr>
        <w:t>【招标编号</w:t>
      </w:r>
      <w:r>
        <w:rPr>
          <w:rFonts w:hint="eastAsia" w:ascii="仿宋" w:hAnsi="仿宋" w:eastAsia="仿宋" w:cs="仿宋_GB2312"/>
          <w:color w:val="000000" w:themeColor="text1"/>
          <w:sz w:val="24"/>
          <w:u w:val="single"/>
          <w14:textFill>
            <w14:solidFill>
              <w14:schemeClr w14:val="tx1"/>
            </w14:solidFill>
          </w14:textFill>
        </w:rPr>
        <w:t>：</w:t>
      </w:r>
      <w:r>
        <w:rPr>
          <w:rFonts w:hint="eastAsia" w:ascii="仿宋" w:hAnsi="仿宋" w:eastAsia="仿宋" w:cs="仿宋_GB2312"/>
          <w:color w:val="000000" w:themeColor="text1"/>
          <w:sz w:val="24"/>
          <w:u w:val="single"/>
          <w:lang w:val="en-US" w:eastAsia="zh-CN"/>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宋体"/>
          <w:bCs/>
          <w:color w:val="000000" w:themeColor="text1"/>
          <w:sz w:val="24"/>
          <w14:textFill>
            <w14:solidFill>
              <w14:schemeClr w14:val="tx1"/>
            </w14:solidFill>
          </w14:textFill>
        </w:rPr>
        <w:t>投标活动中作如下说明：</w:t>
      </w:r>
      <w:r>
        <w:rPr>
          <w:rFonts w:hint="eastAsia" w:ascii="仿宋" w:hAnsi="仿宋" w:eastAsia="仿宋" w:cs="宋体"/>
          <w:color w:val="000000" w:themeColor="text1"/>
          <w:sz w:val="24"/>
          <w14:textFill>
            <w14:solidFill>
              <w14:schemeClr w14:val="tx1"/>
            </w14:solidFill>
          </w14:textFill>
        </w:rPr>
        <w:t>我方所使用的“</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专用章”与法定名称章具有同等的法律效力，对使用“</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专用章”的行为予以完全承认，并愿意承担相应责任。</w:t>
      </w:r>
      <w:r>
        <w:rPr>
          <w:rFonts w:ascii="仿宋" w:hAnsi="仿宋" w:eastAsia="仿宋" w:cs="宋体"/>
          <w:color w:val="000000" w:themeColor="text1"/>
          <w:sz w:val="24"/>
          <w14:textFill>
            <w14:solidFill>
              <w14:schemeClr w14:val="tx1"/>
            </w14:solidFill>
          </w14:textFill>
        </w:rPr>
        <w:t xml:space="preserve">   </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特此说明。</w:t>
      </w: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right="480" w:firstLine="4080" w:firstLineChars="17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投标单位（法定名称章）：</w:t>
      </w:r>
    </w:p>
    <w:p>
      <w:pPr>
        <w:ind w:right="1440" w:firstLine="494"/>
        <w:jc w:val="cente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 xml:space="preserve">                              日期：       年     月     日</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附：</w:t>
      </w:r>
    </w:p>
    <w:p>
      <w:pPr>
        <w:spacing w:line="360" w:lineRule="auto"/>
        <w:rPr>
          <w:rFonts w:ascii="仿宋" w:hAnsi="仿宋" w:eastAsia="仿宋"/>
          <w:bCs/>
          <w:color w:val="000000" w:themeColor="text1"/>
          <w:sz w:val="24"/>
          <w14:textFill>
            <w14:solidFill>
              <w14:schemeClr w14:val="tx1"/>
            </w14:solidFill>
          </w14:textFill>
        </w:rPr>
      </w:pP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000000" w:themeColor="text1"/>
          <w:sz w:val="24"/>
          <w14:textFill>
            <w14:solidFill>
              <w14:schemeClr w14:val="tx1"/>
            </w14:solidFill>
          </w14:textFill>
        </w:rPr>
        <w:t>投标单位法定名称章（印模）</w:t>
      </w:r>
      <w:r>
        <w:rPr>
          <w:rFonts w:ascii="仿宋" w:hAnsi="仿宋" w:eastAsia="仿宋" w:cs="宋体"/>
          <w:color w:val="000000" w:themeColor="text1"/>
          <w:sz w:val="24"/>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投标单位“</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专用章”（印模）</w:t>
      </w: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pStyle w:val="60"/>
        <w:rPr>
          <w:rFonts w:hint="eastAsia" w:ascii="仿宋" w:hAnsi="仿宋" w:eastAsia="仿宋" w:cs="仿宋"/>
          <w:b/>
          <w:bCs/>
          <w:sz w:val="32"/>
          <w:szCs w:val="32"/>
          <w:lang w:val="en-US" w:eastAsia="zh-CN"/>
        </w:rPr>
      </w:pPr>
    </w:p>
    <w:p>
      <w:pPr>
        <w:pStyle w:val="60"/>
        <w:rPr>
          <w:rFonts w:hint="eastAsia" w:ascii="仿宋" w:hAnsi="仿宋" w:eastAsia="仿宋" w:cs="仿宋"/>
          <w:b/>
          <w:bCs/>
          <w:sz w:val="32"/>
          <w:szCs w:val="32"/>
          <w:lang w:val="en-US" w:eastAsia="zh-CN"/>
        </w:rPr>
      </w:pPr>
    </w:p>
    <w:p>
      <w:pPr>
        <w:pStyle w:val="60"/>
        <w:rPr>
          <w:rFonts w:hint="eastAsia" w:ascii="仿宋" w:hAnsi="仿宋" w:eastAsia="仿宋" w:cs="仿宋"/>
          <w:b/>
          <w:bCs/>
          <w:sz w:val="32"/>
          <w:szCs w:val="32"/>
          <w:lang w:val="en-US" w:eastAsia="zh-CN"/>
        </w:rPr>
      </w:pPr>
    </w:p>
    <w:p>
      <w:pPr>
        <w:autoSpaceDE w:val="0"/>
        <w:autoSpaceDN w:val="0"/>
        <w:jc w:val="both"/>
        <w:rPr>
          <w:rFonts w:hint="eastAsia"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5</w:t>
      </w:r>
      <w:r>
        <w:rPr>
          <w:rFonts w:hint="eastAsia" w:ascii="仿宋" w:hAnsi="仿宋" w:eastAsia="仿宋"/>
          <w:b/>
          <w:color w:val="000000" w:themeColor="text1"/>
          <w:spacing w:val="6"/>
          <w:sz w:val="32"/>
          <w:szCs w:val="32"/>
          <w14:textFill>
            <w14:solidFill>
              <w14:schemeClr w14:val="tx1"/>
            </w14:solidFill>
          </w14:textFill>
        </w:rPr>
        <w:t>：</w:t>
      </w:r>
      <w:r>
        <w:rPr>
          <w:rFonts w:hint="eastAsia" w:ascii="仿宋_GB2312" w:hAnsi="宋体" w:eastAsia="仿宋_GB2312"/>
          <w:b/>
          <w:color w:val="000000" w:themeColor="text1"/>
          <w:sz w:val="32"/>
          <w:szCs w:val="32"/>
          <w14:textFill>
            <w14:solidFill>
              <w14:schemeClr w14:val="tx1"/>
            </w14:solidFill>
          </w14:textFill>
        </w:rPr>
        <w:t>中小企业声明函</w:t>
      </w:r>
    </w:p>
    <w:p>
      <w:pPr>
        <w:spacing w:line="360" w:lineRule="auto"/>
        <w:jc w:val="center"/>
        <w:rPr>
          <w:rFonts w:ascii="仿宋" w:hAnsi="仿宋" w:eastAsia="仿宋" w:cs="仿宋_GB2312"/>
          <w:color w:val="000000" w:themeColor="text1"/>
          <w:sz w:val="24"/>
          <w:u w:val="single"/>
          <w14:textFill>
            <w14:solidFill>
              <w14:schemeClr w14:val="tx1"/>
            </w14:solidFill>
          </w14:textFill>
        </w:rPr>
      </w:pP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中小企业声明函（货物）</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hint="eastAsia" w:ascii="宋体" w:hAnsi="宋体" w:cs="宋体"/>
          <w:color w:val="000000" w:themeColor="text1"/>
          <w:sz w:val="24"/>
          <w14:textFill>
            <w14:solidFill>
              <w14:schemeClr w14:val="tx1"/>
            </w14:solidFill>
          </w14:textFill>
        </w:rPr>
        <w:t>﹝</w:t>
      </w:r>
      <w:r>
        <w:rPr>
          <w:rFonts w:ascii="仿宋_GB2312" w:hAnsi="宋体" w:eastAsia="仿宋_GB2312"/>
          <w:color w:val="000000" w:themeColor="text1"/>
          <w:sz w:val="24"/>
          <w14:textFill>
            <w14:solidFill>
              <w14:schemeClr w14:val="tx1"/>
            </w14:solidFill>
          </w14:textFill>
        </w:rPr>
        <w:t>2020</w:t>
      </w:r>
      <w:r>
        <w:rPr>
          <w:rFonts w:hint="eastAsia" w:ascii="宋体" w:hAnsi="宋体" w:cs="宋体"/>
          <w:color w:val="000000" w:themeColor="text1"/>
          <w:sz w:val="24"/>
          <w14:textFill>
            <w14:solidFill>
              <w14:schemeClr w14:val="tx1"/>
            </w14:solidFill>
          </w14:textFill>
        </w:rPr>
        <w:t>﹞</w:t>
      </w:r>
      <w:r>
        <w:rPr>
          <w:rFonts w:ascii="仿宋_GB2312" w:hAnsi="宋体" w:eastAsia="仿宋_GB2312"/>
          <w:color w:val="000000" w:themeColor="text1"/>
          <w:sz w:val="24"/>
          <w14:textFill>
            <w14:solidFill>
              <w14:schemeClr w14:val="tx1"/>
            </w14:solidFill>
          </w14:textFill>
        </w:rPr>
        <w:t xml:space="preserve">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（单位名称）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ascii="仿宋_GB2312" w:hAnsi="宋体" w:eastAsia="仿宋_GB2312"/>
          <w:color w:val="000000" w:themeColor="text1"/>
          <w:sz w:val="24"/>
          <w14:textFill>
            <w14:solidFill>
              <w14:schemeClr w14:val="tx1"/>
            </w14:solidFill>
          </w14:textFill>
        </w:rPr>
        <w:t xml:space="preserve"> ，属于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hint="eastAsia" w:ascii="仿宋_GB2312" w:hAnsi="宋体" w:eastAsia="仿宋_GB2312"/>
          <w:color w:val="000000" w:themeColor="text1"/>
          <w:sz w:val="24"/>
          <w14:textFill>
            <w14:solidFill>
              <w14:schemeClr w14:val="tx1"/>
            </w14:solidFill>
          </w14:textFill>
        </w:rPr>
        <w:t>行业</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；制造商为</w:t>
      </w:r>
      <w:r>
        <w:rPr>
          <w:rFonts w:ascii="仿宋_GB2312" w:hAnsi="宋体" w:eastAsia="仿宋_GB2312"/>
          <w:color w:val="000000" w:themeColor="text1"/>
          <w:sz w:val="24"/>
          <w:u w:val="single"/>
          <w14:textFill>
            <w14:solidFill>
              <w14:schemeClr w14:val="tx1"/>
            </w14:solidFill>
          </w14:textFill>
        </w:rPr>
        <w:t xml:space="preserve"> （企业名称）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w:t>
      </w:r>
      <w:r>
        <w:rPr>
          <w:rFonts w:ascii="仿宋_GB2312" w:hAnsi="宋体"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ascii="仿宋_GB2312" w:hAnsi="宋体" w:eastAsia="仿宋_GB2312"/>
          <w:color w:val="000000" w:themeColor="text1"/>
          <w:sz w:val="24"/>
          <w14:textFill>
            <w14:solidFill>
              <w14:schemeClr w14:val="tx1"/>
            </w14:solidFill>
          </w14:textFill>
        </w:rPr>
        <w:t xml:space="preserve"> ，属于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hint="eastAsia" w:ascii="仿宋_GB2312" w:hAnsi="宋体" w:eastAsia="仿宋_GB2312"/>
          <w:color w:val="000000" w:themeColor="text1"/>
          <w:sz w:val="24"/>
          <w14:textFill>
            <w14:solidFill>
              <w14:schemeClr w14:val="tx1"/>
            </w14:solidFill>
          </w14:textFill>
        </w:rPr>
        <w:t>行业</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；制造商为</w:t>
      </w:r>
      <w:r>
        <w:rPr>
          <w:rFonts w:ascii="仿宋_GB2312" w:hAnsi="宋体" w:eastAsia="仿宋_GB2312"/>
          <w:color w:val="000000" w:themeColor="text1"/>
          <w:sz w:val="24"/>
          <w:u w:val="single"/>
          <w14:textFill>
            <w14:solidFill>
              <w14:schemeClr w14:val="tx1"/>
            </w14:solidFill>
          </w14:textFill>
        </w:rPr>
        <w:t xml:space="preserve"> （企业名称）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w:t>
      </w:r>
      <w:r>
        <w:rPr>
          <w:rFonts w:ascii="仿宋_GB2312" w:hAnsi="宋体"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投标人名称</w:t>
      </w:r>
      <w:r>
        <w:rPr>
          <w:rFonts w:ascii="仿宋_GB2312" w:hAnsi="仿宋" w:eastAsia="仿宋_GB2312" w:cs="仿宋_GB2312"/>
          <w:color w:val="000000" w:themeColor="text1"/>
          <w:kern w:val="0"/>
          <w:sz w:val="24"/>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w:t>
      </w:r>
      <w:r>
        <w:rPr>
          <w:rFonts w:hint="eastAsia" w:ascii="仿宋_GB2312" w:hAnsi="仿宋" w:eastAsia="仿宋_GB2312" w:cs="仿宋_GB2312"/>
          <w:color w:val="000000" w:themeColor="text1"/>
          <w:kern w:val="0"/>
          <w:sz w:val="24"/>
          <w14:textFill>
            <w14:solidFill>
              <w14:schemeClr w14:val="tx1"/>
            </w14:solidFill>
          </w14:textFill>
        </w:rPr>
        <w:t>：</w:t>
      </w:r>
      <w:r>
        <w:rPr>
          <w:rFonts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注：符合《关于促进残疾人就业政府采购政策的通知》（财库〔</w:t>
      </w:r>
      <w:r>
        <w:rPr>
          <w:rFonts w:ascii="仿宋_GB2312" w:hAnsi="仿宋" w:eastAsia="仿宋_GB2312" w:cs="仿宋_GB2312"/>
          <w:color w:val="000000" w:themeColor="text1"/>
          <w:sz w:val="24"/>
          <w14:textFill>
            <w14:solidFill>
              <w14:schemeClr w14:val="tx1"/>
            </w14:solidFill>
          </w14:textFill>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hint="eastAsia"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中小企业声明函</w:t>
      </w:r>
      <w:r>
        <w:rPr>
          <w:rFonts w:hint="eastAsia" w:ascii="仿宋_GB2312" w:hAnsi="宋体" w:eastAsia="仿宋_GB2312"/>
          <w:b/>
          <w:color w:val="000000" w:themeColor="text1"/>
          <w:sz w:val="32"/>
          <w:szCs w:val="32"/>
          <w14:textFill>
            <w14:solidFill>
              <w14:schemeClr w14:val="tx1"/>
            </w14:solidFill>
          </w14:textFill>
        </w:rPr>
        <w:t>（工程、服务）</w:t>
      </w:r>
    </w:p>
    <w:p>
      <w:pPr>
        <w:spacing w:line="360" w:lineRule="auto"/>
        <w:rPr>
          <w:rFonts w:ascii="仿宋_GB2312" w:hAnsi="仿宋" w:eastAsia="仿宋_GB2312"/>
          <w:color w:val="000000" w:themeColor="text1"/>
          <w14:textFill>
            <w14:solidFill>
              <w14:schemeClr w14:val="tx1"/>
            </w14:solidFill>
          </w14:textFill>
        </w:rPr>
      </w:pPr>
    </w:p>
    <w:p>
      <w:pPr>
        <w:spacing w:line="360" w:lineRule="auto"/>
        <w:ind w:firstLine="360" w:firstLineChars="15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sz w:val="24"/>
          <w14:textFill>
            <w14:solidFill>
              <w14:schemeClr w14:val="tx1"/>
            </w14:solidFill>
          </w14:textFill>
        </w:rPr>
        <w:t xml:space="preserve">2020﹞46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（单位名称）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w:t>
      </w:r>
      <w:r>
        <w:rPr>
          <w:rFonts w:hint="eastAsia" w:ascii="仿宋_GB2312" w:hAnsi="宋体" w:eastAsia="仿宋_GB2312"/>
          <w:color w:val="000000" w:themeColor="text1"/>
          <w:sz w:val="24"/>
          <w14:textFill>
            <w14:solidFill>
              <w14:schemeClr w14:val="tx1"/>
            </w14:solidFill>
          </w14:textFill>
        </w:rPr>
        <w:t>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宋体" w:eastAsia="仿宋_GB2312"/>
          <w:color w:val="000000" w:themeColor="text1"/>
          <w:sz w:val="24"/>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日</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期：</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spacing w:line="360" w:lineRule="auto"/>
        <w:ind w:right="42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pStyle w:val="60"/>
        <w:rPr>
          <w:rFonts w:hint="eastAsia" w:ascii="仿宋" w:hAnsi="仿宋" w:eastAsia="仿宋" w:cs="仿宋"/>
          <w:b/>
          <w:bCs/>
          <w:sz w:val="32"/>
          <w:szCs w:val="32"/>
          <w:lang w:val="en-US" w:eastAsia="zh-CN"/>
        </w:rPr>
      </w:pPr>
    </w:p>
    <w:p>
      <w:pPr>
        <w:pStyle w:val="60"/>
        <w:rPr>
          <w:rFonts w:hint="eastAsia" w:ascii="仿宋" w:hAnsi="仿宋" w:eastAsia="仿宋" w:cs="仿宋"/>
          <w:b/>
          <w:bCs/>
          <w:sz w:val="32"/>
          <w:szCs w:val="32"/>
          <w:lang w:val="en-US" w:eastAsia="zh-CN"/>
        </w:rPr>
      </w:pPr>
    </w:p>
    <w:p>
      <w:pPr>
        <w:jc w:val="center"/>
        <w:rPr>
          <w:rFonts w:hint="eastAsia" w:ascii="仿宋" w:hAnsi="仿宋" w:eastAsia="仿宋" w:cs="仿宋"/>
          <w:sz w:val="44"/>
          <w:szCs w:val="44"/>
        </w:rPr>
      </w:pPr>
      <w:r>
        <w:rPr>
          <w:rFonts w:hint="eastAsia" w:ascii="仿宋" w:hAnsi="仿宋" w:eastAsia="仿宋" w:cs="仿宋"/>
          <w:b/>
          <w:bCs/>
          <w:sz w:val="40"/>
          <w:szCs w:val="40"/>
        </w:rPr>
        <w:t>政府采购融资畅通工程金融机构联系信息表</w:t>
      </w:r>
    </w:p>
    <w:p>
      <w:pPr>
        <w:rPr>
          <w:rFonts w:hint="eastAsia" w:ascii="仿宋" w:hAnsi="仿宋" w:eastAsia="仿宋" w:cs="仿宋"/>
          <w:sz w:val="44"/>
          <w:szCs w:val="44"/>
        </w:rPr>
      </w:pPr>
    </w:p>
    <w:tbl>
      <w:tblPr>
        <w:tblStyle w:val="62"/>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金融机构各称</w:t>
            </w:r>
          </w:p>
        </w:tc>
        <w:tc>
          <w:tcPr>
            <w:tcW w:w="14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44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77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南</w:t>
            </w:r>
            <w:r>
              <w:rPr>
                <w:rFonts w:hint="eastAsia" w:ascii="仿宋" w:hAnsi="仿宋" w:eastAsia="仿宋" w:cs="仿宋"/>
                <w:color w:val="030303"/>
                <w:sz w:val="28"/>
                <w:szCs w:val="28"/>
                <w:shd w:val="clear" w:color="auto" w:fill="FFFFFF"/>
              </w:rPr>
              <w:t>浔银行</w:t>
            </w:r>
          </w:p>
        </w:tc>
        <w:tc>
          <w:tcPr>
            <w:tcW w:w="142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方薇</w:t>
            </w:r>
          </w:p>
        </w:tc>
        <w:tc>
          <w:tcPr>
            <w:tcW w:w="2444" w:type="dxa"/>
            <w:tcBorders>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13868003773</w:t>
            </w:r>
          </w:p>
        </w:tc>
        <w:tc>
          <w:tcPr>
            <w:tcW w:w="2775" w:type="dxa"/>
            <w:tcBorders>
              <w:bottom w:val="single" w:color="auto" w:sz="4" w:space="0"/>
            </w:tcBorders>
            <w:vAlign w:val="center"/>
          </w:tcPr>
          <w:p>
            <w:pPr>
              <w:pStyle w:val="57"/>
              <w:jc w:val="center"/>
              <w:rPr>
                <w:rFonts w:hint="eastAsia" w:ascii="仿宋" w:hAnsi="仿宋" w:eastAsia="仿宋" w:cs="仿宋"/>
                <w:sz w:val="28"/>
                <w:szCs w:val="28"/>
              </w:rPr>
            </w:pPr>
            <w:r>
              <w:rPr>
                <w:rFonts w:hint="eastAsia" w:ascii="仿宋" w:hAnsi="仿宋" w:eastAsia="仿宋" w:cs="仿宋"/>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浦发银行临安分行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沈</w:t>
            </w:r>
            <w:r>
              <w:rPr>
                <w:rFonts w:hint="eastAsia" w:ascii="仿宋" w:hAnsi="仿宋" w:eastAsia="仿宋" w:cs="仿宋"/>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61092936</w:t>
            </w:r>
          </w:p>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金林妹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临安中信村镇银行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吕祎</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石镜街777号</w:t>
            </w:r>
          </w:p>
        </w:tc>
      </w:tr>
    </w:tbl>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24"/>
        <w:rPr>
          <w:rFonts w:hint="eastAsia" w:ascii="仿宋" w:hAnsi="仿宋" w:eastAsia="仿宋" w:cs="仿宋"/>
          <w:b/>
          <w:bCs/>
          <w:sz w:val="24"/>
        </w:rPr>
      </w:pPr>
    </w:p>
    <w:p/>
    <w:sectPr>
      <w:headerReference r:id="rId17" w:type="first"/>
      <w:footerReference r:id="rId20" w:type="first"/>
      <w:headerReference r:id="rId16" w:type="default"/>
      <w:footerReference r:id="rId18" w:type="default"/>
      <w:footerReference r:id="rId19" w:type="even"/>
      <w:pgSz w:w="11906" w:h="16838"/>
      <w:pgMar w:top="1440" w:right="1417" w:bottom="1440" w:left="141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Segoe Print"/>
    <w:panose1 w:val="020B0502020202020204"/>
    <w:charset w:val="00"/>
    <w:family w:val="swiss"/>
    <w:pitch w:val="default"/>
    <w:sig w:usb0="00000000"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Aldine401 BT">
    <w:altName w:val="Courier New"/>
    <w:panose1 w:val="00000000000000000000"/>
    <w:charset w:val="00"/>
    <w:family w:val="roman"/>
    <w:pitch w:val="default"/>
    <w:sig w:usb0="00000000" w:usb1="00000000" w:usb2="00000000" w:usb3="00000000" w:csb0="0000001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16" w:usb3="00000000" w:csb0="0004000F" w:csb1="00000000"/>
  </w:font>
  <w:font w:name="MS Gothic">
    <w:panose1 w:val="020B0609070205080204"/>
    <w:charset w:val="80"/>
    <w:family w:val="swiss"/>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Trebuchet MS">
    <w:panose1 w:val="020B0603020202020204"/>
    <w:charset w:val="00"/>
    <w:family w:val="auto"/>
    <w:pitch w:val="default"/>
    <w:sig w:usb0="000002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71"/>
      </w:rPr>
    </w:pPr>
    <w:r>
      <w:fldChar w:fldCharType="begin"/>
    </w:r>
    <w:r>
      <w:rPr>
        <w:rStyle w:val="71"/>
      </w:rPr>
      <w:instrText xml:space="preserve">PAGE  </w:instrTex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71"/>
      </w:rPr>
    </w:pPr>
    <w:r>
      <w:fldChar w:fldCharType="begin"/>
    </w:r>
    <w:r>
      <w:rPr>
        <w:rStyle w:val="71"/>
      </w:rPr>
      <w:instrText xml:space="preserve">PAGE  </w:instrText>
    </w:r>
    <w:r>
      <w:fldChar w:fldCharType="end"/>
    </w:r>
  </w:p>
  <w:p>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t xml:space="preserve">                                                           杭州市</w:t>
    </w:r>
    <w:r>
      <w:rPr>
        <w:rFonts w:hint="eastAsia"/>
        <w:lang w:eastAsia="zh-CN"/>
      </w:rPr>
      <w:t>临安区</w:t>
    </w:r>
    <w:r>
      <w:rPr>
        <w:rFonts w:hint="eastAsia"/>
      </w:rPr>
      <w:t>政府采购公开招标文件</w:t>
    </w:r>
  </w:p>
  <w:p>
    <w:pPr>
      <w:pStyle w:val="58"/>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杭州市临安区政府采购公开招标文件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u w:val="single"/>
      </w:rPr>
    </w:pPr>
    <w:r>
      <w:t></w:t>
    </w:r>
    <w:r>
      <w:rPr>
        <w:rFonts w:hint="eastAsia"/>
      </w:rPr>
      <w:t xml:space="preserve">                                                  杭州市</w:t>
    </w:r>
    <w:r>
      <w:rPr>
        <w:rFonts w:hint="eastAsia"/>
        <w:lang w:eastAsia="zh-CN"/>
      </w:rPr>
      <w:t>临安区</w:t>
    </w:r>
    <w:r>
      <w:rPr>
        <w:rFonts w:hint="eastAsia"/>
      </w:rP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t></w:t>
    </w:r>
    <w:r>
      <w:rPr>
        <w:rFonts w:hint="eastAsia"/>
      </w:rPr>
      <w:t xml:space="preserve">    </w:t>
    </w:r>
  </w:p>
  <w:p>
    <w:pPr>
      <w:pStyle w:val="39"/>
    </w:pPr>
    <w:r>
      <w:rPr>
        <w:rFonts w:hint="eastAsia"/>
      </w:rPr>
      <w:t xml:space="preserve">                                                                杭州市</w:t>
    </w:r>
    <w:r>
      <w:rPr>
        <w:rFonts w:hint="eastAsia"/>
        <w:lang w:eastAsia="zh-CN"/>
      </w:rPr>
      <w:t>临安区</w:t>
    </w:r>
    <w:r>
      <w:rPr>
        <w:rFonts w:hint="eastAsia"/>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u w:val="single"/>
      </w:rPr>
    </w:pPr>
    <w:r>
      <w:t></w:t>
    </w:r>
    <w:r>
      <w:rPr>
        <w:rFonts w:hint="eastAsia"/>
        <w:lang w:val="en-US" w:eastAsia="zh-CN"/>
      </w:rPr>
      <w:t xml:space="preserve">                                        </w:t>
    </w:r>
    <w:r>
      <w:t>杭州市</w:t>
    </w:r>
    <w:r>
      <w:rPr>
        <w:rFonts w:hint="eastAsia"/>
        <w:lang w:eastAsia="zh-CN"/>
      </w:rPr>
      <w:t>临安区</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t></w:t>
    </w:r>
    <w:r>
      <w:rPr>
        <w:rFonts w:hint="eastAsia"/>
        <w:lang w:val="en-US" w:eastAsia="zh-CN"/>
      </w:rPr>
      <w:t xml:space="preserve">                </w:t>
    </w:r>
    <w:r>
      <w:rPr>
        <w:rFonts w:hint="eastAsia"/>
      </w:rPr>
      <w:t>杭州市</w:t>
    </w:r>
    <w:r>
      <w:rPr>
        <w:rFonts w:hint="eastAsia"/>
        <w:lang w:eastAsia="zh-CN"/>
      </w:rPr>
      <w:t>临安区</w:t>
    </w:r>
    <w:r>
      <w:rPr>
        <w:rFonts w:hint="eastAsia"/>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iCs/>
        <w:u w:val="single"/>
      </w:rPr>
    </w:pPr>
    <w:r>
      <w:rPr>
        <w:rFonts w:hint="eastAsia"/>
      </w:rPr>
      <w:t xml:space="preserve">                                                            杭州市</w:t>
    </w:r>
    <w:r>
      <w:rPr>
        <w:rFonts w:hint="eastAsia"/>
        <w:lang w:eastAsia="zh-CN"/>
      </w:rPr>
      <w:t>临安区</w:t>
    </w:r>
    <w:r>
      <w:rPr>
        <w:rFonts w:hint="eastAsia"/>
      </w:rP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t xml:space="preserve">                                                               杭州市</w:t>
    </w:r>
    <w:r>
      <w:rPr>
        <w:rFonts w:hint="eastAsia"/>
        <w:lang w:eastAsia="zh-CN"/>
      </w:rPr>
      <w:t>临安区</w:t>
    </w:r>
    <w:r>
      <w:rPr>
        <w:rFonts w:hint="eastAsia"/>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82084"/>
    <w:multiLevelType w:val="singleLevel"/>
    <w:tmpl w:val="80B82084"/>
    <w:lvl w:ilvl="0" w:tentative="0">
      <w:start w:val="1"/>
      <w:numFmt w:val="decimal"/>
      <w:lvlText w:val="%1."/>
      <w:lvlJc w:val="left"/>
      <w:pPr>
        <w:tabs>
          <w:tab w:val="left" w:pos="312"/>
        </w:tabs>
      </w:pPr>
    </w:lvl>
  </w:abstractNum>
  <w:abstractNum w:abstractNumId="1">
    <w:nsid w:val="818B2B11"/>
    <w:multiLevelType w:val="singleLevel"/>
    <w:tmpl w:val="818B2B11"/>
    <w:lvl w:ilvl="0" w:tentative="0">
      <w:start w:val="1"/>
      <w:numFmt w:val="decimal"/>
      <w:lvlText w:val="(%1)"/>
      <w:lvlJc w:val="left"/>
      <w:pPr>
        <w:tabs>
          <w:tab w:val="left" w:pos="-108"/>
        </w:tabs>
        <w:ind w:left="-420"/>
      </w:pPr>
    </w:lvl>
  </w:abstractNum>
  <w:abstractNum w:abstractNumId="2">
    <w:nsid w:val="86D5117F"/>
    <w:multiLevelType w:val="singleLevel"/>
    <w:tmpl w:val="86D5117F"/>
    <w:lvl w:ilvl="0" w:tentative="0">
      <w:start w:val="1"/>
      <w:numFmt w:val="decimal"/>
      <w:lvlText w:val="(%1)"/>
      <w:lvlJc w:val="left"/>
      <w:pPr>
        <w:ind w:left="425" w:hanging="425"/>
      </w:pPr>
      <w:rPr>
        <w:rFonts w:hint="default"/>
      </w:rPr>
    </w:lvl>
  </w:abstractNum>
  <w:abstractNum w:abstractNumId="3">
    <w:nsid w:val="893A4CC5"/>
    <w:multiLevelType w:val="singleLevel"/>
    <w:tmpl w:val="893A4CC5"/>
    <w:lvl w:ilvl="0" w:tentative="0">
      <w:start w:val="1"/>
      <w:numFmt w:val="decimal"/>
      <w:lvlText w:val="(%1)"/>
      <w:lvlJc w:val="left"/>
      <w:pPr>
        <w:tabs>
          <w:tab w:val="left" w:pos="312"/>
        </w:tabs>
      </w:pPr>
    </w:lvl>
  </w:abstractNum>
  <w:abstractNum w:abstractNumId="4">
    <w:nsid w:val="8B19F16E"/>
    <w:multiLevelType w:val="singleLevel"/>
    <w:tmpl w:val="8B19F16E"/>
    <w:lvl w:ilvl="0" w:tentative="0">
      <w:start w:val="1"/>
      <w:numFmt w:val="decimal"/>
      <w:lvlText w:val="%1."/>
      <w:lvlJc w:val="left"/>
      <w:pPr>
        <w:tabs>
          <w:tab w:val="left" w:pos="312"/>
        </w:tabs>
      </w:pPr>
    </w:lvl>
  </w:abstractNum>
  <w:abstractNum w:abstractNumId="5">
    <w:nsid w:val="9A6FB5D4"/>
    <w:multiLevelType w:val="singleLevel"/>
    <w:tmpl w:val="9A6FB5D4"/>
    <w:lvl w:ilvl="0" w:tentative="0">
      <w:start w:val="1"/>
      <w:numFmt w:val="decimal"/>
      <w:suff w:val="space"/>
      <w:lvlText w:val="(%1)"/>
      <w:lvlJc w:val="left"/>
      <w:rPr>
        <w:rFonts w:hint="default"/>
        <w:b w:val="0"/>
        <w:bCs w:val="0"/>
      </w:rPr>
    </w:lvl>
  </w:abstractNum>
  <w:abstractNum w:abstractNumId="6">
    <w:nsid w:val="A442C794"/>
    <w:multiLevelType w:val="singleLevel"/>
    <w:tmpl w:val="A442C794"/>
    <w:lvl w:ilvl="0" w:tentative="0">
      <w:start w:val="1"/>
      <w:numFmt w:val="decimal"/>
      <w:lvlText w:val="(%1)"/>
      <w:lvlJc w:val="left"/>
      <w:pPr>
        <w:tabs>
          <w:tab w:val="left" w:pos="-108"/>
        </w:tabs>
        <w:ind w:left="-420"/>
      </w:pPr>
    </w:lvl>
  </w:abstractNum>
  <w:abstractNum w:abstractNumId="7">
    <w:nsid w:val="A619729C"/>
    <w:multiLevelType w:val="singleLevel"/>
    <w:tmpl w:val="A619729C"/>
    <w:lvl w:ilvl="0" w:tentative="0">
      <w:start w:val="1"/>
      <w:numFmt w:val="decimal"/>
      <w:lvlText w:val="(%1)"/>
      <w:lvlJc w:val="left"/>
      <w:pPr>
        <w:tabs>
          <w:tab w:val="left" w:pos="312"/>
        </w:tabs>
      </w:pPr>
    </w:lvl>
  </w:abstractNum>
  <w:abstractNum w:abstractNumId="8">
    <w:nsid w:val="A8286856"/>
    <w:multiLevelType w:val="singleLevel"/>
    <w:tmpl w:val="A8286856"/>
    <w:lvl w:ilvl="0" w:tentative="0">
      <w:start w:val="1"/>
      <w:numFmt w:val="decimal"/>
      <w:lvlText w:val="(%1)"/>
      <w:lvlJc w:val="left"/>
      <w:pPr>
        <w:tabs>
          <w:tab w:val="left" w:pos="312"/>
        </w:tabs>
      </w:pPr>
    </w:lvl>
  </w:abstractNum>
  <w:abstractNum w:abstractNumId="9">
    <w:nsid w:val="ADAC3F8C"/>
    <w:multiLevelType w:val="singleLevel"/>
    <w:tmpl w:val="ADAC3F8C"/>
    <w:lvl w:ilvl="0" w:tentative="0">
      <w:start w:val="1"/>
      <w:numFmt w:val="decimal"/>
      <w:lvlText w:val="(%1)"/>
      <w:lvlJc w:val="left"/>
      <w:pPr>
        <w:tabs>
          <w:tab w:val="left" w:pos="-108"/>
        </w:tabs>
        <w:ind w:left="-420"/>
      </w:pPr>
    </w:lvl>
  </w:abstractNum>
  <w:abstractNum w:abstractNumId="10">
    <w:nsid w:val="B0BB4311"/>
    <w:multiLevelType w:val="singleLevel"/>
    <w:tmpl w:val="B0BB4311"/>
    <w:lvl w:ilvl="0" w:tentative="0">
      <w:start w:val="1"/>
      <w:numFmt w:val="decimal"/>
      <w:lvlText w:val="(%1)"/>
      <w:lvlJc w:val="left"/>
      <w:pPr>
        <w:ind w:left="425" w:hanging="425"/>
      </w:pPr>
      <w:rPr>
        <w:rFonts w:hint="default"/>
      </w:rPr>
    </w:lvl>
  </w:abstractNum>
  <w:abstractNum w:abstractNumId="11">
    <w:nsid w:val="B44FCC8F"/>
    <w:multiLevelType w:val="singleLevel"/>
    <w:tmpl w:val="B44FCC8F"/>
    <w:lvl w:ilvl="0" w:tentative="0">
      <w:start w:val="1"/>
      <w:numFmt w:val="decimal"/>
      <w:lvlText w:val="%1."/>
      <w:lvlJc w:val="left"/>
      <w:pPr>
        <w:tabs>
          <w:tab w:val="left" w:pos="312"/>
        </w:tabs>
      </w:pPr>
    </w:lvl>
  </w:abstractNum>
  <w:abstractNum w:abstractNumId="12">
    <w:nsid w:val="C2E713EA"/>
    <w:multiLevelType w:val="singleLevel"/>
    <w:tmpl w:val="C2E713EA"/>
    <w:lvl w:ilvl="0" w:tentative="0">
      <w:start w:val="1"/>
      <w:numFmt w:val="decimal"/>
      <w:lvlText w:val="(%1)"/>
      <w:lvlJc w:val="left"/>
      <w:pPr>
        <w:tabs>
          <w:tab w:val="left" w:pos="312"/>
        </w:tabs>
      </w:pPr>
    </w:lvl>
  </w:abstractNum>
  <w:abstractNum w:abstractNumId="13">
    <w:nsid w:val="C6232B52"/>
    <w:multiLevelType w:val="singleLevel"/>
    <w:tmpl w:val="C6232B52"/>
    <w:lvl w:ilvl="0" w:tentative="0">
      <w:start w:val="1"/>
      <w:numFmt w:val="chineseCounting"/>
      <w:suff w:val="nothing"/>
      <w:lvlText w:val="（%1）"/>
      <w:lvlJc w:val="left"/>
      <w:rPr>
        <w:rFonts w:hint="eastAsia"/>
      </w:rPr>
    </w:lvl>
  </w:abstractNum>
  <w:abstractNum w:abstractNumId="14">
    <w:nsid w:val="C6475936"/>
    <w:multiLevelType w:val="singleLevel"/>
    <w:tmpl w:val="C6475936"/>
    <w:lvl w:ilvl="0" w:tentative="0">
      <w:start w:val="1"/>
      <w:numFmt w:val="decimal"/>
      <w:suff w:val="space"/>
      <w:lvlText w:val="(%1)"/>
      <w:lvlJc w:val="left"/>
      <w:rPr>
        <w:rFonts w:hint="default"/>
        <w:b w:val="0"/>
        <w:bCs w:val="0"/>
      </w:rPr>
    </w:lvl>
  </w:abstractNum>
  <w:abstractNum w:abstractNumId="15">
    <w:nsid w:val="CA7FF757"/>
    <w:multiLevelType w:val="singleLevel"/>
    <w:tmpl w:val="CA7FF757"/>
    <w:lvl w:ilvl="0" w:tentative="0">
      <w:start w:val="1"/>
      <w:numFmt w:val="decimal"/>
      <w:suff w:val="space"/>
      <w:lvlText w:val="(%1)"/>
      <w:lvlJc w:val="left"/>
      <w:rPr>
        <w:rFonts w:hint="default"/>
        <w:b w:val="0"/>
        <w:bCs w:val="0"/>
      </w:rPr>
    </w:lvl>
  </w:abstractNum>
  <w:abstractNum w:abstractNumId="16">
    <w:nsid w:val="CEC715BD"/>
    <w:multiLevelType w:val="singleLevel"/>
    <w:tmpl w:val="CEC715BD"/>
    <w:lvl w:ilvl="0" w:tentative="0">
      <w:start w:val="1"/>
      <w:numFmt w:val="decimal"/>
      <w:suff w:val="space"/>
      <w:lvlText w:val="(%1)"/>
      <w:lvlJc w:val="left"/>
      <w:rPr>
        <w:rFonts w:hint="default"/>
        <w:b w:val="0"/>
        <w:bCs w:val="0"/>
      </w:rPr>
    </w:lvl>
  </w:abstractNum>
  <w:abstractNum w:abstractNumId="17">
    <w:nsid w:val="CF63D13D"/>
    <w:multiLevelType w:val="singleLevel"/>
    <w:tmpl w:val="CF63D13D"/>
    <w:lvl w:ilvl="0" w:tentative="0">
      <w:start w:val="1"/>
      <w:numFmt w:val="decimal"/>
      <w:suff w:val="space"/>
      <w:lvlText w:val="(%1)"/>
      <w:lvlJc w:val="left"/>
      <w:rPr>
        <w:rFonts w:hint="default"/>
        <w:b w:val="0"/>
        <w:bCs w:val="0"/>
      </w:rPr>
    </w:lvl>
  </w:abstractNum>
  <w:abstractNum w:abstractNumId="18">
    <w:nsid w:val="CF8DB041"/>
    <w:multiLevelType w:val="singleLevel"/>
    <w:tmpl w:val="CF8DB041"/>
    <w:lvl w:ilvl="0" w:tentative="0">
      <w:start w:val="1"/>
      <w:numFmt w:val="decimal"/>
      <w:lvlText w:val="(%1)"/>
      <w:lvlJc w:val="left"/>
      <w:pPr>
        <w:tabs>
          <w:tab w:val="left" w:pos="312"/>
        </w:tabs>
      </w:pPr>
    </w:lvl>
  </w:abstractNum>
  <w:abstractNum w:abstractNumId="19">
    <w:nsid w:val="D265E3A7"/>
    <w:multiLevelType w:val="singleLevel"/>
    <w:tmpl w:val="D265E3A7"/>
    <w:lvl w:ilvl="0" w:tentative="0">
      <w:start w:val="1"/>
      <w:numFmt w:val="decimal"/>
      <w:lvlText w:val="(%1)"/>
      <w:lvlJc w:val="left"/>
      <w:pPr>
        <w:tabs>
          <w:tab w:val="left" w:pos="312"/>
        </w:tabs>
      </w:pPr>
    </w:lvl>
  </w:abstractNum>
  <w:abstractNum w:abstractNumId="20">
    <w:nsid w:val="E51A171E"/>
    <w:multiLevelType w:val="singleLevel"/>
    <w:tmpl w:val="E51A171E"/>
    <w:lvl w:ilvl="0" w:tentative="0">
      <w:start w:val="1"/>
      <w:numFmt w:val="decimal"/>
      <w:lvlText w:val="(%1)"/>
      <w:lvlJc w:val="left"/>
      <w:pPr>
        <w:tabs>
          <w:tab w:val="left" w:pos="312"/>
        </w:tabs>
      </w:pPr>
    </w:lvl>
  </w:abstractNum>
  <w:abstractNum w:abstractNumId="21">
    <w:nsid w:val="E551887D"/>
    <w:multiLevelType w:val="singleLevel"/>
    <w:tmpl w:val="E551887D"/>
    <w:lvl w:ilvl="0" w:tentative="0">
      <w:start w:val="1"/>
      <w:numFmt w:val="decimal"/>
      <w:lvlText w:val="%1."/>
      <w:lvlJc w:val="left"/>
      <w:pPr>
        <w:tabs>
          <w:tab w:val="left" w:pos="312"/>
        </w:tabs>
      </w:pPr>
    </w:lvl>
  </w:abstractNum>
  <w:abstractNum w:abstractNumId="22">
    <w:nsid w:val="E8D90291"/>
    <w:multiLevelType w:val="singleLevel"/>
    <w:tmpl w:val="E8D90291"/>
    <w:lvl w:ilvl="0" w:tentative="0">
      <w:start w:val="1"/>
      <w:numFmt w:val="decimal"/>
      <w:lvlText w:val="(%1)"/>
      <w:lvlJc w:val="left"/>
      <w:pPr>
        <w:tabs>
          <w:tab w:val="left" w:pos="-108"/>
        </w:tabs>
        <w:ind w:left="-420"/>
      </w:pPr>
    </w:lvl>
  </w:abstractNum>
  <w:abstractNum w:abstractNumId="23">
    <w:nsid w:val="EEB57E4F"/>
    <w:multiLevelType w:val="singleLevel"/>
    <w:tmpl w:val="EEB57E4F"/>
    <w:lvl w:ilvl="0" w:tentative="0">
      <w:start w:val="1"/>
      <w:numFmt w:val="decimal"/>
      <w:lvlText w:val="(%1)"/>
      <w:lvlJc w:val="left"/>
      <w:pPr>
        <w:tabs>
          <w:tab w:val="left" w:pos="312"/>
        </w:tabs>
      </w:pPr>
    </w:lvl>
  </w:abstractNum>
  <w:abstractNum w:abstractNumId="24">
    <w:nsid w:val="EF2ABC5D"/>
    <w:multiLevelType w:val="singleLevel"/>
    <w:tmpl w:val="EF2ABC5D"/>
    <w:lvl w:ilvl="0" w:tentative="0">
      <w:start w:val="1"/>
      <w:numFmt w:val="decimal"/>
      <w:lvlText w:val="(%1)"/>
      <w:lvlJc w:val="left"/>
      <w:pPr>
        <w:tabs>
          <w:tab w:val="left" w:pos="312"/>
        </w:tabs>
      </w:pPr>
    </w:lvl>
  </w:abstractNum>
  <w:abstractNum w:abstractNumId="25">
    <w:nsid w:val="FCA11767"/>
    <w:multiLevelType w:val="singleLevel"/>
    <w:tmpl w:val="FCA11767"/>
    <w:lvl w:ilvl="0" w:tentative="0">
      <w:start w:val="1"/>
      <w:numFmt w:val="decimal"/>
      <w:lvlText w:val="(%1)"/>
      <w:lvlJc w:val="left"/>
      <w:pPr>
        <w:tabs>
          <w:tab w:val="left" w:pos="312"/>
        </w:tabs>
      </w:pPr>
    </w:lvl>
  </w:abstractNum>
  <w:abstractNum w:abstractNumId="26">
    <w:nsid w:val="FFE6D88A"/>
    <w:multiLevelType w:val="singleLevel"/>
    <w:tmpl w:val="FFE6D88A"/>
    <w:lvl w:ilvl="0" w:tentative="0">
      <w:start w:val="1"/>
      <w:numFmt w:val="decimal"/>
      <w:lvlText w:val="(%1)"/>
      <w:lvlJc w:val="left"/>
      <w:pPr>
        <w:tabs>
          <w:tab w:val="left" w:pos="312"/>
        </w:tabs>
      </w:pPr>
    </w:lvl>
  </w:abstractNum>
  <w:abstractNum w:abstractNumId="27">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8">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57"/>
      <w:lvlText w:val=""/>
      <w:lvlJc w:val="left"/>
      <w:pPr>
        <w:tabs>
          <w:tab w:val="left" w:pos="1260"/>
        </w:tabs>
        <w:ind w:left="1260" w:hanging="420"/>
      </w:pPr>
      <w:rPr>
        <w:rFonts w:hint="default" w:ascii="Wingdings" w:hAnsi="Wingdings"/>
      </w:rPr>
    </w:lvl>
    <w:lvl w:ilvl="2" w:tentative="0">
      <w:start w:val="1"/>
      <w:numFmt w:val="bullet"/>
      <w:pStyle w:val="338"/>
      <w:lvlText w:val=""/>
      <w:lvlJc w:val="left"/>
      <w:pPr>
        <w:tabs>
          <w:tab w:val="left" w:pos="1680"/>
        </w:tabs>
        <w:ind w:left="1680" w:hanging="420"/>
      </w:pPr>
      <w:rPr>
        <w:rFonts w:hint="default" w:ascii="Wingdings" w:hAnsi="Wingdings"/>
      </w:rPr>
    </w:lvl>
    <w:lvl w:ilvl="3" w:tentative="0">
      <w:start w:val="1"/>
      <w:numFmt w:val="bullet"/>
      <w:pStyle w:val="355"/>
      <w:lvlText w:val=""/>
      <w:lvlJc w:val="left"/>
      <w:pPr>
        <w:tabs>
          <w:tab w:val="left" w:pos="2100"/>
        </w:tabs>
        <w:ind w:left="2100" w:hanging="420"/>
      </w:pPr>
      <w:rPr>
        <w:rFonts w:hint="default" w:ascii="Wingdings" w:hAnsi="Wingdings"/>
      </w:rPr>
    </w:lvl>
    <w:lvl w:ilvl="4" w:tentative="0">
      <w:start w:val="1"/>
      <w:numFmt w:val="bullet"/>
      <w:pStyle w:val="422"/>
      <w:lvlText w:val=""/>
      <w:lvlJc w:val="left"/>
      <w:pPr>
        <w:tabs>
          <w:tab w:val="left" w:pos="2520"/>
        </w:tabs>
        <w:ind w:left="2520" w:hanging="420"/>
      </w:pPr>
      <w:rPr>
        <w:rFonts w:hint="default" w:ascii="Wingdings" w:hAnsi="Wingdings"/>
      </w:rPr>
    </w:lvl>
    <w:lvl w:ilvl="5" w:tentative="0">
      <w:start w:val="1"/>
      <w:numFmt w:val="bullet"/>
      <w:pStyle w:val="490"/>
      <w:lvlText w:val=""/>
      <w:lvlJc w:val="left"/>
      <w:pPr>
        <w:tabs>
          <w:tab w:val="left" w:pos="2940"/>
        </w:tabs>
        <w:ind w:left="2940" w:hanging="420"/>
      </w:pPr>
      <w:rPr>
        <w:rFonts w:hint="default" w:ascii="Wingdings" w:hAnsi="Wingdings"/>
      </w:rPr>
    </w:lvl>
    <w:lvl w:ilvl="6" w:tentative="0">
      <w:start w:val="1"/>
      <w:numFmt w:val="bullet"/>
      <w:pStyle w:val="489"/>
      <w:lvlText w:val=""/>
      <w:lvlJc w:val="left"/>
      <w:pPr>
        <w:tabs>
          <w:tab w:val="left" w:pos="3360"/>
        </w:tabs>
        <w:ind w:left="3360" w:hanging="420"/>
      </w:pPr>
      <w:rPr>
        <w:rFonts w:hint="default" w:ascii="Wingdings" w:hAnsi="Wingdings"/>
      </w:rPr>
    </w:lvl>
    <w:lvl w:ilvl="7" w:tentative="0">
      <w:start w:val="1"/>
      <w:numFmt w:val="bullet"/>
      <w:pStyle w:val="567"/>
      <w:lvlText w:val=""/>
      <w:lvlJc w:val="left"/>
      <w:pPr>
        <w:tabs>
          <w:tab w:val="left" w:pos="3780"/>
        </w:tabs>
        <w:ind w:left="3780" w:hanging="420"/>
      </w:pPr>
      <w:rPr>
        <w:rFonts w:hint="default" w:ascii="Wingdings" w:hAnsi="Wingdings"/>
      </w:rPr>
    </w:lvl>
    <w:lvl w:ilvl="8" w:tentative="0">
      <w:start w:val="1"/>
      <w:numFmt w:val="bullet"/>
      <w:pStyle w:val="562"/>
      <w:lvlText w:val=""/>
      <w:lvlJc w:val="left"/>
      <w:pPr>
        <w:tabs>
          <w:tab w:val="left" w:pos="4200"/>
        </w:tabs>
        <w:ind w:left="4200" w:hanging="420"/>
      </w:pPr>
      <w:rPr>
        <w:rFonts w:hint="default" w:ascii="Wingdings" w:hAnsi="Wingdings"/>
      </w:rPr>
    </w:lvl>
  </w:abstractNum>
  <w:abstractNum w:abstractNumId="29">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0">
    <w:nsid w:val="011F3D51"/>
    <w:multiLevelType w:val="multilevel"/>
    <w:tmpl w:val="011F3D51"/>
    <w:lvl w:ilvl="0" w:tentative="0">
      <w:start w:val="1"/>
      <w:numFmt w:val="decimal"/>
      <w:pStyle w:val="855"/>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pStyle w:val="856"/>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1">
    <w:nsid w:val="06AA7A8A"/>
    <w:multiLevelType w:val="singleLevel"/>
    <w:tmpl w:val="06AA7A8A"/>
    <w:lvl w:ilvl="0" w:tentative="0">
      <w:start w:val="1"/>
      <w:numFmt w:val="decimal"/>
      <w:lvlText w:val="(%1)"/>
      <w:lvlJc w:val="left"/>
      <w:pPr>
        <w:tabs>
          <w:tab w:val="left" w:pos="312"/>
        </w:tabs>
      </w:pPr>
    </w:lvl>
  </w:abstractNum>
  <w:abstractNum w:abstractNumId="32">
    <w:nsid w:val="0D024FDC"/>
    <w:multiLevelType w:val="singleLevel"/>
    <w:tmpl w:val="0D024FDC"/>
    <w:lvl w:ilvl="0" w:tentative="0">
      <w:start w:val="1"/>
      <w:numFmt w:val="decimal"/>
      <w:lvlText w:val="%1."/>
      <w:lvlJc w:val="left"/>
      <w:pPr>
        <w:tabs>
          <w:tab w:val="left" w:pos="312"/>
        </w:tabs>
      </w:pPr>
    </w:lvl>
  </w:abstractNum>
  <w:abstractNum w:abstractNumId="3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34">
    <w:nsid w:val="154D5271"/>
    <w:multiLevelType w:val="singleLevel"/>
    <w:tmpl w:val="154D5271"/>
    <w:lvl w:ilvl="0" w:tentative="0">
      <w:start w:val="1"/>
      <w:numFmt w:val="decimal"/>
      <w:lvlText w:val="%1."/>
      <w:lvlJc w:val="left"/>
      <w:pPr>
        <w:tabs>
          <w:tab w:val="left" w:pos="312"/>
        </w:tabs>
      </w:pPr>
    </w:lvl>
  </w:abstractNum>
  <w:abstractNum w:abstractNumId="35">
    <w:nsid w:val="17B61429"/>
    <w:multiLevelType w:val="singleLevel"/>
    <w:tmpl w:val="17B61429"/>
    <w:lvl w:ilvl="0" w:tentative="0">
      <w:start w:val="1"/>
      <w:numFmt w:val="decimal"/>
      <w:suff w:val="space"/>
      <w:lvlText w:val="(%1)"/>
      <w:lvlJc w:val="left"/>
      <w:rPr>
        <w:rFonts w:hint="default"/>
        <w:b w:val="0"/>
        <w:bCs w:val="0"/>
      </w:rPr>
    </w:lvl>
  </w:abstractNum>
  <w:abstractNum w:abstractNumId="36">
    <w:nsid w:val="1F967ACF"/>
    <w:multiLevelType w:val="singleLevel"/>
    <w:tmpl w:val="1F967ACF"/>
    <w:lvl w:ilvl="0" w:tentative="0">
      <w:start w:val="1"/>
      <w:numFmt w:val="decimal"/>
      <w:lvlText w:val="(%1)"/>
      <w:lvlJc w:val="left"/>
      <w:pPr>
        <w:tabs>
          <w:tab w:val="left" w:pos="312"/>
        </w:tabs>
      </w:pPr>
    </w:lvl>
  </w:abstractNum>
  <w:abstractNum w:abstractNumId="37">
    <w:nsid w:val="21E1920C"/>
    <w:multiLevelType w:val="singleLevel"/>
    <w:tmpl w:val="21E1920C"/>
    <w:lvl w:ilvl="0" w:tentative="0">
      <w:start w:val="1"/>
      <w:numFmt w:val="decimal"/>
      <w:suff w:val="space"/>
      <w:lvlText w:val="(%1)"/>
      <w:lvlJc w:val="left"/>
      <w:rPr>
        <w:rFonts w:hint="default"/>
        <w:b w:val="0"/>
        <w:bCs w:val="0"/>
      </w:rPr>
    </w:lvl>
  </w:abstractNum>
  <w:abstractNum w:abstractNumId="38">
    <w:nsid w:val="249910D6"/>
    <w:multiLevelType w:val="singleLevel"/>
    <w:tmpl w:val="249910D6"/>
    <w:lvl w:ilvl="0" w:tentative="0">
      <w:start w:val="1"/>
      <w:numFmt w:val="decimal"/>
      <w:lvlText w:val="(%1)"/>
      <w:lvlJc w:val="left"/>
      <w:pPr>
        <w:tabs>
          <w:tab w:val="left" w:pos="312"/>
        </w:tabs>
      </w:pPr>
    </w:lvl>
  </w:abstractNum>
  <w:abstractNum w:abstractNumId="39">
    <w:nsid w:val="2B918823"/>
    <w:multiLevelType w:val="singleLevel"/>
    <w:tmpl w:val="2B918823"/>
    <w:lvl w:ilvl="0" w:tentative="0">
      <w:start w:val="1"/>
      <w:numFmt w:val="decimal"/>
      <w:lvlText w:val="(%1)"/>
      <w:lvlJc w:val="left"/>
      <w:pPr>
        <w:tabs>
          <w:tab w:val="left" w:pos="-108"/>
        </w:tabs>
        <w:ind w:left="-420"/>
      </w:pPr>
    </w:lvl>
  </w:abstractNum>
  <w:abstractNum w:abstractNumId="40">
    <w:nsid w:val="2C6EC10E"/>
    <w:multiLevelType w:val="singleLevel"/>
    <w:tmpl w:val="2C6EC10E"/>
    <w:lvl w:ilvl="0" w:tentative="0">
      <w:start w:val="1"/>
      <w:numFmt w:val="decimal"/>
      <w:lvlText w:val="(%1)"/>
      <w:lvlJc w:val="left"/>
      <w:pPr>
        <w:tabs>
          <w:tab w:val="left" w:pos="312"/>
        </w:tabs>
      </w:pPr>
    </w:lvl>
  </w:abstractNum>
  <w:abstractNum w:abstractNumId="41">
    <w:nsid w:val="3023BA50"/>
    <w:multiLevelType w:val="singleLevel"/>
    <w:tmpl w:val="3023BA50"/>
    <w:lvl w:ilvl="0" w:tentative="0">
      <w:start w:val="1"/>
      <w:numFmt w:val="decimal"/>
      <w:lvlText w:val="(%1)"/>
      <w:lvlJc w:val="left"/>
      <w:pPr>
        <w:tabs>
          <w:tab w:val="left" w:pos="-108"/>
        </w:tabs>
        <w:ind w:left="-420"/>
      </w:pPr>
    </w:lvl>
  </w:abstractNum>
  <w:abstractNum w:abstractNumId="42">
    <w:nsid w:val="3026B4DA"/>
    <w:multiLevelType w:val="singleLevel"/>
    <w:tmpl w:val="3026B4DA"/>
    <w:lvl w:ilvl="0" w:tentative="0">
      <w:start w:val="1"/>
      <w:numFmt w:val="decimal"/>
      <w:suff w:val="space"/>
      <w:lvlText w:val="(%1)"/>
      <w:lvlJc w:val="left"/>
      <w:rPr>
        <w:rFonts w:hint="default"/>
        <w:b w:val="0"/>
        <w:bCs w:val="0"/>
      </w:rPr>
    </w:lvl>
  </w:abstractNum>
  <w:abstractNum w:abstractNumId="43">
    <w:nsid w:val="360831DB"/>
    <w:multiLevelType w:val="singleLevel"/>
    <w:tmpl w:val="360831DB"/>
    <w:lvl w:ilvl="0" w:tentative="0">
      <w:start w:val="1"/>
      <w:numFmt w:val="decimal"/>
      <w:suff w:val="space"/>
      <w:lvlText w:val="(%1)"/>
      <w:lvlJc w:val="left"/>
      <w:rPr>
        <w:rFonts w:hint="default"/>
        <w:b w:val="0"/>
        <w:bCs w:val="0"/>
      </w:rPr>
    </w:lvl>
  </w:abstractNum>
  <w:abstractNum w:abstractNumId="44">
    <w:nsid w:val="37CDF8D1"/>
    <w:multiLevelType w:val="singleLevel"/>
    <w:tmpl w:val="37CDF8D1"/>
    <w:lvl w:ilvl="0" w:tentative="0">
      <w:start w:val="1"/>
      <w:numFmt w:val="decimal"/>
      <w:lvlText w:val="(%1)"/>
      <w:lvlJc w:val="left"/>
      <w:pPr>
        <w:tabs>
          <w:tab w:val="left" w:pos="312"/>
        </w:tabs>
      </w:pPr>
    </w:lvl>
  </w:abstractNum>
  <w:abstractNum w:abstractNumId="45">
    <w:nsid w:val="393E74FA"/>
    <w:multiLevelType w:val="singleLevel"/>
    <w:tmpl w:val="393E74FA"/>
    <w:lvl w:ilvl="0" w:tentative="0">
      <w:start w:val="1"/>
      <w:numFmt w:val="decimal"/>
      <w:lvlText w:val="(%1)"/>
      <w:lvlJc w:val="left"/>
      <w:pPr>
        <w:tabs>
          <w:tab w:val="left" w:pos="-108"/>
        </w:tabs>
        <w:ind w:left="-420"/>
      </w:pPr>
    </w:lvl>
  </w:abstractNum>
  <w:abstractNum w:abstractNumId="46">
    <w:nsid w:val="42A68AB4"/>
    <w:multiLevelType w:val="singleLevel"/>
    <w:tmpl w:val="42A68AB4"/>
    <w:lvl w:ilvl="0" w:tentative="0">
      <w:start w:val="1"/>
      <w:numFmt w:val="decimal"/>
      <w:suff w:val="space"/>
      <w:lvlText w:val="(%1)"/>
      <w:lvlJc w:val="left"/>
      <w:rPr>
        <w:rFonts w:hint="default"/>
        <w:b w:val="0"/>
        <w:bCs w:val="0"/>
      </w:rPr>
    </w:lvl>
  </w:abstractNum>
  <w:abstractNum w:abstractNumId="47">
    <w:nsid w:val="4378C8E1"/>
    <w:multiLevelType w:val="singleLevel"/>
    <w:tmpl w:val="4378C8E1"/>
    <w:lvl w:ilvl="0" w:tentative="0">
      <w:start w:val="7"/>
      <w:numFmt w:val="chineseCounting"/>
      <w:suff w:val="nothing"/>
      <w:lvlText w:val="%1、"/>
      <w:lvlJc w:val="left"/>
      <w:rPr>
        <w:rFonts w:hint="eastAsia"/>
      </w:rPr>
    </w:lvl>
  </w:abstractNum>
  <w:abstractNum w:abstractNumId="48">
    <w:nsid w:val="4F75823B"/>
    <w:multiLevelType w:val="singleLevel"/>
    <w:tmpl w:val="4F75823B"/>
    <w:lvl w:ilvl="0" w:tentative="0">
      <w:start w:val="1"/>
      <w:numFmt w:val="decimal"/>
      <w:lvlText w:val="(%1)"/>
      <w:lvlJc w:val="left"/>
      <w:pPr>
        <w:tabs>
          <w:tab w:val="left" w:pos="312"/>
        </w:tabs>
      </w:pPr>
    </w:lvl>
  </w:abstractNum>
  <w:abstractNum w:abstractNumId="49">
    <w:nsid w:val="578B3BD2"/>
    <w:multiLevelType w:val="multilevel"/>
    <w:tmpl w:val="578B3BD2"/>
    <w:lvl w:ilvl="0" w:tentative="0">
      <w:start w:val="1"/>
      <w:numFmt w:val="decimal"/>
      <w:pStyle w:val="500"/>
      <w:lvlText w:val="%1"/>
      <w:lvlJc w:val="left"/>
      <w:pPr>
        <w:tabs>
          <w:tab w:val="left" w:pos="480"/>
        </w:tabs>
        <w:ind w:left="480" w:hanging="480"/>
      </w:pPr>
      <w:rPr>
        <w:rFonts w:hint="eastAsia"/>
        <w:sz w:val="44"/>
        <w:szCs w:val="44"/>
      </w:rPr>
    </w:lvl>
    <w:lvl w:ilvl="1" w:tentative="0">
      <w:start w:val="1"/>
      <w:numFmt w:val="decimal"/>
      <w:pStyle w:val="47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44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0">
    <w:nsid w:val="5AD67898"/>
    <w:multiLevelType w:val="singleLevel"/>
    <w:tmpl w:val="5AD67898"/>
    <w:lvl w:ilvl="0" w:tentative="0">
      <w:start w:val="1"/>
      <w:numFmt w:val="decimal"/>
      <w:suff w:val="space"/>
      <w:lvlText w:val="(%1)"/>
      <w:lvlJc w:val="left"/>
      <w:rPr>
        <w:rFonts w:hint="default"/>
        <w:b w:val="0"/>
        <w:bCs w:val="0"/>
      </w:rPr>
    </w:lvl>
  </w:abstractNum>
  <w:abstractNum w:abstractNumId="51">
    <w:nsid w:val="62A741C8"/>
    <w:multiLevelType w:val="singleLevel"/>
    <w:tmpl w:val="62A741C8"/>
    <w:lvl w:ilvl="0" w:tentative="0">
      <w:start w:val="1"/>
      <w:numFmt w:val="decimal"/>
      <w:lvlText w:val="(%1)"/>
      <w:lvlJc w:val="left"/>
      <w:pPr>
        <w:tabs>
          <w:tab w:val="left" w:pos="-108"/>
        </w:tabs>
        <w:ind w:left="-420"/>
      </w:pPr>
    </w:lvl>
  </w:abstractNum>
  <w:abstractNum w:abstractNumId="52">
    <w:nsid w:val="679DD528"/>
    <w:multiLevelType w:val="singleLevel"/>
    <w:tmpl w:val="679DD528"/>
    <w:lvl w:ilvl="0" w:tentative="0">
      <w:start w:val="1"/>
      <w:numFmt w:val="decimal"/>
      <w:lvlText w:val="%1."/>
      <w:lvlJc w:val="left"/>
      <w:pPr>
        <w:tabs>
          <w:tab w:val="left" w:pos="312"/>
        </w:tabs>
      </w:pPr>
    </w:lvl>
  </w:abstractNum>
  <w:abstractNum w:abstractNumId="53">
    <w:nsid w:val="6BF622BB"/>
    <w:multiLevelType w:val="singleLevel"/>
    <w:tmpl w:val="6BF622BB"/>
    <w:lvl w:ilvl="0" w:tentative="0">
      <w:start w:val="2"/>
      <w:numFmt w:val="chineseCounting"/>
      <w:suff w:val="nothing"/>
      <w:lvlText w:val="（%1）"/>
      <w:lvlJc w:val="left"/>
      <w:rPr>
        <w:rFonts w:hint="eastAsia"/>
      </w:rPr>
    </w:lvl>
  </w:abstractNum>
  <w:abstractNum w:abstractNumId="54">
    <w:nsid w:val="6DECD85F"/>
    <w:multiLevelType w:val="singleLevel"/>
    <w:tmpl w:val="6DECD85F"/>
    <w:lvl w:ilvl="0" w:tentative="0">
      <w:start w:val="1"/>
      <w:numFmt w:val="decimal"/>
      <w:lvlText w:val="(%1)"/>
      <w:lvlJc w:val="left"/>
      <w:pPr>
        <w:tabs>
          <w:tab w:val="left" w:pos="-108"/>
        </w:tabs>
        <w:ind w:left="-420"/>
      </w:pPr>
    </w:lvl>
  </w:abstractNum>
  <w:abstractNum w:abstractNumId="55">
    <w:nsid w:val="6E96A4C1"/>
    <w:multiLevelType w:val="singleLevel"/>
    <w:tmpl w:val="6E96A4C1"/>
    <w:lvl w:ilvl="0" w:tentative="0">
      <w:start w:val="2"/>
      <w:numFmt w:val="decimal"/>
      <w:suff w:val="nothing"/>
      <w:lvlText w:val="%1、"/>
      <w:lvlJc w:val="left"/>
    </w:lvl>
  </w:abstractNum>
  <w:abstractNum w:abstractNumId="56">
    <w:nsid w:val="73596DCC"/>
    <w:multiLevelType w:val="multilevel"/>
    <w:tmpl w:val="73596DCC"/>
    <w:lvl w:ilvl="0" w:tentative="0">
      <w:start w:val="1"/>
      <w:numFmt w:val="bullet"/>
      <w:pStyle w:val="50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7">
    <w:nsid w:val="76556E16"/>
    <w:multiLevelType w:val="singleLevel"/>
    <w:tmpl w:val="76556E16"/>
    <w:lvl w:ilvl="0" w:tentative="0">
      <w:start w:val="1"/>
      <w:numFmt w:val="decimal"/>
      <w:lvlText w:val="(%1)"/>
      <w:lvlJc w:val="left"/>
      <w:pPr>
        <w:tabs>
          <w:tab w:val="left" w:pos="312"/>
        </w:tabs>
      </w:pPr>
    </w:lvl>
  </w:abstractNum>
  <w:abstractNum w:abstractNumId="58">
    <w:nsid w:val="76D9F7F6"/>
    <w:multiLevelType w:val="singleLevel"/>
    <w:tmpl w:val="76D9F7F6"/>
    <w:lvl w:ilvl="0" w:tentative="0">
      <w:start w:val="1"/>
      <w:numFmt w:val="decimal"/>
      <w:suff w:val="space"/>
      <w:lvlText w:val="(%1)"/>
      <w:lvlJc w:val="left"/>
      <w:rPr>
        <w:rFonts w:hint="default"/>
        <w:b w:val="0"/>
        <w:bCs w:val="0"/>
      </w:rPr>
    </w:lvl>
  </w:abstractNum>
  <w:abstractNum w:abstractNumId="59">
    <w:nsid w:val="77AADAB2"/>
    <w:multiLevelType w:val="singleLevel"/>
    <w:tmpl w:val="77AADAB2"/>
    <w:lvl w:ilvl="0" w:tentative="0">
      <w:start w:val="1"/>
      <w:numFmt w:val="decimal"/>
      <w:lvlText w:val="(%1)"/>
      <w:lvlJc w:val="left"/>
      <w:pPr>
        <w:tabs>
          <w:tab w:val="left" w:pos="312"/>
        </w:tabs>
      </w:pPr>
    </w:lvl>
  </w:abstractNum>
  <w:abstractNum w:abstractNumId="60">
    <w:nsid w:val="7E265E1C"/>
    <w:multiLevelType w:val="multilevel"/>
    <w:tmpl w:val="7E265E1C"/>
    <w:lvl w:ilvl="0" w:tentative="0">
      <w:start w:val="1"/>
      <w:numFmt w:val="decimal"/>
      <w:pStyle w:val="23"/>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3"/>
  </w:num>
  <w:num w:numId="2">
    <w:abstractNumId w:val="29"/>
  </w:num>
  <w:num w:numId="3">
    <w:abstractNumId w:val="27"/>
  </w:num>
  <w:num w:numId="4">
    <w:abstractNumId w:val="60"/>
  </w:num>
  <w:num w:numId="5">
    <w:abstractNumId w:val="28"/>
  </w:num>
  <w:num w:numId="6">
    <w:abstractNumId w:val="49"/>
  </w:num>
  <w:num w:numId="7">
    <w:abstractNumId w:val="56"/>
  </w:num>
  <w:num w:numId="8">
    <w:abstractNumId w:val="30"/>
  </w:num>
  <w:num w:numId="9">
    <w:abstractNumId w:val="47"/>
  </w:num>
  <w:num w:numId="10">
    <w:abstractNumId w:val="13"/>
  </w:num>
  <w:num w:numId="11">
    <w:abstractNumId w:val="53"/>
  </w:num>
  <w:num w:numId="12">
    <w:abstractNumId w:val="52"/>
  </w:num>
  <w:num w:numId="13">
    <w:abstractNumId w:val="0"/>
  </w:num>
  <w:num w:numId="14">
    <w:abstractNumId w:val="51"/>
  </w:num>
  <w:num w:numId="15">
    <w:abstractNumId w:val="54"/>
  </w:num>
  <w:num w:numId="16">
    <w:abstractNumId w:val="41"/>
  </w:num>
  <w:num w:numId="17">
    <w:abstractNumId w:val="9"/>
  </w:num>
  <w:num w:numId="18">
    <w:abstractNumId w:val="1"/>
  </w:num>
  <w:num w:numId="19">
    <w:abstractNumId w:val="35"/>
  </w:num>
  <w:num w:numId="20">
    <w:abstractNumId w:val="5"/>
  </w:num>
  <w:num w:numId="21">
    <w:abstractNumId w:val="21"/>
  </w:num>
  <w:num w:numId="22">
    <w:abstractNumId w:val="46"/>
  </w:num>
  <w:num w:numId="23">
    <w:abstractNumId w:val="37"/>
  </w:num>
  <w:num w:numId="24">
    <w:abstractNumId w:val="11"/>
  </w:num>
  <w:num w:numId="25">
    <w:abstractNumId w:val="42"/>
  </w:num>
  <w:num w:numId="26">
    <w:abstractNumId w:val="50"/>
  </w:num>
  <w:num w:numId="27">
    <w:abstractNumId w:val="16"/>
  </w:num>
  <w:num w:numId="28">
    <w:abstractNumId w:val="32"/>
  </w:num>
  <w:num w:numId="29">
    <w:abstractNumId w:val="43"/>
  </w:num>
  <w:num w:numId="30">
    <w:abstractNumId w:val="4"/>
  </w:num>
  <w:num w:numId="31">
    <w:abstractNumId w:val="17"/>
  </w:num>
  <w:num w:numId="32">
    <w:abstractNumId w:val="14"/>
  </w:num>
  <w:num w:numId="33">
    <w:abstractNumId w:val="15"/>
  </w:num>
  <w:num w:numId="34">
    <w:abstractNumId w:val="58"/>
  </w:num>
  <w:num w:numId="35">
    <w:abstractNumId w:val="34"/>
  </w:num>
  <w:num w:numId="36">
    <w:abstractNumId w:val="45"/>
  </w:num>
  <w:num w:numId="37">
    <w:abstractNumId w:val="39"/>
  </w:num>
  <w:num w:numId="38">
    <w:abstractNumId w:val="22"/>
  </w:num>
  <w:num w:numId="39">
    <w:abstractNumId w:val="6"/>
  </w:num>
  <w:num w:numId="40">
    <w:abstractNumId w:val="23"/>
  </w:num>
  <w:num w:numId="41">
    <w:abstractNumId w:val="48"/>
  </w:num>
  <w:num w:numId="42">
    <w:abstractNumId w:val="10"/>
  </w:num>
  <w:num w:numId="43">
    <w:abstractNumId w:val="2"/>
  </w:num>
  <w:num w:numId="44">
    <w:abstractNumId w:val="20"/>
  </w:num>
  <w:num w:numId="45">
    <w:abstractNumId w:val="31"/>
  </w:num>
  <w:num w:numId="46">
    <w:abstractNumId w:val="24"/>
  </w:num>
  <w:num w:numId="47">
    <w:abstractNumId w:val="36"/>
  </w:num>
  <w:num w:numId="48">
    <w:abstractNumId w:val="19"/>
  </w:num>
  <w:num w:numId="49">
    <w:abstractNumId w:val="8"/>
  </w:num>
  <w:num w:numId="50">
    <w:abstractNumId w:val="12"/>
  </w:num>
  <w:num w:numId="51">
    <w:abstractNumId w:val="38"/>
  </w:num>
  <w:num w:numId="52">
    <w:abstractNumId w:val="57"/>
  </w:num>
  <w:num w:numId="53">
    <w:abstractNumId w:val="25"/>
  </w:num>
  <w:num w:numId="54">
    <w:abstractNumId w:val="3"/>
  </w:num>
  <w:num w:numId="55">
    <w:abstractNumId w:val="44"/>
  </w:num>
  <w:num w:numId="56">
    <w:abstractNumId w:val="26"/>
  </w:num>
  <w:num w:numId="57">
    <w:abstractNumId w:val="40"/>
  </w:num>
  <w:num w:numId="58">
    <w:abstractNumId w:val="59"/>
  </w:num>
  <w:num w:numId="59">
    <w:abstractNumId w:val="18"/>
  </w:num>
  <w:num w:numId="60">
    <w:abstractNumId w:val="7"/>
  </w:num>
  <w:num w:numId="61">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EEF"/>
    <w:rsid w:val="00020634"/>
    <w:rsid w:val="00020EC1"/>
    <w:rsid w:val="0003731D"/>
    <w:rsid w:val="00045876"/>
    <w:rsid w:val="00072C7E"/>
    <w:rsid w:val="000B0316"/>
    <w:rsid w:val="000B53B1"/>
    <w:rsid w:val="000E1692"/>
    <w:rsid w:val="000E3A61"/>
    <w:rsid w:val="00102220"/>
    <w:rsid w:val="0010623D"/>
    <w:rsid w:val="0011663C"/>
    <w:rsid w:val="001229B1"/>
    <w:rsid w:val="00143FA2"/>
    <w:rsid w:val="00161E21"/>
    <w:rsid w:val="00162C0E"/>
    <w:rsid w:val="00167F6C"/>
    <w:rsid w:val="001A43CF"/>
    <w:rsid w:val="001A44FB"/>
    <w:rsid w:val="001E0E40"/>
    <w:rsid w:val="00207095"/>
    <w:rsid w:val="00207314"/>
    <w:rsid w:val="002B2032"/>
    <w:rsid w:val="002B3FCC"/>
    <w:rsid w:val="002E250C"/>
    <w:rsid w:val="002F0A08"/>
    <w:rsid w:val="002F6EC9"/>
    <w:rsid w:val="00310C13"/>
    <w:rsid w:val="0032472B"/>
    <w:rsid w:val="00325AA3"/>
    <w:rsid w:val="003279D7"/>
    <w:rsid w:val="003372DA"/>
    <w:rsid w:val="00346EED"/>
    <w:rsid w:val="00352258"/>
    <w:rsid w:val="003922BC"/>
    <w:rsid w:val="003A03CE"/>
    <w:rsid w:val="003A0F73"/>
    <w:rsid w:val="003C1335"/>
    <w:rsid w:val="003E311E"/>
    <w:rsid w:val="003F2ACF"/>
    <w:rsid w:val="003F2B8F"/>
    <w:rsid w:val="003F557D"/>
    <w:rsid w:val="00414F37"/>
    <w:rsid w:val="0042469D"/>
    <w:rsid w:val="00490852"/>
    <w:rsid w:val="00490AEE"/>
    <w:rsid w:val="004C0766"/>
    <w:rsid w:val="004D0481"/>
    <w:rsid w:val="004F5101"/>
    <w:rsid w:val="0052255A"/>
    <w:rsid w:val="00522E01"/>
    <w:rsid w:val="0056477B"/>
    <w:rsid w:val="00565456"/>
    <w:rsid w:val="00573E3A"/>
    <w:rsid w:val="005B3C47"/>
    <w:rsid w:val="005B5F29"/>
    <w:rsid w:val="005E6794"/>
    <w:rsid w:val="005E6CE4"/>
    <w:rsid w:val="00622F41"/>
    <w:rsid w:val="00624E24"/>
    <w:rsid w:val="0063681B"/>
    <w:rsid w:val="00647E1D"/>
    <w:rsid w:val="0065762E"/>
    <w:rsid w:val="00670298"/>
    <w:rsid w:val="00685852"/>
    <w:rsid w:val="006B67CC"/>
    <w:rsid w:val="006C08B9"/>
    <w:rsid w:val="006C39B4"/>
    <w:rsid w:val="006F26D1"/>
    <w:rsid w:val="00702BCA"/>
    <w:rsid w:val="00744240"/>
    <w:rsid w:val="0076144F"/>
    <w:rsid w:val="0079321A"/>
    <w:rsid w:val="007B0629"/>
    <w:rsid w:val="007F0EC2"/>
    <w:rsid w:val="00857A81"/>
    <w:rsid w:val="00881948"/>
    <w:rsid w:val="00890318"/>
    <w:rsid w:val="008A6A36"/>
    <w:rsid w:val="008B065D"/>
    <w:rsid w:val="008B5B2E"/>
    <w:rsid w:val="008C076D"/>
    <w:rsid w:val="008C2C27"/>
    <w:rsid w:val="008D62AA"/>
    <w:rsid w:val="008E3831"/>
    <w:rsid w:val="008F5F00"/>
    <w:rsid w:val="008F7746"/>
    <w:rsid w:val="00903598"/>
    <w:rsid w:val="009159E1"/>
    <w:rsid w:val="00944988"/>
    <w:rsid w:val="00950759"/>
    <w:rsid w:val="0098477C"/>
    <w:rsid w:val="00985A01"/>
    <w:rsid w:val="009A75CA"/>
    <w:rsid w:val="00A0686D"/>
    <w:rsid w:val="00A30BFF"/>
    <w:rsid w:val="00A42626"/>
    <w:rsid w:val="00A526B5"/>
    <w:rsid w:val="00A733EC"/>
    <w:rsid w:val="00A80C6D"/>
    <w:rsid w:val="00A9660E"/>
    <w:rsid w:val="00A977E7"/>
    <w:rsid w:val="00AA16B3"/>
    <w:rsid w:val="00AB5897"/>
    <w:rsid w:val="00AB5D3F"/>
    <w:rsid w:val="00AE1891"/>
    <w:rsid w:val="00B32D57"/>
    <w:rsid w:val="00B4085B"/>
    <w:rsid w:val="00B90203"/>
    <w:rsid w:val="00B91770"/>
    <w:rsid w:val="00BD6EBF"/>
    <w:rsid w:val="00BE05FA"/>
    <w:rsid w:val="00BF5A06"/>
    <w:rsid w:val="00C02021"/>
    <w:rsid w:val="00C24A83"/>
    <w:rsid w:val="00C32BD3"/>
    <w:rsid w:val="00C45F5B"/>
    <w:rsid w:val="00C65388"/>
    <w:rsid w:val="00C838EB"/>
    <w:rsid w:val="00C97395"/>
    <w:rsid w:val="00CA75A7"/>
    <w:rsid w:val="00CD7167"/>
    <w:rsid w:val="00D0563A"/>
    <w:rsid w:val="00D40716"/>
    <w:rsid w:val="00D66B84"/>
    <w:rsid w:val="00E100FC"/>
    <w:rsid w:val="00E16B3F"/>
    <w:rsid w:val="00E35242"/>
    <w:rsid w:val="00E65483"/>
    <w:rsid w:val="00E76867"/>
    <w:rsid w:val="00E92229"/>
    <w:rsid w:val="00EB1EEF"/>
    <w:rsid w:val="00EC0CDF"/>
    <w:rsid w:val="00EC32EE"/>
    <w:rsid w:val="00ED0284"/>
    <w:rsid w:val="00ED4D92"/>
    <w:rsid w:val="00EF24DA"/>
    <w:rsid w:val="00F04523"/>
    <w:rsid w:val="00F113F3"/>
    <w:rsid w:val="00F30F6F"/>
    <w:rsid w:val="00F705EA"/>
    <w:rsid w:val="00F8759F"/>
    <w:rsid w:val="00FA0965"/>
    <w:rsid w:val="00FA3D06"/>
    <w:rsid w:val="00FB6C18"/>
    <w:rsid w:val="011F67CC"/>
    <w:rsid w:val="01A75754"/>
    <w:rsid w:val="038F20EE"/>
    <w:rsid w:val="03E4546F"/>
    <w:rsid w:val="042941CC"/>
    <w:rsid w:val="04861837"/>
    <w:rsid w:val="061D6415"/>
    <w:rsid w:val="06E85B7D"/>
    <w:rsid w:val="07E825F5"/>
    <w:rsid w:val="0A796241"/>
    <w:rsid w:val="0B01794E"/>
    <w:rsid w:val="0B386BEB"/>
    <w:rsid w:val="0B604B70"/>
    <w:rsid w:val="0BFF6F95"/>
    <w:rsid w:val="0CC15827"/>
    <w:rsid w:val="0D0053A3"/>
    <w:rsid w:val="0D461AD1"/>
    <w:rsid w:val="0FEB7729"/>
    <w:rsid w:val="102F1BCC"/>
    <w:rsid w:val="10625494"/>
    <w:rsid w:val="107876B5"/>
    <w:rsid w:val="142A4E26"/>
    <w:rsid w:val="14525AFA"/>
    <w:rsid w:val="15196FCE"/>
    <w:rsid w:val="154B0230"/>
    <w:rsid w:val="15CE1531"/>
    <w:rsid w:val="17AA459A"/>
    <w:rsid w:val="182A07EE"/>
    <w:rsid w:val="18470515"/>
    <w:rsid w:val="18AB5A71"/>
    <w:rsid w:val="1A541617"/>
    <w:rsid w:val="1B0B09B1"/>
    <w:rsid w:val="1C4D3E0C"/>
    <w:rsid w:val="1D3C183C"/>
    <w:rsid w:val="1D4A7805"/>
    <w:rsid w:val="1D7A3970"/>
    <w:rsid w:val="1D7D0D1E"/>
    <w:rsid w:val="1DA11473"/>
    <w:rsid w:val="1DD42D71"/>
    <w:rsid w:val="1E900260"/>
    <w:rsid w:val="20F5288B"/>
    <w:rsid w:val="22217A66"/>
    <w:rsid w:val="226E2A1D"/>
    <w:rsid w:val="22E14697"/>
    <w:rsid w:val="2321704A"/>
    <w:rsid w:val="238B243B"/>
    <w:rsid w:val="24326138"/>
    <w:rsid w:val="24DA7D36"/>
    <w:rsid w:val="250B01EE"/>
    <w:rsid w:val="26214EDF"/>
    <w:rsid w:val="27FB509F"/>
    <w:rsid w:val="28702058"/>
    <w:rsid w:val="28FA43F0"/>
    <w:rsid w:val="29337492"/>
    <w:rsid w:val="2B2E72E7"/>
    <w:rsid w:val="2B9C55E1"/>
    <w:rsid w:val="2C266E14"/>
    <w:rsid w:val="2D240ECA"/>
    <w:rsid w:val="2E360AAE"/>
    <w:rsid w:val="2F066EB8"/>
    <w:rsid w:val="2F9850A8"/>
    <w:rsid w:val="31A239F1"/>
    <w:rsid w:val="31E9596C"/>
    <w:rsid w:val="34F801C2"/>
    <w:rsid w:val="351D7670"/>
    <w:rsid w:val="36C63239"/>
    <w:rsid w:val="38173E1E"/>
    <w:rsid w:val="38AA4650"/>
    <w:rsid w:val="39103069"/>
    <w:rsid w:val="39591C4C"/>
    <w:rsid w:val="39652807"/>
    <w:rsid w:val="39F422AB"/>
    <w:rsid w:val="3A5407B1"/>
    <w:rsid w:val="3B0901B2"/>
    <w:rsid w:val="3B125890"/>
    <w:rsid w:val="3BF27EA5"/>
    <w:rsid w:val="3C3E672F"/>
    <w:rsid w:val="3CEA060A"/>
    <w:rsid w:val="3D022ADB"/>
    <w:rsid w:val="3D3328A0"/>
    <w:rsid w:val="3D674E0B"/>
    <w:rsid w:val="3E0F529D"/>
    <w:rsid w:val="3E196E4E"/>
    <w:rsid w:val="3F457997"/>
    <w:rsid w:val="401660CE"/>
    <w:rsid w:val="42E905D6"/>
    <w:rsid w:val="435F5C1B"/>
    <w:rsid w:val="43C3375C"/>
    <w:rsid w:val="44E47BBC"/>
    <w:rsid w:val="44EC7A84"/>
    <w:rsid w:val="45134C6A"/>
    <w:rsid w:val="45821A21"/>
    <w:rsid w:val="46A12979"/>
    <w:rsid w:val="47BB18F5"/>
    <w:rsid w:val="48036A11"/>
    <w:rsid w:val="490F3BDA"/>
    <w:rsid w:val="4ACA1BDE"/>
    <w:rsid w:val="4C404579"/>
    <w:rsid w:val="4DA568C2"/>
    <w:rsid w:val="4E2C41A9"/>
    <w:rsid w:val="4E870AB4"/>
    <w:rsid w:val="4F4176B3"/>
    <w:rsid w:val="4F905C50"/>
    <w:rsid w:val="4FAA5E55"/>
    <w:rsid w:val="516878F6"/>
    <w:rsid w:val="51DE486A"/>
    <w:rsid w:val="52307328"/>
    <w:rsid w:val="52372B57"/>
    <w:rsid w:val="528354EC"/>
    <w:rsid w:val="53FC15E1"/>
    <w:rsid w:val="53FD67F2"/>
    <w:rsid w:val="54CC0DEC"/>
    <w:rsid w:val="55134D06"/>
    <w:rsid w:val="55B767FE"/>
    <w:rsid w:val="55F2292A"/>
    <w:rsid w:val="571E177D"/>
    <w:rsid w:val="5A31740F"/>
    <w:rsid w:val="5B15071F"/>
    <w:rsid w:val="5B5E41E5"/>
    <w:rsid w:val="5B69662C"/>
    <w:rsid w:val="5C074F1A"/>
    <w:rsid w:val="5C594A23"/>
    <w:rsid w:val="5D9F6823"/>
    <w:rsid w:val="5E4C5963"/>
    <w:rsid w:val="5E5174B2"/>
    <w:rsid w:val="5F3C74F8"/>
    <w:rsid w:val="60671434"/>
    <w:rsid w:val="61714AE0"/>
    <w:rsid w:val="61B347D0"/>
    <w:rsid w:val="61C3677E"/>
    <w:rsid w:val="61E80A83"/>
    <w:rsid w:val="63296E55"/>
    <w:rsid w:val="633B46F9"/>
    <w:rsid w:val="63743DA2"/>
    <w:rsid w:val="63A8413D"/>
    <w:rsid w:val="63F70107"/>
    <w:rsid w:val="63FC417A"/>
    <w:rsid w:val="647C139F"/>
    <w:rsid w:val="65C565B3"/>
    <w:rsid w:val="65DF1A4D"/>
    <w:rsid w:val="65EA7EB6"/>
    <w:rsid w:val="68545800"/>
    <w:rsid w:val="6A531ED1"/>
    <w:rsid w:val="6AA91897"/>
    <w:rsid w:val="6BF4487D"/>
    <w:rsid w:val="6C345328"/>
    <w:rsid w:val="6D622BB8"/>
    <w:rsid w:val="6E6D2FF5"/>
    <w:rsid w:val="6EBF51EC"/>
    <w:rsid w:val="6F064489"/>
    <w:rsid w:val="6F4C1B9A"/>
    <w:rsid w:val="6F864E10"/>
    <w:rsid w:val="714E6327"/>
    <w:rsid w:val="715F196E"/>
    <w:rsid w:val="722F7C72"/>
    <w:rsid w:val="73F87001"/>
    <w:rsid w:val="74762743"/>
    <w:rsid w:val="74D359B3"/>
    <w:rsid w:val="751B5B3E"/>
    <w:rsid w:val="751E18CC"/>
    <w:rsid w:val="75AE1161"/>
    <w:rsid w:val="75DF3E08"/>
    <w:rsid w:val="77636B10"/>
    <w:rsid w:val="78A22E7F"/>
    <w:rsid w:val="7B113533"/>
    <w:rsid w:val="7B304AE9"/>
    <w:rsid w:val="7B783734"/>
    <w:rsid w:val="7C236DE8"/>
    <w:rsid w:val="7CAE2EC3"/>
    <w:rsid w:val="7CEB4272"/>
    <w:rsid w:val="7DD01402"/>
    <w:rsid w:val="7E00497E"/>
    <w:rsid w:val="7E04798A"/>
    <w:rsid w:val="7E3B2F63"/>
    <w:rsid w:val="7E554397"/>
    <w:rsid w:val="7E5D5BF4"/>
    <w:rsid w:val="7F123D23"/>
    <w:rsid w:val="7F1C5172"/>
    <w:rsid w:val="7F420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1"/>
    <w:qFormat/>
    <w:uiPriority w:val="0"/>
    <w:pPr>
      <w:keepNext/>
      <w:keepLines/>
      <w:numPr>
        <w:ilvl w:val="0"/>
        <w:numId w:val="1"/>
      </w:numPr>
      <w:adjustRightInd w:val="0"/>
      <w:spacing w:before="340" w:after="330" w:line="578" w:lineRule="auto"/>
      <w:outlineLvl w:val="0"/>
    </w:pPr>
    <w:rPr>
      <w:rFonts w:ascii="Times New Roman" w:hAnsi="Times New Roman" w:eastAsia="宋体" w:cs="Times New Roman"/>
      <w:b/>
      <w:bCs/>
      <w:kern w:val="44"/>
      <w:sz w:val="44"/>
      <w:szCs w:val="44"/>
      <w:lang w:val="zh-CN"/>
    </w:rPr>
  </w:style>
  <w:style w:type="paragraph" w:styleId="4">
    <w:name w:val="heading 2"/>
    <w:basedOn w:val="1"/>
    <w:next w:val="1"/>
    <w:link w:val="82"/>
    <w:qFormat/>
    <w:uiPriority w:val="0"/>
    <w:pPr>
      <w:keepNext/>
      <w:keepLines/>
      <w:numPr>
        <w:ilvl w:val="0"/>
        <w:numId w:val="2"/>
      </w:numPr>
      <w:spacing w:line="360" w:lineRule="auto"/>
      <w:jc w:val="left"/>
      <w:outlineLvl w:val="1"/>
    </w:pPr>
    <w:rPr>
      <w:rFonts w:ascii="仿宋_GB2312" w:hAnsi="仿宋" w:eastAsia="仿宋_GB2312" w:cs="Times New Roman"/>
      <w:b/>
      <w:bCs/>
      <w:sz w:val="32"/>
      <w:szCs w:val="32"/>
      <w:lang w:val="zh-CN"/>
    </w:rPr>
  </w:style>
  <w:style w:type="paragraph" w:styleId="5">
    <w:name w:val="heading 3"/>
    <w:basedOn w:val="1"/>
    <w:next w:val="1"/>
    <w:link w:val="83"/>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84"/>
    <w:qFormat/>
    <w:uiPriority w:val="0"/>
    <w:pPr>
      <w:keepNext/>
      <w:keepLines/>
      <w:numPr>
        <w:ilvl w:val="3"/>
        <w:numId w:val="1"/>
      </w:numPr>
      <w:adjustRightInd w:val="0"/>
      <w:spacing w:before="280" w:after="290" w:line="376" w:lineRule="auto"/>
      <w:outlineLvl w:val="3"/>
    </w:pPr>
    <w:rPr>
      <w:rFonts w:ascii="Arial" w:hAnsi="Arial" w:eastAsia="黑体" w:cs="Times New Roman"/>
      <w:b/>
      <w:bCs/>
      <w:sz w:val="28"/>
      <w:szCs w:val="28"/>
      <w:lang w:val="zh-CN"/>
    </w:rPr>
  </w:style>
  <w:style w:type="paragraph" w:styleId="7">
    <w:name w:val="heading 5"/>
    <w:basedOn w:val="1"/>
    <w:next w:val="1"/>
    <w:link w:val="85"/>
    <w:qFormat/>
    <w:uiPriority w:val="0"/>
    <w:pPr>
      <w:keepNext/>
      <w:keepLines/>
      <w:numPr>
        <w:ilvl w:val="4"/>
        <w:numId w:val="1"/>
      </w:numPr>
      <w:adjustRightInd w:val="0"/>
      <w:spacing w:before="280" w:after="290" w:line="376" w:lineRule="auto"/>
      <w:outlineLvl w:val="4"/>
    </w:pPr>
    <w:rPr>
      <w:rFonts w:ascii="Times New Roman" w:hAnsi="Times New Roman" w:eastAsia="宋体" w:cs="Times New Roman"/>
      <w:b/>
      <w:bCs/>
      <w:sz w:val="28"/>
      <w:szCs w:val="28"/>
      <w:lang w:val="zh-CN"/>
    </w:rPr>
  </w:style>
  <w:style w:type="paragraph" w:styleId="8">
    <w:name w:val="heading 6"/>
    <w:basedOn w:val="1"/>
    <w:next w:val="1"/>
    <w:link w:val="86"/>
    <w:qFormat/>
    <w:uiPriority w:val="0"/>
    <w:pPr>
      <w:keepNext/>
      <w:keepLines/>
      <w:numPr>
        <w:ilvl w:val="5"/>
        <w:numId w:val="1"/>
      </w:numPr>
      <w:adjustRightInd w:val="0"/>
      <w:spacing w:before="240" w:after="64" w:line="320" w:lineRule="auto"/>
      <w:outlineLvl w:val="5"/>
    </w:pPr>
    <w:rPr>
      <w:rFonts w:ascii="Arial" w:hAnsi="Arial" w:eastAsia="黑体" w:cs="Times New Roman"/>
      <w:b/>
      <w:bCs/>
      <w:sz w:val="24"/>
      <w:szCs w:val="24"/>
      <w:lang w:val="zh-CN"/>
    </w:rPr>
  </w:style>
  <w:style w:type="paragraph" w:styleId="9">
    <w:name w:val="heading 7"/>
    <w:basedOn w:val="1"/>
    <w:next w:val="1"/>
    <w:link w:val="87"/>
    <w:qFormat/>
    <w:uiPriority w:val="0"/>
    <w:pPr>
      <w:keepNext/>
      <w:keepLines/>
      <w:numPr>
        <w:ilvl w:val="6"/>
        <w:numId w:val="1"/>
      </w:numPr>
      <w:adjustRightInd w:val="0"/>
      <w:spacing w:before="240" w:after="64" w:line="320" w:lineRule="auto"/>
      <w:outlineLvl w:val="6"/>
    </w:pPr>
    <w:rPr>
      <w:rFonts w:ascii="Times New Roman" w:hAnsi="Times New Roman" w:eastAsia="宋体" w:cs="Times New Roman"/>
      <w:b/>
      <w:bCs/>
      <w:sz w:val="24"/>
      <w:szCs w:val="24"/>
      <w:lang w:val="zh-CN"/>
    </w:rPr>
  </w:style>
  <w:style w:type="paragraph" w:styleId="10">
    <w:name w:val="heading 8"/>
    <w:basedOn w:val="1"/>
    <w:next w:val="1"/>
    <w:link w:val="88"/>
    <w:qFormat/>
    <w:uiPriority w:val="0"/>
    <w:pPr>
      <w:keepNext/>
      <w:keepLines/>
      <w:numPr>
        <w:ilvl w:val="7"/>
        <w:numId w:val="1"/>
      </w:numPr>
      <w:adjustRightInd w:val="0"/>
      <w:spacing w:before="240" w:after="64" w:line="320" w:lineRule="auto"/>
      <w:outlineLvl w:val="7"/>
    </w:pPr>
    <w:rPr>
      <w:rFonts w:ascii="Arial" w:hAnsi="Arial" w:eastAsia="黑体" w:cs="Times New Roman"/>
      <w:sz w:val="24"/>
      <w:szCs w:val="24"/>
      <w:lang w:val="zh-CN"/>
    </w:rPr>
  </w:style>
  <w:style w:type="paragraph" w:styleId="11">
    <w:name w:val="heading 9"/>
    <w:basedOn w:val="1"/>
    <w:next w:val="1"/>
    <w:link w:val="89"/>
    <w:qFormat/>
    <w:uiPriority w:val="0"/>
    <w:pPr>
      <w:keepNext/>
      <w:keepLines/>
      <w:numPr>
        <w:ilvl w:val="8"/>
        <w:numId w:val="1"/>
      </w:numPr>
      <w:adjustRightInd w:val="0"/>
      <w:spacing w:before="240" w:after="64" w:line="320" w:lineRule="auto"/>
      <w:outlineLvl w:val="8"/>
    </w:pPr>
    <w:rPr>
      <w:rFonts w:ascii="Arial" w:hAnsi="Arial" w:eastAsia="黑体" w:cs="Times New Roman"/>
      <w:szCs w:val="21"/>
      <w:lang w:val="zh-CN"/>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87"/>
    <w:unhideWhenUsed/>
    <w:qFormat/>
    <w:uiPriority w:val="0"/>
    <w:pPr>
      <w:adjustRightInd w:val="0"/>
      <w:spacing w:after="120"/>
      <w:ind w:left="420" w:leftChars="200"/>
    </w:pPr>
    <w:rPr>
      <w:rFonts w:ascii="Times New Roman" w:hAnsi="Times New Roman" w:eastAsia="宋体" w:cs="Times New Roman"/>
      <w:szCs w:val="24"/>
    </w:rPr>
  </w:style>
  <w:style w:type="paragraph" w:styleId="12">
    <w:name w:val="toc 7"/>
    <w:basedOn w:val="1"/>
    <w:next w:val="1"/>
    <w:qFormat/>
    <w:uiPriority w:val="0"/>
    <w:pPr>
      <w:adjustRightInd w:val="0"/>
      <w:ind w:left="2520" w:leftChars="1200"/>
    </w:pPr>
    <w:rPr>
      <w:rFonts w:ascii="Times New Roman" w:hAnsi="Times New Roman" w:eastAsia="宋体" w:cs="Times New Roman"/>
      <w:szCs w:val="24"/>
    </w:rPr>
  </w:style>
  <w:style w:type="paragraph" w:styleId="13">
    <w:name w:val="List Number 2"/>
    <w:basedOn w:val="1"/>
    <w:qFormat/>
    <w:uiPriority w:val="0"/>
    <w:pPr>
      <w:widowControl/>
      <w:tabs>
        <w:tab w:val="left" w:pos="1697"/>
      </w:tabs>
      <w:spacing w:after="156" w:afterLines="50"/>
      <w:ind w:left="1697" w:hanging="420"/>
      <w:jc w:val="left"/>
    </w:pPr>
    <w:rPr>
      <w:rFonts w:ascii="Times New Roman" w:hAnsi="Times New Roman" w:eastAsia="宋体" w:cs="Times New Roman"/>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spacing w:before="40" w:after="160"/>
      <w:ind w:left="432" w:hanging="432"/>
      <w:contextualSpacing/>
      <w:jc w:val="left"/>
    </w:pPr>
    <w:rPr>
      <w:rFonts w:ascii="Cambria" w:hAnsi="Cambria" w:eastAsia="微软雅黑" w:cs="Times New Roman"/>
      <w:color w:val="595959"/>
      <w:kern w:val="20"/>
      <w:szCs w:val="20"/>
      <w:lang w:val="zh-CN"/>
    </w:rPr>
  </w:style>
  <w:style w:type="paragraph" w:styleId="15">
    <w:name w:val="List Number"/>
    <w:basedOn w:val="1"/>
    <w:qFormat/>
    <w:uiPriority w:val="0"/>
    <w:pPr>
      <w:widowControl/>
      <w:tabs>
        <w:tab w:val="left" w:pos="390"/>
        <w:tab w:val="left" w:pos="454"/>
      </w:tabs>
      <w:spacing w:after="156" w:afterLines="50"/>
      <w:ind w:left="454" w:hanging="284"/>
      <w:jc w:val="left"/>
    </w:pPr>
    <w:rPr>
      <w:rFonts w:ascii="Times New Roman" w:hAnsi="Times New Roman" w:eastAsia="宋体" w:cs="Times New Roman"/>
      <w:kern w:val="0"/>
      <w:sz w:val="24"/>
      <w:szCs w:val="20"/>
    </w:rPr>
  </w:style>
  <w:style w:type="paragraph" w:styleId="16">
    <w:name w:val="Normal Indent"/>
    <w:basedOn w:val="1"/>
    <w:next w:val="1"/>
    <w:link w:val="254"/>
    <w:qFormat/>
    <w:uiPriority w:val="0"/>
    <w:pPr>
      <w:widowControl/>
      <w:adjustRightInd w:val="0"/>
      <w:snapToGrid w:val="0"/>
      <w:spacing w:line="480" w:lineRule="exact"/>
      <w:ind w:firstLine="567"/>
    </w:pPr>
    <w:rPr>
      <w:rFonts w:ascii="宋体" w:eastAsia="宋体"/>
      <w:snapToGrid w:val="0"/>
      <w:color w:val="000000"/>
      <w:kern w:val="28"/>
      <w:sz w:val="28"/>
    </w:rPr>
  </w:style>
  <w:style w:type="paragraph" w:styleId="17">
    <w:name w:val="caption"/>
    <w:basedOn w:val="1"/>
    <w:next w:val="1"/>
    <w:link w:val="785"/>
    <w:qFormat/>
    <w:uiPriority w:val="0"/>
    <w:pPr>
      <w:adjustRightInd w:val="0"/>
    </w:pPr>
    <w:rPr>
      <w:rFonts w:ascii="Times New Roman" w:hAnsi="Times New Roman" w:eastAsia="宋体" w:cs="Times New Roman"/>
      <w:b/>
      <w:sz w:val="28"/>
      <w:szCs w:val="20"/>
      <w:lang w:val="zh-CN"/>
    </w:rPr>
  </w:style>
  <w:style w:type="paragraph" w:styleId="18">
    <w:name w:val="index 5"/>
    <w:basedOn w:val="1"/>
    <w:next w:val="1"/>
    <w:qFormat/>
    <w:uiPriority w:val="0"/>
    <w:pPr>
      <w:ind w:left="800" w:leftChars="800" w:firstLine="200" w:firstLineChars="200"/>
    </w:pPr>
    <w:rPr>
      <w:rFonts w:ascii="Times New Roman" w:hAnsi="Times New Roman" w:eastAsia="宋体" w:cs="Times New Roman"/>
      <w:szCs w:val="24"/>
    </w:rPr>
  </w:style>
  <w:style w:type="paragraph" w:styleId="19">
    <w:name w:val="Document Map"/>
    <w:basedOn w:val="1"/>
    <w:link w:val="294"/>
    <w:qFormat/>
    <w:uiPriority w:val="0"/>
    <w:pPr>
      <w:shd w:val="clear" w:color="auto" w:fill="000080"/>
      <w:adjustRightInd w:val="0"/>
    </w:pPr>
    <w:rPr>
      <w:rFonts w:ascii="Times New Roman" w:hAnsi="Times New Roman" w:eastAsia="宋体" w:cs="Times New Roman"/>
      <w:szCs w:val="24"/>
      <w:lang w:val="zh-CN"/>
    </w:rPr>
  </w:style>
  <w:style w:type="paragraph" w:styleId="20">
    <w:name w:val="annotation text"/>
    <w:basedOn w:val="1"/>
    <w:link w:val="289"/>
    <w:unhideWhenUsed/>
    <w:qFormat/>
    <w:uiPriority w:val="99"/>
    <w:pPr>
      <w:adjustRightInd w:val="0"/>
      <w:jc w:val="left"/>
    </w:pPr>
    <w:rPr>
      <w:rFonts w:ascii="Times New Roman" w:hAnsi="Times New Roman" w:eastAsia="宋体" w:cs="Times New Roman"/>
      <w:szCs w:val="24"/>
    </w:rPr>
  </w:style>
  <w:style w:type="paragraph" w:styleId="21">
    <w:name w:val="Salutation"/>
    <w:basedOn w:val="1"/>
    <w:next w:val="1"/>
    <w:link w:val="92"/>
    <w:qFormat/>
    <w:uiPriority w:val="0"/>
    <w:pPr>
      <w:adjustRightInd w:val="0"/>
    </w:pPr>
    <w:rPr>
      <w:rFonts w:ascii="仿宋_GB2312" w:eastAsia="仿宋_GB2312"/>
      <w:sz w:val="28"/>
    </w:rPr>
  </w:style>
  <w:style w:type="paragraph" w:styleId="22">
    <w:name w:val="Body Text 3"/>
    <w:basedOn w:val="1"/>
    <w:link w:val="93"/>
    <w:qFormat/>
    <w:uiPriority w:val="0"/>
    <w:pPr>
      <w:adjustRightInd w:val="0"/>
      <w:jc w:val="center"/>
    </w:pPr>
  </w:style>
  <w:style w:type="paragraph" w:styleId="23">
    <w:name w:val="List Bullet 3"/>
    <w:basedOn w:val="1"/>
    <w:unhideWhenUsed/>
    <w:qFormat/>
    <w:uiPriority w:val="0"/>
    <w:pPr>
      <w:numPr>
        <w:ilvl w:val="0"/>
        <w:numId w:val="4"/>
      </w:numPr>
      <w:adjustRightInd w:val="0"/>
      <w:snapToGrid w:val="0"/>
      <w:spacing w:line="360" w:lineRule="auto"/>
      <w:ind w:right="238"/>
      <w:contextualSpacing/>
    </w:pPr>
    <w:rPr>
      <w:rFonts w:ascii="Times New Roman" w:hAnsi="Times New Roman" w:eastAsia="宋体" w:cs="Times New Roman"/>
      <w:sz w:val="24"/>
      <w:szCs w:val="24"/>
    </w:rPr>
  </w:style>
  <w:style w:type="paragraph" w:styleId="24">
    <w:name w:val="Body Text"/>
    <w:basedOn w:val="1"/>
    <w:next w:val="1"/>
    <w:link w:val="153"/>
    <w:qFormat/>
    <w:uiPriority w:val="0"/>
    <w:pPr>
      <w:autoSpaceDE w:val="0"/>
      <w:autoSpaceDN w:val="0"/>
      <w:adjustRightInd w:val="0"/>
      <w:spacing w:line="360" w:lineRule="auto"/>
    </w:pPr>
    <w:rPr>
      <w:rFonts w:ascii="宋体" w:hAnsi="Arial" w:eastAsia="宋体" w:cs="Arial"/>
      <w:snapToGrid w:val="0"/>
      <w:sz w:val="24"/>
      <w:szCs w:val="21"/>
      <w:lang w:val="zh-CN"/>
    </w:rPr>
  </w:style>
  <w:style w:type="paragraph" w:styleId="25">
    <w:name w:val="List Number 3"/>
    <w:basedOn w:val="1"/>
    <w:qFormat/>
    <w:uiPriority w:val="0"/>
    <w:pPr>
      <w:widowControl/>
      <w:tabs>
        <w:tab w:val="left" w:pos="360"/>
        <w:tab w:val="left" w:pos="482"/>
      </w:tabs>
      <w:spacing w:after="156" w:afterLines="50"/>
      <w:ind w:left="482" w:hanging="340"/>
      <w:jc w:val="left"/>
    </w:pPr>
    <w:rPr>
      <w:rFonts w:ascii="Times New Roman" w:hAnsi="Times New Roman" w:eastAsia="宋体" w:cs="Times New Roman"/>
      <w:kern w:val="0"/>
      <w:sz w:val="24"/>
      <w:szCs w:val="20"/>
    </w:rPr>
  </w:style>
  <w:style w:type="paragraph" w:styleId="26">
    <w:name w:val="List 2"/>
    <w:basedOn w:val="1"/>
    <w:qFormat/>
    <w:uiPriority w:val="0"/>
    <w:pPr>
      <w:spacing w:line="360" w:lineRule="auto"/>
      <w:ind w:left="100" w:leftChars="200" w:hanging="200" w:hangingChars="200"/>
    </w:pPr>
    <w:rPr>
      <w:rFonts w:ascii="Times New Roman" w:hAnsi="Times New Roman" w:eastAsia="微软雅黑" w:cs="Times New Roman"/>
      <w:szCs w:val="24"/>
    </w:rPr>
  </w:style>
  <w:style w:type="paragraph" w:styleId="27">
    <w:name w:val="Block Text"/>
    <w:basedOn w:val="1"/>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28">
    <w:name w:val="List Bullet 2"/>
    <w:basedOn w:val="1"/>
    <w:qFormat/>
    <w:uiPriority w:val="0"/>
    <w:pPr>
      <w:autoSpaceDE w:val="0"/>
      <w:autoSpaceDN w:val="0"/>
      <w:adjustRightInd w:val="0"/>
      <w:ind w:left="420"/>
      <w:jc w:val="left"/>
    </w:pPr>
    <w:rPr>
      <w:rFonts w:ascii="宋体" w:hAnsi="宋体" w:eastAsia="宋体" w:cs="Times New Roman"/>
      <w:color w:val="000000"/>
      <w:kern w:val="0"/>
      <w:sz w:val="24"/>
      <w:szCs w:val="20"/>
    </w:rPr>
  </w:style>
  <w:style w:type="paragraph" w:styleId="29">
    <w:name w:val="HTML Address"/>
    <w:basedOn w:val="1"/>
    <w:link w:val="96"/>
    <w:qFormat/>
    <w:uiPriority w:val="0"/>
    <w:pPr>
      <w:widowControl/>
      <w:ind w:firstLine="200" w:firstLineChars="200"/>
      <w:jc w:val="left"/>
    </w:pPr>
    <w:rPr>
      <w:rFonts w:ascii="宋体" w:hAnsi="宋体"/>
      <w:i/>
      <w:iCs/>
      <w:sz w:val="24"/>
      <w:szCs w:val="24"/>
    </w:rPr>
  </w:style>
  <w:style w:type="paragraph" w:styleId="30">
    <w:name w:val="toc 5"/>
    <w:basedOn w:val="1"/>
    <w:next w:val="1"/>
    <w:qFormat/>
    <w:uiPriority w:val="0"/>
    <w:pPr>
      <w:adjustRightInd w:val="0"/>
      <w:ind w:left="1680" w:leftChars="800"/>
    </w:pPr>
    <w:rPr>
      <w:rFonts w:ascii="Times New Roman" w:hAnsi="Times New Roman" w:eastAsia="宋体" w:cs="Times New Roman"/>
      <w:szCs w:val="24"/>
    </w:rPr>
  </w:style>
  <w:style w:type="paragraph" w:styleId="31">
    <w:name w:val="toc 3"/>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styleId="32">
    <w:name w:val="Plain Text"/>
    <w:basedOn w:val="1"/>
    <w:next w:val="1"/>
    <w:link w:val="97"/>
    <w:qFormat/>
    <w:uiPriority w:val="0"/>
    <w:pPr>
      <w:adjustRightInd w:val="0"/>
    </w:pPr>
    <w:rPr>
      <w:rFonts w:ascii="宋体" w:hAnsi="Courier New" w:eastAsia="宋体" w:cs="Arial"/>
      <w:snapToGrid w:val="0"/>
      <w:szCs w:val="21"/>
    </w:rPr>
  </w:style>
  <w:style w:type="paragraph" w:styleId="33">
    <w:name w:val="List Number 4"/>
    <w:basedOn w:val="1"/>
    <w:qFormat/>
    <w:uiPriority w:val="0"/>
    <w:pPr>
      <w:numPr>
        <w:ilvl w:val="0"/>
        <w:numId w:val="5"/>
      </w:numPr>
      <w:autoSpaceDE w:val="0"/>
      <w:autoSpaceDN w:val="0"/>
      <w:adjustRightInd w:val="0"/>
      <w:spacing w:line="360" w:lineRule="atLeast"/>
    </w:pPr>
    <w:rPr>
      <w:rFonts w:ascii="Times New Roman" w:hAnsi="Times New Roman" w:eastAsia="宋体" w:cs="Times New Roman"/>
      <w:kern w:val="0"/>
      <w:sz w:val="24"/>
      <w:szCs w:val="24"/>
    </w:rPr>
  </w:style>
  <w:style w:type="paragraph" w:styleId="34">
    <w:name w:val="toc 8"/>
    <w:basedOn w:val="1"/>
    <w:next w:val="1"/>
    <w:qFormat/>
    <w:uiPriority w:val="0"/>
    <w:pPr>
      <w:adjustRightInd w:val="0"/>
      <w:ind w:left="2940" w:leftChars="1400"/>
    </w:pPr>
    <w:rPr>
      <w:rFonts w:ascii="Times New Roman" w:hAnsi="Times New Roman" w:eastAsia="宋体" w:cs="Times New Roman"/>
      <w:szCs w:val="24"/>
    </w:rPr>
  </w:style>
  <w:style w:type="paragraph" w:styleId="35">
    <w:name w:val="Date"/>
    <w:basedOn w:val="1"/>
    <w:next w:val="1"/>
    <w:link w:val="98"/>
    <w:qFormat/>
    <w:uiPriority w:val="0"/>
    <w:pPr>
      <w:adjustRightInd w:val="0"/>
      <w:ind w:left="100" w:leftChars="2500"/>
    </w:pPr>
    <w:rPr>
      <w:rFonts w:ascii="宋体"/>
      <w:sz w:val="24"/>
      <w:szCs w:val="21"/>
      <w:lang w:val="zh-CN"/>
    </w:rPr>
  </w:style>
  <w:style w:type="paragraph" w:styleId="36">
    <w:name w:val="Body Text Indent 2"/>
    <w:basedOn w:val="1"/>
    <w:link w:val="99"/>
    <w:qFormat/>
    <w:uiPriority w:val="0"/>
    <w:pPr>
      <w:adjustRightInd w:val="0"/>
      <w:spacing w:line="360" w:lineRule="auto"/>
      <w:ind w:firstLine="601"/>
      <w:textAlignment w:val="baseline"/>
    </w:pPr>
    <w:rPr>
      <w:rFonts w:ascii="宋体"/>
      <w:sz w:val="28"/>
    </w:rPr>
  </w:style>
  <w:style w:type="paragraph" w:styleId="37">
    <w:name w:val="Balloon Text"/>
    <w:basedOn w:val="1"/>
    <w:link w:val="100"/>
    <w:qFormat/>
    <w:uiPriority w:val="0"/>
    <w:pPr>
      <w:adjustRightInd w:val="0"/>
    </w:pPr>
    <w:rPr>
      <w:sz w:val="18"/>
      <w:szCs w:val="18"/>
    </w:rPr>
  </w:style>
  <w:style w:type="paragraph" w:styleId="38">
    <w:name w:val="footer"/>
    <w:basedOn w:val="1"/>
    <w:link w:val="80"/>
    <w:unhideWhenUsed/>
    <w:qFormat/>
    <w:uiPriority w:val="0"/>
    <w:pPr>
      <w:tabs>
        <w:tab w:val="center" w:pos="4153"/>
        <w:tab w:val="right" w:pos="8306"/>
      </w:tabs>
      <w:snapToGrid w:val="0"/>
      <w:jc w:val="left"/>
    </w:pPr>
    <w:rPr>
      <w:sz w:val="18"/>
      <w:szCs w:val="18"/>
    </w:rPr>
  </w:style>
  <w:style w:type="paragraph" w:styleId="39">
    <w:name w:val="header"/>
    <w:basedOn w:val="1"/>
    <w:link w:val="79"/>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01"/>
    <w:qFormat/>
    <w:uiPriority w:val="0"/>
    <w:pPr>
      <w:adjustRightInd w:val="0"/>
      <w:spacing w:after="600" w:line="312" w:lineRule="atLeast"/>
      <w:jc w:val="center"/>
      <w:textAlignment w:val="baseline"/>
    </w:pPr>
    <w:rPr>
      <w:rFonts w:eastAsia="仿宋_GB2312"/>
      <w:sz w:val="24"/>
    </w:rPr>
  </w:style>
  <w:style w:type="paragraph" w:styleId="41">
    <w:name w:val="toc 1"/>
    <w:basedOn w:val="1"/>
    <w:next w:val="1"/>
    <w:qFormat/>
    <w:uiPriority w:val="0"/>
    <w:pPr>
      <w:adjustRightInd w:val="0"/>
    </w:pPr>
    <w:rPr>
      <w:rFonts w:ascii="Times New Roman" w:hAnsi="Times New Roman" w:eastAsia="宋体" w:cs="Times New Roman"/>
      <w:szCs w:val="24"/>
    </w:rPr>
  </w:style>
  <w:style w:type="paragraph" w:styleId="42">
    <w:name w:val="toc 4"/>
    <w:basedOn w:val="1"/>
    <w:next w:val="1"/>
    <w:qFormat/>
    <w:uiPriority w:val="0"/>
    <w:pPr>
      <w:adjustRightInd w:val="0"/>
      <w:ind w:left="1260" w:leftChars="600"/>
    </w:pPr>
    <w:rPr>
      <w:rFonts w:ascii="Times New Roman" w:hAnsi="Times New Roman" w:eastAsia="宋体" w:cs="Times New Roman"/>
      <w:szCs w:val="24"/>
    </w:rPr>
  </w:style>
  <w:style w:type="paragraph" w:styleId="43">
    <w:name w:val="index heading"/>
    <w:basedOn w:val="1"/>
    <w:next w:val="44"/>
    <w:qFormat/>
    <w:uiPriority w:val="0"/>
    <w:pPr>
      <w:ind w:firstLine="200" w:firstLineChars="200"/>
    </w:pPr>
    <w:rPr>
      <w:rFonts w:ascii="Times New Roman" w:hAnsi="Times New Roman" w:eastAsia="宋体" w:cs="Times New Roman"/>
      <w:szCs w:val="24"/>
    </w:rPr>
  </w:style>
  <w:style w:type="paragraph" w:styleId="44">
    <w:name w:val="index 1"/>
    <w:basedOn w:val="1"/>
    <w:next w:val="1"/>
    <w:unhideWhenUsed/>
    <w:qFormat/>
    <w:uiPriority w:val="0"/>
  </w:style>
  <w:style w:type="paragraph" w:styleId="45">
    <w:name w:val="Subtitle"/>
    <w:link w:val="102"/>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6">
    <w:name w:val="List Number 5"/>
    <w:basedOn w:val="1"/>
    <w:qFormat/>
    <w:uiPriority w:val="0"/>
    <w:pPr>
      <w:tabs>
        <w:tab w:val="left" w:pos="902"/>
      </w:tabs>
      <w:spacing w:line="400" w:lineRule="exact"/>
      <w:ind w:left="902" w:hanging="420"/>
    </w:pPr>
    <w:rPr>
      <w:rFonts w:ascii="Times New Roman" w:hAnsi="Times New Roman" w:eastAsia="宋体" w:cs="Times New Roman"/>
      <w:sz w:val="24"/>
      <w:szCs w:val="20"/>
    </w:rPr>
  </w:style>
  <w:style w:type="paragraph" w:styleId="47">
    <w:name w:val="List"/>
    <w:basedOn w:val="1"/>
    <w:qFormat/>
    <w:uiPriority w:val="0"/>
    <w:pPr>
      <w:adjustRightInd w:val="0"/>
      <w:ind w:left="200" w:hanging="200" w:hangingChars="200"/>
    </w:pPr>
    <w:rPr>
      <w:rFonts w:ascii="Times New Roman" w:hAnsi="Times New Roman" w:eastAsia="宋体" w:cs="Times New Roman"/>
      <w:szCs w:val="24"/>
    </w:rPr>
  </w:style>
  <w:style w:type="paragraph" w:styleId="48">
    <w:name w:val="footnote text"/>
    <w:basedOn w:val="16"/>
    <w:link w:val="103"/>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49">
    <w:name w:val="toc 6"/>
    <w:basedOn w:val="1"/>
    <w:next w:val="1"/>
    <w:qFormat/>
    <w:uiPriority w:val="0"/>
    <w:pPr>
      <w:adjustRightInd w:val="0"/>
      <w:ind w:left="2100" w:leftChars="1000"/>
    </w:pPr>
    <w:rPr>
      <w:rFonts w:ascii="Times New Roman" w:hAnsi="Times New Roman" w:eastAsia="宋体" w:cs="Times New Roman"/>
      <w:szCs w:val="24"/>
    </w:rPr>
  </w:style>
  <w:style w:type="paragraph" w:styleId="50">
    <w:name w:val="List 5"/>
    <w:basedOn w:val="1"/>
    <w:qFormat/>
    <w:uiPriority w:val="0"/>
    <w:pPr>
      <w:ind w:left="100" w:leftChars="800" w:hanging="200" w:hangingChars="200"/>
    </w:pPr>
    <w:rPr>
      <w:rFonts w:ascii="Times New Roman" w:hAnsi="Times New Roman" w:eastAsia="宋体" w:cs="Times New Roman"/>
      <w:szCs w:val="24"/>
    </w:rPr>
  </w:style>
  <w:style w:type="paragraph" w:styleId="51">
    <w:name w:val="Body Text Indent 3"/>
    <w:basedOn w:val="1"/>
    <w:link w:val="104"/>
    <w:qFormat/>
    <w:uiPriority w:val="0"/>
    <w:pPr>
      <w:adjustRightInd w:val="0"/>
      <w:spacing w:line="360" w:lineRule="auto"/>
      <w:ind w:firstLine="420"/>
    </w:pPr>
    <w:rPr>
      <w:sz w:val="24"/>
    </w:rPr>
  </w:style>
  <w:style w:type="paragraph" w:styleId="52">
    <w:name w:val="toc 2"/>
    <w:basedOn w:val="1"/>
    <w:next w:val="1"/>
    <w:qFormat/>
    <w:uiPriority w:val="0"/>
    <w:pPr>
      <w:adjustRightInd w:val="0"/>
      <w:ind w:left="420" w:leftChars="200"/>
    </w:pPr>
    <w:rPr>
      <w:rFonts w:ascii="Times New Roman" w:hAnsi="Times New Roman" w:eastAsia="宋体" w:cs="Times New Roman"/>
      <w:szCs w:val="24"/>
    </w:rPr>
  </w:style>
  <w:style w:type="paragraph" w:styleId="53">
    <w:name w:val="toc 9"/>
    <w:basedOn w:val="1"/>
    <w:next w:val="1"/>
    <w:qFormat/>
    <w:uiPriority w:val="0"/>
    <w:pPr>
      <w:adjustRightInd w:val="0"/>
      <w:ind w:left="3360" w:leftChars="1600"/>
    </w:pPr>
    <w:rPr>
      <w:rFonts w:ascii="Times New Roman" w:hAnsi="Times New Roman" w:eastAsia="宋体" w:cs="Times New Roman"/>
      <w:szCs w:val="24"/>
    </w:rPr>
  </w:style>
  <w:style w:type="paragraph" w:styleId="54">
    <w:name w:val="Body Text 2"/>
    <w:basedOn w:val="1"/>
    <w:link w:val="279"/>
    <w:qFormat/>
    <w:uiPriority w:val="0"/>
    <w:pPr>
      <w:adjustRightInd w:val="0"/>
      <w:spacing w:after="120" w:line="480" w:lineRule="auto"/>
    </w:pPr>
    <w:rPr>
      <w:rFonts w:ascii="Times New Roman" w:hAnsi="Times New Roman" w:eastAsia="宋体" w:cs="Times New Roman"/>
      <w:szCs w:val="24"/>
      <w:lang w:val="zh-CN"/>
    </w:rPr>
  </w:style>
  <w:style w:type="paragraph" w:styleId="55">
    <w:name w:val="List 4"/>
    <w:basedOn w:val="1"/>
    <w:semiHidden/>
    <w:unhideWhenUsed/>
    <w:qFormat/>
    <w:uiPriority w:val="0"/>
    <w:pPr>
      <w:ind w:left="100" w:leftChars="600" w:hanging="200" w:hangingChars="200"/>
    </w:pPr>
    <w:rPr>
      <w:rFonts w:ascii="Times New Roman" w:hAnsi="Times New Roman" w:eastAsia="宋体" w:cs="Times New Roman"/>
      <w:sz w:val="28"/>
      <w:szCs w:val="24"/>
    </w:rPr>
  </w:style>
  <w:style w:type="paragraph" w:styleId="56">
    <w:name w:val="HTML Preformatted"/>
    <w:basedOn w:val="1"/>
    <w:link w:val="1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rPr>
  </w:style>
  <w:style w:type="paragraph" w:styleId="57">
    <w:name w:val="Normal (Web)"/>
    <w:basedOn w:val="1"/>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58">
    <w:name w:val="Title"/>
    <w:basedOn w:val="1"/>
    <w:link w:val="295"/>
    <w:qFormat/>
    <w:uiPriority w:val="0"/>
    <w:pPr>
      <w:widowControl/>
      <w:overflowPunct w:val="0"/>
      <w:autoSpaceDE w:val="0"/>
      <w:autoSpaceDN w:val="0"/>
      <w:adjustRightInd w:val="0"/>
      <w:jc w:val="center"/>
      <w:textAlignment w:val="baseline"/>
    </w:pPr>
    <w:rPr>
      <w:rFonts w:ascii="Times New Roman" w:hAnsi="Times New Roman" w:eastAsia="宋体" w:cs="Times New Roman"/>
      <w:b/>
      <w:kern w:val="0"/>
      <w:sz w:val="24"/>
      <w:szCs w:val="20"/>
      <w:lang w:val="en-GB"/>
    </w:rPr>
  </w:style>
  <w:style w:type="paragraph" w:styleId="59">
    <w:name w:val="annotation subject"/>
    <w:basedOn w:val="20"/>
    <w:next w:val="20"/>
    <w:link w:val="290"/>
    <w:qFormat/>
    <w:uiPriority w:val="0"/>
    <w:rPr>
      <w:b/>
      <w:bCs/>
      <w:lang w:val="zh-CN"/>
    </w:rPr>
  </w:style>
  <w:style w:type="paragraph" w:styleId="60">
    <w:name w:val="Body Text First Indent"/>
    <w:basedOn w:val="24"/>
    <w:next w:val="1"/>
    <w:link w:val="109"/>
    <w:qFormat/>
    <w:uiPriority w:val="0"/>
    <w:pPr>
      <w:ind w:firstLine="420"/>
    </w:pPr>
    <w:rPr>
      <w:rFonts w:hAnsiTheme="minorHAnsi" w:eastAsiaTheme="minorEastAsia" w:cstheme="minorBidi"/>
      <w:snapToGrid/>
      <w:szCs w:val="22"/>
    </w:rPr>
  </w:style>
  <w:style w:type="paragraph" w:styleId="61">
    <w:name w:val="Body Text First Indent 2"/>
    <w:basedOn w:val="2"/>
    <w:link w:val="110"/>
    <w:qFormat/>
    <w:uiPriority w:val="0"/>
    <w:pPr>
      <w:adjustRightInd/>
      <w:ind w:firstLine="210" w:firstLineChars="200"/>
    </w:pPr>
    <w:rPr>
      <w:rFonts w:ascii="宋体" w:hAnsi="宋体" w:eastAsiaTheme="minorEastAsia" w:cstheme="minorBidi"/>
    </w:rPr>
  </w:style>
  <w:style w:type="table" w:styleId="63">
    <w:name w:val="Table Grid"/>
    <w:basedOn w:val="6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b/>
      <w:bCs/>
    </w:rPr>
  </w:style>
  <w:style w:type="character" w:styleId="71">
    <w:name w:val="page number"/>
    <w:basedOn w:val="69"/>
    <w:qFormat/>
    <w:uiPriority w:val="0"/>
    <w:rPr>
      <w:rFonts w:ascii="Arial" w:hAnsi="Arial" w:eastAsia="黑体" w:cs="Arial"/>
      <w:snapToGrid w:val="0"/>
      <w:kern w:val="0"/>
      <w:szCs w:val="21"/>
    </w:rPr>
  </w:style>
  <w:style w:type="character" w:styleId="72">
    <w:name w:val="FollowedHyperlink"/>
    <w:qFormat/>
    <w:uiPriority w:val="0"/>
    <w:rPr>
      <w:rFonts w:ascii="Arial" w:hAnsi="Arial" w:eastAsia="黑体" w:cs="Arial"/>
      <w:snapToGrid w:val="0"/>
      <w:color w:val="000000"/>
      <w:kern w:val="0"/>
      <w:sz w:val="18"/>
      <w:szCs w:val="18"/>
      <w:u w:val="none"/>
    </w:rPr>
  </w:style>
  <w:style w:type="character" w:styleId="73">
    <w:name w:val="Emphasis"/>
    <w:qFormat/>
    <w:uiPriority w:val="0"/>
    <w:rPr>
      <w:color w:val="CC0033"/>
    </w:rPr>
  </w:style>
  <w:style w:type="character" w:styleId="74">
    <w:name w:val="line number"/>
    <w:basedOn w:val="69"/>
    <w:qFormat/>
    <w:uiPriority w:val="0"/>
    <w:rPr>
      <w:rFonts w:ascii="Arial" w:hAnsi="Arial" w:eastAsia="黑体" w:cs="Arial"/>
      <w:snapToGrid w:val="0"/>
      <w:kern w:val="0"/>
      <w:szCs w:val="21"/>
    </w:rPr>
  </w:style>
  <w:style w:type="character" w:styleId="75">
    <w:name w:val="Hyperlink"/>
    <w:qFormat/>
    <w:uiPriority w:val="0"/>
    <w:rPr>
      <w:rFonts w:ascii="Arial" w:hAnsi="Arial" w:eastAsia="黑体" w:cs="Arial"/>
      <w:snapToGrid w:val="0"/>
      <w:color w:val="000000"/>
      <w:kern w:val="0"/>
      <w:sz w:val="18"/>
      <w:szCs w:val="18"/>
      <w:u w:val="none"/>
    </w:rPr>
  </w:style>
  <w:style w:type="character" w:styleId="76">
    <w:name w:val="HTML Code"/>
    <w:qFormat/>
    <w:uiPriority w:val="0"/>
    <w:rPr>
      <w:rFonts w:ascii="黑体" w:hAnsi="Courier New" w:eastAsia="黑体" w:cs="楷体_GB2312"/>
      <w:sz w:val="20"/>
      <w:szCs w:val="20"/>
    </w:rPr>
  </w:style>
  <w:style w:type="character" w:styleId="77">
    <w:name w:val="annotation reference"/>
    <w:qFormat/>
    <w:uiPriority w:val="0"/>
    <w:rPr>
      <w:sz w:val="21"/>
      <w:szCs w:val="21"/>
    </w:rPr>
  </w:style>
  <w:style w:type="paragraph" w:customStyle="1" w:styleId="78">
    <w:name w:val="Default"/>
    <w:link w:val="833"/>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character" w:customStyle="1" w:styleId="79">
    <w:name w:val="页眉 Char"/>
    <w:basedOn w:val="69"/>
    <w:link w:val="39"/>
    <w:qFormat/>
    <w:uiPriority w:val="0"/>
    <w:rPr>
      <w:sz w:val="18"/>
      <w:szCs w:val="18"/>
    </w:rPr>
  </w:style>
  <w:style w:type="character" w:customStyle="1" w:styleId="80">
    <w:name w:val="页脚 Char"/>
    <w:basedOn w:val="69"/>
    <w:link w:val="38"/>
    <w:qFormat/>
    <w:uiPriority w:val="0"/>
    <w:rPr>
      <w:sz w:val="18"/>
      <w:szCs w:val="18"/>
    </w:rPr>
  </w:style>
  <w:style w:type="character" w:customStyle="1" w:styleId="81">
    <w:name w:val="标题 1 Char"/>
    <w:basedOn w:val="69"/>
    <w:link w:val="3"/>
    <w:qFormat/>
    <w:uiPriority w:val="0"/>
    <w:rPr>
      <w:rFonts w:ascii="Times New Roman" w:hAnsi="Times New Roman" w:eastAsia="宋体" w:cs="Times New Roman"/>
      <w:b/>
      <w:bCs/>
      <w:kern w:val="44"/>
      <w:sz w:val="44"/>
      <w:szCs w:val="44"/>
      <w:lang w:val="zh-CN"/>
    </w:rPr>
  </w:style>
  <w:style w:type="character" w:customStyle="1" w:styleId="82">
    <w:name w:val="标题 2 Char"/>
    <w:basedOn w:val="69"/>
    <w:link w:val="4"/>
    <w:qFormat/>
    <w:uiPriority w:val="0"/>
    <w:rPr>
      <w:rFonts w:ascii="仿宋_GB2312" w:hAnsi="仿宋" w:eastAsia="仿宋_GB2312" w:cs="Times New Roman"/>
      <w:b/>
      <w:bCs/>
      <w:sz w:val="32"/>
      <w:szCs w:val="32"/>
      <w:lang w:val="zh-CN"/>
    </w:rPr>
  </w:style>
  <w:style w:type="character" w:customStyle="1" w:styleId="83">
    <w:name w:val="标题 3 Char"/>
    <w:basedOn w:val="69"/>
    <w:link w:val="5"/>
    <w:qFormat/>
    <w:uiPriority w:val="0"/>
    <w:rPr>
      <w:rFonts w:ascii="Times New Roman" w:hAnsi="Times New Roman" w:eastAsia="宋体" w:cs="Times New Roman"/>
      <w:b/>
      <w:bCs/>
      <w:sz w:val="32"/>
      <w:szCs w:val="32"/>
    </w:rPr>
  </w:style>
  <w:style w:type="character" w:customStyle="1" w:styleId="84">
    <w:name w:val="标题 4 Char"/>
    <w:basedOn w:val="69"/>
    <w:link w:val="6"/>
    <w:qFormat/>
    <w:uiPriority w:val="0"/>
    <w:rPr>
      <w:rFonts w:ascii="Arial" w:hAnsi="Arial" w:eastAsia="黑体" w:cs="Times New Roman"/>
      <w:b/>
      <w:bCs/>
      <w:sz w:val="28"/>
      <w:szCs w:val="28"/>
      <w:lang w:val="zh-CN"/>
    </w:rPr>
  </w:style>
  <w:style w:type="character" w:customStyle="1" w:styleId="85">
    <w:name w:val="标题 5 Char"/>
    <w:basedOn w:val="69"/>
    <w:link w:val="7"/>
    <w:qFormat/>
    <w:uiPriority w:val="0"/>
    <w:rPr>
      <w:rFonts w:ascii="Times New Roman" w:hAnsi="Times New Roman" w:eastAsia="宋体" w:cs="Times New Roman"/>
      <w:b/>
      <w:bCs/>
      <w:sz w:val="28"/>
      <w:szCs w:val="28"/>
      <w:lang w:val="zh-CN"/>
    </w:rPr>
  </w:style>
  <w:style w:type="character" w:customStyle="1" w:styleId="86">
    <w:name w:val="标题 6 Char"/>
    <w:basedOn w:val="69"/>
    <w:link w:val="8"/>
    <w:qFormat/>
    <w:uiPriority w:val="0"/>
    <w:rPr>
      <w:rFonts w:ascii="Arial" w:hAnsi="Arial" w:eastAsia="黑体" w:cs="Times New Roman"/>
      <w:b/>
      <w:bCs/>
      <w:sz w:val="24"/>
      <w:szCs w:val="24"/>
      <w:lang w:val="zh-CN"/>
    </w:rPr>
  </w:style>
  <w:style w:type="character" w:customStyle="1" w:styleId="87">
    <w:name w:val="标题 7 Char"/>
    <w:basedOn w:val="69"/>
    <w:link w:val="9"/>
    <w:qFormat/>
    <w:uiPriority w:val="0"/>
    <w:rPr>
      <w:rFonts w:ascii="Times New Roman" w:hAnsi="Times New Roman" w:eastAsia="宋体" w:cs="Times New Roman"/>
      <w:b/>
      <w:bCs/>
      <w:sz w:val="24"/>
      <w:szCs w:val="24"/>
      <w:lang w:val="zh-CN"/>
    </w:rPr>
  </w:style>
  <w:style w:type="character" w:customStyle="1" w:styleId="88">
    <w:name w:val="标题 8 Char"/>
    <w:basedOn w:val="69"/>
    <w:link w:val="10"/>
    <w:qFormat/>
    <w:uiPriority w:val="0"/>
    <w:rPr>
      <w:rFonts w:ascii="Arial" w:hAnsi="Arial" w:eastAsia="黑体" w:cs="Times New Roman"/>
      <w:sz w:val="24"/>
      <w:szCs w:val="24"/>
      <w:lang w:val="zh-CN"/>
    </w:rPr>
  </w:style>
  <w:style w:type="character" w:customStyle="1" w:styleId="89">
    <w:name w:val="标题 9 Char"/>
    <w:basedOn w:val="69"/>
    <w:link w:val="11"/>
    <w:qFormat/>
    <w:uiPriority w:val="0"/>
    <w:rPr>
      <w:rFonts w:ascii="Arial" w:hAnsi="Arial" w:eastAsia="黑体" w:cs="Times New Roman"/>
      <w:szCs w:val="21"/>
      <w:lang w:val="zh-CN"/>
    </w:rPr>
  </w:style>
  <w:style w:type="character" w:customStyle="1" w:styleId="90">
    <w:name w:val="文档结构图 Char"/>
    <w:basedOn w:val="69"/>
    <w:qFormat/>
    <w:uiPriority w:val="0"/>
    <w:rPr>
      <w:rFonts w:ascii="宋体" w:eastAsia="宋体"/>
      <w:sz w:val="18"/>
      <w:szCs w:val="18"/>
    </w:rPr>
  </w:style>
  <w:style w:type="character" w:customStyle="1" w:styleId="91">
    <w:name w:val="批注文字 Char"/>
    <w:basedOn w:val="69"/>
    <w:qFormat/>
    <w:uiPriority w:val="99"/>
  </w:style>
  <w:style w:type="character" w:customStyle="1" w:styleId="92">
    <w:name w:val="称呼 Char"/>
    <w:basedOn w:val="69"/>
    <w:link w:val="21"/>
    <w:qFormat/>
    <w:uiPriority w:val="0"/>
    <w:rPr>
      <w:rFonts w:ascii="仿宋_GB2312" w:eastAsia="仿宋_GB2312"/>
      <w:sz w:val="28"/>
    </w:rPr>
  </w:style>
  <w:style w:type="character" w:customStyle="1" w:styleId="93">
    <w:name w:val="正文文本 3 Char"/>
    <w:basedOn w:val="69"/>
    <w:link w:val="22"/>
    <w:qFormat/>
    <w:uiPriority w:val="0"/>
  </w:style>
  <w:style w:type="character" w:customStyle="1" w:styleId="94">
    <w:name w:val="正文文本 Char"/>
    <w:basedOn w:val="69"/>
    <w:qFormat/>
    <w:uiPriority w:val="0"/>
  </w:style>
  <w:style w:type="character" w:customStyle="1" w:styleId="95">
    <w:name w:val="正文文本缩进 Char"/>
    <w:basedOn w:val="69"/>
    <w:qFormat/>
    <w:uiPriority w:val="0"/>
  </w:style>
  <w:style w:type="character" w:customStyle="1" w:styleId="96">
    <w:name w:val="HTML 地址 Char"/>
    <w:basedOn w:val="69"/>
    <w:link w:val="29"/>
    <w:qFormat/>
    <w:uiPriority w:val="0"/>
    <w:rPr>
      <w:rFonts w:ascii="宋体" w:hAnsi="宋体"/>
      <w:i/>
      <w:iCs/>
      <w:sz w:val="24"/>
      <w:szCs w:val="24"/>
    </w:rPr>
  </w:style>
  <w:style w:type="character" w:customStyle="1" w:styleId="97">
    <w:name w:val="纯文本 Char"/>
    <w:basedOn w:val="69"/>
    <w:link w:val="32"/>
    <w:qFormat/>
    <w:uiPriority w:val="0"/>
    <w:rPr>
      <w:rFonts w:ascii="宋体" w:hAnsi="Courier New" w:eastAsia="宋体" w:cs="Arial"/>
      <w:snapToGrid w:val="0"/>
      <w:szCs w:val="21"/>
    </w:rPr>
  </w:style>
  <w:style w:type="character" w:customStyle="1" w:styleId="98">
    <w:name w:val="日期 Char"/>
    <w:basedOn w:val="69"/>
    <w:link w:val="35"/>
    <w:qFormat/>
    <w:uiPriority w:val="0"/>
    <w:rPr>
      <w:rFonts w:ascii="宋体"/>
      <w:sz w:val="24"/>
      <w:szCs w:val="21"/>
      <w:lang w:val="zh-CN"/>
    </w:rPr>
  </w:style>
  <w:style w:type="character" w:customStyle="1" w:styleId="99">
    <w:name w:val="正文文本缩进 2 Char"/>
    <w:basedOn w:val="69"/>
    <w:link w:val="36"/>
    <w:qFormat/>
    <w:uiPriority w:val="0"/>
    <w:rPr>
      <w:rFonts w:ascii="宋体"/>
      <w:sz w:val="28"/>
    </w:rPr>
  </w:style>
  <w:style w:type="character" w:customStyle="1" w:styleId="100">
    <w:name w:val="批注框文本 Char"/>
    <w:basedOn w:val="69"/>
    <w:link w:val="37"/>
    <w:qFormat/>
    <w:uiPriority w:val="0"/>
    <w:rPr>
      <w:sz w:val="18"/>
      <w:szCs w:val="18"/>
    </w:rPr>
  </w:style>
  <w:style w:type="character" w:customStyle="1" w:styleId="101">
    <w:name w:val="签名 Char"/>
    <w:basedOn w:val="69"/>
    <w:link w:val="40"/>
    <w:qFormat/>
    <w:uiPriority w:val="0"/>
    <w:rPr>
      <w:rFonts w:eastAsia="仿宋_GB2312"/>
      <w:sz w:val="24"/>
    </w:rPr>
  </w:style>
  <w:style w:type="character" w:customStyle="1" w:styleId="102">
    <w:name w:val="副标题 Char"/>
    <w:basedOn w:val="69"/>
    <w:link w:val="45"/>
    <w:qFormat/>
    <w:uiPriority w:val="0"/>
    <w:rPr>
      <w:rFonts w:ascii="Arial" w:hAnsi="Arial" w:eastAsia="隶书"/>
      <w:b/>
      <w:bCs/>
      <w:kern w:val="28"/>
      <w:sz w:val="44"/>
      <w:szCs w:val="32"/>
    </w:rPr>
  </w:style>
  <w:style w:type="character" w:customStyle="1" w:styleId="103">
    <w:name w:val="脚注文本 Char"/>
    <w:basedOn w:val="69"/>
    <w:link w:val="48"/>
    <w:qFormat/>
    <w:uiPriority w:val="0"/>
    <w:rPr>
      <w:color w:val="0000FF"/>
    </w:rPr>
  </w:style>
  <w:style w:type="character" w:customStyle="1" w:styleId="104">
    <w:name w:val="正文文本缩进 3 Char"/>
    <w:basedOn w:val="69"/>
    <w:link w:val="51"/>
    <w:qFormat/>
    <w:uiPriority w:val="0"/>
    <w:rPr>
      <w:sz w:val="24"/>
    </w:rPr>
  </w:style>
  <w:style w:type="character" w:customStyle="1" w:styleId="105">
    <w:name w:val="正文文本 2 Char"/>
    <w:basedOn w:val="69"/>
    <w:qFormat/>
    <w:uiPriority w:val="0"/>
  </w:style>
  <w:style w:type="character" w:customStyle="1" w:styleId="106">
    <w:name w:val="HTML 预设格式 Char"/>
    <w:basedOn w:val="69"/>
    <w:link w:val="56"/>
    <w:qFormat/>
    <w:uiPriority w:val="0"/>
    <w:rPr>
      <w:rFonts w:ascii="黑体" w:hAnsi="Courier New" w:eastAsia="黑体"/>
    </w:rPr>
  </w:style>
  <w:style w:type="character" w:customStyle="1" w:styleId="107">
    <w:name w:val="标题 Char"/>
    <w:basedOn w:val="69"/>
    <w:qFormat/>
    <w:uiPriority w:val="0"/>
    <w:rPr>
      <w:rFonts w:eastAsia="宋体" w:asciiTheme="majorHAnsi" w:hAnsiTheme="majorHAnsi" w:cstheme="majorBidi"/>
      <w:b/>
      <w:bCs/>
      <w:sz w:val="32"/>
      <w:szCs w:val="32"/>
    </w:rPr>
  </w:style>
  <w:style w:type="character" w:customStyle="1" w:styleId="108">
    <w:name w:val="批注主题 Char"/>
    <w:basedOn w:val="91"/>
    <w:qFormat/>
    <w:uiPriority w:val="0"/>
    <w:rPr>
      <w:b/>
      <w:bCs/>
    </w:rPr>
  </w:style>
  <w:style w:type="character" w:customStyle="1" w:styleId="109">
    <w:name w:val="正文首行缩进 Char"/>
    <w:basedOn w:val="94"/>
    <w:link w:val="60"/>
    <w:qFormat/>
    <w:uiPriority w:val="0"/>
    <w:rPr>
      <w:rFonts w:ascii="宋体"/>
      <w:sz w:val="24"/>
      <w:lang w:val="zh-CN"/>
    </w:rPr>
  </w:style>
  <w:style w:type="character" w:customStyle="1" w:styleId="110">
    <w:name w:val="正文首行缩进 2 Char"/>
    <w:basedOn w:val="95"/>
    <w:link w:val="61"/>
    <w:qFormat/>
    <w:uiPriority w:val="0"/>
    <w:rPr>
      <w:rFonts w:ascii="宋体" w:hAnsi="宋体"/>
      <w:szCs w:val="24"/>
    </w:rPr>
  </w:style>
  <w:style w:type="character" w:customStyle="1" w:styleId="111">
    <w:name w:val="solutionfonts"/>
    <w:qFormat/>
    <w:uiPriority w:val="0"/>
  </w:style>
  <w:style w:type="character" w:customStyle="1" w:styleId="112">
    <w:name w:val="Font Style82"/>
    <w:qFormat/>
    <w:uiPriority w:val="99"/>
    <w:rPr>
      <w:rFonts w:ascii="宋体" w:eastAsia="宋体" w:cs="宋体"/>
      <w:color w:val="000000"/>
      <w:sz w:val="14"/>
      <w:szCs w:val="14"/>
    </w:rPr>
  </w:style>
  <w:style w:type="character" w:customStyle="1" w:styleId="113">
    <w:name w:val="此正文 Char"/>
    <w:link w:val="114"/>
    <w:qFormat/>
    <w:uiPriority w:val="0"/>
    <w:rPr>
      <w:sz w:val="24"/>
      <w:szCs w:val="24"/>
    </w:rPr>
  </w:style>
  <w:style w:type="paragraph" w:customStyle="1" w:styleId="114">
    <w:name w:val="此正文"/>
    <w:basedOn w:val="1"/>
    <w:link w:val="113"/>
    <w:qFormat/>
    <w:uiPriority w:val="0"/>
    <w:pPr>
      <w:spacing w:line="360" w:lineRule="auto"/>
      <w:ind w:firstLine="200" w:firstLineChars="200"/>
    </w:pPr>
    <w:rPr>
      <w:sz w:val="24"/>
      <w:szCs w:val="24"/>
    </w:rPr>
  </w:style>
  <w:style w:type="character" w:customStyle="1" w:styleId="115">
    <w:name w:val="Char Char10"/>
    <w:semiHidden/>
    <w:qFormat/>
    <w:uiPriority w:val="0"/>
    <w:rPr>
      <w:rFonts w:ascii="宋体" w:hAnsi="宋体"/>
      <w:kern w:val="2"/>
      <w:sz w:val="21"/>
      <w:szCs w:val="24"/>
      <w:lang w:val="en-US" w:eastAsia="zh-CN"/>
    </w:rPr>
  </w:style>
  <w:style w:type="character" w:customStyle="1" w:styleId="116">
    <w:name w:val="h Char Char"/>
    <w:qFormat/>
    <w:uiPriority w:val="0"/>
    <w:rPr>
      <w:rFonts w:eastAsia="宋体"/>
      <w:kern w:val="2"/>
      <w:sz w:val="18"/>
      <w:lang w:val="en-US" w:eastAsia="zh-CN" w:bidi="ar-SA"/>
    </w:rPr>
  </w:style>
  <w:style w:type="character" w:customStyle="1" w:styleId="117">
    <w:name w:val="Bold"/>
    <w:qFormat/>
    <w:uiPriority w:val="0"/>
    <w:rPr>
      <w:rFonts w:ascii="Arial" w:hAnsi="Arial" w:eastAsia="黑体" w:cs="Times New Roman"/>
      <w:b/>
      <w:kern w:val="2"/>
      <w:sz w:val="32"/>
      <w:szCs w:val="32"/>
      <w:lang w:val="en-US" w:eastAsia="zh-CN" w:bidi="ar-SA"/>
    </w:rPr>
  </w:style>
  <w:style w:type="character" w:customStyle="1" w:styleId="118">
    <w:name w:val="Ò³Ã¼ Char Char"/>
    <w:qFormat/>
    <w:uiPriority w:val="0"/>
    <w:rPr>
      <w:rFonts w:eastAsia="宋体"/>
      <w:kern w:val="2"/>
      <w:sz w:val="18"/>
      <w:lang w:val="en-US" w:eastAsia="zh-CN" w:bidi="ar-SA"/>
    </w:rPr>
  </w:style>
  <w:style w:type="character" w:customStyle="1" w:styleId="119">
    <w:name w:val="标准正文格式 Char"/>
    <w:qFormat/>
    <w:uiPriority w:val="0"/>
    <w:rPr>
      <w:rFonts w:ascii="宋体" w:eastAsia="仿宋_GB2312" w:cs="宋体"/>
      <w:color w:val="000000"/>
      <w:sz w:val="24"/>
      <w:lang w:val="en-US" w:eastAsia="zh-CN" w:bidi="ar-SA"/>
    </w:rPr>
  </w:style>
  <w:style w:type="character" w:customStyle="1" w:styleId="120">
    <w:name w:val="Char Char8"/>
    <w:qFormat/>
    <w:uiPriority w:val="0"/>
    <w:rPr>
      <w:rFonts w:eastAsia="宋体"/>
      <w:b/>
      <w:sz w:val="24"/>
      <w:lang w:val="en-GB" w:eastAsia="zh-CN"/>
    </w:rPr>
  </w:style>
  <w:style w:type="character" w:customStyle="1" w:styleId="121">
    <w:name w:val="No Spacing Char"/>
    <w:link w:val="122"/>
    <w:qFormat/>
    <w:uiPriority w:val="1"/>
    <w:rPr>
      <w:rFonts w:ascii="Calibri" w:hAnsi="Calibri"/>
      <w:sz w:val="22"/>
    </w:rPr>
  </w:style>
  <w:style w:type="paragraph" w:customStyle="1" w:styleId="122">
    <w:name w:val="无间隔1"/>
    <w:link w:val="121"/>
    <w:qFormat/>
    <w:uiPriority w:val="1"/>
    <w:rPr>
      <w:rFonts w:ascii="Calibri" w:hAnsi="Calibri" w:eastAsiaTheme="minorEastAsia" w:cstheme="minorBidi"/>
      <w:kern w:val="2"/>
      <w:sz w:val="22"/>
      <w:szCs w:val="22"/>
      <w:lang w:val="en-US" w:eastAsia="zh-CN" w:bidi="ar-SA"/>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highlight1"/>
    <w:qFormat/>
    <w:uiPriority w:val="0"/>
    <w:rPr>
      <w:rFonts w:ascii="仿宋_GB2312" w:eastAsia="微软雅黑"/>
      <w:b/>
      <w:kern w:val="2"/>
      <w:sz w:val="23"/>
      <w:szCs w:val="23"/>
      <w:lang w:val="en-US" w:eastAsia="zh-CN" w:bidi="ar-SA"/>
    </w:rPr>
  </w:style>
  <w:style w:type="character" w:customStyle="1" w:styleId="125">
    <w:name w:val="ca-131"/>
    <w:qFormat/>
    <w:uiPriority w:val="0"/>
    <w:rPr>
      <w:rFonts w:hint="eastAsia" w:ascii="仿宋_GB2312" w:eastAsia="仿宋_GB2312"/>
      <w:b/>
      <w:bCs/>
      <w:color w:val="000000"/>
      <w:spacing w:val="-20"/>
      <w:sz w:val="24"/>
      <w:szCs w:val="24"/>
    </w:rPr>
  </w:style>
  <w:style w:type="character" w:customStyle="1" w:styleId="126">
    <w:name w:val="h3 Char"/>
    <w:qFormat/>
    <w:uiPriority w:val="0"/>
    <w:rPr>
      <w:rFonts w:eastAsia="宋体"/>
      <w:b/>
      <w:kern w:val="2"/>
      <w:sz w:val="32"/>
      <w:lang w:val="en-US" w:eastAsia="zh-CN" w:bidi="ar-SA"/>
    </w:rPr>
  </w:style>
  <w:style w:type="character" w:customStyle="1" w:styleId="127">
    <w:name w:val="Char Char12"/>
    <w:qFormat/>
    <w:uiPriority w:val="0"/>
    <w:rPr>
      <w:rFonts w:ascii="仿宋_GB2312" w:eastAsia="仿宋_GB2312"/>
      <w:b/>
      <w:bCs/>
      <w:kern w:val="2"/>
      <w:sz w:val="24"/>
      <w:szCs w:val="24"/>
      <w:lang w:val="zh-CN" w:eastAsia="zh-CN" w:bidi="ar-SA"/>
    </w:rPr>
  </w:style>
  <w:style w:type="character" w:customStyle="1" w:styleId="128">
    <w:name w:val="Comment Text Char"/>
    <w:qFormat/>
    <w:locked/>
    <w:uiPriority w:val="0"/>
    <w:rPr>
      <w:rFonts w:ascii="宋体" w:hAnsi="宋体" w:eastAsia="宋体"/>
      <w:kern w:val="2"/>
      <w:sz w:val="24"/>
      <w:lang w:val="en-US" w:eastAsia="zh-CN" w:bidi="ar-SA"/>
    </w:rPr>
  </w:style>
  <w:style w:type="character" w:customStyle="1" w:styleId="129">
    <w:name w:val="仿宋正文 Char"/>
    <w:link w:val="130"/>
    <w:qFormat/>
    <w:uiPriority w:val="0"/>
    <w:rPr>
      <w:rFonts w:ascii="仿宋_GB2312" w:eastAsia="仿宋_GB2312"/>
      <w:sz w:val="24"/>
    </w:rPr>
  </w:style>
  <w:style w:type="paragraph" w:customStyle="1" w:styleId="130">
    <w:name w:val="仿宋正文"/>
    <w:basedOn w:val="1"/>
    <w:link w:val="129"/>
    <w:qFormat/>
    <w:uiPriority w:val="0"/>
    <w:pPr>
      <w:spacing w:line="360" w:lineRule="auto"/>
      <w:ind w:firstLine="480" w:firstLineChars="200"/>
    </w:pPr>
    <w:rPr>
      <w:rFonts w:ascii="仿宋_GB2312" w:eastAsia="仿宋_GB2312"/>
      <w:sz w:val="24"/>
    </w:rPr>
  </w:style>
  <w:style w:type="character" w:customStyle="1" w:styleId="131">
    <w:name w:val="style91"/>
    <w:qFormat/>
    <w:uiPriority w:val="0"/>
    <w:rPr>
      <w:color w:val="333333"/>
    </w:rPr>
  </w:style>
  <w:style w:type="character" w:customStyle="1" w:styleId="132">
    <w:name w:val="Char Char4"/>
    <w:qFormat/>
    <w:uiPriority w:val="0"/>
    <w:rPr>
      <w:rFonts w:eastAsia="宋体"/>
      <w:b/>
      <w:sz w:val="24"/>
      <w:lang w:val="en-GB" w:eastAsia="zh-CN" w:bidi="ar-SA"/>
    </w:rPr>
  </w:style>
  <w:style w:type="character" w:customStyle="1" w:styleId="133">
    <w:name w:val="Char Char2"/>
    <w:qFormat/>
    <w:uiPriority w:val="0"/>
    <w:rPr>
      <w:rFonts w:eastAsia="宋体"/>
      <w:b/>
      <w:bCs/>
      <w:kern w:val="2"/>
      <w:sz w:val="21"/>
      <w:szCs w:val="24"/>
      <w:lang w:val="en-US" w:eastAsia="zh-CN" w:bidi="ar-SA"/>
    </w:rPr>
  </w:style>
  <w:style w:type="character" w:customStyle="1" w:styleId="134">
    <w:name w:val="正文 项目2 Char"/>
    <w:basedOn w:val="135"/>
    <w:qFormat/>
    <w:uiPriority w:val="0"/>
    <w:rPr>
      <w:rFonts w:ascii="仿宋_GB2312" w:hAnsi="仿宋_GB2312" w:eastAsia="仿宋_GB2312"/>
      <w:kern w:val="2"/>
      <w:sz w:val="24"/>
      <w:lang w:bidi="ar-SA"/>
    </w:rPr>
  </w:style>
  <w:style w:type="character" w:customStyle="1" w:styleId="135">
    <w:name w:val="正文 项目 Char"/>
    <w:qFormat/>
    <w:uiPriority w:val="0"/>
    <w:rPr>
      <w:rFonts w:ascii="仿宋_GB2312" w:hAnsi="仿宋_GB2312" w:eastAsia="仿宋_GB2312"/>
      <w:kern w:val="2"/>
      <w:sz w:val="24"/>
      <w:lang w:bidi="ar-SA"/>
    </w:rPr>
  </w:style>
  <w:style w:type="character" w:customStyle="1" w:styleId="136">
    <w:name w:val="页眉 Char1"/>
    <w:qFormat/>
    <w:uiPriority w:val="0"/>
    <w:rPr>
      <w:rFonts w:eastAsia="宋体"/>
      <w:kern w:val="2"/>
      <w:sz w:val="18"/>
      <w:szCs w:val="18"/>
      <w:lang w:val="en-US" w:eastAsia="zh-CN" w:bidi="ar-SA"/>
    </w:rPr>
  </w:style>
  <w:style w:type="character" w:customStyle="1" w:styleId="137">
    <w:name w:val="正文文本缩进 Char1"/>
    <w:qFormat/>
    <w:uiPriority w:val="0"/>
    <w:rPr>
      <w:rFonts w:ascii="宋体" w:hAnsi="宋体"/>
      <w:kern w:val="2"/>
      <w:sz w:val="24"/>
      <w:szCs w:val="24"/>
    </w:rPr>
  </w:style>
  <w:style w:type="character" w:customStyle="1" w:styleId="138">
    <w:name w:val="big1"/>
    <w:qFormat/>
    <w:uiPriority w:val="0"/>
    <w:rPr>
      <w:rFonts w:hint="eastAsia" w:ascii="宋体" w:hAnsi="宋体" w:eastAsia="宋体"/>
      <w:color w:val="333333"/>
      <w:sz w:val="22"/>
      <w:szCs w:val="22"/>
    </w:rPr>
  </w:style>
  <w:style w:type="character" w:customStyle="1" w:styleId="139">
    <w:name w:val="h Char Char1"/>
    <w:qFormat/>
    <w:uiPriority w:val="0"/>
    <w:rPr>
      <w:rFonts w:eastAsia="宋体"/>
      <w:kern w:val="2"/>
      <w:sz w:val="18"/>
      <w:szCs w:val="18"/>
      <w:lang w:val="en-US" w:eastAsia="zh-CN" w:bidi="ar-SA"/>
    </w:rPr>
  </w:style>
  <w:style w:type="character" w:customStyle="1" w:styleId="140">
    <w:name w:val="样式8 Char"/>
    <w:qFormat/>
    <w:uiPriority w:val="0"/>
    <w:rPr>
      <w:rFonts w:ascii="仿宋_GB2312" w:hAnsi="宋体" w:eastAsia="仿宋_GB2312"/>
      <w:b/>
      <w:bCs/>
      <w:kern w:val="2"/>
      <w:sz w:val="24"/>
      <w:szCs w:val="24"/>
    </w:rPr>
  </w:style>
  <w:style w:type="character" w:customStyle="1" w:styleId="141">
    <w:name w:val="页脚 Char1"/>
    <w:qFormat/>
    <w:uiPriority w:val="0"/>
    <w:rPr>
      <w:rFonts w:eastAsia="宋体"/>
      <w:kern w:val="2"/>
      <w:sz w:val="18"/>
      <w:szCs w:val="18"/>
      <w:lang w:val="en-US" w:eastAsia="zh-CN" w:bidi="ar-SA"/>
    </w:rPr>
  </w:style>
  <w:style w:type="character" w:customStyle="1" w:styleId="142">
    <w:name w:val="myp11"/>
    <w:qFormat/>
    <w:uiPriority w:val="0"/>
    <w:rPr>
      <w:rFonts w:ascii="仿宋_GB2312" w:eastAsia="微软雅黑"/>
      <w:b/>
      <w:kern w:val="2"/>
      <w:sz w:val="32"/>
      <w:szCs w:val="32"/>
      <w:lang w:val="en-US" w:eastAsia="zh-CN" w:bidi="ar-SA"/>
    </w:rPr>
  </w:style>
  <w:style w:type="character" w:customStyle="1" w:styleId="143">
    <w:name w:val="tw4winTerm"/>
    <w:qFormat/>
    <w:uiPriority w:val="0"/>
    <w:rPr>
      <w:color w:val="0000FF"/>
    </w:rPr>
  </w:style>
  <w:style w:type="character" w:customStyle="1" w:styleId="144">
    <w:name w:val="标题 2 Char Char"/>
    <w:qFormat/>
    <w:uiPriority w:val="0"/>
    <w:rPr>
      <w:rFonts w:ascii="楷体_GB2312" w:hAnsi="Arial" w:eastAsia="楷体_GB2312"/>
      <w:b/>
      <w:bCs/>
      <w:kern w:val="2"/>
      <w:sz w:val="24"/>
      <w:szCs w:val="32"/>
      <w:lang w:val="en-US" w:eastAsia="zh-CN" w:bidi="ar-SA"/>
    </w:rPr>
  </w:style>
  <w:style w:type="character" w:customStyle="1" w:styleId="145">
    <w:name w:val="hei16b1"/>
    <w:qFormat/>
    <w:uiPriority w:val="0"/>
    <w:rPr>
      <w:rFonts w:hint="default" w:ascii="Arial" w:hAnsi="Arial" w:cs="Arial"/>
      <w:b/>
      <w:bCs/>
      <w:color w:val="000000"/>
      <w:sz w:val="24"/>
      <w:szCs w:val="24"/>
    </w:rPr>
  </w:style>
  <w:style w:type="character" w:customStyle="1" w:styleId="146">
    <w:name w:val="Heading 7 Char"/>
    <w:qFormat/>
    <w:locked/>
    <w:uiPriority w:val="0"/>
    <w:rPr>
      <w:rFonts w:ascii="宋体" w:hAnsi="宋体" w:eastAsia="宋体"/>
      <w:b/>
      <w:bCs/>
      <w:kern w:val="2"/>
      <w:sz w:val="24"/>
      <w:szCs w:val="24"/>
      <w:lang w:val="en-US" w:eastAsia="zh-CN" w:bidi="ar-SA"/>
    </w:rPr>
  </w:style>
  <w:style w:type="character" w:customStyle="1" w:styleId="147">
    <w:name w:val="Char Char6"/>
    <w:qFormat/>
    <w:uiPriority w:val="0"/>
    <w:rPr>
      <w:rFonts w:eastAsia="宋体"/>
      <w:kern w:val="2"/>
      <w:sz w:val="21"/>
      <w:szCs w:val="24"/>
      <w:lang w:val="en-US" w:eastAsia="zh-CN" w:bidi="ar-SA"/>
    </w:rPr>
  </w:style>
  <w:style w:type="character" w:customStyle="1" w:styleId="148">
    <w:name w:val="哈哈正文 Char"/>
    <w:link w:val="149"/>
    <w:qFormat/>
    <w:uiPriority w:val="0"/>
    <w:rPr>
      <w:rFonts w:ascii="宋体" w:hAnsi="宋体" w:eastAsia="宋体"/>
      <w:sz w:val="24"/>
    </w:rPr>
  </w:style>
  <w:style w:type="paragraph" w:customStyle="1" w:styleId="149">
    <w:name w:val="哈哈正文"/>
    <w:basedOn w:val="1"/>
    <w:link w:val="148"/>
    <w:qFormat/>
    <w:uiPriority w:val="0"/>
    <w:pPr>
      <w:spacing w:line="360" w:lineRule="auto"/>
      <w:ind w:firstLine="200" w:firstLineChars="200"/>
    </w:pPr>
    <w:rPr>
      <w:rFonts w:ascii="宋体" w:hAnsi="宋体" w:eastAsia="宋体"/>
      <w:sz w:val="24"/>
    </w:rPr>
  </w:style>
  <w:style w:type="character" w:customStyle="1" w:styleId="150">
    <w:name w:val="pt141"/>
    <w:qFormat/>
    <w:uiPriority w:val="0"/>
    <w:rPr>
      <w:color w:val="330066"/>
      <w:sz w:val="22"/>
      <w:szCs w:val="22"/>
    </w:rPr>
  </w:style>
  <w:style w:type="character" w:customStyle="1" w:styleId="151">
    <w:name w:val="普通文字 Char3"/>
    <w:qFormat/>
    <w:uiPriority w:val="0"/>
    <w:rPr>
      <w:rFonts w:ascii="宋体" w:hAnsi="Courier New" w:eastAsia="宋体"/>
      <w:kern w:val="2"/>
      <w:sz w:val="21"/>
      <w:lang w:val="en-US" w:eastAsia="zh-CN" w:bidi="ar-SA"/>
    </w:rPr>
  </w:style>
  <w:style w:type="character" w:customStyle="1" w:styleId="152">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53">
    <w:name w:val="正文文本 Char1"/>
    <w:link w:val="24"/>
    <w:qFormat/>
    <w:uiPriority w:val="0"/>
    <w:rPr>
      <w:rFonts w:ascii="宋体" w:hAnsi="Arial" w:eastAsia="宋体" w:cs="Arial"/>
      <w:snapToGrid w:val="0"/>
      <w:sz w:val="24"/>
      <w:szCs w:val="21"/>
      <w:lang w:val="zh-CN"/>
    </w:rPr>
  </w:style>
  <w:style w:type="character" w:customStyle="1" w:styleId="154">
    <w:name w:val="正文2 Char"/>
    <w:qFormat/>
    <w:uiPriority w:val="0"/>
    <w:rPr>
      <w:rFonts w:eastAsia="宋体"/>
      <w:kern w:val="2"/>
      <w:sz w:val="24"/>
      <w:lang w:val="en-US" w:eastAsia="zh-CN" w:bidi="ar-SA"/>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ader Char"/>
    <w:qFormat/>
    <w:locked/>
    <w:uiPriority w:val="0"/>
    <w:rPr>
      <w:rFonts w:eastAsia="宋体"/>
      <w:kern w:val="2"/>
      <w:sz w:val="18"/>
      <w:szCs w:val="18"/>
      <w:lang w:val="en-US" w:eastAsia="zh-CN" w:bidi="ar-SA"/>
    </w:rPr>
  </w:style>
  <w:style w:type="character" w:customStyle="1" w:styleId="157">
    <w:name w:val="Footer-Even Char1"/>
    <w:qFormat/>
    <w:uiPriority w:val="0"/>
    <w:rPr>
      <w:rFonts w:eastAsia="宋体"/>
      <w:kern w:val="2"/>
      <w:sz w:val="18"/>
      <w:szCs w:val="18"/>
      <w:lang w:val="en-US" w:eastAsia="zh-CN" w:bidi="ar-SA"/>
    </w:rPr>
  </w:style>
  <w:style w:type="character" w:customStyle="1" w:styleId="158">
    <w:name w:val="unnamed31"/>
    <w:qFormat/>
    <w:uiPriority w:val="0"/>
    <w:rPr>
      <w:rFonts w:ascii="Tahoma" w:hAnsi="Tahoma" w:eastAsia="宋体"/>
      <w:b/>
      <w:kern w:val="2"/>
      <w:sz w:val="24"/>
      <w:szCs w:val="32"/>
      <w:u w:val="none"/>
      <w:lang w:val="en-US" w:eastAsia="zh-CN" w:bidi="ar-SA"/>
    </w:rPr>
  </w:style>
  <w:style w:type="character" w:customStyle="1" w:styleId="159">
    <w:name w:val="纯文本 Char Char Char"/>
    <w:qFormat/>
    <w:uiPriority w:val="0"/>
    <w:rPr>
      <w:rFonts w:ascii="宋体" w:hAnsi="Courier New" w:eastAsia="宋体"/>
      <w:kern w:val="2"/>
      <w:sz w:val="21"/>
      <w:lang w:val="en-US" w:eastAsia="zh-CN" w:bidi="ar-SA"/>
    </w:rPr>
  </w:style>
  <w:style w:type="character" w:customStyle="1" w:styleId="160">
    <w:name w:val="Body Text(ch) Char Char"/>
    <w:qFormat/>
    <w:uiPriority w:val="0"/>
    <w:rPr>
      <w:rFonts w:ascii="宋体"/>
      <w:kern w:val="2"/>
      <w:sz w:val="24"/>
      <w:szCs w:val="21"/>
      <w:lang w:val="zh-CN"/>
    </w:rPr>
  </w:style>
  <w:style w:type="character" w:customStyle="1" w:styleId="161">
    <w:name w:val="插图说明 Char"/>
    <w:qFormat/>
    <w:uiPriority w:val="0"/>
    <w:rPr>
      <w:rFonts w:eastAsia="黑体"/>
      <w:sz w:val="24"/>
      <w:lang w:val="en-US" w:eastAsia="zh-CN"/>
    </w:rPr>
  </w:style>
  <w:style w:type="character" w:customStyle="1" w:styleId="162">
    <w:name w:val="tw4winExternal"/>
    <w:qFormat/>
    <w:uiPriority w:val="0"/>
    <w:rPr>
      <w:rFonts w:ascii="Courier New" w:hAnsi="Courier New" w:cs="Courier New"/>
      <w:color w:val="808080"/>
      <w:lang w:val="en-US" w:eastAsia="zh-CN"/>
    </w:rPr>
  </w:style>
  <w:style w:type="character" w:customStyle="1" w:styleId="163">
    <w:name w:val="font21"/>
    <w:qFormat/>
    <w:uiPriority w:val="0"/>
    <w:rPr>
      <w:rFonts w:hint="eastAsia" w:ascii="宋体" w:hAnsi="宋体" w:eastAsia="宋体"/>
      <w:kern w:val="2"/>
      <w:sz w:val="28"/>
      <w:szCs w:val="28"/>
      <w:lang w:val="en-US" w:eastAsia="zh-CN" w:bidi="ar-SA"/>
    </w:rPr>
  </w:style>
  <w:style w:type="character" w:customStyle="1" w:styleId="164">
    <w:name w:val="标书正文格式 Char"/>
    <w:qFormat/>
    <w:uiPriority w:val="0"/>
    <w:rPr>
      <w:rFonts w:eastAsia="楷体_GB2312"/>
      <w:kern w:val="2"/>
      <w:sz w:val="24"/>
      <w:szCs w:val="24"/>
      <w:lang w:bidi="ar-SA"/>
    </w:rPr>
  </w:style>
  <w:style w:type="character" w:customStyle="1" w:styleId="165">
    <w:name w:val="javascript"/>
    <w:qFormat/>
    <w:uiPriority w:val="0"/>
  </w:style>
  <w:style w:type="character" w:customStyle="1" w:styleId="166">
    <w:name w:val="Balloon Text Char"/>
    <w:qFormat/>
    <w:locked/>
    <w:uiPriority w:val="0"/>
    <w:rPr>
      <w:rFonts w:eastAsia="宋体"/>
      <w:kern w:val="2"/>
      <w:sz w:val="18"/>
      <w:szCs w:val="18"/>
      <w:lang w:val="en-US" w:eastAsia="zh-CN" w:bidi="ar-SA"/>
    </w:rPr>
  </w:style>
  <w:style w:type="character" w:customStyle="1" w:styleId="167">
    <w:name w:val="Char Char5"/>
    <w:qFormat/>
    <w:uiPriority w:val="0"/>
    <w:rPr>
      <w:rFonts w:ascii="宋体" w:hAnsi="Courier New" w:eastAsia="宋体"/>
      <w:kern w:val="2"/>
      <w:sz w:val="21"/>
      <w:lang w:val="en-US" w:eastAsia="zh-CN"/>
    </w:rPr>
  </w:style>
  <w:style w:type="character" w:customStyle="1" w:styleId="168">
    <w:name w:val="Char Char"/>
    <w:qFormat/>
    <w:uiPriority w:val="0"/>
    <w:rPr>
      <w:rFonts w:ascii="宋体" w:hAnsi="Courier New" w:eastAsia="宋体"/>
      <w:kern w:val="2"/>
      <w:sz w:val="21"/>
      <w:lang w:val="en-US" w:eastAsia="zh-CN" w:bidi="ar-SA"/>
    </w:rPr>
  </w:style>
  <w:style w:type="character" w:customStyle="1" w:styleId="169">
    <w:name w:val="mdeck"/>
    <w:qFormat/>
    <w:uiPriority w:val="0"/>
    <w:rPr>
      <w:rFonts w:ascii="仿宋_GB2312" w:eastAsia="微软雅黑"/>
      <w:b/>
      <w:kern w:val="2"/>
      <w:sz w:val="32"/>
      <w:szCs w:val="32"/>
      <w:lang w:val="en-US" w:eastAsia="zh-CN" w:bidi="ar-SA"/>
    </w:rPr>
  </w:style>
  <w:style w:type="character" w:customStyle="1" w:styleId="170">
    <w:name w:val="content"/>
    <w:qFormat/>
    <w:uiPriority w:val="0"/>
  </w:style>
  <w:style w:type="character" w:customStyle="1" w:styleId="171">
    <w:name w:val="Char Char3"/>
    <w:qFormat/>
    <w:uiPriority w:val="0"/>
    <w:rPr>
      <w:rFonts w:eastAsia="宋体"/>
      <w:kern w:val="2"/>
      <w:sz w:val="21"/>
      <w:szCs w:val="24"/>
      <w:lang w:val="en-US" w:eastAsia="zh-CN" w:bidi="ar-SA"/>
    </w:rPr>
  </w:style>
  <w:style w:type="character" w:customStyle="1" w:styleId="172">
    <w:name w:val="Char Char811"/>
    <w:qFormat/>
    <w:uiPriority w:val="0"/>
    <w:rPr>
      <w:rFonts w:eastAsia="宋体"/>
      <w:b/>
      <w:sz w:val="24"/>
      <w:lang w:val="en-GB" w:eastAsia="zh-CN"/>
    </w:rPr>
  </w:style>
  <w:style w:type="character" w:customStyle="1" w:styleId="173">
    <w:name w:val="b11_01b Char"/>
    <w:link w:val="174"/>
    <w:qFormat/>
    <w:uiPriority w:val="0"/>
    <w:rPr>
      <w:rFonts w:ascii="Verdana" w:hAnsi="Verdana"/>
      <w:b/>
      <w:bCs/>
      <w:color w:val="4A82CA"/>
      <w:sz w:val="17"/>
      <w:szCs w:val="17"/>
    </w:rPr>
  </w:style>
  <w:style w:type="paragraph" w:customStyle="1" w:styleId="174">
    <w:name w:val="b11_01b"/>
    <w:basedOn w:val="1"/>
    <w:next w:val="1"/>
    <w:link w:val="173"/>
    <w:qFormat/>
    <w:uiPriority w:val="0"/>
    <w:pPr>
      <w:widowControl/>
      <w:spacing w:before="100" w:beforeAutospacing="1" w:after="100" w:afterAutospacing="1" w:line="384" w:lineRule="auto"/>
      <w:jc w:val="left"/>
    </w:pPr>
    <w:rPr>
      <w:rFonts w:ascii="Verdana" w:hAnsi="Verdana"/>
      <w:b/>
      <w:bCs/>
      <w:color w:val="4A82CA"/>
      <w:sz w:val="17"/>
      <w:szCs w:val="17"/>
    </w:rPr>
  </w:style>
  <w:style w:type="character" w:customStyle="1" w:styleId="175">
    <w:name w:val="标题4-dyf Char"/>
    <w:link w:val="176"/>
    <w:qFormat/>
    <w:uiPriority w:val="0"/>
    <w:rPr>
      <w:rFonts w:ascii="Cambria" w:hAnsi="Cambria"/>
      <w:b/>
      <w:bCs/>
      <w:color w:val="000000"/>
      <w:szCs w:val="21"/>
    </w:rPr>
  </w:style>
  <w:style w:type="paragraph" w:customStyle="1" w:styleId="176">
    <w:name w:val="标题4-dyf"/>
    <w:basedOn w:val="6"/>
    <w:link w:val="175"/>
    <w:qFormat/>
    <w:uiPriority w:val="0"/>
    <w:pPr>
      <w:numPr>
        <w:numId w:val="0"/>
      </w:num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177">
    <w:name w:val="标题 3 Char2"/>
    <w:qFormat/>
    <w:uiPriority w:val="0"/>
    <w:rPr>
      <w:rFonts w:eastAsia="宋体"/>
      <w:b/>
      <w:bCs/>
      <w:kern w:val="2"/>
      <w:sz w:val="32"/>
      <w:szCs w:val="32"/>
      <w:lang w:val="en-US" w:eastAsia="zh-CN" w:bidi="ar-SA"/>
    </w:rPr>
  </w:style>
  <w:style w:type="character" w:customStyle="1" w:styleId="178">
    <w:name w:val="gray6"/>
    <w:basedOn w:val="69"/>
    <w:qFormat/>
    <w:uiPriority w:val="0"/>
    <w:rPr>
      <w:rFonts w:ascii="Arial" w:hAnsi="Arial" w:eastAsia="黑体" w:cs="Arial"/>
      <w:snapToGrid w:val="0"/>
      <w:kern w:val="0"/>
      <w:szCs w:val="21"/>
    </w:rPr>
  </w:style>
  <w:style w:type="character" w:customStyle="1" w:styleId="179">
    <w:name w:val="正文首行缩进两字 Char"/>
    <w:qFormat/>
    <w:uiPriority w:val="0"/>
    <w:rPr>
      <w:sz w:val="24"/>
      <w:szCs w:val="24"/>
      <w:lang w:val="en-US" w:eastAsia="zh-CN" w:bidi="ar-SA"/>
    </w:rPr>
  </w:style>
  <w:style w:type="character" w:customStyle="1" w:styleId="180">
    <w:name w:val="Char Char511"/>
    <w:qFormat/>
    <w:uiPriority w:val="0"/>
    <w:rPr>
      <w:rFonts w:ascii="宋体" w:hAnsi="Courier New" w:eastAsia="宋体"/>
      <w:kern w:val="2"/>
      <w:sz w:val="21"/>
      <w:lang w:val="en-US" w:eastAsia="zh-CN"/>
    </w:rPr>
  </w:style>
  <w:style w:type="character" w:customStyle="1" w:styleId="181">
    <w:name w:val="带编号样式 Char"/>
    <w:qFormat/>
    <w:uiPriority w:val="0"/>
    <w:rPr>
      <w:rFonts w:ascii="仿宋_GB2312" w:eastAsia="仿宋_GB2312"/>
      <w:color w:val="000000"/>
      <w:sz w:val="24"/>
      <w:lang w:bidi="ar-SA"/>
    </w:rPr>
  </w:style>
  <w:style w:type="character" w:customStyle="1" w:styleId="182">
    <w:name w:val="Footer-Even Char"/>
    <w:qFormat/>
    <w:uiPriority w:val="0"/>
    <w:rPr>
      <w:rFonts w:eastAsia="宋体"/>
      <w:kern w:val="2"/>
      <w:sz w:val="18"/>
      <w:lang w:val="en-US" w:eastAsia="zh-CN" w:bidi="ar-SA"/>
    </w:rPr>
  </w:style>
  <w:style w:type="character" w:customStyle="1" w:styleId="183">
    <w:name w:val="样式4 Char"/>
    <w:qFormat/>
    <w:uiPriority w:val="0"/>
    <w:rPr>
      <w:rFonts w:ascii="仿宋_GB2312" w:hAnsi="仿宋" w:eastAsia="仿宋_GB2312"/>
      <w:b/>
      <w:kern w:val="2"/>
      <w:sz w:val="32"/>
      <w:szCs w:val="32"/>
      <w:lang w:bidi="ar-SA"/>
    </w:rPr>
  </w:style>
  <w:style w:type="character" w:customStyle="1" w:styleId="184">
    <w:name w:val="样式 标题 4h4H4Fab-4T5Ref Heading 1rh1Heading sqlsect 1.2.3.... Char"/>
    <w:link w:val="185"/>
    <w:qFormat/>
    <w:uiPriority w:val="0"/>
    <w:rPr>
      <w:rFonts w:ascii="微软雅黑" w:hAnsi="微软雅黑" w:eastAsia="微软雅黑"/>
      <w:b/>
      <w:bCs/>
      <w:sz w:val="24"/>
      <w:szCs w:val="28"/>
    </w:rPr>
  </w:style>
  <w:style w:type="paragraph" w:customStyle="1" w:styleId="185">
    <w:name w:val="样式 标题 4h4H4Fab-4T5Ref Heading 1rh1Heading sqlsect 1.2.3...."/>
    <w:basedOn w:val="6"/>
    <w:link w:val="184"/>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186">
    <w:name w:val="dandyren_title1"/>
    <w:qFormat/>
    <w:uiPriority w:val="0"/>
    <w:rPr>
      <w:b/>
      <w:bCs/>
      <w:color w:val="FF6633"/>
      <w:sz w:val="18"/>
      <w:szCs w:val="18"/>
    </w:rPr>
  </w:style>
  <w:style w:type="character" w:customStyle="1" w:styleId="187">
    <w:name w:val="普通文字 Char Char1"/>
    <w:qFormat/>
    <w:uiPriority w:val="0"/>
    <w:rPr>
      <w:rFonts w:ascii="宋体" w:hAnsi="Courier New"/>
      <w:kern w:val="2"/>
      <w:sz w:val="21"/>
    </w:rPr>
  </w:style>
  <w:style w:type="character" w:customStyle="1" w:styleId="188">
    <w:name w:val="PI Char"/>
    <w:qFormat/>
    <w:uiPriority w:val="0"/>
    <w:rPr>
      <w:rFonts w:ascii="宋体" w:hAnsi="宋体" w:eastAsia="宋体"/>
      <w:kern w:val="2"/>
      <w:sz w:val="24"/>
      <w:szCs w:val="24"/>
      <w:lang w:val="en-US" w:eastAsia="zh-CN" w:bidi="ar-SA"/>
    </w:rPr>
  </w:style>
  <w:style w:type="character" w:customStyle="1" w:styleId="189">
    <w:name w:val="Char Char11"/>
    <w:qFormat/>
    <w:locked/>
    <w:uiPriority w:val="0"/>
    <w:rPr>
      <w:rFonts w:ascii="宋体" w:hAnsi="宋体" w:eastAsia="宋体"/>
      <w:b/>
      <w:kern w:val="2"/>
      <w:sz w:val="24"/>
      <w:szCs w:val="24"/>
      <w:lang w:val="en-US" w:eastAsia="zh-CN" w:bidi="ar-SA"/>
    </w:rPr>
  </w:style>
  <w:style w:type="character" w:customStyle="1" w:styleId="19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91">
    <w:name w:val="Document Map Char"/>
    <w:qFormat/>
    <w:locked/>
    <w:uiPriority w:val="0"/>
    <w:rPr>
      <w:rFonts w:eastAsia="宋体"/>
      <w:kern w:val="2"/>
      <w:sz w:val="21"/>
      <w:szCs w:val="24"/>
      <w:lang w:val="en-US" w:eastAsia="zh-CN" w:bidi="ar-SA"/>
    </w:rPr>
  </w:style>
  <w:style w:type="character" w:customStyle="1" w:styleId="192">
    <w:name w:val="文本正文 Char Char"/>
    <w:qFormat/>
    <w:locked/>
    <w:uiPriority w:val="0"/>
    <w:rPr>
      <w:sz w:val="24"/>
      <w:lang w:bidi="ar-SA"/>
    </w:rPr>
  </w:style>
  <w:style w:type="character" w:customStyle="1" w:styleId="193">
    <w:name w:val="样式7 Char"/>
    <w:qFormat/>
    <w:uiPriority w:val="0"/>
    <w:rPr>
      <w:rFonts w:ascii="仿宋_GB2312" w:hAnsi="仿宋" w:eastAsia="仿宋_GB2312"/>
      <w:b/>
      <w:kern w:val="2"/>
      <w:sz w:val="24"/>
      <w:szCs w:val="24"/>
    </w:rPr>
  </w:style>
  <w:style w:type="character" w:customStyle="1" w:styleId="194">
    <w:name w:val="样式3 Char"/>
    <w:basedOn w:val="195"/>
    <w:qFormat/>
    <w:uiPriority w:val="0"/>
    <w:rPr>
      <w:rFonts w:ascii="仿宋_GB2312" w:hAnsi="仿宋" w:eastAsia="仿宋_GB2312" w:cs="仿宋_GB2312"/>
      <w:sz w:val="32"/>
      <w:szCs w:val="30"/>
      <w:lang w:val="zh-CN"/>
    </w:rPr>
  </w:style>
  <w:style w:type="character" w:customStyle="1" w:styleId="195">
    <w:name w:val="样式2 Char"/>
    <w:qFormat/>
    <w:uiPriority w:val="0"/>
    <w:rPr>
      <w:rFonts w:ascii="仿宋_GB2312" w:hAnsi="仿宋" w:eastAsia="仿宋_GB2312" w:cs="仿宋_GB2312"/>
      <w:b/>
      <w:bCs/>
      <w:sz w:val="32"/>
      <w:szCs w:val="30"/>
      <w:lang w:val="zh-CN"/>
    </w:rPr>
  </w:style>
  <w:style w:type="character" w:customStyle="1" w:styleId="196">
    <w:name w:val="二级标题 Char Char"/>
    <w:qFormat/>
    <w:uiPriority w:val="0"/>
    <w:rPr>
      <w:rFonts w:ascii="宋体" w:hAnsi="宋体" w:eastAsia="宋体"/>
      <w:b/>
      <w:snapToGrid w:val="0"/>
      <w:kern w:val="2"/>
      <w:sz w:val="24"/>
      <w:szCs w:val="24"/>
      <w:lang w:val="en-US" w:eastAsia="zh-CN" w:bidi="ar-SA"/>
    </w:rPr>
  </w:style>
  <w:style w:type="character" w:customStyle="1" w:styleId="197">
    <w:name w:val="Table Text Char1"/>
    <w:qFormat/>
    <w:uiPriority w:val="0"/>
    <w:rPr>
      <w:rFonts w:eastAsia="宋体"/>
      <w:sz w:val="24"/>
      <w:szCs w:val="24"/>
      <w:lang w:val="en-US" w:eastAsia="zh-CN" w:bidi="ar-SA"/>
    </w:rPr>
  </w:style>
  <w:style w:type="character" w:customStyle="1" w:styleId="198">
    <w:name w:val="shadow11"/>
    <w:qFormat/>
    <w:uiPriority w:val="0"/>
    <w:rPr>
      <w:color w:val="000000"/>
      <w:sz w:val="21"/>
    </w:rPr>
  </w:style>
  <w:style w:type="character" w:customStyle="1" w:styleId="199">
    <w:name w:val="Char Char212"/>
    <w:qFormat/>
    <w:uiPriority w:val="0"/>
    <w:rPr>
      <w:rFonts w:eastAsia="宋体"/>
      <w:b/>
      <w:bCs/>
      <w:kern w:val="2"/>
      <w:sz w:val="21"/>
      <w:szCs w:val="24"/>
      <w:lang w:val="en-US" w:eastAsia="zh-CN" w:bidi="ar-SA"/>
    </w:rPr>
  </w:style>
  <w:style w:type="character" w:customStyle="1" w:styleId="200">
    <w:name w:val="h3 Char1"/>
    <w:qFormat/>
    <w:uiPriority w:val="0"/>
    <w:rPr>
      <w:rFonts w:eastAsia="宋体"/>
      <w:b/>
      <w:bCs/>
      <w:kern w:val="2"/>
      <w:sz w:val="32"/>
      <w:szCs w:val="32"/>
      <w:lang w:bidi="ar-SA"/>
    </w:rPr>
  </w:style>
  <w:style w:type="character" w:customStyle="1" w:styleId="201">
    <w:name w:val="FA正文 Char Char"/>
    <w:qFormat/>
    <w:uiPriority w:val="0"/>
    <w:rPr>
      <w:rFonts w:hAnsi="宋体"/>
      <w:kern w:val="2"/>
      <w:sz w:val="24"/>
      <w:lang w:bidi="ar-SA"/>
    </w:rPr>
  </w:style>
  <w:style w:type="character" w:customStyle="1" w:styleId="202">
    <w:name w:val="首行缩进 Char"/>
    <w:qFormat/>
    <w:uiPriority w:val="0"/>
    <w:rPr>
      <w:rFonts w:ascii="宋体" w:eastAsia="宋体"/>
      <w:kern w:val="2"/>
      <w:sz w:val="24"/>
      <w:lang w:val="en-US" w:eastAsia="zh-CN" w:bidi="ar-SA"/>
    </w:rPr>
  </w:style>
  <w:style w:type="character" w:customStyle="1" w:styleId="203">
    <w:name w:val="Char Char7"/>
    <w:semiHidden/>
    <w:qFormat/>
    <w:uiPriority w:val="0"/>
    <w:rPr>
      <w:rFonts w:eastAsia="宋体"/>
      <w:kern w:val="2"/>
      <w:sz w:val="21"/>
      <w:szCs w:val="24"/>
      <w:lang w:val="en-US" w:eastAsia="zh-CN" w:bidi="ar-SA"/>
    </w:rPr>
  </w:style>
  <w:style w:type="character" w:customStyle="1" w:styleId="204">
    <w:name w:val="hui"/>
    <w:basedOn w:val="69"/>
    <w:qFormat/>
    <w:uiPriority w:val="0"/>
    <w:rPr>
      <w:rFonts w:ascii="Arial" w:hAnsi="Arial" w:eastAsia="黑体" w:cs="Arial"/>
      <w:snapToGrid w:val="0"/>
      <w:kern w:val="0"/>
      <w:szCs w:val="21"/>
    </w:rPr>
  </w:style>
  <w:style w:type="character" w:customStyle="1" w:styleId="205">
    <w:name w:val="正文缩进 Char"/>
    <w:qFormat/>
    <w:uiPriority w:val="0"/>
    <w:rPr>
      <w:rFonts w:eastAsia="宋体"/>
      <w:kern w:val="2"/>
      <w:sz w:val="21"/>
      <w:lang w:val="en-US" w:eastAsia="zh-CN"/>
    </w:rPr>
  </w:style>
  <w:style w:type="character" w:customStyle="1" w:styleId="206">
    <w:name w:val="正文1 Char"/>
    <w:qFormat/>
    <w:uiPriority w:val="0"/>
    <w:rPr>
      <w:rFonts w:ascii="宋体" w:eastAsia="宋体"/>
      <w:snapToGrid w:val="0"/>
      <w:color w:val="000000"/>
      <w:kern w:val="28"/>
      <w:sz w:val="28"/>
      <w:lang w:val="en-US" w:eastAsia="zh-CN" w:bidi="ar-SA"/>
    </w:rPr>
  </w:style>
  <w:style w:type="character" w:customStyle="1" w:styleId="207">
    <w:name w:val="Char Char611"/>
    <w:qFormat/>
    <w:uiPriority w:val="0"/>
    <w:rPr>
      <w:rFonts w:eastAsia="宋体"/>
      <w:kern w:val="2"/>
      <w:sz w:val="21"/>
      <w:szCs w:val="24"/>
      <w:lang w:val="en-US" w:eastAsia="zh-CN" w:bidi="ar-SA"/>
    </w:rPr>
  </w:style>
  <w:style w:type="character" w:customStyle="1" w:styleId="208">
    <w:name w:val="message1"/>
    <w:qFormat/>
    <w:uiPriority w:val="0"/>
    <w:rPr>
      <w:rFonts w:hint="default" w:ascii="Tahoma" w:hAnsi="Tahoma" w:cs="Tahoma"/>
      <w:sz w:val="18"/>
      <w:szCs w:val="18"/>
    </w:rPr>
  </w:style>
  <w:style w:type="character" w:customStyle="1" w:styleId="209">
    <w:name w:val="Heading 2 Hidden Char"/>
    <w:qFormat/>
    <w:uiPriority w:val="0"/>
    <w:rPr>
      <w:rFonts w:ascii="仿宋_GB2312" w:eastAsia="仿宋_GB2312"/>
      <w:b/>
      <w:bCs/>
      <w:kern w:val="2"/>
      <w:sz w:val="24"/>
      <w:szCs w:val="24"/>
      <w:lang w:val="zh-CN" w:eastAsia="zh-CN" w:bidi="ar-SA"/>
    </w:rPr>
  </w:style>
  <w:style w:type="character" w:customStyle="1" w:styleId="210">
    <w:name w:val="DO_NOT_TRANSLATE"/>
    <w:qFormat/>
    <w:uiPriority w:val="0"/>
    <w:rPr>
      <w:rFonts w:ascii="Courier New" w:hAnsi="Courier New" w:cs="Courier New"/>
      <w:color w:val="800000"/>
      <w:lang w:val="en-US" w:eastAsia="zh-CN"/>
    </w:rPr>
  </w:style>
  <w:style w:type="character" w:customStyle="1" w:styleId="211">
    <w:name w:val="unnamed11"/>
    <w:qFormat/>
    <w:uiPriority w:val="0"/>
    <w:rPr>
      <w:sz w:val="20"/>
      <w:szCs w:val="20"/>
    </w:rPr>
  </w:style>
  <w:style w:type="character" w:customStyle="1" w:styleId="212">
    <w:name w:val="tw4winInternal"/>
    <w:qFormat/>
    <w:uiPriority w:val="0"/>
    <w:rPr>
      <w:rFonts w:ascii="Courier New" w:hAnsi="Courier New" w:cs="Courier New"/>
      <w:color w:val="FF0000"/>
      <w:lang w:val="en-US" w:eastAsia="zh-CN"/>
    </w:rPr>
  </w:style>
  <w:style w:type="character" w:customStyle="1" w:styleId="213">
    <w:name w:val="正文（缩进2汉字） Char"/>
    <w:link w:val="214"/>
    <w:qFormat/>
    <w:uiPriority w:val="0"/>
    <w:rPr>
      <w:rFonts w:ascii="宋体"/>
    </w:rPr>
  </w:style>
  <w:style w:type="paragraph" w:customStyle="1" w:styleId="214">
    <w:name w:val="正文（缩进2汉字）"/>
    <w:basedOn w:val="1"/>
    <w:link w:val="213"/>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215">
    <w:name w:val="正文缩进 Char1"/>
    <w:qFormat/>
    <w:uiPriority w:val="0"/>
    <w:rPr>
      <w:rFonts w:ascii="宋体" w:eastAsia="宋体"/>
      <w:snapToGrid w:val="0"/>
      <w:color w:val="000000"/>
      <w:kern w:val="28"/>
      <w:sz w:val="28"/>
      <w:lang w:val="en-US" w:eastAsia="zh-CN" w:bidi="ar-SA"/>
    </w:rPr>
  </w:style>
  <w:style w:type="character" w:customStyle="1" w:styleId="216">
    <w:name w:val="style36"/>
    <w:basedOn w:val="69"/>
    <w:qFormat/>
    <w:uiPriority w:val="0"/>
    <w:rPr>
      <w:rFonts w:ascii="Arial" w:hAnsi="Arial" w:eastAsia="黑体" w:cs="Arial"/>
      <w:snapToGrid w:val="0"/>
      <w:kern w:val="0"/>
      <w:szCs w:val="21"/>
    </w:rPr>
  </w:style>
  <w:style w:type="character" w:customStyle="1" w:styleId="217">
    <w:name w:val="hui3"/>
    <w:qFormat/>
    <w:uiPriority w:val="0"/>
    <w:rPr>
      <w:color w:val="333333"/>
    </w:rPr>
  </w:style>
  <w:style w:type="character" w:customStyle="1" w:styleId="218">
    <w:name w:val="方案正文 Char"/>
    <w:qFormat/>
    <w:uiPriority w:val="0"/>
    <w:rPr>
      <w:rFonts w:ascii="仿宋_GB2312" w:eastAsia="仿宋_GB2312"/>
      <w:b/>
      <w:color w:val="000000"/>
      <w:kern w:val="2"/>
      <w:sz w:val="24"/>
      <w:lang w:val="en-US" w:eastAsia="zh-CN" w:bidi="ar-SA"/>
    </w:rPr>
  </w:style>
  <w:style w:type="character" w:customStyle="1" w:styleId="219">
    <w:name w:val="apple-converted-space"/>
    <w:qFormat/>
    <w:uiPriority w:val="0"/>
  </w:style>
  <w:style w:type="character" w:customStyle="1" w:styleId="220">
    <w:name w:val="正文非缩进 Char3"/>
    <w:qFormat/>
    <w:uiPriority w:val="0"/>
    <w:rPr>
      <w:rFonts w:ascii="宋体" w:eastAsia="宋体"/>
      <w:snapToGrid w:val="0"/>
      <w:color w:val="000000"/>
      <w:kern w:val="28"/>
      <w:sz w:val="28"/>
      <w:lang w:val="en-US" w:eastAsia="zh-CN" w:bidi="ar-SA"/>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t21"/>
    <w:qFormat/>
    <w:uiPriority w:val="0"/>
    <w:rPr>
      <w:rFonts w:ascii="仿宋_GB2312" w:eastAsia="微软雅黑"/>
      <w:b/>
      <w:kern w:val="2"/>
      <w:sz w:val="23"/>
      <w:szCs w:val="23"/>
      <w:lang w:val="en-US" w:eastAsia="zh-CN" w:bidi="ar-SA"/>
    </w:rPr>
  </w:style>
  <w:style w:type="character" w:customStyle="1" w:styleId="223">
    <w:name w:val="副标题 Char1"/>
    <w:qFormat/>
    <w:uiPriority w:val="11"/>
    <w:rPr>
      <w:rFonts w:ascii="Cambria" w:hAnsi="Cambria" w:eastAsia="宋体" w:cs="Times New Roman"/>
      <w:b/>
      <w:bCs/>
      <w:snapToGrid w:val="0"/>
      <w:kern w:val="28"/>
      <w:sz w:val="32"/>
      <w:szCs w:val="32"/>
    </w:rPr>
  </w:style>
  <w:style w:type="character" w:customStyle="1" w:styleId="224">
    <w:name w:val="px14"/>
    <w:qFormat/>
    <w:uiPriority w:val="0"/>
    <w:rPr>
      <w:rFonts w:ascii="仿宋_GB2312" w:eastAsia="微软雅黑" w:cs="Times New Roman"/>
      <w:b/>
      <w:kern w:val="2"/>
      <w:sz w:val="32"/>
      <w:szCs w:val="32"/>
      <w:lang w:val="en-US" w:eastAsia="zh-CN" w:bidi="ar-SA"/>
    </w:rPr>
  </w:style>
  <w:style w:type="character" w:customStyle="1" w:styleId="225">
    <w:name w:val="Normal Indent Char Char"/>
    <w:qFormat/>
    <w:uiPriority w:val="0"/>
    <w:rPr>
      <w:rFonts w:eastAsia="宋体"/>
      <w:kern w:val="2"/>
      <w:sz w:val="21"/>
      <w:lang w:val="en-US" w:eastAsia="zh-CN" w:bidi="ar-SA"/>
    </w:rPr>
  </w:style>
  <w:style w:type="character" w:customStyle="1" w:styleId="226">
    <w:name w:val="f141"/>
    <w:qFormat/>
    <w:uiPriority w:val="0"/>
    <w:rPr>
      <w:rFonts w:ascii="Tahoma" w:hAnsi="Tahoma" w:eastAsia="宋体"/>
      <w:b/>
      <w:kern w:val="2"/>
      <w:sz w:val="21"/>
      <w:szCs w:val="21"/>
      <w:lang w:val="en-US" w:eastAsia="zh-CN" w:bidi="ar-SA"/>
    </w:rPr>
  </w:style>
  <w:style w:type="character" w:customStyle="1" w:styleId="227">
    <w:name w:val="myp1111"/>
    <w:qFormat/>
    <w:uiPriority w:val="0"/>
    <w:rPr>
      <w:rFonts w:hint="default" w:ascii="ˎ̥" w:hAnsi="ˎ̥"/>
      <w:color w:val="000000"/>
      <w:sz w:val="20"/>
      <w:szCs w:val="20"/>
      <w:u w:val="none"/>
    </w:rPr>
  </w:style>
  <w:style w:type="character" w:customStyle="1" w:styleId="228">
    <w:name w:val="标书1 Char"/>
    <w:qFormat/>
    <w:uiPriority w:val="0"/>
    <w:rPr>
      <w:rFonts w:eastAsia="宋体"/>
      <w:b/>
      <w:bCs/>
      <w:kern w:val="44"/>
      <w:sz w:val="44"/>
      <w:szCs w:val="44"/>
      <w:lang w:val="en-US" w:eastAsia="zh-CN" w:bidi="ar-SA"/>
    </w:rPr>
  </w:style>
  <w:style w:type="character" w:customStyle="1" w:styleId="229">
    <w:name w:val="链接"/>
    <w:qFormat/>
    <w:uiPriority w:val="0"/>
    <w:rPr>
      <w:color w:val="0000FF"/>
      <w:sz w:val="21"/>
      <w:szCs w:val="21"/>
      <w:u w:val="single"/>
    </w:rPr>
  </w:style>
  <w:style w:type="character" w:customStyle="1" w:styleId="230">
    <w:name w:val="正文首行缩进 Char Char Char Char Char Char"/>
    <w:qFormat/>
    <w:uiPriority w:val="0"/>
    <w:rPr>
      <w:rFonts w:ascii="宋体" w:eastAsia="宋体"/>
      <w:kern w:val="2"/>
      <w:sz w:val="24"/>
      <w:lang w:val="zh-CN" w:bidi="ar-SA"/>
    </w:rPr>
  </w:style>
  <w:style w:type="character" w:customStyle="1" w:styleId="231">
    <w:name w:val="正文2 Char Char"/>
    <w:link w:val="232"/>
    <w:qFormat/>
    <w:uiPriority w:val="0"/>
    <w:rPr>
      <w:rFonts w:eastAsia="宋体"/>
      <w:sz w:val="24"/>
    </w:rPr>
  </w:style>
  <w:style w:type="paragraph" w:customStyle="1" w:styleId="232">
    <w:name w:val="正文2"/>
    <w:basedOn w:val="1"/>
    <w:link w:val="231"/>
    <w:qFormat/>
    <w:uiPriority w:val="0"/>
    <w:pPr>
      <w:adjustRightInd w:val="0"/>
      <w:spacing w:before="156" w:line="360" w:lineRule="auto"/>
      <w:ind w:firstLine="510" w:firstLineChars="200"/>
    </w:pPr>
    <w:rPr>
      <w:rFonts w:eastAsia="宋体"/>
      <w:sz w:val="24"/>
    </w:rPr>
  </w:style>
  <w:style w:type="character" w:customStyle="1" w:styleId="233">
    <w:name w:val="tw4winError"/>
    <w:qFormat/>
    <w:uiPriority w:val="0"/>
    <w:rPr>
      <w:rFonts w:ascii="Courier New" w:hAnsi="Courier New" w:cs="Courier New"/>
      <w:color w:val="00FF00"/>
      <w:sz w:val="40"/>
      <w:szCs w:val="40"/>
    </w:rPr>
  </w:style>
  <w:style w:type="character" w:customStyle="1" w:styleId="234">
    <w:name w:val="正文1 Char1"/>
    <w:qFormat/>
    <w:uiPriority w:val="0"/>
    <w:rPr>
      <w:rFonts w:ascii="仿宋_GB2312" w:hAnsi="Courier New" w:eastAsia="仿宋_GB2312"/>
      <w:kern w:val="28"/>
      <w:sz w:val="24"/>
      <w:szCs w:val="24"/>
      <w:lang w:val="en-US" w:eastAsia="zh-CN"/>
    </w:rPr>
  </w:style>
  <w:style w:type="character" w:customStyle="1" w:styleId="235">
    <w:name w:val="Used by Word for text of Help footnotes Char Char"/>
    <w:qFormat/>
    <w:uiPriority w:val="0"/>
    <w:rPr>
      <w:rFonts w:ascii="Times New Roman" w:hAnsi="Times New Roman" w:eastAsia="宋体" w:cs="Times New Roman"/>
      <w:sz w:val="20"/>
      <w:szCs w:val="20"/>
    </w:rPr>
  </w:style>
  <w:style w:type="character" w:customStyle="1" w:styleId="236">
    <w:name w:val="c7 style3"/>
    <w:qFormat/>
    <w:uiPriority w:val="0"/>
  </w:style>
  <w:style w:type="character" w:customStyle="1" w:styleId="237">
    <w:name w:val="Char Char3111"/>
    <w:qFormat/>
    <w:uiPriority w:val="0"/>
    <w:rPr>
      <w:rFonts w:ascii="Times New Roman" w:hAnsi="Times New Roman" w:eastAsia="宋体" w:cs="Times New Roman"/>
      <w:b/>
      <w:kern w:val="2"/>
      <w:sz w:val="32"/>
      <w:szCs w:val="24"/>
      <w:lang w:val="en-US" w:eastAsia="zh-CN" w:bidi="ar-SA"/>
    </w:rPr>
  </w:style>
  <w:style w:type="character" w:customStyle="1" w:styleId="238">
    <w:name w:val="表正文 Char"/>
    <w:qFormat/>
    <w:uiPriority w:val="0"/>
    <w:rPr>
      <w:rFonts w:ascii="宋体" w:eastAsia="宋体"/>
      <w:snapToGrid w:val="0"/>
      <w:color w:val="000000"/>
      <w:kern w:val="28"/>
      <w:sz w:val="28"/>
      <w:lang w:val="en-US" w:eastAsia="zh-CN" w:bidi="ar-SA"/>
    </w:rPr>
  </w:style>
  <w:style w:type="character" w:customStyle="1" w:styleId="239">
    <w:name w:val="普通文字 Char1 Char"/>
    <w:qFormat/>
    <w:uiPriority w:val="0"/>
    <w:rPr>
      <w:rFonts w:ascii="宋体" w:hAnsi="Courier New" w:eastAsia="宋体"/>
      <w:kern w:val="2"/>
      <w:sz w:val="21"/>
      <w:szCs w:val="24"/>
      <w:lang w:val="en-US" w:eastAsia="zh-CN" w:bidi="ar-SA"/>
    </w:rPr>
  </w:style>
  <w:style w:type="character" w:customStyle="1" w:styleId="240">
    <w:name w:val="pt9"/>
    <w:qFormat/>
    <w:uiPriority w:val="0"/>
    <w:rPr>
      <w:rFonts w:ascii="仿宋_GB2312" w:eastAsia="微软雅黑"/>
      <w:b/>
      <w:kern w:val="2"/>
      <w:sz w:val="32"/>
      <w:szCs w:val="32"/>
      <w:lang w:val="en-US" w:eastAsia="zh-CN" w:bidi="ar-SA"/>
    </w:rPr>
  </w:style>
  <w:style w:type="character" w:customStyle="1" w:styleId="241">
    <w:name w:val="表正文 Char1"/>
    <w:qFormat/>
    <w:uiPriority w:val="0"/>
    <w:rPr>
      <w:rFonts w:ascii="宋体" w:eastAsia="宋体"/>
      <w:snapToGrid w:val="0"/>
      <w:color w:val="000000"/>
      <w:kern w:val="28"/>
      <w:sz w:val="28"/>
    </w:rPr>
  </w:style>
  <w:style w:type="character" w:customStyle="1" w:styleId="242">
    <w:name w:val="正文非缩进 Char"/>
    <w:qFormat/>
    <w:uiPriority w:val="0"/>
    <w:rPr>
      <w:rFonts w:ascii="宋体" w:eastAsia="宋体"/>
      <w:snapToGrid w:val="0"/>
      <w:color w:val="000000"/>
      <w:kern w:val="28"/>
      <w:sz w:val="28"/>
      <w:lang w:val="en-US" w:eastAsia="zh-CN" w:bidi="ar-SA"/>
    </w:rPr>
  </w:style>
  <w:style w:type="character" w:customStyle="1" w:styleId="243">
    <w:name w:val="冯广丽 Char"/>
    <w:link w:val="244"/>
    <w:qFormat/>
    <w:uiPriority w:val="0"/>
    <w:rPr>
      <w:rFonts w:ascii="宋体" w:hAnsi="宋体"/>
      <w:sz w:val="24"/>
    </w:rPr>
  </w:style>
  <w:style w:type="paragraph" w:customStyle="1" w:styleId="244">
    <w:name w:val="冯广丽"/>
    <w:basedOn w:val="1"/>
    <w:link w:val="243"/>
    <w:qFormat/>
    <w:uiPriority w:val="0"/>
    <w:pPr>
      <w:spacing w:line="360" w:lineRule="auto"/>
      <w:ind w:firstLine="480" w:firstLineChars="200"/>
    </w:pPr>
    <w:rPr>
      <w:rFonts w:ascii="宋体" w:hAnsi="宋体"/>
      <w:sz w:val="24"/>
    </w:rPr>
  </w:style>
  <w:style w:type="character" w:customStyle="1" w:styleId="245">
    <w:name w:val="large1"/>
    <w:qFormat/>
    <w:uiPriority w:val="0"/>
    <w:rPr>
      <w:rFonts w:hint="eastAsia" w:ascii="宋体" w:hAnsi="宋体" w:eastAsia="宋体"/>
      <w:sz w:val="21"/>
      <w:szCs w:val="21"/>
    </w:rPr>
  </w:style>
  <w:style w:type="character" w:customStyle="1" w:styleId="246">
    <w:name w:val="样式 样式 标题 4h4H4Fab-4T5Ref Heading 1rh1Heading sqlsect 1.2.3.... +... Char"/>
    <w:link w:val="247"/>
    <w:qFormat/>
    <w:uiPriority w:val="0"/>
    <w:rPr>
      <w:rFonts w:ascii="微软雅黑" w:hAnsi="微软雅黑" w:eastAsia="微软雅黑"/>
      <w:b/>
      <w:bCs/>
      <w:sz w:val="24"/>
      <w:szCs w:val="28"/>
    </w:rPr>
  </w:style>
  <w:style w:type="paragraph" w:customStyle="1" w:styleId="247">
    <w:name w:val="样式 样式 标题 4h4H4Fab-4T5Ref Heading 1rh1Heading sqlsect 1.2.3.... +..."/>
    <w:basedOn w:val="185"/>
    <w:link w:val="246"/>
    <w:qFormat/>
    <w:uiPriority w:val="0"/>
  </w:style>
  <w:style w:type="character" w:customStyle="1" w:styleId="248">
    <w:name w:val="标题 1 Char Char"/>
    <w:qFormat/>
    <w:uiPriority w:val="0"/>
    <w:rPr>
      <w:rFonts w:hint="eastAsia" w:ascii="宋体" w:hAnsi="宋体" w:eastAsia="宋体"/>
      <w:b/>
      <w:spacing w:val="-2"/>
      <w:sz w:val="24"/>
      <w:lang w:val="en-US" w:eastAsia="zh-CN" w:bidi="ar-SA"/>
    </w:rPr>
  </w:style>
  <w:style w:type="character" w:customStyle="1" w:styleId="249">
    <w:name w:val="标题 4 Char1"/>
    <w:qFormat/>
    <w:uiPriority w:val="0"/>
    <w:rPr>
      <w:rFonts w:ascii="Cambria" w:hAnsi="Cambria" w:eastAsia="宋体" w:cs="Times New Roman"/>
      <w:b/>
      <w:bCs/>
      <w:kern w:val="2"/>
      <w:sz w:val="28"/>
      <w:szCs w:val="28"/>
    </w:rPr>
  </w:style>
  <w:style w:type="character" w:customStyle="1" w:styleId="250">
    <w:name w:val="zbggmain style9"/>
    <w:qFormat/>
    <w:uiPriority w:val="0"/>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tw4winPopup"/>
    <w:qFormat/>
    <w:uiPriority w:val="0"/>
    <w:rPr>
      <w:rFonts w:ascii="Courier New" w:hAnsi="Courier New" w:cs="Courier New"/>
      <w:color w:val="008000"/>
      <w:lang w:val="en-US" w:eastAsia="zh-CN"/>
    </w:rPr>
  </w:style>
  <w:style w:type="character" w:customStyle="1" w:styleId="253">
    <w:name w:val="样式 宋体"/>
    <w:qFormat/>
    <w:uiPriority w:val="0"/>
    <w:rPr>
      <w:rFonts w:ascii="宋体" w:hAnsi="宋体"/>
      <w:sz w:val="24"/>
    </w:rPr>
  </w:style>
  <w:style w:type="character" w:customStyle="1" w:styleId="254">
    <w:name w:val="正文缩进 Char2"/>
    <w:link w:val="16"/>
    <w:qFormat/>
    <w:uiPriority w:val="0"/>
    <w:rPr>
      <w:rFonts w:ascii="宋体" w:eastAsia="宋体"/>
      <w:snapToGrid w:val="0"/>
      <w:color w:val="000000"/>
      <w:kern w:val="28"/>
      <w:sz w:val="28"/>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批注文字 Char1"/>
    <w:qFormat/>
    <w:uiPriority w:val="99"/>
    <w:rPr>
      <w:kern w:val="2"/>
      <w:sz w:val="21"/>
      <w:szCs w:val="24"/>
    </w:rPr>
  </w:style>
  <w:style w:type="character" w:customStyle="1" w:styleId="257">
    <w:name w:val="公文正文 Char"/>
    <w:qFormat/>
    <w:uiPriority w:val="0"/>
    <w:rPr>
      <w:rFonts w:ascii="仿宋_GB2312" w:eastAsia="仿宋_GB2312"/>
      <w:kern w:val="2"/>
      <w:sz w:val="24"/>
      <w:szCs w:val="24"/>
      <w:lang w:val="en-US" w:eastAsia="zh-CN" w:bidi="ar-SA"/>
    </w:rPr>
  </w:style>
  <w:style w:type="character" w:customStyle="1" w:styleId="258">
    <w:name w:val="Footer Char"/>
    <w:qFormat/>
    <w:locked/>
    <w:uiPriority w:val="0"/>
    <w:rPr>
      <w:rFonts w:eastAsia="宋体"/>
      <w:kern w:val="2"/>
      <w:sz w:val="18"/>
      <w:lang w:val="en-US" w:eastAsia="zh-CN" w:bidi="ar-SA"/>
    </w:rPr>
  </w:style>
  <w:style w:type="character" w:customStyle="1" w:styleId="259">
    <w:name w:val="Char Char411"/>
    <w:qFormat/>
    <w:uiPriority w:val="0"/>
    <w:rPr>
      <w:rFonts w:eastAsia="宋体"/>
      <w:b/>
      <w:sz w:val="24"/>
      <w:lang w:val="en-GB" w:eastAsia="zh-CN" w:bidi="ar-SA"/>
    </w:rPr>
  </w:style>
  <w:style w:type="character" w:customStyle="1" w:styleId="260">
    <w:name w:val="Char Char911"/>
    <w:qFormat/>
    <w:uiPriority w:val="0"/>
    <w:rPr>
      <w:rFonts w:eastAsia="宋体"/>
      <w:kern w:val="2"/>
      <w:sz w:val="18"/>
      <w:szCs w:val="18"/>
      <w:lang w:val="en-US" w:eastAsia="zh-CN" w:bidi="ar-SA"/>
    </w:rPr>
  </w:style>
  <w:style w:type="character" w:customStyle="1" w:styleId="261">
    <w:name w:val="列出段落 Char"/>
    <w:qFormat/>
    <w:uiPriority w:val="0"/>
    <w:rPr>
      <w:rFonts w:eastAsia="楷体_GB2312" w:cs="Lucida Sans"/>
      <w:kern w:val="2"/>
      <w:sz w:val="24"/>
      <w:szCs w:val="24"/>
      <w:lang w:val="en-US" w:eastAsia="zh-CN" w:bidi="ar-SA"/>
    </w:rPr>
  </w:style>
  <w:style w:type="character" w:customStyle="1" w:styleId="262">
    <w:name w:val="gf正文1 Char"/>
    <w:qFormat/>
    <w:uiPriority w:val="0"/>
    <w:rPr>
      <w:rFonts w:ascii="宋体" w:hAnsi="宋体" w:eastAsia="宋体" w:cs="宋体"/>
      <w:kern w:val="2"/>
      <w:sz w:val="24"/>
      <w:szCs w:val="24"/>
      <w:lang w:val="en-US" w:eastAsia="zh-CN" w:bidi="ar-SA"/>
    </w:rPr>
  </w:style>
  <w:style w:type="character" w:customStyle="1" w:styleId="263">
    <w:name w:val="标书表格字体格式 Char"/>
    <w:qFormat/>
    <w:uiPriority w:val="0"/>
    <w:rPr>
      <w:kern w:val="2"/>
      <w:sz w:val="21"/>
      <w:szCs w:val="24"/>
      <w:lang w:bidi="ar-SA"/>
    </w:rPr>
  </w:style>
  <w:style w:type="character" w:customStyle="1" w:styleId="264">
    <w:name w:val="样式6 Char"/>
    <w:qFormat/>
    <w:uiPriority w:val="0"/>
    <w:rPr>
      <w:rFonts w:ascii="仿宋_GB2312" w:hAnsi="宋体" w:eastAsia="仿宋_GB2312"/>
      <w:b/>
      <w:bCs/>
      <w:kern w:val="2"/>
      <w:sz w:val="24"/>
      <w:szCs w:val="24"/>
      <w:lang w:val="en-US" w:eastAsia="zh-CN" w:bidi="ar-SA"/>
    </w:rPr>
  </w:style>
  <w:style w:type="character" w:customStyle="1" w:styleId="265">
    <w:name w:val="冯 Char"/>
    <w:link w:val="266"/>
    <w:qFormat/>
    <w:uiPriority w:val="0"/>
    <w:rPr>
      <w:rFonts w:ascii="宋体" w:hAnsi="宋体"/>
      <w:color w:val="000000"/>
      <w:sz w:val="24"/>
      <w:szCs w:val="24"/>
    </w:rPr>
  </w:style>
  <w:style w:type="paragraph" w:customStyle="1" w:styleId="266">
    <w:name w:val="冯"/>
    <w:basedOn w:val="1"/>
    <w:link w:val="265"/>
    <w:qFormat/>
    <w:uiPriority w:val="0"/>
    <w:pPr>
      <w:widowControl/>
      <w:spacing w:line="360" w:lineRule="auto"/>
      <w:ind w:firstLine="480" w:firstLineChars="200"/>
    </w:pPr>
    <w:rPr>
      <w:rFonts w:ascii="宋体" w:hAnsi="宋体"/>
      <w:color w:val="000000"/>
      <w:sz w:val="24"/>
      <w:szCs w:val="24"/>
    </w:rPr>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md"/>
    <w:basedOn w:val="69"/>
    <w:qFormat/>
    <w:uiPriority w:val="0"/>
    <w:rPr>
      <w:rFonts w:ascii="Arial" w:hAnsi="Arial" w:eastAsia="黑体" w:cs="Arial"/>
      <w:snapToGrid w:val="0"/>
      <w:kern w:val="0"/>
      <w:szCs w:val="21"/>
    </w:rPr>
  </w:style>
  <w:style w:type="character" w:customStyle="1" w:styleId="269">
    <w:name w:val="样式5 Char"/>
    <w:qFormat/>
    <w:uiPriority w:val="0"/>
    <w:rPr>
      <w:rFonts w:ascii="仿宋_GB2312" w:hAnsi="仿宋" w:eastAsia="仿宋_GB2312"/>
      <w:kern w:val="2"/>
      <w:sz w:val="24"/>
      <w:szCs w:val="24"/>
    </w:rPr>
  </w:style>
  <w:style w:type="character" w:customStyle="1" w:styleId="270">
    <w:name w:val="表格 Char Char"/>
    <w:qFormat/>
    <w:uiPriority w:val="0"/>
    <w:rPr>
      <w:rFonts w:ascii="宋体" w:hAnsi="宋体" w:eastAsia="宋体"/>
      <w:lang w:bidi="ar-SA"/>
    </w:rPr>
  </w:style>
  <w:style w:type="character" w:customStyle="1" w:styleId="271">
    <w:name w:val="font12gray1"/>
    <w:qFormat/>
    <w:uiPriority w:val="0"/>
    <w:rPr>
      <w:rFonts w:ascii="仿宋_GB2312" w:eastAsia="微软雅黑"/>
      <w:b/>
      <w:spacing w:val="300"/>
      <w:kern w:val="2"/>
      <w:sz w:val="18"/>
      <w:szCs w:val="18"/>
      <w:lang w:val="en-US" w:eastAsia="zh-CN" w:bidi="ar-SA"/>
    </w:rPr>
  </w:style>
  <w:style w:type="character" w:customStyle="1" w:styleId="272">
    <w:name w:val="txt"/>
    <w:qFormat/>
    <w:uiPriority w:val="0"/>
    <w:rPr>
      <w:rFonts w:ascii="仿宋_GB2312" w:eastAsia="微软雅黑"/>
      <w:b/>
      <w:kern w:val="2"/>
      <w:sz w:val="32"/>
      <w:szCs w:val="32"/>
      <w:lang w:val="en-US" w:eastAsia="zh-CN" w:bidi="ar-SA"/>
    </w:rPr>
  </w:style>
  <w:style w:type="character" w:customStyle="1" w:styleId="273">
    <w:name w:val="tw4winJump"/>
    <w:qFormat/>
    <w:uiPriority w:val="0"/>
    <w:rPr>
      <w:rFonts w:ascii="Courier New" w:hAnsi="Courier New" w:cs="Courier New"/>
      <w:color w:val="008080"/>
      <w:lang w:val="en-US" w:eastAsia="zh-CN"/>
    </w:rPr>
  </w:style>
  <w:style w:type="character" w:customStyle="1" w:styleId="274">
    <w:name w:val="Item List Char"/>
    <w:link w:val="275"/>
    <w:qFormat/>
    <w:uiPriority w:val="0"/>
    <w:rPr>
      <w:rFonts w:ascii="Arial"/>
      <w:bCs/>
      <w:szCs w:val="21"/>
    </w:rPr>
  </w:style>
  <w:style w:type="paragraph" w:customStyle="1" w:styleId="275">
    <w:name w:val="Item List"/>
    <w:link w:val="274"/>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276">
    <w:name w:val="Char Char1211"/>
    <w:qFormat/>
    <w:uiPriority w:val="0"/>
    <w:rPr>
      <w:rFonts w:ascii="仿宋_GB2312" w:eastAsia="仿宋_GB2312"/>
      <w:b/>
      <w:bCs/>
      <w:kern w:val="2"/>
      <w:sz w:val="24"/>
      <w:szCs w:val="24"/>
      <w:lang w:val="zh-CN" w:eastAsia="zh-CN" w:bidi="ar-SA"/>
    </w:rPr>
  </w:style>
  <w:style w:type="character" w:customStyle="1" w:styleId="277">
    <w:name w:val="签名 Char1"/>
    <w:basedOn w:val="69"/>
    <w:qFormat/>
    <w:uiPriority w:val="99"/>
    <w:rPr>
      <w:rFonts w:ascii="Times New Roman" w:hAnsi="Times New Roman" w:eastAsia="宋体" w:cs="Times New Roman"/>
      <w:szCs w:val="24"/>
    </w:rPr>
  </w:style>
  <w:style w:type="character" w:customStyle="1" w:styleId="278">
    <w:name w:val="HTML 预设格式 Char1"/>
    <w:basedOn w:val="69"/>
    <w:qFormat/>
    <w:uiPriority w:val="99"/>
    <w:rPr>
      <w:rFonts w:ascii="Courier New" w:hAnsi="Courier New" w:eastAsia="宋体" w:cs="Courier New"/>
      <w:sz w:val="20"/>
      <w:szCs w:val="20"/>
    </w:rPr>
  </w:style>
  <w:style w:type="character" w:customStyle="1" w:styleId="279">
    <w:name w:val="正文文本 2 Char1"/>
    <w:basedOn w:val="69"/>
    <w:link w:val="54"/>
    <w:qFormat/>
    <w:uiPriority w:val="0"/>
    <w:rPr>
      <w:rFonts w:ascii="Times New Roman" w:hAnsi="Times New Roman" w:eastAsia="宋体" w:cs="Times New Roman"/>
      <w:szCs w:val="24"/>
      <w:lang w:val="zh-CN"/>
    </w:rPr>
  </w:style>
  <w:style w:type="character" w:customStyle="1" w:styleId="280">
    <w:name w:val="副标题 Char2"/>
    <w:basedOn w:val="69"/>
    <w:qFormat/>
    <w:uiPriority w:val="0"/>
    <w:rPr>
      <w:rFonts w:eastAsia="宋体" w:asciiTheme="majorHAnsi" w:hAnsiTheme="majorHAnsi" w:cstheme="majorBidi"/>
      <w:b/>
      <w:bCs/>
      <w:kern w:val="28"/>
      <w:sz w:val="32"/>
      <w:szCs w:val="32"/>
    </w:rPr>
  </w:style>
  <w:style w:type="character" w:customStyle="1" w:styleId="281">
    <w:name w:val="纯文本 Char1"/>
    <w:basedOn w:val="69"/>
    <w:link w:val="282"/>
    <w:qFormat/>
    <w:uiPriority w:val="0"/>
    <w:rPr>
      <w:rFonts w:ascii="宋体" w:hAnsi="Courier New" w:eastAsia="宋体" w:cs="Courier New"/>
      <w:szCs w:val="21"/>
    </w:rPr>
  </w:style>
  <w:style w:type="paragraph" w:customStyle="1" w:styleId="282">
    <w:name w:val="纯文本1"/>
    <w:basedOn w:val="1"/>
    <w:link w:val="281"/>
    <w:qFormat/>
    <w:uiPriority w:val="0"/>
    <w:rPr>
      <w:rFonts w:ascii="宋体" w:hAnsi="Courier New" w:eastAsia="宋体" w:cs="Courier New"/>
      <w:szCs w:val="21"/>
    </w:rPr>
  </w:style>
  <w:style w:type="character" w:customStyle="1" w:styleId="283">
    <w:name w:val="HTML 地址 Char1"/>
    <w:basedOn w:val="69"/>
    <w:qFormat/>
    <w:uiPriority w:val="99"/>
    <w:rPr>
      <w:rFonts w:ascii="Times New Roman" w:hAnsi="Times New Roman" w:eastAsia="宋体" w:cs="Times New Roman"/>
      <w:i/>
      <w:iCs/>
      <w:szCs w:val="24"/>
    </w:rPr>
  </w:style>
  <w:style w:type="character" w:customStyle="1" w:styleId="284">
    <w:name w:val="正文文本缩进 3 Char1"/>
    <w:basedOn w:val="69"/>
    <w:semiHidden/>
    <w:qFormat/>
    <w:uiPriority w:val="99"/>
    <w:rPr>
      <w:rFonts w:ascii="Times New Roman" w:hAnsi="Times New Roman" w:eastAsia="宋体" w:cs="Times New Roman"/>
      <w:sz w:val="16"/>
      <w:szCs w:val="16"/>
    </w:rPr>
  </w:style>
  <w:style w:type="character" w:customStyle="1" w:styleId="285">
    <w:name w:val="正文文本 3 Char1"/>
    <w:basedOn w:val="69"/>
    <w:semiHidden/>
    <w:qFormat/>
    <w:uiPriority w:val="99"/>
    <w:rPr>
      <w:rFonts w:ascii="Times New Roman" w:hAnsi="Times New Roman" w:eastAsia="宋体" w:cs="Times New Roman"/>
      <w:sz w:val="16"/>
      <w:szCs w:val="16"/>
    </w:rPr>
  </w:style>
  <w:style w:type="character" w:customStyle="1" w:styleId="286">
    <w:name w:val="脚注文本 Char1"/>
    <w:basedOn w:val="69"/>
    <w:qFormat/>
    <w:uiPriority w:val="99"/>
    <w:rPr>
      <w:rFonts w:ascii="Times New Roman" w:hAnsi="Times New Roman" w:eastAsia="宋体" w:cs="Times New Roman"/>
      <w:sz w:val="18"/>
      <w:szCs w:val="18"/>
    </w:rPr>
  </w:style>
  <w:style w:type="character" w:customStyle="1" w:styleId="287">
    <w:name w:val="正文文本缩进 Char2"/>
    <w:basedOn w:val="69"/>
    <w:link w:val="2"/>
    <w:qFormat/>
    <w:uiPriority w:val="0"/>
    <w:rPr>
      <w:rFonts w:ascii="Times New Roman" w:hAnsi="Times New Roman" w:eastAsia="宋体" w:cs="Times New Roman"/>
      <w:szCs w:val="24"/>
    </w:rPr>
  </w:style>
  <w:style w:type="character" w:customStyle="1" w:styleId="288">
    <w:name w:val="正文首行缩进 2 Char1"/>
    <w:basedOn w:val="287"/>
    <w:qFormat/>
    <w:uiPriority w:val="99"/>
    <w:rPr>
      <w:rFonts w:ascii="Times New Roman" w:hAnsi="Times New Roman" w:eastAsia="宋体" w:cs="Times New Roman"/>
      <w:szCs w:val="24"/>
    </w:rPr>
  </w:style>
  <w:style w:type="character" w:customStyle="1" w:styleId="289">
    <w:name w:val="批注文字 Char2"/>
    <w:basedOn w:val="69"/>
    <w:link w:val="20"/>
    <w:qFormat/>
    <w:uiPriority w:val="99"/>
    <w:rPr>
      <w:rFonts w:ascii="Times New Roman" w:hAnsi="Times New Roman" w:eastAsia="宋体" w:cs="Times New Roman"/>
      <w:szCs w:val="24"/>
    </w:rPr>
  </w:style>
  <w:style w:type="character" w:customStyle="1" w:styleId="290">
    <w:name w:val="批注主题 Char1"/>
    <w:basedOn w:val="289"/>
    <w:link w:val="59"/>
    <w:qFormat/>
    <w:uiPriority w:val="0"/>
    <w:rPr>
      <w:rFonts w:ascii="Times New Roman" w:hAnsi="Times New Roman" w:eastAsia="宋体" w:cs="Times New Roman"/>
      <w:b/>
      <w:bCs/>
      <w:szCs w:val="24"/>
      <w:lang w:val="zh-CN"/>
    </w:rPr>
  </w:style>
  <w:style w:type="character" w:customStyle="1" w:styleId="291">
    <w:name w:val="日期 Char1"/>
    <w:basedOn w:val="69"/>
    <w:semiHidden/>
    <w:qFormat/>
    <w:uiPriority w:val="99"/>
    <w:rPr>
      <w:rFonts w:ascii="Times New Roman" w:hAnsi="Times New Roman" w:eastAsia="宋体" w:cs="Times New Roman"/>
      <w:szCs w:val="24"/>
    </w:rPr>
  </w:style>
  <w:style w:type="character" w:customStyle="1" w:styleId="292">
    <w:name w:val="称呼 Char1"/>
    <w:basedOn w:val="69"/>
    <w:qFormat/>
    <w:uiPriority w:val="99"/>
    <w:rPr>
      <w:rFonts w:ascii="Times New Roman" w:hAnsi="Times New Roman" w:eastAsia="宋体" w:cs="Times New Roman"/>
      <w:szCs w:val="24"/>
    </w:rPr>
  </w:style>
  <w:style w:type="character" w:customStyle="1" w:styleId="293">
    <w:name w:val="正文文本 Char2"/>
    <w:basedOn w:val="69"/>
    <w:semiHidden/>
    <w:qFormat/>
    <w:uiPriority w:val="99"/>
    <w:rPr>
      <w:rFonts w:ascii="Times New Roman" w:hAnsi="Times New Roman" w:eastAsia="宋体" w:cs="Times New Roman"/>
      <w:szCs w:val="24"/>
    </w:rPr>
  </w:style>
  <w:style w:type="character" w:customStyle="1" w:styleId="294">
    <w:name w:val="文档结构图 Char1"/>
    <w:basedOn w:val="69"/>
    <w:link w:val="19"/>
    <w:qFormat/>
    <w:uiPriority w:val="0"/>
    <w:rPr>
      <w:rFonts w:ascii="Times New Roman" w:hAnsi="Times New Roman" w:eastAsia="宋体" w:cs="Times New Roman"/>
      <w:szCs w:val="24"/>
      <w:shd w:val="clear" w:color="auto" w:fill="000080"/>
      <w:lang w:val="zh-CN"/>
    </w:rPr>
  </w:style>
  <w:style w:type="character" w:customStyle="1" w:styleId="295">
    <w:name w:val="标题 Char1"/>
    <w:basedOn w:val="69"/>
    <w:link w:val="58"/>
    <w:qFormat/>
    <w:uiPriority w:val="0"/>
    <w:rPr>
      <w:rFonts w:ascii="Times New Roman" w:hAnsi="Times New Roman" w:eastAsia="宋体" w:cs="Times New Roman"/>
      <w:b/>
      <w:kern w:val="0"/>
      <w:sz w:val="24"/>
      <w:szCs w:val="20"/>
      <w:lang w:val="en-GB"/>
    </w:rPr>
  </w:style>
  <w:style w:type="character" w:customStyle="1" w:styleId="296">
    <w:name w:val="正文首行缩进 Char1"/>
    <w:basedOn w:val="293"/>
    <w:semiHidden/>
    <w:qFormat/>
    <w:uiPriority w:val="99"/>
    <w:rPr>
      <w:rFonts w:ascii="Times New Roman" w:hAnsi="Times New Roman" w:eastAsia="宋体" w:cs="Times New Roman"/>
      <w:szCs w:val="24"/>
    </w:rPr>
  </w:style>
  <w:style w:type="character" w:customStyle="1" w:styleId="297">
    <w:name w:val="批注框文本 Char1"/>
    <w:basedOn w:val="69"/>
    <w:semiHidden/>
    <w:qFormat/>
    <w:uiPriority w:val="99"/>
    <w:rPr>
      <w:rFonts w:ascii="Times New Roman" w:hAnsi="Times New Roman" w:eastAsia="宋体" w:cs="Times New Roman"/>
      <w:sz w:val="18"/>
      <w:szCs w:val="18"/>
    </w:rPr>
  </w:style>
  <w:style w:type="character" w:customStyle="1" w:styleId="298">
    <w:name w:val="正文文本缩进 2 Char1"/>
    <w:basedOn w:val="69"/>
    <w:semiHidden/>
    <w:qFormat/>
    <w:uiPriority w:val="99"/>
    <w:rPr>
      <w:rFonts w:ascii="Times New Roman" w:hAnsi="Times New Roman" w:eastAsia="宋体" w:cs="Times New Roman"/>
      <w:szCs w:val="24"/>
    </w:rPr>
  </w:style>
  <w:style w:type="paragraph" w:customStyle="1" w:styleId="299">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30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301">
    <w:name w:val="4"/>
    <w:basedOn w:val="1"/>
    <w:next w:val="36"/>
    <w:qFormat/>
    <w:uiPriority w:val="0"/>
    <w:pPr>
      <w:adjustRightInd w:val="0"/>
      <w:spacing w:after="120" w:line="480" w:lineRule="auto"/>
      <w:ind w:left="420" w:leftChars="200"/>
    </w:pPr>
    <w:rPr>
      <w:rFonts w:ascii="Times New Roman" w:hAnsi="Times New Roman" w:eastAsia="宋体" w:cs="Times New Roman"/>
      <w:sz w:val="24"/>
      <w:szCs w:val="20"/>
    </w:rPr>
  </w:style>
  <w:style w:type="paragraph" w:customStyle="1" w:styleId="302">
    <w:name w:val="Char Char1"/>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303">
    <w:name w:val="La0b"/>
    <w:basedOn w:val="1"/>
    <w:qFormat/>
    <w:uiPriority w:val="0"/>
    <w:pPr>
      <w:tabs>
        <w:tab w:val="left" w:pos="1500"/>
      </w:tabs>
      <w:spacing w:after="100" w:line="240" w:lineRule="exact"/>
      <w:ind w:left="1500" w:hanging="420" w:firstLineChars="200"/>
    </w:pPr>
    <w:rPr>
      <w:rFonts w:ascii="宋体" w:hAnsi="宋体" w:eastAsia="微软雅黑" w:cs="Times New Roman"/>
      <w:b/>
      <w:sz w:val="24"/>
      <w:szCs w:val="20"/>
    </w:rPr>
  </w:style>
  <w:style w:type="paragraph" w:customStyle="1" w:styleId="304">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05">
    <w:name w:val="默认段落样式"/>
    <w:basedOn w:val="232"/>
    <w:qFormat/>
    <w:uiPriority w:val="0"/>
    <w:pPr>
      <w:spacing w:before="0"/>
      <w:ind w:firstLine="480"/>
      <w:outlineLvl w:val="2"/>
    </w:pPr>
    <w:rPr>
      <w:rFonts w:ascii="仿宋_GB2312" w:hAnsi="宋体" w:eastAsia="仿宋_GB2312"/>
      <w:color w:val="000000"/>
      <w:szCs w:val="24"/>
    </w:rPr>
  </w:style>
  <w:style w:type="paragraph" w:customStyle="1" w:styleId="306">
    <w:name w:val="Char Char1 Char Char Char Char Char Char"/>
    <w:basedOn w:val="1"/>
    <w:qFormat/>
    <w:uiPriority w:val="0"/>
    <w:pPr>
      <w:adjustRightInd w:val="0"/>
    </w:pPr>
    <w:rPr>
      <w:rFonts w:ascii="仿宋_GB2312" w:hAnsi="Times New Roman" w:eastAsia="仿宋_GB2312" w:cs="Times New Roman"/>
      <w:b/>
      <w:sz w:val="32"/>
      <w:szCs w:val="20"/>
    </w:rPr>
  </w:style>
  <w:style w:type="paragraph" w:customStyle="1" w:styleId="307">
    <w:name w:val="正文4"/>
    <w:basedOn w:val="1"/>
    <w:qFormat/>
    <w:uiPriority w:val="0"/>
    <w:pPr>
      <w:tabs>
        <w:tab w:val="left" w:pos="720"/>
      </w:tabs>
      <w:spacing w:before="60" w:after="60" w:line="360" w:lineRule="auto"/>
      <w:ind w:left="575" w:leftChars="400" w:hanging="175" w:hangingChars="175"/>
    </w:pPr>
    <w:rPr>
      <w:rFonts w:ascii="Times New Roman" w:hAnsi="Times New Roman" w:eastAsia="宋体" w:cs="Times New Roman"/>
      <w:sz w:val="24"/>
      <w:szCs w:val="24"/>
    </w:rPr>
  </w:style>
  <w:style w:type="paragraph" w:customStyle="1" w:styleId="308">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09">
    <w:name w:val="文本正文 Char"/>
    <w:basedOn w:val="1"/>
    <w:qFormat/>
    <w:uiPriority w:val="0"/>
    <w:pPr>
      <w:adjustRightInd w:val="0"/>
      <w:spacing w:line="360" w:lineRule="auto"/>
      <w:ind w:firstLine="200" w:firstLineChars="200"/>
    </w:pPr>
    <w:rPr>
      <w:rFonts w:ascii="Times New Roman" w:hAnsi="Times New Roman" w:eastAsia="宋体" w:cs="Times New Roman"/>
      <w:kern w:val="0"/>
      <w:sz w:val="24"/>
      <w:szCs w:val="20"/>
    </w:rPr>
  </w:style>
  <w:style w:type="paragraph" w:customStyle="1" w:styleId="310">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31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12">
    <w:name w:val="文章标题"/>
    <w:next w:val="31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313">
    <w:name w:val="封面公司名"/>
    <w:qFormat/>
    <w:uiPriority w:val="0"/>
    <w:pPr>
      <w:jc w:val="center"/>
    </w:pPr>
    <w:rPr>
      <w:rFonts w:ascii="Arial" w:hAnsi="Arial" w:eastAsia="楷体_GB2312" w:cs="宋体"/>
      <w:bCs/>
      <w:kern w:val="2"/>
      <w:sz w:val="28"/>
      <w:lang w:val="en-US" w:eastAsia="zh-CN" w:bidi="ar-SA"/>
    </w:rPr>
  </w:style>
  <w:style w:type="paragraph" w:customStyle="1" w:styleId="31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5">
    <w:name w:val="默认段落字体 Para Char Char Char Char Char Char Char"/>
    <w:basedOn w:val="1"/>
    <w:qFormat/>
    <w:uiPriority w:val="0"/>
    <w:pPr>
      <w:adjustRightInd w:val="0"/>
    </w:pPr>
    <w:rPr>
      <w:rFonts w:ascii="Times New Roman" w:hAnsi="Times New Roman" w:eastAsia="仿宋_GB2312" w:cs="Times New Roman"/>
      <w:sz w:val="28"/>
      <w:szCs w:val="20"/>
    </w:rPr>
  </w:style>
  <w:style w:type="paragraph" w:customStyle="1" w:styleId="316">
    <w:name w:val="样式 仿宋_GB2312 小三 左侧:  1.06 厘米"/>
    <w:basedOn w:val="1"/>
    <w:qFormat/>
    <w:uiPriority w:val="0"/>
    <w:pPr>
      <w:adjustRightInd w:val="0"/>
      <w:spacing w:line="360" w:lineRule="auto"/>
      <w:ind w:left="601"/>
    </w:pPr>
    <w:rPr>
      <w:rFonts w:ascii="仿宋_GB2312" w:hAnsi="Times New Roman" w:eastAsia="仿宋_GB2312" w:cs="Times New Roman"/>
      <w:sz w:val="24"/>
      <w:szCs w:val="20"/>
    </w:rPr>
  </w:style>
  <w:style w:type="paragraph" w:customStyle="1" w:styleId="317">
    <w:name w:val="模板普通正文"/>
    <w:basedOn w:val="2"/>
    <w:qFormat/>
    <w:uiPriority w:val="0"/>
    <w:pPr>
      <w:adjustRightInd/>
      <w:spacing w:before="156" w:beforeLines="50" w:after="10" w:line="360" w:lineRule="auto"/>
      <w:ind w:left="0" w:leftChars="0" w:firstLine="175" w:firstLineChars="175"/>
      <w:jc w:val="left"/>
    </w:pPr>
    <w:rPr>
      <w:sz w:val="24"/>
      <w:lang w:val="zh-CN"/>
    </w:rPr>
  </w:style>
  <w:style w:type="paragraph" w:customStyle="1" w:styleId="318">
    <w:name w:val="trademark"/>
    <w:qFormat/>
    <w:uiPriority w:val="0"/>
    <w:pPr>
      <w:spacing w:after="60"/>
    </w:pPr>
    <w:rPr>
      <w:rFonts w:ascii="Futura Bk" w:hAnsi="Futura Bk" w:eastAsia="宋体" w:cs="Times New Roman"/>
      <w:sz w:val="15"/>
      <w:lang w:val="en-US" w:eastAsia="en-US" w:bidi="ar-SA"/>
    </w:rPr>
  </w:style>
  <w:style w:type="paragraph" w:customStyle="1" w:styleId="31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20">
    <w:name w:val="Char3"/>
    <w:basedOn w:val="1"/>
    <w:qFormat/>
    <w:uiPriority w:val="0"/>
    <w:rPr>
      <w:rFonts w:ascii="仿宋_GB2312" w:hAnsi="Times New Roman" w:eastAsia="仿宋_GB2312" w:cs="Times New Roman"/>
      <w:b/>
      <w:sz w:val="32"/>
      <w:szCs w:val="32"/>
    </w:rPr>
  </w:style>
  <w:style w:type="paragraph" w:customStyle="1" w:styleId="321">
    <w:name w:val="默认段落字体 Para Char"/>
    <w:basedOn w:val="1"/>
    <w:qFormat/>
    <w:uiPriority w:val="0"/>
    <w:pPr>
      <w:adjustRightInd w:val="0"/>
    </w:pPr>
    <w:rPr>
      <w:rFonts w:ascii="Tahoma" w:hAnsi="Tahoma" w:eastAsia="宋体" w:cs="Times New Roman"/>
      <w:sz w:val="24"/>
      <w:szCs w:val="20"/>
    </w:rPr>
  </w:style>
  <w:style w:type="paragraph" w:customStyle="1" w:styleId="322">
    <w:name w:val="solutionfonts1"/>
    <w:basedOn w:val="1"/>
    <w:qFormat/>
    <w:uiPriority w:val="0"/>
    <w:pPr>
      <w:widowControl/>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323">
    <w:name w:val="Char Char Char Char Char Char Char Char Char Char Char Char1 Char"/>
    <w:basedOn w:val="1"/>
    <w:qFormat/>
    <w:uiPriority w:val="0"/>
    <w:pPr>
      <w:adjustRightInd w:val="0"/>
    </w:pPr>
    <w:rPr>
      <w:rFonts w:ascii="Tahoma" w:hAnsi="Tahoma" w:eastAsia="宋体" w:cs="仿宋_GB2312"/>
      <w:sz w:val="24"/>
      <w:szCs w:val="20"/>
    </w:rPr>
  </w:style>
  <w:style w:type="paragraph" w:customStyle="1" w:styleId="32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325">
    <w:name w:val="Char22"/>
    <w:basedOn w:val="1"/>
    <w:qFormat/>
    <w:uiPriority w:val="0"/>
    <w:pPr>
      <w:spacing w:line="360" w:lineRule="auto"/>
      <w:ind w:firstLine="480" w:firstLineChars="200"/>
    </w:pPr>
    <w:rPr>
      <w:rFonts w:ascii="仿宋_GB2312" w:hAnsi="Times New Roman" w:eastAsia="仿宋_GB2312" w:cs="Times New Roman"/>
      <w:b/>
      <w:sz w:val="32"/>
      <w:szCs w:val="32"/>
    </w:rPr>
  </w:style>
  <w:style w:type="paragraph" w:customStyle="1" w:styleId="326">
    <w:name w:val="Table Contents"/>
    <w:basedOn w:val="1"/>
    <w:qFormat/>
    <w:uiPriority w:val="0"/>
    <w:pPr>
      <w:suppressAutoHyphens/>
      <w:autoSpaceDE w:val="0"/>
      <w:adjustRightInd w:val="0"/>
      <w:spacing w:after="120"/>
      <w:jc w:val="left"/>
    </w:pPr>
    <w:rPr>
      <w:rFonts w:ascii="Helvetica" w:hAnsi="Helvetica" w:eastAsia="宋体" w:cs="Times New Roman"/>
      <w:kern w:val="1"/>
      <w:sz w:val="20"/>
      <w:szCs w:val="20"/>
    </w:rPr>
  </w:style>
  <w:style w:type="paragraph" w:customStyle="1" w:styleId="327">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328">
    <w:name w:val="Char Char11 Char Char Char Char Char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29">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30">
    <w:name w:val="正文缩进1"/>
    <w:basedOn w:val="1"/>
    <w:next w:val="2"/>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331">
    <w:name w:val="左对齐表格文字"/>
    <w:basedOn w:val="1"/>
    <w:qFormat/>
    <w:uiPriority w:val="0"/>
    <w:pPr>
      <w:ind w:firstLine="200" w:firstLineChars="200"/>
      <w:jc w:val="right"/>
    </w:pPr>
    <w:rPr>
      <w:rFonts w:ascii="Times New Roman" w:hAnsi="Times New Roman" w:eastAsia="宋体" w:cs="Times New Roman"/>
      <w:szCs w:val="24"/>
    </w:rPr>
  </w:style>
  <w:style w:type="paragraph" w:customStyle="1" w:styleId="332">
    <w:name w:val="Char311"/>
    <w:basedOn w:val="1"/>
    <w:qFormat/>
    <w:uiPriority w:val="0"/>
    <w:pPr>
      <w:ind w:firstLine="200" w:firstLineChars="200"/>
    </w:pPr>
    <w:rPr>
      <w:rFonts w:ascii="Tahoma" w:hAnsi="Tahoma" w:eastAsia="宋体" w:cs="Times New Roman"/>
      <w:sz w:val="24"/>
      <w:szCs w:val="20"/>
    </w:rPr>
  </w:style>
  <w:style w:type="paragraph" w:customStyle="1" w:styleId="3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34">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cs="Times New Roman"/>
      <w:bCs/>
      <w:kern w:val="0"/>
      <w:sz w:val="44"/>
      <w:szCs w:val="44"/>
    </w:rPr>
  </w:style>
  <w:style w:type="paragraph" w:customStyle="1" w:styleId="33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6">
    <w:name w:val="彩色列表 - 强调文字颜色 11"/>
    <w:basedOn w:val="1"/>
    <w:qFormat/>
    <w:uiPriority w:val="0"/>
    <w:pPr>
      <w:ind w:firstLine="420" w:firstLineChars="200"/>
    </w:pPr>
    <w:rPr>
      <w:rFonts w:ascii="Calibri" w:hAnsi="Calibri" w:eastAsia="宋体" w:cs="Times New Roman"/>
    </w:rPr>
  </w:style>
  <w:style w:type="paragraph" w:customStyle="1" w:styleId="337">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338">
    <w:name w:val="MM Topic 3"/>
    <w:basedOn w:val="5"/>
    <w:qFormat/>
    <w:uiPriority w:val="0"/>
    <w:pPr>
      <w:numPr>
        <w:numId w:val="5"/>
      </w:numPr>
      <w:tabs>
        <w:tab w:val="left" w:pos="840"/>
        <w:tab w:val="left" w:pos="1680"/>
      </w:tabs>
      <w:adjustRightInd/>
    </w:pPr>
  </w:style>
  <w:style w:type="paragraph" w:customStyle="1" w:styleId="339">
    <w:name w:val="Normal0"/>
    <w:qFormat/>
    <w:uiPriority w:val="0"/>
    <w:rPr>
      <w:rFonts w:ascii="Times New Roman" w:hAnsi="Times New Roman" w:eastAsia="宋体" w:cs="Times New Roman"/>
      <w:lang w:val="en-US" w:eastAsia="en-US" w:bidi="ar-SA"/>
    </w:rPr>
  </w:style>
  <w:style w:type="paragraph" w:customStyle="1" w:styleId="340">
    <w:name w:val="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341">
    <w:name w:val="Char Char Char Char Char Char Char Char Char"/>
    <w:basedOn w:val="1"/>
    <w:qFormat/>
    <w:uiPriority w:val="0"/>
    <w:pPr>
      <w:ind w:firstLine="200" w:firstLineChars="200"/>
    </w:pPr>
    <w:rPr>
      <w:rFonts w:ascii="Tahoma" w:hAnsi="Tahoma" w:eastAsia="宋体" w:cs="Times New Roman"/>
      <w:sz w:val="24"/>
      <w:szCs w:val="20"/>
    </w:rPr>
  </w:style>
  <w:style w:type="paragraph" w:customStyle="1" w:styleId="342">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3">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eastAsia="宋体" w:cs="Times New Roman"/>
      <w:sz w:val="24"/>
      <w:szCs w:val="24"/>
    </w:rPr>
  </w:style>
  <w:style w:type="paragraph" w:customStyle="1" w:styleId="34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45">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346">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347">
    <w:name w:val="Char2"/>
    <w:basedOn w:val="1"/>
    <w:qFormat/>
    <w:uiPriority w:val="0"/>
    <w:pPr>
      <w:adjustRightInd w:val="0"/>
    </w:pPr>
    <w:rPr>
      <w:rFonts w:ascii="仿宋_GB2312" w:hAnsi="Times New Roman" w:eastAsia="仿宋_GB2312" w:cs="Times New Roman"/>
      <w:b/>
      <w:sz w:val="32"/>
      <w:szCs w:val="32"/>
    </w:rPr>
  </w:style>
  <w:style w:type="paragraph" w:customStyle="1" w:styleId="348">
    <w:name w:val="Char1 Char Char Char Char Char Char Char Char Char"/>
    <w:basedOn w:val="1"/>
    <w:qFormat/>
    <w:uiPriority w:val="0"/>
    <w:pPr>
      <w:spacing w:before="240" w:after="120" w:line="288" w:lineRule="auto"/>
      <w:ind w:firstLine="200" w:firstLineChars="200"/>
      <w:jc w:val="left"/>
    </w:pPr>
    <w:rPr>
      <w:rFonts w:ascii="Tahoma" w:hAnsi="Tahoma" w:eastAsia="宋体" w:cs="Times New Roman"/>
      <w:sz w:val="24"/>
      <w:szCs w:val="24"/>
    </w:rPr>
  </w:style>
  <w:style w:type="paragraph" w:customStyle="1" w:styleId="349">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cs="Times New Roman"/>
      <w:kern w:val="0"/>
      <w:sz w:val="32"/>
      <w:szCs w:val="32"/>
    </w:rPr>
  </w:style>
  <w:style w:type="paragraph" w:customStyle="1" w:styleId="350">
    <w:name w:val="样式 正文文本缩进 2 + 仿宋_GB2312 黑色 行距: 1.5 倍行距"/>
    <w:basedOn w:val="36"/>
    <w:qFormat/>
    <w:uiPriority w:val="0"/>
    <w:pPr>
      <w:adjustRightInd/>
      <w:ind w:firstLine="560" w:firstLineChars="200"/>
      <w:textAlignment w:val="auto"/>
    </w:pPr>
    <w:rPr>
      <w:rFonts w:hAnsi="宋体" w:cs="宋体"/>
      <w:color w:val="000000"/>
      <w:sz w:val="24"/>
    </w:rPr>
  </w:style>
  <w:style w:type="paragraph" w:customStyle="1" w:styleId="351">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352">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353">
    <w:name w:val="插图说明"/>
    <w:basedOn w:val="1"/>
    <w:qFormat/>
    <w:uiPriority w:val="0"/>
    <w:pPr>
      <w:adjustRightInd w:val="0"/>
      <w:spacing w:after="240"/>
      <w:ind w:firstLine="200" w:firstLineChars="200"/>
      <w:jc w:val="center"/>
      <w:textAlignment w:val="baseline"/>
    </w:pPr>
    <w:rPr>
      <w:rFonts w:ascii="Times New Roman" w:hAnsi="Times New Roman" w:eastAsia="黑体" w:cs="Times New Roman"/>
      <w:sz w:val="24"/>
      <w:szCs w:val="20"/>
    </w:rPr>
  </w:style>
  <w:style w:type="paragraph" w:customStyle="1" w:styleId="354">
    <w:name w:val="Char Char Char"/>
    <w:basedOn w:val="1"/>
    <w:qFormat/>
    <w:uiPriority w:val="0"/>
    <w:pPr>
      <w:adjustRightInd w:val="0"/>
    </w:pPr>
    <w:rPr>
      <w:rFonts w:ascii="Tahoma" w:hAnsi="Tahoma" w:eastAsia="宋体" w:cs="Times New Roman"/>
      <w:sz w:val="24"/>
      <w:szCs w:val="20"/>
    </w:rPr>
  </w:style>
  <w:style w:type="paragraph" w:customStyle="1" w:styleId="355">
    <w:name w:val="MM Topic 4"/>
    <w:basedOn w:val="6"/>
    <w:qFormat/>
    <w:uiPriority w:val="0"/>
    <w:pPr>
      <w:numPr>
        <w:numId w:val="5"/>
      </w:numPr>
      <w:tabs>
        <w:tab w:val="left" w:pos="840"/>
        <w:tab w:val="left" w:pos="2100"/>
        <w:tab w:val="clear" w:pos="864"/>
      </w:tabs>
      <w:adjustRightInd/>
    </w:pPr>
    <w:rPr>
      <w:lang w:val="en-US"/>
    </w:rPr>
  </w:style>
  <w:style w:type="paragraph" w:customStyle="1" w:styleId="356">
    <w:name w:val="标准小四"/>
    <w:basedOn w:val="1"/>
    <w:qFormat/>
    <w:uiPriority w:val="0"/>
    <w:pPr>
      <w:adjustRightInd w:val="0"/>
      <w:spacing w:line="360" w:lineRule="auto"/>
      <w:ind w:firstLine="480" w:firstLineChars="200"/>
    </w:pPr>
    <w:rPr>
      <w:rFonts w:ascii="Arial" w:hAnsi="Arial" w:eastAsia="宋体" w:cs="Times New Roman"/>
      <w:sz w:val="24"/>
      <w:szCs w:val="21"/>
    </w:rPr>
  </w:style>
  <w:style w:type="paragraph" w:customStyle="1" w:styleId="357">
    <w:name w:val="MM Topic 2"/>
    <w:basedOn w:val="4"/>
    <w:qFormat/>
    <w:uiPriority w:val="0"/>
    <w:pPr>
      <w:numPr>
        <w:ilvl w:val="1"/>
        <w:numId w:val="5"/>
      </w:numPr>
    </w:pPr>
    <w:rPr>
      <w:rFonts w:ascii="Arial" w:hAnsi="Arial" w:eastAsia="黑体"/>
      <w:lang w:val="en-US"/>
    </w:rPr>
  </w:style>
  <w:style w:type="paragraph" w:customStyle="1" w:styleId="358">
    <w:name w:val="表格标题2"/>
    <w:basedOn w:val="359"/>
    <w:qFormat/>
    <w:uiPriority w:val="0"/>
    <w:rPr>
      <w:b/>
    </w:rPr>
  </w:style>
  <w:style w:type="paragraph" w:customStyle="1" w:styleId="359">
    <w:name w:val="表格内文"/>
    <w:basedOn w:val="1"/>
    <w:qFormat/>
    <w:uiPriority w:val="0"/>
    <w:pPr>
      <w:spacing w:line="360" w:lineRule="auto"/>
    </w:pPr>
    <w:rPr>
      <w:rFonts w:ascii="宋体" w:hAnsi="宋体" w:eastAsia="宋体" w:cs="宋体"/>
      <w:color w:val="000000"/>
      <w:szCs w:val="20"/>
    </w:rPr>
  </w:style>
  <w:style w:type="paragraph" w:customStyle="1" w:styleId="360">
    <w:name w:val="Preformatted Text"/>
    <w:basedOn w:val="1"/>
    <w:qFormat/>
    <w:uiPriority w:val="0"/>
    <w:pPr>
      <w:suppressAutoHyphens/>
      <w:ind w:firstLine="200" w:firstLineChars="200"/>
    </w:pPr>
    <w:rPr>
      <w:rFonts w:ascii="Cumberland" w:hAnsi="Cumberland" w:eastAsia="方正宋体" w:cs="Times New Roman"/>
      <w:kern w:val="1"/>
      <w:sz w:val="20"/>
      <w:szCs w:val="20"/>
      <w:lang w:eastAsia="ar-SA"/>
    </w:rPr>
  </w:style>
  <w:style w:type="paragraph" w:customStyle="1" w:styleId="361">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362">
    <w:name w:val="Char Char11 Char Char Char Char Char Char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363">
    <w:name w:val="Char Char Char Char Char Char Char Char Char Char Char1 Char"/>
    <w:basedOn w:val="1"/>
    <w:qFormat/>
    <w:uiPriority w:val="0"/>
    <w:rPr>
      <w:rFonts w:ascii="Tahoma" w:hAnsi="Tahoma" w:eastAsia="宋体" w:cs="Times New Roman"/>
      <w:sz w:val="24"/>
      <w:szCs w:val="24"/>
    </w:rPr>
  </w:style>
  <w:style w:type="paragraph" w:customStyle="1" w:styleId="364">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5">
    <w:name w:val="a1"/>
    <w:basedOn w:val="1"/>
    <w:qFormat/>
    <w:uiPriority w:val="0"/>
    <w:pPr>
      <w:widowControl/>
      <w:adjustRightInd w:val="0"/>
      <w:spacing w:line="300" w:lineRule="atLeast"/>
      <w:jc w:val="left"/>
    </w:pPr>
    <w:rPr>
      <w:rFonts w:ascii="宋体" w:hAnsi="宋体" w:eastAsia="宋体" w:cs="Times New Roman"/>
      <w:kern w:val="0"/>
      <w:sz w:val="18"/>
      <w:szCs w:val="20"/>
    </w:rPr>
  </w:style>
  <w:style w:type="paragraph" w:customStyle="1" w:styleId="366">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367">
    <w:name w:val="Char"/>
    <w:basedOn w:val="1"/>
    <w:qFormat/>
    <w:uiPriority w:val="0"/>
    <w:pPr>
      <w:adjustRightInd w:val="0"/>
    </w:pPr>
    <w:rPr>
      <w:rFonts w:ascii="仿宋_GB2312" w:hAnsi="Times New Roman" w:eastAsia="仿宋_GB2312" w:cs="Times New Roman"/>
      <w:b/>
      <w:sz w:val="32"/>
      <w:szCs w:val="32"/>
    </w:rPr>
  </w:style>
  <w:style w:type="paragraph" w:customStyle="1" w:styleId="368">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69">
    <w:name w:val="正文（首行缩进）"/>
    <w:basedOn w:val="2"/>
    <w:qFormat/>
    <w:uiPriority w:val="0"/>
    <w:pPr>
      <w:widowControl/>
      <w:tabs>
        <w:tab w:val="left" w:pos="840"/>
      </w:tabs>
      <w:overflowPunct w:val="0"/>
      <w:autoSpaceDE w:val="0"/>
      <w:autoSpaceDN w:val="0"/>
      <w:spacing w:before="156" w:beforeLines="50" w:line="400" w:lineRule="exact"/>
      <w:ind w:left="200" w:firstLine="200" w:firstLineChars="200"/>
      <w:jc w:val="left"/>
      <w:textAlignment w:val="baseline"/>
    </w:pPr>
    <w:rPr>
      <w:spacing w:val="10"/>
      <w:kern w:val="0"/>
      <w:sz w:val="24"/>
      <w:szCs w:val="20"/>
      <w:lang w:val="zh-CN"/>
    </w:rPr>
  </w:style>
  <w:style w:type="paragraph" w:customStyle="1" w:styleId="370">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71">
    <w:name w:val="Char Char11 Char Char Char Char Char Char Char Char Char Char Char Char Char111"/>
    <w:basedOn w:val="1"/>
    <w:qFormat/>
    <w:uiPriority w:val="0"/>
    <w:pPr>
      <w:spacing w:line="360" w:lineRule="auto"/>
    </w:pPr>
    <w:rPr>
      <w:rFonts w:ascii="Arial" w:hAnsi="Arial" w:eastAsia="黑体" w:cs="Arial"/>
      <w:snapToGrid w:val="0"/>
      <w:kern w:val="0"/>
      <w:szCs w:val="21"/>
    </w:rPr>
  </w:style>
  <w:style w:type="paragraph" w:customStyle="1" w:styleId="372">
    <w:name w:val="Char3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37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74">
    <w:name w:val="正文1"/>
    <w:basedOn w:val="31"/>
    <w:link w:val="878"/>
    <w:qFormat/>
    <w:uiPriority w:val="0"/>
    <w:pPr>
      <w:ind w:left="0" w:leftChars="0" w:firstLine="480" w:firstLineChars="200"/>
    </w:pPr>
    <w:rPr>
      <w:rFonts w:ascii="仿宋_GB2312" w:hAnsi="Courier New" w:eastAsia="仿宋_GB2312"/>
      <w:kern w:val="28"/>
      <w:sz w:val="24"/>
    </w:rPr>
  </w:style>
  <w:style w:type="paragraph" w:customStyle="1" w:styleId="37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376">
    <w:name w:val="段"/>
    <w:link w:val="87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78">
    <w:name w:val="样式 正文文本缩进 + 左侧:  2 字符 首行缩进:  2 字符"/>
    <w:basedOn w:val="2"/>
    <w:qFormat/>
    <w:uiPriority w:val="0"/>
    <w:pPr>
      <w:tabs>
        <w:tab w:val="left" w:pos="360"/>
        <w:tab w:val="left" w:pos="540"/>
      </w:tabs>
      <w:adjustRightInd/>
      <w:spacing w:after="0" w:line="520" w:lineRule="exact"/>
      <w:ind w:left="200" w:leftChars="0" w:firstLine="560" w:firstLineChars="200"/>
    </w:pPr>
    <w:rPr>
      <w:rFonts w:ascii="仿宋_GB2312" w:eastAsia="仿宋_GB2312"/>
      <w:sz w:val="28"/>
      <w:szCs w:val="20"/>
      <w:lang w:val="zh-CN"/>
    </w:rPr>
  </w:style>
  <w:style w:type="paragraph" w:customStyle="1" w:styleId="379">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380">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eastAsia="宋体" w:cs="Times New Roman"/>
      <w:kern w:val="0"/>
      <w:sz w:val="18"/>
      <w:szCs w:val="20"/>
    </w:rPr>
  </w:style>
  <w:style w:type="paragraph" w:customStyle="1" w:styleId="381">
    <w:name w:val="Char Char1 Char Char1 Char Char1"/>
    <w:basedOn w:val="1"/>
    <w:qFormat/>
    <w:uiPriority w:val="0"/>
    <w:pPr>
      <w:tabs>
        <w:tab w:val="left" w:pos="840"/>
      </w:tabs>
      <w:adjustRightInd w:val="0"/>
      <w:ind w:left="840" w:hanging="420"/>
    </w:pPr>
    <w:rPr>
      <w:rFonts w:ascii="Tahoma" w:hAnsi="Tahoma" w:eastAsia="宋体" w:cs="Times New Roman"/>
      <w:sz w:val="24"/>
      <w:szCs w:val="24"/>
    </w:rPr>
  </w:style>
  <w:style w:type="paragraph" w:customStyle="1" w:styleId="382">
    <w:name w:val="zTableCellBody"/>
    <w:basedOn w:val="1"/>
    <w:qFormat/>
    <w:uiPriority w:val="0"/>
    <w:pPr>
      <w:keepNext/>
      <w:keepLines/>
      <w:widowControl/>
      <w:spacing w:line="320" w:lineRule="exact"/>
      <w:ind w:firstLine="200" w:firstLineChars="200"/>
      <w:jc w:val="left"/>
    </w:pPr>
    <w:rPr>
      <w:rFonts w:ascii="Arial" w:hAnsi="Arial" w:eastAsia="宋体" w:cs="Times New Roman"/>
      <w:kern w:val="0"/>
      <w:sz w:val="24"/>
      <w:szCs w:val="24"/>
      <w:lang w:eastAsia="en-US"/>
    </w:rPr>
  </w:style>
  <w:style w:type="paragraph" w:customStyle="1" w:styleId="383">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84">
    <w:name w:val="默认段落字体 Para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85">
    <w:name w:val="公文正文"/>
    <w:basedOn w:val="1"/>
    <w:link w:val="784"/>
    <w:qFormat/>
    <w:uiPriority w:val="0"/>
    <w:pPr>
      <w:spacing w:before="156" w:line="360" w:lineRule="auto"/>
      <w:ind w:firstLine="360" w:firstLineChars="200"/>
    </w:pPr>
    <w:rPr>
      <w:rFonts w:ascii="仿宋_GB2312" w:hAnsi="Times New Roman" w:eastAsia="仿宋_GB2312" w:cs="Times New Roman"/>
      <w:sz w:val="24"/>
      <w:szCs w:val="24"/>
      <w:lang w:val="zh-CN"/>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样式 宋体 行距: 1.5 倍行距 首行缩进:  2 字符"/>
    <w:basedOn w:val="1"/>
    <w:qFormat/>
    <w:uiPriority w:val="0"/>
    <w:pPr>
      <w:spacing w:line="360" w:lineRule="auto"/>
      <w:ind w:firstLine="420" w:firstLineChars="200"/>
    </w:pPr>
    <w:rPr>
      <w:rFonts w:ascii="宋体" w:hAnsi="宋体" w:eastAsia="宋体" w:cs="Times New Roman"/>
      <w:sz w:val="24"/>
      <w:szCs w:val="20"/>
    </w:rPr>
  </w:style>
  <w:style w:type="paragraph" w:customStyle="1" w:styleId="388">
    <w:name w:val="f9a style88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389">
    <w:name w:val="正文21"/>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390">
    <w:name w:val="列出段落2"/>
    <w:basedOn w:val="1"/>
    <w:qFormat/>
    <w:uiPriority w:val="0"/>
    <w:pPr>
      <w:ind w:firstLine="420" w:firstLineChars="200"/>
    </w:pPr>
    <w:rPr>
      <w:rFonts w:ascii="宋体" w:hAnsi="宋体" w:eastAsia="宋体" w:cs="Times New Roman"/>
      <w:sz w:val="24"/>
      <w:szCs w:val="24"/>
    </w:rPr>
  </w:style>
  <w:style w:type="paragraph" w:customStyle="1" w:styleId="391">
    <w:name w:val="封面"/>
    <w:basedOn w:val="1"/>
    <w:qFormat/>
    <w:uiPriority w:val="0"/>
    <w:pPr>
      <w:adjustRightInd w:val="0"/>
      <w:spacing w:line="360" w:lineRule="atLeast"/>
      <w:jc w:val="right"/>
      <w:textAlignment w:val="baseline"/>
    </w:pPr>
    <w:rPr>
      <w:rFonts w:ascii="Symbol" w:hAnsi="Symbol" w:eastAsia="宋体" w:cs="Times New Roman"/>
      <w:kern w:val="0"/>
      <w:szCs w:val="20"/>
    </w:rPr>
  </w:style>
  <w:style w:type="paragraph" w:customStyle="1" w:styleId="392">
    <w:name w:val="Char Char1 Char"/>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393">
    <w:name w:val="Char Char Char Char Char Char1 Char"/>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39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395">
    <w:name w:val="Char Char1 Char Char Char Char Char Char11"/>
    <w:basedOn w:val="1"/>
    <w:qFormat/>
    <w:uiPriority w:val="0"/>
    <w:pPr>
      <w:adjustRightInd w:val="0"/>
    </w:pPr>
    <w:rPr>
      <w:rFonts w:ascii="仿宋_GB2312" w:hAnsi="Times New Roman" w:eastAsia="仿宋_GB2312" w:cs="Times New Roman"/>
      <w:b/>
      <w:sz w:val="32"/>
      <w:szCs w:val="20"/>
    </w:rPr>
  </w:style>
  <w:style w:type="paragraph" w:customStyle="1" w:styleId="39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397">
    <w:name w:val="样式 正1 + 首行缩进:  2 字符"/>
    <w:basedOn w:val="1"/>
    <w:qFormat/>
    <w:uiPriority w:val="0"/>
    <w:pPr>
      <w:spacing w:line="360" w:lineRule="auto"/>
      <w:ind w:firstLine="480" w:firstLineChars="200"/>
    </w:pPr>
    <w:rPr>
      <w:rFonts w:ascii="仿宋_GB2312" w:hAnsi="Times New Roman" w:eastAsia="仿宋_GB2312" w:cs="Times New Roman"/>
      <w:sz w:val="24"/>
      <w:szCs w:val="24"/>
    </w:rPr>
  </w:style>
  <w:style w:type="paragraph" w:customStyle="1" w:styleId="398">
    <w:name w:val="样式4"/>
    <w:basedOn w:val="1"/>
    <w:qFormat/>
    <w:uiPriority w:val="0"/>
    <w:pPr>
      <w:adjustRightInd w:val="0"/>
      <w:spacing w:line="360" w:lineRule="auto"/>
      <w:ind w:firstLine="420"/>
      <w:jc w:val="center"/>
      <w:outlineLvl w:val="2"/>
    </w:pPr>
    <w:rPr>
      <w:rFonts w:ascii="仿宋_GB2312" w:hAnsi="仿宋" w:eastAsia="仿宋_GB2312" w:cs="Times New Roman"/>
      <w:b/>
      <w:sz w:val="32"/>
      <w:szCs w:val="32"/>
    </w:rPr>
  </w:style>
  <w:style w:type="paragraph" w:customStyle="1" w:styleId="399">
    <w:name w:val="正文（首行缩进2字符）"/>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40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01">
    <w:name w:val="表文字"/>
    <w:qFormat/>
    <w:uiPriority w:val="0"/>
    <w:rPr>
      <w:rFonts w:ascii="宋体" w:hAnsi="Times New Roman" w:eastAsia="宋体" w:cs="Times New Roman"/>
      <w:kern w:val="2"/>
      <w:lang w:val="en-US" w:eastAsia="zh-CN" w:bidi="ar-SA"/>
    </w:rPr>
  </w:style>
  <w:style w:type="paragraph" w:customStyle="1" w:styleId="402">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403">
    <w:name w:val="Char1"/>
    <w:basedOn w:val="1"/>
    <w:qFormat/>
    <w:uiPriority w:val="0"/>
    <w:pPr>
      <w:widowControl/>
      <w:adjustRightInd w:val="0"/>
      <w:spacing w:after="160" w:line="240" w:lineRule="exact"/>
      <w:jc w:val="left"/>
    </w:pPr>
    <w:rPr>
      <w:rFonts w:ascii="Verdana" w:hAnsi="Verdana" w:eastAsia="仿宋_GB2312" w:cs="Times New Roman"/>
      <w:kern w:val="0"/>
      <w:sz w:val="24"/>
      <w:szCs w:val="20"/>
      <w:lang w:eastAsia="en-US"/>
    </w:rPr>
  </w:style>
  <w:style w:type="paragraph" w:customStyle="1" w:styleId="404">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cs="Times New Roman"/>
      <w:sz w:val="24"/>
      <w:szCs w:val="20"/>
    </w:rPr>
  </w:style>
  <w:style w:type="paragraph" w:customStyle="1" w:styleId="405">
    <w:name w:val="有符号正文"/>
    <w:basedOn w:val="1"/>
    <w:qFormat/>
    <w:uiPriority w:val="0"/>
    <w:pPr>
      <w:spacing w:line="400" w:lineRule="exact"/>
      <w:ind w:firstLine="200" w:firstLineChars="200"/>
    </w:pPr>
    <w:rPr>
      <w:rFonts w:ascii="Arial" w:hAnsi="Arial" w:eastAsia="宋体" w:cs="Times New Roman"/>
      <w:szCs w:val="24"/>
    </w:rPr>
  </w:style>
  <w:style w:type="paragraph" w:customStyle="1" w:styleId="406">
    <w:name w:val="数字标题5"/>
    <w:basedOn w:val="7"/>
    <w:next w:val="1"/>
    <w:qFormat/>
    <w:uiPriority w:val="0"/>
    <w:pPr>
      <w:numPr>
        <w:numId w:val="6"/>
      </w:numPr>
      <w:tabs>
        <w:tab w:val="left" w:pos="480"/>
        <w:tab w:val="left" w:pos="1080"/>
      </w:tabs>
    </w:pPr>
  </w:style>
  <w:style w:type="paragraph" w:customStyle="1" w:styleId="407">
    <w:name w:val="Char1111"/>
    <w:basedOn w:val="1"/>
    <w:qFormat/>
    <w:uiPriority w:val="0"/>
    <w:pPr>
      <w:adjustRightInd w:val="0"/>
    </w:pPr>
    <w:rPr>
      <w:rFonts w:ascii="仿宋_GB2312" w:hAnsi="Times New Roman" w:eastAsia="仿宋_GB2312" w:cs="Times New Roman"/>
      <w:b/>
      <w:sz w:val="32"/>
      <w:szCs w:val="32"/>
    </w:rPr>
  </w:style>
  <w:style w:type="paragraph" w:customStyle="1" w:styleId="408">
    <w:name w:val="规范正文"/>
    <w:basedOn w:val="1"/>
    <w:qFormat/>
    <w:uiPriority w:val="0"/>
    <w:pPr>
      <w:tabs>
        <w:tab w:val="left" w:pos="840"/>
      </w:tabs>
      <w:adjustRightInd w:val="0"/>
      <w:spacing w:before="156" w:beforeLines="50" w:line="360" w:lineRule="auto"/>
      <w:ind w:left="840" w:hanging="420"/>
      <w:textAlignment w:val="baseline"/>
    </w:pPr>
    <w:rPr>
      <w:rFonts w:ascii="Times New Roman" w:hAnsi="Times New Roman" w:eastAsia="宋体" w:cs="Times New Roman"/>
      <w:szCs w:val="20"/>
    </w:rPr>
  </w:style>
  <w:style w:type="paragraph" w:customStyle="1" w:styleId="40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410">
    <w:name w:val="加粗正文"/>
    <w:basedOn w:val="1"/>
    <w:qFormat/>
    <w:uiPriority w:val="0"/>
    <w:pPr>
      <w:spacing w:before="156" w:beforeLines="50" w:after="156" w:afterLines="50" w:line="360" w:lineRule="auto"/>
      <w:ind w:firstLine="422" w:firstLineChars="200"/>
    </w:pPr>
    <w:rPr>
      <w:rFonts w:ascii="Times New Roman" w:hAnsi="Times New Roman" w:eastAsia="宋体" w:cs="Times New Roman"/>
      <w:b/>
      <w:bCs/>
      <w:szCs w:val="21"/>
    </w:rPr>
  </w:style>
  <w:style w:type="paragraph" w:customStyle="1" w:styleId="411">
    <w:name w:val="Char Char11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412">
    <w:name w:val="Char Char Char11"/>
    <w:basedOn w:val="1"/>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413">
    <w:name w:val="Char Char1111"/>
    <w:basedOn w:val="1"/>
    <w:qFormat/>
    <w:uiPriority w:val="0"/>
    <w:pPr>
      <w:adjustRightInd w:val="0"/>
      <w:spacing w:line="360" w:lineRule="auto"/>
    </w:pPr>
    <w:rPr>
      <w:rFonts w:ascii="Times New Roman" w:hAnsi="Times New Roman" w:eastAsia="宋体" w:cs="Times New Roman"/>
      <w:szCs w:val="20"/>
    </w:rPr>
  </w:style>
  <w:style w:type="paragraph" w:customStyle="1" w:styleId="414">
    <w:name w:val="文档正文"/>
    <w:basedOn w:val="1"/>
    <w:qFormat/>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415">
    <w:name w:val="legal"/>
    <w:basedOn w:val="1"/>
    <w:qFormat/>
    <w:uiPriority w:val="0"/>
    <w:pPr>
      <w:widowControl/>
      <w:spacing w:line="180" w:lineRule="exact"/>
      <w:ind w:firstLine="200" w:firstLineChars="200"/>
      <w:jc w:val="left"/>
    </w:pPr>
    <w:rPr>
      <w:rFonts w:ascii="Futura Bk" w:hAnsi="Futura Bk" w:eastAsia="宋体" w:cs="Futura Bk"/>
      <w:kern w:val="0"/>
      <w:sz w:val="13"/>
      <w:szCs w:val="13"/>
    </w:rPr>
  </w:style>
  <w:style w:type="paragraph" w:customStyle="1" w:styleId="416">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417">
    <w:name w:val="Char1 Char Char Char3"/>
    <w:basedOn w:val="1"/>
    <w:qFormat/>
    <w:uiPriority w:val="0"/>
    <w:pPr>
      <w:ind w:firstLine="200" w:firstLineChars="200"/>
    </w:pPr>
    <w:rPr>
      <w:rFonts w:ascii="Tahoma" w:hAnsi="Tahoma" w:eastAsia="宋体" w:cs="Times New Roman"/>
      <w:sz w:val="24"/>
      <w:szCs w:val="20"/>
    </w:rPr>
  </w:style>
  <w:style w:type="paragraph" w:customStyle="1" w:styleId="41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19">
    <w:name w:val="样式 左侧:  0.85 厘米 首行缩进:  0.85 厘米"/>
    <w:basedOn w:val="1"/>
    <w:qFormat/>
    <w:uiPriority w:val="0"/>
    <w:pPr>
      <w:spacing w:line="360" w:lineRule="auto"/>
      <w:ind w:firstLine="482"/>
    </w:pPr>
    <w:rPr>
      <w:rFonts w:ascii="Times New Roman" w:hAnsi="Times New Roman" w:eastAsia="宋体" w:cs="宋体"/>
      <w:sz w:val="24"/>
      <w:szCs w:val="20"/>
    </w:rPr>
  </w:style>
  <w:style w:type="paragraph" w:customStyle="1" w:styleId="420">
    <w:name w:val="Char2 Char Char Char"/>
    <w:basedOn w:val="1"/>
    <w:qFormat/>
    <w:uiPriority w:val="0"/>
    <w:pPr>
      <w:adjustRightInd w:val="0"/>
    </w:pPr>
    <w:rPr>
      <w:rFonts w:ascii="仿宋_GB2312" w:hAnsi="Times New Roman" w:eastAsia="仿宋_GB2312" w:cs="Times New Roman"/>
      <w:b/>
      <w:sz w:val="32"/>
      <w:szCs w:val="32"/>
    </w:rPr>
  </w:style>
  <w:style w:type="paragraph" w:customStyle="1" w:styleId="421">
    <w:name w:val="Body"/>
    <w:basedOn w:val="1"/>
    <w:qFormat/>
    <w:uiPriority w:val="0"/>
    <w:pPr>
      <w:widowControl/>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422">
    <w:name w:val="MM Topic 5"/>
    <w:basedOn w:val="7"/>
    <w:qFormat/>
    <w:uiPriority w:val="0"/>
    <w:pPr>
      <w:numPr>
        <w:numId w:val="5"/>
      </w:numPr>
      <w:tabs>
        <w:tab w:val="left" w:pos="840"/>
        <w:tab w:val="left" w:pos="2520"/>
      </w:tabs>
      <w:adjustRightInd/>
    </w:pPr>
  </w:style>
  <w:style w:type="paragraph" w:customStyle="1" w:styleId="4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424">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425">
    <w:name w:val="默认段落字体 Para Char Char Char Char Char Char Char Char Char Char Char Char Char Char Char Char Char Char Char"/>
    <w:basedOn w:val="1"/>
    <w:qFormat/>
    <w:uiPriority w:val="0"/>
    <w:pPr>
      <w:adjustRightInd w:val="0"/>
    </w:pPr>
    <w:rPr>
      <w:rFonts w:ascii="Tahoma" w:hAnsi="Tahoma" w:eastAsia="宋体" w:cs="Times New Roman"/>
      <w:sz w:val="24"/>
      <w:szCs w:val="20"/>
    </w:rPr>
  </w:style>
  <w:style w:type="paragraph" w:customStyle="1" w:styleId="426">
    <w:name w:val="Char1 Char Char Char2"/>
    <w:basedOn w:val="1"/>
    <w:qFormat/>
    <w:uiPriority w:val="0"/>
    <w:pPr>
      <w:ind w:firstLine="200" w:firstLineChars="200"/>
    </w:pPr>
    <w:rPr>
      <w:rFonts w:ascii="Tahoma" w:hAnsi="Tahoma" w:eastAsia="宋体" w:cs="Times New Roman"/>
      <w:sz w:val="24"/>
      <w:szCs w:val="20"/>
    </w:rPr>
  </w:style>
  <w:style w:type="paragraph" w:customStyle="1" w:styleId="427">
    <w:name w:val="列出段落1"/>
    <w:basedOn w:val="1"/>
    <w:qFormat/>
    <w:uiPriority w:val="0"/>
    <w:pPr>
      <w:spacing w:line="360" w:lineRule="auto"/>
      <w:ind w:firstLine="420" w:firstLineChars="200"/>
    </w:pPr>
    <w:rPr>
      <w:rFonts w:ascii="Calibri" w:hAnsi="Calibri" w:eastAsia="宋体" w:cs="Times New Roman"/>
      <w:sz w:val="24"/>
    </w:rPr>
  </w:style>
  <w:style w:type="paragraph" w:customStyle="1" w:styleId="428">
    <w:name w:val="Char1 Char Char Char"/>
    <w:basedOn w:val="1"/>
    <w:qFormat/>
    <w:uiPriority w:val="0"/>
    <w:pPr>
      <w:adjustRightInd w:val="0"/>
    </w:pPr>
    <w:rPr>
      <w:rFonts w:ascii="Tahoma" w:hAnsi="Tahoma" w:eastAsia="宋体" w:cs="Times New Roman"/>
      <w:sz w:val="24"/>
      <w:szCs w:val="20"/>
    </w:rPr>
  </w:style>
  <w:style w:type="paragraph" w:customStyle="1" w:styleId="429">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30">
    <w:name w:val="正文3"/>
    <w:basedOn w:val="1"/>
    <w:qFormat/>
    <w:uiPriority w:val="0"/>
    <w:pPr>
      <w:spacing w:before="156" w:beforeLines="50" w:after="156" w:afterLines="50" w:line="360" w:lineRule="auto"/>
      <w:outlineLvl w:val="8"/>
    </w:pPr>
    <w:rPr>
      <w:rFonts w:ascii="Segoe UI" w:hAnsi="宋体" w:eastAsia="楷体_GB2312" w:cs="Latha"/>
      <w:sz w:val="24"/>
      <w:szCs w:val="21"/>
    </w:rPr>
  </w:style>
  <w:style w:type="paragraph" w:customStyle="1" w:styleId="431">
    <w:name w:val="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432">
    <w:name w:val="Char2 Char Char Char11"/>
    <w:basedOn w:val="1"/>
    <w:qFormat/>
    <w:uiPriority w:val="0"/>
    <w:pPr>
      <w:adjustRightInd w:val="0"/>
    </w:pPr>
    <w:rPr>
      <w:rFonts w:ascii="仿宋_GB2312" w:hAnsi="Times New Roman" w:eastAsia="仿宋_GB2312" w:cs="Times New Roman"/>
      <w:b/>
      <w:sz w:val="32"/>
      <w:szCs w:val="32"/>
    </w:rPr>
  </w:style>
  <w:style w:type="paragraph" w:customStyle="1" w:styleId="433">
    <w:name w:val="Char Char11 Char Char Char Char Char Char Char Char Char Char Char Char Char"/>
    <w:basedOn w:val="1"/>
    <w:qFormat/>
    <w:uiPriority w:val="0"/>
    <w:pPr>
      <w:spacing w:line="360" w:lineRule="auto"/>
    </w:pPr>
    <w:rPr>
      <w:rFonts w:ascii="Arial" w:hAnsi="Arial" w:eastAsia="黑体" w:cs="Times New Roman"/>
      <w:snapToGrid w:val="0"/>
      <w:kern w:val="0"/>
      <w:sz w:val="20"/>
      <w:szCs w:val="21"/>
    </w:rPr>
  </w:style>
  <w:style w:type="paragraph" w:customStyle="1" w:styleId="434">
    <w:name w:val="0"/>
    <w:basedOn w:val="1"/>
    <w:qFormat/>
    <w:uiPriority w:val="0"/>
    <w:pPr>
      <w:widowControl/>
      <w:adjustRightInd w:val="0"/>
    </w:pPr>
    <w:rPr>
      <w:rFonts w:ascii="Times New Roman" w:hAnsi="Times New Roman" w:eastAsia="宋体" w:cs="Times New Roman"/>
      <w:kern w:val="0"/>
      <w:sz w:val="24"/>
      <w:szCs w:val="20"/>
    </w:rPr>
  </w:style>
  <w:style w:type="paragraph" w:customStyle="1" w:styleId="43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36">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437">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38">
    <w:name w:val="默认段落字体 Para Char Char Char1 Char"/>
    <w:basedOn w:val="1"/>
    <w:qFormat/>
    <w:uiPriority w:val="0"/>
    <w:pPr>
      <w:adjustRightInd w:val="0"/>
      <w:spacing w:line="240" w:lineRule="atLeast"/>
      <w:ind w:left="420" w:firstLine="420"/>
    </w:pPr>
    <w:rPr>
      <w:rFonts w:ascii="Times New Roman" w:hAnsi="Times New Roman" w:eastAsia="宋体" w:cs="Times New Roman"/>
      <w:sz w:val="24"/>
      <w:szCs w:val="24"/>
    </w:rPr>
  </w:style>
  <w:style w:type="paragraph" w:customStyle="1" w:styleId="439">
    <w:name w:val="样式 正文文本缩进 + 段前: 2 字符"/>
    <w:basedOn w:val="1"/>
    <w:qFormat/>
    <w:uiPriority w:val="0"/>
    <w:pPr>
      <w:ind w:left="420" w:leftChars="200"/>
      <w:jc w:val="left"/>
    </w:pPr>
    <w:rPr>
      <w:rFonts w:ascii="Times New Roman" w:hAnsi="Times New Roman" w:eastAsia="宋体" w:cs="Times New Roman"/>
      <w:sz w:val="28"/>
      <w:szCs w:val="20"/>
      <w:lang w:eastAsia="zh-TW"/>
    </w:rPr>
  </w:style>
  <w:style w:type="paragraph" w:customStyle="1" w:styleId="440">
    <w:name w:val="标书标题2"/>
    <w:basedOn w:val="4"/>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41">
    <w:name w:val="表格"/>
    <w:basedOn w:val="1"/>
    <w:qFormat/>
    <w:uiPriority w:val="0"/>
    <w:pPr>
      <w:adjustRightInd w:val="0"/>
      <w:snapToGrid w:val="0"/>
      <w:ind w:firstLine="42" w:firstLineChars="21"/>
    </w:pPr>
    <w:rPr>
      <w:rFonts w:ascii="宋体" w:hAnsi="宋体" w:eastAsia="宋体" w:cs="Times New Roman"/>
      <w:kern w:val="0"/>
      <w:sz w:val="20"/>
      <w:szCs w:val="20"/>
    </w:rPr>
  </w:style>
  <w:style w:type="paragraph" w:customStyle="1" w:styleId="44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43">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44">
    <w:name w:val="数字标题6"/>
    <w:basedOn w:val="8"/>
    <w:next w:val="1"/>
    <w:qFormat/>
    <w:uiPriority w:val="0"/>
    <w:pPr>
      <w:numPr>
        <w:numId w:val="6"/>
      </w:numPr>
      <w:tabs>
        <w:tab w:val="left" w:pos="480"/>
        <w:tab w:val="left" w:pos="1080"/>
      </w:tabs>
    </w:pPr>
    <w:rPr>
      <w:rFonts w:ascii="Times New Roman" w:hAnsi="Times New Roman" w:eastAsia="宋体"/>
      <w:i/>
    </w:rPr>
  </w:style>
  <w:style w:type="paragraph" w:customStyle="1" w:styleId="445">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46">
    <w:name w:val="P1"/>
    <w:basedOn w:val="1"/>
    <w:qFormat/>
    <w:uiPriority w:val="0"/>
    <w:pPr>
      <w:spacing w:line="288" w:lineRule="auto"/>
      <w:ind w:firstLine="425" w:firstLineChars="200"/>
    </w:pPr>
    <w:rPr>
      <w:rFonts w:ascii="Times New Roman" w:hAnsi="Times New Roman" w:eastAsia="宋体" w:cs="Times New Roman"/>
      <w:szCs w:val="24"/>
    </w:rPr>
  </w:style>
  <w:style w:type="paragraph" w:customStyle="1" w:styleId="447">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48">
    <w:name w:val="标1"/>
    <w:basedOn w:val="1"/>
    <w:qFormat/>
    <w:uiPriority w:val="0"/>
    <w:pPr>
      <w:widowControl/>
      <w:tabs>
        <w:tab w:val="left" w:pos="1020"/>
      </w:tabs>
      <w:adjustRightInd w:val="0"/>
      <w:snapToGrid w:val="0"/>
      <w:spacing w:before="312" w:beforeLines="100" w:line="360" w:lineRule="auto"/>
      <w:ind w:left="1020" w:hanging="420" w:firstLineChars="200"/>
      <w:jc w:val="left"/>
      <w:outlineLvl w:val="0"/>
    </w:pPr>
    <w:rPr>
      <w:rFonts w:ascii="Arial Narrow" w:hAnsi="Arial Narrow" w:eastAsia="仿宋_GB2312" w:cs="Times New Roman"/>
      <w:b/>
      <w:spacing w:val="20"/>
      <w:kern w:val="0"/>
      <w:sz w:val="24"/>
      <w:szCs w:val="24"/>
    </w:rPr>
  </w:style>
  <w:style w:type="paragraph" w:customStyle="1" w:styleId="449">
    <w:name w:val="正文文字 2"/>
    <w:basedOn w:val="78"/>
    <w:next w:val="78"/>
    <w:qFormat/>
    <w:uiPriority w:val="0"/>
    <w:rPr>
      <w:rFonts w:ascii="宋体" w:eastAsia="宋体"/>
      <w:color w:val="auto"/>
    </w:rPr>
  </w:style>
  <w:style w:type="paragraph" w:customStyle="1" w:styleId="450">
    <w:name w:val="Bullet"/>
    <w:basedOn w:val="1"/>
    <w:qFormat/>
    <w:uiPriority w:val="0"/>
    <w:pPr>
      <w:widowControl/>
      <w:tabs>
        <w:tab w:val="left" w:pos="288"/>
      </w:tabs>
      <w:ind w:left="288" w:hanging="360" w:firstLineChars="200"/>
      <w:jc w:val="left"/>
    </w:pPr>
    <w:rPr>
      <w:rFonts w:ascii="Arial" w:hAnsi="Arial" w:eastAsia="宋体" w:cs="Times New Roman"/>
      <w:kern w:val="0"/>
      <w:sz w:val="20"/>
      <w:szCs w:val="20"/>
    </w:rPr>
  </w:style>
  <w:style w:type="paragraph" w:customStyle="1" w:styleId="451">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52">
    <w:name w:val="Char3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3">
    <w:name w:val="_Style 12"/>
    <w:basedOn w:val="19"/>
    <w:qFormat/>
    <w:uiPriority w:val="0"/>
    <w:pPr>
      <w:snapToGrid w:val="0"/>
      <w:spacing w:line="360" w:lineRule="auto"/>
    </w:pPr>
  </w:style>
  <w:style w:type="paragraph" w:customStyle="1" w:styleId="454">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55">
    <w:name w:val="Char Char1 Char11"/>
    <w:basedOn w:val="1"/>
    <w:qFormat/>
    <w:uiPriority w:val="0"/>
    <w:pPr>
      <w:adjustRightInd w:val="0"/>
    </w:pPr>
    <w:rPr>
      <w:rFonts w:ascii="仿宋_GB2312" w:hAnsi="Times New Roman" w:eastAsia="仿宋_GB2312" w:cs="Times New Roman"/>
      <w:b/>
      <w:sz w:val="32"/>
      <w:szCs w:val="32"/>
    </w:rPr>
  </w:style>
  <w:style w:type="paragraph" w:customStyle="1" w:styleId="456">
    <w:name w:val="Char2 Char Char"/>
    <w:basedOn w:val="1"/>
    <w:qFormat/>
    <w:uiPriority w:val="0"/>
    <w:rPr>
      <w:rFonts w:ascii="Tahoma" w:hAnsi="Tahoma" w:eastAsia="宋体" w:cs="Times New Roman"/>
      <w:sz w:val="24"/>
      <w:szCs w:val="20"/>
    </w:rPr>
  </w:style>
  <w:style w:type="paragraph" w:customStyle="1" w:styleId="457">
    <w:name w:val="Char Char Char Char Char Char1 Char1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458">
    <w:name w:val="MM Empty"/>
    <w:basedOn w:val="1"/>
    <w:qFormat/>
    <w:uiPriority w:val="0"/>
    <w:rPr>
      <w:rFonts w:ascii="Times New Roman" w:hAnsi="Times New Roman" w:eastAsia="宋体" w:cs="Times New Roman"/>
      <w:szCs w:val="24"/>
    </w:rPr>
  </w:style>
  <w:style w:type="paragraph" w:customStyle="1" w:styleId="459">
    <w:name w:val="正文表标题"/>
    <w:next w:val="37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0">
    <w:name w:val="style82 f9a f9a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46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62">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463">
    <w:name w:val="Char2 Char Char11"/>
    <w:basedOn w:val="1"/>
    <w:qFormat/>
    <w:uiPriority w:val="0"/>
    <w:rPr>
      <w:rFonts w:ascii="Tahoma" w:hAnsi="Tahoma" w:eastAsia="宋体" w:cs="Times New Roman"/>
      <w:sz w:val="24"/>
      <w:szCs w:val="20"/>
    </w:rPr>
  </w:style>
  <w:style w:type="paragraph" w:customStyle="1" w:styleId="464">
    <w:name w:val="数字标题3"/>
    <w:basedOn w:val="5"/>
    <w:next w:val="1"/>
    <w:qFormat/>
    <w:uiPriority w:val="0"/>
    <w:pPr>
      <w:numPr>
        <w:numId w:val="0"/>
      </w:numPr>
      <w:spacing w:line="240" w:lineRule="auto"/>
    </w:pPr>
    <w:rPr>
      <w:sz w:val="28"/>
      <w:szCs w:val="28"/>
    </w:rPr>
  </w:style>
  <w:style w:type="paragraph" w:customStyle="1" w:styleId="465">
    <w:name w:val="彩色列表 - 强调文字颜色 12"/>
    <w:basedOn w:val="1"/>
    <w:qFormat/>
    <w:uiPriority w:val="0"/>
    <w:pPr>
      <w:ind w:firstLine="420" w:firstLineChars="200"/>
    </w:pPr>
    <w:rPr>
      <w:rFonts w:ascii="Calibri" w:hAnsi="Calibri" w:eastAsia="宋体" w:cs="Times New Roman"/>
    </w:rPr>
  </w:style>
  <w:style w:type="paragraph" w:customStyle="1" w:styleId="466">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67">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68">
    <w:name w:val="正文（标题三）"/>
    <w:basedOn w:val="1"/>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469">
    <w:name w:val="Char Char Char1 Char"/>
    <w:basedOn w:val="1"/>
    <w:qFormat/>
    <w:uiPriority w:val="0"/>
    <w:pPr>
      <w:adjustRightInd w:val="0"/>
    </w:pPr>
    <w:rPr>
      <w:rFonts w:ascii="Times New Roman" w:hAnsi="Times New Roman" w:eastAsia="宋体" w:cs="Times New Roman"/>
      <w:szCs w:val="20"/>
    </w:rPr>
  </w:style>
  <w:style w:type="paragraph" w:customStyle="1" w:styleId="470">
    <w:name w:val="tabletext"/>
    <w:basedOn w:val="1"/>
    <w:qFormat/>
    <w:uiPriority w:val="0"/>
    <w:pPr>
      <w:widowControl/>
      <w:adjustRightInd w:val="0"/>
      <w:spacing w:before="100" w:beforeAutospacing="1" w:after="100" w:afterAutospacing="1"/>
      <w:jc w:val="left"/>
    </w:pPr>
    <w:rPr>
      <w:rFonts w:ascii="宋体" w:hAnsi="宋体" w:eastAsia="宋体" w:cs="宋体"/>
      <w:kern w:val="0"/>
      <w:sz w:val="24"/>
      <w:szCs w:val="24"/>
    </w:rPr>
  </w:style>
  <w:style w:type="paragraph" w:customStyle="1" w:styleId="471">
    <w:name w:val="正文文字缩进项目"/>
    <w:basedOn w:val="2"/>
    <w:qFormat/>
    <w:uiPriority w:val="0"/>
    <w:pPr>
      <w:tabs>
        <w:tab w:val="left" w:pos="840"/>
      </w:tabs>
      <w:adjustRightInd/>
      <w:ind w:left="0" w:leftChars="0" w:hanging="420"/>
    </w:pPr>
    <w:rPr>
      <w:rFonts w:ascii="Tahoma" w:hAnsi="Tahoma"/>
      <w:sz w:val="22"/>
      <w:szCs w:val="20"/>
      <w:lang w:val="zh-CN"/>
    </w:rPr>
  </w:style>
  <w:style w:type="paragraph" w:customStyle="1" w:styleId="472">
    <w:name w:val="标题五"/>
    <w:basedOn w:val="1"/>
    <w:qFormat/>
    <w:uiPriority w:val="0"/>
    <w:pPr>
      <w:spacing w:before="156" w:beforeLines="50" w:line="360" w:lineRule="auto"/>
    </w:pPr>
    <w:rPr>
      <w:rFonts w:ascii="Times New Roman" w:hAnsi="Times New Roman" w:eastAsia="宋体" w:cs="Times New Roman"/>
      <w:b/>
      <w:sz w:val="24"/>
      <w:szCs w:val="24"/>
    </w:rPr>
  </w:style>
  <w:style w:type="paragraph" w:customStyle="1" w:styleId="473">
    <w:name w:val="Char Char Char Char Char Char Char Char Char Char Char Char1 Char11"/>
    <w:basedOn w:val="1"/>
    <w:qFormat/>
    <w:uiPriority w:val="0"/>
    <w:pPr>
      <w:adjustRightInd w:val="0"/>
    </w:pPr>
    <w:rPr>
      <w:rFonts w:ascii="Tahoma" w:hAnsi="Tahoma" w:eastAsia="宋体" w:cs="仿宋_GB2312"/>
      <w:sz w:val="24"/>
      <w:szCs w:val="20"/>
    </w:rPr>
  </w:style>
  <w:style w:type="paragraph" w:customStyle="1" w:styleId="474">
    <w:name w:val="Bulleted List"/>
    <w:basedOn w:val="1"/>
    <w:qFormat/>
    <w:uiPriority w:val="0"/>
    <w:pPr>
      <w:tabs>
        <w:tab w:val="left" w:pos="1260"/>
      </w:tabs>
      <w:ind w:left="1260" w:hanging="420"/>
    </w:pPr>
    <w:rPr>
      <w:rFonts w:ascii="Times New Roman" w:hAnsi="Times New Roman" w:eastAsia="宋体" w:cs="Times New Roman"/>
      <w:szCs w:val="24"/>
    </w:rPr>
  </w:style>
  <w:style w:type="paragraph" w:customStyle="1" w:styleId="475">
    <w:name w:val="Char Char1 Char Char Char"/>
    <w:basedOn w:val="1"/>
    <w:qFormat/>
    <w:uiPriority w:val="0"/>
    <w:pPr>
      <w:adjustRightInd w:val="0"/>
    </w:pPr>
    <w:rPr>
      <w:rFonts w:ascii="仿宋_GB2312" w:hAnsi="Times New Roman" w:eastAsia="仿宋_GB2312" w:cs="Times New Roman"/>
      <w:b/>
      <w:sz w:val="32"/>
      <w:szCs w:val="20"/>
    </w:rPr>
  </w:style>
  <w:style w:type="paragraph" w:customStyle="1" w:styleId="476">
    <w:name w:val="金宏发行正文"/>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477">
    <w:name w:val="数字标题2"/>
    <w:basedOn w:val="4"/>
    <w:next w:val="1"/>
    <w:qFormat/>
    <w:uiPriority w:val="0"/>
    <w:pPr>
      <w:numPr>
        <w:ilvl w:val="1"/>
        <w:numId w:val="6"/>
      </w:numPr>
    </w:pPr>
    <w:rPr>
      <w:rFonts w:ascii="Times New Roman" w:eastAsia="宋体"/>
      <w:i/>
      <w:sz w:val="36"/>
      <w:szCs w:val="36"/>
      <w:lang w:val="en-US"/>
    </w:rPr>
  </w:style>
  <w:style w:type="paragraph" w:customStyle="1" w:styleId="47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79">
    <w:name w:val="Char21"/>
    <w:basedOn w:val="1"/>
    <w:qFormat/>
    <w:uiPriority w:val="0"/>
    <w:pPr>
      <w:ind w:firstLine="200" w:firstLineChars="200"/>
    </w:pPr>
    <w:rPr>
      <w:rFonts w:ascii="仿宋_GB2312" w:hAnsi="Times New Roman" w:eastAsia="仿宋_GB2312" w:cs="Times New Roman"/>
      <w:b/>
      <w:sz w:val="32"/>
      <w:szCs w:val="32"/>
    </w:rPr>
  </w:style>
  <w:style w:type="paragraph" w:customStyle="1" w:styleId="48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8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2">
    <w:name w:val="font7"/>
    <w:basedOn w:val="1"/>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83">
    <w:name w:val="表格标题1"/>
    <w:basedOn w:val="1"/>
    <w:qFormat/>
    <w:uiPriority w:val="0"/>
    <w:pPr>
      <w:spacing w:line="360" w:lineRule="auto"/>
      <w:jc w:val="center"/>
    </w:pPr>
    <w:rPr>
      <w:rFonts w:ascii="宋体" w:hAnsi="宋体" w:eastAsia="宋体" w:cs="宋体"/>
      <w:b/>
      <w:bCs/>
      <w:color w:val="000000"/>
      <w:sz w:val="24"/>
      <w:szCs w:val="21"/>
    </w:rPr>
  </w:style>
  <w:style w:type="paragraph" w:customStyle="1" w:styleId="484">
    <w:name w:val="批注框文本1"/>
    <w:basedOn w:val="1"/>
    <w:qFormat/>
    <w:uiPriority w:val="0"/>
    <w:pPr>
      <w:autoSpaceDE w:val="0"/>
      <w:autoSpaceDN w:val="0"/>
      <w:adjustRightInd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485">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486">
    <w:name w:val="标书表格字体格式"/>
    <w:next w:val="335"/>
    <w:qFormat/>
    <w:uiPriority w:val="0"/>
    <w:rPr>
      <w:rFonts w:ascii="Times New Roman" w:hAnsi="Times New Roman" w:eastAsia="宋体" w:cs="Times New Roman"/>
      <w:kern w:val="2"/>
      <w:sz w:val="21"/>
      <w:szCs w:val="24"/>
      <w:lang w:val="en-US" w:eastAsia="zh-CN" w:bidi="ar-SA"/>
    </w:rPr>
  </w:style>
  <w:style w:type="paragraph" w:customStyle="1" w:styleId="487">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1"/>
    </w:rPr>
  </w:style>
  <w:style w:type="paragraph" w:customStyle="1" w:styleId="48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89">
    <w:name w:val="五级条标题"/>
    <w:basedOn w:val="490"/>
    <w:next w:val="376"/>
    <w:qFormat/>
    <w:uiPriority w:val="0"/>
    <w:pPr>
      <w:numPr>
        <w:ilvl w:val="6"/>
      </w:numPr>
      <w:tabs>
        <w:tab w:val="left" w:pos="1260"/>
        <w:tab w:val="left" w:pos="1680"/>
        <w:tab w:val="left" w:pos="2100"/>
        <w:tab w:val="left" w:pos="2520"/>
        <w:tab w:val="left" w:pos="2940"/>
      </w:tabs>
      <w:outlineLvl w:val="6"/>
    </w:pPr>
  </w:style>
  <w:style w:type="paragraph" w:customStyle="1" w:styleId="490">
    <w:name w:val="四级条标题"/>
    <w:basedOn w:val="491"/>
    <w:next w:val="376"/>
    <w:qFormat/>
    <w:uiPriority w:val="0"/>
    <w:pPr>
      <w:numPr>
        <w:ilvl w:val="5"/>
        <w:numId w:val="5"/>
      </w:numPr>
      <w:tabs>
        <w:tab w:val="left" w:pos="1260"/>
        <w:tab w:val="left" w:pos="1680"/>
        <w:tab w:val="left" w:pos="2100"/>
        <w:tab w:val="left" w:pos="2520"/>
      </w:tabs>
      <w:outlineLvl w:val="5"/>
    </w:pPr>
  </w:style>
  <w:style w:type="paragraph" w:customStyle="1" w:styleId="491">
    <w:name w:val="三级条标题"/>
    <w:basedOn w:val="492"/>
    <w:next w:val="376"/>
    <w:qFormat/>
    <w:uiPriority w:val="0"/>
    <w:pPr>
      <w:tabs>
        <w:tab w:val="left" w:pos="1260"/>
        <w:tab w:val="left" w:pos="1680"/>
        <w:tab w:val="left" w:pos="2100"/>
        <w:tab w:val="left" w:pos="2520"/>
      </w:tabs>
      <w:ind w:left="2520"/>
      <w:outlineLvl w:val="4"/>
    </w:pPr>
  </w:style>
  <w:style w:type="paragraph" w:customStyle="1" w:styleId="492">
    <w:name w:val="二级条标题"/>
    <w:basedOn w:val="493"/>
    <w:next w:val="376"/>
    <w:qFormat/>
    <w:uiPriority w:val="0"/>
    <w:pPr>
      <w:tabs>
        <w:tab w:val="left" w:pos="1260"/>
        <w:tab w:val="left" w:pos="1680"/>
        <w:tab w:val="left" w:pos="2100"/>
      </w:tabs>
      <w:ind w:left="0"/>
      <w:outlineLvl w:val="3"/>
    </w:pPr>
  </w:style>
  <w:style w:type="paragraph" w:customStyle="1" w:styleId="493">
    <w:name w:val="一级条标题"/>
    <w:basedOn w:val="494"/>
    <w:next w:val="376"/>
    <w:qFormat/>
    <w:uiPriority w:val="0"/>
    <w:pPr>
      <w:tabs>
        <w:tab w:val="left" w:pos="1260"/>
        <w:tab w:val="left" w:pos="1680"/>
      </w:tabs>
      <w:spacing w:before="0" w:beforeLines="0" w:after="0" w:afterLines="0"/>
      <w:ind w:left="1680"/>
      <w:outlineLvl w:val="2"/>
    </w:pPr>
  </w:style>
  <w:style w:type="paragraph" w:customStyle="1" w:styleId="494">
    <w:name w:val="章标题"/>
    <w:next w:val="37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95">
    <w:name w:val="数字标题4"/>
    <w:basedOn w:val="6"/>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96">
    <w:name w:val="普通正文"/>
    <w:basedOn w:val="1"/>
    <w:link w:val="901"/>
    <w:qFormat/>
    <w:uiPriority w:val="0"/>
    <w:pPr>
      <w:tabs>
        <w:tab w:val="left" w:pos="2280"/>
      </w:tabs>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paragraph" w:customStyle="1" w:styleId="497">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98">
    <w:name w:val="Bullet with text 4"/>
    <w:basedOn w:val="1"/>
    <w:qFormat/>
    <w:uiPriority w:val="0"/>
    <w:pPr>
      <w:widowControl/>
      <w:tabs>
        <w:tab w:val="left" w:pos="1440"/>
      </w:tabs>
      <w:ind w:left="1440" w:hanging="360" w:firstLineChars="200"/>
      <w:jc w:val="left"/>
    </w:pPr>
    <w:rPr>
      <w:rFonts w:ascii="Arial" w:hAnsi="Arial" w:eastAsia="宋体" w:cs="Times New Roman"/>
      <w:kern w:val="0"/>
      <w:sz w:val="20"/>
      <w:szCs w:val="20"/>
      <w:lang w:val="en-GB" w:eastAsia="en-US"/>
    </w:rPr>
  </w:style>
  <w:style w:type="paragraph" w:customStyle="1" w:styleId="499">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500">
    <w:name w:val="数字标题1"/>
    <w:basedOn w:val="3"/>
    <w:next w:val="1"/>
    <w:qFormat/>
    <w:uiPriority w:val="0"/>
    <w:pPr>
      <w:numPr>
        <w:numId w:val="6"/>
      </w:numPr>
      <w:tabs>
        <w:tab w:val="left" w:pos="480"/>
      </w:tabs>
    </w:pPr>
  </w:style>
  <w:style w:type="paragraph" w:customStyle="1" w:styleId="501">
    <w:name w:val="正文 项目2"/>
    <w:basedOn w:val="402"/>
    <w:qFormat/>
    <w:uiPriority w:val="0"/>
    <w:pPr>
      <w:numPr>
        <w:ilvl w:val="0"/>
        <w:numId w:val="7"/>
      </w:numPr>
      <w:tabs>
        <w:tab w:val="clear" w:pos="840"/>
      </w:tabs>
      <w:spacing w:after="0"/>
    </w:pPr>
  </w:style>
  <w:style w:type="paragraph" w:customStyle="1" w:styleId="502">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503">
    <w:name w:val="Char Char Char Char1"/>
    <w:basedOn w:val="1"/>
    <w:qFormat/>
    <w:uiPriority w:val="0"/>
    <w:pPr>
      <w:tabs>
        <w:tab w:val="left" w:pos="0"/>
      </w:tabs>
      <w:ind w:firstLine="200" w:firstLineChars="200"/>
    </w:pPr>
    <w:rPr>
      <w:rFonts w:ascii="宋体" w:hAnsi="宋体" w:eastAsia="仿宋_GB2312" w:cs="Times New Roman"/>
      <w:sz w:val="28"/>
      <w:szCs w:val="24"/>
    </w:rPr>
  </w:style>
  <w:style w:type="paragraph" w:customStyle="1" w:styleId="50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505">
    <w:name w:val="节标题"/>
    <w:basedOn w:val="1"/>
    <w:qFormat/>
    <w:uiPriority w:val="0"/>
    <w:pPr>
      <w:autoSpaceDE w:val="0"/>
      <w:autoSpaceDN w:val="0"/>
      <w:adjustRightInd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50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07">
    <w:name w:val="Char Char Char1 Char11"/>
    <w:basedOn w:val="1"/>
    <w:qFormat/>
    <w:uiPriority w:val="0"/>
    <w:pPr>
      <w:adjustRightInd w:val="0"/>
    </w:pPr>
    <w:rPr>
      <w:rFonts w:ascii="Times New Roman" w:hAnsi="Times New Roman" w:eastAsia="宋体" w:cs="Times New Roman"/>
      <w:szCs w:val="20"/>
    </w:rPr>
  </w:style>
  <w:style w:type="paragraph" w:customStyle="1" w:styleId="508">
    <w:name w:val="Char1 Char Char Char4"/>
    <w:basedOn w:val="1"/>
    <w:qFormat/>
    <w:uiPriority w:val="0"/>
    <w:pPr>
      <w:ind w:firstLine="200" w:firstLineChars="200"/>
    </w:pPr>
    <w:rPr>
      <w:rFonts w:ascii="Tahoma" w:hAnsi="Tahoma" w:eastAsia="宋体" w:cs="Times New Roman"/>
      <w:sz w:val="24"/>
      <w:szCs w:val="20"/>
    </w:rPr>
  </w:style>
  <w:style w:type="paragraph" w:customStyle="1" w:styleId="509">
    <w:name w:val="TOC 标题2"/>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510">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11">
    <w:name w:val="表格文字（大）"/>
    <w:basedOn w:val="1"/>
    <w:qFormat/>
    <w:uiPriority w:val="0"/>
    <w:pPr>
      <w:spacing w:before="20" w:after="20"/>
      <w:ind w:firstLine="200" w:firstLineChars="200"/>
    </w:pPr>
    <w:rPr>
      <w:rFonts w:ascii="Century Gothic" w:hAnsi="Century Gothic" w:eastAsia="宋体" w:cs="Times New Roman"/>
      <w:sz w:val="24"/>
      <w:szCs w:val="20"/>
    </w:rPr>
  </w:style>
  <w:style w:type="paragraph" w:customStyle="1" w:styleId="512">
    <w:name w:val="样式1"/>
    <w:basedOn w:val="1"/>
    <w:link w:val="884"/>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paragraph" w:customStyle="1" w:styleId="513">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514">
    <w:name w:val="章正文"/>
    <w:basedOn w:val="1"/>
    <w:qFormat/>
    <w:uiPriority w:val="0"/>
    <w:pPr>
      <w:spacing w:before="156" w:beforeLines="50" w:after="120" w:line="300" w:lineRule="auto"/>
      <w:ind w:firstLine="480" w:firstLineChars="200"/>
    </w:pPr>
    <w:rPr>
      <w:rFonts w:ascii="Helvetica" w:hAnsi="Helvetica" w:eastAsia="宋体" w:cs="Times New Roman"/>
      <w:kern w:val="0"/>
      <w:sz w:val="24"/>
      <w:szCs w:val="24"/>
    </w:rPr>
  </w:style>
  <w:style w:type="paragraph" w:customStyle="1" w:styleId="515">
    <w:name w:val="style25"/>
    <w:basedOn w:val="1"/>
    <w:qFormat/>
    <w:uiPriority w:val="0"/>
    <w:pPr>
      <w:widowControl/>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516">
    <w:name w:val="小标题"/>
    <w:basedOn w:val="1"/>
    <w:qFormat/>
    <w:uiPriority w:val="0"/>
    <w:pPr>
      <w:adjustRightInd w:val="0"/>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517">
    <w:name w:val="Char Char11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51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9">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520">
    <w:name w:val="Char Char Char Char Char Char Char Char"/>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21">
    <w:name w:val="表格（小）"/>
    <w:basedOn w:val="1"/>
    <w:qFormat/>
    <w:uiPriority w:val="0"/>
    <w:pPr>
      <w:snapToGrid w:val="0"/>
      <w:spacing w:line="300" w:lineRule="auto"/>
    </w:pPr>
    <w:rPr>
      <w:rFonts w:ascii="Times New Roman" w:hAnsi="Times New Roman" w:eastAsia="仿宋" w:cs="Times New Roman"/>
      <w:szCs w:val="21"/>
    </w:rPr>
  </w:style>
  <w:style w:type="paragraph" w:customStyle="1" w:styleId="522">
    <w:name w:val="列出段落3"/>
    <w:basedOn w:val="1"/>
    <w:qFormat/>
    <w:uiPriority w:val="0"/>
    <w:pPr>
      <w:spacing w:line="360" w:lineRule="auto"/>
      <w:ind w:firstLine="420" w:firstLineChars="200"/>
    </w:pPr>
    <w:rPr>
      <w:rFonts w:ascii="Calibri" w:hAnsi="Calibri" w:eastAsia="宋体" w:cs="Times New Roman"/>
      <w:sz w:val="24"/>
    </w:rPr>
  </w:style>
  <w:style w:type="paragraph" w:customStyle="1" w:styleId="523">
    <w:name w:val="样式"/>
    <w:basedOn w:val="1"/>
    <w:qFormat/>
    <w:uiPriority w:val="0"/>
    <w:pPr>
      <w:autoSpaceDE w:val="0"/>
      <w:autoSpaceDN w:val="0"/>
      <w:adjustRightInd w:val="0"/>
      <w:snapToGrid w:val="0"/>
      <w:spacing w:before="120" w:after="120" w:line="360" w:lineRule="auto"/>
    </w:pPr>
    <w:rPr>
      <w:rFonts w:ascii="宋体" w:hAnsi="Times New Roman" w:eastAsia="宋体" w:cs="Times New Roman"/>
      <w:sz w:val="24"/>
      <w:szCs w:val="20"/>
    </w:rPr>
  </w:style>
  <w:style w:type="paragraph" w:customStyle="1" w:styleId="524">
    <w:name w:val="List Paragraph1"/>
    <w:basedOn w:val="1"/>
    <w:qFormat/>
    <w:uiPriority w:val="34"/>
    <w:pPr>
      <w:adjustRightInd w:val="0"/>
      <w:spacing w:line="360" w:lineRule="auto"/>
      <w:ind w:firstLine="200" w:firstLineChars="200"/>
    </w:pPr>
    <w:rPr>
      <w:rFonts w:ascii="Times New Roman" w:hAnsi="Times New Roman" w:eastAsia="楷体_GB2312" w:cs="Lucida Sans"/>
      <w:sz w:val="24"/>
      <w:szCs w:val="24"/>
    </w:rPr>
  </w:style>
  <w:style w:type="paragraph" w:customStyle="1" w:styleId="525">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5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7">
    <w:name w:val="Char Char Char Char Char Char"/>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28">
    <w:name w:val="Table Text"/>
    <w:basedOn w:val="1"/>
    <w:link w:val="849"/>
    <w:qFormat/>
    <w:uiPriority w:val="0"/>
    <w:pPr>
      <w:widowControl/>
      <w:adjustRightInd w:val="0"/>
      <w:spacing w:before="60" w:after="60"/>
      <w:jc w:val="left"/>
    </w:pPr>
    <w:rPr>
      <w:rFonts w:ascii="Times New Roman" w:hAnsi="Times New Roman" w:eastAsia="宋体" w:cs="Times New Roman"/>
      <w:kern w:val="0"/>
      <w:sz w:val="24"/>
      <w:szCs w:val="24"/>
      <w:lang w:val="zh-CN"/>
    </w:rPr>
  </w:style>
  <w:style w:type="paragraph" w:customStyle="1" w:styleId="529">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0">
    <w:name w:val="Char231"/>
    <w:basedOn w:val="1"/>
    <w:qFormat/>
    <w:uiPriority w:val="0"/>
    <w:pPr>
      <w:adjustRightInd w:val="0"/>
    </w:pPr>
    <w:rPr>
      <w:rFonts w:ascii="仿宋_GB2312" w:hAnsi="Times New Roman" w:eastAsia="仿宋_GB2312" w:cs="Times New Roman"/>
      <w:b/>
      <w:sz w:val="32"/>
      <w:szCs w:val="32"/>
    </w:rPr>
  </w:style>
  <w:style w:type="paragraph" w:styleId="531">
    <w:name w:val="List Paragraph"/>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532">
    <w:name w:val="Char Char Char Char Char Char Char Char1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33">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534">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535">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536">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cs="Times New Roman"/>
      <w:sz w:val="24"/>
      <w:szCs w:val="24"/>
    </w:rPr>
  </w:style>
  <w:style w:type="paragraph" w:customStyle="1" w:styleId="53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38">
    <w:name w:val="WW-正文文字缩进 2"/>
    <w:basedOn w:val="1"/>
    <w:qFormat/>
    <w:uiPriority w:val="0"/>
    <w:pPr>
      <w:suppressAutoHyphens/>
      <w:ind w:firstLine="420"/>
    </w:pPr>
    <w:rPr>
      <w:rFonts w:ascii="Times New Roman" w:hAnsi="Times New Roman" w:eastAsia="宋体" w:cs="Times New Roman"/>
      <w:kern w:val="1"/>
      <w:szCs w:val="20"/>
    </w:rPr>
  </w:style>
  <w:style w:type="paragraph" w:customStyle="1" w:styleId="539">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s="Times New Roman"/>
      <w:color w:val="666666"/>
      <w:kern w:val="0"/>
      <w:sz w:val="24"/>
      <w:szCs w:val="24"/>
    </w:rPr>
  </w:style>
  <w:style w:type="paragraph" w:customStyle="1" w:styleId="540">
    <w:name w:val="RFI Heading 3rd Level"/>
    <w:basedOn w:val="1"/>
    <w:qFormat/>
    <w:uiPriority w:val="0"/>
    <w:pPr>
      <w:widowControl/>
      <w:tabs>
        <w:tab w:val="left" w:pos="840"/>
      </w:tabs>
      <w:ind w:firstLine="200" w:firstLineChars="200"/>
      <w:jc w:val="left"/>
    </w:pPr>
    <w:rPr>
      <w:rFonts w:ascii="Arial (W1)" w:hAnsi="Arial (W1)" w:eastAsia="宋体" w:cs="Times New Roman"/>
      <w:color w:val="000000"/>
      <w:kern w:val="0"/>
      <w:sz w:val="24"/>
      <w:szCs w:val="24"/>
      <w:lang w:val="en-GB" w:eastAsia="en-US"/>
    </w:rPr>
  </w:style>
  <w:style w:type="paragraph" w:customStyle="1" w:styleId="541">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4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43">
    <w:name w:val="四号　首行缩进"/>
    <w:basedOn w:val="1"/>
    <w:qFormat/>
    <w:uiPriority w:val="0"/>
    <w:pPr>
      <w:spacing w:line="360" w:lineRule="auto"/>
    </w:pPr>
    <w:rPr>
      <w:rFonts w:ascii="宋体" w:hAnsi="宋体" w:eastAsia="宋体" w:cs="Times New Roman"/>
      <w:szCs w:val="20"/>
    </w:rPr>
  </w:style>
  <w:style w:type="paragraph" w:customStyle="1" w:styleId="544">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545">
    <w:name w:val="bullet"/>
    <w:basedOn w:val="1"/>
    <w:qFormat/>
    <w:uiPriority w:val="0"/>
    <w:pPr>
      <w:tabs>
        <w:tab w:val="left" w:pos="840"/>
      </w:tabs>
      <w:ind w:left="840" w:hanging="420"/>
    </w:pPr>
    <w:rPr>
      <w:rFonts w:ascii="Times New Roman" w:hAnsi="Times New Roman" w:eastAsia="宋体" w:cs="Times New Roman"/>
      <w:szCs w:val="24"/>
    </w:rPr>
  </w:style>
  <w:style w:type="paragraph" w:customStyle="1" w:styleId="546">
    <w:name w:val="正文样式 首行缩进:  0.74 厘米"/>
    <w:basedOn w:val="1"/>
    <w:qFormat/>
    <w:uiPriority w:val="0"/>
    <w:pPr>
      <w:spacing w:before="156" w:beforeLines="50" w:line="360" w:lineRule="auto"/>
      <w:ind w:firstLine="420"/>
    </w:pPr>
    <w:rPr>
      <w:rFonts w:ascii="Times New Roman" w:hAnsi="Times New Roman" w:eastAsia="宋体" w:cs="宋体"/>
      <w:sz w:val="24"/>
      <w:szCs w:val="20"/>
    </w:rPr>
  </w:style>
  <w:style w:type="paragraph" w:customStyle="1" w:styleId="547">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48">
    <w:name w:val="单元格居中"/>
    <w:basedOn w:val="1"/>
    <w:qFormat/>
    <w:uiPriority w:val="0"/>
    <w:pPr>
      <w:spacing w:line="360" w:lineRule="auto"/>
      <w:jc w:val="center"/>
    </w:pPr>
    <w:rPr>
      <w:rFonts w:ascii="Times New Roman" w:hAnsi="Times New Roman" w:eastAsia="宋体" w:cs="Times New Roman"/>
      <w:sz w:val="24"/>
      <w:szCs w:val="24"/>
    </w:rPr>
  </w:style>
  <w:style w:type="paragraph" w:customStyle="1" w:styleId="549">
    <w:name w:val="Char Char Char Char Char Char11"/>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50">
    <w:name w:val="Char Char13"/>
    <w:basedOn w:val="1"/>
    <w:qFormat/>
    <w:uiPriority w:val="0"/>
    <w:pPr>
      <w:adjustRightInd w:val="0"/>
      <w:spacing w:line="360" w:lineRule="auto"/>
    </w:pPr>
    <w:rPr>
      <w:rFonts w:ascii="Tahoma" w:hAnsi="Tahoma" w:eastAsia="宋体" w:cs="Times New Roman"/>
      <w:sz w:val="24"/>
      <w:szCs w:val="20"/>
    </w:rPr>
  </w:style>
  <w:style w:type="paragraph" w:customStyle="1" w:styleId="551">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2">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53">
    <w:name w:val="Char3 Char Char Char1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54">
    <w:name w:val="Char Char Char 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555">
    <w:name w:val="标题 41"/>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556">
    <w:name w:val="金宏发行正文 Char"/>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557">
    <w:name w:val="EB_表格"/>
    <w:basedOn w:val="1"/>
    <w:qFormat/>
    <w:uiPriority w:val="0"/>
    <w:pPr>
      <w:spacing w:line="300" w:lineRule="auto"/>
      <w:jc w:val="center"/>
    </w:pPr>
    <w:rPr>
      <w:rFonts w:ascii="Times New Roman" w:hAnsi="Times New Roman" w:eastAsia="宋体" w:cs="Times New Roman"/>
      <w:szCs w:val="24"/>
    </w:rPr>
  </w:style>
  <w:style w:type="paragraph" w:customStyle="1" w:styleId="558">
    <w:name w:val="Char41"/>
    <w:basedOn w:val="1"/>
    <w:qFormat/>
    <w:uiPriority w:val="0"/>
    <w:pPr>
      <w:adjustRightInd w:val="0"/>
    </w:pPr>
    <w:rPr>
      <w:rFonts w:ascii="仿宋_GB2312" w:hAnsi="Times New Roman" w:eastAsia="仿宋_GB2312" w:cs="Times New Roman"/>
      <w:b/>
      <w:sz w:val="32"/>
      <w:szCs w:val="32"/>
    </w:rPr>
  </w:style>
  <w:style w:type="paragraph" w:customStyle="1" w:styleId="5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60">
    <w:name w:val="Char4"/>
    <w:basedOn w:val="1"/>
    <w:qFormat/>
    <w:uiPriority w:val="0"/>
    <w:pPr>
      <w:tabs>
        <w:tab w:val="left" w:pos="432"/>
      </w:tabs>
      <w:spacing w:before="156" w:beforeLines="50" w:after="156" w:afterLines="50" w:line="360" w:lineRule="auto"/>
      <w:ind w:left="432" w:hanging="432" w:firstLineChars="200"/>
    </w:pPr>
    <w:rPr>
      <w:rFonts w:ascii="宋体" w:hAnsi="宋体" w:eastAsia="微软雅黑" w:cs="Times New Roman"/>
      <w:b/>
      <w:kern w:val="44"/>
      <w:sz w:val="32"/>
      <w:szCs w:val="32"/>
    </w:rPr>
  </w:style>
  <w:style w:type="paragraph" w:customStyle="1" w:styleId="561">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562">
    <w:name w:val="表格题注"/>
    <w:next w:val="1"/>
    <w:qFormat/>
    <w:uiPriority w:val="0"/>
    <w:pPr>
      <w:keepLines/>
      <w:numPr>
        <w:ilvl w:val="8"/>
        <w:numId w:val="5"/>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6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64">
    <w:name w:val="MM Topic 1"/>
    <w:basedOn w:val="3"/>
    <w:qFormat/>
    <w:uiPriority w:val="0"/>
    <w:pPr>
      <w:numPr>
        <w:numId w:val="0"/>
      </w:numPr>
      <w:tabs>
        <w:tab w:val="left" w:pos="840"/>
      </w:tabs>
      <w:adjustRightInd/>
      <w:ind w:left="840" w:hanging="420"/>
    </w:pPr>
  </w:style>
  <w:style w:type="paragraph" w:customStyle="1" w:styleId="565">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eastAsia="宋体" w:cs="Times New Roman"/>
      <w:color w:val="000000"/>
      <w:kern w:val="0"/>
      <w:szCs w:val="21"/>
    </w:rPr>
  </w:style>
  <w:style w:type="paragraph" w:customStyle="1" w:styleId="566">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567">
    <w:name w:val="插图题注"/>
    <w:next w:val="1"/>
    <w:qFormat/>
    <w:uiPriority w:val="0"/>
    <w:pPr>
      <w:numPr>
        <w:ilvl w:val="7"/>
        <w:numId w:val="5"/>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68">
    <w:name w:val="Char1 Char Char Char Char Char Char Char Char Char Char Char1 Char Char Char Char Char Char Char Char Char Char Char Char Char Char1 Char Char Char Char1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69">
    <w:name w:val="列表内容"/>
    <w:basedOn w:val="1"/>
    <w:next w:val="1"/>
    <w:qFormat/>
    <w:uiPriority w:val="0"/>
    <w:pPr>
      <w:widowControl/>
      <w:tabs>
        <w:tab w:val="left" w:pos="840"/>
      </w:tabs>
      <w:adjustRightInd w:val="0"/>
      <w:ind w:left="840" w:hanging="420"/>
      <w:jc w:val="left"/>
    </w:pPr>
    <w:rPr>
      <w:rFonts w:ascii="Times New Roman" w:hAnsi="Times New Roman" w:eastAsia="宋体" w:cs="Times New Roman"/>
      <w:kern w:val="0"/>
      <w:sz w:val="18"/>
      <w:szCs w:val="24"/>
    </w:rPr>
  </w:style>
  <w:style w:type="paragraph" w:customStyle="1" w:styleId="5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71">
    <w:name w:val="正文文字格式"/>
    <w:basedOn w:val="1"/>
    <w:qFormat/>
    <w:uiPriority w:val="0"/>
    <w:pPr>
      <w:spacing w:line="460" w:lineRule="exact"/>
      <w:ind w:firstLine="505"/>
      <w:jc w:val="left"/>
    </w:pPr>
    <w:rPr>
      <w:rFonts w:ascii="宋体" w:hAnsi="Times New Roman" w:eastAsia="宋体" w:cs="Times New Roman"/>
      <w:kern w:val="24"/>
      <w:sz w:val="24"/>
      <w:szCs w:val="20"/>
    </w:rPr>
  </w:style>
  <w:style w:type="paragraph" w:customStyle="1" w:styleId="572">
    <w:name w:val="说明"/>
    <w:basedOn w:val="1"/>
    <w:qFormat/>
    <w:uiPriority w:val="0"/>
    <w:pPr>
      <w:autoSpaceDE w:val="0"/>
      <w:autoSpaceDN w:val="0"/>
      <w:adjustRightInd w:val="0"/>
      <w:spacing w:line="440" w:lineRule="exact"/>
      <w:ind w:firstLine="200" w:firstLineChars="200"/>
    </w:pPr>
    <w:rPr>
      <w:rFonts w:ascii="宋体" w:hAnsi="Times New Roman" w:eastAsia="宋体" w:cs="Times New Roman"/>
      <w:b/>
      <w:bCs/>
      <w:i/>
      <w:iCs/>
      <w:color w:val="0000FF"/>
      <w:kern w:val="0"/>
      <w:sz w:val="24"/>
      <w:szCs w:val="24"/>
    </w:rPr>
  </w:style>
  <w:style w:type="paragraph" w:customStyle="1" w:styleId="573">
    <w:name w:val="Char1 Char Char Char1"/>
    <w:basedOn w:val="1"/>
    <w:qFormat/>
    <w:uiPriority w:val="0"/>
    <w:pPr>
      <w:ind w:firstLine="200" w:firstLineChars="200"/>
    </w:pPr>
    <w:rPr>
      <w:rFonts w:ascii="Tahoma" w:hAnsi="Tahoma" w:eastAsia="宋体" w:cs="Times New Roman"/>
      <w:sz w:val="24"/>
      <w:szCs w:val="20"/>
    </w:rPr>
  </w:style>
  <w:style w:type="paragraph" w:customStyle="1" w:styleId="574">
    <w:name w:val="图中文字"/>
    <w:basedOn w:val="1"/>
    <w:qFormat/>
    <w:uiPriority w:val="0"/>
    <w:pPr>
      <w:adjustRightInd w:val="0"/>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575">
    <w:name w:val="正文段"/>
    <w:basedOn w:val="1"/>
    <w:link w:val="671"/>
    <w:qFormat/>
    <w:uiPriority w:val="0"/>
    <w:pPr>
      <w:widowControl/>
      <w:adjustRightInd w:val="0"/>
      <w:snapToGrid w:val="0"/>
      <w:spacing w:after="156" w:afterLines="50"/>
      <w:ind w:firstLine="200" w:firstLineChars="200"/>
    </w:pPr>
    <w:rPr>
      <w:rFonts w:ascii="Times New Roman" w:hAnsi="Times New Roman" w:eastAsia="宋体" w:cs="Times New Roman"/>
      <w:kern w:val="0"/>
      <w:sz w:val="24"/>
      <w:szCs w:val="20"/>
      <w:lang w:val="zh-CN"/>
    </w:rPr>
  </w:style>
  <w:style w:type="paragraph" w:customStyle="1" w:styleId="576">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577">
    <w:name w:val="font9"/>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578">
    <w:name w:val="样式 样式2 + 左侧:  1 字符 右侧:  1 字符"/>
    <w:basedOn w:val="51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7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580">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581">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cs="Times New Roman"/>
      <w:kern w:val="0"/>
      <w:szCs w:val="20"/>
    </w:rPr>
  </w:style>
  <w:style w:type="paragraph" w:customStyle="1" w:styleId="582">
    <w:name w:val="Char Char Char 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583">
    <w:name w:val="注释"/>
    <w:basedOn w:val="1"/>
    <w:qFormat/>
    <w:uiPriority w:val="0"/>
    <w:pPr>
      <w:spacing w:line="360" w:lineRule="auto"/>
      <w:ind w:firstLine="480"/>
    </w:pPr>
    <w:rPr>
      <w:rFonts w:ascii="Times New Roman" w:hAnsi="Times New Roman" w:eastAsia="宋体" w:cs="Times New Roman"/>
      <w:sz w:val="24"/>
      <w:szCs w:val="24"/>
    </w:rPr>
  </w:style>
  <w:style w:type="paragraph" w:customStyle="1" w:styleId="584">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5">
    <w:name w:val="chart text"/>
    <w:basedOn w:val="1"/>
    <w:qFormat/>
    <w:uiPriority w:val="0"/>
    <w:pPr>
      <w:widowControl/>
      <w:spacing w:line="180" w:lineRule="exact"/>
      <w:ind w:firstLine="200" w:firstLineChars="200"/>
      <w:jc w:val="left"/>
    </w:pPr>
    <w:rPr>
      <w:rFonts w:ascii="Futura Bk" w:hAnsi="Futura Bk" w:eastAsia="宋体" w:cs="Futura Bk"/>
      <w:kern w:val="0"/>
      <w:sz w:val="14"/>
      <w:szCs w:val="14"/>
    </w:rPr>
  </w:style>
  <w:style w:type="paragraph" w:customStyle="1" w:styleId="586">
    <w:name w:val="RFI Heading 2nd Level"/>
    <w:basedOn w:val="1"/>
    <w:qFormat/>
    <w:uiPriority w:val="0"/>
    <w:pPr>
      <w:widowControl/>
      <w:tabs>
        <w:tab w:val="left" w:pos="1260"/>
      </w:tabs>
      <w:ind w:firstLine="200" w:firstLineChars="200"/>
      <w:jc w:val="left"/>
    </w:pPr>
    <w:rPr>
      <w:rFonts w:ascii="Arial (W1)" w:hAnsi="Arial (W1)" w:eastAsia="宋体" w:cs="Times New Roman"/>
      <w:b/>
      <w:bCs/>
      <w:color w:val="0000FF"/>
      <w:kern w:val="0"/>
      <w:sz w:val="28"/>
      <w:szCs w:val="24"/>
      <w:lang w:val="en-GB" w:eastAsia="en-US"/>
    </w:rPr>
  </w:style>
  <w:style w:type="paragraph" w:customStyle="1" w:styleId="587">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588">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58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90">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591">
    <w:name w:val="样式7"/>
    <w:basedOn w:val="398"/>
    <w:next w:val="1"/>
    <w:qFormat/>
    <w:uiPriority w:val="0"/>
    <w:pPr>
      <w:spacing w:after="156" w:afterLines="50"/>
      <w:jc w:val="left"/>
      <w:outlineLvl w:val="3"/>
    </w:pPr>
    <w:rPr>
      <w:sz w:val="24"/>
      <w:szCs w:val="24"/>
    </w:rPr>
  </w:style>
  <w:style w:type="paragraph" w:customStyle="1" w:styleId="59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93">
    <w:name w:val="单元格左对齐"/>
    <w:basedOn w:val="1"/>
    <w:qFormat/>
    <w:uiPriority w:val="0"/>
    <w:pPr>
      <w:spacing w:line="360" w:lineRule="auto"/>
    </w:pPr>
    <w:rPr>
      <w:rFonts w:ascii="Times New Roman" w:hAnsi="Times New Roman" w:eastAsia="宋体" w:cs="Times New Roman"/>
      <w:sz w:val="24"/>
      <w:szCs w:val="24"/>
    </w:rPr>
  </w:style>
  <w:style w:type="paragraph" w:customStyle="1" w:styleId="594">
    <w:name w:val="Char Char1 Char Char Char11"/>
    <w:basedOn w:val="1"/>
    <w:qFormat/>
    <w:uiPriority w:val="0"/>
    <w:pPr>
      <w:adjustRightInd w:val="0"/>
    </w:pPr>
    <w:rPr>
      <w:rFonts w:ascii="仿宋_GB2312" w:hAnsi="Times New Roman" w:eastAsia="仿宋_GB2312" w:cs="Times New Roman"/>
      <w:b/>
      <w:sz w:val="32"/>
      <w:szCs w:val="32"/>
    </w:rPr>
  </w:style>
  <w:style w:type="paragraph" w:customStyle="1" w:styleId="595">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596">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rPr>
  </w:style>
  <w:style w:type="paragraph" w:customStyle="1" w:styleId="597">
    <w:name w:val="正文文字表格居中"/>
    <w:basedOn w:val="1"/>
    <w:next w:val="54"/>
    <w:qFormat/>
    <w:uiPriority w:val="0"/>
    <w:pPr>
      <w:adjustRightInd w:val="0"/>
      <w:snapToGrid w:val="0"/>
      <w:spacing w:line="360" w:lineRule="auto"/>
    </w:pPr>
    <w:rPr>
      <w:rFonts w:ascii="宋体" w:hAnsi="Times New Roman" w:eastAsia="宋体" w:cs="Times New Roman"/>
      <w:b/>
      <w:sz w:val="24"/>
      <w:szCs w:val="20"/>
    </w:rPr>
  </w:style>
  <w:style w:type="paragraph" w:customStyle="1" w:styleId="598">
    <w:name w:val="Z5"/>
    <w:basedOn w:val="1"/>
    <w:next w:val="1"/>
    <w:qFormat/>
    <w:uiPriority w:val="0"/>
    <w:pPr>
      <w:tabs>
        <w:tab w:val="left" w:pos="2100"/>
      </w:tabs>
      <w:spacing w:before="240"/>
      <w:ind w:firstLine="200" w:firstLineChars="200"/>
      <w:outlineLvl w:val="4"/>
    </w:pPr>
    <w:rPr>
      <w:rFonts w:ascii="Tahoma" w:hAnsi="Tahoma" w:eastAsia="幼圆" w:cs="Times New Roman"/>
      <w:szCs w:val="24"/>
    </w:rPr>
  </w:style>
  <w:style w:type="paragraph" w:customStyle="1" w:styleId="599">
    <w:name w:val="深色列表 - 强调文字颜色 51"/>
    <w:basedOn w:val="1"/>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600">
    <w:name w:val="封面表格文本"/>
    <w:basedOn w:val="1"/>
    <w:qFormat/>
    <w:uiPriority w:val="0"/>
    <w:pPr>
      <w:autoSpaceDE w:val="0"/>
      <w:autoSpaceDN w:val="0"/>
      <w:adjustRightInd w:val="0"/>
      <w:ind w:firstLine="200" w:firstLineChars="200"/>
      <w:jc w:val="center"/>
    </w:pPr>
    <w:rPr>
      <w:rFonts w:ascii="Arial" w:hAnsi="Arial" w:eastAsia="宋体" w:cs="Times New Roman"/>
      <w:kern w:val="0"/>
      <w:szCs w:val="21"/>
    </w:rPr>
  </w:style>
  <w:style w:type="paragraph" w:customStyle="1" w:styleId="601">
    <w:name w:val="Thf"/>
    <w:basedOn w:val="542"/>
    <w:qFormat/>
    <w:uiPriority w:val="0"/>
    <w:pPr>
      <w:ind w:left="0"/>
    </w:pPr>
  </w:style>
  <w:style w:type="paragraph" w:customStyle="1" w:styleId="602">
    <w:name w:val="Char Char Char Char"/>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60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04">
    <w:name w:val="Char19"/>
    <w:basedOn w:val="1"/>
    <w:qFormat/>
    <w:uiPriority w:val="0"/>
    <w:rPr>
      <w:rFonts w:ascii="Times New Roman" w:hAnsi="Times New Roman" w:eastAsia="宋体" w:cs="Times New Roman"/>
      <w:szCs w:val="20"/>
    </w:rPr>
  </w:style>
  <w:style w:type="paragraph" w:customStyle="1" w:styleId="605">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606">
    <w:name w:val="样式3"/>
    <w:basedOn w:val="513"/>
    <w:qFormat/>
    <w:uiPriority w:val="0"/>
    <w:pPr>
      <w:spacing w:before="312" w:beforeLines="100"/>
      <w:jc w:val="left"/>
    </w:pPr>
  </w:style>
  <w:style w:type="paragraph" w:customStyle="1" w:styleId="607">
    <w:name w:val="首行缩进"/>
    <w:basedOn w:val="1"/>
    <w:qFormat/>
    <w:uiPriority w:val="0"/>
    <w:pPr>
      <w:adjustRightInd w:val="0"/>
      <w:spacing w:line="360" w:lineRule="auto"/>
      <w:ind w:firstLine="480" w:firstLineChars="200"/>
    </w:pPr>
    <w:rPr>
      <w:rFonts w:ascii="宋体" w:hAnsi="Times New Roman" w:eastAsia="宋体" w:cs="Times New Roman"/>
      <w:sz w:val="24"/>
      <w:szCs w:val="20"/>
    </w:rPr>
  </w:style>
  <w:style w:type="paragraph" w:customStyle="1" w:styleId="608">
    <w:name w:val="方案正文"/>
    <w:basedOn w:val="1"/>
    <w:qFormat/>
    <w:uiPriority w:val="0"/>
    <w:pPr>
      <w:adjustRightInd w:val="0"/>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0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10">
    <w:name w:val="样式 标题 4PIM 4H4h4bulletblbbH41H42H43H44H45H46H47H48...1"/>
    <w:basedOn w:val="6"/>
    <w:qFormat/>
    <w:uiPriority w:val="0"/>
    <w:pPr>
      <w:widowControl/>
      <w:jc w:val="left"/>
    </w:pPr>
    <w:rPr>
      <w:rFonts w:cs="宋体"/>
      <w:sz w:val="24"/>
      <w:szCs w:val="20"/>
    </w:rPr>
  </w:style>
  <w:style w:type="paragraph" w:customStyle="1" w:styleId="611">
    <w:name w:val="button"/>
    <w:basedOn w:val="1"/>
    <w:qFormat/>
    <w:uiPriority w:val="0"/>
    <w:pPr>
      <w:widowControl/>
      <w:adjustRightInd w:val="0"/>
      <w:spacing w:before="100" w:beforeAutospacing="1" w:after="100" w:afterAutospacing="1"/>
      <w:jc w:val="left"/>
    </w:pPr>
    <w:rPr>
      <w:rFonts w:ascii="Arial Unicode MS" w:hAnsi="Arial Unicode MS" w:eastAsia="宋体" w:cs="Times New Roman"/>
      <w:color w:val="000000"/>
      <w:kern w:val="0"/>
      <w:sz w:val="24"/>
      <w:szCs w:val="24"/>
    </w:rPr>
  </w:style>
  <w:style w:type="paragraph" w:customStyle="1" w:styleId="612">
    <w:name w:val="样式 正文缩进 + 首行缩进:  2 字符"/>
    <w:basedOn w:val="16"/>
    <w:link w:val="674"/>
    <w:qFormat/>
    <w:uiPriority w:val="0"/>
    <w:pPr>
      <w:widowControl w:val="0"/>
      <w:adjustRightInd/>
      <w:snapToGrid/>
      <w:spacing w:line="360" w:lineRule="auto"/>
      <w:ind w:firstLine="200" w:firstLineChars="200"/>
    </w:pPr>
    <w:rPr>
      <w:rFonts w:ascii="Times New Roman"/>
      <w:snapToGrid/>
      <w:color w:val="auto"/>
      <w:kern w:val="2"/>
      <w:sz w:val="24"/>
      <w:lang w:val="zh-CN"/>
    </w:rPr>
  </w:style>
  <w:style w:type="paragraph" w:customStyle="1" w:styleId="613">
    <w:name w:val="默认段落字体 Para Char Char Char Char Char Char Char Char Char Char"/>
    <w:basedOn w:val="1"/>
    <w:qFormat/>
    <w:uiPriority w:val="0"/>
    <w:rPr>
      <w:rFonts w:ascii="Tahoma" w:hAnsi="Tahoma" w:eastAsia="宋体" w:cs="Times New Roman"/>
      <w:color w:val="000000"/>
      <w:sz w:val="24"/>
      <w:szCs w:val="20"/>
    </w:rPr>
  </w:style>
  <w:style w:type="paragraph" w:customStyle="1" w:styleId="614">
    <w:name w:val="样式8"/>
    <w:basedOn w:val="1"/>
    <w:qFormat/>
    <w:uiPriority w:val="0"/>
    <w:pPr>
      <w:adjustRightInd w:val="0"/>
      <w:spacing w:before="156" w:beforeLines="50" w:after="156" w:afterLines="50"/>
      <w:ind w:firstLine="200" w:firstLineChars="200"/>
      <w:outlineLvl w:val="4"/>
    </w:pPr>
    <w:rPr>
      <w:rFonts w:ascii="仿宋_GB2312" w:hAnsi="宋体" w:eastAsia="仿宋_GB2312" w:cs="Times New Roman"/>
      <w:b/>
      <w:bCs/>
      <w:sz w:val="24"/>
      <w:szCs w:val="24"/>
    </w:rPr>
  </w:style>
  <w:style w:type="paragraph" w:customStyle="1" w:styleId="615">
    <w:name w:val="正文文字缩进"/>
    <w:basedOn w:val="1"/>
    <w:qFormat/>
    <w:uiPriority w:val="0"/>
    <w:pPr>
      <w:widowControl/>
      <w:tabs>
        <w:tab w:val="left" w:pos="180"/>
      </w:tabs>
      <w:spacing w:line="240" w:lineRule="exact"/>
      <w:ind w:left="187" w:hanging="187" w:firstLineChars="200"/>
      <w:jc w:val="left"/>
    </w:pPr>
    <w:rPr>
      <w:rFonts w:ascii="Futura Bk" w:hAnsi="Futura Bk" w:eastAsia="宋体" w:cs="Futura Bk"/>
      <w:kern w:val="0"/>
      <w:sz w:val="18"/>
      <w:szCs w:val="18"/>
    </w:rPr>
  </w:style>
  <w:style w:type="paragraph" w:customStyle="1" w:styleId="616">
    <w:name w:val="正文文本 21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617">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eastAsia="宋体" w:cs="Times New Roman"/>
      <w:kern w:val="0"/>
      <w:sz w:val="24"/>
      <w:szCs w:val="24"/>
    </w:rPr>
  </w:style>
  <w:style w:type="paragraph" w:customStyle="1" w:styleId="618">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619">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eastAsia="宋体" w:cs="Times New Roman"/>
      <w:color w:val="000000"/>
      <w:kern w:val="0"/>
      <w:szCs w:val="21"/>
    </w:rPr>
  </w:style>
  <w:style w:type="paragraph" w:customStyle="1" w:styleId="620">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621">
    <w:name w:val="p0"/>
    <w:basedOn w:val="1"/>
    <w:qFormat/>
    <w:uiPriority w:val="0"/>
    <w:pPr>
      <w:widowControl/>
    </w:pPr>
    <w:rPr>
      <w:rFonts w:ascii="Times New Roman" w:hAnsi="Times New Roman" w:eastAsia="宋体" w:cs="Times New Roman"/>
      <w:kern w:val="0"/>
      <w:szCs w:val="21"/>
    </w:rPr>
  </w:style>
  <w:style w:type="paragraph" w:customStyle="1" w:styleId="622">
    <w:name w:val="修订1"/>
    <w:qFormat/>
    <w:uiPriority w:val="3"/>
    <w:rPr>
      <w:rFonts w:ascii="Times New Roman" w:hAnsi="Times New Roman" w:eastAsia="宋体" w:cs="Times New Roman"/>
      <w:kern w:val="2"/>
      <w:sz w:val="21"/>
      <w:lang w:val="en-US" w:eastAsia="zh-CN" w:bidi="ar-SA"/>
    </w:rPr>
  </w:style>
  <w:style w:type="paragraph" w:customStyle="1" w:styleId="623">
    <w:name w:val="gf正文1"/>
    <w:basedOn w:val="1"/>
    <w:link w:val="787"/>
    <w:qFormat/>
    <w:uiPriority w:val="0"/>
    <w:pPr>
      <w:tabs>
        <w:tab w:val="left" w:pos="3240"/>
        <w:tab w:val="left" w:pos="3960"/>
      </w:tabs>
      <w:adjustRightInd w:val="0"/>
      <w:snapToGrid w:val="0"/>
      <w:spacing w:line="360" w:lineRule="auto"/>
      <w:ind w:firstLine="480" w:firstLineChars="200"/>
    </w:pPr>
    <w:rPr>
      <w:rFonts w:ascii="宋体" w:hAnsi="宋体" w:eastAsia="宋体" w:cs="Times New Roman"/>
      <w:sz w:val="24"/>
      <w:szCs w:val="24"/>
      <w:lang w:val="zh-CN"/>
    </w:rPr>
  </w:style>
  <w:style w:type="paragraph" w:customStyle="1" w:styleId="624">
    <w:name w:val="表格文字"/>
    <w:basedOn w:val="1"/>
    <w:next w:val="16"/>
    <w:qFormat/>
    <w:uiPriority w:val="0"/>
    <w:pPr>
      <w:ind w:firstLine="200" w:firstLineChars="200"/>
    </w:pPr>
    <w:rPr>
      <w:rFonts w:ascii="Arial" w:hAnsi="Arial" w:eastAsia="宋体" w:cs="Times New Roman"/>
      <w:spacing w:val="-5"/>
      <w:kern w:val="0"/>
      <w:sz w:val="24"/>
      <w:szCs w:val="20"/>
    </w:rPr>
  </w:style>
  <w:style w:type="paragraph" w:customStyle="1" w:styleId="625">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26">
    <w:name w:val="Char Char14"/>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62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28">
    <w:name w:val="FA正文"/>
    <w:basedOn w:val="1"/>
    <w:qFormat/>
    <w:uiPriority w:val="0"/>
    <w:pPr>
      <w:adjustRightInd w:val="0"/>
      <w:spacing w:line="360" w:lineRule="auto"/>
      <w:ind w:firstLine="480" w:firstLineChars="200"/>
    </w:pPr>
    <w:rPr>
      <w:rFonts w:ascii="Times New Roman" w:hAnsi="宋体" w:eastAsia="宋体" w:cs="Times New Roman"/>
      <w:sz w:val="24"/>
      <w:szCs w:val="20"/>
    </w:rPr>
  </w:style>
  <w:style w:type="paragraph" w:customStyle="1" w:styleId="629">
    <w:name w:val="CM14"/>
    <w:basedOn w:val="78"/>
    <w:next w:val="78"/>
    <w:qFormat/>
    <w:uiPriority w:val="0"/>
    <w:pPr>
      <w:spacing w:after="68"/>
    </w:pPr>
    <w:rPr>
      <w:rFonts w:ascii="FHLHE E+ Futura Bk" w:eastAsia="FHLHE E+ Futura Bk"/>
      <w:color w:val="auto"/>
    </w:rPr>
  </w:style>
  <w:style w:type="paragraph" w:customStyle="1" w:styleId="630">
    <w:name w:val="Char Char Char Char2"/>
    <w:basedOn w:val="1"/>
    <w:qFormat/>
    <w:uiPriority w:val="0"/>
    <w:pPr>
      <w:adjustRightInd w:val="0"/>
    </w:pPr>
    <w:rPr>
      <w:rFonts w:ascii="Tahoma" w:hAnsi="Tahoma" w:eastAsia="宋体" w:cs="Times New Roman"/>
      <w:sz w:val="24"/>
      <w:szCs w:val="20"/>
    </w:rPr>
  </w:style>
  <w:style w:type="paragraph" w:customStyle="1" w:styleId="631">
    <w:name w:val="Char11"/>
    <w:basedOn w:val="1"/>
    <w:qFormat/>
    <w:uiPriority w:val="0"/>
    <w:pPr>
      <w:tabs>
        <w:tab w:val="left" w:pos="432"/>
      </w:tabs>
      <w:spacing w:before="156" w:beforeLines="50" w:after="156" w:afterLines="50"/>
      <w:ind w:left="432" w:hanging="432" w:firstLineChars="200"/>
    </w:pPr>
    <w:rPr>
      <w:rFonts w:ascii="Times New Roman" w:hAnsi="Times New Roman" w:eastAsia="宋体" w:cs="Times New Roman"/>
      <w:sz w:val="24"/>
      <w:szCs w:val="24"/>
    </w:rPr>
  </w:style>
  <w:style w:type="paragraph" w:customStyle="1" w:styleId="632">
    <w:name w:val="样式1 + (中宋体"/>
    <w:basedOn w:val="5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33">
    <w:name w:val="标准正文"/>
    <w:basedOn w:val="1"/>
    <w:link w:val="873"/>
    <w:qFormat/>
    <w:uiPriority w:val="0"/>
    <w:pPr>
      <w:tabs>
        <w:tab w:val="left" w:pos="780"/>
      </w:tabs>
      <w:spacing w:line="360" w:lineRule="auto"/>
      <w:ind w:left="200" w:leftChars="200" w:firstLine="200" w:firstLineChars="200"/>
    </w:pPr>
    <w:rPr>
      <w:rFonts w:ascii="Times New Roman" w:hAnsi="Times New Roman" w:eastAsia="宋体" w:cs="Times New Roman"/>
      <w:sz w:val="24"/>
      <w:szCs w:val="24"/>
    </w:rPr>
  </w:style>
  <w:style w:type="paragraph" w:customStyle="1" w:styleId="634">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635">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6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37">
    <w:name w:val="Picture"/>
    <w:basedOn w:val="1"/>
    <w:next w:val="17"/>
    <w:qFormat/>
    <w:uiPriority w:val="0"/>
    <w:pPr>
      <w:keepNext/>
      <w:widowControl/>
      <w:ind w:firstLine="200" w:firstLineChars="200"/>
    </w:pPr>
    <w:rPr>
      <w:rFonts w:ascii="楷体" w:hAnsi="Arial" w:eastAsia="楷体" w:cs="Times New Roman"/>
      <w:b/>
      <w:spacing w:val="-5"/>
      <w:w w:val="98"/>
      <w:kern w:val="0"/>
      <w:sz w:val="24"/>
      <w:szCs w:val="20"/>
    </w:rPr>
  </w:style>
  <w:style w:type="paragraph" w:customStyle="1" w:styleId="638">
    <w:name w:val="规划正文"/>
    <w:basedOn w:val="1"/>
    <w:qFormat/>
    <w:uiPriority w:val="0"/>
    <w:pPr>
      <w:spacing w:before="312" w:beforeLines="100" w:line="360" w:lineRule="auto"/>
      <w:jc w:val="left"/>
    </w:pPr>
    <w:rPr>
      <w:rFonts w:ascii="Arial" w:hAnsi="Arial" w:eastAsia="仿宋_GB2312" w:cs="Times New Roman"/>
      <w:bCs/>
      <w:sz w:val="28"/>
      <w:szCs w:val="24"/>
    </w:rPr>
  </w:style>
  <w:style w:type="paragraph" w:customStyle="1" w:styleId="639">
    <w:name w:val="Char1 Char Char Char51"/>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640">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eastAsia="宋体" w:cs="Times New Roman"/>
      <w:color w:val="000000"/>
      <w:kern w:val="0"/>
      <w:szCs w:val="21"/>
    </w:rPr>
  </w:style>
  <w:style w:type="paragraph" w:customStyle="1" w:styleId="641">
    <w:name w:val="Char1 Char Char Char5"/>
    <w:basedOn w:val="1"/>
    <w:qFormat/>
    <w:uiPriority w:val="0"/>
    <w:pPr>
      <w:ind w:firstLine="200" w:firstLineChars="200"/>
    </w:pPr>
    <w:rPr>
      <w:rFonts w:ascii="Tahoma" w:hAnsi="Tahoma" w:eastAsia="宋体" w:cs="Times New Roman"/>
      <w:sz w:val="24"/>
      <w:szCs w:val="20"/>
    </w:rPr>
  </w:style>
  <w:style w:type="paragraph" w:customStyle="1" w:styleId="64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3">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4">
    <w:name w:val="Char Char28"/>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64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6">
    <w:name w:val="纯文本_0_0"/>
    <w:basedOn w:val="645"/>
    <w:link w:val="647"/>
    <w:qFormat/>
    <w:uiPriority w:val="0"/>
    <w:rPr>
      <w:rFonts w:ascii="宋体" w:hAnsi="Courier New"/>
      <w:szCs w:val="21"/>
    </w:rPr>
  </w:style>
  <w:style w:type="character" w:customStyle="1" w:styleId="647">
    <w:name w:val="纯文本 Char_0"/>
    <w:link w:val="646"/>
    <w:qFormat/>
    <w:uiPriority w:val="0"/>
    <w:rPr>
      <w:rFonts w:ascii="宋体" w:hAnsi="Courier New" w:eastAsia="宋体" w:cs="Times New Roman"/>
      <w:szCs w:val="21"/>
    </w:rPr>
  </w:style>
  <w:style w:type="paragraph" w:customStyle="1" w:styleId="648">
    <w:name w:val="索引 11"/>
    <w:basedOn w:val="1"/>
    <w:next w:val="1"/>
    <w:qFormat/>
    <w:uiPriority w:val="0"/>
    <w:pPr>
      <w:spacing w:line="360" w:lineRule="auto"/>
    </w:pPr>
    <w:rPr>
      <w:rFonts w:ascii="仿宋_GB2312" w:hAnsi="Times New Roman" w:eastAsia="仿宋_GB2312" w:cs="Times New Roman"/>
      <w:sz w:val="24"/>
      <w:szCs w:val="20"/>
    </w:rPr>
  </w:style>
  <w:style w:type="character" w:customStyle="1" w:styleId="649">
    <w:name w:val="Char Char34"/>
    <w:qFormat/>
    <w:uiPriority w:val="6"/>
    <w:rPr>
      <w:b/>
      <w:kern w:val="1"/>
      <w:sz w:val="28"/>
      <w:szCs w:val="28"/>
    </w:rPr>
  </w:style>
  <w:style w:type="character" w:customStyle="1" w:styleId="650">
    <w:name w:val="Char Char22"/>
    <w:qFormat/>
    <w:uiPriority w:val="6"/>
    <w:rPr>
      <w:rFonts w:ascii="宋体" w:hAnsi="宋体"/>
      <w:kern w:val="1"/>
      <w:sz w:val="24"/>
      <w:szCs w:val="24"/>
    </w:rPr>
  </w:style>
  <w:style w:type="character" w:customStyle="1" w:styleId="651">
    <w:name w:val="Char Char141"/>
    <w:qFormat/>
    <w:uiPriority w:val="0"/>
    <w:rPr>
      <w:rFonts w:ascii="黑体" w:hAnsi="黑体" w:eastAsia="黑体"/>
    </w:rPr>
  </w:style>
  <w:style w:type="character" w:customStyle="1" w:styleId="652">
    <w:name w:val="Char Char61"/>
    <w:qFormat/>
    <w:uiPriority w:val="6"/>
    <w:rPr>
      <w:rFonts w:eastAsia="宋体"/>
      <w:kern w:val="2"/>
      <w:sz w:val="21"/>
      <w:szCs w:val="24"/>
      <w:lang w:val="en-US" w:eastAsia="zh-CN" w:bidi="ar-SA"/>
    </w:rPr>
  </w:style>
  <w:style w:type="character" w:customStyle="1" w:styleId="653">
    <w:name w:val="Char Char24"/>
    <w:qFormat/>
    <w:uiPriority w:val="6"/>
    <w:rPr>
      <w:kern w:val="1"/>
      <w:sz w:val="21"/>
    </w:rPr>
  </w:style>
  <w:style w:type="character" w:customStyle="1" w:styleId="654">
    <w:name w:val="Heading 1 Char"/>
    <w:qFormat/>
    <w:uiPriority w:val="6"/>
    <w:rPr>
      <w:rFonts w:ascii="Times New Roman" w:hAnsi="Times New Roman" w:eastAsia="黑体" w:cs="Times New Roman"/>
      <w:b/>
      <w:kern w:val="0"/>
      <w:sz w:val="24"/>
      <w:szCs w:val="24"/>
    </w:rPr>
  </w:style>
  <w:style w:type="character" w:customStyle="1" w:styleId="655">
    <w:name w:val="Char Char19"/>
    <w:qFormat/>
    <w:uiPriority w:val="0"/>
    <w:rPr>
      <w:rFonts w:ascii="宋体" w:hAnsi="宋体"/>
      <w:i/>
      <w:sz w:val="24"/>
      <w:szCs w:val="24"/>
    </w:rPr>
  </w:style>
  <w:style w:type="character" w:customStyle="1" w:styleId="656">
    <w:name w:val="纯文本 Char2"/>
    <w:semiHidden/>
    <w:qFormat/>
    <w:uiPriority w:val="99"/>
    <w:rPr>
      <w:rFonts w:ascii="宋体" w:hAnsi="Courier New" w:eastAsia="宋体" w:cs="Courier New"/>
    </w:rPr>
  </w:style>
  <w:style w:type="character" w:customStyle="1" w:styleId="657">
    <w:name w:val="Char Char32"/>
    <w:qFormat/>
    <w:uiPriority w:val="6"/>
    <w:rPr>
      <w:b/>
      <w:kern w:val="1"/>
      <w:sz w:val="24"/>
      <w:szCs w:val="24"/>
    </w:rPr>
  </w:style>
  <w:style w:type="character" w:customStyle="1" w:styleId="658">
    <w:name w:val="Char Char36"/>
    <w:qFormat/>
    <w:uiPriority w:val="6"/>
    <w:rPr>
      <w:rFonts w:ascii="仿宋_GB2312" w:hAnsi="仿宋_GB2312" w:eastAsia="仿宋_GB2312" w:cs="Arial"/>
      <w:b/>
      <w:kern w:val="1"/>
      <w:sz w:val="32"/>
      <w:szCs w:val="32"/>
      <w:lang w:val="zh-CN" w:eastAsia="zh-CN" w:bidi="ar-SA"/>
    </w:rPr>
  </w:style>
  <w:style w:type="character" w:customStyle="1" w:styleId="659">
    <w:name w:val="Char Char101"/>
    <w:qFormat/>
    <w:uiPriority w:val="6"/>
    <w:rPr>
      <w:rFonts w:ascii="宋体" w:hAnsi="宋体"/>
      <w:kern w:val="2"/>
      <w:sz w:val="21"/>
      <w:szCs w:val="24"/>
      <w:lang w:val="en-US" w:eastAsia="zh-CN"/>
    </w:rPr>
  </w:style>
  <w:style w:type="character" w:customStyle="1" w:styleId="660">
    <w:name w:val="Char Char17"/>
    <w:qFormat/>
    <w:uiPriority w:val="0"/>
    <w:rPr>
      <w:rFonts w:eastAsia="仿宋_GB2312"/>
      <w:sz w:val="24"/>
    </w:rPr>
  </w:style>
  <w:style w:type="character" w:customStyle="1" w:styleId="661">
    <w:name w:val="Char Char121"/>
    <w:qFormat/>
    <w:uiPriority w:val="6"/>
    <w:rPr>
      <w:rFonts w:ascii="仿宋_GB2312" w:eastAsia="仿宋_GB2312"/>
      <w:b/>
      <w:bCs/>
      <w:kern w:val="2"/>
      <w:sz w:val="24"/>
      <w:szCs w:val="24"/>
      <w:lang w:val="zh-CN" w:eastAsia="zh-CN" w:bidi="ar-SA"/>
    </w:rPr>
  </w:style>
  <w:style w:type="character" w:customStyle="1" w:styleId="662">
    <w:name w:val="Char Char91"/>
    <w:qFormat/>
    <w:uiPriority w:val="0"/>
    <w:rPr>
      <w:rFonts w:eastAsia="宋体"/>
      <w:kern w:val="2"/>
      <w:sz w:val="18"/>
      <w:szCs w:val="18"/>
      <w:lang w:val="en-US" w:eastAsia="zh-CN" w:bidi="ar-SA"/>
    </w:rPr>
  </w:style>
  <w:style w:type="character" w:customStyle="1" w:styleId="663">
    <w:name w:val="param-name"/>
    <w:qFormat/>
    <w:uiPriority w:val="99"/>
    <w:rPr>
      <w:rFonts w:ascii="Arial" w:hAnsi="Arial" w:eastAsia="黑体" w:cs="Arial"/>
      <w:snapToGrid/>
      <w:kern w:val="0"/>
      <w:szCs w:val="21"/>
    </w:rPr>
  </w:style>
  <w:style w:type="character" w:customStyle="1" w:styleId="664">
    <w:name w:val="Char Char31"/>
    <w:qFormat/>
    <w:uiPriority w:val="6"/>
    <w:rPr>
      <w:rFonts w:ascii="Arial" w:hAnsi="Arial" w:eastAsia="黑体"/>
      <w:kern w:val="1"/>
      <w:sz w:val="24"/>
      <w:szCs w:val="24"/>
    </w:rPr>
  </w:style>
  <w:style w:type="character" w:customStyle="1" w:styleId="665">
    <w:name w:val="Char Char27"/>
    <w:qFormat/>
    <w:uiPriority w:val="6"/>
    <w:rPr>
      <w:rFonts w:ascii="宋体" w:hAnsi="宋体" w:eastAsia="宋体"/>
      <w:color w:val="000000"/>
      <w:kern w:val="1"/>
      <w:sz w:val="28"/>
      <w:lang w:val="en-US" w:eastAsia="zh-CN" w:bidi="ar-SA"/>
    </w:rPr>
  </w:style>
  <w:style w:type="character" w:customStyle="1" w:styleId="666">
    <w:name w:val="Char Char16"/>
    <w:qFormat/>
    <w:uiPriority w:val="6"/>
    <w:rPr>
      <w:kern w:val="1"/>
      <w:sz w:val="18"/>
      <w:szCs w:val="18"/>
    </w:rPr>
  </w:style>
  <w:style w:type="character" w:customStyle="1" w:styleId="667">
    <w:name w:val="页眉 Char2"/>
    <w:qFormat/>
    <w:uiPriority w:val="0"/>
    <w:rPr>
      <w:kern w:val="2"/>
      <w:sz w:val="18"/>
      <w:szCs w:val="18"/>
    </w:rPr>
  </w:style>
  <w:style w:type="character" w:customStyle="1" w:styleId="668">
    <w:name w:val="表格名称[858D7CFB-ED40-4347-BF05-701D383B685F]"/>
    <w:link w:val="669"/>
    <w:qFormat/>
    <w:uiPriority w:val="0"/>
    <w:rPr>
      <w:sz w:val="32"/>
    </w:rPr>
  </w:style>
  <w:style w:type="paragraph" w:customStyle="1" w:styleId="669">
    <w:name w:val="表格名称"/>
    <w:basedOn w:val="4"/>
    <w:link w:val="668"/>
    <w:qFormat/>
    <w:uiPriority w:val="0"/>
    <w:pPr>
      <w:numPr>
        <w:numId w:val="0"/>
      </w:numPr>
      <w:snapToGrid w:val="0"/>
      <w:spacing w:before="240" w:after="240" w:line="240" w:lineRule="auto"/>
      <w:jc w:val="center"/>
    </w:pPr>
    <w:rPr>
      <w:rFonts w:asciiTheme="minorHAnsi" w:hAnsiTheme="minorHAnsi" w:eastAsiaTheme="minorEastAsia" w:cstheme="minorBidi"/>
      <w:b w:val="0"/>
      <w:bCs w:val="0"/>
      <w:szCs w:val="22"/>
      <w:lang w:val="en-US"/>
    </w:rPr>
  </w:style>
  <w:style w:type="character" w:customStyle="1" w:styleId="670">
    <w:name w:val="Char Char41"/>
    <w:qFormat/>
    <w:uiPriority w:val="0"/>
    <w:rPr>
      <w:rFonts w:eastAsia="宋体"/>
      <w:b/>
      <w:sz w:val="24"/>
      <w:lang w:val="en-GB" w:eastAsia="zh-CN" w:bidi="ar-SA"/>
    </w:rPr>
  </w:style>
  <w:style w:type="character" w:customStyle="1" w:styleId="671">
    <w:name w:val="正文段 Char"/>
    <w:link w:val="575"/>
    <w:qFormat/>
    <w:uiPriority w:val="0"/>
    <w:rPr>
      <w:rFonts w:ascii="Times New Roman" w:hAnsi="Times New Roman" w:eastAsia="宋体" w:cs="Times New Roman"/>
      <w:kern w:val="0"/>
      <w:sz w:val="24"/>
      <w:szCs w:val="20"/>
      <w:lang w:val="zh-CN"/>
    </w:rPr>
  </w:style>
  <w:style w:type="character" w:customStyle="1" w:styleId="672">
    <w:name w:val="Char Char29"/>
    <w:qFormat/>
    <w:uiPriority w:val="6"/>
    <w:rPr>
      <w:rFonts w:ascii="Arial" w:hAnsi="Arial" w:eastAsia="微软雅黑"/>
      <w:b/>
      <w:kern w:val="1"/>
      <w:sz w:val="44"/>
      <w:szCs w:val="32"/>
      <w:lang w:val="en-US" w:eastAsia="zh-CN" w:bidi="ar-SA"/>
    </w:rPr>
  </w:style>
  <w:style w:type="character" w:customStyle="1" w:styleId="673">
    <w:name w:val="Char Char211"/>
    <w:qFormat/>
    <w:uiPriority w:val="0"/>
    <w:rPr>
      <w:rFonts w:eastAsia="宋体"/>
      <w:b/>
      <w:bCs/>
      <w:kern w:val="2"/>
      <w:sz w:val="21"/>
      <w:szCs w:val="24"/>
      <w:lang w:val="en-US" w:eastAsia="zh-CN" w:bidi="ar-SA"/>
    </w:rPr>
  </w:style>
  <w:style w:type="character" w:customStyle="1" w:styleId="674">
    <w:name w:val="样式 正文缩进 + 首行缩进:  2 字符 Char Char"/>
    <w:link w:val="612"/>
    <w:qFormat/>
    <w:uiPriority w:val="0"/>
    <w:rPr>
      <w:rFonts w:ascii="Times New Roman" w:eastAsia="宋体"/>
      <w:sz w:val="24"/>
      <w:lang w:val="zh-CN"/>
    </w:rPr>
  </w:style>
  <w:style w:type="character" w:customStyle="1" w:styleId="675">
    <w:name w:val="Char Char131"/>
    <w:qFormat/>
    <w:uiPriority w:val="0"/>
    <w:rPr>
      <w:rFonts w:ascii="宋体" w:hAnsi="宋体"/>
      <w:kern w:val="1"/>
      <w:sz w:val="21"/>
      <w:szCs w:val="24"/>
    </w:rPr>
  </w:style>
  <w:style w:type="character" w:customStyle="1" w:styleId="676">
    <w:name w:val="Char Char33"/>
    <w:qFormat/>
    <w:uiPriority w:val="6"/>
    <w:rPr>
      <w:rFonts w:ascii="Arial" w:hAnsi="Arial" w:eastAsia="黑体"/>
      <w:b/>
      <w:kern w:val="1"/>
      <w:sz w:val="24"/>
      <w:szCs w:val="24"/>
    </w:rPr>
  </w:style>
  <w:style w:type="character" w:customStyle="1" w:styleId="677">
    <w:name w:val="正文说明 Char"/>
    <w:link w:val="678"/>
    <w:qFormat/>
    <w:uiPriority w:val="0"/>
    <w:rPr>
      <w:sz w:val="24"/>
      <w:szCs w:val="24"/>
    </w:rPr>
  </w:style>
  <w:style w:type="paragraph" w:customStyle="1" w:styleId="678">
    <w:name w:val="正文说明"/>
    <w:basedOn w:val="1"/>
    <w:link w:val="677"/>
    <w:qFormat/>
    <w:uiPriority w:val="0"/>
    <w:pPr>
      <w:spacing w:line="360" w:lineRule="auto"/>
    </w:pPr>
    <w:rPr>
      <w:sz w:val="24"/>
      <w:szCs w:val="24"/>
    </w:rPr>
  </w:style>
  <w:style w:type="character" w:customStyle="1" w:styleId="679">
    <w:name w:val="页脚 Char2"/>
    <w:qFormat/>
    <w:locked/>
    <w:uiPriority w:val="0"/>
    <w:rPr>
      <w:kern w:val="2"/>
      <w:sz w:val="18"/>
      <w:szCs w:val="18"/>
    </w:rPr>
  </w:style>
  <w:style w:type="character" w:customStyle="1" w:styleId="680">
    <w:name w:val="Char Char711"/>
    <w:qFormat/>
    <w:uiPriority w:val="0"/>
    <w:rPr>
      <w:rFonts w:eastAsia="宋体"/>
      <w:kern w:val="2"/>
      <w:sz w:val="21"/>
      <w:szCs w:val="24"/>
      <w:lang w:val="en-US" w:eastAsia="zh-CN" w:bidi="ar-SA"/>
    </w:rPr>
  </w:style>
  <w:style w:type="character" w:customStyle="1" w:styleId="681">
    <w:name w:val="Char Char21"/>
    <w:qFormat/>
    <w:uiPriority w:val="6"/>
    <w:rPr>
      <w:rFonts w:ascii="宋体" w:hAnsi="宋体"/>
      <w:kern w:val="1"/>
      <w:sz w:val="24"/>
      <w:szCs w:val="21"/>
      <w:lang w:val="zh-CN"/>
    </w:rPr>
  </w:style>
  <w:style w:type="character" w:customStyle="1" w:styleId="682">
    <w:name w:val="Char Char281"/>
    <w:qFormat/>
    <w:uiPriority w:val="6"/>
    <w:rPr>
      <w:rFonts w:ascii="仿宋_GB2312" w:hAnsi="仿宋_GB2312" w:eastAsia="仿宋_GB2312"/>
      <w:kern w:val="1"/>
      <w:sz w:val="28"/>
    </w:rPr>
  </w:style>
  <w:style w:type="character" w:customStyle="1" w:styleId="683">
    <w:name w:val="Char Char30"/>
    <w:qFormat/>
    <w:uiPriority w:val="6"/>
    <w:rPr>
      <w:rFonts w:ascii="Arial" w:hAnsi="Arial" w:eastAsia="黑体"/>
      <w:kern w:val="1"/>
      <w:sz w:val="21"/>
      <w:szCs w:val="21"/>
    </w:rPr>
  </w:style>
  <w:style w:type="character" w:customStyle="1" w:styleId="684">
    <w:name w:val="question-title2"/>
    <w:qFormat/>
    <w:uiPriority w:val="6"/>
    <w:rPr>
      <w:rFonts w:ascii="Arial" w:hAnsi="Arial" w:eastAsia="黑体" w:cs="Arial"/>
      <w:snapToGrid/>
      <w:kern w:val="0"/>
      <w:szCs w:val="21"/>
    </w:rPr>
  </w:style>
  <w:style w:type="character" w:customStyle="1" w:styleId="685">
    <w:name w:val="Char Char20"/>
    <w:qFormat/>
    <w:uiPriority w:val="6"/>
    <w:rPr>
      <w:kern w:val="1"/>
      <w:sz w:val="24"/>
    </w:rPr>
  </w:style>
  <w:style w:type="character" w:customStyle="1" w:styleId="686">
    <w:name w:val="Char Char311"/>
    <w:qFormat/>
    <w:uiPriority w:val="0"/>
    <w:rPr>
      <w:rFonts w:eastAsia="宋体"/>
      <w:kern w:val="2"/>
      <w:sz w:val="21"/>
      <w:szCs w:val="24"/>
      <w:lang w:val="en-US" w:eastAsia="zh-CN" w:bidi="ar-SA"/>
    </w:rPr>
  </w:style>
  <w:style w:type="character" w:customStyle="1" w:styleId="687">
    <w:name w:val="Char Char15"/>
    <w:qFormat/>
    <w:uiPriority w:val="0"/>
    <w:rPr>
      <w:rFonts w:ascii="宋体" w:hAnsi="宋体"/>
      <w:kern w:val="1"/>
      <w:sz w:val="21"/>
    </w:rPr>
  </w:style>
  <w:style w:type="character" w:customStyle="1" w:styleId="688">
    <w:name w:val="Char Char26"/>
    <w:qFormat/>
    <w:uiPriority w:val="6"/>
    <w:rPr>
      <w:kern w:val="1"/>
      <w:sz w:val="21"/>
      <w:szCs w:val="24"/>
    </w:rPr>
  </w:style>
  <w:style w:type="character" w:customStyle="1" w:styleId="689">
    <w:name w:val="Char Char51"/>
    <w:qFormat/>
    <w:uiPriority w:val="0"/>
    <w:rPr>
      <w:rFonts w:ascii="宋体" w:hAnsi="Courier New" w:eastAsia="宋体"/>
      <w:kern w:val="2"/>
      <w:sz w:val="21"/>
      <w:lang w:val="en-US" w:eastAsia="zh-CN"/>
    </w:rPr>
  </w:style>
  <w:style w:type="character" w:customStyle="1" w:styleId="690">
    <w:name w:val="Char Char71"/>
    <w:semiHidden/>
    <w:qFormat/>
    <w:uiPriority w:val="0"/>
    <w:rPr>
      <w:rFonts w:eastAsia="宋体"/>
      <w:kern w:val="2"/>
      <w:sz w:val="21"/>
      <w:szCs w:val="24"/>
      <w:lang w:val="en-US" w:eastAsia="zh-CN" w:bidi="ar-SA"/>
    </w:rPr>
  </w:style>
  <w:style w:type="character" w:customStyle="1" w:styleId="691">
    <w:name w:val="Char Char18"/>
    <w:qFormat/>
    <w:uiPriority w:val="0"/>
    <w:rPr>
      <w:rFonts w:ascii="宋体" w:hAnsi="宋体"/>
      <w:sz w:val="28"/>
    </w:rPr>
  </w:style>
  <w:style w:type="character" w:customStyle="1" w:styleId="692">
    <w:name w:val="Char Char81"/>
    <w:qFormat/>
    <w:uiPriority w:val="6"/>
    <w:rPr>
      <w:rFonts w:eastAsia="宋体"/>
      <w:b/>
      <w:sz w:val="24"/>
      <w:lang w:val="en-GB" w:eastAsia="zh-CN"/>
    </w:rPr>
  </w:style>
  <w:style w:type="character" w:customStyle="1" w:styleId="693">
    <w:name w:val="Char Char37"/>
    <w:qFormat/>
    <w:uiPriority w:val="6"/>
    <w:rPr>
      <w:b/>
      <w:kern w:val="1"/>
      <w:sz w:val="44"/>
      <w:szCs w:val="44"/>
    </w:rPr>
  </w:style>
  <w:style w:type="character" w:customStyle="1" w:styleId="694">
    <w:name w:val="Char Char102"/>
    <w:semiHidden/>
    <w:qFormat/>
    <w:uiPriority w:val="0"/>
    <w:rPr>
      <w:rFonts w:ascii="宋体" w:hAnsi="宋体"/>
      <w:kern w:val="2"/>
      <w:sz w:val="21"/>
      <w:szCs w:val="24"/>
      <w:lang w:val="en-US" w:eastAsia="zh-CN"/>
    </w:rPr>
  </w:style>
  <w:style w:type="character" w:customStyle="1" w:styleId="695">
    <w:name w:val="Char Char23"/>
    <w:qFormat/>
    <w:uiPriority w:val="6"/>
    <w:rPr>
      <w:color w:val="0000FF"/>
      <w:sz w:val="21"/>
    </w:rPr>
  </w:style>
  <w:style w:type="character" w:customStyle="1" w:styleId="696">
    <w:name w:val="Char Char25"/>
    <w:qFormat/>
    <w:uiPriority w:val="6"/>
    <w:rPr>
      <w:rFonts w:ascii="宋体" w:hAnsi="宋体"/>
      <w:kern w:val="1"/>
      <w:sz w:val="24"/>
      <w:lang w:val="zh-CN"/>
    </w:rPr>
  </w:style>
  <w:style w:type="character" w:customStyle="1" w:styleId="697">
    <w:name w:val="Char Char35"/>
    <w:qFormat/>
    <w:uiPriority w:val="6"/>
    <w:rPr>
      <w:rFonts w:ascii="Arial" w:hAnsi="Arial" w:eastAsia="黑体"/>
      <w:b/>
      <w:kern w:val="1"/>
      <w:sz w:val="28"/>
      <w:szCs w:val="28"/>
      <w:lang w:val="zh-CN"/>
    </w:rPr>
  </w:style>
  <w:style w:type="character" w:customStyle="1" w:styleId="698">
    <w:name w:val="font81"/>
    <w:qFormat/>
    <w:uiPriority w:val="0"/>
    <w:rPr>
      <w:rFonts w:ascii="微软雅黑" w:hAnsi="微软雅黑" w:eastAsia="微软雅黑" w:cs="微软雅黑"/>
      <w:color w:val="000000"/>
      <w:sz w:val="20"/>
      <w:szCs w:val="20"/>
      <w:u w:val="none"/>
    </w:rPr>
  </w:style>
  <w:style w:type="character" w:customStyle="1" w:styleId="699">
    <w:name w:val="font51"/>
    <w:qFormat/>
    <w:uiPriority w:val="0"/>
    <w:rPr>
      <w:rFonts w:hint="eastAsia" w:ascii="仿宋" w:hAnsi="仿宋" w:eastAsia="仿宋" w:cs="仿宋"/>
      <w:color w:val="000000"/>
      <w:sz w:val="20"/>
      <w:szCs w:val="20"/>
      <w:u w:val="none"/>
    </w:rPr>
  </w:style>
  <w:style w:type="character" w:customStyle="1" w:styleId="700">
    <w:name w:val="font31"/>
    <w:qFormat/>
    <w:uiPriority w:val="0"/>
    <w:rPr>
      <w:rFonts w:hint="eastAsia" w:ascii="仿宋" w:hAnsi="仿宋" w:eastAsia="仿宋" w:cs="仿宋"/>
      <w:color w:val="000000"/>
      <w:sz w:val="20"/>
      <w:szCs w:val="20"/>
      <w:u w:val="none"/>
    </w:rPr>
  </w:style>
  <w:style w:type="character" w:customStyle="1" w:styleId="701">
    <w:name w:val="font01"/>
    <w:qFormat/>
    <w:uiPriority w:val="0"/>
    <w:rPr>
      <w:rFonts w:hint="eastAsia" w:ascii="微软雅黑" w:hAnsi="微软雅黑" w:eastAsia="微软雅黑" w:cs="微软雅黑"/>
      <w:color w:val="000000"/>
      <w:sz w:val="20"/>
      <w:szCs w:val="20"/>
      <w:u w:val="none"/>
    </w:rPr>
  </w:style>
  <w:style w:type="character" w:customStyle="1" w:styleId="702">
    <w:name w:val="font61"/>
    <w:qFormat/>
    <w:uiPriority w:val="0"/>
    <w:rPr>
      <w:rFonts w:hint="eastAsia" w:ascii="仿宋" w:hAnsi="仿宋" w:eastAsia="仿宋" w:cs="仿宋"/>
      <w:color w:val="000000"/>
      <w:sz w:val="20"/>
      <w:szCs w:val="20"/>
      <w:u w:val="none"/>
    </w:rPr>
  </w:style>
  <w:style w:type="paragraph" w:customStyle="1" w:styleId="703">
    <w:name w:val="Char1 Char Char Char6"/>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04">
    <w:name w:val="Char Char Char Char Char Char Char1"/>
    <w:basedOn w:val="1"/>
    <w:qFormat/>
    <w:uiPriority w:val="6"/>
    <w:pPr>
      <w:adjustRightInd w:val="0"/>
    </w:pPr>
    <w:rPr>
      <w:rFonts w:ascii="仿宋_GB2312" w:hAnsi="Times New Roman" w:eastAsia="仿宋_GB2312" w:cs="Times New Roman"/>
      <w:b/>
      <w:sz w:val="32"/>
      <w:szCs w:val="32"/>
    </w:rPr>
  </w:style>
  <w:style w:type="paragraph" w:customStyle="1" w:styleId="705">
    <w:name w:val="TOC 标题11"/>
    <w:basedOn w:val="3"/>
    <w:next w:val="1"/>
    <w:unhideWhenUsed/>
    <w:qFormat/>
    <w:uiPriority w:val="4"/>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706">
    <w:name w:val="Char Char1 Char Char Char Char Char Char1"/>
    <w:basedOn w:val="1"/>
    <w:qFormat/>
    <w:uiPriority w:val="0"/>
    <w:pPr>
      <w:adjustRightInd w:val="0"/>
    </w:pPr>
    <w:rPr>
      <w:rFonts w:ascii="仿宋_GB2312" w:hAnsi="Times New Roman" w:eastAsia="仿宋_GB2312" w:cs="Times New Roman"/>
      <w:b/>
      <w:sz w:val="32"/>
      <w:szCs w:val="20"/>
    </w:rPr>
  </w:style>
  <w:style w:type="paragraph" w:customStyle="1" w:styleId="707">
    <w:name w:val="Char Char Char Char Char Char1"/>
    <w:basedOn w:val="1"/>
    <w:qFormat/>
    <w:uiPriority w:val="6"/>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70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0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0">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1">
    <w:name w:val="Char23"/>
    <w:basedOn w:val="1"/>
    <w:qFormat/>
    <w:uiPriority w:val="0"/>
    <w:pPr>
      <w:adjustRightInd w:val="0"/>
    </w:pPr>
    <w:rPr>
      <w:rFonts w:ascii="仿宋_GB2312" w:hAnsi="Times New Roman" w:eastAsia="仿宋_GB2312" w:cs="Times New Roman"/>
      <w:b/>
      <w:sz w:val="32"/>
      <w:szCs w:val="32"/>
    </w:rPr>
  </w:style>
  <w:style w:type="paragraph" w:customStyle="1" w:styleId="712">
    <w:name w:val="样式 宋体 三号 加粗 居中"/>
    <w:basedOn w:val="1"/>
    <w:qFormat/>
    <w:uiPriority w:val="0"/>
    <w:pPr>
      <w:spacing w:line="360" w:lineRule="auto"/>
      <w:jc w:val="center"/>
    </w:pPr>
    <w:rPr>
      <w:rFonts w:ascii="宋体" w:hAnsi="宋体" w:eastAsia="宋体" w:cs="宋体"/>
      <w:b/>
      <w:bCs/>
      <w:sz w:val="24"/>
      <w:szCs w:val="20"/>
    </w:rPr>
  </w:style>
  <w:style w:type="paragraph" w:customStyle="1" w:styleId="713">
    <w:name w:val="正文 New New New New"/>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71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5">
    <w:name w:val="Char111"/>
    <w:basedOn w:val="1"/>
    <w:qFormat/>
    <w:uiPriority w:val="0"/>
    <w:pPr>
      <w:adjustRightInd w:val="0"/>
    </w:pPr>
    <w:rPr>
      <w:rFonts w:ascii="仿宋_GB2312" w:hAnsi="Times New Roman" w:eastAsia="仿宋_GB2312" w:cs="Times New Roman"/>
      <w:b/>
      <w:sz w:val="32"/>
      <w:szCs w:val="32"/>
    </w:rPr>
  </w:style>
  <w:style w:type="paragraph" w:customStyle="1" w:styleId="71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17">
    <w:name w:val="列出段落*"/>
    <w:basedOn w:val="1"/>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718">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719">
    <w:name w:val="Char2 Char Char1"/>
    <w:basedOn w:val="1"/>
    <w:qFormat/>
    <w:uiPriority w:val="6"/>
    <w:rPr>
      <w:rFonts w:ascii="Tahoma" w:hAnsi="Tahoma" w:eastAsia="宋体" w:cs="Times New Roman"/>
      <w:sz w:val="24"/>
      <w:szCs w:val="20"/>
    </w:rPr>
  </w:style>
  <w:style w:type="paragraph" w:customStyle="1" w:styleId="720">
    <w:name w:val="xl94"/>
    <w:basedOn w:val="1"/>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721">
    <w:name w:val="Char Char1 Char1"/>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22">
    <w:name w:val="xl80"/>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72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72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25">
    <w:name w:val="列出段落5"/>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726">
    <w:name w:val="Char Char11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27">
    <w:name w:val="Char Char Char Char11"/>
    <w:basedOn w:val="1"/>
    <w:qFormat/>
    <w:uiPriority w:val="0"/>
    <w:pPr>
      <w:adjustRightInd w:val="0"/>
    </w:pPr>
    <w:rPr>
      <w:rFonts w:ascii="Tahoma" w:hAnsi="Tahoma" w:eastAsia="宋体" w:cs="Times New Roman"/>
      <w:sz w:val="24"/>
      <w:szCs w:val="20"/>
    </w:rPr>
  </w:style>
  <w:style w:type="paragraph" w:customStyle="1" w:styleId="728">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729">
    <w:name w:val="xl73"/>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7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2">
    <w:name w:val="Char Char Char Char Char Char Char Char Char Char1"/>
    <w:basedOn w:val="1"/>
    <w:qFormat/>
    <w:uiPriority w:val="0"/>
    <w:pPr>
      <w:adjustRightInd w:val="0"/>
    </w:pPr>
    <w:rPr>
      <w:rFonts w:ascii="仿宋_GB2312" w:hAnsi="Times New Roman" w:eastAsia="仿宋_GB2312" w:cs="Times New Roman"/>
      <w:b/>
      <w:sz w:val="32"/>
      <w:szCs w:val="32"/>
    </w:rPr>
  </w:style>
  <w:style w:type="paragraph" w:customStyle="1" w:styleId="733">
    <w:name w:val="Char Char11 Char Char Char Char Char Char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34">
    <w:name w:val="Char Char110"/>
    <w:basedOn w:val="1"/>
    <w:qFormat/>
    <w:uiPriority w:val="6"/>
    <w:pPr>
      <w:adjustRightInd w:val="0"/>
      <w:spacing w:line="360" w:lineRule="auto"/>
    </w:pPr>
    <w:rPr>
      <w:rFonts w:ascii="Tahoma" w:hAnsi="Tahoma" w:eastAsia="宋体" w:cs="Times New Roman"/>
      <w:sz w:val="24"/>
      <w:szCs w:val="20"/>
    </w:rPr>
  </w:style>
  <w:style w:type="paragraph" w:customStyle="1" w:styleId="73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3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8">
    <w:name w:val="Char31"/>
    <w:basedOn w:val="1"/>
    <w:qFormat/>
    <w:uiPriority w:val="0"/>
    <w:rPr>
      <w:rFonts w:ascii="仿宋_GB2312" w:hAnsi="Times New Roman" w:eastAsia="仿宋_GB2312" w:cs="Times New Roman"/>
      <w:b/>
      <w:sz w:val="32"/>
      <w:szCs w:val="32"/>
    </w:rPr>
  </w:style>
  <w:style w:type="paragraph" w:customStyle="1" w:styleId="7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4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0"/>
      <w:szCs w:val="20"/>
    </w:rPr>
  </w:style>
  <w:style w:type="paragraph" w:customStyle="1" w:styleId="742">
    <w:name w:val="修订2"/>
    <w:qFormat/>
    <w:uiPriority w:val="0"/>
    <w:rPr>
      <w:rFonts w:ascii="Times New Roman" w:hAnsi="Times New Roman" w:eastAsia="宋体" w:cs="Times New Roman"/>
      <w:kern w:val="2"/>
      <w:sz w:val="21"/>
      <w:lang w:val="en-US" w:eastAsia="zh-CN" w:bidi="ar-SA"/>
    </w:rPr>
  </w:style>
  <w:style w:type="paragraph" w:customStyle="1" w:styleId="74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44">
    <w:name w:val="Char Char112"/>
    <w:basedOn w:val="1"/>
    <w:qFormat/>
    <w:uiPriority w:val="6"/>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745">
    <w:name w:val="Char5"/>
    <w:basedOn w:val="1"/>
    <w:qFormat/>
    <w:uiPriority w:val="0"/>
    <w:pPr>
      <w:adjustRightInd w:val="0"/>
    </w:pPr>
    <w:rPr>
      <w:rFonts w:ascii="仿宋_GB2312" w:hAnsi="Times New Roman" w:eastAsia="仿宋_GB2312" w:cs="Times New Roman"/>
      <w:b/>
      <w:sz w:val="32"/>
      <w:szCs w:val="32"/>
    </w:rPr>
  </w:style>
  <w:style w:type="paragraph" w:customStyle="1" w:styleId="74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7">
    <w:name w:val="Char Char Char Char Char Char Char Char Char Char Char Char1 Char1"/>
    <w:basedOn w:val="1"/>
    <w:qFormat/>
    <w:uiPriority w:val="6"/>
    <w:pPr>
      <w:adjustRightInd w:val="0"/>
    </w:pPr>
    <w:rPr>
      <w:rFonts w:ascii="Tahoma" w:hAnsi="Tahoma" w:eastAsia="宋体" w:cs="仿宋_GB2312"/>
      <w:sz w:val="24"/>
      <w:szCs w:val="20"/>
    </w:rPr>
  </w:style>
  <w:style w:type="paragraph" w:customStyle="1" w:styleId="748">
    <w:name w:val="无间隔*"/>
    <w:qFormat/>
    <w:uiPriority w:val="0"/>
    <w:pPr>
      <w:widowControl w:val="0"/>
      <w:jc w:val="both"/>
    </w:pPr>
    <w:rPr>
      <w:rFonts w:ascii="Calibri" w:hAnsi="Calibri" w:eastAsia="宋体" w:cs="Calibri"/>
      <w:color w:val="000000"/>
      <w:kern w:val="1"/>
      <w:sz w:val="21"/>
      <w:szCs w:val="22"/>
      <w:lang w:val="en-US" w:eastAsia="zh-CN" w:bidi="ar-SA"/>
    </w:rPr>
  </w:style>
  <w:style w:type="paragraph" w:customStyle="1" w:styleId="749">
    <w:name w:val="Body Text 2*"/>
    <w:basedOn w:val="1"/>
    <w:qFormat/>
    <w:uiPriority w:val="6"/>
    <w:pPr>
      <w:widowControl/>
      <w:ind w:left="720" w:hanging="720"/>
    </w:pPr>
    <w:rPr>
      <w:rFonts w:ascii="Times New Roman" w:hAnsi="Times New Roman" w:eastAsia="宋体" w:cs="Times New Roman"/>
      <w:color w:val="000000"/>
      <w:kern w:val="0"/>
      <w:sz w:val="24"/>
      <w:szCs w:val="20"/>
      <w:lang w:val="en-GB"/>
    </w:rPr>
  </w:style>
  <w:style w:type="paragraph" w:customStyle="1" w:styleId="750">
    <w:name w:val="样式 左侧:  0.85 厘米"/>
    <w:basedOn w:val="1"/>
    <w:qFormat/>
    <w:uiPriority w:val="2"/>
    <w:pPr>
      <w:spacing w:line="360" w:lineRule="auto"/>
    </w:pPr>
    <w:rPr>
      <w:rFonts w:ascii="Times New Roman" w:hAnsi="Times New Roman" w:eastAsia="宋体" w:cs="宋体"/>
      <w:sz w:val="24"/>
      <w:szCs w:val="20"/>
    </w:rPr>
  </w:style>
  <w:style w:type="paragraph" w:customStyle="1" w:styleId="751">
    <w:name w:val="Char Char Char1"/>
    <w:basedOn w:val="1"/>
    <w:qFormat/>
    <w:uiPriority w:val="6"/>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752">
    <w:name w:val="列出段落31"/>
    <w:basedOn w:val="1"/>
    <w:qFormat/>
    <w:uiPriority w:val="0"/>
    <w:pPr>
      <w:spacing w:line="360" w:lineRule="auto"/>
      <w:ind w:firstLine="420" w:firstLineChars="200"/>
    </w:pPr>
    <w:rPr>
      <w:rFonts w:ascii="Calibri" w:hAnsi="Calibri" w:eastAsia="宋体" w:cs="Times New Roman"/>
      <w:sz w:val="24"/>
    </w:rPr>
  </w:style>
  <w:style w:type="paragraph" w:customStyle="1" w:styleId="753">
    <w:name w:val="Char Char111"/>
    <w:basedOn w:val="1"/>
    <w:qFormat/>
    <w:uiPriority w:val="0"/>
    <w:pPr>
      <w:adjustRightInd w:val="0"/>
      <w:spacing w:line="360" w:lineRule="auto"/>
    </w:pPr>
    <w:rPr>
      <w:rFonts w:ascii="Times New Roman" w:hAnsi="Times New Roman" w:eastAsia="宋体" w:cs="Times New Roman"/>
      <w:szCs w:val="20"/>
    </w:rPr>
  </w:style>
  <w:style w:type="paragraph" w:customStyle="1" w:styleId="754">
    <w:name w:val="List Paragraph*"/>
    <w:basedOn w:val="1"/>
    <w:qFormat/>
    <w:uiPriority w:val="7"/>
    <w:pPr>
      <w:spacing w:line="360" w:lineRule="auto"/>
      <w:ind w:firstLine="420"/>
    </w:pPr>
    <w:rPr>
      <w:rFonts w:ascii="Calibri" w:hAnsi="Calibri" w:eastAsia="宋体" w:cs="Calibri"/>
      <w:color w:val="000000"/>
      <w:kern w:val="1"/>
      <w:sz w:val="24"/>
    </w:rPr>
  </w:style>
  <w:style w:type="paragraph" w:customStyle="1" w:styleId="75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56">
    <w:name w:val="方形箭头"/>
    <w:basedOn w:val="1"/>
    <w:qFormat/>
    <w:uiPriority w:val="0"/>
    <w:pPr>
      <w:widowControl/>
      <w:tabs>
        <w:tab w:val="left" w:pos="840"/>
      </w:tabs>
      <w:spacing w:before="93" w:line="60" w:lineRule="atLeast"/>
      <w:ind w:left="420" w:right="200" w:hanging="420"/>
      <w:jc w:val="left"/>
    </w:pPr>
    <w:rPr>
      <w:rFonts w:ascii="Calibri" w:hAnsi="Calibri" w:eastAsia="宋体" w:cs="Calibri"/>
      <w:color w:val="000000"/>
      <w:kern w:val="0"/>
      <w:sz w:val="16"/>
    </w:rPr>
  </w:style>
  <w:style w:type="paragraph" w:customStyle="1" w:styleId="75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5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60">
    <w:name w:val="Char Char1 Char Char Char1"/>
    <w:basedOn w:val="1"/>
    <w:qFormat/>
    <w:uiPriority w:val="6"/>
    <w:pPr>
      <w:adjustRightInd w:val="0"/>
    </w:pPr>
    <w:rPr>
      <w:rFonts w:ascii="仿宋_GB2312" w:hAnsi="Times New Roman" w:eastAsia="仿宋_GB2312" w:cs="Times New Roman"/>
      <w:b/>
      <w:sz w:val="32"/>
      <w:szCs w:val="20"/>
    </w:rPr>
  </w:style>
  <w:style w:type="paragraph" w:customStyle="1" w:styleId="76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2">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eastAsia="宋体" w:cs="Times New Roman"/>
      <w:b/>
      <w:bCs/>
      <w:sz w:val="24"/>
      <w:szCs w:val="24"/>
    </w:rPr>
  </w:style>
  <w:style w:type="paragraph" w:customStyle="1" w:styleId="7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4">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765">
    <w:name w:val="xl74"/>
    <w:basedOn w:val="1"/>
    <w:qFormat/>
    <w:uiPriority w:val="0"/>
    <w:pPr>
      <w:widowControl/>
      <w:spacing w:before="100" w:beforeAutospacing="1" w:after="100" w:afterAutospacing="1"/>
      <w:jc w:val="center"/>
    </w:pPr>
    <w:rPr>
      <w:rFonts w:ascii="微软雅黑" w:hAnsi="微软雅黑" w:eastAsia="微软雅黑" w:cs="宋体"/>
      <w:b/>
      <w:bCs/>
      <w:kern w:val="0"/>
      <w:sz w:val="20"/>
      <w:szCs w:val="20"/>
    </w:rPr>
  </w:style>
  <w:style w:type="paragraph" w:customStyle="1" w:styleId="76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67">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768">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769">
    <w:name w:val="Plain Text1"/>
    <w:basedOn w:val="1"/>
    <w:qFormat/>
    <w:uiPriority w:val="7"/>
    <w:rPr>
      <w:rFonts w:ascii="宋体" w:hAnsi="Courier New" w:eastAsia="宋体" w:cs="Times New Roman"/>
      <w:szCs w:val="24"/>
    </w:rPr>
  </w:style>
  <w:style w:type="paragraph" w:customStyle="1" w:styleId="77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71">
    <w:name w:val="列出段落4"/>
    <w:basedOn w:val="1"/>
    <w:qFormat/>
    <w:uiPriority w:val="0"/>
    <w:pPr>
      <w:spacing w:line="360" w:lineRule="auto"/>
      <w:ind w:firstLine="420" w:firstLineChars="200"/>
    </w:pPr>
    <w:rPr>
      <w:rFonts w:ascii="Calibri" w:hAnsi="Calibri" w:eastAsia="宋体" w:cs="Times New Roman"/>
      <w:sz w:val="24"/>
    </w:rPr>
  </w:style>
  <w:style w:type="paragraph" w:customStyle="1" w:styleId="772">
    <w:name w:val="表内文字"/>
    <w:basedOn w:val="1"/>
    <w:qFormat/>
    <w:uiPriority w:val="0"/>
    <w:pPr>
      <w:tabs>
        <w:tab w:val="left" w:pos="1418"/>
      </w:tabs>
      <w:spacing w:line="360" w:lineRule="auto"/>
      <w:ind w:firstLine="420" w:firstLineChars="200"/>
      <w:jc w:val="center"/>
    </w:pPr>
    <w:rPr>
      <w:rFonts w:ascii="仿宋_GB2312" w:hAnsi="Times New Roman" w:eastAsia="仿宋_GB2312" w:cs="Times New Roman"/>
      <w:spacing w:val="-20"/>
      <w:kern w:val="0"/>
      <w:sz w:val="24"/>
      <w:szCs w:val="24"/>
    </w:rPr>
  </w:style>
  <w:style w:type="paragraph" w:customStyle="1" w:styleId="773">
    <w:name w:val="Char Char Char1 Char1"/>
    <w:basedOn w:val="1"/>
    <w:qFormat/>
    <w:uiPriority w:val="6"/>
    <w:pPr>
      <w:adjustRightInd w:val="0"/>
    </w:pPr>
    <w:rPr>
      <w:rFonts w:ascii="Times New Roman" w:hAnsi="Times New Roman" w:eastAsia="宋体" w:cs="Times New Roman"/>
      <w:szCs w:val="20"/>
    </w:rPr>
  </w:style>
  <w:style w:type="paragraph" w:customStyle="1" w:styleId="774">
    <w:name w:val="Char Char Char Char Char Char1 Char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775">
    <w:name w:val="Char3 Char Char Char1"/>
    <w:basedOn w:val="1"/>
    <w:qFormat/>
    <w:uiPriority w:val="6"/>
    <w:pPr>
      <w:widowControl/>
      <w:spacing w:after="160" w:line="240" w:lineRule="exact"/>
      <w:jc w:val="left"/>
    </w:pPr>
    <w:rPr>
      <w:rFonts w:ascii="Times New Roman" w:hAnsi="Times New Roman" w:eastAsia="宋体" w:cs="Times New Roman"/>
      <w:szCs w:val="20"/>
    </w:rPr>
  </w:style>
  <w:style w:type="paragraph" w:customStyle="1" w:styleId="776">
    <w:name w:val="Char Char Char Char Char Char Char Char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777">
    <w:name w:val="Char2 Char Char Char1"/>
    <w:basedOn w:val="1"/>
    <w:qFormat/>
    <w:uiPriority w:val="6"/>
    <w:pPr>
      <w:adjustRightInd w:val="0"/>
    </w:pPr>
    <w:rPr>
      <w:rFonts w:ascii="仿宋_GB2312" w:hAnsi="Times New Roman" w:eastAsia="仿宋_GB2312" w:cs="Times New Roman"/>
      <w:b/>
      <w:sz w:val="32"/>
      <w:szCs w:val="32"/>
    </w:rPr>
  </w:style>
  <w:style w:type="paragraph" w:customStyle="1" w:styleId="778">
    <w:name w:val="xl72"/>
    <w:basedOn w:val="1"/>
    <w:qFormat/>
    <w:uiPriority w:val="0"/>
    <w:pPr>
      <w:widowControl/>
      <w:spacing w:before="100" w:beforeAutospacing="1" w:after="100" w:afterAutospacing="1"/>
      <w:jc w:val="center"/>
    </w:pPr>
    <w:rPr>
      <w:rFonts w:ascii="微软雅黑" w:hAnsi="微软雅黑" w:eastAsia="微软雅黑" w:cs="宋体"/>
      <w:kern w:val="0"/>
      <w:sz w:val="20"/>
      <w:szCs w:val="20"/>
    </w:rPr>
  </w:style>
  <w:style w:type="paragraph" w:customStyle="1" w:styleId="779">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78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81">
    <w:name w:val="Char Char11 Char Char Char Char Char Char Char Char Char Char Char Char Char2"/>
    <w:basedOn w:val="1"/>
    <w:qFormat/>
    <w:uiPriority w:val="0"/>
    <w:pPr>
      <w:spacing w:line="360" w:lineRule="auto"/>
    </w:pPr>
    <w:rPr>
      <w:rFonts w:ascii="Arial" w:hAnsi="Arial" w:eastAsia="黑体" w:cs="Times New Roman"/>
      <w:snapToGrid w:val="0"/>
      <w:kern w:val="0"/>
      <w:sz w:val="20"/>
      <w:szCs w:val="21"/>
    </w:rPr>
  </w:style>
  <w:style w:type="character" w:customStyle="1" w:styleId="782">
    <w:name w:val="正文样式 Char"/>
    <w:link w:val="783"/>
    <w:qFormat/>
    <w:uiPriority w:val="0"/>
    <w:rPr>
      <w:rFonts w:ascii="Calibri" w:hAnsi="Calibri"/>
      <w:sz w:val="24"/>
      <w:szCs w:val="24"/>
    </w:rPr>
  </w:style>
  <w:style w:type="paragraph" w:customStyle="1" w:styleId="783">
    <w:name w:val="正文样式"/>
    <w:basedOn w:val="1"/>
    <w:link w:val="782"/>
    <w:qFormat/>
    <w:uiPriority w:val="0"/>
    <w:pPr>
      <w:spacing w:line="360" w:lineRule="auto"/>
      <w:ind w:firstLine="480" w:firstLineChars="200"/>
    </w:pPr>
    <w:rPr>
      <w:rFonts w:ascii="Calibri" w:hAnsi="Calibri"/>
      <w:sz w:val="24"/>
      <w:szCs w:val="24"/>
    </w:rPr>
  </w:style>
  <w:style w:type="character" w:customStyle="1" w:styleId="784">
    <w:name w:val="公文正文 Char Char"/>
    <w:link w:val="385"/>
    <w:qFormat/>
    <w:uiPriority w:val="0"/>
    <w:rPr>
      <w:rFonts w:ascii="仿宋_GB2312" w:hAnsi="Times New Roman" w:eastAsia="仿宋_GB2312" w:cs="Times New Roman"/>
      <w:sz w:val="24"/>
      <w:szCs w:val="24"/>
      <w:lang w:val="zh-CN"/>
    </w:rPr>
  </w:style>
  <w:style w:type="character" w:customStyle="1" w:styleId="785">
    <w:name w:val="题注 Char"/>
    <w:link w:val="17"/>
    <w:qFormat/>
    <w:uiPriority w:val="0"/>
    <w:rPr>
      <w:rFonts w:ascii="Times New Roman" w:hAnsi="Times New Roman" w:eastAsia="宋体" w:cs="Times New Roman"/>
      <w:b/>
      <w:sz w:val="28"/>
      <w:szCs w:val="20"/>
      <w:lang w:val="zh-CN"/>
    </w:rPr>
  </w:style>
  <w:style w:type="character" w:customStyle="1" w:styleId="786">
    <w:name w:val="表正文 Char3"/>
    <w:qFormat/>
    <w:uiPriority w:val="0"/>
    <w:rPr>
      <w:rFonts w:eastAsia="宋体"/>
    </w:rPr>
  </w:style>
  <w:style w:type="character" w:customStyle="1" w:styleId="787">
    <w:name w:val="gf正文1 Char Char"/>
    <w:link w:val="623"/>
    <w:qFormat/>
    <w:uiPriority w:val="0"/>
    <w:rPr>
      <w:rFonts w:ascii="宋体" w:hAnsi="宋体" w:eastAsia="宋体" w:cs="Times New Roman"/>
      <w:sz w:val="24"/>
      <w:szCs w:val="24"/>
      <w:lang w:val="zh-CN"/>
    </w:rPr>
  </w:style>
  <w:style w:type="character" w:customStyle="1" w:styleId="788">
    <w:name w:val="h Char1"/>
    <w:qFormat/>
    <w:uiPriority w:val="0"/>
    <w:rPr>
      <w:sz w:val="18"/>
      <w:szCs w:val="18"/>
    </w:rPr>
  </w:style>
  <w:style w:type="character" w:customStyle="1" w:styleId="789">
    <w:name w:val="Char Char161"/>
    <w:qFormat/>
    <w:uiPriority w:val="0"/>
    <w:rPr>
      <w:rFonts w:eastAsia="宋体"/>
      <w:b/>
      <w:kern w:val="2"/>
      <w:sz w:val="32"/>
      <w:lang w:val="en-US" w:eastAsia="zh-CN"/>
    </w:rPr>
  </w:style>
  <w:style w:type="character" w:customStyle="1" w:styleId="790">
    <w:name w:val="编号，小四 Char"/>
    <w:link w:val="791"/>
    <w:qFormat/>
    <w:uiPriority w:val="0"/>
    <w:rPr>
      <w:rFonts w:ascii="Arial" w:hAnsi="Arial"/>
      <w:sz w:val="24"/>
    </w:rPr>
  </w:style>
  <w:style w:type="paragraph" w:customStyle="1" w:styleId="791">
    <w:name w:val="编号，小四"/>
    <w:basedOn w:val="1"/>
    <w:link w:val="790"/>
    <w:qFormat/>
    <w:uiPriority w:val="0"/>
    <w:pPr>
      <w:tabs>
        <w:tab w:val="left" w:pos="432"/>
      </w:tabs>
      <w:spacing w:line="360" w:lineRule="auto"/>
      <w:ind w:left="432" w:hanging="432"/>
    </w:pPr>
    <w:rPr>
      <w:rFonts w:ascii="Arial" w:hAnsi="Arial"/>
      <w:sz w:val="24"/>
    </w:rPr>
  </w:style>
  <w:style w:type="character" w:customStyle="1" w:styleId="792">
    <w:name w:val="段落 Char Char"/>
    <w:link w:val="793"/>
    <w:qFormat/>
    <w:uiPriority w:val="0"/>
    <w:rPr>
      <w:rFonts w:ascii="宋体" w:hAnsi="宋体"/>
      <w:sz w:val="24"/>
    </w:rPr>
  </w:style>
  <w:style w:type="paragraph" w:customStyle="1" w:styleId="793">
    <w:name w:val="段落"/>
    <w:basedOn w:val="1"/>
    <w:link w:val="792"/>
    <w:qFormat/>
    <w:uiPriority w:val="0"/>
    <w:pPr>
      <w:spacing w:line="360" w:lineRule="auto"/>
      <w:ind w:firstLine="480" w:firstLineChars="200"/>
    </w:pPr>
    <w:rPr>
      <w:rFonts w:ascii="宋体" w:hAnsi="宋体"/>
      <w:sz w:val="24"/>
    </w:rPr>
  </w:style>
  <w:style w:type="character" w:customStyle="1" w:styleId="794">
    <w:name w:val="maywed421"/>
    <w:qFormat/>
    <w:uiPriority w:val="0"/>
    <w:rPr>
      <w:color w:val="366FB6"/>
      <w:u w:val="none"/>
    </w:rPr>
  </w:style>
  <w:style w:type="character" w:customStyle="1" w:styleId="795">
    <w:name w:val="哈哈正文 Char Char"/>
    <w:qFormat/>
    <w:uiPriority w:val="0"/>
    <w:rPr>
      <w:rFonts w:ascii="宋体" w:hAnsi="宋体" w:eastAsia="宋体" w:cs="宋体"/>
      <w:kern w:val="2"/>
      <w:sz w:val="24"/>
      <w:lang w:val="en-US" w:eastAsia="zh-CN" w:bidi="ar-SA"/>
    </w:rPr>
  </w:style>
  <w:style w:type="character" w:customStyle="1" w:styleId="796">
    <w:name w:val="font11"/>
    <w:qFormat/>
    <w:uiPriority w:val="0"/>
    <w:rPr>
      <w:rFonts w:hint="default" w:ascii="Times New Roman" w:hAnsi="Times New Roman" w:cs="Times New Roman"/>
      <w:color w:val="000000"/>
      <w:sz w:val="22"/>
      <w:szCs w:val="22"/>
      <w:u w:val="none"/>
    </w:rPr>
  </w:style>
  <w:style w:type="character" w:customStyle="1" w:styleId="797">
    <w:name w:val="font41"/>
    <w:qFormat/>
    <w:uiPriority w:val="0"/>
    <w:rPr>
      <w:rFonts w:hint="eastAsia" w:ascii="仿宋_GB2312" w:eastAsia="仿宋_GB2312" w:cs="仿宋_GB2312"/>
      <w:color w:val="000000"/>
      <w:sz w:val="22"/>
      <w:szCs w:val="22"/>
      <w:u w:val="none"/>
    </w:rPr>
  </w:style>
  <w:style w:type="character" w:customStyle="1" w:styleId="798">
    <w:name w:val="5正文 Char"/>
    <w:link w:val="799"/>
    <w:qFormat/>
    <w:uiPriority w:val="0"/>
    <w:rPr>
      <w:rFonts w:ascii="仿宋_GB2312" w:hAnsi="微软雅黑" w:eastAsia="仿宋_GB2312"/>
      <w:sz w:val="28"/>
      <w:szCs w:val="21"/>
    </w:rPr>
  </w:style>
  <w:style w:type="paragraph" w:customStyle="1" w:styleId="799">
    <w:name w:val="5正文"/>
    <w:basedOn w:val="1"/>
    <w:link w:val="798"/>
    <w:qFormat/>
    <w:uiPriority w:val="0"/>
    <w:pPr>
      <w:spacing w:line="360" w:lineRule="auto"/>
      <w:ind w:firstLine="566" w:firstLineChars="202"/>
      <w:jc w:val="left"/>
    </w:pPr>
    <w:rPr>
      <w:rFonts w:ascii="仿宋_GB2312" w:hAnsi="微软雅黑" w:eastAsia="仿宋_GB2312"/>
      <w:sz w:val="28"/>
      <w:szCs w:val="21"/>
    </w:rPr>
  </w:style>
  <w:style w:type="character" w:customStyle="1" w:styleId="800">
    <w:name w:val="正文缩进 字符"/>
    <w:qFormat/>
    <w:uiPriority w:val="0"/>
    <w:rPr>
      <w:rFonts w:ascii="宋体" w:eastAsia="宋体"/>
      <w:snapToGrid w:val="0"/>
      <w:color w:val="000000"/>
      <w:kern w:val="28"/>
      <w:sz w:val="28"/>
      <w:lang w:val="en-US" w:eastAsia="zh-CN" w:bidi="ar-SA"/>
    </w:rPr>
  </w:style>
  <w:style w:type="character" w:customStyle="1" w:styleId="801">
    <w:name w:val="U_正文 Char"/>
    <w:link w:val="802"/>
    <w:qFormat/>
    <w:uiPriority w:val="0"/>
    <w:rPr>
      <w:sz w:val="24"/>
      <w:szCs w:val="24"/>
    </w:rPr>
  </w:style>
  <w:style w:type="paragraph" w:customStyle="1" w:styleId="802">
    <w:name w:val="U_正文"/>
    <w:basedOn w:val="1"/>
    <w:link w:val="801"/>
    <w:qFormat/>
    <w:uiPriority w:val="0"/>
    <w:pPr>
      <w:spacing w:beforeLines="20" w:afterLines="20" w:line="300" w:lineRule="auto"/>
      <w:ind w:firstLine="200" w:firstLineChars="200"/>
    </w:pPr>
    <w:rPr>
      <w:sz w:val="24"/>
      <w:szCs w:val="24"/>
    </w:rPr>
  </w:style>
  <w:style w:type="paragraph" w:customStyle="1" w:styleId="803">
    <w:name w:val="标题2"/>
    <w:basedOn w:val="4"/>
    <w:next w:val="1"/>
    <w:qFormat/>
    <w:uiPriority w:val="0"/>
    <w:pPr>
      <w:numPr>
        <w:numId w:val="0"/>
      </w:numPr>
      <w:tabs>
        <w:tab w:val="left" w:pos="578"/>
        <w:tab w:val="left" w:pos="900"/>
        <w:tab w:val="left" w:pos="1440"/>
      </w:tabs>
      <w:ind w:left="1440" w:hanging="360"/>
    </w:pPr>
    <w:rPr>
      <w:rFonts w:ascii="仿宋" w:eastAsia="仿宋" w:cs="宋体"/>
      <w:bCs w:val="0"/>
      <w:szCs w:val="28"/>
    </w:rPr>
  </w:style>
  <w:style w:type="paragraph" w:customStyle="1" w:styleId="804">
    <w:name w:val="_Style 8"/>
    <w:basedOn w:val="1"/>
    <w:qFormat/>
    <w:uiPriority w:val="34"/>
    <w:pPr>
      <w:ind w:firstLine="420" w:firstLineChars="200"/>
    </w:pPr>
    <w:rPr>
      <w:rFonts w:ascii="Times New Roman" w:hAnsi="Times New Roman" w:eastAsia="仿宋_GB2312" w:cs="Times New Roman"/>
      <w:sz w:val="28"/>
      <w:szCs w:val="24"/>
    </w:rPr>
  </w:style>
  <w:style w:type="paragraph" w:customStyle="1" w:styleId="805">
    <w:name w:val="GP正文(首行缩进)"/>
    <w:basedOn w:val="1"/>
    <w:qFormat/>
    <w:uiPriority w:val="0"/>
    <w:pPr>
      <w:spacing w:line="360" w:lineRule="auto"/>
      <w:ind w:firstLine="200" w:firstLineChars="200"/>
    </w:pPr>
    <w:rPr>
      <w:rFonts w:ascii="Times New Roman" w:hAnsi="Times New Roman" w:eastAsia="仿宋_GB2312" w:cs="Times New Roman"/>
      <w:sz w:val="28"/>
      <w:szCs w:val="21"/>
    </w:rPr>
  </w:style>
  <w:style w:type="paragraph" w:customStyle="1" w:styleId="80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07">
    <w:name w:val="批注框文本 Char Char"/>
    <w:basedOn w:val="1"/>
    <w:qFormat/>
    <w:uiPriority w:val="0"/>
    <w:rPr>
      <w:rFonts w:ascii="Times New Roman" w:hAnsi="Times New Roman" w:eastAsia="宋体" w:cs="Times New Roman"/>
      <w:sz w:val="18"/>
      <w:szCs w:val="20"/>
    </w:rPr>
  </w:style>
  <w:style w:type="paragraph" w:customStyle="1" w:styleId="808">
    <w:name w:val="_Style 11"/>
    <w:basedOn w:val="1"/>
    <w:qFormat/>
    <w:uiPriority w:val="34"/>
    <w:pPr>
      <w:ind w:firstLine="420" w:firstLineChars="200"/>
    </w:pPr>
    <w:rPr>
      <w:rFonts w:ascii="Times New Roman" w:hAnsi="Times New Roman" w:eastAsia="仿宋_GB2312" w:cs="Times New Roman"/>
      <w:sz w:val="28"/>
      <w:szCs w:val="24"/>
    </w:rPr>
  </w:style>
  <w:style w:type="paragraph" w:customStyle="1" w:styleId="809">
    <w:name w:val="大汉方案正文"/>
    <w:basedOn w:val="1"/>
    <w:qFormat/>
    <w:uiPriority w:val="0"/>
    <w:pPr>
      <w:spacing w:line="360" w:lineRule="auto"/>
      <w:ind w:firstLine="200" w:firstLineChars="200"/>
    </w:pPr>
    <w:rPr>
      <w:rFonts w:ascii="Arial" w:hAnsi="Arial" w:eastAsia="宋体" w:cs="Times New Roman"/>
      <w:sz w:val="24"/>
      <w:szCs w:val="20"/>
    </w:rPr>
  </w:style>
  <w:style w:type="paragraph" w:customStyle="1" w:styleId="810">
    <w:name w:val="标题3"/>
    <w:basedOn w:val="5"/>
    <w:next w:val="51"/>
    <w:qFormat/>
    <w:uiPriority w:val="0"/>
    <w:pPr>
      <w:tabs>
        <w:tab w:val="clear" w:pos="900"/>
      </w:tabs>
      <w:spacing w:after="0" w:line="360" w:lineRule="auto"/>
    </w:pPr>
    <w:rPr>
      <w:rFonts w:ascii="仿宋" w:hAnsi="仿宋" w:eastAsia="仿宋" w:cs="仿宋"/>
    </w:rPr>
  </w:style>
  <w:style w:type="paragraph" w:customStyle="1" w:styleId="811">
    <w:name w:val="_正文段落"/>
    <w:basedOn w:val="1"/>
    <w:qFormat/>
    <w:uiPriority w:val="0"/>
    <w:pPr>
      <w:ind w:firstLine="560"/>
    </w:pPr>
    <w:rPr>
      <w:rFonts w:ascii="仿宋_GB2312" w:hAnsi="仿宋" w:eastAsia="仿宋_GB2312" w:cs="Times New Roman"/>
      <w:kern w:val="0"/>
      <w:sz w:val="28"/>
      <w:szCs w:val="28"/>
    </w:rPr>
  </w:style>
  <w:style w:type="paragraph" w:customStyle="1" w:styleId="812">
    <w:name w:val="样式 样式 宋体 小四 段前: 7.8 磅 段后: 7.8 磅 行距: 1.5 倍行距 + 小二 首行缩进:  2 字符"/>
    <w:basedOn w:val="1"/>
    <w:qFormat/>
    <w:uiPriority w:val="0"/>
    <w:pPr>
      <w:spacing w:line="360" w:lineRule="auto"/>
      <w:ind w:firstLine="480" w:firstLineChars="200"/>
    </w:pPr>
    <w:rPr>
      <w:rFonts w:ascii="宋体" w:hAnsi="宋体" w:eastAsia="宋体" w:cs="宋体"/>
      <w:sz w:val="24"/>
      <w:szCs w:val="20"/>
    </w:rPr>
  </w:style>
  <w:style w:type="paragraph" w:customStyle="1" w:styleId="813">
    <w:name w:val="_Style 5"/>
    <w:basedOn w:val="1"/>
    <w:qFormat/>
    <w:uiPriority w:val="34"/>
    <w:pPr>
      <w:ind w:firstLine="420" w:firstLineChars="200"/>
    </w:pPr>
    <w:rPr>
      <w:rFonts w:ascii="Times New Roman" w:hAnsi="Times New Roman" w:eastAsia="仿宋_GB2312" w:cs="Times New Roman"/>
      <w:sz w:val="28"/>
      <w:szCs w:val="24"/>
    </w:rPr>
  </w:style>
  <w:style w:type="paragraph" w:customStyle="1" w:styleId="814">
    <w:name w:val="_Style 3"/>
    <w:basedOn w:val="1"/>
    <w:qFormat/>
    <w:uiPriority w:val="34"/>
    <w:pPr>
      <w:ind w:firstLine="420" w:firstLineChars="200"/>
    </w:pPr>
    <w:rPr>
      <w:rFonts w:ascii="Times New Roman" w:hAnsi="Times New Roman" w:eastAsia="仿宋_GB2312" w:cs="Times New Roman"/>
      <w:sz w:val="28"/>
      <w:szCs w:val="24"/>
    </w:rPr>
  </w:style>
  <w:style w:type="paragraph" w:customStyle="1" w:styleId="815">
    <w:name w:val="_Style 6"/>
    <w:basedOn w:val="1"/>
    <w:qFormat/>
    <w:uiPriority w:val="34"/>
    <w:pPr>
      <w:ind w:firstLine="420" w:firstLineChars="200"/>
    </w:pPr>
    <w:rPr>
      <w:rFonts w:ascii="Times New Roman" w:hAnsi="Times New Roman" w:eastAsia="仿宋_GB2312" w:cs="Times New Roman"/>
      <w:sz w:val="28"/>
      <w:szCs w:val="24"/>
    </w:rPr>
  </w:style>
  <w:style w:type="paragraph" w:customStyle="1" w:styleId="816">
    <w:name w:val="_Style 1"/>
    <w:basedOn w:val="1"/>
    <w:qFormat/>
    <w:uiPriority w:val="34"/>
    <w:pPr>
      <w:ind w:firstLine="420" w:firstLineChars="200"/>
    </w:pPr>
    <w:rPr>
      <w:rFonts w:ascii="Times New Roman" w:hAnsi="Times New Roman" w:eastAsia="仿宋_GB2312" w:cs="Times New Roman"/>
      <w:sz w:val="28"/>
      <w:szCs w:val="24"/>
    </w:rPr>
  </w:style>
  <w:style w:type="paragraph" w:customStyle="1" w:styleId="817">
    <w:name w:val="样式 标题 2 + 四号"/>
    <w:basedOn w:val="4"/>
    <w:qFormat/>
    <w:uiPriority w:val="0"/>
    <w:pPr>
      <w:numPr>
        <w:numId w:val="0"/>
      </w:numPr>
      <w:spacing w:before="120" w:after="120"/>
      <w:jc w:val="both"/>
    </w:pPr>
    <w:rPr>
      <w:rFonts w:ascii="宋体" w:hAnsi="Arial" w:eastAsia="宋体"/>
      <w:sz w:val="28"/>
      <w:lang w:val="en-US"/>
    </w:rPr>
  </w:style>
  <w:style w:type="paragraph" w:customStyle="1" w:styleId="818">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819">
    <w:name w:val="样式 首行缩进:  0 字符"/>
    <w:basedOn w:val="1"/>
    <w:qFormat/>
    <w:uiPriority w:val="0"/>
    <w:pPr>
      <w:spacing w:line="360" w:lineRule="auto"/>
      <w:ind w:firstLine="200" w:firstLineChars="200"/>
    </w:pPr>
    <w:rPr>
      <w:rFonts w:ascii="Arial" w:hAnsi="Arial" w:eastAsia="宋体" w:cs="宋体"/>
      <w:sz w:val="24"/>
      <w:szCs w:val="20"/>
    </w:rPr>
  </w:style>
  <w:style w:type="paragraph" w:customStyle="1" w:styleId="820">
    <w:name w:val="正文1.25"/>
    <w:basedOn w:val="1"/>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821">
    <w:name w:val="U_编号2"/>
    <w:basedOn w:val="1"/>
    <w:qFormat/>
    <w:uiPriority w:val="0"/>
    <w:pPr>
      <w:tabs>
        <w:tab w:val="left" w:pos="785"/>
      </w:tabs>
      <w:spacing w:beforeLines="10" w:afterLines="10" w:line="300" w:lineRule="auto"/>
    </w:pPr>
    <w:rPr>
      <w:rFonts w:ascii="Times New Roman" w:hAnsi="Times New Roman" w:eastAsia="宋体" w:cs="Times New Roman"/>
      <w:sz w:val="24"/>
      <w:szCs w:val="24"/>
    </w:rPr>
  </w:style>
  <w:style w:type="paragraph" w:customStyle="1" w:styleId="822">
    <w:name w:val="列表1"/>
    <w:basedOn w:val="1"/>
    <w:next w:val="531"/>
    <w:link w:val="829"/>
    <w:qFormat/>
    <w:uiPriority w:val="0"/>
    <w:pPr>
      <w:widowControl/>
      <w:spacing w:after="200" w:line="360" w:lineRule="auto"/>
      <w:ind w:left="720" w:firstLine="200" w:firstLineChars="200"/>
      <w:jc w:val="left"/>
    </w:pPr>
    <w:rPr>
      <w:rFonts w:ascii="Calibri" w:hAnsi="Calibri" w:eastAsia="宋体" w:cs="Times New Roman"/>
      <w:kern w:val="0"/>
      <w:sz w:val="24"/>
      <w:szCs w:val="20"/>
      <w:lang w:val="zh-CN" w:eastAsia="en-US"/>
    </w:rPr>
  </w:style>
  <w:style w:type="character" w:customStyle="1" w:styleId="823">
    <w:name w:val="正文首行缩进 Char Char Char Char Char Char1"/>
    <w:qFormat/>
    <w:uiPriority w:val="0"/>
    <w:rPr>
      <w:rFonts w:ascii="宋体" w:eastAsia="宋体"/>
      <w:kern w:val="2"/>
      <w:sz w:val="24"/>
      <w:szCs w:val="24"/>
      <w:lang w:val="zh-CN" w:bidi="ar-SA"/>
    </w:rPr>
  </w:style>
  <w:style w:type="character" w:customStyle="1" w:styleId="824">
    <w:name w:val="正文首行缩进 Char Char Char Char Char"/>
    <w:qFormat/>
    <w:uiPriority w:val="0"/>
    <w:rPr>
      <w:rFonts w:ascii="宋体"/>
      <w:kern w:val="2"/>
      <w:sz w:val="24"/>
      <w:lang w:val="zh-CN"/>
    </w:rPr>
  </w:style>
  <w:style w:type="character" w:customStyle="1" w:styleId="825">
    <w:name w:val="Used by Word for text of Help footnotes Char Char1"/>
    <w:qFormat/>
    <w:uiPriority w:val="0"/>
    <w:rPr>
      <w:color w:val="0000FF"/>
      <w:sz w:val="21"/>
    </w:rPr>
  </w:style>
  <w:style w:type="character" w:customStyle="1" w:styleId="826">
    <w:name w:val="H5 Char"/>
    <w:qFormat/>
    <w:uiPriority w:val="0"/>
    <w:rPr>
      <w:b/>
      <w:bCs/>
      <w:kern w:val="2"/>
      <w:sz w:val="28"/>
      <w:szCs w:val="28"/>
    </w:rPr>
  </w:style>
  <w:style w:type="character" w:customStyle="1" w:styleId="827">
    <w:name w:val="正文缩进 Char3"/>
    <w:qFormat/>
    <w:uiPriority w:val="0"/>
    <w:rPr>
      <w:rFonts w:ascii="宋体" w:eastAsia="宋体"/>
      <w:snapToGrid w:val="0"/>
      <w:color w:val="000000"/>
      <w:kern w:val="28"/>
      <w:sz w:val="28"/>
      <w:lang w:val="en-US" w:eastAsia="zh-CN" w:bidi="ar-SA"/>
    </w:rPr>
  </w:style>
  <w:style w:type="character" w:customStyle="1" w:styleId="828">
    <w:name w:val="表名 Char"/>
    <w:qFormat/>
    <w:uiPriority w:val="0"/>
    <w:rPr>
      <w:rFonts w:eastAsia="宋体"/>
      <w:b/>
      <w:bCs/>
      <w:kern w:val="2"/>
      <w:sz w:val="24"/>
      <w:szCs w:val="24"/>
      <w:lang w:val="en-US" w:eastAsia="zh-CN" w:bidi="ar-SA"/>
    </w:rPr>
  </w:style>
  <w:style w:type="character" w:customStyle="1" w:styleId="829">
    <w:name w:val="列出段落 Char1"/>
    <w:link w:val="822"/>
    <w:qFormat/>
    <w:uiPriority w:val="0"/>
    <w:rPr>
      <w:rFonts w:ascii="Calibri" w:hAnsi="Calibri" w:eastAsia="宋体" w:cs="Times New Roman"/>
      <w:kern w:val="0"/>
      <w:sz w:val="24"/>
      <w:szCs w:val="20"/>
      <w:lang w:val="zh-CN" w:eastAsia="en-US"/>
    </w:rPr>
  </w:style>
  <w:style w:type="character" w:customStyle="1" w:styleId="830">
    <w:name w:val="图名 Char"/>
    <w:qFormat/>
    <w:uiPriority w:val="0"/>
    <w:rPr>
      <w:rFonts w:ascii="Arial" w:hAnsi="Arial" w:eastAsia="黑体"/>
      <w:kern w:val="2"/>
      <w:sz w:val="24"/>
      <w:szCs w:val="24"/>
      <w:lang w:val="en-US" w:eastAsia="zh-CN" w:bidi="ar-SA"/>
    </w:rPr>
  </w:style>
  <w:style w:type="character" w:customStyle="1" w:styleId="831">
    <w:name w:val="PI Char1"/>
    <w:qFormat/>
    <w:uiPriority w:val="0"/>
    <w:rPr>
      <w:rFonts w:ascii="宋体" w:hAnsi="宋体"/>
      <w:kern w:val="2"/>
      <w:sz w:val="24"/>
      <w:szCs w:val="24"/>
    </w:rPr>
  </w:style>
  <w:style w:type="character" w:customStyle="1" w:styleId="832">
    <w:name w:val="H6 Char"/>
    <w:qFormat/>
    <w:uiPriority w:val="0"/>
    <w:rPr>
      <w:rFonts w:ascii="Arial" w:hAnsi="Arial" w:eastAsia="黑体"/>
      <w:b/>
      <w:bCs/>
      <w:kern w:val="2"/>
      <w:sz w:val="24"/>
      <w:szCs w:val="24"/>
    </w:rPr>
  </w:style>
  <w:style w:type="character" w:customStyle="1" w:styleId="833">
    <w:name w:val="Default Char"/>
    <w:link w:val="78"/>
    <w:qFormat/>
    <w:uiPriority w:val="0"/>
    <w:rPr>
      <w:rFonts w:ascii="仿宋_GB2312" w:hAnsi="Times New Roman" w:eastAsia="仿宋_GB2312" w:cs="Times New Roman"/>
      <w:color w:val="000000"/>
      <w:kern w:val="0"/>
      <w:sz w:val="24"/>
      <w:szCs w:val="24"/>
    </w:rPr>
  </w:style>
  <w:style w:type="character" w:customStyle="1" w:styleId="834">
    <w:name w:val="标书1 Char1"/>
    <w:qFormat/>
    <w:uiPriority w:val="0"/>
    <w:rPr>
      <w:rFonts w:eastAsia="宋体"/>
      <w:b/>
      <w:bCs/>
      <w:kern w:val="44"/>
      <w:sz w:val="44"/>
      <w:szCs w:val="44"/>
      <w:lang w:val="en-US" w:eastAsia="zh-CN" w:bidi="ar-SA"/>
    </w:rPr>
  </w:style>
  <w:style w:type="character" w:customStyle="1" w:styleId="835">
    <w:name w:val="h4 Char"/>
    <w:qFormat/>
    <w:uiPriority w:val="0"/>
    <w:rPr>
      <w:rFonts w:ascii="Arial" w:hAnsi="Arial" w:eastAsia="黑体"/>
      <w:b/>
      <w:bCs/>
      <w:kern w:val="2"/>
      <w:sz w:val="28"/>
      <w:szCs w:val="28"/>
      <w:lang w:val="zh-CN" w:eastAsia="zh-CN" w:bidi="ar-SA"/>
    </w:rPr>
  </w:style>
  <w:style w:type="character" w:customStyle="1" w:styleId="8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837">
    <w:name w:val="未用 Char"/>
    <w:qFormat/>
    <w:uiPriority w:val="0"/>
    <w:rPr>
      <w:rFonts w:ascii="Arial" w:hAnsi="Arial" w:eastAsia="黑体"/>
      <w:kern w:val="2"/>
      <w:sz w:val="21"/>
      <w:szCs w:val="21"/>
      <w:lang w:val="en-US" w:eastAsia="zh-CN" w:bidi="ar-SA"/>
    </w:rPr>
  </w:style>
  <w:style w:type="character" w:customStyle="1" w:styleId="838">
    <w:name w:val="正文文字缩进 2 Char Char"/>
    <w:qFormat/>
    <w:uiPriority w:val="0"/>
    <w:rPr>
      <w:rFonts w:ascii="宋体"/>
      <w:sz w:val="28"/>
    </w:rPr>
  </w:style>
  <w:style w:type="paragraph" w:customStyle="1" w:styleId="83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840">
    <w:name w:val="Char Char Char 字元 字元"/>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841">
    <w:name w:val="五级无标题条"/>
    <w:basedOn w:val="1"/>
    <w:qFormat/>
    <w:uiPriority w:val="0"/>
    <w:rPr>
      <w:rFonts w:ascii="Times New Roman" w:hAnsi="Times New Roman" w:eastAsia="宋体" w:cs="Times New Roman"/>
      <w:szCs w:val="24"/>
    </w:rPr>
  </w:style>
  <w:style w:type="paragraph" w:customStyle="1" w:styleId="842">
    <w:name w:val="样式9"/>
    <w:basedOn w:val="1"/>
    <w:qFormat/>
    <w:uiPriority w:val="0"/>
    <w:pPr>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4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44">
    <w:name w:val="中文标题 3"/>
    <w:basedOn w:val="2"/>
    <w:qFormat/>
    <w:uiPriority w:val="0"/>
    <w:pPr>
      <w:adjustRightInd/>
      <w:spacing w:before="100" w:beforeAutospacing="1" w:after="100" w:afterAutospacing="1" w:line="360" w:lineRule="auto"/>
      <w:ind w:left="0" w:leftChars="0" w:firstLine="482"/>
    </w:pPr>
    <w:rPr>
      <w:rFonts w:eastAsia="楷体_GB2312"/>
      <w:kern w:val="28"/>
      <w:sz w:val="24"/>
      <w:lang w:val="zh-CN"/>
    </w:rPr>
  </w:style>
  <w:style w:type="paragraph" w:customStyle="1" w:styleId="845">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846">
    <w:name w:val="方案正文无缩进"/>
    <w:qFormat/>
    <w:uiPriority w:val="0"/>
    <w:pPr>
      <w:spacing w:line="360" w:lineRule="auto"/>
    </w:pPr>
    <w:rPr>
      <w:rFonts w:ascii="Calibri" w:hAnsi="Calibri" w:eastAsia="宋体" w:cs="Times New Roman"/>
      <w:kern w:val="2"/>
      <w:sz w:val="24"/>
      <w:szCs w:val="24"/>
      <w:lang w:val="en-US" w:eastAsia="zh-CN" w:bidi="ar-SA"/>
    </w:rPr>
  </w:style>
  <w:style w:type="paragraph" w:customStyle="1" w:styleId="847">
    <w:name w:val="表格非标题文字"/>
    <w:link w:val="84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8">
    <w:name w:val="表格非标题文字 Char"/>
    <w:link w:val="847"/>
    <w:qFormat/>
    <w:uiPriority w:val="0"/>
    <w:rPr>
      <w:rFonts w:ascii="Futura Bk" w:hAnsi="Futura Bk" w:eastAsia="宋体" w:cs="Times New Roman"/>
      <w:sz w:val="18"/>
      <w:szCs w:val="21"/>
    </w:rPr>
  </w:style>
  <w:style w:type="character" w:customStyle="1" w:styleId="849">
    <w:name w:val="Table Text Char"/>
    <w:link w:val="528"/>
    <w:qFormat/>
    <w:uiPriority w:val="0"/>
    <w:rPr>
      <w:rFonts w:ascii="Times New Roman" w:hAnsi="Times New Roman" w:eastAsia="宋体" w:cs="Times New Roman"/>
      <w:kern w:val="0"/>
      <w:sz w:val="24"/>
      <w:szCs w:val="24"/>
      <w:lang w:val="zh-CN"/>
    </w:rPr>
  </w:style>
  <w:style w:type="character" w:customStyle="1" w:styleId="850">
    <w:name w:val="页眉 字符"/>
    <w:qFormat/>
    <w:uiPriority w:val="99"/>
    <w:rPr>
      <w:kern w:val="2"/>
      <w:sz w:val="18"/>
      <w:szCs w:val="18"/>
    </w:rPr>
  </w:style>
  <w:style w:type="character" w:customStyle="1" w:styleId="851">
    <w:name w:val="页脚 字符"/>
    <w:qFormat/>
    <w:uiPriority w:val="99"/>
    <w:rPr>
      <w:kern w:val="2"/>
      <w:sz w:val="18"/>
      <w:szCs w:val="18"/>
    </w:rPr>
  </w:style>
  <w:style w:type="character" w:customStyle="1" w:styleId="852">
    <w:name w:val="列表段落 字符"/>
    <w:qFormat/>
    <w:uiPriority w:val="34"/>
  </w:style>
  <w:style w:type="paragraph" w:customStyle="1" w:styleId="853">
    <w:name w:val="列表段落1"/>
    <w:basedOn w:val="1"/>
    <w:qFormat/>
    <w:uiPriority w:val="34"/>
    <w:pPr>
      <w:ind w:right="238" w:firstLine="420"/>
    </w:pPr>
    <w:rPr>
      <w:rFonts w:ascii="Calibri" w:hAnsi="Calibri" w:eastAsia="宋体" w:cs="Times New Roman"/>
      <w:sz w:val="24"/>
      <w:szCs w:val="24"/>
    </w:rPr>
  </w:style>
  <w:style w:type="character" w:customStyle="1" w:styleId="854">
    <w:name w:val="标题 2 字符"/>
    <w:qFormat/>
    <w:uiPriority w:val="9"/>
    <w:rPr>
      <w:rFonts w:ascii="仿宋_GB2312" w:hAnsi="Times New Roman" w:eastAsia="仿宋_GB2312" w:cs="Times New Roman"/>
      <w:b/>
      <w:kern w:val="2"/>
      <w:sz w:val="24"/>
      <w:lang w:val="zh-CN"/>
    </w:rPr>
  </w:style>
  <w:style w:type="paragraph" w:customStyle="1" w:styleId="855">
    <w:name w:val="样式 标题 3h33rd level3BOD 0H3l3CTHeading 3 - oldLevel 3 He..."/>
    <w:basedOn w:val="5"/>
    <w:qFormat/>
    <w:uiPriority w:val="99"/>
    <w:pPr>
      <w:keepLines w:val="0"/>
      <w:widowControl/>
      <w:numPr>
        <w:ilvl w:val="0"/>
        <w:numId w:val="8"/>
      </w:numPr>
      <w:tabs>
        <w:tab w:val="clear" w:pos="900"/>
      </w:tabs>
      <w:adjustRightInd/>
      <w:spacing w:before="240" w:after="240" w:line="360" w:lineRule="auto"/>
      <w:ind w:left="851" w:right="407" w:rightChars="194" w:hanging="851"/>
      <w:jc w:val="left"/>
    </w:pPr>
    <w:rPr>
      <w:rFonts w:ascii="宋体" w:hAnsi="Arial"/>
      <w:snapToGrid w:val="0"/>
      <w:kern w:val="0"/>
      <w:sz w:val="28"/>
      <w:szCs w:val="20"/>
      <w:lang w:val="zh-CN"/>
    </w:rPr>
  </w:style>
  <w:style w:type="paragraph" w:customStyle="1" w:styleId="856">
    <w:name w:val="4级标题"/>
    <w:basedOn w:val="531"/>
    <w:qFormat/>
    <w:uiPriority w:val="0"/>
    <w:pPr>
      <w:keepLines/>
      <w:numPr>
        <w:ilvl w:val="3"/>
        <w:numId w:val="8"/>
      </w:numPr>
      <w:adjustRightInd/>
      <w:ind w:firstLineChars="0"/>
      <w:jc w:val="left"/>
      <w:outlineLvl w:val="3"/>
    </w:pPr>
    <w:rPr>
      <w:rFonts w:ascii="黑体" w:hAnsi="黑体" w:eastAsia="黑体" w:cs="Times New Roman"/>
      <w:kern w:val="0"/>
      <w:sz w:val="28"/>
      <w:lang w:val="zh-CN" w:eastAsia="en-US" w:bidi="en-US"/>
    </w:rPr>
  </w:style>
  <w:style w:type="paragraph" w:customStyle="1" w:styleId="857">
    <w:name w:val="3级"/>
    <w:basedOn w:val="855"/>
    <w:link w:val="858"/>
    <w:qFormat/>
    <w:uiPriority w:val="0"/>
    <w:pPr>
      <w:ind w:left="0" w:right="466" w:firstLine="288"/>
    </w:pPr>
    <w:rPr>
      <w:rFonts w:hAnsi="宋体"/>
    </w:rPr>
  </w:style>
  <w:style w:type="character" w:customStyle="1" w:styleId="858">
    <w:name w:val="3级 Char"/>
    <w:link w:val="857"/>
    <w:qFormat/>
    <w:uiPriority w:val="0"/>
    <w:rPr>
      <w:rFonts w:ascii="宋体" w:hAnsi="宋体" w:eastAsia="宋体" w:cs="Times New Roman"/>
      <w:b/>
      <w:bCs/>
      <w:snapToGrid w:val="0"/>
      <w:kern w:val="0"/>
      <w:sz w:val="28"/>
      <w:szCs w:val="20"/>
      <w:lang w:val="zh-CN"/>
    </w:rPr>
  </w:style>
  <w:style w:type="character" w:customStyle="1" w:styleId="859">
    <w:name w:val="标题 3 字符"/>
    <w:qFormat/>
    <w:uiPriority w:val="9"/>
    <w:rPr>
      <w:b/>
      <w:bCs/>
      <w:kern w:val="2"/>
      <w:sz w:val="32"/>
      <w:szCs w:val="32"/>
    </w:rPr>
  </w:style>
  <w:style w:type="character" w:customStyle="1" w:styleId="860">
    <w:name w:val="标题 4 字符"/>
    <w:qFormat/>
    <w:uiPriority w:val="9"/>
    <w:rPr>
      <w:rFonts w:ascii="等线 Light" w:hAnsi="等线 Light" w:eastAsia="等线 Light" w:cs="Times New Roman"/>
      <w:b/>
      <w:bCs/>
      <w:snapToGrid/>
      <w:kern w:val="0"/>
      <w:sz w:val="28"/>
      <w:szCs w:val="28"/>
    </w:rPr>
  </w:style>
  <w:style w:type="character" w:customStyle="1" w:styleId="861">
    <w:name w:val="标题 1 字符"/>
    <w:qFormat/>
    <w:uiPriority w:val="9"/>
    <w:rPr>
      <w:rFonts w:ascii="Arial" w:hAnsi="Arial" w:eastAsia="黑体" w:cs="Arial"/>
      <w:b/>
      <w:bCs/>
      <w:snapToGrid/>
      <w:kern w:val="44"/>
      <w:sz w:val="44"/>
      <w:szCs w:val="44"/>
    </w:rPr>
  </w:style>
  <w:style w:type="character" w:customStyle="1" w:styleId="862">
    <w:name w:val="批注文字 字符"/>
    <w:qFormat/>
    <w:uiPriority w:val="0"/>
    <w:rPr>
      <w:rFonts w:ascii="Arial" w:hAnsi="Arial" w:eastAsia="黑体" w:cs="Arial"/>
      <w:snapToGrid/>
      <w:kern w:val="0"/>
      <w:szCs w:val="21"/>
    </w:rPr>
  </w:style>
  <w:style w:type="character" w:customStyle="1" w:styleId="863">
    <w:name w:val="批注框文本 字符"/>
    <w:semiHidden/>
    <w:qFormat/>
    <w:uiPriority w:val="99"/>
    <w:rPr>
      <w:rFonts w:ascii="Arial" w:hAnsi="Arial" w:eastAsia="黑体" w:cs="Arial"/>
      <w:snapToGrid/>
      <w:kern w:val="0"/>
      <w:sz w:val="18"/>
      <w:szCs w:val="18"/>
    </w:rPr>
  </w:style>
  <w:style w:type="paragraph" w:customStyle="1" w:styleId="8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865">
    <w:name w:val="纯文本 字符"/>
    <w:qFormat/>
    <w:uiPriority w:val="0"/>
    <w:rPr>
      <w:rFonts w:ascii="宋体" w:hAnsi="Courier New" w:eastAsia="宋体" w:cs="Arial"/>
      <w:snapToGrid w:val="0"/>
      <w:kern w:val="2"/>
      <w:sz w:val="21"/>
      <w:szCs w:val="21"/>
      <w:lang w:val="en-US" w:eastAsia="zh-CN" w:bidi="ar-SA"/>
    </w:rPr>
  </w:style>
  <w:style w:type="paragraph" w:customStyle="1" w:styleId="866">
    <w:name w:val="_标题2"/>
    <w:basedOn w:val="867"/>
    <w:next w:val="86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867">
    <w:name w:val="__正文"/>
    <w:link w:val="868"/>
    <w:qFormat/>
    <w:uiPriority w:val="0"/>
    <w:pPr>
      <w:spacing w:line="360" w:lineRule="auto"/>
      <w:ind w:firstLine="200" w:firstLineChars="200"/>
    </w:pPr>
    <w:rPr>
      <w:rFonts w:ascii="Calibri" w:hAnsi="Calibri" w:eastAsia="等线" w:cs="Times New Roman"/>
      <w:kern w:val="2"/>
      <w:sz w:val="24"/>
      <w:szCs w:val="21"/>
      <w:lang w:val="en-US" w:eastAsia="zh-CN" w:bidi="ar-SA"/>
    </w:rPr>
  </w:style>
  <w:style w:type="character" w:customStyle="1" w:styleId="868">
    <w:name w:val="__正文 Char"/>
    <w:link w:val="867"/>
    <w:qFormat/>
    <w:uiPriority w:val="0"/>
    <w:rPr>
      <w:rFonts w:ascii="Calibri" w:hAnsi="Calibri" w:eastAsia="等线" w:cs="Times New Roman"/>
      <w:sz w:val="24"/>
      <w:szCs w:val="21"/>
    </w:rPr>
  </w:style>
  <w:style w:type="paragraph" w:customStyle="1" w:styleId="869">
    <w:name w:val="l正文"/>
    <w:basedOn w:val="1"/>
    <w:qFormat/>
    <w:uiPriority w:val="0"/>
    <w:pPr>
      <w:adjustRightInd w:val="0"/>
      <w:spacing w:line="360" w:lineRule="auto"/>
      <w:ind w:firstLine="200" w:firstLineChars="200"/>
    </w:pPr>
    <w:rPr>
      <w:rFonts w:ascii="宋体" w:hAnsi="宋体" w:eastAsia="宋体" w:cs="Times New Roman"/>
      <w:sz w:val="24"/>
      <w:szCs w:val="24"/>
    </w:rPr>
  </w:style>
  <w:style w:type="paragraph" w:customStyle="1" w:styleId="870">
    <w:name w:val="_标题3"/>
    <w:basedOn w:val="867"/>
    <w:next w:val="867"/>
    <w:qFormat/>
    <w:uiPriority w:val="0"/>
    <w:pPr>
      <w:widowControl w:val="0"/>
      <w:spacing w:before="50" w:beforeLines="50" w:after="50" w:afterLines="50"/>
      <w:ind w:firstLine="0" w:firstLineChars="0"/>
      <w:outlineLvl w:val="2"/>
    </w:pPr>
    <w:rPr>
      <w:rFonts w:eastAsia="宋体"/>
      <w:b/>
      <w:sz w:val="32"/>
    </w:rPr>
  </w:style>
  <w:style w:type="paragraph" w:customStyle="1" w:styleId="871">
    <w:name w:val="_标题1"/>
    <w:basedOn w:val="867"/>
    <w:next w:val="867"/>
    <w:qFormat/>
    <w:uiPriority w:val="0"/>
    <w:pPr>
      <w:widowControl w:val="0"/>
      <w:spacing w:before="156" w:beforeLines="50" w:after="156" w:afterLines="50"/>
      <w:ind w:firstLine="0" w:firstLineChars="0"/>
      <w:outlineLvl w:val="0"/>
    </w:pPr>
    <w:rPr>
      <w:rFonts w:eastAsia="黑体"/>
      <w:b/>
      <w:sz w:val="32"/>
    </w:rPr>
  </w:style>
  <w:style w:type="paragraph" w:customStyle="1" w:styleId="872">
    <w:name w:val="_标题5"/>
    <w:basedOn w:val="867"/>
    <w:next w:val="867"/>
    <w:qFormat/>
    <w:uiPriority w:val="0"/>
    <w:pPr>
      <w:spacing w:before="120" w:after="120"/>
      <w:ind w:left="4679" w:firstLine="0" w:firstLineChars="0"/>
      <w:outlineLvl w:val="4"/>
    </w:pPr>
    <w:rPr>
      <w:rFonts w:ascii="仿宋" w:hAnsi="仿宋" w:eastAsia="仿宋"/>
      <w:b/>
      <w:sz w:val="28"/>
    </w:rPr>
  </w:style>
  <w:style w:type="character" w:customStyle="1" w:styleId="873">
    <w:name w:val="标准正文 Char"/>
    <w:link w:val="633"/>
    <w:qFormat/>
    <w:uiPriority w:val="0"/>
    <w:rPr>
      <w:rFonts w:ascii="Times New Roman" w:hAnsi="Times New Roman" w:eastAsia="宋体" w:cs="Times New Roman"/>
      <w:sz w:val="24"/>
      <w:szCs w:val="24"/>
    </w:rPr>
  </w:style>
  <w:style w:type="paragraph" w:customStyle="1" w:styleId="874">
    <w:name w:val="样式_杭州市局"/>
    <w:basedOn w:val="1"/>
    <w:qFormat/>
    <w:uiPriority w:val="0"/>
    <w:pPr>
      <w:adjustRightInd w:val="0"/>
      <w:ind w:firstLine="200" w:firstLineChars="200"/>
    </w:pPr>
    <w:rPr>
      <w:rFonts w:ascii="仿宋" w:hAnsi="仿宋" w:eastAsia="仿宋" w:cs="黑体"/>
      <w:sz w:val="28"/>
      <w:szCs w:val="28"/>
    </w:rPr>
  </w:style>
  <w:style w:type="paragraph" w:customStyle="1" w:styleId="875">
    <w:name w:val="！正文（四号字）"/>
    <w:link w:val="876"/>
    <w:qFormat/>
    <w:uiPriority w:val="0"/>
    <w:pPr>
      <w:snapToGrid w:val="0"/>
      <w:spacing w:before="211" w:beforeLines="50" w:line="360" w:lineRule="auto"/>
      <w:ind w:firstLine="480" w:firstLineChars="200"/>
      <w:jc w:val="both"/>
    </w:pPr>
    <w:rPr>
      <w:rFonts w:ascii="等线" w:hAnsi="等线" w:eastAsia="仿宋_GB2312" w:cs="黑体"/>
      <w:kern w:val="2"/>
      <w:sz w:val="24"/>
      <w:szCs w:val="28"/>
      <w:lang w:val="en-US" w:eastAsia="zh-CN" w:bidi="ar-SA"/>
    </w:rPr>
  </w:style>
  <w:style w:type="character" w:customStyle="1" w:styleId="876">
    <w:name w:val="！正文（四号字） Char"/>
    <w:link w:val="875"/>
    <w:qFormat/>
    <w:uiPriority w:val="0"/>
    <w:rPr>
      <w:rFonts w:ascii="等线" w:hAnsi="等线" w:eastAsia="仿宋_GB2312" w:cs="黑体"/>
      <w:sz w:val="24"/>
      <w:szCs w:val="28"/>
    </w:rPr>
  </w:style>
  <w:style w:type="table" w:customStyle="1" w:styleId="877">
    <w:name w:val="Table Normal"/>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character" w:customStyle="1" w:styleId="878">
    <w:name w:val="正文1 Char Char"/>
    <w:link w:val="374"/>
    <w:qFormat/>
    <w:locked/>
    <w:uiPriority w:val="0"/>
    <w:rPr>
      <w:rFonts w:ascii="仿宋_GB2312" w:hAnsi="Courier New" w:eastAsia="仿宋_GB2312" w:cs="Times New Roman"/>
      <w:kern w:val="28"/>
      <w:sz w:val="24"/>
      <w:szCs w:val="24"/>
    </w:rPr>
  </w:style>
  <w:style w:type="character" w:customStyle="1" w:styleId="879">
    <w:name w:val="段 Char"/>
    <w:link w:val="376"/>
    <w:qFormat/>
    <w:locked/>
    <w:uiPriority w:val="0"/>
    <w:rPr>
      <w:rFonts w:ascii="宋体" w:hAnsi="Times New Roman" w:eastAsia="宋体" w:cs="Times New Roman"/>
      <w:kern w:val="0"/>
      <w:szCs w:val="20"/>
    </w:rPr>
  </w:style>
  <w:style w:type="paragraph" w:customStyle="1" w:styleId="880">
    <w:name w:val="Char Char Char Char Char Char2 Char Char Char Char"/>
    <w:basedOn w:val="1"/>
    <w:qFormat/>
    <w:uiPriority w:val="0"/>
    <w:rPr>
      <w:rFonts w:ascii="Times New Roman" w:hAnsi="Times New Roman" w:eastAsia="宋体" w:cs="Times New Roman"/>
      <w:szCs w:val="24"/>
    </w:rPr>
  </w:style>
  <w:style w:type="character" w:customStyle="1" w:styleId="881">
    <w:name w:val="正文(首行缩进) Char"/>
    <w:link w:val="882"/>
    <w:qFormat/>
    <w:locked/>
    <w:uiPriority w:val="0"/>
    <w:rPr>
      <w:rFonts w:ascii="Arial" w:hAnsi="Arial" w:cs="Arial"/>
      <w:szCs w:val="24"/>
    </w:rPr>
  </w:style>
  <w:style w:type="paragraph" w:customStyle="1" w:styleId="882">
    <w:name w:val="正文(首行缩进)"/>
    <w:basedOn w:val="1"/>
    <w:next w:val="1"/>
    <w:link w:val="881"/>
    <w:qFormat/>
    <w:uiPriority w:val="0"/>
    <w:pPr>
      <w:snapToGrid w:val="0"/>
      <w:spacing w:before="10" w:line="360" w:lineRule="auto"/>
      <w:ind w:firstLine="482"/>
    </w:pPr>
    <w:rPr>
      <w:rFonts w:ascii="Arial" w:hAnsi="Arial" w:cs="Arial"/>
      <w:szCs w:val="24"/>
    </w:rPr>
  </w:style>
  <w:style w:type="paragraph" w:customStyle="1" w:styleId="883">
    <w:name w:val="条目2"/>
    <w:basedOn w:val="32"/>
    <w:qFormat/>
    <w:uiPriority w:val="0"/>
    <w:pPr>
      <w:tabs>
        <w:tab w:val="left" w:pos="420"/>
      </w:tabs>
      <w:adjustRightInd/>
      <w:spacing w:line="360" w:lineRule="auto"/>
      <w:ind w:left="420" w:hanging="420"/>
    </w:pPr>
    <w:rPr>
      <w:rFonts w:cs="Courier New"/>
      <w:snapToGrid/>
      <w:color w:val="000000"/>
      <w:sz w:val="24"/>
    </w:rPr>
  </w:style>
  <w:style w:type="character" w:customStyle="1" w:styleId="884">
    <w:name w:val="样式1 Char"/>
    <w:link w:val="512"/>
    <w:qFormat/>
    <w:locked/>
    <w:uiPriority w:val="0"/>
    <w:rPr>
      <w:rFonts w:ascii="宋体" w:hAnsi="宋体" w:eastAsia="宋体" w:cs="Times New Roman"/>
      <w:kern w:val="0"/>
      <w:sz w:val="24"/>
      <w:szCs w:val="20"/>
    </w:rPr>
  </w:style>
  <w:style w:type="paragraph" w:customStyle="1" w:styleId="885">
    <w:name w:val="HD正文1"/>
    <w:basedOn w:val="1"/>
    <w:next w:val="2"/>
    <w:qFormat/>
    <w:uiPriority w:val="0"/>
    <w:pPr>
      <w:spacing w:line="360" w:lineRule="auto"/>
      <w:ind w:firstLine="480" w:firstLineChars="200"/>
    </w:pPr>
    <w:rPr>
      <w:rFonts w:ascii="宋体" w:hAnsi="宋体" w:eastAsia="宋体" w:cs="Times New Roman"/>
      <w:sz w:val="24"/>
      <w:szCs w:val="21"/>
    </w:rPr>
  </w:style>
  <w:style w:type="paragraph" w:customStyle="1" w:styleId="886">
    <w:name w:val="正文00"/>
    <w:basedOn w:val="1"/>
    <w:qFormat/>
    <w:uiPriority w:val="0"/>
    <w:pPr>
      <w:tabs>
        <w:tab w:val="left" w:pos="0"/>
      </w:tabs>
      <w:spacing w:line="360" w:lineRule="auto"/>
      <w:ind w:firstLine="480" w:firstLineChars="200"/>
    </w:pPr>
    <w:rPr>
      <w:rFonts w:ascii="宋体" w:hAnsi="宋体" w:eastAsia="宋体" w:cs="Times New Roman"/>
      <w:kern w:val="28"/>
      <w:sz w:val="24"/>
      <w:szCs w:val="24"/>
    </w:rPr>
  </w:style>
  <w:style w:type="paragraph" w:customStyle="1" w:styleId="887">
    <w:name w:val="注×："/>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88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889">
    <w:name w:val="Char Char Char Char Char Char Char Char Char Char Char"/>
    <w:basedOn w:val="1"/>
    <w:qFormat/>
    <w:uiPriority w:val="0"/>
    <w:rPr>
      <w:rFonts w:ascii="Tahoma" w:hAnsi="Tahoma" w:eastAsia="宋体" w:cs="Times New Roman"/>
      <w:sz w:val="24"/>
      <w:szCs w:val="20"/>
    </w:rPr>
  </w:style>
  <w:style w:type="paragraph" w:customStyle="1" w:styleId="890">
    <w:name w:val="Char Char 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891">
    <w:name w:val="正文文本 23"/>
    <w:basedOn w:val="1"/>
    <w:qFormat/>
    <w:uiPriority w:val="0"/>
    <w:pPr>
      <w:widowControl/>
      <w:overflowPunct w:val="0"/>
      <w:autoSpaceDE w:val="0"/>
      <w:autoSpaceDN w:val="0"/>
      <w:adjustRightInd w:val="0"/>
      <w:ind w:left="720" w:hanging="720"/>
    </w:pPr>
    <w:rPr>
      <w:rFonts w:ascii="Times New Roman" w:hAnsi="Times New Roman" w:eastAsia="宋体" w:cs="Times New Roman"/>
      <w:kern w:val="0"/>
      <w:sz w:val="24"/>
      <w:szCs w:val="20"/>
      <w:lang w:val="en-GB"/>
    </w:rPr>
  </w:style>
  <w:style w:type="paragraph" w:customStyle="1" w:styleId="892">
    <w:name w:val="条目3"/>
    <w:basedOn w:val="32"/>
    <w:qFormat/>
    <w:uiPriority w:val="0"/>
    <w:pPr>
      <w:adjustRightInd/>
      <w:spacing w:line="360" w:lineRule="auto"/>
    </w:pPr>
    <w:rPr>
      <w:rFonts w:cs="Courier New"/>
      <w:snapToGrid/>
      <w:color w:val="000000"/>
      <w:sz w:val="24"/>
    </w:rPr>
  </w:style>
  <w:style w:type="paragraph" w:customStyle="1" w:styleId="893">
    <w:name w:val="标准段落"/>
    <w:basedOn w:val="1"/>
    <w:qFormat/>
    <w:uiPriority w:val="0"/>
    <w:pPr>
      <w:tabs>
        <w:tab w:val="left" w:pos="709"/>
      </w:tabs>
      <w:topLinePunct/>
      <w:autoSpaceDE w:val="0"/>
      <w:autoSpaceDN w:val="0"/>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894">
    <w:name w:val="列出段落6"/>
    <w:basedOn w:val="1"/>
    <w:qFormat/>
    <w:uiPriority w:val="0"/>
    <w:pPr>
      <w:spacing w:line="360" w:lineRule="auto"/>
      <w:ind w:firstLine="420" w:firstLineChars="200"/>
    </w:pPr>
    <w:rPr>
      <w:rFonts w:ascii="Calibri" w:hAnsi="Calibri" w:eastAsia="宋体" w:cs="Times New Roman"/>
      <w:sz w:val="24"/>
    </w:rPr>
  </w:style>
  <w:style w:type="paragraph" w:customStyle="1" w:styleId="895">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896">
    <w:name w:val="DN-正文 Char"/>
    <w:link w:val="897"/>
    <w:qFormat/>
    <w:locked/>
    <w:uiPriority w:val="0"/>
    <w:rPr>
      <w:rFonts w:ascii="Arial" w:hAnsi="Arial" w:cs="Arial"/>
      <w:szCs w:val="24"/>
    </w:rPr>
  </w:style>
  <w:style w:type="paragraph" w:customStyle="1" w:styleId="897">
    <w:name w:val="DN-正文"/>
    <w:basedOn w:val="16"/>
    <w:link w:val="896"/>
    <w:qFormat/>
    <w:uiPriority w:val="0"/>
    <w:pPr>
      <w:widowControl w:val="0"/>
      <w:adjustRightInd/>
      <w:spacing w:line="400" w:lineRule="exact"/>
      <w:ind w:firstLine="200" w:firstLineChars="200"/>
    </w:pPr>
    <w:rPr>
      <w:rFonts w:ascii="Arial" w:hAnsi="Arial" w:cs="Arial" w:eastAsiaTheme="minorEastAsia"/>
      <w:snapToGrid/>
      <w:color w:val="auto"/>
      <w:kern w:val="2"/>
      <w:sz w:val="21"/>
      <w:szCs w:val="24"/>
    </w:rPr>
  </w:style>
  <w:style w:type="paragraph" w:customStyle="1" w:styleId="898">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99">
    <w:name w:val="文字列表"/>
    <w:basedOn w:val="60"/>
    <w:qFormat/>
    <w:uiPriority w:val="0"/>
    <w:pPr>
      <w:tabs>
        <w:tab w:val="left" w:pos="840"/>
      </w:tabs>
      <w:autoSpaceDE/>
      <w:autoSpaceDN/>
      <w:adjustRightInd/>
      <w:ind w:left="900" w:leftChars="200" w:hanging="432"/>
    </w:pPr>
    <w:rPr>
      <w:rFonts w:hAnsi="宋体" w:eastAsia="宋体" w:cs="Arial"/>
      <w:szCs w:val="24"/>
      <w:lang w:val="en-US"/>
    </w:rPr>
  </w:style>
  <w:style w:type="paragraph" w:customStyle="1" w:styleId="900">
    <w:name w:val="批注主题 Char Char"/>
    <w:basedOn w:val="20"/>
    <w:next w:val="20"/>
    <w:qFormat/>
    <w:uiPriority w:val="0"/>
    <w:pPr>
      <w:adjustRightInd/>
    </w:pPr>
    <w:rPr>
      <w:rFonts w:ascii="仿宋_GB2312"/>
      <w:b/>
      <w:bCs/>
      <w:sz w:val="32"/>
      <w:szCs w:val="32"/>
    </w:rPr>
  </w:style>
  <w:style w:type="character" w:customStyle="1" w:styleId="901">
    <w:name w:val="普通正文 Char Char"/>
    <w:link w:val="496"/>
    <w:qFormat/>
    <w:locked/>
    <w:uiPriority w:val="0"/>
    <w:rPr>
      <w:rFonts w:ascii="Arial" w:hAnsi="Arial" w:eastAsia="宋体" w:cs="Times New Roman"/>
      <w:kern w:val="0"/>
      <w:sz w:val="24"/>
      <w:szCs w:val="24"/>
    </w:rPr>
  </w:style>
  <w:style w:type="paragraph" w:customStyle="1" w:styleId="902">
    <w:name w:val="无间隔3"/>
    <w:qFormat/>
    <w:uiPriority w:val="0"/>
    <w:rPr>
      <w:rFonts w:ascii="Calibri" w:hAnsi="Calibri" w:eastAsia="宋体" w:cs="Times New Roman"/>
      <w:sz w:val="22"/>
      <w:szCs w:val="22"/>
      <w:lang w:val="en-US" w:eastAsia="en-US" w:bidi="ar-SA"/>
    </w:rPr>
  </w:style>
  <w:style w:type="character" w:customStyle="1" w:styleId="903">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904">
    <w:name w:val="c1"/>
    <w:qFormat/>
    <w:uiPriority w:val="0"/>
    <w:rPr>
      <w:rFonts w:hint="eastAsia" w:ascii="仿宋_GB2312" w:hAnsi="Arial" w:eastAsia="宋体" w:cs="Arial"/>
      <w:b/>
      <w:snapToGrid w:val="0"/>
      <w:kern w:val="2"/>
      <w:sz w:val="21"/>
      <w:szCs w:val="21"/>
      <w:lang w:val="en-US" w:eastAsia="zh-CN" w:bidi="ar-SA"/>
    </w:rPr>
  </w:style>
  <w:style w:type="character" w:customStyle="1" w:styleId="905">
    <w:name w:val="H6 Char1"/>
    <w:qFormat/>
    <w:uiPriority w:val="0"/>
    <w:rPr>
      <w:rFonts w:hint="default" w:ascii="Arial" w:hAnsi="Arial" w:eastAsia="黑体" w:cs="Arial"/>
      <w:b/>
      <w:bCs/>
      <w:snapToGrid w:val="0"/>
      <w:kern w:val="2"/>
      <w:sz w:val="24"/>
      <w:szCs w:val="24"/>
      <w:lang w:val="en-US" w:eastAsia="zh-CN" w:bidi="ar-SA"/>
    </w:rPr>
  </w:style>
  <w:style w:type="character" w:customStyle="1" w:styleId="906">
    <w:name w:val="l151"/>
    <w:qFormat/>
    <w:uiPriority w:val="0"/>
    <w:rPr>
      <w:rFonts w:hint="eastAsia" w:ascii="仿宋_GB2312" w:hAnsi="Arial" w:eastAsia="宋体" w:cs="Arial"/>
      <w:b/>
      <w:snapToGrid w:val="0"/>
      <w:kern w:val="2"/>
      <w:sz w:val="24"/>
      <w:szCs w:val="24"/>
      <w:lang w:val="en-US" w:eastAsia="zh-CN" w:bidi="ar-SA"/>
    </w:rPr>
  </w:style>
  <w:style w:type="character" w:customStyle="1" w:styleId="907">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908">
    <w:name w:val="标题 8 Char1"/>
    <w:qFormat/>
    <w:uiPriority w:val="0"/>
    <w:rPr>
      <w:rFonts w:hint="default" w:ascii="Cambria" w:hAnsi="Cambria" w:eastAsia="宋体" w:cs="Times New Roman"/>
      <w:snapToGrid w:val="0"/>
      <w:kern w:val="2"/>
      <w:sz w:val="24"/>
      <w:szCs w:val="24"/>
    </w:rPr>
  </w:style>
  <w:style w:type="character" w:customStyle="1" w:styleId="909">
    <w:name w:val="标题 7 Char1"/>
    <w:qFormat/>
    <w:uiPriority w:val="0"/>
    <w:rPr>
      <w:rFonts w:hint="default" w:ascii="Times New Roman" w:hAnsi="Times New Roman" w:eastAsia="黑体" w:cs="Arial"/>
      <w:b/>
      <w:bCs/>
      <w:snapToGrid w:val="0"/>
      <w:kern w:val="2"/>
      <w:sz w:val="24"/>
      <w:szCs w:val="24"/>
    </w:rPr>
  </w:style>
  <w:style w:type="character" w:customStyle="1" w:styleId="910">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911">
    <w:name w:val="标题 9 Char1"/>
    <w:qFormat/>
    <w:uiPriority w:val="0"/>
    <w:rPr>
      <w:rFonts w:hint="default" w:ascii="Cambria" w:hAnsi="Cambria" w:eastAsia="宋体" w:cs="Times New Roman"/>
      <w:snapToGrid w:val="0"/>
      <w:kern w:val="2"/>
      <w:sz w:val="21"/>
      <w:szCs w:val="21"/>
    </w:rPr>
  </w:style>
  <w:style w:type="character" w:customStyle="1" w:styleId="912">
    <w:name w:val="未用 Char Char"/>
    <w:qFormat/>
    <w:uiPriority w:val="0"/>
    <w:rPr>
      <w:rFonts w:hint="default" w:ascii="Arial" w:hAnsi="Arial" w:eastAsia="黑体" w:cs="Arial"/>
      <w:snapToGrid w:val="0"/>
      <w:kern w:val="2"/>
      <w:sz w:val="21"/>
      <w:szCs w:val="21"/>
      <w:lang w:val="en-US" w:eastAsia="zh-CN" w:bidi="ar-SA"/>
    </w:rPr>
  </w:style>
  <w:style w:type="character" w:customStyle="1" w:styleId="913">
    <w:name w:val="图名 Char Char"/>
    <w:qFormat/>
    <w:uiPriority w:val="0"/>
    <w:rPr>
      <w:rFonts w:hint="default" w:ascii="Arial" w:hAnsi="Arial" w:eastAsia="黑体" w:cs="Arial"/>
      <w:snapToGrid w:val="0"/>
      <w:kern w:val="2"/>
      <w:sz w:val="24"/>
      <w:szCs w:val="24"/>
      <w:lang w:val="en-US" w:eastAsia="zh-CN" w:bidi="ar-SA"/>
    </w:rPr>
  </w:style>
  <w:style w:type="character" w:customStyle="1" w:styleId="914">
    <w:name w:val="标题 3 Char1"/>
    <w:semiHidden/>
    <w:qFormat/>
    <w:locked/>
    <w:uiPriority w:val="0"/>
    <w:rPr>
      <w:rFonts w:ascii="Times New Roman" w:hAnsi="Times New Roman" w:eastAsia="宋体" w:cs="Times New Roman"/>
      <w:b/>
      <w:bCs/>
      <w:sz w:val="32"/>
      <w:szCs w:val="32"/>
    </w:rPr>
  </w:style>
  <w:style w:type="character" w:customStyle="1" w:styleId="915">
    <w:name w:val="标题 5 Char1"/>
    <w:qFormat/>
    <w:uiPriority w:val="0"/>
    <w:rPr>
      <w:rFonts w:hint="default" w:ascii="Times New Roman" w:hAnsi="Times New Roman" w:eastAsia="黑体" w:cs="Arial"/>
      <w:b/>
      <w:bCs/>
      <w:snapToGrid w:val="0"/>
      <w:kern w:val="2"/>
      <w:sz w:val="28"/>
      <w:szCs w:val="28"/>
    </w:rPr>
  </w:style>
  <w:style w:type="character" w:customStyle="1" w:styleId="916">
    <w:name w:val="未用 Char3"/>
    <w:qFormat/>
    <w:uiPriority w:val="0"/>
    <w:rPr>
      <w:rFonts w:hint="default" w:ascii="Arial" w:hAnsi="Arial" w:eastAsia="黑体" w:cs="Arial"/>
      <w:kern w:val="2"/>
      <w:sz w:val="21"/>
      <w:szCs w:val="21"/>
      <w:lang w:bidi="ar-SA"/>
    </w:rPr>
  </w:style>
  <w:style w:type="character" w:customStyle="1" w:styleId="917">
    <w:name w:val="PI Char3"/>
    <w:qFormat/>
    <w:uiPriority w:val="0"/>
    <w:rPr>
      <w:rFonts w:hint="eastAsia" w:ascii="宋体" w:hAnsi="宋体" w:eastAsia="宋体"/>
      <w:kern w:val="2"/>
      <w:sz w:val="24"/>
      <w:szCs w:val="24"/>
    </w:rPr>
  </w:style>
  <w:style w:type="character" w:customStyle="1" w:styleId="918">
    <w:name w:val="图名 Char3"/>
    <w:qFormat/>
    <w:uiPriority w:val="0"/>
    <w:rPr>
      <w:rFonts w:hint="default" w:ascii="Arial" w:hAnsi="Arial" w:eastAsia="黑体" w:cs="Arial"/>
      <w:kern w:val="2"/>
      <w:sz w:val="24"/>
      <w:szCs w:val="24"/>
      <w:lang w:bidi="ar-SA"/>
    </w:rPr>
  </w:style>
  <w:style w:type="character" w:customStyle="1" w:styleId="919">
    <w:name w:val="表名 Char3"/>
    <w:qFormat/>
    <w:uiPriority w:val="0"/>
    <w:rPr>
      <w:rFonts w:hint="eastAsia" w:ascii="宋体" w:hAnsi="宋体" w:eastAsia="宋体"/>
      <w:b/>
      <w:bCs/>
      <w:kern w:val="2"/>
      <w:sz w:val="24"/>
      <w:szCs w:val="24"/>
      <w:lang w:bidi="ar-SA"/>
    </w:rPr>
  </w:style>
  <w:style w:type="character" w:customStyle="1" w:styleId="920">
    <w:name w:val="Heading sql Char3"/>
    <w:qFormat/>
    <w:uiPriority w:val="0"/>
    <w:rPr>
      <w:rFonts w:hint="default" w:ascii="Arial" w:hAnsi="Arial" w:eastAsia="黑体" w:cs="Arial"/>
      <w:b/>
      <w:bCs/>
      <w:kern w:val="2"/>
      <w:sz w:val="28"/>
      <w:szCs w:val="28"/>
      <w:lang w:val="zh-CN" w:bidi="ar-SA"/>
    </w:rPr>
  </w:style>
  <w:style w:type="character" w:customStyle="1" w:styleId="921">
    <w:name w:val="H6 Char3"/>
    <w:qFormat/>
    <w:uiPriority w:val="0"/>
    <w:rPr>
      <w:rFonts w:hint="default" w:ascii="Arial" w:hAnsi="Arial" w:eastAsia="黑体" w:cs="Arial"/>
      <w:b/>
      <w:bCs/>
      <w:kern w:val="2"/>
      <w:sz w:val="24"/>
      <w:szCs w:val="24"/>
      <w:lang w:bidi="ar-SA"/>
    </w:rPr>
  </w:style>
  <w:style w:type="character" w:customStyle="1" w:styleId="922">
    <w:name w:val="正文首行缩进 Char Char"/>
    <w:qFormat/>
    <w:uiPriority w:val="0"/>
    <w:rPr>
      <w:rFonts w:hint="eastAsia" w:ascii="宋体" w:hAnsi="宋体" w:eastAsia="宋体"/>
      <w:kern w:val="2"/>
      <w:sz w:val="21"/>
      <w:szCs w:val="24"/>
      <w:lang w:val="en-US" w:eastAsia="zh-CN" w:bidi="ar-SA"/>
    </w:rPr>
  </w:style>
  <w:style w:type="character" w:customStyle="1" w:styleId="923">
    <w:name w:val="签名 Char Char"/>
    <w:qFormat/>
    <w:uiPriority w:val="0"/>
    <w:rPr>
      <w:rFonts w:hint="default" w:ascii="Arial" w:hAnsi="Arial" w:eastAsia="宋体" w:cs="Arial"/>
      <w:snapToGrid w:val="0"/>
      <w:kern w:val="0"/>
      <w:szCs w:val="24"/>
      <w:lang w:bidi="ar-SA"/>
    </w:rPr>
  </w:style>
  <w:style w:type="character" w:customStyle="1" w:styleId="924">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925">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926">
    <w:name w:val="称呼 Char Char"/>
    <w:qFormat/>
    <w:uiPriority w:val="0"/>
    <w:rPr>
      <w:rFonts w:hint="default" w:ascii="Arial" w:hAnsi="Arial" w:eastAsia="宋体" w:cs="Arial"/>
      <w:b/>
      <w:bCs/>
      <w:snapToGrid w:val="0"/>
      <w:kern w:val="0"/>
      <w:szCs w:val="24"/>
      <w:lang w:bidi="ar-SA"/>
    </w:rPr>
  </w:style>
  <w:style w:type="character" w:customStyle="1" w:styleId="927">
    <w:name w:val="正文文本缩进 Char3"/>
    <w:basedOn w:val="69"/>
    <w:semiHidden/>
    <w:qFormat/>
    <w:uiPriority w:val="99"/>
    <w:rPr>
      <w:rFonts w:hint="default" w:ascii="Arial" w:hAnsi="Arial" w:eastAsia="黑体" w:cs="Arial"/>
      <w:snapToGrid w:val="0"/>
      <w:kern w:val="2"/>
      <w:sz w:val="21"/>
      <w:szCs w:val="24"/>
    </w:rPr>
  </w:style>
  <w:style w:type="character" w:customStyle="1" w:styleId="928">
    <w:name w:val="正文文本 Char3"/>
    <w:basedOn w:val="69"/>
    <w:semiHidden/>
    <w:qFormat/>
    <w:uiPriority w:val="99"/>
    <w:rPr>
      <w:rFonts w:hint="default" w:ascii="Arial" w:hAnsi="Arial" w:eastAsia="黑体" w:cs="Arial"/>
      <w:snapToGrid w:val="0"/>
      <w:kern w:val="2"/>
      <w:sz w:val="21"/>
      <w:szCs w:val="24"/>
    </w:rPr>
  </w:style>
  <w:style w:type="character" w:customStyle="1" w:styleId="929">
    <w:name w:val="标题 Char2"/>
    <w:basedOn w:val="69"/>
    <w:qFormat/>
    <w:uiPriority w:val="10"/>
    <w:rPr>
      <w:rFonts w:hint="default" w:eastAsia="黑体" w:asciiTheme="majorHAnsi" w:hAnsiTheme="majorHAnsi" w:cstheme="majorBidi"/>
      <w:b/>
      <w:bCs/>
      <w:snapToGrid w:val="0"/>
      <w:kern w:val="2"/>
      <w:sz w:val="32"/>
      <w:szCs w:val="32"/>
    </w:rPr>
  </w:style>
  <w:style w:type="paragraph" w:customStyle="1" w:styleId="930">
    <w:name w:val="_Style 657"/>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931">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932">
    <w:name w:val="[Normal]"/>
    <w:qFormat/>
    <w:uiPriority w:val="0"/>
    <w:rPr>
      <w:rFonts w:ascii="宋体" w:hAnsi="宋体" w:eastAsia="宋体" w:cs="Times New Roman"/>
      <w:sz w:val="24"/>
      <w:szCs w:val="22"/>
      <w:lang w:val="zh-CN" w:eastAsia="zh-CN" w:bidi="ar-SA"/>
    </w:rPr>
  </w:style>
  <w:style w:type="paragraph" w:customStyle="1" w:styleId="9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6B8738-B03B-413D-B900-FEE6809823C5}">
  <ds:schemaRefs/>
</ds:datastoreItem>
</file>

<file path=docProps/app.xml><?xml version="1.0" encoding="utf-8"?>
<Properties xmlns="http://schemas.openxmlformats.org/officeDocument/2006/extended-properties" xmlns:vt="http://schemas.openxmlformats.org/officeDocument/2006/docPropsVTypes">
  <Template>Normal.dotm</Template>
  <Pages>75</Pages>
  <Words>6831</Words>
  <Characters>38942</Characters>
  <Lines>324</Lines>
  <Paragraphs>91</Paragraphs>
  <TotalTime>2</TotalTime>
  <ScaleCrop>false</ScaleCrop>
  <LinksUpToDate>false</LinksUpToDate>
  <CharactersWithSpaces>45682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2021-03-04T02:54:00Z</dcterms:created>
  <dc:creator>mb</dc:creator>
  <cp:lastModifiedBy>杨颖</cp:lastModifiedBy>
  <dcterms:modified xsi:type="dcterms:W3CDTF">2022-07-01T00:37:30Z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F0D3B767158F4509A37E4175EB2E56E9</vt:lpwstr>
  </property>
</Properties>
</file>