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p>
    <w:p>
      <w:pPr>
        <w:adjustRightInd/>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b/>
          <w:sz w:val="44"/>
          <w:szCs w:val="44"/>
        </w:rPr>
      </w:pPr>
    </w:p>
    <w:p>
      <w:pPr>
        <w:adjustRightInd/>
        <w:spacing w:line="360" w:lineRule="auto"/>
        <w:jc w:val="center"/>
        <w:rPr>
          <w:rFonts w:hint="eastAsia" w:ascii="仿宋" w:hAnsi="仿宋" w:eastAsia="仿宋" w:cs="仿宋"/>
          <w:b/>
          <w:sz w:val="48"/>
          <w:szCs w:val="48"/>
        </w:rPr>
      </w:pPr>
    </w:p>
    <w:p>
      <w:pPr>
        <w:adjustRightInd/>
        <w:spacing w:line="360" w:lineRule="auto"/>
        <w:jc w:val="center"/>
        <w:rPr>
          <w:rFonts w:hint="eastAsia" w:ascii="仿宋" w:hAnsi="仿宋" w:eastAsia="仿宋" w:cs="仿宋"/>
          <w:sz w:val="48"/>
          <w:szCs w:val="48"/>
          <w:lang w:val="en-US" w:eastAsia="zh-CN"/>
        </w:rPr>
      </w:pPr>
      <w:r>
        <w:rPr>
          <w:rFonts w:hint="eastAsia" w:ascii="仿宋" w:hAnsi="仿宋" w:eastAsia="仿宋" w:cs="仿宋"/>
          <w:sz w:val="48"/>
          <w:szCs w:val="48"/>
          <w:lang w:eastAsia="zh-CN"/>
        </w:rPr>
        <w:t>杭州市临安区</w:t>
      </w:r>
      <w:r>
        <w:rPr>
          <w:rFonts w:hint="eastAsia" w:ascii="仿宋" w:hAnsi="仿宋" w:eastAsia="仿宋" w:cs="仿宋"/>
          <w:sz w:val="48"/>
          <w:szCs w:val="48"/>
        </w:rPr>
        <w:t>於潜镇中心幼儿园班级教学装备</w:t>
      </w:r>
      <w:r>
        <w:rPr>
          <w:rFonts w:hint="eastAsia" w:ascii="仿宋" w:hAnsi="仿宋" w:eastAsia="仿宋" w:cs="仿宋"/>
          <w:sz w:val="48"/>
          <w:szCs w:val="48"/>
          <w:lang w:val="en-US" w:eastAsia="zh-CN"/>
        </w:rPr>
        <w:t>及办公家具采购项目</w:t>
      </w:r>
    </w:p>
    <w:p>
      <w:pPr>
        <w:adjustRightInd/>
        <w:spacing w:line="360" w:lineRule="auto"/>
        <w:jc w:val="center"/>
        <w:rPr>
          <w:rFonts w:hint="eastAsia" w:ascii="仿宋" w:hAnsi="仿宋" w:eastAsia="仿宋" w:cs="仿宋"/>
          <w:sz w:val="48"/>
          <w:szCs w:val="48"/>
        </w:rPr>
      </w:pPr>
      <w:r>
        <w:rPr>
          <w:rFonts w:hint="eastAsia" w:ascii="仿宋" w:hAnsi="仿宋" w:eastAsia="仿宋" w:cs="仿宋"/>
          <w:sz w:val="48"/>
          <w:szCs w:val="48"/>
        </w:rPr>
        <w:t xml:space="preserve">招标文件 </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 xml:space="preserve"> （电子招投标）</w:t>
      </w:r>
    </w:p>
    <w:p>
      <w:pPr>
        <w:snapToGrid w:val="0"/>
        <w:spacing w:line="360" w:lineRule="auto"/>
        <w:jc w:val="center"/>
        <w:rPr>
          <w:rFonts w:hint="eastAsia" w:ascii="仿宋" w:hAnsi="仿宋" w:eastAsia="仿宋" w:cs="仿宋"/>
          <w:sz w:val="30"/>
          <w:szCs w:val="30"/>
        </w:rPr>
      </w:pPr>
      <w:r>
        <w:rPr>
          <w:rFonts w:hint="eastAsia" w:ascii="仿宋" w:hAnsi="仿宋" w:eastAsia="仿宋" w:cs="仿宋"/>
          <w:sz w:val="30"/>
          <w:szCs w:val="30"/>
        </w:rPr>
        <w:t>编号:（采购编</w:t>
      </w:r>
      <w:r>
        <w:rPr>
          <w:rFonts w:hint="eastAsia" w:ascii="仿宋" w:hAnsi="仿宋" w:eastAsia="仿宋" w:cs="仿宋"/>
          <w:sz w:val="30"/>
          <w:szCs w:val="30"/>
          <w:highlight w:val="none"/>
        </w:rPr>
        <w:t>号</w:t>
      </w:r>
      <w:r>
        <w:rPr>
          <w:rFonts w:hint="eastAsia" w:ascii="仿宋" w:hAnsi="仿宋" w:eastAsia="仿宋" w:cs="仿宋"/>
          <w:sz w:val="30"/>
          <w:szCs w:val="30"/>
          <w:highlight w:val="none"/>
          <w:lang w:val="en-US" w:eastAsia="zh-CN"/>
        </w:rPr>
        <w:t>LZC-GK-2022-10072</w:t>
      </w:r>
      <w:r>
        <w:rPr>
          <w:rFonts w:hint="eastAsia" w:ascii="仿宋" w:hAnsi="仿宋" w:eastAsia="仿宋" w:cs="仿宋"/>
          <w:sz w:val="30"/>
          <w:szCs w:val="30"/>
        </w:rPr>
        <w:t>）</w:t>
      </w:r>
    </w:p>
    <w:p>
      <w:pPr>
        <w:adjustRightInd/>
        <w:spacing w:line="360" w:lineRule="auto"/>
        <w:rPr>
          <w:rFonts w:hint="eastAsia" w:ascii="仿宋" w:hAnsi="仿宋" w:eastAsia="仿宋" w:cs="仿宋"/>
          <w:sz w:val="28"/>
          <w:szCs w:val="20"/>
        </w:rPr>
      </w:pPr>
    </w:p>
    <w:p>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sz w:val="24"/>
        </w:rPr>
      </w:pPr>
    </w:p>
    <w:p>
      <w:pPr>
        <w:spacing w:line="360" w:lineRule="auto"/>
        <w:rPr>
          <w:rFonts w:hint="eastAsia" w:ascii="仿宋" w:hAnsi="仿宋" w:eastAsia="仿宋" w:cs="仿宋"/>
          <w:sz w:val="32"/>
          <w:szCs w:val="32"/>
          <w:highlight w:val="none"/>
        </w:rPr>
      </w:pPr>
    </w:p>
    <w:p>
      <w:pPr>
        <w:snapToGrid w:val="0"/>
        <w:spacing w:line="360" w:lineRule="auto"/>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杭州市临安区於潜镇人民政府</w:t>
      </w:r>
    </w:p>
    <w:p>
      <w:pPr>
        <w:snapToGrid w:val="0"/>
        <w:spacing w:line="360" w:lineRule="auto"/>
        <w:jc w:val="center"/>
        <w:rPr>
          <w:rFonts w:hint="eastAsia" w:ascii="仿宋" w:hAnsi="仿宋" w:eastAsia="仿宋" w:cs="仿宋"/>
          <w:bCs/>
          <w:sz w:val="32"/>
          <w:szCs w:val="32"/>
          <w:lang w:val="en-US" w:eastAsia="zh-CN"/>
        </w:rPr>
      </w:pPr>
      <w:r>
        <w:rPr>
          <w:rFonts w:hint="eastAsia" w:ascii="仿宋" w:hAnsi="仿宋" w:eastAsia="仿宋" w:cs="仿宋"/>
          <w:bCs/>
          <w:sz w:val="32"/>
          <w:szCs w:val="32"/>
          <w:highlight w:val="none"/>
        </w:rPr>
        <w:t>杭州市公共资源交易中心</w:t>
      </w:r>
      <w:r>
        <w:rPr>
          <w:rFonts w:hint="eastAsia" w:ascii="仿宋" w:hAnsi="仿宋" w:eastAsia="仿宋" w:cs="仿宋"/>
          <w:bCs/>
          <w:sz w:val="32"/>
          <w:szCs w:val="32"/>
          <w:highlight w:val="none"/>
          <w:lang w:eastAsia="zh-CN"/>
        </w:rPr>
        <w:t>临安分中</w:t>
      </w:r>
      <w:r>
        <w:rPr>
          <w:rFonts w:hint="eastAsia" w:ascii="仿宋" w:hAnsi="仿宋" w:eastAsia="仿宋" w:cs="仿宋"/>
          <w:bCs/>
          <w:sz w:val="32"/>
          <w:szCs w:val="32"/>
          <w:lang w:eastAsia="zh-CN"/>
        </w:rPr>
        <w:t>心</w:t>
      </w:r>
    </w:p>
    <w:p>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二〇二</w:t>
      </w:r>
      <w:r>
        <w:rPr>
          <w:rFonts w:hint="eastAsia" w:ascii="仿宋" w:hAnsi="仿宋" w:eastAsia="仿宋" w:cs="仿宋"/>
          <w:bCs/>
          <w:sz w:val="32"/>
          <w:szCs w:val="32"/>
          <w:lang w:val="en-US" w:eastAsia="zh-CN"/>
        </w:rPr>
        <w:t>二</w:t>
      </w:r>
      <w:r>
        <w:rPr>
          <w:rFonts w:hint="eastAsia" w:ascii="仿宋" w:hAnsi="仿宋" w:eastAsia="仿宋" w:cs="仿宋"/>
          <w:bCs/>
          <w:sz w:val="32"/>
          <w:szCs w:val="32"/>
        </w:rPr>
        <w:t>年</w:t>
      </w:r>
      <w:r>
        <w:rPr>
          <w:rFonts w:hint="eastAsia" w:ascii="仿宋" w:hAnsi="仿宋" w:eastAsia="仿宋" w:cs="仿宋"/>
          <w:bCs/>
          <w:sz w:val="32"/>
          <w:szCs w:val="32"/>
          <w:lang w:eastAsia="zh-CN"/>
        </w:rPr>
        <w:t>十一</w:t>
      </w:r>
      <w:r>
        <w:rPr>
          <w:rFonts w:hint="eastAsia" w:ascii="仿宋" w:hAnsi="仿宋" w:eastAsia="仿宋" w:cs="仿宋"/>
          <w:bCs/>
          <w:sz w:val="32"/>
          <w:szCs w:val="32"/>
        </w:rPr>
        <w:t>月</w:t>
      </w:r>
      <w:r>
        <w:rPr>
          <w:rFonts w:hint="eastAsia" w:ascii="仿宋" w:hAnsi="仿宋" w:eastAsia="仿宋" w:cs="仿宋"/>
          <w:bCs/>
          <w:sz w:val="32"/>
          <w:szCs w:val="32"/>
          <w:lang w:eastAsia="zh-CN"/>
        </w:rPr>
        <w:t>二十六</w:t>
      </w:r>
      <w:r>
        <w:rPr>
          <w:rFonts w:hint="eastAsia" w:ascii="仿宋" w:hAnsi="仿宋" w:eastAsia="仿宋" w:cs="仿宋"/>
          <w:bCs/>
          <w:sz w:val="32"/>
          <w:szCs w:val="32"/>
        </w:rPr>
        <w:t>日</w:t>
      </w:r>
    </w:p>
    <w:p>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0" w:name="_Hlt67893495"/>
      <w:bookmarkEnd w:id="0"/>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pPr>
        <w:spacing w:line="360" w:lineRule="auto"/>
        <w:rPr>
          <w:rFonts w:hint="eastAsia" w:ascii="仿宋" w:hAnsi="仿宋" w:eastAsia="仿宋" w:cs="仿宋"/>
          <w:sz w:val="32"/>
          <w:szCs w:val="32"/>
        </w:rPr>
      </w:pPr>
    </w:p>
    <w:p>
      <w:pPr>
        <w:spacing w:line="360" w:lineRule="auto"/>
        <w:rPr>
          <w:rFonts w:hint="eastAsia" w:ascii="仿宋" w:hAnsi="仿宋" w:eastAsia="仿宋" w:cs="仿宋"/>
          <w:sz w:val="32"/>
          <w:szCs w:val="32"/>
        </w:rPr>
      </w:pP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hint="eastAsia" w:ascii="仿宋" w:hAnsi="仿宋" w:eastAsia="仿宋" w:cs="仿宋"/>
          <w:sz w:val="24"/>
        </w:rPr>
      </w:pPr>
      <w:bookmarkStart w:id="1" w:name="_Hlt91233176"/>
      <w:bookmarkEnd w:id="1"/>
      <w:bookmarkStart w:id="2" w:name="_Toc91899869"/>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p>
      <w:pPr>
        <w:adjustRightInd/>
        <w:spacing w:line="360" w:lineRule="auto"/>
        <w:jc w:val="center"/>
        <w:outlineLvl w:val="0"/>
        <w:rPr>
          <w:rFonts w:hint="eastAsia" w:ascii="仿宋" w:hAnsi="仿宋" w:eastAsia="仿宋" w:cs="仿宋"/>
          <w:b/>
          <w:sz w:val="36"/>
          <w:szCs w:val="20"/>
        </w:rPr>
      </w:pPr>
      <w:bookmarkStart w:id="3" w:name="第一部分"/>
      <w:r>
        <w:rPr>
          <w:rFonts w:hint="eastAsia" w:ascii="仿宋" w:hAnsi="仿宋" w:eastAsia="仿宋" w:cs="仿宋"/>
          <w:b/>
          <w:sz w:val="36"/>
          <w:szCs w:val="36"/>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lang w:eastAsia="zh-CN"/>
        </w:rPr>
        <w:t>杭州市临安区</w:t>
      </w:r>
      <w:r>
        <w:rPr>
          <w:rFonts w:hint="eastAsia" w:ascii="仿宋" w:hAnsi="仿宋" w:eastAsia="仿宋" w:cs="仿宋"/>
          <w:sz w:val="24"/>
        </w:rPr>
        <w:t>於潜镇中心幼儿园班级教学装备</w:t>
      </w:r>
      <w:r>
        <w:rPr>
          <w:rFonts w:hint="eastAsia" w:ascii="仿宋" w:hAnsi="仿宋" w:eastAsia="仿宋" w:cs="仿宋"/>
          <w:sz w:val="24"/>
          <w:lang w:val="en-US" w:eastAsia="zh-CN"/>
        </w:rPr>
        <w:t>及办公家具采购项目</w:t>
      </w:r>
      <w:r>
        <w:rPr>
          <w:rFonts w:hint="eastAsia" w:ascii="仿宋" w:hAnsi="仿宋" w:eastAsia="仿宋" w:cs="仿宋"/>
          <w:sz w:val="24"/>
        </w:rPr>
        <w:t>招标项目的潜在投标人应在政采</w:t>
      </w:r>
      <w:r>
        <w:rPr>
          <w:rFonts w:hint="eastAsia" w:ascii="仿宋" w:hAnsi="仿宋" w:eastAsia="仿宋" w:cs="仿宋"/>
          <w:sz w:val="24"/>
          <w:highlight w:val="none"/>
        </w:rPr>
        <w:t>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"https://www.zcygov.cn/）获取（下载）招标文件，并于2021年" </w:instrText>
      </w:r>
      <w:r>
        <w:rPr>
          <w:rFonts w:hint="eastAsia" w:ascii="仿宋" w:hAnsi="仿宋" w:eastAsia="仿宋" w:cs="仿宋"/>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 xml:space="preserve"> 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13</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00秒</w:t>
      </w:r>
      <w:r>
        <w:rPr>
          <w:rFonts w:hint="eastAsia" w:ascii="仿宋" w:hAnsi="仿宋" w:eastAsia="仿宋" w:cs="仿宋"/>
          <w:bCs/>
          <w:sz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360" w:lineRule="auto"/>
        <w:rPr>
          <w:rFonts w:hint="eastAsia" w:ascii="仿宋" w:hAnsi="仿宋" w:eastAsia="仿宋" w:cs="仿宋"/>
          <w:b w:val="0"/>
          <w:bCs/>
          <w:sz w:val="24"/>
        </w:rPr>
      </w:pPr>
      <w:r>
        <w:rPr>
          <w:rFonts w:hint="eastAsia" w:ascii="仿宋" w:hAnsi="仿宋" w:eastAsia="仿宋" w:cs="仿宋"/>
          <w:sz w:val="24"/>
          <w:highlight w:val="none"/>
        </w:rPr>
        <w:t xml:space="preserve">    </w:t>
      </w:r>
      <w:r>
        <w:rPr>
          <w:rFonts w:hint="eastAsia" w:ascii="仿宋" w:hAnsi="仿宋" w:eastAsia="仿宋" w:cs="仿宋"/>
          <w:b/>
          <w:sz w:val="24"/>
          <w:highlight w:val="none"/>
        </w:rPr>
        <w:t>项目编号：</w:t>
      </w:r>
      <w:r>
        <w:rPr>
          <w:rFonts w:hint="eastAsia" w:ascii="仿宋" w:hAnsi="仿宋" w:eastAsia="仿宋" w:cs="仿宋"/>
          <w:b w:val="0"/>
          <w:bCs/>
          <w:sz w:val="24"/>
          <w:highlight w:val="none"/>
          <w:lang w:val="en-US" w:eastAsia="zh-CN"/>
        </w:rPr>
        <w:t>LZC-GK-2022-1</w:t>
      </w:r>
      <w:r>
        <w:rPr>
          <w:rFonts w:hint="eastAsia" w:ascii="仿宋" w:hAnsi="仿宋" w:eastAsia="仿宋" w:cs="仿宋"/>
          <w:b w:val="0"/>
          <w:bCs/>
          <w:sz w:val="24"/>
          <w:lang w:val="en-US" w:eastAsia="zh-CN"/>
        </w:rPr>
        <w:t>0072</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项目名称：</w:t>
      </w:r>
      <w:r>
        <w:rPr>
          <w:rFonts w:hint="eastAsia" w:ascii="仿宋" w:hAnsi="仿宋" w:eastAsia="仿宋" w:cs="仿宋"/>
          <w:b w:val="0"/>
          <w:bCs/>
          <w:sz w:val="24"/>
          <w:lang w:eastAsia="zh-CN"/>
        </w:rPr>
        <w:t>杭州市临安区</w:t>
      </w:r>
      <w:r>
        <w:rPr>
          <w:rFonts w:hint="eastAsia" w:ascii="仿宋" w:hAnsi="仿宋" w:eastAsia="仿宋" w:cs="仿宋"/>
          <w:b w:val="0"/>
          <w:bCs/>
          <w:sz w:val="24"/>
        </w:rPr>
        <w:t>於潜镇中心幼儿园班级教学装备</w:t>
      </w:r>
      <w:r>
        <w:rPr>
          <w:rFonts w:hint="eastAsia" w:ascii="仿宋" w:hAnsi="仿宋" w:eastAsia="仿宋" w:cs="仿宋"/>
          <w:b w:val="0"/>
          <w:bCs/>
          <w:sz w:val="24"/>
          <w:lang w:val="en-US" w:eastAsia="zh-CN"/>
        </w:rPr>
        <w:t>及办公家具采购项目</w:t>
      </w:r>
    </w:p>
    <w:p>
      <w:pPr>
        <w:spacing w:line="360" w:lineRule="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预算金额（元）：</w:t>
      </w:r>
      <w:r>
        <w:rPr>
          <w:rFonts w:hint="eastAsia" w:ascii="仿宋" w:hAnsi="仿宋" w:eastAsia="仿宋" w:cs="仿宋"/>
          <w:b/>
          <w:sz w:val="24"/>
          <w:lang w:val="en-US" w:eastAsia="zh-CN"/>
        </w:rPr>
        <w:t>1630000</w:t>
      </w:r>
      <w:r>
        <w:rPr>
          <w:rFonts w:hint="eastAsia" w:ascii="仿宋" w:hAnsi="仿宋" w:eastAsia="仿宋" w:cs="仿宋"/>
          <w:sz w:val="24"/>
        </w:rPr>
        <w:t xml:space="preserve">  </w:t>
      </w:r>
    </w:p>
    <w:p>
      <w:pPr>
        <w:spacing w:line="360" w:lineRule="auto"/>
        <w:ind w:firstLine="480"/>
        <w:rPr>
          <w:rFonts w:hint="eastAsia" w:ascii="仿宋" w:hAnsi="仿宋" w:eastAsia="仿宋" w:cs="仿宋"/>
          <w:sz w:val="24"/>
        </w:rPr>
      </w:pPr>
      <w:r>
        <w:rPr>
          <w:rFonts w:hint="eastAsia" w:ascii="仿宋" w:hAnsi="仿宋" w:eastAsia="仿宋" w:cs="仿宋"/>
          <w:b/>
          <w:sz w:val="24"/>
        </w:rPr>
        <w:t>最高限价（元）：</w:t>
      </w:r>
      <w:r>
        <w:rPr>
          <w:rFonts w:hint="eastAsia" w:ascii="仿宋" w:hAnsi="仿宋" w:eastAsia="仿宋" w:cs="仿宋"/>
          <w:b/>
          <w:sz w:val="24"/>
          <w:lang w:val="en-US" w:eastAsia="zh-CN"/>
        </w:rPr>
        <w:t>1300000</w:t>
      </w:r>
      <w:r>
        <w:rPr>
          <w:rFonts w:hint="eastAsia" w:ascii="仿宋" w:hAnsi="仿宋" w:eastAsia="仿宋" w:cs="仿宋"/>
          <w:sz w:val="24"/>
        </w:rPr>
        <w:t xml:space="preserve">  </w:t>
      </w:r>
    </w:p>
    <w:p>
      <w:pPr>
        <w:pStyle w:val="7"/>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 w:val="0"/>
          <w:bCs/>
          <w:color w:val="auto"/>
          <w:sz w:val="24"/>
        </w:rPr>
        <w:t>於潜镇中心幼儿园班级教学装备</w:t>
      </w:r>
      <w:r>
        <w:rPr>
          <w:rFonts w:hint="eastAsia" w:ascii="仿宋" w:hAnsi="仿宋" w:eastAsia="仿宋" w:cs="仿宋"/>
          <w:b w:val="0"/>
          <w:bCs/>
          <w:color w:val="auto"/>
          <w:sz w:val="24"/>
          <w:lang w:val="en-US" w:eastAsia="zh-CN"/>
        </w:rPr>
        <w:t>及办公家具</w:t>
      </w:r>
      <w:r>
        <w:rPr>
          <w:rFonts w:hint="eastAsia" w:ascii="仿宋" w:hAnsi="仿宋" w:eastAsia="仿宋" w:cs="仿宋"/>
          <w:bCs/>
          <w:snapToGrid/>
          <w:color w:val="auto"/>
          <w:kern w:val="2"/>
          <w:sz w:val="24"/>
          <w:szCs w:val="24"/>
        </w:rPr>
        <w:t>。详见招标文件第三部分采购需求。</w:t>
      </w:r>
    </w:p>
    <w:p>
      <w:pPr>
        <w:pStyle w:val="128"/>
        <w:ind w:firstLine="482"/>
        <w:outlineLvl w:val="2"/>
        <w:rPr>
          <w:rFonts w:hint="eastAsia" w:ascii="仿宋" w:hAnsi="仿宋" w:eastAsia="仿宋" w:cs="仿宋"/>
          <w:lang w:eastAsia="zh-CN"/>
        </w:rPr>
      </w:pPr>
      <w:r>
        <w:rPr>
          <w:rFonts w:hint="eastAsia" w:ascii="仿宋" w:hAnsi="仿宋" w:eastAsia="仿宋" w:cs="仿宋"/>
          <w:b/>
        </w:rPr>
        <w:t>合同履约期限：</w:t>
      </w:r>
      <w:r>
        <w:rPr>
          <w:rFonts w:hint="eastAsia" w:ascii="仿宋" w:hAnsi="仿宋" w:eastAsia="仿宋" w:cs="仿宋"/>
          <w:b w:val="0"/>
          <w:bCs/>
          <w:lang w:val="en-US" w:eastAsia="zh-CN"/>
        </w:rPr>
        <w:t>60</w:t>
      </w:r>
      <w:r>
        <w:rPr>
          <w:rFonts w:hint="eastAsia" w:ascii="仿宋" w:hAnsi="仿宋" w:eastAsia="仿宋" w:cs="仿宋"/>
          <w:b w:val="0"/>
          <w:bCs/>
        </w:rPr>
        <w:t>天</w:t>
      </w:r>
      <w:r>
        <w:rPr>
          <w:rFonts w:hint="eastAsia" w:ascii="仿宋" w:hAnsi="仿宋" w:eastAsia="仿宋" w:cs="仿宋"/>
          <w:b w:val="0"/>
          <w:bCs/>
          <w:lang w:eastAsia="zh-CN"/>
        </w:rPr>
        <w:t>内完成供货、安装。</w:t>
      </w:r>
    </w:p>
    <w:p>
      <w:pPr>
        <w:pStyle w:val="7"/>
        <w:spacing w:line="360" w:lineRule="auto"/>
        <w:ind w:firstLine="480"/>
        <w:rPr>
          <w:rFonts w:hint="eastAsia"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b/>
          <w:color w:val="auto"/>
          <w:sz w:val="24"/>
        </w:rPr>
        <w:t>是</w:t>
      </w:r>
      <w:r>
        <w:rPr>
          <w:rFonts w:hint="eastAsia" w:ascii="仿宋" w:hAnsi="仿宋" w:eastAsia="仿宋" w:cs="仿宋"/>
          <w:b/>
          <w:snapToGrid/>
          <w:color w:val="auto"/>
          <w:kern w:val="2"/>
          <w:sz w:val="24"/>
        </w:rPr>
        <w:t>；</w:t>
      </w:r>
      <w:sdt>
        <w:sdtPr>
          <w:rPr>
            <w:rFonts w:hint="eastAsia" w:ascii="仿宋" w:hAnsi="仿宋" w:eastAsia="仿宋" w:cs="仿宋"/>
            <w:color w:val="auto"/>
            <w:kern w:val="0"/>
            <w:sz w:val="24"/>
          </w:rPr>
          <w:id w:val="-176552672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hint="eastAsia" w:ascii="仿宋" w:hAnsi="仿宋" w:eastAsia="仿宋" w:cs="仿宋"/>
          <w:b/>
          <w:sz w:val="24"/>
        </w:rPr>
      </w:pPr>
      <w:r>
        <w:rPr>
          <w:rFonts w:hint="eastAsia" w:ascii="仿宋" w:hAnsi="仿宋" w:eastAsia="仿宋" w:cs="仿宋"/>
          <w:b/>
          <w:sz w:val="24"/>
        </w:rPr>
        <w:t>二、</w:t>
      </w:r>
      <w:bookmarkStart w:id="11" w:name="_Hlk101132948"/>
      <w:r>
        <w:rPr>
          <w:rFonts w:hint="eastAsia" w:ascii="仿宋" w:hAnsi="仿宋" w:eastAsia="仿宋" w:cs="仿宋"/>
          <w:b/>
          <w:sz w:val="24"/>
        </w:rPr>
        <w:t>申请人的资格要求</w:t>
      </w:r>
      <w:bookmarkEnd w:id="11"/>
      <w:r>
        <w:rPr>
          <w:rFonts w:hint="eastAsia" w:ascii="仿宋" w:hAnsi="仿宋" w:eastAsia="仿宋" w:cs="仿宋"/>
          <w:b/>
          <w:sz w:val="24"/>
        </w:rPr>
        <w:t>：</w:t>
      </w:r>
    </w:p>
    <w:p>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92861692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02470430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u w:val="single"/>
        </w:rPr>
      </w:pPr>
      <w:sdt>
        <w:sdtPr>
          <w:rPr>
            <w:rFonts w:hint="eastAsia" w:ascii="仿宋" w:hAnsi="仿宋" w:eastAsia="仿宋" w:cs="仿宋"/>
            <w:kern w:val="0"/>
            <w:sz w:val="24"/>
          </w:rPr>
          <w:id w:val="-924730588"/>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115260493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货物全部由符合政策要求的小微企业制造，提供中小企业声明函；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98560779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bookmarkStart w:id="12" w:name="_Hlk101132524"/>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bookmarkEnd w:id="12"/>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4.本项目的特定资格要求：无；</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13</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2</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13</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00</w:t>
      </w:r>
      <w:r>
        <w:rPr>
          <w:rFonts w:hint="eastAsia" w:ascii="仿宋" w:hAnsi="仿宋" w:eastAsia="仿宋" w:cs="仿宋"/>
          <w:sz w:val="24"/>
          <w:highlight w:val="none"/>
          <w:u w:val="single"/>
        </w:rPr>
        <w:t>分</w:t>
      </w:r>
      <w:r>
        <w:rPr>
          <w:rFonts w:hint="eastAsia" w:ascii="仿宋" w:hAnsi="仿宋" w:eastAsia="仿宋" w:cs="仿宋"/>
          <w:bCs/>
          <w:sz w:val="24"/>
          <w:highlight w:val="none"/>
          <w:u w:val="single"/>
        </w:rPr>
        <w:t xml:space="preserve">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360" w:lineRule="auto"/>
        <w:rPr>
          <w:rFonts w:hint="eastAsia"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spacing w:line="360" w:lineRule="auto"/>
        <w:rPr>
          <w:rFonts w:hint="eastAsia" w:ascii="仿宋" w:hAnsi="仿宋" w:eastAsia="仿宋" w:cs="仿宋"/>
          <w:sz w:val="24"/>
        </w:rPr>
      </w:pPr>
      <w:r>
        <w:rPr>
          <w:rFonts w:hint="eastAsia" w:ascii="仿宋" w:hAnsi="仿宋" w:eastAsia="仿宋" w:cs="仿宋"/>
          <w:sz w:val="24"/>
        </w:rPr>
        <w:t xml:space="preserve">    1.采购人信息</w:t>
      </w:r>
    </w:p>
    <w:p>
      <w:pPr>
        <w:spacing w:line="360" w:lineRule="auto"/>
        <w:rPr>
          <w:rFonts w:hint="eastAsia" w:ascii="仿宋" w:hAnsi="仿宋" w:eastAsia="仿宋" w:cs="仿宋"/>
          <w:sz w:val="24"/>
        </w:rPr>
      </w:pPr>
      <w:r>
        <w:rPr>
          <w:rFonts w:hint="eastAsia" w:ascii="仿宋" w:hAnsi="仿宋" w:eastAsia="仿宋" w:cs="仿宋"/>
          <w:sz w:val="24"/>
        </w:rPr>
        <w:t xml:space="preserve">    名    称：杭州市临安区於潜镇人民政府 </w:t>
      </w:r>
    </w:p>
    <w:p>
      <w:pPr>
        <w:spacing w:line="360" w:lineRule="auto"/>
        <w:rPr>
          <w:rFonts w:hint="eastAsia" w:ascii="仿宋" w:hAnsi="仿宋" w:eastAsia="仿宋" w:cs="仿宋"/>
          <w:sz w:val="24"/>
        </w:rPr>
      </w:pPr>
      <w:r>
        <w:rPr>
          <w:rFonts w:hint="eastAsia" w:ascii="仿宋" w:hAnsi="仿宋" w:eastAsia="仿宋" w:cs="仿宋"/>
          <w:sz w:val="24"/>
        </w:rPr>
        <w:t xml:space="preserve">    地    址：杭州市临安区於潜镇人民路132号       </w:t>
      </w:r>
    </w:p>
    <w:p>
      <w:pPr>
        <w:spacing w:line="360" w:lineRule="auto"/>
        <w:ind w:firstLine="480"/>
        <w:rPr>
          <w:rFonts w:hint="eastAsia" w:ascii="仿宋" w:hAnsi="仿宋" w:eastAsia="仿宋" w:cs="仿宋"/>
          <w:sz w:val="24"/>
        </w:rPr>
      </w:pPr>
      <w:r>
        <w:rPr>
          <w:rFonts w:hint="eastAsia" w:ascii="仿宋" w:hAnsi="仿宋" w:eastAsia="仿宋" w:cs="仿宋"/>
          <w:sz w:val="24"/>
        </w:rPr>
        <w:t>传    真： /</w:t>
      </w:r>
    </w:p>
    <w:p>
      <w:pPr>
        <w:spacing w:line="360" w:lineRule="auto"/>
        <w:ind w:firstLine="480"/>
        <w:rPr>
          <w:rFonts w:hint="eastAsia" w:ascii="仿宋" w:hAnsi="仿宋" w:eastAsia="仿宋" w:cs="仿宋"/>
          <w:sz w:val="24"/>
        </w:rPr>
      </w:pPr>
      <w:r>
        <w:rPr>
          <w:rFonts w:hint="eastAsia" w:ascii="仿宋" w:hAnsi="仿宋" w:eastAsia="仿宋" w:cs="仿宋"/>
          <w:sz w:val="24"/>
        </w:rPr>
        <w:t xml:space="preserve">项目联系人（询问）：刘长睿  </w:t>
      </w:r>
    </w:p>
    <w:p>
      <w:pPr>
        <w:spacing w:line="360" w:lineRule="auto"/>
        <w:rPr>
          <w:rFonts w:hint="eastAsia" w:ascii="仿宋" w:hAnsi="仿宋" w:eastAsia="仿宋" w:cs="仿宋"/>
          <w:sz w:val="24"/>
        </w:rPr>
      </w:pPr>
      <w:r>
        <w:rPr>
          <w:rFonts w:hint="eastAsia" w:ascii="仿宋" w:hAnsi="仿宋" w:eastAsia="仿宋" w:cs="仿宋"/>
          <w:sz w:val="24"/>
        </w:rPr>
        <w:t xml:space="preserve">    项目联系方式（询问）：0571-63866016 </w:t>
      </w:r>
    </w:p>
    <w:p>
      <w:pPr>
        <w:spacing w:line="360" w:lineRule="auto"/>
        <w:rPr>
          <w:rFonts w:hint="eastAsia" w:ascii="仿宋" w:hAnsi="仿宋" w:eastAsia="仿宋" w:cs="仿宋"/>
          <w:sz w:val="24"/>
        </w:rPr>
      </w:pPr>
      <w:r>
        <w:rPr>
          <w:rFonts w:hint="eastAsia" w:ascii="仿宋" w:hAnsi="仿宋" w:eastAsia="仿宋" w:cs="仿宋"/>
          <w:sz w:val="24"/>
        </w:rPr>
        <w:t xml:space="preserve">    质疑联系人：杨俊 </w:t>
      </w:r>
    </w:p>
    <w:p>
      <w:pPr>
        <w:spacing w:line="360" w:lineRule="auto"/>
        <w:rPr>
          <w:rFonts w:hint="eastAsia" w:ascii="仿宋" w:hAnsi="仿宋" w:eastAsia="仿宋" w:cs="仿宋"/>
          <w:sz w:val="24"/>
        </w:rPr>
      </w:pPr>
      <w:r>
        <w:rPr>
          <w:rFonts w:hint="eastAsia" w:ascii="仿宋" w:hAnsi="仿宋" w:eastAsia="仿宋" w:cs="仿宋"/>
          <w:sz w:val="24"/>
        </w:rPr>
        <w:t xml:space="preserve">    质疑联系方式：0571-63866016 </w:t>
      </w:r>
    </w:p>
    <w:p>
      <w:pPr>
        <w:spacing w:line="360" w:lineRule="auto"/>
        <w:rPr>
          <w:rFonts w:hint="eastAsia" w:ascii="仿宋" w:hAnsi="仿宋" w:eastAsia="仿宋" w:cs="仿宋"/>
          <w:sz w:val="24"/>
        </w:rPr>
      </w:pPr>
      <w:r>
        <w:rPr>
          <w:rFonts w:hint="eastAsia" w:ascii="仿宋" w:hAnsi="仿宋" w:eastAsia="仿宋" w:cs="仿宋"/>
          <w:sz w:val="24"/>
        </w:rPr>
        <w:t xml:space="preserve">    2.采购代理机构信息            </w:t>
      </w:r>
    </w:p>
    <w:p>
      <w:pPr>
        <w:spacing w:line="360" w:lineRule="auto"/>
        <w:ind w:firstLine="480"/>
        <w:rPr>
          <w:rFonts w:hint="eastAsia" w:ascii="仿宋" w:hAnsi="仿宋" w:eastAsia="仿宋" w:cs="仿宋"/>
          <w:sz w:val="24"/>
        </w:rPr>
      </w:pPr>
      <w:r>
        <w:rPr>
          <w:rFonts w:hint="eastAsia" w:ascii="仿宋" w:hAnsi="仿宋" w:eastAsia="仿宋" w:cs="仿宋"/>
          <w:sz w:val="24"/>
        </w:rPr>
        <w:t>名    称：杭州市公共资源交易中心</w:t>
      </w:r>
      <w:r>
        <w:rPr>
          <w:rFonts w:hint="eastAsia" w:ascii="仿宋" w:hAnsi="仿宋" w:eastAsia="仿宋" w:cs="仿宋"/>
          <w:sz w:val="24"/>
          <w:lang w:eastAsia="zh-CN"/>
        </w:rPr>
        <w:t>临安分中心</w:t>
      </w:r>
    </w:p>
    <w:p>
      <w:pPr>
        <w:spacing w:line="360" w:lineRule="auto"/>
        <w:ind w:firstLine="48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lang w:eastAsia="zh-CN"/>
        </w:rPr>
        <w:t>浙江省杭州市临安区锦北街道科技大道</w:t>
      </w:r>
      <w:r>
        <w:rPr>
          <w:rFonts w:hint="eastAsia" w:ascii="仿宋" w:hAnsi="仿宋" w:eastAsia="仿宋" w:cs="仿宋"/>
          <w:sz w:val="24"/>
          <w:lang w:val="en-US" w:eastAsia="zh-CN"/>
        </w:rPr>
        <w:t>4398号市民中心4楼</w:t>
      </w:r>
    </w:p>
    <w:p>
      <w:pPr>
        <w:spacing w:line="360" w:lineRule="auto"/>
        <w:rPr>
          <w:rFonts w:hint="eastAsia" w:ascii="仿宋" w:hAnsi="仿宋" w:eastAsia="仿宋" w:cs="仿宋"/>
          <w:sz w:val="24"/>
        </w:rPr>
      </w:pPr>
      <w:r>
        <w:rPr>
          <w:rFonts w:hint="eastAsia" w:ascii="仿宋" w:hAnsi="仿宋" w:eastAsia="仿宋" w:cs="仿宋"/>
          <w:sz w:val="24"/>
        </w:rPr>
        <w:t xml:space="preserve">    传    真：</w:t>
      </w:r>
      <w:r>
        <w:rPr>
          <w:rFonts w:hint="eastAsia" w:ascii="仿宋" w:hAnsi="仿宋" w:eastAsia="仿宋" w:cs="仿宋"/>
          <w:sz w:val="24"/>
          <w:lang w:val="en-US" w:eastAsia="zh-CN"/>
        </w:rPr>
        <w:t>0571-23616016</w:t>
      </w: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sz w:val="24"/>
          <w:lang w:eastAsia="zh-CN"/>
        </w:rPr>
        <w:t>杨颖</w:t>
      </w: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sz w:val="24"/>
          <w:lang w:val="en-US" w:eastAsia="zh-CN"/>
        </w:rPr>
        <w:t>0571-23616011</w:t>
      </w:r>
    </w:p>
    <w:p>
      <w:pPr>
        <w:spacing w:line="360" w:lineRule="auto"/>
        <w:rPr>
          <w:rFonts w:hint="eastAsia"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sz w:val="24"/>
          <w:lang w:eastAsia="zh-CN"/>
        </w:rPr>
        <w:t>王晖</w:t>
      </w: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    质疑联系方式：0571-</w:t>
      </w:r>
      <w:r>
        <w:rPr>
          <w:rFonts w:hint="eastAsia" w:ascii="仿宋" w:hAnsi="仿宋" w:eastAsia="仿宋" w:cs="仿宋"/>
          <w:sz w:val="24"/>
          <w:lang w:val="en-US" w:eastAsia="zh-CN"/>
        </w:rPr>
        <w:t>23616016</w:t>
      </w:r>
    </w:p>
    <w:p>
      <w:pPr>
        <w:spacing w:line="360" w:lineRule="auto"/>
        <w:rPr>
          <w:rFonts w:hint="eastAsia" w:ascii="仿宋" w:hAnsi="仿宋" w:eastAsia="仿宋" w:cs="仿宋"/>
          <w:sz w:val="24"/>
        </w:rPr>
      </w:pPr>
      <w:r>
        <w:rPr>
          <w:rFonts w:hint="eastAsia" w:ascii="仿宋" w:hAnsi="仿宋" w:eastAsia="仿宋" w:cs="仿宋"/>
          <w:sz w:val="24"/>
        </w:rPr>
        <w:t xml:space="preserve">    3.同级政府采购监督管理部门            </w:t>
      </w:r>
    </w:p>
    <w:p>
      <w:pPr>
        <w:spacing w:line="360" w:lineRule="auto"/>
        <w:rPr>
          <w:rFonts w:hint="eastAsia" w:ascii="仿宋" w:hAnsi="仿宋" w:eastAsia="仿宋" w:cs="仿宋"/>
          <w:sz w:val="24"/>
        </w:rPr>
      </w:pPr>
      <w:r>
        <w:rPr>
          <w:rFonts w:hint="eastAsia" w:ascii="仿宋" w:hAnsi="仿宋" w:eastAsia="仿宋" w:cs="仿宋"/>
          <w:sz w:val="24"/>
        </w:rPr>
        <w:t xml:space="preserve">    名    称：杭州市临安区财政局政府采购监督管理科 </w:t>
      </w:r>
    </w:p>
    <w:p>
      <w:pPr>
        <w:spacing w:line="360" w:lineRule="auto"/>
        <w:rPr>
          <w:rFonts w:hint="eastAsia" w:ascii="仿宋" w:hAnsi="仿宋" w:eastAsia="仿宋" w:cs="仿宋"/>
          <w:sz w:val="24"/>
        </w:rPr>
      </w:pPr>
      <w:r>
        <w:rPr>
          <w:rFonts w:hint="eastAsia" w:ascii="仿宋" w:hAnsi="仿宋" w:eastAsia="仿宋" w:cs="仿宋"/>
          <w:sz w:val="24"/>
        </w:rPr>
        <w:t xml:space="preserve">    地    址：浙江</w:t>
      </w:r>
      <w:r>
        <w:rPr>
          <w:rFonts w:hint="eastAsia" w:ascii="仿宋" w:hAnsi="仿宋" w:eastAsia="仿宋" w:cs="仿宋"/>
          <w:sz w:val="24"/>
          <w:lang w:eastAsia="zh-CN"/>
        </w:rPr>
        <w:t>省杭州市临安区锦北街道科技大道</w:t>
      </w:r>
      <w:r>
        <w:rPr>
          <w:rFonts w:hint="eastAsia" w:ascii="仿宋" w:hAnsi="仿宋" w:eastAsia="仿宋" w:cs="仿宋"/>
          <w:sz w:val="24"/>
          <w:lang w:val="en-US" w:eastAsia="zh-CN"/>
        </w:rPr>
        <w:t>4398号4号楼11楼</w:t>
      </w:r>
      <w:r>
        <w:rPr>
          <w:rFonts w:hint="eastAsia" w:ascii="仿宋" w:hAnsi="仿宋" w:eastAsia="仿宋" w:cs="仿宋"/>
          <w:sz w:val="24"/>
        </w:rPr>
        <w:t xml:space="preserve"> </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 xml:space="preserve">  传    真： 0571-63722886</w:t>
      </w:r>
    </w:p>
    <w:p>
      <w:pPr>
        <w:spacing w:line="360" w:lineRule="auto"/>
        <w:rPr>
          <w:rFonts w:hint="eastAsia" w:ascii="仿宋" w:hAnsi="仿宋" w:eastAsia="仿宋" w:cs="仿宋"/>
          <w:sz w:val="24"/>
        </w:rPr>
      </w:pPr>
      <w:r>
        <w:rPr>
          <w:rFonts w:hint="eastAsia" w:ascii="仿宋" w:hAnsi="仿宋" w:eastAsia="仿宋" w:cs="仿宋"/>
          <w:sz w:val="24"/>
        </w:rPr>
        <w:t xml:space="preserve">    联系人 ：喻先生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监督投诉电话：0571-61073953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pStyle w:val="33"/>
        <w:spacing w:line="360" w:lineRule="auto"/>
        <w:rPr>
          <w:rFonts w:hint="eastAsia" w:ascii="仿宋" w:hAnsi="仿宋" w:eastAsia="仿宋" w:cs="仿宋"/>
          <w:sz w:val="24"/>
        </w:rPr>
      </w:pPr>
      <w:r>
        <w:rPr>
          <w:rFonts w:hint="eastAsia" w:ascii="仿宋" w:hAnsi="仿宋" w:eastAsia="仿宋" w:cs="仿宋"/>
          <w:sz w:val="24"/>
        </w:rPr>
        <w:t xml:space="preserve">                       </w:t>
      </w:r>
    </w:p>
    <w:p>
      <w:pPr>
        <w:pStyle w:val="33"/>
        <w:spacing w:line="360" w:lineRule="auto"/>
        <w:ind w:firstLine="1680" w:firstLineChars="700"/>
        <w:rPr>
          <w:rFonts w:hint="eastAsia" w:ascii="仿宋" w:hAnsi="仿宋" w:eastAsia="仿宋" w:cs="仿宋"/>
          <w:sz w:val="24"/>
        </w:rPr>
      </w:pPr>
      <w:r>
        <w:rPr>
          <w:rFonts w:hint="eastAsia" w:ascii="仿宋" w:hAnsi="仿宋" w:eastAsia="仿宋" w:cs="仿宋"/>
          <w:sz w:val="24"/>
        </w:rPr>
        <w:t xml:space="preserve"> </w:t>
      </w:r>
    </w:p>
    <w:p>
      <w:pPr>
        <w:pStyle w:val="33"/>
        <w:spacing w:line="360" w:lineRule="auto"/>
        <w:ind w:firstLine="2530" w:firstLineChars="700"/>
        <w:rPr>
          <w:rFonts w:hint="eastAsia" w:ascii="仿宋" w:hAnsi="仿宋" w:eastAsia="仿宋" w:cs="仿宋"/>
          <w:b/>
          <w:sz w:val="36"/>
          <w:szCs w:val="20"/>
        </w:rPr>
      </w:pPr>
      <w:r>
        <w:rPr>
          <w:rFonts w:hint="eastAsia" w:ascii="仿宋" w:hAnsi="仿宋" w:eastAsia="仿宋" w:cs="仿宋"/>
          <w:b/>
          <w:sz w:val="36"/>
          <w:szCs w:val="20"/>
        </w:rPr>
        <w:t xml:space="preserve"> 第二部分</w:t>
      </w:r>
      <w:bookmarkEnd w:id="8"/>
      <w:r>
        <w:rPr>
          <w:rFonts w:hint="eastAsia" w:ascii="仿宋" w:hAnsi="仿宋" w:eastAsia="仿宋" w:cs="仿宋"/>
          <w:b/>
          <w:sz w:val="36"/>
          <w:szCs w:val="20"/>
        </w:rPr>
        <w:t xml:space="preserve"> 投标人须知</w:t>
      </w:r>
      <w:bookmarkEnd w:id="9"/>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b/>
                <w:bCs/>
                <w:kern w:val="0"/>
                <w:sz w:val="24"/>
                <w:u w:val="single"/>
                <w:lang w:val="en-US" w:eastAsia="zh-CN"/>
              </w:rPr>
              <w:t>圆腿长方桌(小班）</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lang w:val="en-US"/>
              </w:rPr>
            </w:pPr>
            <w:r>
              <w:rPr>
                <w:rFonts w:hint="eastAsia" w:ascii="仿宋" w:hAnsi="仿宋" w:eastAsia="仿宋" w:cs="仿宋"/>
                <w:kern w:val="0"/>
                <w:sz w:val="24"/>
              </w:rPr>
              <w:t>（1）标的：</w:t>
            </w:r>
            <w:r>
              <w:rPr>
                <w:rFonts w:hint="eastAsia" w:ascii="仿宋" w:hAnsi="仿宋" w:eastAsia="仿宋" w:cs="仿宋"/>
                <w:b/>
                <w:bCs/>
                <w:kern w:val="0"/>
                <w:sz w:val="24"/>
                <w:u w:val="single"/>
                <w:lang w:eastAsia="zh-CN"/>
              </w:rPr>
              <w:t>办公家具（</w:t>
            </w:r>
            <w:r>
              <w:rPr>
                <w:rFonts w:hint="eastAsia" w:ascii="仿宋" w:hAnsi="仿宋" w:eastAsia="仿宋" w:cs="仿宋"/>
                <w:b/>
                <w:bCs/>
                <w:kern w:val="0"/>
                <w:sz w:val="24"/>
                <w:u w:val="single"/>
                <w:lang w:val="en-US" w:eastAsia="zh-CN"/>
              </w:rPr>
              <w:t>1-62项</w:t>
            </w:r>
            <w:r>
              <w:rPr>
                <w:rFonts w:hint="eastAsia" w:ascii="仿宋" w:hAnsi="仿宋" w:eastAsia="仿宋" w:cs="仿宋"/>
                <w:b/>
                <w:bCs/>
                <w:kern w:val="0"/>
                <w:sz w:val="24"/>
                <w:u w:val="single"/>
                <w:lang w:eastAsia="zh-CN"/>
              </w:rPr>
              <w:t>）、小班教室（</w:t>
            </w:r>
            <w:r>
              <w:rPr>
                <w:rFonts w:hint="eastAsia" w:ascii="仿宋" w:hAnsi="仿宋" w:eastAsia="仿宋" w:cs="仿宋"/>
                <w:b/>
                <w:bCs/>
                <w:kern w:val="0"/>
                <w:sz w:val="24"/>
                <w:u w:val="single"/>
                <w:lang w:val="en-US" w:eastAsia="zh-CN"/>
              </w:rPr>
              <w:t>1-42项</w:t>
            </w:r>
            <w:r>
              <w:rPr>
                <w:rFonts w:hint="eastAsia" w:ascii="仿宋" w:hAnsi="仿宋" w:eastAsia="仿宋" w:cs="仿宋"/>
                <w:b/>
                <w:bCs/>
                <w:kern w:val="0"/>
                <w:sz w:val="24"/>
                <w:u w:val="single"/>
                <w:lang w:eastAsia="zh-CN"/>
              </w:rPr>
              <w:t>）、中班教室（</w:t>
            </w:r>
            <w:r>
              <w:rPr>
                <w:rFonts w:hint="eastAsia" w:ascii="仿宋" w:hAnsi="仿宋" w:eastAsia="仿宋" w:cs="仿宋"/>
                <w:b/>
                <w:bCs/>
                <w:kern w:val="0"/>
                <w:sz w:val="24"/>
                <w:u w:val="single"/>
                <w:lang w:val="en-US" w:eastAsia="zh-CN"/>
              </w:rPr>
              <w:t>1-37项</w:t>
            </w:r>
            <w:r>
              <w:rPr>
                <w:rFonts w:hint="eastAsia" w:ascii="仿宋" w:hAnsi="仿宋" w:eastAsia="仿宋" w:cs="仿宋"/>
                <w:b/>
                <w:bCs/>
                <w:kern w:val="0"/>
                <w:sz w:val="24"/>
                <w:u w:val="single"/>
                <w:lang w:eastAsia="zh-CN"/>
              </w:rPr>
              <w:t>）、大班教室（</w:t>
            </w:r>
            <w:r>
              <w:rPr>
                <w:rFonts w:hint="eastAsia" w:ascii="仿宋" w:hAnsi="仿宋" w:eastAsia="仿宋" w:cs="仿宋"/>
                <w:b/>
                <w:bCs/>
                <w:kern w:val="0"/>
                <w:sz w:val="24"/>
                <w:u w:val="single"/>
                <w:lang w:val="en-US" w:eastAsia="zh-CN"/>
              </w:rPr>
              <w:t>1-30项</w:t>
            </w:r>
            <w:r>
              <w:rPr>
                <w:rFonts w:hint="eastAsia" w:ascii="仿宋" w:hAnsi="仿宋" w:eastAsia="仿宋" w:cs="仿宋"/>
                <w:b/>
                <w:bCs/>
                <w:kern w:val="0"/>
                <w:sz w:val="24"/>
                <w:u w:val="single"/>
                <w:lang w:eastAsia="zh-CN"/>
              </w:rPr>
              <w:t>）、储物柜洗手台（</w:t>
            </w:r>
            <w:r>
              <w:rPr>
                <w:rFonts w:hint="eastAsia" w:ascii="仿宋" w:hAnsi="仿宋" w:eastAsia="仿宋" w:cs="仿宋"/>
                <w:b/>
                <w:bCs/>
                <w:kern w:val="0"/>
                <w:sz w:val="24"/>
                <w:u w:val="single"/>
                <w:lang w:val="en-US" w:eastAsia="zh-CN"/>
              </w:rPr>
              <w:t>1-3项</w:t>
            </w:r>
            <w:r>
              <w:rPr>
                <w:rFonts w:hint="eastAsia" w:ascii="仿宋" w:hAnsi="仿宋" w:eastAsia="仿宋" w:cs="仿宋"/>
                <w:b/>
                <w:bCs/>
                <w:kern w:val="0"/>
                <w:sz w:val="24"/>
                <w:u w:val="single"/>
                <w:lang w:eastAsia="zh-CN"/>
              </w:rPr>
              <w:t>）</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b/>
                <w:bCs/>
                <w:kern w:val="0"/>
                <w:sz w:val="24"/>
                <w:u w:val="single"/>
                <w:lang w:eastAsia="zh-CN"/>
              </w:rPr>
              <w:t>工业</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82842570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pacing w:line="360" w:lineRule="auto"/>
              <w:rPr>
                <w:rFonts w:hint="eastAsia" w:ascii="仿宋" w:hAnsi="仿宋" w:eastAsia="仿宋" w:cs="仿宋"/>
              </w:rPr>
            </w:pPr>
            <w:sdt>
              <w:sdtPr>
                <w:rPr>
                  <w:rFonts w:hint="eastAsia" w:ascii="仿宋" w:hAnsi="仿宋" w:eastAsia="仿宋" w:cs="仿宋"/>
                  <w:kern w:val="0"/>
                  <w:sz w:val="24"/>
                </w:rPr>
                <w:id w:val="-5285282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47728692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b/>
                <w:bCs/>
                <w:sz w:val="24"/>
                <w:u w:val="single"/>
                <w:lang w:eastAsia="zh-CN"/>
              </w:rPr>
              <w:t>运输、安装</w:t>
            </w:r>
            <w:r>
              <w:rPr>
                <w:rFonts w:hint="eastAsia" w:ascii="仿宋" w:hAnsi="仿宋" w:eastAsia="仿宋" w:cs="仿宋"/>
                <w:sz w:val="24"/>
                <w:u w:val="single"/>
              </w:rPr>
              <w:t xml:space="preserve"> </w:t>
            </w:r>
            <w:r>
              <w:rPr>
                <w:rFonts w:hint="eastAsia" w:ascii="仿宋" w:hAnsi="仿宋" w:eastAsia="仿宋" w:cs="仿宋"/>
                <w:sz w:val="24"/>
              </w:rPr>
              <w:t>工作分包。</w:t>
            </w:r>
            <w:sdt>
              <w:sdtPr>
                <w:rPr>
                  <w:rFonts w:hint="eastAsia" w:ascii="仿宋" w:hAnsi="仿宋" w:eastAsia="仿宋" w:cs="仿宋"/>
                  <w:kern w:val="0"/>
                  <w:sz w:val="24"/>
                </w:rPr>
                <w:id w:val="-127633135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2129664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sz w:val="24"/>
                <w:szCs w:val="20"/>
              </w:rPr>
            </w:pPr>
            <w:sdt>
              <w:sdtPr>
                <w:rPr>
                  <w:rFonts w:hint="eastAsia" w:ascii="仿宋" w:hAnsi="仿宋" w:eastAsia="仿宋" w:cs="仿宋"/>
                  <w:kern w:val="0"/>
                  <w:sz w:val="24"/>
                </w:rPr>
                <w:id w:val="-99980297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63994648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026831988"/>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b/>
                <w:bCs/>
                <w:sz w:val="24"/>
                <w:szCs w:val="24"/>
                <w:highlight w:val="none"/>
                <w:u w:val="single"/>
                <w:lang w:val="en-US" w:eastAsia="zh-CN"/>
              </w:rPr>
              <w:t>1、办公桌1张；2、椅子(小班）1张；3、圆腿正方桌(小班）1张；4、四层抽拉床1张；5、90度弯柜（详见样品清单）</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napToGrid w:val="0"/>
                <w:kern w:val="28"/>
                <w:sz w:val="24"/>
                <w:u w:val="single"/>
                <w:lang w:eastAsia="zh-CN"/>
              </w:rPr>
              <w:t>详见样品清单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kern w:val="0"/>
                <w:sz w:val="24"/>
              </w:rPr>
              <w:t>；检测</w:t>
            </w:r>
            <w:r>
              <w:rPr>
                <w:rFonts w:hint="eastAsia" w:ascii="仿宋" w:hAnsi="仿宋" w:eastAsia="仿宋" w:cs="仿宋"/>
                <w:kern w:val="0"/>
                <w:sz w:val="24"/>
                <w:highlight w:val="none"/>
              </w:rPr>
              <w:t>内容</w:t>
            </w:r>
            <w:r>
              <w:rPr>
                <w:rFonts w:hint="eastAsia" w:ascii="仿宋" w:hAnsi="仿宋" w:eastAsia="仿宋" w:cs="仿宋"/>
                <w:sz w:val="24"/>
                <w:highlight w:val="none"/>
              </w:rPr>
              <w:t>：</w:t>
            </w:r>
            <w:r>
              <w:rPr>
                <w:rFonts w:hint="eastAsia" w:ascii="仿宋" w:hAnsi="仿宋" w:eastAsia="仿宋" w:cs="仿宋"/>
                <w:sz w:val="24"/>
                <w:highlight w:val="none"/>
                <w:u w:val="single"/>
                <w:lang w:val="en-US" w:eastAsia="zh-CN"/>
              </w:rPr>
              <w:t>/</w:t>
            </w:r>
            <w:r>
              <w:rPr>
                <w:rFonts w:hint="eastAsia" w:ascii="仿宋" w:hAnsi="仿宋" w:eastAsia="仿宋" w:cs="仿宋"/>
                <w:kern w:val="0"/>
                <w:sz w:val="24"/>
                <w:highlight w:val="none"/>
              </w:rPr>
              <w:t>。</w:t>
            </w:r>
            <w:r>
              <w:rPr>
                <w:rFonts w:hint="eastAsia" w:ascii="仿宋" w:hAnsi="仿宋" w:eastAsia="仿宋" w:cs="仿宋"/>
                <w:b/>
                <w:bCs/>
                <w:kern w:val="0"/>
                <w:sz w:val="24"/>
                <w:highlight w:val="none"/>
                <w:u w:val="none"/>
              </w:rPr>
              <w:t>检测报告编制在投标文件中。</w:t>
            </w:r>
          </w:p>
          <w:p>
            <w:pPr>
              <w:spacing w:line="360" w:lineRule="auto"/>
              <w:rPr>
                <w:rFonts w:hint="eastAsia" w:ascii="仿宋" w:hAnsi="仿宋" w:eastAsia="仿宋" w:cs="仿宋"/>
                <w:sz w:val="24"/>
              </w:rPr>
            </w:pPr>
            <w:r>
              <w:rPr>
                <w:rFonts w:hint="eastAsia" w:ascii="仿宋" w:hAnsi="仿宋" w:eastAsia="仿宋" w:cs="仿宋"/>
                <w:sz w:val="24"/>
                <w:highlight w:val="none"/>
              </w:rPr>
              <w:t>（5）提供样品的时间：</w:t>
            </w:r>
            <w:r>
              <w:rPr>
                <w:rFonts w:hint="eastAsia" w:ascii="仿宋" w:hAnsi="仿宋" w:eastAsia="仿宋" w:cs="仿宋"/>
                <w:b/>
                <w:bCs/>
                <w:sz w:val="24"/>
                <w:highlight w:val="none"/>
                <w:u w:val="single"/>
                <w:lang w:val="en-US" w:eastAsia="zh-CN"/>
              </w:rPr>
              <w:t>2022年11月23日 8:30:00至2022年11月23日13:00:00</w:t>
            </w:r>
            <w:r>
              <w:rPr>
                <w:rFonts w:hint="eastAsia" w:ascii="仿宋" w:hAnsi="仿宋" w:eastAsia="仿宋" w:cs="仿宋"/>
                <w:sz w:val="24"/>
                <w:highlight w:val="none"/>
                <w:lang w:val="en-US" w:eastAsia="zh-CN"/>
              </w:rPr>
              <w:t xml:space="preserve"> </w:t>
            </w:r>
            <w:r>
              <w:rPr>
                <w:rFonts w:hint="eastAsia" w:ascii="仿宋" w:hAnsi="仿宋" w:eastAsia="仿宋" w:cs="仿宋"/>
                <w:kern w:val="0"/>
                <w:sz w:val="24"/>
                <w:highlight w:val="none"/>
              </w:rPr>
              <w:t>；地点：</w:t>
            </w:r>
            <w:r>
              <w:rPr>
                <w:rFonts w:hint="eastAsia" w:ascii="仿宋" w:hAnsi="仿宋" w:eastAsia="仿宋" w:cs="仿宋"/>
                <w:b/>
                <w:bCs/>
                <w:kern w:val="0"/>
                <w:sz w:val="24"/>
                <w:highlight w:val="none"/>
                <w:u w:val="single"/>
                <w:lang w:val="en-US" w:eastAsia="zh-CN"/>
              </w:rPr>
              <w:t>浙江</w:t>
            </w:r>
            <w:r>
              <w:rPr>
                <w:rFonts w:hint="eastAsia" w:ascii="仿宋" w:hAnsi="仿宋" w:eastAsia="仿宋" w:cs="仿宋"/>
                <w:b/>
                <w:bCs/>
                <w:kern w:val="0"/>
                <w:sz w:val="24"/>
                <w:u w:val="single"/>
                <w:lang w:val="en-US" w:eastAsia="zh-CN"/>
              </w:rPr>
              <w:t xml:space="preserve">省杭州市临安区锦北街道科技大道4398号市民中心1号楼B座4楼询标室B436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b/>
                <w:bCs/>
                <w:sz w:val="24"/>
                <w:u w:val="single"/>
                <w:lang w:eastAsia="zh-CN"/>
              </w:rPr>
              <w:t>杨颖</w:t>
            </w:r>
            <w:r>
              <w:rPr>
                <w:rFonts w:hint="eastAsia" w:ascii="仿宋" w:hAnsi="仿宋" w:eastAsia="仿宋" w:cs="仿宋"/>
                <w:b/>
                <w:bCs/>
                <w:sz w:val="24"/>
                <w:u w:val="single"/>
                <w:lang w:val="en-US" w:eastAsia="zh-CN"/>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，联系电话：</w:t>
            </w:r>
            <w:r>
              <w:rPr>
                <w:rFonts w:hint="eastAsia" w:ascii="仿宋" w:hAnsi="仿宋" w:eastAsia="仿宋" w:cs="仿宋"/>
                <w:b/>
                <w:bCs/>
                <w:sz w:val="24"/>
                <w:u w:val="single"/>
                <w:lang w:val="en-US" w:eastAsia="zh-CN"/>
              </w:rPr>
              <w:t>0571-23616011</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sdt>
              <w:sdtPr>
                <w:rPr>
                  <w:rFonts w:hint="eastAsia" w:ascii="仿宋" w:hAnsi="仿宋" w:eastAsia="仿宋" w:cs="仿宋"/>
                  <w:kern w:val="0"/>
                  <w:sz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sz w:val="24"/>
              </w:rPr>
              <w:t>开标一览表（报价表）是报价的唯一载体</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sz w:val="24"/>
              </w:rPr>
            </w:pPr>
            <w:r>
              <w:rPr>
                <w:rFonts w:hint="eastAsia" w:ascii="仿宋" w:hAnsi="仿宋" w:eastAsia="仿宋" w:cs="仿宋"/>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rPr>
                <w:rFonts w:hint="eastAsia" w:ascii="仿宋" w:hAnsi="仿宋" w:eastAsia="仿宋" w:cs="仿宋"/>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hint="eastAsia" w:ascii="仿宋" w:hAnsi="仿宋" w:eastAsia="仿宋" w:cs="仿宋"/>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int="eastAsia" w:ascii="仿宋" w:hAnsi="仿宋" w:eastAsia="仿宋" w:cs="仿宋"/>
                <w:kern w:val="28"/>
                <w:sz w:val="24"/>
              </w:rPr>
            </w:pPr>
            <w:r>
              <w:rPr>
                <w:rFonts w:hint="eastAsia" w:ascii="仿宋" w:hAnsi="仿宋" w:eastAsia="仿宋" w:cs="仿宋"/>
                <w:kern w:val="28"/>
                <w:sz w:val="24"/>
                <w:szCs w:val="24"/>
              </w:rPr>
              <w:t>备份投标文件送达地点：</w:t>
            </w:r>
            <w:r>
              <w:rPr>
                <w:rFonts w:hint="eastAsia" w:ascii="仿宋" w:hAnsi="仿宋" w:eastAsia="仿宋" w:cs="仿宋"/>
                <w:kern w:val="28"/>
                <w:sz w:val="24"/>
                <w:szCs w:val="24"/>
                <w:u w:val="single"/>
              </w:rPr>
              <w:t>杭州市</w:t>
            </w:r>
            <w:r>
              <w:rPr>
                <w:rFonts w:hint="eastAsia" w:ascii="仿宋" w:hAnsi="仿宋" w:eastAsia="仿宋" w:cs="仿宋"/>
                <w:kern w:val="28"/>
                <w:sz w:val="24"/>
                <w:szCs w:val="24"/>
                <w:u w:val="single"/>
                <w:lang w:eastAsia="zh-CN"/>
              </w:rPr>
              <w:t>临安区锦北街道科技大道</w:t>
            </w:r>
            <w:r>
              <w:rPr>
                <w:rFonts w:hint="eastAsia" w:ascii="仿宋" w:hAnsi="仿宋" w:eastAsia="仿宋" w:cs="仿宋"/>
                <w:kern w:val="28"/>
                <w:sz w:val="24"/>
                <w:szCs w:val="24"/>
                <w:u w:val="single"/>
                <w:lang w:val="en-US" w:eastAsia="zh-CN"/>
              </w:rPr>
              <w:t>4398号市民中心B座B448室</w:t>
            </w:r>
            <w:r>
              <w:rPr>
                <w:rFonts w:hint="eastAsia" w:ascii="仿宋" w:hAnsi="仿宋" w:eastAsia="仿宋" w:cs="仿宋"/>
                <w:kern w:val="28"/>
                <w:sz w:val="24"/>
                <w:szCs w:val="24"/>
                <w:u w:val="single"/>
              </w:rPr>
              <w:t>（杭州市公共资源交易中心</w:t>
            </w:r>
            <w:r>
              <w:rPr>
                <w:rFonts w:hint="eastAsia" w:ascii="仿宋" w:hAnsi="仿宋" w:eastAsia="仿宋" w:cs="仿宋"/>
                <w:kern w:val="28"/>
                <w:sz w:val="24"/>
                <w:szCs w:val="24"/>
                <w:u w:val="single"/>
                <w:lang w:eastAsia="zh-CN"/>
              </w:rPr>
              <w:t>临安分中心</w:t>
            </w:r>
            <w:r>
              <w:rPr>
                <w:rFonts w:hint="eastAsia" w:ascii="仿宋" w:hAnsi="仿宋" w:eastAsia="仿宋" w:cs="仿宋"/>
                <w:kern w:val="28"/>
                <w:sz w:val="24"/>
                <w:szCs w:val="24"/>
                <w:u w:val="single"/>
              </w:rPr>
              <w:t>政府采购</w:t>
            </w:r>
            <w:r>
              <w:rPr>
                <w:rFonts w:hint="eastAsia" w:ascii="仿宋" w:hAnsi="仿宋" w:eastAsia="仿宋" w:cs="仿宋"/>
                <w:kern w:val="28"/>
                <w:sz w:val="24"/>
                <w:szCs w:val="24"/>
                <w:u w:val="single"/>
                <w:lang w:eastAsia="zh-CN"/>
              </w:rPr>
              <w:t>科</w:t>
            </w:r>
            <w:r>
              <w:rPr>
                <w:rFonts w:hint="eastAsia" w:ascii="仿宋" w:hAnsi="仿宋" w:eastAsia="仿宋" w:cs="仿宋"/>
                <w:kern w:val="28"/>
                <w:sz w:val="24"/>
                <w:szCs w:val="24"/>
                <w:u w:val="single"/>
              </w:rPr>
              <w:t>） ；备份投标文件签收人员联系电话：0571-</w:t>
            </w:r>
            <w:r>
              <w:rPr>
                <w:rFonts w:hint="eastAsia" w:ascii="仿宋" w:hAnsi="仿宋" w:eastAsia="仿宋" w:cs="仿宋"/>
                <w:kern w:val="28"/>
                <w:sz w:val="24"/>
                <w:szCs w:val="24"/>
                <w:u w:val="single"/>
                <w:lang w:val="en-US" w:eastAsia="zh-CN"/>
              </w:rPr>
              <w:t>23616011</w:t>
            </w:r>
            <w:r>
              <w:rPr>
                <w:rFonts w:hint="eastAsia" w:ascii="仿宋" w:hAnsi="仿宋" w:eastAsia="仿宋" w:cs="仿宋"/>
                <w:kern w:val="28"/>
                <w:sz w:val="24"/>
                <w:szCs w:val="24"/>
                <w:u w:val="single"/>
              </w:rPr>
              <w:t>。</w:t>
            </w:r>
            <w:r>
              <w:rPr>
                <w:rFonts w:hint="eastAsia" w:ascii="仿宋" w:hAnsi="仿宋" w:eastAsia="仿宋" w:cs="仿宋"/>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36976655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10525701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hint="eastAsia" w:ascii="仿宋" w:hAnsi="仿宋" w:eastAsia="仿宋" w:cs="仿宋"/>
          <w:b/>
          <w:sz w:val="32"/>
          <w:szCs w:val="20"/>
        </w:rPr>
      </w:pPr>
    </w:p>
    <w:bookmarkEnd w:id="10"/>
    <w:p>
      <w:pPr>
        <w:adjustRightInd/>
        <w:spacing w:line="360" w:lineRule="auto"/>
        <w:ind w:firstLine="3845" w:firstLineChars="1197"/>
        <w:outlineLvl w:val="0"/>
        <w:rPr>
          <w:rFonts w:hint="eastAsia" w:ascii="仿宋" w:hAnsi="仿宋" w:eastAsia="仿宋" w:cs="仿宋"/>
          <w:b/>
          <w:sz w:val="32"/>
          <w:szCs w:val="20"/>
        </w:rPr>
      </w:pPr>
      <w:bookmarkStart w:id="13" w:name="第三部分"/>
      <w:bookmarkStart w:id="14" w:name="_Toc164416483"/>
      <w:r>
        <w:rPr>
          <w:rFonts w:hint="eastAsia" w:ascii="仿宋" w:hAnsi="仿宋" w:eastAsia="仿宋" w:cs="仿宋"/>
          <w:b/>
          <w:sz w:val="32"/>
          <w:szCs w:val="20"/>
        </w:rPr>
        <w:t>一、总则</w:t>
      </w:r>
    </w:p>
    <w:p>
      <w:pPr>
        <w:snapToGrid w:val="0"/>
        <w:spacing w:line="360" w:lineRule="auto"/>
        <w:ind w:firstLine="361" w:firstLineChars="150"/>
        <w:jc w:val="left"/>
        <w:outlineLvl w:val="1"/>
        <w:rPr>
          <w:rFonts w:hint="eastAsia" w:ascii="仿宋" w:hAnsi="仿宋" w:eastAsia="仿宋" w:cs="仿宋"/>
          <w:b/>
          <w:sz w:val="24"/>
        </w:rPr>
      </w:pPr>
      <w:r>
        <w:rPr>
          <w:rFonts w:hint="eastAsia" w:ascii="仿宋" w:hAnsi="仿宋" w:eastAsia="仿宋" w:cs="仿宋"/>
          <w:b/>
          <w:sz w:val="24"/>
        </w:rPr>
        <w:t>1. 适用范围</w:t>
      </w:r>
    </w:p>
    <w:p>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sz w:val="24"/>
        </w:rPr>
      </w:pPr>
      <w:r>
        <w:rPr>
          <w:rFonts w:hint="eastAsia" w:ascii="仿宋" w:hAnsi="仿宋" w:eastAsia="仿宋" w:cs="仿宋"/>
          <w:b/>
          <w:sz w:val="24"/>
        </w:rPr>
        <w:t xml:space="preserve">   2.定义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“采购机构”系指招标公告中载明的本项目的采购机构。</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w:t>
      </w:r>
      <w:r>
        <w:rPr>
          <w:rFonts w:hint="eastAsia" w:ascii="仿宋" w:hAnsi="仿宋" w:eastAsia="仿宋" w:cs="仿宋"/>
          <w:sz w:val="24"/>
          <w:highlight w:val="none"/>
        </w:rPr>
        <w:t>包装和快递包装的，供应商提供产品及相关快递服务的具体包装要求要参考《商品包装政府采购需求标准（试行）》、《快递包装政府采购需求标准（试行）》。</w:t>
      </w:r>
      <w:bookmarkStart w:id="15" w:name="_Hlk107568539"/>
      <w:r>
        <w:rPr>
          <w:rFonts w:hint="eastAsia" w:ascii="仿宋" w:hAnsi="仿宋" w:eastAsia="仿宋" w:cs="仿宋"/>
          <w:sz w:val="24"/>
          <w:highlight w:val="none"/>
        </w:rPr>
        <w:t>优先采购绿色包装产品、绿色物流配送服务以及循环利用产品</w:t>
      </w:r>
      <w:bookmarkEnd w:id="15"/>
      <w:r>
        <w:rPr>
          <w:rFonts w:hint="eastAsia" w:ascii="仿宋" w:hAnsi="仿宋" w:eastAsia="仿宋" w:cs="仿宋"/>
          <w:sz w:val="24"/>
          <w:highlight w:val="none"/>
        </w:rPr>
        <w:t>。</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6" w:name="_Hlk101132181"/>
      <w:r>
        <w:rPr>
          <w:rFonts w:hint="eastAsia" w:ascii="仿宋" w:hAnsi="仿宋" w:eastAsia="仿宋" w:cs="仿宋"/>
          <w:sz w:val="24"/>
        </w:rPr>
        <w:t>联合协议或者分包意向协议约定小微企业的合同份额占到合同总金额30%以上的</w:t>
      </w:r>
      <w:bookmarkEnd w:id="16"/>
      <w:r>
        <w:rPr>
          <w:rFonts w:hint="eastAsia" w:ascii="仿宋" w:hAnsi="仿宋" w:eastAsia="仿宋" w:cs="仿宋"/>
          <w:sz w:val="24"/>
        </w:rPr>
        <w:t>，对联合体或者大中型企业的报价给予6%的扣除，用扣除后的价格参加评审。组成联合体或者接受分包的小微企业与联合体内其他企业、分包企业之间存在直接控股、管理关系的，不享受价格扣除优惠政策。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6</w:t>
      </w:r>
      <w:r>
        <w:rPr>
          <w:rFonts w:hint="eastAsia" w:ascii="仿宋" w:hAnsi="仿宋" w:eastAsia="仿宋" w:cs="仿宋"/>
          <w:sz w:val="24"/>
        </w:rPr>
        <w:t>平等对待内外资企业和符合条件的破产重整企业</w:t>
      </w:r>
    </w:p>
    <w:p>
      <w:pPr>
        <w:spacing w:line="360" w:lineRule="auto"/>
        <w:ind w:firstLine="240" w:firstLineChars="100"/>
        <w:rPr>
          <w:rFonts w:hint="eastAsia" w:ascii="仿宋" w:hAnsi="仿宋" w:eastAsia="仿宋" w:cs="仿宋"/>
          <w:b/>
          <w:sz w:val="24"/>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sz w:val="24"/>
        </w:rPr>
        <w:t>4. 询问、质疑、投诉</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4.1供应商询问</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4.2</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4.2</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7"/>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4.2.2.1对招标文件提出质疑的，质疑期限为供应商获得招标文件之日或者招标文件公告期限届满之日起计算。</w:t>
      </w:r>
    </w:p>
    <w:p>
      <w:pPr>
        <w:pStyle w:val="33"/>
        <w:spacing w:line="360" w:lineRule="auto"/>
        <w:ind w:left="479" w:leftChars="228"/>
        <w:rPr>
          <w:rFonts w:hint="eastAsia" w:ascii="仿宋" w:hAnsi="仿宋" w:eastAsia="仿宋" w:cs="仿宋"/>
          <w:sz w:val="24"/>
        </w:rPr>
      </w:pPr>
      <w:r>
        <w:rPr>
          <w:rFonts w:hint="eastAsia" w:ascii="仿宋" w:hAnsi="仿宋" w:eastAsia="仿宋" w:cs="仿宋"/>
          <w:sz w:val="24"/>
        </w:rPr>
        <w:t>4.2.2.2对采购过程提出质疑的，质疑期限为各采购程序环节结束之日起计算。4.2.2.3对采购结果提出质疑的，质疑期限自采购结果公告期限届满之日起计算。</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4.2.3</w:t>
      </w:r>
      <w:r>
        <w:rPr>
          <w:rFonts w:hint="eastAsia" w:ascii="仿宋" w:hAnsi="仿宋" w:eastAsia="仿宋" w:cs="仿宋"/>
          <w:sz w:val="24"/>
        </w:rPr>
        <w:t>供应商提出质疑应当提交质疑函和必要的证明材料。质疑函应当包括下列内容：</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4.2.3.1供应商的姓名或者名称、地址、邮编、联系人及联系电话；</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4.2.3.2质疑项目的名称、编号；</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4.2.3.3具体、明确的质疑事项和与质疑事项相关的请求；</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4.2.3.4事实依据；</w:t>
      </w:r>
    </w:p>
    <w:p>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4.2.3.5必要的法律依据；</w:t>
      </w:r>
    </w:p>
    <w:p>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4.2.3.6提出质疑的日期。</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4.2.4对同一采购程序环节的质疑，供应商须在法定质疑期内一次性提出。</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4.2</w:t>
      </w:r>
      <w:r>
        <w:rPr>
          <w:rFonts w:hint="eastAsia" w:ascii="仿宋" w:hAnsi="仿宋" w:eastAsia="仿宋" w:cs="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4.2</w:t>
      </w:r>
      <w:r>
        <w:rPr>
          <w:rFonts w:hint="eastAsia" w:ascii="仿宋" w:hAnsi="仿宋" w:eastAsia="仿宋" w:cs="仿宋"/>
        </w:rPr>
        <w:t>.6询问或者质疑事项可能影响采购结果的，采购人应当暂停签订合同，已经签订合同的，应当中止履行合同。</w:t>
      </w:r>
    </w:p>
    <w:p>
      <w:pPr>
        <w:pStyle w:val="886"/>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4.3供应商投诉</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4.3.1质疑供应商对采购人、采购机构的答复不满意或者采购人、采购机构未在规定的时间内作出答复的，可以在答复期满后十五个工作日内向同级政府采购监督管理部门提出投诉。</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4.3.3供应商投诉应当有明确的请求和必要的证明材料。</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4.3.5 以联合体形式参加政府采购活动的，其投诉应当由组成联合体的所有供应商共同提出。</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pPr>
        <w:pStyle w:val="886"/>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4.4在线质疑、投诉。</w:t>
      </w:r>
    </w:p>
    <w:p>
      <w:pPr>
        <w:pStyle w:val="886"/>
        <w:shd w:val="clear" w:color="auto" w:fill="FFFFFF"/>
        <w:snapToGrid w:val="0"/>
        <w:spacing w:after="240" w:afterAutospacing="0" w:line="360" w:lineRule="auto"/>
        <w:ind w:firstLine="480" w:firstLineChars="200"/>
        <w:contextualSpacing/>
        <w:rPr>
          <w:rFonts w:hint="eastAsia" w:ascii="仿宋" w:hAnsi="仿宋" w:eastAsia="仿宋" w:cs="仿宋"/>
        </w:rPr>
      </w:pPr>
      <w:r>
        <w:rPr>
          <w:rFonts w:hint="eastAsia" w:ascii="仿宋" w:hAnsi="仿宋" w:eastAsia="仿宋" w:cs="仿宋"/>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8"/>
        <w:snapToGrid w:val="0"/>
        <w:spacing w:before="0"/>
        <w:ind w:firstLine="360"/>
        <w:rPr>
          <w:rFonts w:hint="eastAsia" w:ascii="仿宋" w:hAnsi="仿宋" w:eastAsia="仿宋" w:cs="仿宋"/>
          <w:sz w:val="18"/>
          <w:szCs w:val="18"/>
        </w:rPr>
      </w:pPr>
    </w:p>
    <w:p>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pPr>
        <w:pStyle w:val="33"/>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pPr>
        <w:pStyle w:val="128"/>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6.1已获取招标文件的潜在投标人，若有问题需要澄清，应于投标截止时间前，以书面形式向采购机构提出。</w:t>
      </w:r>
    </w:p>
    <w:p>
      <w:pPr>
        <w:pStyle w:val="128"/>
        <w:snapToGrid w:val="0"/>
        <w:spacing w:before="0"/>
        <w:ind w:firstLine="480"/>
        <w:rPr>
          <w:rFonts w:hint="eastAsia" w:ascii="仿宋" w:hAnsi="仿宋" w:eastAsia="仿宋" w:cs="仿宋"/>
        </w:rPr>
      </w:pPr>
      <w:r>
        <w:rPr>
          <w:rFonts w:hint="eastAsia" w:ascii="仿宋" w:hAnsi="仿宋" w:eastAsia="仿宋" w:cs="仿宋"/>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int="eastAsia"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pPr>
        <w:pStyle w:val="7"/>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w:t>
      </w:r>
      <w:bookmarkStart w:id="17" w:name="_Hlk101259339"/>
      <w:r>
        <w:rPr>
          <w:rFonts w:hint="eastAsia" w:ascii="仿宋" w:hAnsi="仿宋" w:eastAsia="仿宋" w:cs="仿宋"/>
          <w:snapToGrid w:val="0"/>
          <w:kern w:val="28"/>
          <w:sz w:val="24"/>
          <w:szCs w:val="20"/>
        </w:rPr>
        <w:t>联合协议</w:t>
      </w:r>
      <w:bookmarkStart w:id="18" w:name="_Hlk101257010"/>
      <w:r>
        <w:rPr>
          <w:rFonts w:hint="eastAsia" w:ascii="仿宋" w:hAnsi="仿宋" w:eastAsia="仿宋" w:cs="仿宋"/>
          <w:snapToGrid w:val="0"/>
          <w:kern w:val="28"/>
          <w:sz w:val="24"/>
          <w:szCs w:val="20"/>
        </w:rPr>
        <w:t>（如果有)</w:t>
      </w:r>
      <w:bookmarkEnd w:id="17"/>
      <w:bookmarkEnd w:id="18"/>
      <w:r>
        <w:rPr>
          <w:rFonts w:hint="eastAsia" w:ascii="仿宋" w:hAnsi="仿宋" w:eastAsia="仿宋" w:cs="仿宋"/>
          <w:snapToGrid w:val="0"/>
          <w:kern w:val="28"/>
          <w:sz w:val="24"/>
          <w:szCs w:val="20"/>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11.1.4本项目的特定资格要求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r>
        <w:rPr>
          <w:rFonts w:hint="eastAsia" w:ascii="仿宋" w:hAnsi="仿宋" w:eastAsia="仿宋" w:cs="仿宋"/>
          <w:sz w:val="24"/>
          <w:lang w:val="zh-CN"/>
        </w:rPr>
        <w:t xml:space="preserve"> </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11.2.6投标标的清单；</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pPr>
        <w:snapToGrid w:val="0"/>
        <w:spacing w:line="360" w:lineRule="auto"/>
        <w:ind w:firstLine="960" w:firstLineChars="400"/>
        <w:rPr>
          <w:rFonts w:hint="eastAsia"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firstLine="480" w:firstLineChars="200"/>
        <w:rPr>
          <w:rFonts w:hint="eastAsia" w:ascii="仿宋" w:hAnsi="仿宋" w:eastAsia="仿宋" w:cs="仿宋"/>
          <w:sz w:val="24"/>
          <w:u w:val="single"/>
          <w:lang w:val="zh-CN"/>
        </w:rPr>
      </w:pPr>
      <w:r>
        <w:rPr>
          <w:rFonts w:hint="eastAsia" w:ascii="仿宋" w:hAnsi="仿宋" w:eastAsia="仿宋" w:cs="仿宋"/>
          <w:kern w:val="0"/>
          <w:sz w:val="24"/>
          <w:lang w:val="zh-CN"/>
        </w:rPr>
        <w:t>11.</w:t>
      </w:r>
      <w:r>
        <w:rPr>
          <w:rFonts w:hint="eastAsia" w:ascii="仿宋" w:hAnsi="仿宋" w:eastAsia="仿宋" w:cs="仿宋"/>
          <w:kern w:val="0"/>
          <w:sz w:val="24"/>
        </w:rPr>
        <w:t>3</w:t>
      </w:r>
      <w:r>
        <w:rPr>
          <w:rFonts w:hint="eastAsia" w:ascii="仿宋" w:hAnsi="仿宋" w:eastAsia="仿宋" w:cs="仿宋"/>
          <w:b/>
          <w:sz w:val="24"/>
        </w:rPr>
        <w:t>报价文件：</w:t>
      </w:r>
      <w:r>
        <w:rPr>
          <w:rFonts w:hint="eastAsia" w:ascii="仿宋" w:hAnsi="仿宋" w:eastAsia="仿宋" w:cs="仿宋"/>
          <w:sz w:val="24"/>
        </w:rPr>
        <w:t xml:space="preserve"> </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11.3.1开标一览表（报价表）；</w:t>
      </w:r>
    </w:p>
    <w:p>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11.3.2中小企业声明函。</w:t>
      </w:r>
    </w:p>
    <w:p>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pPr>
        <w:pStyle w:val="128"/>
        <w:snapToGrid w:val="0"/>
        <w:spacing w:before="0"/>
        <w:ind w:firstLine="0" w:firstLineChars="0"/>
        <w:outlineLvl w:val="0"/>
        <w:rPr>
          <w:rFonts w:hint="eastAsia"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p>
    <w:p>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sz w:val="24"/>
        </w:rPr>
      </w:pPr>
      <w:r>
        <w:rPr>
          <w:rFonts w:hint="eastAsia" w:ascii="仿宋" w:hAnsi="仿宋" w:eastAsia="仿宋" w:cs="仿宋"/>
          <w:b/>
          <w:sz w:val="24"/>
        </w:rPr>
        <w:t>13.投标文件的签署、盖章</w:t>
      </w:r>
    </w:p>
    <w:p>
      <w:pPr>
        <w:pStyle w:val="128"/>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128"/>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pPr>
        <w:pStyle w:val="128"/>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14. 投标文件的提交、补充、修改、撤回</w:t>
      </w:r>
    </w:p>
    <w:p>
      <w:pPr>
        <w:pStyle w:val="128"/>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8"/>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pPr>
        <w:pStyle w:val="128"/>
        <w:spacing w:before="0"/>
        <w:ind w:firstLine="480"/>
        <w:rPr>
          <w:rFonts w:hint="eastAsia" w:ascii="仿宋" w:hAnsi="仿宋" w:eastAsia="仿宋" w:cs="仿宋"/>
          <w:szCs w:val="24"/>
        </w:rPr>
      </w:pPr>
      <w:r>
        <w:rPr>
          <w:rFonts w:hint="eastAsia" w:ascii="仿宋" w:hAnsi="仿宋" w:eastAsia="仿宋" w:cs="仿宋"/>
          <w:szCs w:val="24"/>
        </w:rPr>
        <w:t>14.3采购人、采购机构可以视情况延长投标文件提交的截止时间。在上述情况下，采购机构与投标人以前在投标截止期方面的全部权利、责任和义务，将适用于延长至新的投标截止期。</w:t>
      </w:r>
    </w:p>
    <w:p>
      <w:pPr>
        <w:pStyle w:val="33"/>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pPr>
        <w:pStyle w:val="33"/>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但采购人、采购机构不强制或变相强制投标人提交备份投标文件。</w:t>
      </w:r>
    </w:p>
    <w:p>
      <w:pPr>
        <w:pStyle w:val="33"/>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15.3直接提交备份投标文件的，投标人应于投标截止时间前在招标公告中载明的开标地点将备份投标文件提交给采购机构，采购机构将拒绝接受逾期送达的备份投标文件。</w:t>
      </w:r>
    </w:p>
    <w:p>
      <w:pPr>
        <w:pStyle w:val="33"/>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pPr>
        <w:pStyle w:val="2"/>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w:t>
      </w:r>
      <w:r>
        <w:rPr>
          <w:rFonts w:hint="eastAsia" w:ascii="仿宋" w:hAnsi="仿宋" w:eastAsia="仿宋" w:cs="仿宋"/>
        </w:rPr>
        <w:t>4.2规定</w:t>
      </w:r>
      <w:r>
        <w:rPr>
          <w:rFonts w:hint="eastAsia" w:ascii="仿宋" w:hAnsi="仿宋" w:eastAsia="仿宋" w:cs="仿宋"/>
          <w:szCs w:val="21"/>
        </w:rPr>
        <w:t>的情形之一的，投标无效：</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pPr>
        <w:pStyle w:val="128"/>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pPr>
        <w:pStyle w:val="128"/>
        <w:spacing w:before="0"/>
        <w:ind w:firstLine="480"/>
        <w:rPr>
          <w:rFonts w:hint="eastAsia" w:ascii="仿宋" w:hAnsi="仿宋" w:eastAsia="仿宋" w:cs="仿宋"/>
        </w:rPr>
      </w:pPr>
      <w:r>
        <w:rPr>
          <w:rFonts w:hint="eastAsia" w:ascii="仿宋" w:hAnsi="仿宋" w:eastAsia="仿宋" w:cs="仿宋"/>
        </w:rPr>
        <w:t>17.3在原定投标有效期满之前，如果出现特殊情况，采购机构可以以书面形式通知投标人延长投标有效期。投标人同意延长的，不得要求或被允许修改其投标文件，投标人拒绝延长的，其投标无效。</w:t>
      </w:r>
    </w:p>
    <w:p>
      <w:pPr>
        <w:pStyle w:val="128"/>
        <w:spacing w:before="0"/>
        <w:ind w:firstLine="643"/>
        <w:rPr>
          <w:rFonts w:hint="eastAsia" w:ascii="仿宋" w:hAnsi="仿宋" w:eastAsia="仿宋" w:cs="仿宋"/>
          <w:b/>
          <w:sz w:val="32"/>
        </w:rPr>
      </w:pPr>
    </w:p>
    <w:p>
      <w:pPr>
        <w:pStyle w:val="128"/>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pPr>
        <w:pStyle w:val="554"/>
        <w:spacing w:before="0" w:line="360" w:lineRule="auto"/>
        <w:ind w:left="0" w:firstLine="241" w:firstLineChars="10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pPr>
        <w:pStyle w:val="554"/>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18.1采购机构按照招标文件规定的时间通过电子交易平台组织开标，所有投标人均应当准时在线参加。投标人不足3家的，不得开标。</w:t>
      </w:r>
    </w:p>
    <w:p>
      <w:pPr>
        <w:pStyle w:val="554"/>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18.2开标时，电子交易平台按开标时间自动提取所有投标文件。采购机构依托电子交易平台发起开始解密指令，投标人按照平台提示和招标文件的规定在半小时内完成在线解密。</w:t>
      </w:r>
    </w:p>
    <w:p>
      <w:pPr>
        <w:pStyle w:val="554"/>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　19、资格审查</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19.1开标后，采购人或采购机构将依法对投标人的资格进行审查。</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采购人或采购机构依据法律法规和招标文件的规定，对投标人的资格进行审查。</w:t>
      </w:r>
    </w:p>
    <w:p>
      <w:pPr>
        <w:pStyle w:val="128"/>
        <w:spacing w:before="0"/>
        <w:ind w:firstLine="480"/>
        <w:rPr>
          <w:rFonts w:hint="eastAsia" w:ascii="仿宋" w:hAnsi="仿宋" w:eastAsia="仿宋" w:cs="仿宋"/>
        </w:rPr>
      </w:pPr>
      <w:r>
        <w:rPr>
          <w:rFonts w:hint="eastAsia" w:ascii="仿宋" w:hAnsi="仿宋" w:eastAsia="仿宋" w:cs="仿宋"/>
          <w:kern w:val="0"/>
          <w:szCs w:val="24"/>
        </w:rPr>
        <w:t>19.3投标人未按照招标文件要求提供与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pPr>
        <w:pStyle w:val="12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4对未通过资格审查的投标人，采购人或采购机构告知其未通过的原因。</w:t>
      </w:r>
    </w:p>
    <w:p>
      <w:pPr>
        <w:pStyle w:val="12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pPr>
        <w:pStyle w:val="128"/>
        <w:spacing w:before="0"/>
        <w:ind w:firstLine="0" w:firstLineChars="0"/>
        <w:rPr>
          <w:rFonts w:hint="eastAsia" w:ascii="仿宋" w:hAnsi="仿宋" w:eastAsia="仿宋" w:cs="仿宋"/>
          <w:b/>
          <w:szCs w:val="24"/>
        </w:rPr>
      </w:pPr>
      <w:r>
        <w:rPr>
          <w:rFonts w:hint="eastAsia" w:ascii="仿宋" w:hAnsi="仿宋" w:eastAsia="仿宋" w:cs="仿宋"/>
          <w:b/>
          <w:szCs w:val="24"/>
        </w:rPr>
        <w:t>20、信用信息查询</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20.1信用信息查询渠道及截止时间：采购机构将在资格审查时通过“信用中国”网站(www.creditchina.gov.cn)、中国政府采购网(www.ccgp.gov.cn)渠道查询投标人接受资格审查时的信用记录。</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pPr>
        <w:pStyle w:val="12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pPr>
        <w:pStyle w:val="128"/>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pStyle w:val="128"/>
        <w:spacing w:before="0"/>
        <w:ind w:firstLine="0" w:firstLineChars="0"/>
        <w:rPr>
          <w:rFonts w:hint="eastAsia" w:ascii="仿宋" w:hAnsi="仿宋" w:eastAsia="仿宋" w:cs="仿宋"/>
          <w:kern w:val="0"/>
          <w:szCs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pPr>
        <w:spacing w:line="360" w:lineRule="auto"/>
        <w:rPr>
          <w:rFonts w:hint="eastAsia" w:ascii="仿宋" w:hAnsi="仿宋" w:eastAsia="仿宋" w:cs="仿宋"/>
          <w:b/>
          <w:sz w:val="24"/>
        </w:rPr>
      </w:pPr>
      <w:bookmarkStart w:id="19"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pPr>
        <w:spacing w:line="360" w:lineRule="auto"/>
        <w:rPr>
          <w:rFonts w:hint="eastAsia" w:ascii="仿宋" w:hAnsi="仿宋" w:eastAsia="仿宋" w:cs="仿宋"/>
          <w:b/>
          <w:sz w:val="24"/>
        </w:rPr>
      </w:pPr>
    </w:p>
    <w:p>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22. 确定中标供应商</w:t>
      </w:r>
    </w:p>
    <w:p>
      <w:pPr>
        <w:pStyle w:val="128"/>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 中标通知与中标结果公告</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pPr>
        <w:snapToGrid w:val="0"/>
        <w:spacing w:line="360" w:lineRule="auto"/>
        <w:ind w:left="120" w:leftChars="57" w:firstLine="482" w:firstLineChars="150"/>
        <w:jc w:val="center"/>
        <w:rPr>
          <w:rFonts w:hint="eastAsia" w:ascii="仿宋" w:hAnsi="仿宋" w:eastAsia="仿宋" w:cs="仿宋"/>
          <w:b/>
          <w:sz w:val="32"/>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pPr>
        <w:pStyle w:val="2"/>
        <w:spacing w:line="360" w:lineRule="auto"/>
        <w:ind w:left="479" w:hanging="479" w:hangingChars="199"/>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25. 合同的签订</w:t>
      </w:r>
    </w:p>
    <w:p>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28"/>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pPr>
        <w:pStyle w:val="128"/>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pPr>
        <w:pStyle w:val="128"/>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pPr>
        <w:pStyle w:val="2"/>
        <w:spacing w:line="360" w:lineRule="auto"/>
        <w:ind w:left="479" w:hanging="479" w:hangingChars="199"/>
        <w:rPr>
          <w:rFonts w:hint="eastAsia" w:ascii="仿宋" w:hAnsi="仿宋" w:eastAsia="仿宋" w:cs="仿宋"/>
          <w:b/>
        </w:rPr>
      </w:pPr>
      <w:r>
        <w:rPr>
          <w:rFonts w:hint="eastAsia" w:ascii="仿宋" w:hAnsi="仿宋" w:eastAsia="仿宋" w:cs="仿宋"/>
          <w:b/>
        </w:rPr>
        <w:t>26. 履约保证金</w:t>
      </w:r>
    </w:p>
    <w:p>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2"/>
        <w:rPr>
          <w:rFonts w:hint="eastAsia" w:ascii="仿宋" w:hAnsi="仿宋" w:eastAsia="仿宋" w:cs="仿宋"/>
          <w:sz w:val="24"/>
          <w:szCs w:val="20"/>
        </w:rPr>
      </w:pPr>
      <w:r>
        <w:rPr>
          <w:rFonts w:hint="eastAsia" w:ascii="仿宋" w:hAnsi="仿宋" w:eastAsia="仿宋" w:cs="仿宋"/>
          <w:sz w:val="24"/>
          <w:szCs w:val="20"/>
        </w:rPr>
        <w:t>政府采购货物和服务项目中，采购单位可根据杭州市政府采购网公布的供应商履约评价情况减免履约保证金。供应商履约验收评价总分为100分的，采购单位应当免收履约保证金。</w:t>
      </w:r>
    </w:p>
    <w:p>
      <w:pPr>
        <w:pStyle w:val="5"/>
        <w:ind w:left="0" w:firstLine="480" w:firstLineChars="200"/>
        <w:rPr>
          <w:rFonts w:hint="eastAsia" w:ascii="仿宋" w:hAnsi="仿宋" w:eastAsia="仿宋" w:cs="仿宋"/>
          <w:lang w:val="en-US"/>
        </w:rPr>
      </w:pPr>
      <w:r>
        <w:rPr>
          <w:rFonts w:hint="eastAsia" w:ascii="仿宋" w:hAnsi="仿宋" w:eastAsia="仿宋" w:cs="仿宋"/>
          <w:b w:val="0"/>
          <w:bCs w:val="0"/>
          <w:snapToGrid w:val="0"/>
          <w:kern w:val="28"/>
          <w:sz w:val="24"/>
        </w:rPr>
        <w:t>供应商</w:t>
      </w:r>
      <w:r>
        <w:rPr>
          <w:rFonts w:hint="eastAsia" w:ascii="仿宋" w:hAnsi="仿宋" w:eastAsia="仿宋" w:cs="仿宋"/>
          <w:b w:val="0"/>
          <w:bCs w:val="0"/>
          <w:snapToGrid w:val="0"/>
          <w:kern w:val="28"/>
          <w:sz w:val="24"/>
          <w:lang w:val="en-US"/>
        </w:rPr>
        <w:t>可</w:t>
      </w:r>
      <w:r>
        <w:rPr>
          <w:rFonts w:hint="eastAsia" w:ascii="仿宋" w:hAnsi="仿宋" w:eastAsia="仿宋" w:cs="仿宋"/>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 w:hAnsi="仿宋" w:eastAsia="仿宋" w:cs="仿宋"/>
          <w:b/>
          <w:sz w:val="32"/>
        </w:rPr>
      </w:pPr>
    </w:p>
    <w:p>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pPr>
        <w:pStyle w:val="128"/>
        <w:snapToGrid w:val="0"/>
        <w:spacing w:before="0"/>
        <w:ind w:firstLine="0" w:firstLineChars="0"/>
        <w:rPr>
          <w:rFonts w:hint="eastAsia" w:ascii="仿宋" w:hAnsi="仿宋" w:eastAsia="仿宋" w:cs="仿宋"/>
        </w:rPr>
      </w:pPr>
      <w:r>
        <w:rPr>
          <w:rFonts w:hint="eastAsia" w:ascii="仿宋" w:hAnsi="仿宋" w:eastAsia="仿宋" w:cs="仿宋"/>
        </w:rPr>
        <w:t>2</w:t>
      </w:r>
      <w:r>
        <w:rPr>
          <w:rFonts w:hint="eastAsia" w:ascii="仿宋" w:hAnsi="仿宋" w:eastAsia="仿宋" w:cs="仿宋"/>
          <w:b/>
          <w:szCs w:val="24"/>
        </w:rPr>
        <w:t>7. 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pPr>
        <w:pStyle w:val="128"/>
        <w:snapToGrid w:val="0"/>
        <w:spacing w:before="0"/>
        <w:ind w:firstLine="480"/>
        <w:rPr>
          <w:rFonts w:hint="eastAsia" w:ascii="仿宋" w:hAnsi="仿宋" w:eastAsia="仿宋" w:cs="仿宋"/>
        </w:rPr>
      </w:pPr>
      <w:r>
        <w:rPr>
          <w:rFonts w:hint="eastAsia" w:ascii="仿宋" w:hAnsi="仿宋" w:eastAsia="仿宋" w:cs="仿宋"/>
        </w:rPr>
        <w:t xml:space="preserve">27.1电子交易平台发生故障而无法登录访问的； </w:t>
      </w:r>
    </w:p>
    <w:p>
      <w:pPr>
        <w:pStyle w:val="128"/>
        <w:snapToGrid w:val="0"/>
        <w:spacing w:before="0"/>
        <w:ind w:firstLine="480"/>
        <w:rPr>
          <w:rFonts w:hint="eastAsia" w:ascii="仿宋" w:hAnsi="仿宋" w:eastAsia="仿宋" w:cs="仿宋"/>
        </w:rPr>
      </w:pPr>
      <w:r>
        <w:rPr>
          <w:rFonts w:hint="eastAsia" w:ascii="仿宋" w:hAnsi="仿宋" w:eastAsia="仿宋" w:cs="仿宋"/>
        </w:rPr>
        <w:t>27.2电子交易平台应用或数据库出现错误，不能进行正常操作的；</w:t>
      </w:r>
    </w:p>
    <w:p>
      <w:pPr>
        <w:pStyle w:val="128"/>
        <w:snapToGrid w:val="0"/>
        <w:spacing w:before="0"/>
        <w:ind w:firstLine="480"/>
        <w:rPr>
          <w:rFonts w:hint="eastAsia" w:ascii="仿宋" w:hAnsi="仿宋" w:eastAsia="仿宋" w:cs="仿宋"/>
        </w:rPr>
      </w:pPr>
      <w:r>
        <w:rPr>
          <w:rFonts w:hint="eastAsia" w:ascii="仿宋" w:hAnsi="仿宋" w:eastAsia="仿宋" w:cs="仿宋"/>
        </w:rPr>
        <w:t>27.3电子交易平台发现严重安全漏洞，有潜在泄密危险的；</w:t>
      </w:r>
    </w:p>
    <w:p>
      <w:pPr>
        <w:pStyle w:val="128"/>
        <w:snapToGrid w:val="0"/>
        <w:spacing w:before="0"/>
        <w:ind w:firstLine="480"/>
        <w:rPr>
          <w:rFonts w:hint="eastAsia" w:ascii="仿宋" w:hAnsi="仿宋" w:eastAsia="仿宋" w:cs="仿宋"/>
        </w:rPr>
      </w:pPr>
      <w:r>
        <w:rPr>
          <w:rFonts w:hint="eastAsia" w:ascii="仿宋" w:hAnsi="仿宋" w:eastAsia="仿宋" w:cs="仿宋"/>
        </w:rPr>
        <w:t xml:space="preserve">27.4病毒发作导致不能进行正常操作的； </w:t>
      </w:r>
    </w:p>
    <w:p>
      <w:pPr>
        <w:pStyle w:val="128"/>
        <w:snapToGrid w:val="0"/>
        <w:spacing w:before="0"/>
        <w:ind w:firstLine="480"/>
        <w:rPr>
          <w:rFonts w:hint="eastAsia" w:ascii="仿宋" w:hAnsi="仿宋" w:eastAsia="仿宋" w:cs="仿宋"/>
        </w:rPr>
      </w:pPr>
      <w:r>
        <w:rPr>
          <w:rFonts w:hint="eastAsia" w:ascii="仿宋" w:hAnsi="仿宋" w:eastAsia="仿宋" w:cs="仿宋"/>
        </w:rPr>
        <w:t>27.5其他无法保证电子交易的公平、公正和安全的情况。</w:t>
      </w:r>
    </w:p>
    <w:p>
      <w:pPr>
        <w:pStyle w:val="128"/>
        <w:snapToGrid w:val="0"/>
        <w:spacing w:before="0"/>
        <w:ind w:firstLine="0" w:firstLineChars="0"/>
        <w:rPr>
          <w:rFonts w:hint="eastAsia" w:ascii="仿宋" w:hAnsi="仿宋" w:eastAsia="仿宋" w:cs="仿宋"/>
        </w:rPr>
      </w:pPr>
      <w:r>
        <w:rPr>
          <w:rFonts w:hint="eastAsia" w:ascii="仿宋" w:hAnsi="仿宋" w:eastAsia="仿宋" w:cs="仿宋"/>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sz w:val="24"/>
        </w:rPr>
      </w:pPr>
    </w:p>
    <w:p>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九、验收</w:t>
      </w:r>
    </w:p>
    <w:p>
      <w:pPr>
        <w:pStyle w:val="2"/>
        <w:spacing w:line="360" w:lineRule="auto"/>
        <w:ind w:firstLine="0" w:firstLineChars="0"/>
        <w:rPr>
          <w:rFonts w:hint="eastAsia" w:ascii="仿宋" w:hAnsi="仿宋" w:eastAsia="仿宋" w:cs="仿宋"/>
          <w:b/>
        </w:rPr>
      </w:pPr>
      <w:r>
        <w:rPr>
          <w:rFonts w:hint="eastAsia" w:ascii="仿宋" w:hAnsi="仿宋" w:eastAsia="仿宋" w:cs="仿宋"/>
          <w:b/>
        </w:rPr>
        <w:t>29.验收</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9"/>
    <w:p>
      <w:pPr>
        <w:tabs>
          <w:tab w:val="left" w:pos="0"/>
        </w:tabs>
        <w:spacing w:line="360" w:lineRule="auto"/>
        <w:ind w:firstLine="480"/>
        <w:rPr>
          <w:rFonts w:hint="eastAsia" w:ascii="仿宋" w:hAnsi="仿宋" w:eastAsia="仿宋" w:cs="仿宋"/>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20" w:name="_Hlt68072998"/>
      <w:bookmarkEnd w:id="20"/>
      <w:bookmarkStart w:id="21" w:name="_Hlt68073093"/>
      <w:bookmarkEnd w:id="21"/>
      <w:bookmarkStart w:id="22" w:name="_Hlt75236101"/>
      <w:bookmarkEnd w:id="22"/>
      <w:bookmarkStart w:id="23" w:name="_Hlt74714665"/>
      <w:bookmarkEnd w:id="23"/>
      <w:bookmarkStart w:id="24" w:name="_Hlt68057669"/>
      <w:bookmarkEnd w:id="24"/>
      <w:bookmarkStart w:id="25" w:name="_Hlt68403820"/>
      <w:bookmarkEnd w:id="25"/>
      <w:bookmarkStart w:id="26" w:name="_Hlt74729768"/>
      <w:bookmarkEnd w:id="26"/>
      <w:bookmarkStart w:id="27" w:name="_Hlt75236011"/>
      <w:bookmarkEnd w:id="27"/>
      <w:bookmarkStart w:id="28" w:name="_Hlt68072990"/>
      <w:bookmarkEnd w:id="28"/>
      <w:bookmarkStart w:id="29" w:name="_Hlt74730295"/>
      <w:bookmarkEnd w:id="29"/>
      <w:bookmarkStart w:id="30" w:name="_Hlt74707468"/>
      <w:bookmarkEnd w:id="30"/>
      <w:bookmarkStart w:id="31" w:name="_Hlt75236290"/>
      <w:bookmarkEnd w:id="31"/>
    </w:p>
    <w:bookmarkEnd w:id="13"/>
    <w:bookmarkEnd w:id="14"/>
    <w:p>
      <w:pPr>
        <w:spacing w:line="360" w:lineRule="auto"/>
        <w:jc w:val="center"/>
        <w:outlineLvl w:val="0"/>
        <w:rPr>
          <w:rFonts w:hint="eastAsia" w:ascii="仿宋" w:hAnsi="仿宋" w:eastAsia="仿宋" w:cs="仿宋"/>
          <w:b/>
          <w:sz w:val="36"/>
          <w:szCs w:val="36"/>
        </w:rPr>
      </w:pPr>
      <w:bookmarkStart w:id="32" w:name="第四部分"/>
      <w:r>
        <w:rPr>
          <w:rFonts w:hint="eastAsia" w:ascii="仿宋" w:hAnsi="仿宋" w:eastAsia="仿宋" w:cs="仿宋"/>
          <w:b/>
          <w:sz w:val="36"/>
          <w:szCs w:val="36"/>
        </w:rPr>
        <w:t>第三部分   采购需求</w:t>
      </w:r>
    </w:p>
    <w:p>
      <w:pPr>
        <w:jc w:val="center"/>
      </w:pPr>
      <w:r>
        <w:rPr>
          <w:rFonts w:hint="eastAsia"/>
          <w:b/>
          <w:bCs/>
          <w:sz w:val="32"/>
          <w:szCs w:val="32"/>
        </w:rPr>
        <w:t>於潜镇中心幼儿园班级教学装备</w:t>
      </w:r>
      <w:r>
        <w:rPr>
          <w:rFonts w:hint="eastAsia"/>
          <w:b/>
          <w:bCs/>
          <w:sz w:val="32"/>
          <w:szCs w:val="32"/>
          <w:lang w:val="en-US" w:eastAsia="zh-CN"/>
        </w:rPr>
        <w:t>及办公家具清单</w:t>
      </w:r>
    </w:p>
    <w:p/>
    <w:p>
      <w:pPr>
        <w:jc w:val="center"/>
        <w:rPr>
          <w:rFonts w:hint="eastAsia"/>
          <w:b/>
          <w:bCs/>
          <w:sz w:val="32"/>
          <w:szCs w:val="32"/>
        </w:rPr>
      </w:pPr>
      <w:r>
        <w:rPr>
          <w:rFonts w:hint="eastAsia"/>
          <w:b/>
          <w:bCs/>
          <w:sz w:val="32"/>
          <w:szCs w:val="32"/>
        </w:rPr>
        <w:t>办公家具清单</w:t>
      </w:r>
    </w:p>
    <w:tbl>
      <w:tblPr>
        <w:tblStyle w:val="62"/>
        <w:tblW w:w="96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3"/>
        <w:gridCol w:w="1904"/>
        <w:gridCol w:w="777"/>
        <w:gridCol w:w="1327"/>
        <w:gridCol w:w="2839"/>
        <w:gridCol w:w="684"/>
        <w:gridCol w:w="732"/>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190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参考</w:t>
            </w:r>
            <w:r>
              <w:rPr>
                <w:rFonts w:hint="eastAsia" w:ascii="宋体" w:hAnsi="宋体" w:eastAsia="宋体" w:cs="宋体"/>
                <w:b/>
                <w:bCs/>
                <w:i w:val="0"/>
                <w:iCs w:val="0"/>
                <w:color w:val="000000"/>
                <w:kern w:val="0"/>
                <w:sz w:val="18"/>
                <w:szCs w:val="18"/>
                <w:u w:val="none"/>
                <w:lang w:val="en-US" w:eastAsia="zh-CN" w:bidi="ar"/>
              </w:rPr>
              <w:t>图片</w:t>
            </w:r>
          </w:p>
        </w:tc>
        <w:tc>
          <w:tcPr>
            <w:tcW w:w="777"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1327"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2839"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材质说明</w:t>
            </w:r>
          </w:p>
        </w:tc>
        <w:tc>
          <w:tcPr>
            <w:tcW w:w="68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732"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5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一层</w:t>
            </w:r>
          </w:p>
        </w:tc>
        <w:tc>
          <w:tcPr>
            <w:tcW w:w="777"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DDEBF7"/>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更衣室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drawing>
                <wp:anchor distT="0" distB="0" distL="114300" distR="114300" simplePos="0" relativeHeight="251661312" behindDoc="0" locked="0" layoutInCell="1" allowOverlap="1">
                  <wp:simplePos x="0" y="0"/>
                  <wp:positionH relativeFrom="column">
                    <wp:posOffset>445770</wp:posOffset>
                  </wp:positionH>
                  <wp:positionV relativeFrom="paragraph">
                    <wp:posOffset>415925</wp:posOffset>
                  </wp:positionV>
                  <wp:extent cx="403860" cy="571500"/>
                  <wp:effectExtent l="0" t="0" r="15240" b="0"/>
                  <wp:wrapNone/>
                  <wp:docPr id="34" name="Picture_1"/>
                  <wp:cNvGraphicFramePr/>
                  <a:graphic xmlns:a="http://schemas.openxmlformats.org/drawingml/2006/main">
                    <a:graphicData uri="http://schemas.openxmlformats.org/drawingml/2006/picture">
                      <pic:pic xmlns:pic="http://schemas.openxmlformats.org/drawingml/2006/picture">
                        <pic:nvPicPr>
                          <pic:cNvPr id="34" name="Picture_1"/>
                          <pic:cNvPicPr/>
                        </pic:nvPicPr>
                        <pic:blipFill>
                          <a:blip r:embed="rId26"/>
                          <a:stretch>
                            <a:fillRect/>
                          </a:stretch>
                        </pic:blipFill>
                        <pic:spPr>
                          <a:xfrm>
                            <a:off x="0" y="0"/>
                            <a:ext cx="403860" cy="5715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更衣柜3门</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900*500*1800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优质冷轧钢板制作。材料厚度0.6MM，表面处理：采用优质粉末，高压静电喷塑前经过13道前期处理，无甲醛释放量，组合件表面应光滑、平整，表光泽度为60%～70%，耐冲击力大于60kg/cm2，不得有尖角、划口、凸起；涂膜厚度60-70um色泽应一致，漆面均匀光亮、无任何流漆划伤。</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门卫室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194945</wp:posOffset>
                  </wp:positionH>
                  <wp:positionV relativeFrom="paragraph">
                    <wp:posOffset>629285</wp:posOffset>
                  </wp:positionV>
                  <wp:extent cx="830580" cy="571500"/>
                  <wp:effectExtent l="0" t="0" r="7620" b="0"/>
                  <wp:wrapNone/>
                  <wp:docPr id="28" name="图片_1"/>
                  <wp:cNvGraphicFramePr/>
                  <a:graphic xmlns:a="http://schemas.openxmlformats.org/drawingml/2006/main">
                    <a:graphicData uri="http://schemas.openxmlformats.org/drawingml/2006/picture">
                      <pic:pic xmlns:pic="http://schemas.openxmlformats.org/drawingml/2006/picture">
                        <pic:nvPicPr>
                          <pic:cNvPr id="28" name="图片_1"/>
                          <pic:cNvPicPr/>
                        </pic:nvPicPr>
                        <pic:blipFill>
                          <a:blip r:embed="rId27"/>
                          <a:stretch>
                            <a:fillRect/>
                          </a:stretch>
                        </pic:blipFill>
                        <pic:spPr>
                          <a:xfrm>
                            <a:off x="0" y="0"/>
                            <a:ext cx="830580" cy="5715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组合桌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2000*600*760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具体按现场实际尺寸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448310</wp:posOffset>
                  </wp:positionH>
                  <wp:positionV relativeFrom="paragraph">
                    <wp:posOffset>321310</wp:posOffset>
                  </wp:positionV>
                  <wp:extent cx="388620" cy="548640"/>
                  <wp:effectExtent l="0" t="0" r="11430" b="3810"/>
                  <wp:wrapNone/>
                  <wp:docPr id="30" name="图片_7"/>
                  <wp:cNvGraphicFramePr/>
                  <a:graphic xmlns:a="http://schemas.openxmlformats.org/drawingml/2006/main">
                    <a:graphicData uri="http://schemas.openxmlformats.org/drawingml/2006/picture">
                      <pic:pic xmlns:pic="http://schemas.openxmlformats.org/drawingml/2006/picture">
                        <pic:nvPicPr>
                          <pic:cNvPr id="30" name="图片_7"/>
                          <pic:cNvPicPr/>
                        </pic:nvPicPr>
                        <pic:blipFill>
                          <a:blip r:embed="rId28"/>
                          <a:stretch>
                            <a:fillRect/>
                          </a:stretch>
                        </pic:blipFill>
                        <pic:spPr>
                          <a:xfrm>
                            <a:off x="0" y="0"/>
                            <a:ext cx="38862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650*470*590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1.黑色全新料加纤背框，扪华宇透气网布；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2.黑色PP固定腰靠；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3.黑色PP连体固定扶手；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4.45高密度纯绵坐垫，扪华宇透气网布；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5.2.0mm厚度的A3钢材喷黑弓形架。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469265</wp:posOffset>
                  </wp:positionH>
                  <wp:positionV relativeFrom="paragraph">
                    <wp:posOffset>521970</wp:posOffset>
                  </wp:positionV>
                  <wp:extent cx="403860" cy="571500"/>
                  <wp:effectExtent l="0" t="0" r="15240" b="0"/>
                  <wp:wrapNone/>
                  <wp:docPr id="29" name="Picture_1_SpCnt_1"/>
                  <wp:cNvGraphicFramePr/>
                  <a:graphic xmlns:a="http://schemas.openxmlformats.org/drawingml/2006/main">
                    <a:graphicData uri="http://schemas.openxmlformats.org/drawingml/2006/picture">
                      <pic:pic xmlns:pic="http://schemas.openxmlformats.org/drawingml/2006/picture">
                        <pic:nvPicPr>
                          <pic:cNvPr id="29" name="Picture_1_SpCnt_1"/>
                          <pic:cNvPicPr/>
                        </pic:nvPicPr>
                        <pic:blipFill>
                          <a:blip r:embed="rId26"/>
                          <a:stretch>
                            <a:fillRect/>
                          </a:stretch>
                        </pic:blipFill>
                        <pic:spPr>
                          <a:xfrm>
                            <a:off x="0" y="0"/>
                            <a:ext cx="403860" cy="5715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更衣柜3门</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900*500*1800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优质冷轧钢板制作。材料厚度0.6MM，表面处理：采用优质粉末，高压静电喷塑前经过13道前期处理，无甲醛释放量，组合件表面应光滑、平整，表光泽度为60%～70%，耐冲击力大于60kg/cm2，不得有尖角、划口、凸起；涂膜厚度60-70um色泽应一致，漆面均匀光亮、无任何流漆划伤。</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222885</wp:posOffset>
                  </wp:positionH>
                  <wp:positionV relativeFrom="paragraph">
                    <wp:posOffset>184785</wp:posOffset>
                  </wp:positionV>
                  <wp:extent cx="678180" cy="563880"/>
                  <wp:effectExtent l="0" t="0" r="7620" b="7620"/>
                  <wp:wrapNone/>
                  <wp:docPr id="32" name="图片_19"/>
                  <wp:cNvGraphicFramePr/>
                  <a:graphic xmlns:a="http://schemas.openxmlformats.org/drawingml/2006/main">
                    <a:graphicData uri="http://schemas.openxmlformats.org/drawingml/2006/picture">
                      <pic:pic xmlns:pic="http://schemas.openxmlformats.org/drawingml/2006/picture">
                        <pic:nvPicPr>
                          <pic:cNvPr id="32" name="图片_19"/>
                          <pic:cNvPicPr/>
                        </pic:nvPicPr>
                        <pic:blipFill>
                          <a:blip r:embed="rId29"/>
                          <a:stretch>
                            <a:fillRect/>
                          </a:stretch>
                        </pic:blipFill>
                        <pic:spPr>
                          <a:xfrm>
                            <a:off x="0" y="0"/>
                            <a:ext cx="678180" cy="5638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1200*2000*450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选用优质橡木，工艺：边缘抛圆处理，外表面和内表面以及手指可触及的隐蔽处，均不得有锐利的棱角、毛刺以及小五金部件露出的锐利尖锐。油漆：环保型全哑光聚脂清面。</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328930</wp:posOffset>
                  </wp:positionH>
                  <wp:positionV relativeFrom="paragraph">
                    <wp:posOffset>424180</wp:posOffset>
                  </wp:positionV>
                  <wp:extent cx="701040" cy="518160"/>
                  <wp:effectExtent l="0" t="0" r="3810" b="15240"/>
                  <wp:wrapNone/>
                  <wp:docPr id="33" name="图片_83"/>
                  <wp:cNvGraphicFramePr/>
                  <a:graphic xmlns:a="http://schemas.openxmlformats.org/drawingml/2006/main">
                    <a:graphicData uri="http://schemas.openxmlformats.org/drawingml/2006/picture">
                      <pic:pic xmlns:pic="http://schemas.openxmlformats.org/drawingml/2006/picture">
                        <pic:nvPicPr>
                          <pic:cNvPr id="33" name="图片_83"/>
                          <pic:cNvPicPr/>
                        </pic:nvPicPr>
                        <pic:blipFill>
                          <a:blip r:embed="rId30"/>
                          <a:stretch>
                            <a:fillRect/>
                          </a:stretch>
                        </pic:blipFill>
                        <pic:spPr>
                          <a:xfrm>
                            <a:off x="0" y="0"/>
                            <a:ext cx="701040" cy="5181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棕垫</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1200*2000*60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纯天然椰软棕作基材和天然乳胶为原料。外套织锦棉面料，采用锦纹提花针织面料（A级面料）透气性好，经过抗菌卫生处理，具有防螨作用。其阻燃棉布耐燃等级须为B1级环保棉，面料无异味。面料颜色：淡米黄色（可略带浅印花图案）</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405130</wp:posOffset>
                  </wp:positionH>
                  <wp:positionV relativeFrom="paragraph">
                    <wp:posOffset>257175</wp:posOffset>
                  </wp:positionV>
                  <wp:extent cx="480060" cy="518160"/>
                  <wp:effectExtent l="0" t="0" r="15240" b="15240"/>
                  <wp:wrapNone/>
                  <wp:docPr id="31" name="图片_90"/>
                  <wp:cNvGraphicFramePr/>
                  <a:graphic xmlns:a="http://schemas.openxmlformats.org/drawingml/2006/main">
                    <a:graphicData uri="http://schemas.openxmlformats.org/drawingml/2006/picture">
                      <pic:pic xmlns:pic="http://schemas.openxmlformats.org/drawingml/2006/picture">
                        <pic:nvPicPr>
                          <pic:cNvPr id="31" name="图片_90"/>
                          <pic:cNvPicPr/>
                        </pic:nvPicPr>
                        <pic:blipFill>
                          <a:blip r:embed="rId31"/>
                          <a:stretch>
                            <a:fillRect/>
                          </a:stretch>
                        </pic:blipFill>
                        <pic:spPr>
                          <a:xfrm>
                            <a:off x="0" y="0"/>
                            <a:ext cx="480060" cy="5181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400*350*480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选用优质橡木，工艺：边缘抛圆处理，外表面和内表面以及儿童手指可触及的隐蔽处，均不得有锐利的棱角、毛刺以及小五金部件露出的锐利尖锐。油漆：环保型全哑光聚脂清面。</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477520</wp:posOffset>
                  </wp:positionH>
                  <wp:positionV relativeFrom="paragraph">
                    <wp:posOffset>372745</wp:posOffset>
                  </wp:positionV>
                  <wp:extent cx="457200" cy="624840"/>
                  <wp:effectExtent l="0" t="0" r="0" b="3810"/>
                  <wp:wrapNone/>
                  <wp:docPr id="18" name="图片_91"/>
                  <wp:cNvGraphicFramePr/>
                  <a:graphic xmlns:a="http://schemas.openxmlformats.org/drawingml/2006/main">
                    <a:graphicData uri="http://schemas.openxmlformats.org/drawingml/2006/picture">
                      <pic:pic xmlns:pic="http://schemas.openxmlformats.org/drawingml/2006/picture">
                        <pic:nvPicPr>
                          <pic:cNvPr id="18" name="图片_91"/>
                          <pic:cNvPicPr/>
                        </pic:nvPicPr>
                        <pic:blipFill>
                          <a:blip r:embed="rId32"/>
                          <a:stretch>
                            <a:fillRect/>
                          </a:stretch>
                        </pic:blipFill>
                        <pic:spPr>
                          <a:xfrm>
                            <a:off x="0" y="0"/>
                            <a:ext cx="457200" cy="6248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更衣柜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800*550*2000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保健室</w:t>
            </w:r>
          </w:p>
        </w:tc>
        <w:tc>
          <w:tcPr>
            <w:tcW w:w="777"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287655</wp:posOffset>
                  </wp:positionH>
                  <wp:positionV relativeFrom="paragraph">
                    <wp:posOffset>332740</wp:posOffset>
                  </wp:positionV>
                  <wp:extent cx="792480" cy="541020"/>
                  <wp:effectExtent l="0" t="0" r="7620" b="11430"/>
                  <wp:wrapNone/>
                  <wp:docPr id="19" name="图片_66"/>
                  <wp:cNvGraphicFramePr/>
                  <a:graphic xmlns:a="http://schemas.openxmlformats.org/drawingml/2006/main">
                    <a:graphicData uri="http://schemas.openxmlformats.org/drawingml/2006/picture">
                      <pic:pic xmlns:pic="http://schemas.openxmlformats.org/drawingml/2006/picture">
                        <pic:nvPicPr>
                          <pic:cNvPr id="19" name="图片_66"/>
                          <pic:cNvPicPr/>
                        </pic:nvPicPr>
                        <pic:blipFill>
                          <a:blip r:embed="rId33"/>
                          <a:stretch>
                            <a:fillRect/>
                          </a:stretch>
                        </pic:blipFill>
                        <pic:spPr>
                          <a:xfrm>
                            <a:off x="0" y="0"/>
                            <a:ext cx="792480" cy="5410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诊查床</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1600*1500*760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1、基材：1、基材：全部采用实木多层板材，甲醛释放量≤0.05mg/m³（检测方法按GB 18580-2017）。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3、封边：同色PVC封边条，厚度2mm 以上。                                            4、 钢脚：直腿圆管设计，优质冷轧钢，磷化清洗后经高温300度粉末静电喷涂，PVC微调桌脚，壁厚2.0mm。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5、五金配件：使用优质五金配件（阻尼不锈钢三节轨、机械密码锁具、拉手、阻尼不锈钢铰链等）。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6、隐藏室走线槽，并具安装强弱电线盒插板。                                                   7、颜色：由业主单位指定。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232410</wp:posOffset>
                  </wp:positionH>
                  <wp:positionV relativeFrom="paragraph">
                    <wp:posOffset>623570</wp:posOffset>
                  </wp:positionV>
                  <wp:extent cx="666750" cy="782320"/>
                  <wp:effectExtent l="0" t="0" r="0" b="17780"/>
                  <wp:wrapNone/>
                  <wp:docPr id="15" name="图片_25"/>
                  <wp:cNvGraphicFramePr/>
                  <a:graphic xmlns:a="http://schemas.openxmlformats.org/drawingml/2006/main">
                    <a:graphicData uri="http://schemas.openxmlformats.org/drawingml/2006/picture">
                      <pic:pic xmlns:pic="http://schemas.openxmlformats.org/drawingml/2006/picture">
                        <pic:nvPicPr>
                          <pic:cNvPr id="15" name="图片_25"/>
                          <pic:cNvPicPr/>
                        </pic:nvPicPr>
                        <pic:blipFill>
                          <a:blip r:embed="rId34"/>
                          <a:stretch>
                            <a:fillRect/>
                          </a:stretch>
                        </pic:blipFill>
                        <pic:spPr>
                          <a:xfrm>
                            <a:off x="0" y="0"/>
                            <a:ext cx="666750" cy="7823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595*660*1025-1125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2.灰色PP固定腰靠；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3.白色PP连体固定扶手；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2.5mm中班蝴蝶底盘，可倾仰；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6.三级威亚斯气杆，100mm缩50mm；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7.330mm黑色八爪脚，静压1000KG；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8.60mm尼龙+PU静音脚轮过BIFMA。</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454660</wp:posOffset>
                  </wp:positionH>
                  <wp:positionV relativeFrom="paragraph">
                    <wp:posOffset>429895</wp:posOffset>
                  </wp:positionV>
                  <wp:extent cx="320040" cy="617220"/>
                  <wp:effectExtent l="0" t="0" r="3810" b="11430"/>
                  <wp:wrapNone/>
                  <wp:docPr id="27" name="图片_9"/>
                  <wp:cNvGraphicFramePr/>
                  <a:graphic xmlns:a="http://schemas.openxmlformats.org/drawingml/2006/main">
                    <a:graphicData uri="http://schemas.openxmlformats.org/drawingml/2006/picture">
                      <pic:pic xmlns:pic="http://schemas.openxmlformats.org/drawingml/2006/picture">
                        <pic:nvPicPr>
                          <pic:cNvPr id="27" name="图片_9"/>
                          <pic:cNvPicPr/>
                        </pic:nvPicPr>
                        <pic:blipFill>
                          <a:blip r:embed="rId35"/>
                          <a:stretch>
                            <a:fillRect/>
                          </a:stretch>
                        </pic:blipFill>
                        <pic:spPr>
                          <a:xfrm>
                            <a:off x="0" y="0"/>
                            <a:ext cx="320040" cy="6172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化药柜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800*450*1800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 name="Picture_124"/>
                  <wp:cNvGraphicFramePr/>
                  <a:graphic xmlns:a="http://schemas.openxmlformats.org/drawingml/2006/main">
                    <a:graphicData uri="http://schemas.openxmlformats.org/drawingml/2006/picture">
                      <pic:pic xmlns:pic="http://schemas.openxmlformats.org/drawingml/2006/picture">
                        <pic:nvPicPr>
                          <pic:cNvPr id="21" name="Picture_12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 name="Picture_124_SpCnt_1"/>
                  <wp:cNvGraphicFramePr/>
                  <a:graphic xmlns:a="http://schemas.openxmlformats.org/drawingml/2006/main">
                    <a:graphicData uri="http://schemas.openxmlformats.org/drawingml/2006/picture">
                      <pic:pic xmlns:pic="http://schemas.openxmlformats.org/drawingml/2006/picture">
                        <pic:nvPicPr>
                          <pic:cNvPr id="23" name="Picture_124_SpCnt_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75260"/>
                  <wp:effectExtent l="0" t="0" r="0" b="0"/>
                  <wp:wrapNone/>
                  <wp:docPr id="26" name="Picture_124_SpCnt_2"/>
                  <wp:cNvGraphicFramePr/>
                  <a:graphic xmlns:a="http://schemas.openxmlformats.org/drawingml/2006/main">
                    <a:graphicData uri="http://schemas.openxmlformats.org/drawingml/2006/picture">
                      <pic:pic xmlns:pic="http://schemas.openxmlformats.org/drawingml/2006/picture">
                        <pic:nvPicPr>
                          <pic:cNvPr id="26" name="Picture_124_SpCnt_2"/>
                          <pic:cNvPicPr/>
                        </pic:nvPicPr>
                        <pic:blipFill>
                          <a:blip r:embed="rId37"/>
                          <a:stretch>
                            <a:fillRect/>
                          </a:stretch>
                        </pic:blipFill>
                        <pic:spPr>
                          <a:xfrm>
                            <a:off x="0" y="0"/>
                            <a:ext cx="16002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75260"/>
                  <wp:effectExtent l="0" t="0" r="0" b="0"/>
                  <wp:wrapNone/>
                  <wp:docPr id="22" name="Picture_124_SpCnt_3"/>
                  <wp:cNvGraphicFramePr/>
                  <a:graphic xmlns:a="http://schemas.openxmlformats.org/drawingml/2006/main">
                    <a:graphicData uri="http://schemas.openxmlformats.org/drawingml/2006/picture">
                      <pic:pic xmlns:pic="http://schemas.openxmlformats.org/drawingml/2006/picture">
                        <pic:nvPicPr>
                          <pic:cNvPr id="22" name="Picture_124_SpCnt_3"/>
                          <pic:cNvPicPr/>
                        </pic:nvPicPr>
                        <pic:blipFill>
                          <a:blip r:embed="rId37"/>
                          <a:stretch>
                            <a:fillRect/>
                          </a:stretch>
                        </pic:blipFill>
                        <pic:spPr>
                          <a:xfrm>
                            <a:off x="0" y="0"/>
                            <a:ext cx="16002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1、基材：采用优质环保E1级实木多层板，甲醛释放量≤1.5mg/L、经过二次高温处理甲醛及甲苯。面板厚度60mm。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2、贴面：采用优质耐磨三聚氢防火板，使用10年不褪色、耐磨耐高温。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3、封边：无色差PVC封边条，厚度2mm 以上。</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4、五金配件：优质五金配件。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165100</wp:posOffset>
                  </wp:positionH>
                  <wp:positionV relativeFrom="paragraph">
                    <wp:posOffset>413385</wp:posOffset>
                  </wp:positionV>
                  <wp:extent cx="815340" cy="434340"/>
                  <wp:effectExtent l="0" t="0" r="3810" b="3810"/>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38"/>
                          <a:stretch>
                            <a:fillRect/>
                          </a:stretch>
                        </pic:blipFill>
                        <pic:spPr>
                          <a:xfrm>
                            <a:off x="0" y="0"/>
                            <a:ext cx="815340" cy="4343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儿童诊查床   （床面颜色可换）</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1200*600*550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 name="Picture_124_SpCnt_4"/>
                  <wp:cNvGraphicFramePr/>
                  <a:graphic xmlns:a="http://schemas.openxmlformats.org/drawingml/2006/main">
                    <a:graphicData uri="http://schemas.openxmlformats.org/drawingml/2006/picture">
                      <pic:pic xmlns:pic="http://schemas.openxmlformats.org/drawingml/2006/picture">
                        <pic:nvPicPr>
                          <pic:cNvPr id="14" name="Picture_124_SpCnt_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4" name="Picture_124_SpCnt_5"/>
                  <wp:cNvGraphicFramePr/>
                  <a:graphic xmlns:a="http://schemas.openxmlformats.org/drawingml/2006/main">
                    <a:graphicData uri="http://schemas.openxmlformats.org/drawingml/2006/picture">
                      <pic:pic xmlns:pic="http://schemas.openxmlformats.org/drawingml/2006/picture">
                        <pic:nvPicPr>
                          <pic:cNvPr id="24" name="Picture_124_SpCnt_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75260"/>
                  <wp:effectExtent l="0" t="0" r="0" b="0"/>
                  <wp:wrapNone/>
                  <wp:docPr id="17" name="Picture_124_SpCnt_6"/>
                  <wp:cNvGraphicFramePr/>
                  <a:graphic xmlns:a="http://schemas.openxmlformats.org/drawingml/2006/main">
                    <a:graphicData uri="http://schemas.openxmlformats.org/drawingml/2006/picture">
                      <pic:pic xmlns:pic="http://schemas.openxmlformats.org/drawingml/2006/picture">
                        <pic:nvPicPr>
                          <pic:cNvPr id="17" name="Picture_124_SpCnt_6"/>
                          <pic:cNvPicPr/>
                        </pic:nvPicPr>
                        <pic:blipFill>
                          <a:blip r:embed="rId37"/>
                          <a:stretch>
                            <a:fillRect/>
                          </a:stretch>
                        </pic:blipFill>
                        <pic:spPr>
                          <a:xfrm>
                            <a:off x="0" y="0"/>
                            <a:ext cx="16002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75260"/>
                  <wp:effectExtent l="0" t="0" r="0" b="0"/>
                  <wp:wrapNone/>
                  <wp:docPr id="25" name="Picture_124_SpCnt_7"/>
                  <wp:cNvGraphicFramePr/>
                  <a:graphic xmlns:a="http://schemas.openxmlformats.org/drawingml/2006/main">
                    <a:graphicData uri="http://schemas.openxmlformats.org/drawingml/2006/picture">
                      <pic:pic xmlns:pic="http://schemas.openxmlformats.org/drawingml/2006/picture">
                        <pic:nvPicPr>
                          <pic:cNvPr id="25" name="Picture_124_SpCnt_7"/>
                          <pic:cNvPicPr/>
                        </pic:nvPicPr>
                        <pic:blipFill>
                          <a:blip r:embed="rId37"/>
                          <a:stretch>
                            <a:fillRect/>
                          </a:stretch>
                        </pic:blipFill>
                        <pic:spPr>
                          <a:xfrm>
                            <a:off x="0" y="0"/>
                            <a:ext cx="16002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1.贴面用材：采用防火板饰面，硬度高，耐磨、耐热性好，表面平滑光洁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2.封边：优质PVC同色封边。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3.基材板材：E1级环保刨花板，性能指标均达到或优于国家标准。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4.五金配件：采用优质三节轨、锁具。</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396240</wp:posOffset>
                  </wp:positionH>
                  <wp:positionV relativeFrom="paragraph">
                    <wp:posOffset>678180</wp:posOffset>
                  </wp:positionV>
                  <wp:extent cx="350520" cy="716280"/>
                  <wp:effectExtent l="0" t="0" r="11430" b="7620"/>
                  <wp:wrapNone/>
                  <wp:docPr id="5" name="图片_94"/>
                  <wp:cNvGraphicFramePr/>
                  <a:graphic xmlns:a="http://schemas.openxmlformats.org/drawingml/2006/main">
                    <a:graphicData uri="http://schemas.openxmlformats.org/drawingml/2006/picture">
                      <pic:pic xmlns:pic="http://schemas.openxmlformats.org/drawingml/2006/picture">
                        <pic:nvPicPr>
                          <pic:cNvPr id="5" name="图片_94"/>
                          <pic:cNvPicPr/>
                        </pic:nvPicPr>
                        <pic:blipFill>
                          <a:blip r:embed="rId39"/>
                          <a:stretch>
                            <a:fillRect/>
                          </a:stretch>
                        </pic:blipFill>
                        <pic:spPr>
                          <a:xfrm>
                            <a:off x="0" y="0"/>
                            <a:ext cx="350520" cy="7162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二门柜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隔离室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320675</wp:posOffset>
                  </wp:positionV>
                  <wp:extent cx="762000" cy="449580"/>
                  <wp:effectExtent l="0" t="0" r="0" b="7620"/>
                  <wp:wrapNone/>
                  <wp:docPr id="8" name="图片_23"/>
                  <wp:cNvGraphicFramePr/>
                  <a:graphic xmlns:a="http://schemas.openxmlformats.org/drawingml/2006/main">
                    <a:graphicData uri="http://schemas.openxmlformats.org/drawingml/2006/picture">
                      <pic:pic xmlns:pic="http://schemas.openxmlformats.org/drawingml/2006/picture">
                        <pic:nvPicPr>
                          <pic:cNvPr id="8" name="图片_23"/>
                          <pic:cNvPicPr/>
                        </pic:nvPicPr>
                        <pic:blipFill>
                          <a:blip r:embed="rId40"/>
                          <a:stretch>
                            <a:fillRect/>
                          </a:stretch>
                        </pic:blipFill>
                        <pic:spPr>
                          <a:xfrm>
                            <a:off x="0" y="0"/>
                            <a:ext cx="762000" cy="4495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幼儿床</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1400*650*550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选用优质橡木，工艺：边缘抛圆处理，外表面和内表面以及儿童手指可触及的隐蔽处，均不得有锐利的棱角、毛刺以及小五金部件露出的锐利尖锐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油漆：环保型全哑光聚脂清面漆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餐厅</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323850</wp:posOffset>
                  </wp:positionH>
                  <wp:positionV relativeFrom="paragraph">
                    <wp:posOffset>389890</wp:posOffset>
                  </wp:positionV>
                  <wp:extent cx="708660" cy="563880"/>
                  <wp:effectExtent l="0" t="0" r="15240" b="7620"/>
                  <wp:wrapNone/>
                  <wp:docPr id="11"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41"/>
                          <a:stretch>
                            <a:fillRect/>
                          </a:stretch>
                        </pic:blipFill>
                        <pic:spPr>
                          <a:xfrm>
                            <a:off x="0" y="0"/>
                            <a:ext cx="708660" cy="5638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连体餐桌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1200*1600*735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饰部分为实木多层板基材，表面贴防火防水装饰板，（正面SL-23茶色细接木，反面LT-31050-3白色），四周经过多次打磨清漆防水封边；桌面尺寸1200*650*18，凳面：430*400*12，钢架为直径38*1.5厚钢管，表面经酸洗、凝化、高温静电喷涂，白色钢架。五金配件：采用优质五金件，所有五金配件全部经过防锈、防腐处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424815</wp:posOffset>
                  </wp:positionH>
                  <wp:positionV relativeFrom="paragraph">
                    <wp:posOffset>193040</wp:posOffset>
                  </wp:positionV>
                  <wp:extent cx="441960" cy="548640"/>
                  <wp:effectExtent l="0" t="0" r="15240" b="3810"/>
                  <wp:wrapNone/>
                  <wp:docPr id="6" name="图片_42"/>
                  <wp:cNvGraphicFramePr/>
                  <a:graphic xmlns:a="http://schemas.openxmlformats.org/drawingml/2006/main">
                    <a:graphicData uri="http://schemas.openxmlformats.org/drawingml/2006/picture">
                      <pic:pic xmlns:pic="http://schemas.openxmlformats.org/drawingml/2006/picture">
                        <pic:nvPicPr>
                          <pic:cNvPr id="6" name="图片_42"/>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包厢</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1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268605</wp:posOffset>
                  </wp:positionV>
                  <wp:extent cx="891540" cy="784860"/>
                  <wp:effectExtent l="0" t="0" r="3810" b="15240"/>
                  <wp:wrapNone/>
                  <wp:docPr id="9" name="图片_7_SpCnt_1"/>
                  <wp:cNvGraphicFramePr/>
                  <a:graphic xmlns:a="http://schemas.openxmlformats.org/drawingml/2006/main">
                    <a:graphicData uri="http://schemas.openxmlformats.org/drawingml/2006/picture">
                      <pic:pic xmlns:pic="http://schemas.openxmlformats.org/drawingml/2006/picture">
                        <pic:nvPicPr>
                          <pic:cNvPr id="9" name="图片_7_SpCnt_1"/>
                          <pic:cNvPicPr/>
                        </pic:nvPicPr>
                        <pic:blipFill>
                          <a:blip r:embed="rId43"/>
                          <a:stretch>
                            <a:fillRect/>
                          </a:stretch>
                        </pic:blipFill>
                        <pic:spPr>
                          <a:xfrm>
                            <a:off x="0" y="0"/>
                            <a:ext cx="891540" cy="7848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圆餐桌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1800*1800*760</w:t>
            </w:r>
          </w:p>
        </w:tc>
        <w:tc>
          <w:tcPr>
            <w:tcW w:w="28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材：采用优质胡桃木木皮贴面，无节疤，无裂纹，无朽木，色差过渡自然，木纹清晰，色泽一致，木皮拼接自然；基材：采用符合国家E1级标准的优质环保型中纤板，经国家绿色环保认证，环保标准。油漆：选用环保油漆，有害物质限量符合国标要求，达到色泽美观、不变色、光滑耐磨、手感好。五金配件：采用优质五金件，所有五金配件全部经过防锈、防腐处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459105</wp:posOffset>
                  </wp:positionH>
                  <wp:positionV relativeFrom="paragraph">
                    <wp:posOffset>287020</wp:posOffset>
                  </wp:positionV>
                  <wp:extent cx="441960" cy="548640"/>
                  <wp:effectExtent l="0" t="0" r="15240" b="3810"/>
                  <wp:wrapNone/>
                  <wp:docPr id="10" name="图片_42_SpCnt_1"/>
                  <wp:cNvGraphicFramePr/>
                  <a:graphic xmlns:a="http://schemas.openxmlformats.org/drawingml/2006/main">
                    <a:graphicData uri="http://schemas.openxmlformats.org/drawingml/2006/picture">
                      <pic:pic xmlns:pic="http://schemas.openxmlformats.org/drawingml/2006/picture">
                        <pic:nvPicPr>
                          <pic:cNvPr id="10" name="图片_42_SpCnt_1"/>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二层</w:t>
            </w:r>
          </w:p>
        </w:tc>
        <w:tc>
          <w:tcPr>
            <w:tcW w:w="777"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DDEBF7"/>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会议室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155575</wp:posOffset>
                  </wp:positionH>
                  <wp:positionV relativeFrom="paragraph">
                    <wp:posOffset>626745</wp:posOffset>
                  </wp:positionV>
                  <wp:extent cx="883920" cy="617220"/>
                  <wp:effectExtent l="0" t="0" r="11430" b="11430"/>
                  <wp:wrapNone/>
                  <wp:docPr id="7" name="图片_202"/>
                  <wp:cNvGraphicFramePr/>
                  <a:graphic xmlns:a="http://schemas.openxmlformats.org/drawingml/2006/main">
                    <a:graphicData uri="http://schemas.openxmlformats.org/drawingml/2006/picture">
                      <pic:pic xmlns:pic="http://schemas.openxmlformats.org/drawingml/2006/picture">
                        <pic:nvPicPr>
                          <pic:cNvPr id="7" name="图片_202"/>
                          <pic:cNvPicPr/>
                        </pic:nvPicPr>
                        <pic:blipFill>
                          <a:blip r:embed="rId44"/>
                          <a:stretch>
                            <a:fillRect/>
                          </a:stretch>
                        </pic:blipFill>
                        <pic:spPr>
                          <a:xfrm>
                            <a:off x="0" y="0"/>
                            <a:ext cx="883920" cy="6172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4500*1800*760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1、基材：采用优质环保实木多层板，符合GB/T 3324-2017、GB/T 35607-2017和GB 20286-2006标准；阻燃性能符合GB 20286-2006标准，甲醛释放量≤0.05mg/m3。</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2、贴面：采用优质耐磨三聚氰胺板，使用10年不褪色、耐磨耐高温</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3、封边：无色差PVC封边条，厚度2mm 以上。                  4、桌下设置检修门。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371475</wp:posOffset>
                  </wp:positionH>
                  <wp:positionV relativeFrom="paragraph">
                    <wp:posOffset>528320</wp:posOffset>
                  </wp:positionV>
                  <wp:extent cx="381000" cy="480060"/>
                  <wp:effectExtent l="0" t="0" r="0" b="15240"/>
                  <wp:wrapNone/>
                  <wp:docPr id="12" name="图片_7_SpCnt_2"/>
                  <wp:cNvGraphicFramePr/>
                  <a:graphic xmlns:a="http://schemas.openxmlformats.org/drawingml/2006/main">
                    <a:graphicData uri="http://schemas.openxmlformats.org/drawingml/2006/picture">
                      <pic:pic xmlns:pic="http://schemas.openxmlformats.org/drawingml/2006/picture">
                        <pic:nvPicPr>
                          <pic:cNvPr id="12" name="图片_7_SpCnt_2"/>
                          <pic:cNvPicPr/>
                        </pic:nvPicPr>
                        <pic:blipFill>
                          <a:blip r:embed="rId45"/>
                          <a:stretch>
                            <a:fillRect/>
                          </a:stretch>
                        </pic:blipFill>
                        <pic:spPr>
                          <a:xfrm>
                            <a:off x="0" y="0"/>
                            <a:ext cx="381000" cy="4800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会议桌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495*590*965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2.龙骨设计，贴合腰部支撑，更加舒适；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3.白色全新料加纤宽边大扶手；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4.座包一体成型定型海绵+座壳，永不变形，扪华宇透气网布；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5.2.0mm厚度的A3钢材喷白弓形架。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440055</wp:posOffset>
                  </wp:positionH>
                  <wp:positionV relativeFrom="paragraph">
                    <wp:posOffset>259715</wp:posOffset>
                  </wp:positionV>
                  <wp:extent cx="441960" cy="548640"/>
                  <wp:effectExtent l="0" t="0" r="15240" b="3810"/>
                  <wp:wrapNone/>
                  <wp:docPr id="2" name="图片_42_SpCnt_2"/>
                  <wp:cNvGraphicFramePr/>
                  <a:graphic xmlns:a="http://schemas.openxmlformats.org/drawingml/2006/main">
                    <a:graphicData uri="http://schemas.openxmlformats.org/drawingml/2006/picture">
                      <pic:pic xmlns:pic="http://schemas.openxmlformats.org/drawingml/2006/picture">
                        <pic:nvPicPr>
                          <pic:cNvPr id="2" name="图片_42_SpCnt_2"/>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工会活动室兼家长接待室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148590</wp:posOffset>
                  </wp:positionH>
                  <wp:positionV relativeFrom="paragraph">
                    <wp:posOffset>576580</wp:posOffset>
                  </wp:positionV>
                  <wp:extent cx="906780" cy="723900"/>
                  <wp:effectExtent l="0" t="0" r="7620" b="0"/>
                  <wp:wrapNone/>
                  <wp:docPr id="13" name="图片_8"/>
                  <wp:cNvGraphicFramePr/>
                  <a:graphic xmlns:a="http://schemas.openxmlformats.org/drawingml/2006/main">
                    <a:graphicData uri="http://schemas.openxmlformats.org/drawingml/2006/picture">
                      <pic:pic xmlns:pic="http://schemas.openxmlformats.org/drawingml/2006/picture">
                        <pic:nvPicPr>
                          <pic:cNvPr id="13" name="图片_8"/>
                          <pic:cNvPicPr/>
                        </pic:nvPicPr>
                        <pic:blipFill>
                          <a:blip r:embed="rId46"/>
                          <a:stretch>
                            <a:fillRect/>
                          </a:stretch>
                        </pic:blipFill>
                        <pic:spPr>
                          <a:xfrm>
                            <a:off x="0" y="0"/>
                            <a:ext cx="906780" cy="7239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三人位</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 name="Picture_124_SpCnt_8"/>
                  <wp:cNvGraphicFramePr/>
                  <a:graphic xmlns:a="http://schemas.openxmlformats.org/drawingml/2006/main">
                    <a:graphicData uri="http://schemas.openxmlformats.org/drawingml/2006/picture">
                      <pic:pic xmlns:pic="http://schemas.openxmlformats.org/drawingml/2006/picture">
                        <pic:nvPicPr>
                          <pic:cNvPr id="1" name="Picture_124_SpCnt_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35" name="Picture_124_SpCnt_9"/>
                  <wp:cNvGraphicFramePr/>
                  <a:graphic xmlns:a="http://schemas.openxmlformats.org/drawingml/2006/main">
                    <a:graphicData uri="http://schemas.openxmlformats.org/drawingml/2006/picture">
                      <pic:pic xmlns:pic="http://schemas.openxmlformats.org/drawingml/2006/picture">
                        <pic:nvPicPr>
                          <pic:cNvPr id="35" name="Picture_124_SpCnt_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0" name="Picture_124_SpCnt_10"/>
                  <wp:cNvGraphicFramePr/>
                  <a:graphic xmlns:a="http://schemas.openxmlformats.org/drawingml/2006/main">
                    <a:graphicData uri="http://schemas.openxmlformats.org/drawingml/2006/picture">
                      <pic:pic xmlns:pic="http://schemas.openxmlformats.org/drawingml/2006/picture">
                        <pic:nvPicPr>
                          <pic:cNvPr id="40" name="Picture_124_SpCnt_1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39" name="Picture_124_SpCnt_11"/>
                  <wp:cNvGraphicFramePr/>
                  <a:graphic xmlns:a="http://schemas.openxmlformats.org/drawingml/2006/main">
                    <a:graphicData uri="http://schemas.openxmlformats.org/drawingml/2006/picture">
                      <pic:pic xmlns:pic="http://schemas.openxmlformats.org/drawingml/2006/picture">
                        <pic:nvPicPr>
                          <pic:cNvPr id="39" name="Picture_124_SpCnt_1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4" name="Picture_124_SpCnt_12"/>
                  <wp:cNvGraphicFramePr/>
                  <a:graphic xmlns:a="http://schemas.openxmlformats.org/drawingml/2006/main">
                    <a:graphicData uri="http://schemas.openxmlformats.org/drawingml/2006/picture">
                      <pic:pic xmlns:pic="http://schemas.openxmlformats.org/drawingml/2006/picture">
                        <pic:nvPicPr>
                          <pic:cNvPr id="44" name="Picture_124_SpCnt_1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1" name="Picture_124_SpCnt_13"/>
                  <wp:cNvGraphicFramePr/>
                  <a:graphic xmlns:a="http://schemas.openxmlformats.org/drawingml/2006/main">
                    <a:graphicData uri="http://schemas.openxmlformats.org/drawingml/2006/picture">
                      <pic:pic xmlns:pic="http://schemas.openxmlformats.org/drawingml/2006/picture">
                        <pic:nvPicPr>
                          <pic:cNvPr id="41" name="Picture_124_SpCnt_1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38" name="Picture_124_SpCnt_14"/>
                  <wp:cNvGraphicFramePr/>
                  <a:graphic xmlns:a="http://schemas.openxmlformats.org/drawingml/2006/main">
                    <a:graphicData uri="http://schemas.openxmlformats.org/drawingml/2006/picture">
                      <pic:pic xmlns:pic="http://schemas.openxmlformats.org/drawingml/2006/picture">
                        <pic:nvPicPr>
                          <pic:cNvPr id="38" name="Picture_124_SpCnt_1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2" name="Picture_124_SpCnt_15"/>
                  <wp:cNvGraphicFramePr/>
                  <a:graphic xmlns:a="http://schemas.openxmlformats.org/drawingml/2006/main">
                    <a:graphicData uri="http://schemas.openxmlformats.org/drawingml/2006/picture">
                      <pic:pic xmlns:pic="http://schemas.openxmlformats.org/drawingml/2006/picture">
                        <pic:nvPicPr>
                          <pic:cNvPr id="42" name="Picture_124_SpCnt_1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36" name="Picture_124_SpCnt_16"/>
                  <wp:cNvGraphicFramePr/>
                  <a:graphic xmlns:a="http://schemas.openxmlformats.org/drawingml/2006/main">
                    <a:graphicData uri="http://schemas.openxmlformats.org/drawingml/2006/picture">
                      <pic:pic xmlns:pic="http://schemas.openxmlformats.org/drawingml/2006/picture">
                        <pic:nvPicPr>
                          <pic:cNvPr id="36" name="Picture_124_SpCnt_1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3" name="Picture_124_SpCnt_17"/>
                  <wp:cNvGraphicFramePr/>
                  <a:graphic xmlns:a="http://schemas.openxmlformats.org/drawingml/2006/main">
                    <a:graphicData uri="http://schemas.openxmlformats.org/drawingml/2006/picture">
                      <pic:pic xmlns:pic="http://schemas.openxmlformats.org/drawingml/2006/picture">
                        <pic:nvPicPr>
                          <pic:cNvPr id="43" name="Picture_124_SpCnt_1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37" name="Picture_124_SpCnt_18"/>
                  <wp:cNvGraphicFramePr/>
                  <a:graphic xmlns:a="http://schemas.openxmlformats.org/drawingml/2006/main">
                    <a:graphicData uri="http://schemas.openxmlformats.org/drawingml/2006/picture">
                      <pic:pic xmlns:pic="http://schemas.openxmlformats.org/drawingml/2006/picture">
                        <pic:nvPicPr>
                          <pic:cNvPr id="37" name="Picture_124_SpCnt_1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5" name="Picture_124_SpCnt_19"/>
                  <wp:cNvGraphicFramePr/>
                  <a:graphic xmlns:a="http://schemas.openxmlformats.org/drawingml/2006/main">
                    <a:graphicData uri="http://schemas.openxmlformats.org/drawingml/2006/picture">
                      <pic:pic xmlns:pic="http://schemas.openxmlformats.org/drawingml/2006/picture">
                        <pic:nvPicPr>
                          <pic:cNvPr id="45" name="Picture_124_SpCnt_1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46" name="Picture_124_SpCnt_20"/>
                  <wp:cNvGraphicFramePr/>
                  <a:graphic xmlns:a="http://schemas.openxmlformats.org/drawingml/2006/main">
                    <a:graphicData uri="http://schemas.openxmlformats.org/drawingml/2006/picture">
                      <pic:pic xmlns:pic="http://schemas.openxmlformats.org/drawingml/2006/picture">
                        <pic:nvPicPr>
                          <pic:cNvPr id="46" name="Picture_124_SpCnt_2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8" name="Picture_124_SpCnt_21"/>
                  <wp:cNvGraphicFramePr/>
                  <a:graphic xmlns:a="http://schemas.openxmlformats.org/drawingml/2006/main">
                    <a:graphicData uri="http://schemas.openxmlformats.org/drawingml/2006/picture">
                      <pic:pic xmlns:pic="http://schemas.openxmlformats.org/drawingml/2006/picture">
                        <pic:nvPicPr>
                          <pic:cNvPr id="138" name="Picture_124_SpCnt_2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2" name="Picture_124_SpCnt_22"/>
                  <wp:cNvGraphicFramePr/>
                  <a:graphic xmlns:a="http://schemas.openxmlformats.org/drawingml/2006/main">
                    <a:graphicData uri="http://schemas.openxmlformats.org/drawingml/2006/picture">
                      <pic:pic xmlns:pic="http://schemas.openxmlformats.org/drawingml/2006/picture">
                        <pic:nvPicPr>
                          <pic:cNvPr id="122" name="Picture_124_SpCnt_2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8" name="Picture_124_SpCnt_23"/>
                  <wp:cNvGraphicFramePr/>
                  <a:graphic xmlns:a="http://schemas.openxmlformats.org/drawingml/2006/main">
                    <a:graphicData uri="http://schemas.openxmlformats.org/drawingml/2006/picture">
                      <pic:pic xmlns:pic="http://schemas.openxmlformats.org/drawingml/2006/picture">
                        <pic:nvPicPr>
                          <pic:cNvPr id="128" name="Picture_124_SpCnt_2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4" name="Picture_124_SpCnt_24"/>
                  <wp:cNvGraphicFramePr/>
                  <a:graphic xmlns:a="http://schemas.openxmlformats.org/drawingml/2006/main">
                    <a:graphicData uri="http://schemas.openxmlformats.org/drawingml/2006/picture">
                      <pic:pic xmlns:pic="http://schemas.openxmlformats.org/drawingml/2006/picture">
                        <pic:nvPicPr>
                          <pic:cNvPr id="124" name="Picture_124_SpCnt_2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2" name="Picture_124_SpCnt_25"/>
                  <wp:cNvGraphicFramePr/>
                  <a:graphic xmlns:a="http://schemas.openxmlformats.org/drawingml/2006/main">
                    <a:graphicData uri="http://schemas.openxmlformats.org/drawingml/2006/picture">
                      <pic:pic xmlns:pic="http://schemas.openxmlformats.org/drawingml/2006/picture">
                        <pic:nvPicPr>
                          <pic:cNvPr id="112" name="Picture_124_SpCnt_2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5" name="Picture_124_SpCnt_26"/>
                  <wp:cNvGraphicFramePr/>
                  <a:graphic xmlns:a="http://schemas.openxmlformats.org/drawingml/2006/main">
                    <a:graphicData uri="http://schemas.openxmlformats.org/drawingml/2006/picture">
                      <pic:pic xmlns:pic="http://schemas.openxmlformats.org/drawingml/2006/picture">
                        <pic:nvPicPr>
                          <pic:cNvPr id="125" name="Picture_124_SpCnt_2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0" name="Picture_124_SpCnt_27"/>
                  <wp:cNvGraphicFramePr/>
                  <a:graphic xmlns:a="http://schemas.openxmlformats.org/drawingml/2006/main">
                    <a:graphicData uri="http://schemas.openxmlformats.org/drawingml/2006/picture">
                      <pic:pic xmlns:pic="http://schemas.openxmlformats.org/drawingml/2006/picture">
                        <pic:nvPicPr>
                          <pic:cNvPr id="130" name="Picture_124_SpCnt_2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1" name="Picture_124_SpCnt_28"/>
                  <wp:cNvGraphicFramePr/>
                  <a:graphic xmlns:a="http://schemas.openxmlformats.org/drawingml/2006/main">
                    <a:graphicData uri="http://schemas.openxmlformats.org/drawingml/2006/picture">
                      <pic:pic xmlns:pic="http://schemas.openxmlformats.org/drawingml/2006/picture">
                        <pic:nvPicPr>
                          <pic:cNvPr id="131" name="Picture_124_SpCnt_2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6" name="Picture_124_SpCnt_29"/>
                  <wp:cNvGraphicFramePr/>
                  <a:graphic xmlns:a="http://schemas.openxmlformats.org/drawingml/2006/main">
                    <a:graphicData uri="http://schemas.openxmlformats.org/drawingml/2006/picture">
                      <pic:pic xmlns:pic="http://schemas.openxmlformats.org/drawingml/2006/picture">
                        <pic:nvPicPr>
                          <pic:cNvPr id="116" name="Picture_124_SpCnt_2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6" name="Picture_124_SpCnt_30"/>
                  <wp:cNvGraphicFramePr/>
                  <a:graphic xmlns:a="http://schemas.openxmlformats.org/drawingml/2006/main">
                    <a:graphicData uri="http://schemas.openxmlformats.org/drawingml/2006/picture">
                      <pic:pic xmlns:pic="http://schemas.openxmlformats.org/drawingml/2006/picture">
                        <pic:nvPicPr>
                          <pic:cNvPr id="126" name="Picture_124_SpCnt_3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3" name="Picture_124_SpCnt_31"/>
                  <wp:cNvGraphicFramePr/>
                  <a:graphic xmlns:a="http://schemas.openxmlformats.org/drawingml/2006/main">
                    <a:graphicData uri="http://schemas.openxmlformats.org/drawingml/2006/picture">
                      <pic:pic xmlns:pic="http://schemas.openxmlformats.org/drawingml/2006/picture">
                        <pic:nvPicPr>
                          <pic:cNvPr id="133" name="Picture_124_SpCnt_3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1" name="Picture_124_SpCnt_32"/>
                  <wp:cNvGraphicFramePr/>
                  <a:graphic xmlns:a="http://schemas.openxmlformats.org/drawingml/2006/main">
                    <a:graphicData uri="http://schemas.openxmlformats.org/drawingml/2006/picture">
                      <pic:pic xmlns:pic="http://schemas.openxmlformats.org/drawingml/2006/picture">
                        <pic:nvPicPr>
                          <pic:cNvPr id="111" name="Picture_124_SpCnt_3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7" name="Picture_124_SpCnt_33"/>
                  <wp:cNvGraphicFramePr/>
                  <a:graphic xmlns:a="http://schemas.openxmlformats.org/drawingml/2006/main">
                    <a:graphicData uri="http://schemas.openxmlformats.org/drawingml/2006/picture">
                      <pic:pic xmlns:pic="http://schemas.openxmlformats.org/drawingml/2006/picture">
                        <pic:nvPicPr>
                          <pic:cNvPr id="127" name="Picture_124_SpCnt_3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3" name="Picture_124_SpCnt_34"/>
                  <wp:cNvGraphicFramePr/>
                  <a:graphic xmlns:a="http://schemas.openxmlformats.org/drawingml/2006/main">
                    <a:graphicData uri="http://schemas.openxmlformats.org/drawingml/2006/picture">
                      <pic:pic xmlns:pic="http://schemas.openxmlformats.org/drawingml/2006/picture">
                        <pic:nvPicPr>
                          <pic:cNvPr id="123" name="Picture_124_SpCnt_3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5" name="Picture_124_SpCnt_35"/>
                  <wp:cNvGraphicFramePr/>
                  <a:graphic xmlns:a="http://schemas.openxmlformats.org/drawingml/2006/main">
                    <a:graphicData uri="http://schemas.openxmlformats.org/drawingml/2006/picture">
                      <pic:pic xmlns:pic="http://schemas.openxmlformats.org/drawingml/2006/picture">
                        <pic:nvPicPr>
                          <pic:cNvPr id="115" name="Picture_124_SpCnt_3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9" name="Picture_124_SpCnt_36"/>
                  <wp:cNvGraphicFramePr/>
                  <a:graphic xmlns:a="http://schemas.openxmlformats.org/drawingml/2006/main">
                    <a:graphicData uri="http://schemas.openxmlformats.org/drawingml/2006/picture">
                      <pic:pic xmlns:pic="http://schemas.openxmlformats.org/drawingml/2006/picture">
                        <pic:nvPicPr>
                          <pic:cNvPr id="129" name="Picture_124_SpCnt_3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7" name="Picture_124_SpCnt_37"/>
                  <wp:cNvGraphicFramePr/>
                  <a:graphic xmlns:a="http://schemas.openxmlformats.org/drawingml/2006/main">
                    <a:graphicData uri="http://schemas.openxmlformats.org/drawingml/2006/picture">
                      <pic:pic xmlns:pic="http://schemas.openxmlformats.org/drawingml/2006/picture">
                        <pic:nvPicPr>
                          <pic:cNvPr id="117" name="Picture_124_SpCnt_3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3" name="Picture_124_SpCnt_38"/>
                  <wp:cNvGraphicFramePr/>
                  <a:graphic xmlns:a="http://schemas.openxmlformats.org/drawingml/2006/main">
                    <a:graphicData uri="http://schemas.openxmlformats.org/drawingml/2006/picture">
                      <pic:pic xmlns:pic="http://schemas.openxmlformats.org/drawingml/2006/picture">
                        <pic:nvPicPr>
                          <pic:cNvPr id="113" name="Picture_124_SpCnt_3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2" name="Picture_124_SpCnt_39"/>
                  <wp:cNvGraphicFramePr/>
                  <a:graphic xmlns:a="http://schemas.openxmlformats.org/drawingml/2006/main">
                    <a:graphicData uri="http://schemas.openxmlformats.org/drawingml/2006/picture">
                      <pic:pic xmlns:pic="http://schemas.openxmlformats.org/drawingml/2006/picture">
                        <pic:nvPicPr>
                          <pic:cNvPr id="132" name="Picture_124_SpCnt_3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9" name="Picture_124_SpCnt_40"/>
                  <wp:cNvGraphicFramePr/>
                  <a:graphic xmlns:a="http://schemas.openxmlformats.org/drawingml/2006/main">
                    <a:graphicData uri="http://schemas.openxmlformats.org/drawingml/2006/picture">
                      <pic:pic xmlns:pic="http://schemas.openxmlformats.org/drawingml/2006/picture">
                        <pic:nvPicPr>
                          <pic:cNvPr id="119" name="Picture_124_SpCnt_4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4" name="Picture_124_SpCnt_41"/>
                  <wp:cNvGraphicFramePr/>
                  <a:graphic xmlns:a="http://schemas.openxmlformats.org/drawingml/2006/main">
                    <a:graphicData uri="http://schemas.openxmlformats.org/drawingml/2006/picture">
                      <pic:pic xmlns:pic="http://schemas.openxmlformats.org/drawingml/2006/picture">
                        <pic:nvPicPr>
                          <pic:cNvPr id="134" name="Picture_124_SpCnt_4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7" name="Picture_124_SpCnt_42"/>
                  <wp:cNvGraphicFramePr/>
                  <a:graphic xmlns:a="http://schemas.openxmlformats.org/drawingml/2006/main">
                    <a:graphicData uri="http://schemas.openxmlformats.org/drawingml/2006/picture">
                      <pic:pic xmlns:pic="http://schemas.openxmlformats.org/drawingml/2006/picture">
                        <pic:nvPicPr>
                          <pic:cNvPr id="137" name="Picture_124_SpCnt_4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1" name="Picture_124_SpCnt_43"/>
                  <wp:cNvGraphicFramePr/>
                  <a:graphic xmlns:a="http://schemas.openxmlformats.org/drawingml/2006/main">
                    <a:graphicData uri="http://schemas.openxmlformats.org/drawingml/2006/picture">
                      <pic:pic xmlns:pic="http://schemas.openxmlformats.org/drawingml/2006/picture">
                        <pic:nvPicPr>
                          <pic:cNvPr id="121" name="Picture_124_SpCnt_4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5" name="Picture_124_SpCnt_44"/>
                  <wp:cNvGraphicFramePr/>
                  <a:graphic xmlns:a="http://schemas.openxmlformats.org/drawingml/2006/main">
                    <a:graphicData uri="http://schemas.openxmlformats.org/drawingml/2006/picture">
                      <pic:pic xmlns:pic="http://schemas.openxmlformats.org/drawingml/2006/picture">
                        <pic:nvPicPr>
                          <pic:cNvPr id="135" name="Picture_124_SpCnt_4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36" name="Picture_124_SpCnt_45"/>
                  <wp:cNvGraphicFramePr/>
                  <a:graphic xmlns:a="http://schemas.openxmlformats.org/drawingml/2006/main">
                    <a:graphicData uri="http://schemas.openxmlformats.org/drawingml/2006/picture">
                      <pic:pic xmlns:pic="http://schemas.openxmlformats.org/drawingml/2006/picture">
                        <pic:nvPicPr>
                          <pic:cNvPr id="136" name="Picture_124_SpCnt_4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8" name="Picture_124_SpCnt_46"/>
                  <wp:cNvGraphicFramePr/>
                  <a:graphic xmlns:a="http://schemas.openxmlformats.org/drawingml/2006/main">
                    <a:graphicData uri="http://schemas.openxmlformats.org/drawingml/2006/picture">
                      <pic:pic xmlns:pic="http://schemas.openxmlformats.org/drawingml/2006/picture">
                        <pic:nvPicPr>
                          <pic:cNvPr id="118" name="Picture_124_SpCnt_4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07" name="Picture_124_SpCnt_47"/>
                  <wp:cNvGraphicFramePr/>
                  <a:graphic xmlns:a="http://schemas.openxmlformats.org/drawingml/2006/main">
                    <a:graphicData uri="http://schemas.openxmlformats.org/drawingml/2006/picture">
                      <pic:pic xmlns:pic="http://schemas.openxmlformats.org/drawingml/2006/picture">
                        <pic:nvPicPr>
                          <pic:cNvPr id="107" name="Picture_124_SpCnt_4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08" name="Picture_124_SpCnt_48"/>
                  <wp:cNvGraphicFramePr/>
                  <a:graphic xmlns:a="http://schemas.openxmlformats.org/drawingml/2006/main">
                    <a:graphicData uri="http://schemas.openxmlformats.org/drawingml/2006/picture">
                      <pic:pic xmlns:pic="http://schemas.openxmlformats.org/drawingml/2006/picture">
                        <pic:nvPicPr>
                          <pic:cNvPr id="108" name="Picture_124_SpCnt_4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09" name="Picture_124_SpCnt_49"/>
                  <wp:cNvGraphicFramePr/>
                  <a:graphic xmlns:a="http://schemas.openxmlformats.org/drawingml/2006/main">
                    <a:graphicData uri="http://schemas.openxmlformats.org/drawingml/2006/picture">
                      <pic:pic xmlns:pic="http://schemas.openxmlformats.org/drawingml/2006/picture">
                        <pic:nvPicPr>
                          <pic:cNvPr id="109" name="Picture_124_SpCnt_4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0" name="Picture_124_SpCnt_50"/>
                  <wp:cNvGraphicFramePr/>
                  <a:graphic xmlns:a="http://schemas.openxmlformats.org/drawingml/2006/main">
                    <a:graphicData uri="http://schemas.openxmlformats.org/drawingml/2006/picture">
                      <pic:pic xmlns:pic="http://schemas.openxmlformats.org/drawingml/2006/picture">
                        <pic:nvPicPr>
                          <pic:cNvPr id="110" name="Picture_124_SpCnt_5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14" name="Picture_124_SpCnt_51"/>
                  <wp:cNvGraphicFramePr/>
                  <a:graphic xmlns:a="http://schemas.openxmlformats.org/drawingml/2006/main">
                    <a:graphicData uri="http://schemas.openxmlformats.org/drawingml/2006/picture">
                      <pic:pic xmlns:pic="http://schemas.openxmlformats.org/drawingml/2006/picture">
                        <pic:nvPicPr>
                          <pic:cNvPr id="114" name="Picture_124_SpCnt_5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20" name="Picture_124_SpCnt_52"/>
                  <wp:cNvGraphicFramePr/>
                  <a:graphic xmlns:a="http://schemas.openxmlformats.org/drawingml/2006/main">
                    <a:graphicData uri="http://schemas.openxmlformats.org/drawingml/2006/picture">
                      <pic:pic xmlns:pic="http://schemas.openxmlformats.org/drawingml/2006/picture">
                        <pic:nvPicPr>
                          <pic:cNvPr id="120" name="Picture_124_SpCnt_5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507365</wp:posOffset>
                  </wp:positionV>
                  <wp:extent cx="167640" cy="167640"/>
                  <wp:effectExtent l="0" t="0" r="0" b="0"/>
                  <wp:wrapNone/>
                  <wp:docPr id="148" name="Picture_124_SpCnt_53"/>
                  <wp:cNvGraphicFramePr/>
                  <a:graphic xmlns:a="http://schemas.openxmlformats.org/drawingml/2006/main">
                    <a:graphicData uri="http://schemas.openxmlformats.org/drawingml/2006/picture">
                      <pic:pic xmlns:pic="http://schemas.openxmlformats.org/drawingml/2006/picture">
                        <pic:nvPicPr>
                          <pic:cNvPr id="148" name="Picture_124_SpCnt_5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1、面料：进口优质西皮。</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2、泡棉：优质广东“圣诺盟”牌海绵，座垫海绵密度大于35kg/m3，回弹率≥40%，外衬丝棉。</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3、框架：内框架采用东北落叶松实木骨架+优质多层板成型框架，经去皮、烘干、防虫防腐处理，木材含水量≤13%（含水率可根据各地当地水平修改）。</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4、打底：高弹力弹簧+尼龙绷带。</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5、下架：实木下架。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单人位</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1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1200*600*500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8" name="Picture_124_SpCnt_54"/>
                  <wp:cNvGraphicFramePr/>
                  <a:graphic xmlns:a="http://schemas.openxmlformats.org/drawingml/2006/main">
                    <a:graphicData uri="http://schemas.openxmlformats.org/drawingml/2006/picture">
                      <pic:pic xmlns:pic="http://schemas.openxmlformats.org/drawingml/2006/picture">
                        <pic:nvPicPr>
                          <pic:cNvPr id="158" name="Picture_124_SpCnt_5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4" name="Picture_124_SpCnt_55"/>
                  <wp:cNvGraphicFramePr/>
                  <a:graphic xmlns:a="http://schemas.openxmlformats.org/drawingml/2006/main">
                    <a:graphicData uri="http://schemas.openxmlformats.org/drawingml/2006/picture">
                      <pic:pic xmlns:pic="http://schemas.openxmlformats.org/drawingml/2006/picture">
                        <pic:nvPicPr>
                          <pic:cNvPr id="144" name="Picture_124_SpCnt_5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6" name="Picture_124_SpCnt_56"/>
                  <wp:cNvGraphicFramePr/>
                  <a:graphic xmlns:a="http://schemas.openxmlformats.org/drawingml/2006/main">
                    <a:graphicData uri="http://schemas.openxmlformats.org/drawingml/2006/picture">
                      <pic:pic xmlns:pic="http://schemas.openxmlformats.org/drawingml/2006/picture">
                        <pic:nvPicPr>
                          <pic:cNvPr id="146" name="Picture_124_SpCnt_5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9" name="Picture_124_SpCnt_57"/>
                  <wp:cNvGraphicFramePr/>
                  <a:graphic xmlns:a="http://schemas.openxmlformats.org/drawingml/2006/main">
                    <a:graphicData uri="http://schemas.openxmlformats.org/drawingml/2006/picture">
                      <pic:pic xmlns:pic="http://schemas.openxmlformats.org/drawingml/2006/picture">
                        <pic:nvPicPr>
                          <pic:cNvPr id="159" name="Picture_124_SpCnt_5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0" name="Picture_124_SpCnt_58"/>
                  <wp:cNvGraphicFramePr/>
                  <a:graphic xmlns:a="http://schemas.openxmlformats.org/drawingml/2006/main">
                    <a:graphicData uri="http://schemas.openxmlformats.org/drawingml/2006/picture">
                      <pic:pic xmlns:pic="http://schemas.openxmlformats.org/drawingml/2006/picture">
                        <pic:nvPicPr>
                          <pic:cNvPr id="170" name="Picture_124_SpCnt_5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0" name="Picture_124_SpCnt_59"/>
                  <wp:cNvGraphicFramePr/>
                  <a:graphic xmlns:a="http://schemas.openxmlformats.org/drawingml/2006/main">
                    <a:graphicData uri="http://schemas.openxmlformats.org/drawingml/2006/picture">
                      <pic:pic xmlns:pic="http://schemas.openxmlformats.org/drawingml/2006/picture">
                        <pic:nvPicPr>
                          <pic:cNvPr id="160" name="Picture_124_SpCnt_5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7" name="Picture_124_SpCnt_60"/>
                  <wp:cNvGraphicFramePr/>
                  <a:graphic xmlns:a="http://schemas.openxmlformats.org/drawingml/2006/main">
                    <a:graphicData uri="http://schemas.openxmlformats.org/drawingml/2006/picture">
                      <pic:pic xmlns:pic="http://schemas.openxmlformats.org/drawingml/2006/picture">
                        <pic:nvPicPr>
                          <pic:cNvPr id="157" name="Picture_124_SpCnt_6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1" name="Picture_124_SpCnt_61"/>
                  <wp:cNvGraphicFramePr/>
                  <a:graphic xmlns:a="http://schemas.openxmlformats.org/drawingml/2006/main">
                    <a:graphicData uri="http://schemas.openxmlformats.org/drawingml/2006/picture">
                      <pic:pic xmlns:pic="http://schemas.openxmlformats.org/drawingml/2006/picture">
                        <pic:nvPicPr>
                          <pic:cNvPr id="151" name="Picture_124_SpCnt_6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1" name="Picture_124_SpCnt_62"/>
                  <wp:cNvGraphicFramePr/>
                  <a:graphic xmlns:a="http://schemas.openxmlformats.org/drawingml/2006/main">
                    <a:graphicData uri="http://schemas.openxmlformats.org/drawingml/2006/picture">
                      <pic:pic xmlns:pic="http://schemas.openxmlformats.org/drawingml/2006/picture">
                        <pic:nvPicPr>
                          <pic:cNvPr id="161" name="Picture_124_SpCnt_6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9" name="Picture_124_SpCnt_63"/>
                  <wp:cNvGraphicFramePr/>
                  <a:graphic xmlns:a="http://schemas.openxmlformats.org/drawingml/2006/main">
                    <a:graphicData uri="http://schemas.openxmlformats.org/drawingml/2006/picture">
                      <pic:pic xmlns:pic="http://schemas.openxmlformats.org/drawingml/2006/picture">
                        <pic:nvPicPr>
                          <pic:cNvPr id="149" name="Picture_124_SpCnt_6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39" name="Picture_124_SpCnt_64"/>
                  <wp:cNvGraphicFramePr/>
                  <a:graphic xmlns:a="http://schemas.openxmlformats.org/drawingml/2006/main">
                    <a:graphicData uri="http://schemas.openxmlformats.org/drawingml/2006/picture">
                      <pic:pic xmlns:pic="http://schemas.openxmlformats.org/drawingml/2006/picture">
                        <pic:nvPicPr>
                          <pic:cNvPr id="139" name="Picture_124_SpCnt_6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9" name="Picture_124_SpCnt_65"/>
                  <wp:cNvGraphicFramePr/>
                  <a:graphic xmlns:a="http://schemas.openxmlformats.org/drawingml/2006/main">
                    <a:graphicData uri="http://schemas.openxmlformats.org/drawingml/2006/picture">
                      <pic:pic xmlns:pic="http://schemas.openxmlformats.org/drawingml/2006/picture">
                        <pic:nvPicPr>
                          <pic:cNvPr id="169" name="Picture_124_SpCnt_6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1" name="Picture_124_SpCnt_66"/>
                  <wp:cNvGraphicFramePr/>
                  <a:graphic xmlns:a="http://schemas.openxmlformats.org/drawingml/2006/main">
                    <a:graphicData uri="http://schemas.openxmlformats.org/drawingml/2006/picture">
                      <pic:pic xmlns:pic="http://schemas.openxmlformats.org/drawingml/2006/picture">
                        <pic:nvPicPr>
                          <pic:cNvPr id="141" name="Picture_124_SpCnt_6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0" name="Picture_124_SpCnt_67"/>
                  <wp:cNvGraphicFramePr/>
                  <a:graphic xmlns:a="http://schemas.openxmlformats.org/drawingml/2006/main">
                    <a:graphicData uri="http://schemas.openxmlformats.org/drawingml/2006/picture">
                      <pic:pic xmlns:pic="http://schemas.openxmlformats.org/drawingml/2006/picture">
                        <pic:nvPicPr>
                          <pic:cNvPr id="140" name="Picture_124_SpCnt_6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2" name="Picture_124_SpCnt_68"/>
                  <wp:cNvGraphicFramePr/>
                  <a:graphic xmlns:a="http://schemas.openxmlformats.org/drawingml/2006/main">
                    <a:graphicData uri="http://schemas.openxmlformats.org/drawingml/2006/picture">
                      <pic:pic xmlns:pic="http://schemas.openxmlformats.org/drawingml/2006/picture">
                        <pic:nvPicPr>
                          <pic:cNvPr id="142" name="Picture_124_SpCnt_6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2" name="Picture_124_SpCnt_69"/>
                  <wp:cNvGraphicFramePr/>
                  <a:graphic xmlns:a="http://schemas.openxmlformats.org/drawingml/2006/main">
                    <a:graphicData uri="http://schemas.openxmlformats.org/drawingml/2006/picture">
                      <pic:pic xmlns:pic="http://schemas.openxmlformats.org/drawingml/2006/picture">
                        <pic:nvPicPr>
                          <pic:cNvPr id="152" name="Picture_124_SpCnt_6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3" name="Picture_124_SpCnt_70"/>
                  <wp:cNvGraphicFramePr/>
                  <a:graphic xmlns:a="http://schemas.openxmlformats.org/drawingml/2006/main">
                    <a:graphicData uri="http://schemas.openxmlformats.org/drawingml/2006/picture">
                      <pic:pic xmlns:pic="http://schemas.openxmlformats.org/drawingml/2006/picture">
                        <pic:nvPicPr>
                          <pic:cNvPr id="143" name="Picture_124_SpCnt_7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2" name="Picture_124_SpCnt_71"/>
                  <wp:cNvGraphicFramePr/>
                  <a:graphic xmlns:a="http://schemas.openxmlformats.org/drawingml/2006/main">
                    <a:graphicData uri="http://schemas.openxmlformats.org/drawingml/2006/picture">
                      <pic:pic xmlns:pic="http://schemas.openxmlformats.org/drawingml/2006/picture">
                        <pic:nvPicPr>
                          <pic:cNvPr id="162" name="Picture_124_SpCnt_7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0" name="Picture_124_SpCnt_72"/>
                  <wp:cNvGraphicFramePr/>
                  <a:graphic xmlns:a="http://schemas.openxmlformats.org/drawingml/2006/main">
                    <a:graphicData uri="http://schemas.openxmlformats.org/drawingml/2006/picture">
                      <pic:pic xmlns:pic="http://schemas.openxmlformats.org/drawingml/2006/picture">
                        <pic:nvPicPr>
                          <pic:cNvPr id="150" name="Picture_124_SpCnt_7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5" name="Picture_124_SpCnt_73"/>
                  <wp:cNvGraphicFramePr/>
                  <a:graphic xmlns:a="http://schemas.openxmlformats.org/drawingml/2006/main">
                    <a:graphicData uri="http://schemas.openxmlformats.org/drawingml/2006/picture">
                      <pic:pic xmlns:pic="http://schemas.openxmlformats.org/drawingml/2006/picture">
                        <pic:nvPicPr>
                          <pic:cNvPr id="145" name="Picture_124_SpCnt_7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3" name="Picture_124_SpCnt_74"/>
                  <wp:cNvGraphicFramePr/>
                  <a:graphic xmlns:a="http://schemas.openxmlformats.org/drawingml/2006/main">
                    <a:graphicData uri="http://schemas.openxmlformats.org/drawingml/2006/picture">
                      <pic:pic xmlns:pic="http://schemas.openxmlformats.org/drawingml/2006/picture">
                        <pic:nvPicPr>
                          <pic:cNvPr id="153" name="Picture_124_SpCnt_7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47" name="Picture_124_SpCnt_75"/>
                  <wp:cNvGraphicFramePr/>
                  <a:graphic xmlns:a="http://schemas.openxmlformats.org/drawingml/2006/main">
                    <a:graphicData uri="http://schemas.openxmlformats.org/drawingml/2006/picture">
                      <pic:pic xmlns:pic="http://schemas.openxmlformats.org/drawingml/2006/picture">
                        <pic:nvPicPr>
                          <pic:cNvPr id="147" name="Picture_124_SpCnt_7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3" name="Picture_124_SpCnt_76"/>
                  <wp:cNvGraphicFramePr/>
                  <a:graphic xmlns:a="http://schemas.openxmlformats.org/drawingml/2006/main">
                    <a:graphicData uri="http://schemas.openxmlformats.org/drawingml/2006/picture">
                      <pic:pic xmlns:pic="http://schemas.openxmlformats.org/drawingml/2006/picture">
                        <pic:nvPicPr>
                          <pic:cNvPr id="163" name="Picture_124_SpCnt_7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4" name="Picture_124_SpCnt_77"/>
                  <wp:cNvGraphicFramePr/>
                  <a:graphic xmlns:a="http://schemas.openxmlformats.org/drawingml/2006/main">
                    <a:graphicData uri="http://schemas.openxmlformats.org/drawingml/2006/picture">
                      <pic:pic xmlns:pic="http://schemas.openxmlformats.org/drawingml/2006/picture">
                        <pic:nvPicPr>
                          <pic:cNvPr id="154" name="Picture_124_SpCnt_7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5" name="Picture_124_SpCnt_78"/>
                  <wp:cNvGraphicFramePr/>
                  <a:graphic xmlns:a="http://schemas.openxmlformats.org/drawingml/2006/main">
                    <a:graphicData uri="http://schemas.openxmlformats.org/drawingml/2006/picture">
                      <pic:pic xmlns:pic="http://schemas.openxmlformats.org/drawingml/2006/picture">
                        <pic:nvPicPr>
                          <pic:cNvPr id="155" name="Picture_124_SpCnt_7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4" name="Picture_124_SpCnt_79"/>
                  <wp:cNvGraphicFramePr/>
                  <a:graphic xmlns:a="http://schemas.openxmlformats.org/drawingml/2006/main">
                    <a:graphicData uri="http://schemas.openxmlformats.org/drawingml/2006/picture">
                      <pic:pic xmlns:pic="http://schemas.openxmlformats.org/drawingml/2006/picture">
                        <pic:nvPicPr>
                          <pic:cNvPr id="164" name="Picture_124_SpCnt_7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5" name="Picture_124_SpCnt_80"/>
                  <wp:cNvGraphicFramePr/>
                  <a:graphic xmlns:a="http://schemas.openxmlformats.org/drawingml/2006/main">
                    <a:graphicData uri="http://schemas.openxmlformats.org/drawingml/2006/picture">
                      <pic:pic xmlns:pic="http://schemas.openxmlformats.org/drawingml/2006/picture">
                        <pic:nvPicPr>
                          <pic:cNvPr id="165" name="Picture_124_SpCnt_8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8" name="Picture_124_SpCnt_81"/>
                  <wp:cNvGraphicFramePr/>
                  <a:graphic xmlns:a="http://schemas.openxmlformats.org/drawingml/2006/main">
                    <a:graphicData uri="http://schemas.openxmlformats.org/drawingml/2006/picture">
                      <pic:pic xmlns:pic="http://schemas.openxmlformats.org/drawingml/2006/picture">
                        <pic:nvPicPr>
                          <pic:cNvPr id="168" name="Picture_124_SpCnt_8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56" name="Picture_124_SpCnt_82"/>
                  <wp:cNvGraphicFramePr/>
                  <a:graphic xmlns:a="http://schemas.openxmlformats.org/drawingml/2006/main">
                    <a:graphicData uri="http://schemas.openxmlformats.org/drawingml/2006/picture">
                      <pic:pic xmlns:pic="http://schemas.openxmlformats.org/drawingml/2006/picture">
                        <pic:nvPicPr>
                          <pic:cNvPr id="156" name="Picture_124_SpCnt_8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6" name="Picture_124_SpCnt_83"/>
                  <wp:cNvGraphicFramePr/>
                  <a:graphic xmlns:a="http://schemas.openxmlformats.org/drawingml/2006/main">
                    <a:graphicData uri="http://schemas.openxmlformats.org/drawingml/2006/picture">
                      <pic:pic xmlns:pic="http://schemas.openxmlformats.org/drawingml/2006/picture">
                        <pic:nvPicPr>
                          <pic:cNvPr id="166" name="Picture_124_SpCnt_8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67" name="Picture_124_SpCnt_84"/>
                  <wp:cNvGraphicFramePr/>
                  <a:graphic xmlns:a="http://schemas.openxmlformats.org/drawingml/2006/main">
                    <a:graphicData uri="http://schemas.openxmlformats.org/drawingml/2006/picture">
                      <pic:pic xmlns:pic="http://schemas.openxmlformats.org/drawingml/2006/picture">
                        <pic:nvPicPr>
                          <pic:cNvPr id="167" name="Picture_124_SpCnt_8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3" name="Picture_124_SpCnt_85"/>
                  <wp:cNvGraphicFramePr/>
                  <a:graphic xmlns:a="http://schemas.openxmlformats.org/drawingml/2006/main">
                    <a:graphicData uri="http://schemas.openxmlformats.org/drawingml/2006/picture">
                      <pic:pic xmlns:pic="http://schemas.openxmlformats.org/drawingml/2006/picture">
                        <pic:nvPicPr>
                          <pic:cNvPr id="183" name="Picture_124_SpCnt_8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1" name="Picture_124_SpCnt_86"/>
                  <wp:cNvGraphicFramePr/>
                  <a:graphic xmlns:a="http://schemas.openxmlformats.org/drawingml/2006/main">
                    <a:graphicData uri="http://schemas.openxmlformats.org/drawingml/2006/picture">
                      <pic:pic xmlns:pic="http://schemas.openxmlformats.org/drawingml/2006/picture">
                        <pic:nvPicPr>
                          <pic:cNvPr id="201" name="Picture_124_SpCnt_8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2" name="Picture_124_SpCnt_87"/>
                  <wp:cNvGraphicFramePr/>
                  <a:graphic xmlns:a="http://schemas.openxmlformats.org/drawingml/2006/main">
                    <a:graphicData uri="http://schemas.openxmlformats.org/drawingml/2006/picture">
                      <pic:pic xmlns:pic="http://schemas.openxmlformats.org/drawingml/2006/picture">
                        <pic:nvPicPr>
                          <pic:cNvPr id="172" name="Picture_124_SpCnt_8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6" name="Picture_124_SpCnt_88"/>
                  <wp:cNvGraphicFramePr/>
                  <a:graphic xmlns:a="http://schemas.openxmlformats.org/drawingml/2006/main">
                    <a:graphicData uri="http://schemas.openxmlformats.org/drawingml/2006/picture">
                      <pic:pic xmlns:pic="http://schemas.openxmlformats.org/drawingml/2006/picture">
                        <pic:nvPicPr>
                          <pic:cNvPr id="196" name="Picture_124_SpCnt_8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2" name="Picture_124_SpCnt_89"/>
                  <wp:cNvGraphicFramePr/>
                  <a:graphic xmlns:a="http://schemas.openxmlformats.org/drawingml/2006/main">
                    <a:graphicData uri="http://schemas.openxmlformats.org/drawingml/2006/picture">
                      <pic:pic xmlns:pic="http://schemas.openxmlformats.org/drawingml/2006/picture">
                        <pic:nvPicPr>
                          <pic:cNvPr id="202" name="Picture_124_SpCnt_8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1" name="Picture_124_SpCnt_90"/>
                  <wp:cNvGraphicFramePr/>
                  <a:graphic xmlns:a="http://schemas.openxmlformats.org/drawingml/2006/main">
                    <a:graphicData uri="http://schemas.openxmlformats.org/drawingml/2006/picture">
                      <pic:pic xmlns:pic="http://schemas.openxmlformats.org/drawingml/2006/picture">
                        <pic:nvPicPr>
                          <pic:cNvPr id="171" name="Picture_124_SpCnt_9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3" name="Picture_124_SpCnt_91"/>
                  <wp:cNvGraphicFramePr/>
                  <a:graphic xmlns:a="http://schemas.openxmlformats.org/drawingml/2006/main">
                    <a:graphicData uri="http://schemas.openxmlformats.org/drawingml/2006/picture">
                      <pic:pic xmlns:pic="http://schemas.openxmlformats.org/drawingml/2006/picture">
                        <pic:nvPicPr>
                          <pic:cNvPr id="173" name="Picture_124_SpCnt_9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2" name="Picture_124_SpCnt_92"/>
                  <wp:cNvGraphicFramePr/>
                  <a:graphic xmlns:a="http://schemas.openxmlformats.org/drawingml/2006/main">
                    <a:graphicData uri="http://schemas.openxmlformats.org/drawingml/2006/picture">
                      <pic:pic xmlns:pic="http://schemas.openxmlformats.org/drawingml/2006/picture">
                        <pic:nvPicPr>
                          <pic:cNvPr id="192" name="Picture_124_SpCnt_9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4" name="Picture_124_SpCnt_93"/>
                  <wp:cNvGraphicFramePr/>
                  <a:graphic xmlns:a="http://schemas.openxmlformats.org/drawingml/2006/main">
                    <a:graphicData uri="http://schemas.openxmlformats.org/drawingml/2006/picture">
                      <pic:pic xmlns:pic="http://schemas.openxmlformats.org/drawingml/2006/picture">
                        <pic:nvPicPr>
                          <pic:cNvPr id="174" name="Picture_124_SpCnt_9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8" name="Picture_124_SpCnt_94"/>
                  <wp:cNvGraphicFramePr/>
                  <a:graphic xmlns:a="http://schemas.openxmlformats.org/drawingml/2006/main">
                    <a:graphicData uri="http://schemas.openxmlformats.org/drawingml/2006/picture">
                      <pic:pic xmlns:pic="http://schemas.openxmlformats.org/drawingml/2006/picture">
                        <pic:nvPicPr>
                          <pic:cNvPr id="188" name="Picture_124_SpCnt_9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5" name="Picture_124_SpCnt_95"/>
                  <wp:cNvGraphicFramePr/>
                  <a:graphic xmlns:a="http://schemas.openxmlformats.org/drawingml/2006/main">
                    <a:graphicData uri="http://schemas.openxmlformats.org/drawingml/2006/picture">
                      <pic:pic xmlns:pic="http://schemas.openxmlformats.org/drawingml/2006/picture">
                        <pic:nvPicPr>
                          <pic:cNvPr id="175" name="Picture_124_SpCnt_9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7" name="Picture_124_SpCnt_96"/>
                  <wp:cNvGraphicFramePr/>
                  <a:graphic xmlns:a="http://schemas.openxmlformats.org/drawingml/2006/main">
                    <a:graphicData uri="http://schemas.openxmlformats.org/drawingml/2006/picture">
                      <pic:pic xmlns:pic="http://schemas.openxmlformats.org/drawingml/2006/picture">
                        <pic:nvPicPr>
                          <pic:cNvPr id="177" name="Picture_124_SpCnt_9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4" name="Picture_124_SpCnt_97"/>
                  <wp:cNvGraphicFramePr/>
                  <a:graphic xmlns:a="http://schemas.openxmlformats.org/drawingml/2006/main">
                    <a:graphicData uri="http://schemas.openxmlformats.org/drawingml/2006/picture">
                      <pic:pic xmlns:pic="http://schemas.openxmlformats.org/drawingml/2006/picture">
                        <pic:nvPicPr>
                          <pic:cNvPr id="184" name="Picture_124_SpCnt_9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5" name="Picture_124_SpCnt_98"/>
                  <wp:cNvGraphicFramePr/>
                  <a:graphic xmlns:a="http://schemas.openxmlformats.org/drawingml/2006/main">
                    <a:graphicData uri="http://schemas.openxmlformats.org/drawingml/2006/picture">
                      <pic:pic xmlns:pic="http://schemas.openxmlformats.org/drawingml/2006/picture">
                        <pic:nvPicPr>
                          <pic:cNvPr id="195" name="Picture_124_SpCnt_9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9" name="Picture_124_SpCnt_99"/>
                  <wp:cNvGraphicFramePr/>
                  <a:graphic xmlns:a="http://schemas.openxmlformats.org/drawingml/2006/main">
                    <a:graphicData uri="http://schemas.openxmlformats.org/drawingml/2006/picture">
                      <pic:pic xmlns:pic="http://schemas.openxmlformats.org/drawingml/2006/picture">
                        <pic:nvPicPr>
                          <pic:cNvPr id="189" name="Picture_124_SpCnt_9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3" name="Picture_124_SpCnt_100"/>
                  <wp:cNvGraphicFramePr/>
                  <a:graphic xmlns:a="http://schemas.openxmlformats.org/drawingml/2006/main">
                    <a:graphicData uri="http://schemas.openxmlformats.org/drawingml/2006/picture">
                      <pic:pic xmlns:pic="http://schemas.openxmlformats.org/drawingml/2006/picture">
                        <pic:nvPicPr>
                          <pic:cNvPr id="193" name="Picture_124_SpCnt_10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4" name="Picture_124_SpCnt_101"/>
                  <wp:cNvGraphicFramePr/>
                  <a:graphic xmlns:a="http://schemas.openxmlformats.org/drawingml/2006/main">
                    <a:graphicData uri="http://schemas.openxmlformats.org/drawingml/2006/picture">
                      <pic:pic xmlns:pic="http://schemas.openxmlformats.org/drawingml/2006/picture">
                        <pic:nvPicPr>
                          <pic:cNvPr id="194" name="Picture_124_SpCnt_10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5" name="Picture_124_SpCnt_102"/>
                  <wp:cNvGraphicFramePr/>
                  <a:graphic xmlns:a="http://schemas.openxmlformats.org/drawingml/2006/main">
                    <a:graphicData uri="http://schemas.openxmlformats.org/drawingml/2006/picture">
                      <pic:pic xmlns:pic="http://schemas.openxmlformats.org/drawingml/2006/picture">
                        <pic:nvPicPr>
                          <pic:cNvPr id="185" name="Picture_124_SpCnt_10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6" name="Picture_124_SpCnt_103"/>
                  <wp:cNvGraphicFramePr/>
                  <a:graphic xmlns:a="http://schemas.openxmlformats.org/drawingml/2006/main">
                    <a:graphicData uri="http://schemas.openxmlformats.org/drawingml/2006/picture">
                      <pic:pic xmlns:pic="http://schemas.openxmlformats.org/drawingml/2006/picture">
                        <pic:nvPicPr>
                          <pic:cNvPr id="186" name="Picture_124_SpCnt_10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0" name="Picture_124_SpCnt_104"/>
                  <wp:cNvGraphicFramePr/>
                  <a:graphic xmlns:a="http://schemas.openxmlformats.org/drawingml/2006/main">
                    <a:graphicData uri="http://schemas.openxmlformats.org/drawingml/2006/picture">
                      <pic:pic xmlns:pic="http://schemas.openxmlformats.org/drawingml/2006/picture">
                        <pic:nvPicPr>
                          <pic:cNvPr id="180" name="Picture_124_SpCnt_10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7" name="Picture_124_SpCnt_105"/>
                  <wp:cNvGraphicFramePr/>
                  <a:graphic xmlns:a="http://schemas.openxmlformats.org/drawingml/2006/main">
                    <a:graphicData uri="http://schemas.openxmlformats.org/drawingml/2006/picture">
                      <pic:pic xmlns:pic="http://schemas.openxmlformats.org/drawingml/2006/picture">
                        <pic:nvPicPr>
                          <pic:cNvPr id="197" name="Picture_124_SpCnt_10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6" name="Picture_124_SpCnt_106"/>
                  <wp:cNvGraphicFramePr/>
                  <a:graphic xmlns:a="http://schemas.openxmlformats.org/drawingml/2006/main">
                    <a:graphicData uri="http://schemas.openxmlformats.org/drawingml/2006/picture">
                      <pic:pic xmlns:pic="http://schemas.openxmlformats.org/drawingml/2006/picture">
                        <pic:nvPicPr>
                          <pic:cNvPr id="176" name="Picture_124_SpCnt_10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2" name="Picture_124_SpCnt_107"/>
                  <wp:cNvGraphicFramePr/>
                  <a:graphic xmlns:a="http://schemas.openxmlformats.org/drawingml/2006/main">
                    <a:graphicData uri="http://schemas.openxmlformats.org/drawingml/2006/picture">
                      <pic:pic xmlns:pic="http://schemas.openxmlformats.org/drawingml/2006/picture">
                        <pic:nvPicPr>
                          <pic:cNvPr id="182" name="Picture_124_SpCnt_10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8" name="Picture_124_SpCnt_108"/>
                  <wp:cNvGraphicFramePr/>
                  <a:graphic xmlns:a="http://schemas.openxmlformats.org/drawingml/2006/main">
                    <a:graphicData uri="http://schemas.openxmlformats.org/drawingml/2006/picture">
                      <pic:pic xmlns:pic="http://schemas.openxmlformats.org/drawingml/2006/picture">
                        <pic:nvPicPr>
                          <pic:cNvPr id="178" name="Picture_124_SpCnt_10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1" name="Picture_124_SpCnt_109"/>
                  <wp:cNvGraphicFramePr/>
                  <a:graphic xmlns:a="http://schemas.openxmlformats.org/drawingml/2006/main">
                    <a:graphicData uri="http://schemas.openxmlformats.org/drawingml/2006/picture">
                      <pic:pic xmlns:pic="http://schemas.openxmlformats.org/drawingml/2006/picture">
                        <pic:nvPicPr>
                          <pic:cNvPr id="181" name="Picture_124_SpCnt_10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79" name="Picture_124_SpCnt_110"/>
                  <wp:cNvGraphicFramePr/>
                  <a:graphic xmlns:a="http://schemas.openxmlformats.org/drawingml/2006/main">
                    <a:graphicData uri="http://schemas.openxmlformats.org/drawingml/2006/picture">
                      <pic:pic xmlns:pic="http://schemas.openxmlformats.org/drawingml/2006/picture">
                        <pic:nvPicPr>
                          <pic:cNvPr id="179" name="Picture_124_SpCnt_11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87" name="Picture_124_SpCnt_111"/>
                  <wp:cNvGraphicFramePr/>
                  <a:graphic xmlns:a="http://schemas.openxmlformats.org/drawingml/2006/main">
                    <a:graphicData uri="http://schemas.openxmlformats.org/drawingml/2006/picture">
                      <pic:pic xmlns:pic="http://schemas.openxmlformats.org/drawingml/2006/picture">
                        <pic:nvPicPr>
                          <pic:cNvPr id="187" name="Picture_124_SpCnt_11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0" name="Picture_124_SpCnt_112"/>
                  <wp:cNvGraphicFramePr/>
                  <a:graphic xmlns:a="http://schemas.openxmlformats.org/drawingml/2006/main">
                    <a:graphicData uri="http://schemas.openxmlformats.org/drawingml/2006/picture">
                      <pic:pic xmlns:pic="http://schemas.openxmlformats.org/drawingml/2006/picture">
                        <pic:nvPicPr>
                          <pic:cNvPr id="190" name="Picture_124_SpCnt_11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1" name="Picture_124_SpCnt_113"/>
                  <wp:cNvGraphicFramePr/>
                  <a:graphic xmlns:a="http://schemas.openxmlformats.org/drawingml/2006/main">
                    <a:graphicData uri="http://schemas.openxmlformats.org/drawingml/2006/picture">
                      <pic:pic xmlns:pic="http://schemas.openxmlformats.org/drawingml/2006/picture">
                        <pic:nvPicPr>
                          <pic:cNvPr id="191" name="Picture_124_SpCnt_11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8" name="Picture_124_SpCnt_114"/>
                  <wp:cNvGraphicFramePr/>
                  <a:graphic xmlns:a="http://schemas.openxmlformats.org/drawingml/2006/main">
                    <a:graphicData uri="http://schemas.openxmlformats.org/drawingml/2006/picture">
                      <pic:pic xmlns:pic="http://schemas.openxmlformats.org/drawingml/2006/picture">
                        <pic:nvPicPr>
                          <pic:cNvPr id="198" name="Picture_124_SpCnt_11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99" name="Picture_124_SpCnt_115"/>
                  <wp:cNvGraphicFramePr/>
                  <a:graphic xmlns:a="http://schemas.openxmlformats.org/drawingml/2006/main">
                    <a:graphicData uri="http://schemas.openxmlformats.org/drawingml/2006/picture">
                      <pic:pic xmlns:pic="http://schemas.openxmlformats.org/drawingml/2006/picture">
                        <pic:nvPicPr>
                          <pic:cNvPr id="199" name="Picture_124_SpCnt_11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0" name="Picture_124_SpCnt_116"/>
                  <wp:cNvGraphicFramePr/>
                  <a:graphic xmlns:a="http://schemas.openxmlformats.org/drawingml/2006/main">
                    <a:graphicData uri="http://schemas.openxmlformats.org/drawingml/2006/picture">
                      <pic:pic xmlns:pic="http://schemas.openxmlformats.org/drawingml/2006/picture">
                        <pic:nvPicPr>
                          <pic:cNvPr id="200" name="Picture_124_SpCnt_11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27" name="Picture_124_SpCnt_117"/>
                  <wp:cNvGraphicFramePr/>
                  <a:graphic xmlns:a="http://schemas.openxmlformats.org/drawingml/2006/main">
                    <a:graphicData uri="http://schemas.openxmlformats.org/drawingml/2006/picture">
                      <pic:pic xmlns:pic="http://schemas.openxmlformats.org/drawingml/2006/picture">
                        <pic:nvPicPr>
                          <pic:cNvPr id="227" name="Picture_124_SpCnt_11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2" name="Picture_124_SpCnt_118"/>
                  <wp:cNvGraphicFramePr/>
                  <a:graphic xmlns:a="http://schemas.openxmlformats.org/drawingml/2006/main">
                    <a:graphicData uri="http://schemas.openxmlformats.org/drawingml/2006/picture">
                      <pic:pic xmlns:pic="http://schemas.openxmlformats.org/drawingml/2006/picture">
                        <pic:nvPicPr>
                          <pic:cNvPr id="232" name="Picture_124_SpCnt_11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4" name="Picture_124_SpCnt_119"/>
                  <wp:cNvGraphicFramePr/>
                  <a:graphic xmlns:a="http://schemas.openxmlformats.org/drawingml/2006/main">
                    <a:graphicData uri="http://schemas.openxmlformats.org/drawingml/2006/picture">
                      <pic:pic xmlns:pic="http://schemas.openxmlformats.org/drawingml/2006/picture">
                        <pic:nvPicPr>
                          <pic:cNvPr id="204" name="Picture_124_SpCnt_11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20" name="Picture_124_SpCnt_120"/>
                  <wp:cNvGraphicFramePr/>
                  <a:graphic xmlns:a="http://schemas.openxmlformats.org/drawingml/2006/main">
                    <a:graphicData uri="http://schemas.openxmlformats.org/drawingml/2006/picture">
                      <pic:pic xmlns:pic="http://schemas.openxmlformats.org/drawingml/2006/picture">
                        <pic:nvPicPr>
                          <pic:cNvPr id="220" name="Picture_124_SpCnt_12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5" name="Picture_124_SpCnt_121"/>
                  <wp:cNvGraphicFramePr/>
                  <a:graphic xmlns:a="http://schemas.openxmlformats.org/drawingml/2006/main">
                    <a:graphicData uri="http://schemas.openxmlformats.org/drawingml/2006/picture">
                      <pic:pic xmlns:pic="http://schemas.openxmlformats.org/drawingml/2006/picture">
                        <pic:nvPicPr>
                          <pic:cNvPr id="205" name="Picture_124_SpCnt_12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21" name="Picture_124_SpCnt_122"/>
                  <wp:cNvGraphicFramePr/>
                  <a:graphic xmlns:a="http://schemas.openxmlformats.org/drawingml/2006/main">
                    <a:graphicData uri="http://schemas.openxmlformats.org/drawingml/2006/picture">
                      <pic:pic xmlns:pic="http://schemas.openxmlformats.org/drawingml/2006/picture">
                        <pic:nvPicPr>
                          <pic:cNvPr id="221" name="Picture_124_SpCnt_12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6" name="Picture_124_SpCnt_123"/>
                  <wp:cNvGraphicFramePr/>
                  <a:graphic xmlns:a="http://schemas.openxmlformats.org/drawingml/2006/main">
                    <a:graphicData uri="http://schemas.openxmlformats.org/drawingml/2006/picture">
                      <pic:pic xmlns:pic="http://schemas.openxmlformats.org/drawingml/2006/picture">
                        <pic:nvPicPr>
                          <pic:cNvPr id="206" name="Picture_124_SpCnt_12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7" name="Picture_124_SpCnt_124"/>
                  <wp:cNvGraphicFramePr/>
                  <a:graphic xmlns:a="http://schemas.openxmlformats.org/drawingml/2006/main">
                    <a:graphicData uri="http://schemas.openxmlformats.org/drawingml/2006/picture">
                      <pic:pic xmlns:pic="http://schemas.openxmlformats.org/drawingml/2006/picture">
                        <pic:nvPicPr>
                          <pic:cNvPr id="207" name="Picture_124_SpCnt_12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3" name="Picture_124_SpCnt_125"/>
                  <wp:cNvGraphicFramePr/>
                  <a:graphic xmlns:a="http://schemas.openxmlformats.org/drawingml/2006/main">
                    <a:graphicData uri="http://schemas.openxmlformats.org/drawingml/2006/picture">
                      <pic:pic xmlns:pic="http://schemas.openxmlformats.org/drawingml/2006/picture">
                        <pic:nvPicPr>
                          <pic:cNvPr id="233" name="Picture_124_SpCnt_12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8" name="Picture_124_SpCnt_126"/>
                  <wp:cNvGraphicFramePr/>
                  <a:graphic xmlns:a="http://schemas.openxmlformats.org/drawingml/2006/main">
                    <a:graphicData uri="http://schemas.openxmlformats.org/drawingml/2006/picture">
                      <pic:pic xmlns:pic="http://schemas.openxmlformats.org/drawingml/2006/picture">
                        <pic:nvPicPr>
                          <pic:cNvPr id="208" name="Picture_124_SpCnt_12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28" name="Picture_124_SpCnt_127"/>
                  <wp:cNvGraphicFramePr/>
                  <a:graphic xmlns:a="http://schemas.openxmlformats.org/drawingml/2006/main">
                    <a:graphicData uri="http://schemas.openxmlformats.org/drawingml/2006/picture">
                      <pic:pic xmlns:pic="http://schemas.openxmlformats.org/drawingml/2006/picture">
                        <pic:nvPicPr>
                          <pic:cNvPr id="228" name="Picture_124_SpCnt_12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9" name="Picture_124_SpCnt_128"/>
                  <wp:cNvGraphicFramePr/>
                  <a:graphic xmlns:a="http://schemas.openxmlformats.org/drawingml/2006/main">
                    <a:graphicData uri="http://schemas.openxmlformats.org/drawingml/2006/picture">
                      <pic:pic xmlns:pic="http://schemas.openxmlformats.org/drawingml/2006/picture">
                        <pic:nvPicPr>
                          <pic:cNvPr id="219" name="Picture_124_SpCnt_12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29" name="Picture_124_SpCnt_129"/>
                  <wp:cNvGraphicFramePr/>
                  <a:graphic xmlns:a="http://schemas.openxmlformats.org/drawingml/2006/main">
                    <a:graphicData uri="http://schemas.openxmlformats.org/drawingml/2006/picture">
                      <pic:pic xmlns:pic="http://schemas.openxmlformats.org/drawingml/2006/picture">
                        <pic:nvPicPr>
                          <pic:cNvPr id="229" name="Picture_124_SpCnt_12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2" name="Picture_124_SpCnt_130"/>
                  <wp:cNvGraphicFramePr/>
                  <a:graphic xmlns:a="http://schemas.openxmlformats.org/drawingml/2006/main">
                    <a:graphicData uri="http://schemas.openxmlformats.org/drawingml/2006/picture">
                      <pic:pic xmlns:pic="http://schemas.openxmlformats.org/drawingml/2006/picture">
                        <pic:nvPicPr>
                          <pic:cNvPr id="212" name="Picture_124_SpCnt_13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09" name="Picture_124_SpCnt_131"/>
                  <wp:cNvGraphicFramePr/>
                  <a:graphic xmlns:a="http://schemas.openxmlformats.org/drawingml/2006/main">
                    <a:graphicData uri="http://schemas.openxmlformats.org/drawingml/2006/picture">
                      <pic:pic xmlns:pic="http://schemas.openxmlformats.org/drawingml/2006/picture">
                        <pic:nvPicPr>
                          <pic:cNvPr id="209" name="Picture_124_SpCnt_13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6" name="Picture_124_SpCnt_132"/>
                  <wp:cNvGraphicFramePr/>
                  <a:graphic xmlns:a="http://schemas.openxmlformats.org/drawingml/2006/main">
                    <a:graphicData uri="http://schemas.openxmlformats.org/drawingml/2006/picture">
                      <pic:pic xmlns:pic="http://schemas.openxmlformats.org/drawingml/2006/picture">
                        <pic:nvPicPr>
                          <pic:cNvPr id="216" name="Picture_124_SpCnt_13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0" name="Picture_124_SpCnt_133"/>
                  <wp:cNvGraphicFramePr/>
                  <a:graphic xmlns:a="http://schemas.openxmlformats.org/drawingml/2006/main">
                    <a:graphicData uri="http://schemas.openxmlformats.org/drawingml/2006/picture">
                      <pic:pic xmlns:pic="http://schemas.openxmlformats.org/drawingml/2006/picture">
                        <pic:nvPicPr>
                          <pic:cNvPr id="210" name="Picture_124_SpCnt_13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3" name="Picture_124_SpCnt_134"/>
                  <wp:cNvGraphicFramePr/>
                  <a:graphic xmlns:a="http://schemas.openxmlformats.org/drawingml/2006/main">
                    <a:graphicData uri="http://schemas.openxmlformats.org/drawingml/2006/picture">
                      <pic:pic xmlns:pic="http://schemas.openxmlformats.org/drawingml/2006/picture">
                        <pic:nvPicPr>
                          <pic:cNvPr id="213" name="Picture_124_SpCnt_13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1" name="Picture_124_SpCnt_135"/>
                  <wp:cNvGraphicFramePr/>
                  <a:graphic xmlns:a="http://schemas.openxmlformats.org/drawingml/2006/main">
                    <a:graphicData uri="http://schemas.openxmlformats.org/drawingml/2006/picture">
                      <pic:pic xmlns:pic="http://schemas.openxmlformats.org/drawingml/2006/picture">
                        <pic:nvPicPr>
                          <pic:cNvPr id="211" name="Picture_124_SpCnt_13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0" name="Picture_124_SpCnt_136"/>
                  <wp:cNvGraphicFramePr/>
                  <a:graphic xmlns:a="http://schemas.openxmlformats.org/drawingml/2006/main">
                    <a:graphicData uri="http://schemas.openxmlformats.org/drawingml/2006/picture">
                      <pic:pic xmlns:pic="http://schemas.openxmlformats.org/drawingml/2006/picture">
                        <pic:nvPicPr>
                          <pic:cNvPr id="230" name="Picture_124_SpCnt_13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14" name="Picture_124_SpCnt_137"/>
                  <wp:cNvGraphicFramePr/>
                  <a:graphic xmlns:a="http://schemas.openxmlformats.org/drawingml/2006/main">
                    <a:graphicData uri="http://schemas.openxmlformats.org/drawingml/2006/picture">
                      <pic:pic xmlns:pic="http://schemas.openxmlformats.org/drawingml/2006/picture">
                        <pic:nvPicPr>
                          <pic:cNvPr id="214" name="Picture_124_SpCnt_13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铁艺支架，木制面板</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169545</wp:posOffset>
                  </wp:positionH>
                  <wp:positionV relativeFrom="paragraph">
                    <wp:posOffset>677545</wp:posOffset>
                  </wp:positionV>
                  <wp:extent cx="914400" cy="487680"/>
                  <wp:effectExtent l="0" t="0" r="0" b="7620"/>
                  <wp:wrapNone/>
                  <wp:docPr id="226" name="图片_95"/>
                  <wp:cNvGraphicFramePr/>
                  <a:graphic xmlns:a="http://schemas.openxmlformats.org/drawingml/2006/main">
                    <a:graphicData uri="http://schemas.openxmlformats.org/drawingml/2006/picture">
                      <pic:pic xmlns:pic="http://schemas.openxmlformats.org/drawingml/2006/picture">
                        <pic:nvPicPr>
                          <pic:cNvPr id="226" name="图片_95"/>
                          <pic:cNvPicPr/>
                        </pic:nvPicPr>
                        <pic:blipFill>
                          <a:blip r:embed="rId47"/>
                          <a:stretch>
                            <a:fillRect/>
                          </a:stretch>
                        </pic:blipFill>
                        <pic:spPr>
                          <a:xfrm>
                            <a:off x="0" y="0"/>
                            <a:ext cx="914400" cy="4876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休闲桌椅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面材：采用优质木皮贴面，无节疤，无裂纹，无朽木，色差过渡自然，木纹清晰，色泽一致，木皮拼接自然；基材：采用符合国家E1级标准的优质环保型中纤板，经国家绿色环保认证，环保标准。油漆：选用环保油漆，有害物质限量符合国标要求，达到色泽美观、不变色、光滑耐磨、手感好。五金配件：采用优质五金件，所有五金配件全部经过防锈、防腐处理。实木下架。椅子：采用优质环保皮饰面，柔软贴手，透气性好经精细裁剪，直接包面，沉稳舒适。海绵：座垫采用高密度海绵，软硬度适中。2、技术说明：面料光泽度好，透气性强，柔软且富有韧性。</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440055</wp:posOffset>
                  </wp:positionH>
                  <wp:positionV relativeFrom="paragraph">
                    <wp:posOffset>317500</wp:posOffset>
                  </wp:positionV>
                  <wp:extent cx="441960" cy="548640"/>
                  <wp:effectExtent l="0" t="0" r="15240" b="3810"/>
                  <wp:wrapNone/>
                  <wp:docPr id="234" name="图片_69"/>
                  <wp:cNvGraphicFramePr/>
                  <a:graphic xmlns:a="http://schemas.openxmlformats.org/drawingml/2006/main">
                    <a:graphicData uri="http://schemas.openxmlformats.org/drawingml/2006/picture">
                      <pic:pic xmlns:pic="http://schemas.openxmlformats.org/drawingml/2006/picture">
                        <pic:nvPicPr>
                          <pic:cNvPr id="234" name="图片_69"/>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300990</wp:posOffset>
                  </wp:positionH>
                  <wp:positionV relativeFrom="paragraph">
                    <wp:posOffset>432435</wp:posOffset>
                  </wp:positionV>
                  <wp:extent cx="571500" cy="746760"/>
                  <wp:effectExtent l="0" t="0" r="0" b="15240"/>
                  <wp:wrapNone/>
                  <wp:docPr id="225" name="图片_15"/>
                  <wp:cNvGraphicFramePr/>
                  <a:graphic xmlns:a="http://schemas.openxmlformats.org/drawingml/2006/main">
                    <a:graphicData uri="http://schemas.openxmlformats.org/drawingml/2006/picture">
                      <pic:pic xmlns:pic="http://schemas.openxmlformats.org/drawingml/2006/picture">
                        <pic:nvPicPr>
                          <pic:cNvPr id="225" name="图片_15"/>
                          <pic:cNvPicPr/>
                        </pic:nvPicPr>
                        <pic:blipFill>
                          <a:blip r:embed="rId48"/>
                          <a:stretch>
                            <a:fillRect/>
                          </a:stretch>
                        </pic:blipFill>
                        <pic:spPr>
                          <a:xfrm>
                            <a:off x="0" y="0"/>
                            <a:ext cx="571500" cy="7467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隔断书柜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1800*350*2200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1、基材：采用优质环保实木多层板，符合GB/T 3324-2017、GB/T 35607-2017和GB 20286-2006标准；阻燃性能符合GB 20286-2006标准，甲醛释放量≤0.05mg/m3</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3、封边：同色PVC封边条，厚度2mm 以上。                           4、框架材质为高质25*25mm白钢铁管碳黑砂处理，管壁1.2mm。</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139065</wp:posOffset>
                  </wp:positionH>
                  <wp:positionV relativeFrom="paragraph">
                    <wp:posOffset>532765</wp:posOffset>
                  </wp:positionV>
                  <wp:extent cx="914400" cy="731520"/>
                  <wp:effectExtent l="0" t="0" r="0" b="11430"/>
                  <wp:wrapNone/>
                  <wp:docPr id="224" name="图片_94_SpCnt_1"/>
                  <wp:cNvGraphicFramePr/>
                  <a:graphic xmlns:a="http://schemas.openxmlformats.org/drawingml/2006/main">
                    <a:graphicData uri="http://schemas.openxmlformats.org/drawingml/2006/picture">
                      <pic:pic xmlns:pic="http://schemas.openxmlformats.org/drawingml/2006/picture">
                        <pic:nvPicPr>
                          <pic:cNvPr id="224" name="图片_94_SpCnt_1"/>
                          <pic:cNvPicPr/>
                        </pic:nvPicPr>
                        <pic:blipFill>
                          <a:blip r:embed="rId49"/>
                          <a:stretch>
                            <a:fillRect/>
                          </a:stretch>
                        </pic:blipFill>
                        <pic:spPr>
                          <a:xfrm>
                            <a:off x="0" y="0"/>
                            <a:ext cx="914400" cy="7315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3250*380*2030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262890</wp:posOffset>
                  </wp:positionH>
                  <wp:positionV relativeFrom="paragraph">
                    <wp:posOffset>371475</wp:posOffset>
                  </wp:positionV>
                  <wp:extent cx="830580" cy="693420"/>
                  <wp:effectExtent l="0" t="0" r="7620" b="11430"/>
                  <wp:wrapNone/>
                  <wp:docPr id="215" name="图片_6"/>
                  <wp:cNvGraphicFramePr/>
                  <a:graphic xmlns:a="http://schemas.openxmlformats.org/drawingml/2006/main">
                    <a:graphicData uri="http://schemas.openxmlformats.org/drawingml/2006/picture">
                      <pic:pic xmlns:pic="http://schemas.openxmlformats.org/drawingml/2006/picture">
                        <pic:nvPicPr>
                          <pic:cNvPr id="215" name="图片_6"/>
                          <pic:cNvPicPr/>
                        </pic:nvPicPr>
                        <pic:blipFill>
                          <a:blip r:embed="rId50"/>
                          <a:stretch>
                            <a:fillRect/>
                          </a:stretch>
                        </pic:blipFill>
                        <pic:spPr>
                          <a:xfrm>
                            <a:off x="0" y="0"/>
                            <a:ext cx="830580" cy="6934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大板桌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2400*1200*760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253365</wp:posOffset>
                  </wp:positionH>
                  <wp:positionV relativeFrom="paragraph">
                    <wp:posOffset>214630</wp:posOffset>
                  </wp:positionV>
                  <wp:extent cx="594360" cy="495300"/>
                  <wp:effectExtent l="0" t="0" r="15240" b="0"/>
                  <wp:wrapNone/>
                  <wp:docPr id="217" name="图片_4"/>
                  <wp:cNvGraphicFramePr/>
                  <a:graphic xmlns:a="http://schemas.openxmlformats.org/drawingml/2006/main">
                    <a:graphicData uri="http://schemas.openxmlformats.org/drawingml/2006/picture">
                      <pic:pic xmlns:pic="http://schemas.openxmlformats.org/drawingml/2006/picture">
                        <pic:nvPicPr>
                          <pic:cNvPr id="217" name="图片_4"/>
                          <pic:cNvPicPr/>
                        </pic:nvPicPr>
                        <pic:blipFill>
                          <a:blip r:embed="rId51"/>
                          <a:stretch>
                            <a:fillRect/>
                          </a:stretch>
                        </pic:blipFill>
                        <pic:spPr>
                          <a:xfrm>
                            <a:off x="0" y="0"/>
                            <a:ext cx="594360" cy="4953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1、人造板材:板材能承受102KG冲击测试2次, 破坏性冲击测试136KG冲击2次；均符合QB/T2280行业标准,经防潮、防腐、防虫化学处理。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2、座：人造板材，曲木板材采用</w:t>
            </w: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-2242185</wp:posOffset>
                  </wp:positionH>
                  <wp:positionV relativeFrom="paragraph">
                    <wp:posOffset>401955</wp:posOffset>
                  </wp:positionV>
                  <wp:extent cx="495300" cy="776605"/>
                  <wp:effectExtent l="0" t="0" r="0" b="4445"/>
                  <wp:wrapNone/>
                  <wp:docPr id="218" name="图片_5"/>
                  <wp:cNvGraphicFramePr/>
                  <a:graphic xmlns:a="http://schemas.openxmlformats.org/drawingml/2006/main">
                    <a:graphicData uri="http://schemas.openxmlformats.org/drawingml/2006/picture">
                      <pic:pic xmlns:pic="http://schemas.openxmlformats.org/drawingml/2006/picture">
                        <pic:nvPicPr>
                          <pic:cNvPr id="218" name="图片_5"/>
                          <pic:cNvPicPr/>
                        </pic:nvPicPr>
                        <pic:blipFill>
                          <a:blip r:embed="rId52"/>
                          <a:stretch>
                            <a:fillRect/>
                          </a:stretch>
                        </pic:blipFill>
                        <pic:spPr>
                          <a:xfrm>
                            <a:off x="0" y="0"/>
                            <a:ext cx="495300" cy="77660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厚度为15MM，能承受102KG冲击测试。采用定型海绵，曲线造型紧贴大腿。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3、钢材：优质的A3钢材Ø29*1.8，表面电镀处理，时尚、高雅、明快、简洁。。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4、扶手：尼龙+纤（PA+GF），简洁，易清洗。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5：面料：背采用涤纶网；座采用厚度1.0mm以上半PU西皮或涤纶丝布，通过拉力、弹力、耐挠、脱色、耐摩擦测试。</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6、螺丝：经过冷热加硬、电脑烤漆处理。螺齿喷防退漆，长久使用螺丝不会松退，不会发出响声。</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教师办公室2间</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85725</wp:posOffset>
                  </wp:positionH>
                  <wp:positionV relativeFrom="paragraph">
                    <wp:posOffset>507365</wp:posOffset>
                  </wp:positionV>
                  <wp:extent cx="967740" cy="693420"/>
                  <wp:effectExtent l="0" t="0" r="3810" b="11430"/>
                  <wp:wrapNone/>
                  <wp:docPr id="203" name="图片_57"/>
                  <wp:cNvGraphicFramePr/>
                  <a:graphic xmlns:a="http://schemas.openxmlformats.org/drawingml/2006/main">
                    <a:graphicData uri="http://schemas.openxmlformats.org/drawingml/2006/picture">
                      <pic:pic xmlns:pic="http://schemas.openxmlformats.org/drawingml/2006/picture">
                        <pic:nvPicPr>
                          <pic:cNvPr id="203" name="图片_57"/>
                          <pic:cNvPicPr/>
                        </pic:nvPicPr>
                        <pic:blipFill>
                          <a:blip r:embed="rId53"/>
                          <a:stretch>
                            <a:fillRect/>
                          </a:stretch>
                        </pic:blipFill>
                        <pic:spPr>
                          <a:xfrm>
                            <a:off x="0" y="0"/>
                            <a:ext cx="967740" cy="6934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4人位屏风桌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2400*1200*1100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348615</wp:posOffset>
                  </wp:positionH>
                  <wp:positionV relativeFrom="paragraph">
                    <wp:posOffset>432435</wp:posOffset>
                  </wp:positionV>
                  <wp:extent cx="462915" cy="596265"/>
                  <wp:effectExtent l="0" t="0" r="13335" b="13335"/>
                  <wp:wrapNone/>
                  <wp:docPr id="231" name="图片_54997"/>
                  <wp:cNvGraphicFramePr/>
                  <a:graphic xmlns:a="http://schemas.openxmlformats.org/drawingml/2006/main">
                    <a:graphicData uri="http://schemas.openxmlformats.org/drawingml/2006/picture">
                      <pic:pic xmlns:pic="http://schemas.openxmlformats.org/drawingml/2006/picture">
                        <pic:nvPicPr>
                          <pic:cNvPr id="231" name="图片_54997"/>
                          <pic:cNvPicPr/>
                        </pic:nvPicPr>
                        <pic:blipFill>
                          <a:blip r:embed="rId54"/>
                          <a:stretch>
                            <a:fillRect/>
                          </a:stretch>
                        </pic:blipFill>
                        <pic:spPr>
                          <a:xfrm>
                            <a:off x="0" y="0"/>
                            <a:ext cx="462915" cy="596265"/>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545*560*985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5.2.0mm厚度的A3钢材电镀弓形架。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400050</wp:posOffset>
                  </wp:positionH>
                  <wp:positionV relativeFrom="paragraph">
                    <wp:posOffset>576580</wp:posOffset>
                  </wp:positionV>
                  <wp:extent cx="350520" cy="716280"/>
                  <wp:effectExtent l="0" t="0" r="11430" b="7620"/>
                  <wp:wrapNone/>
                  <wp:docPr id="223" name="图片_94_SpCnt_2"/>
                  <wp:cNvGraphicFramePr/>
                  <a:graphic xmlns:a="http://schemas.openxmlformats.org/drawingml/2006/main">
                    <a:graphicData uri="http://schemas.openxmlformats.org/drawingml/2006/picture">
                      <pic:pic xmlns:pic="http://schemas.openxmlformats.org/drawingml/2006/picture">
                        <pic:nvPicPr>
                          <pic:cNvPr id="223" name="图片_94_SpCnt_2"/>
                          <pic:cNvPicPr/>
                        </pic:nvPicPr>
                        <pic:blipFill>
                          <a:blip r:embed="rId39"/>
                          <a:stretch>
                            <a:fillRect/>
                          </a:stretch>
                        </pic:blipFill>
                        <pic:spPr>
                          <a:xfrm>
                            <a:off x="0" y="0"/>
                            <a:ext cx="350520" cy="7162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二门柜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档案室、文印室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480060</wp:posOffset>
                  </wp:positionH>
                  <wp:positionV relativeFrom="paragraph">
                    <wp:posOffset>833755</wp:posOffset>
                  </wp:positionV>
                  <wp:extent cx="266700" cy="556260"/>
                  <wp:effectExtent l="0" t="0" r="0" b="15240"/>
                  <wp:wrapNone/>
                  <wp:docPr id="266" name="Picture_22836"/>
                  <wp:cNvGraphicFramePr/>
                  <a:graphic xmlns:a="http://schemas.openxmlformats.org/drawingml/2006/main">
                    <a:graphicData uri="http://schemas.openxmlformats.org/drawingml/2006/picture">
                      <pic:pic xmlns:pic="http://schemas.openxmlformats.org/drawingml/2006/picture">
                        <pic:nvPicPr>
                          <pic:cNvPr id="266" name="Picture_22836"/>
                          <pic:cNvPicPr/>
                        </pic:nvPicPr>
                        <pic:blipFill>
                          <a:blip r:embed="rId55"/>
                          <a:stretch>
                            <a:fillRect/>
                          </a:stretch>
                        </pic:blipFill>
                        <pic:spPr>
                          <a:xfrm>
                            <a:off x="0" y="0"/>
                            <a:ext cx="266700" cy="5562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860*350*2060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用优质冷轧钢板制作。材料厚度0.6MM。表面处理：采用优质粉末，高压静电喷塑前经过13道前期处理，无甲醛释放量，各零部件（含搁板、挂板、顶板、脚板等）、组合件表面应光滑、平整，表光泽度为60%～70%，耐冲击力大于60kg/cm2，不得有尖角、划口、凸起；涂膜厚度60-70um色泽应一致，漆面均匀光亮、无任何流漆划伤。 *工艺：1、柜体侧板、顶板、层板等正面多道折弯形成凹槽（见图）以增加强度。2、顶板及侧板采用45度对角拼接。（如图）3、侧板和顶板采用一体成型无焊接工艺。</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198755</wp:posOffset>
                  </wp:positionH>
                  <wp:positionV relativeFrom="paragraph">
                    <wp:posOffset>467360</wp:posOffset>
                  </wp:positionV>
                  <wp:extent cx="678180" cy="464820"/>
                  <wp:effectExtent l="0" t="0" r="7620" b="11430"/>
                  <wp:wrapNone/>
                  <wp:docPr id="248" name="Picture_15"/>
                  <wp:cNvGraphicFramePr/>
                  <a:graphic xmlns:a="http://schemas.openxmlformats.org/drawingml/2006/main">
                    <a:graphicData uri="http://schemas.openxmlformats.org/drawingml/2006/picture">
                      <pic:pic xmlns:pic="http://schemas.openxmlformats.org/drawingml/2006/picture">
                        <pic:nvPicPr>
                          <pic:cNvPr id="248" name="Picture_15"/>
                          <pic:cNvPicPr/>
                        </pic:nvPicPr>
                        <pic:blipFill>
                          <a:blip r:embed="rId56"/>
                          <a:stretch>
                            <a:fillRect/>
                          </a:stretch>
                        </pic:blipFill>
                        <pic:spPr>
                          <a:xfrm>
                            <a:off x="0" y="0"/>
                            <a:ext cx="678180" cy="4648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1.贴面用材：采用防火板饰面，硬度高，耐磨、耐热性好，表面平滑光洁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2.封边：优质PVC同色封边。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3.基材板材：E1级环保刨花板，性能指标均达到或优于国家标准。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4.五金配件：采用优质三节轨、锁具。</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340995</wp:posOffset>
                  </wp:positionH>
                  <wp:positionV relativeFrom="paragraph">
                    <wp:posOffset>394335</wp:posOffset>
                  </wp:positionV>
                  <wp:extent cx="358140" cy="510540"/>
                  <wp:effectExtent l="0" t="0" r="3810" b="3810"/>
                  <wp:wrapNone/>
                  <wp:docPr id="242" name="图片_54997_SpCnt_1"/>
                  <wp:cNvGraphicFramePr/>
                  <a:graphic xmlns:a="http://schemas.openxmlformats.org/drawingml/2006/main">
                    <a:graphicData uri="http://schemas.openxmlformats.org/drawingml/2006/picture">
                      <pic:pic xmlns:pic="http://schemas.openxmlformats.org/drawingml/2006/picture">
                        <pic:nvPicPr>
                          <pic:cNvPr id="242" name="图片_54997_SpCnt_1"/>
                          <pic:cNvPicPr/>
                        </pic:nvPicPr>
                        <pic:blipFill>
                          <a:blip r:embed="rId54"/>
                          <a:stretch>
                            <a:fillRect/>
                          </a:stretch>
                        </pic:blipFill>
                        <pic:spPr>
                          <a:xfrm>
                            <a:off x="0" y="0"/>
                            <a:ext cx="358140" cy="5105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545*560*985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5.2.0mm厚度的A3钢材电镀弓形架。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nil"/>
              <w:left w:val="nil"/>
              <w:bottom w:val="nil"/>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nil"/>
              <w:left w:val="nil"/>
              <w:bottom w:val="nil"/>
              <w:right w:val="nil"/>
            </w:tcBorders>
            <w:shd w:val="clear" w:color="auto" w:fill="DDEBF7"/>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三层</w:t>
            </w:r>
          </w:p>
        </w:tc>
        <w:tc>
          <w:tcPr>
            <w:tcW w:w="777" w:type="dxa"/>
            <w:tcBorders>
              <w:top w:val="nil"/>
              <w:left w:val="nil"/>
              <w:bottom w:val="nil"/>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nil"/>
              <w:left w:val="nil"/>
              <w:bottom w:val="nil"/>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nil"/>
              <w:left w:val="nil"/>
              <w:bottom w:val="nil"/>
              <w:right w:val="nil"/>
            </w:tcBorders>
            <w:shd w:val="clear" w:color="auto" w:fill="DDEBF7"/>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nil"/>
              <w:left w:val="nil"/>
              <w:bottom w:val="nil"/>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nil"/>
              <w:left w:val="nil"/>
              <w:bottom w:val="nil"/>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nil"/>
              <w:left w:val="nil"/>
              <w:bottom w:val="nil"/>
              <w:right w:val="nil"/>
            </w:tcBorders>
            <w:shd w:val="clear" w:color="auto" w:fill="DDEBF7"/>
            <w:noWrap/>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多功能室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269240</wp:posOffset>
                  </wp:positionH>
                  <wp:positionV relativeFrom="paragraph">
                    <wp:posOffset>450850</wp:posOffset>
                  </wp:positionV>
                  <wp:extent cx="822960" cy="617220"/>
                  <wp:effectExtent l="0" t="0" r="15240" b="11430"/>
                  <wp:wrapNone/>
                  <wp:docPr id="255" name="图片_35"/>
                  <wp:cNvGraphicFramePr/>
                  <a:graphic xmlns:a="http://schemas.openxmlformats.org/drawingml/2006/main">
                    <a:graphicData uri="http://schemas.openxmlformats.org/drawingml/2006/picture">
                      <pic:pic xmlns:pic="http://schemas.openxmlformats.org/drawingml/2006/picture">
                        <pic:nvPicPr>
                          <pic:cNvPr id="255" name="图片_35"/>
                          <pic:cNvPicPr/>
                        </pic:nvPicPr>
                        <pic:blipFill>
                          <a:blip r:embed="rId57"/>
                          <a:stretch>
                            <a:fillRect/>
                          </a:stretch>
                        </pic:blipFill>
                        <pic:spPr>
                          <a:xfrm>
                            <a:off x="0" y="0"/>
                            <a:ext cx="822960" cy="6172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主席台</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1400*600*800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5" name="Picture_124_SpCnt_138"/>
                  <wp:cNvGraphicFramePr/>
                  <a:graphic xmlns:a="http://schemas.openxmlformats.org/drawingml/2006/main">
                    <a:graphicData uri="http://schemas.openxmlformats.org/drawingml/2006/picture">
                      <pic:pic xmlns:pic="http://schemas.openxmlformats.org/drawingml/2006/picture">
                        <pic:nvPicPr>
                          <pic:cNvPr id="235" name="Picture_124_SpCnt_13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49" name="Picture_124_SpCnt_139"/>
                  <wp:cNvGraphicFramePr/>
                  <a:graphic xmlns:a="http://schemas.openxmlformats.org/drawingml/2006/main">
                    <a:graphicData uri="http://schemas.openxmlformats.org/drawingml/2006/picture">
                      <pic:pic xmlns:pic="http://schemas.openxmlformats.org/drawingml/2006/picture">
                        <pic:nvPicPr>
                          <pic:cNvPr id="249" name="Picture_124_SpCnt_13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1" name="Picture_124_SpCnt_140"/>
                  <wp:cNvGraphicFramePr/>
                  <a:graphic xmlns:a="http://schemas.openxmlformats.org/drawingml/2006/main">
                    <a:graphicData uri="http://schemas.openxmlformats.org/drawingml/2006/picture">
                      <pic:pic xmlns:pic="http://schemas.openxmlformats.org/drawingml/2006/picture">
                        <pic:nvPicPr>
                          <pic:cNvPr id="251" name="Picture_124_SpCnt_14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43" name="Picture_124_SpCnt_141"/>
                  <wp:cNvGraphicFramePr/>
                  <a:graphic xmlns:a="http://schemas.openxmlformats.org/drawingml/2006/main">
                    <a:graphicData uri="http://schemas.openxmlformats.org/drawingml/2006/picture">
                      <pic:pic xmlns:pic="http://schemas.openxmlformats.org/drawingml/2006/picture">
                        <pic:nvPicPr>
                          <pic:cNvPr id="243" name="Picture_124_SpCnt_14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253" name="Picture_124_SpCnt_142"/>
                  <wp:cNvGraphicFramePr/>
                  <a:graphic xmlns:a="http://schemas.openxmlformats.org/drawingml/2006/main">
                    <a:graphicData uri="http://schemas.openxmlformats.org/drawingml/2006/picture">
                      <pic:pic xmlns:pic="http://schemas.openxmlformats.org/drawingml/2006/picture">
                        <pic:nvPicPr>
                          <pic:cNvPr id="253" name="Picture_124_SpCnt_142"/>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5" name="Picture_124_SpCnt_143"/>
                  <wp:cNvGraphicFramePr/>
                  <a:graphic xmlns:a="http://schemas.openxmlformats.org/drawingml/2006/main">
                    <a:graphicData uri="http://schemas.openxmlformats.org/drawingml/2006/picture">
                      <pic:pic xmlns:pic="http://schemas.openxmlformats.org/drawingml/2006/picture">
                        <pic:nvPicPr>
                          <pic:cNvPr id="265" name="Picture_124_SpCnt_14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2" name="Picture_124_SpCnt_144"/>
                  <wp:cNvGraphicFramePr/>
                  <a:graphic xmlns:a="http://schemas.openxmlformats.org/drawingml/2006/main">
                    <a:graphicData uri="http://schemas.openxmlformats.org/drawingml/2006/picture">
                      <pic:pic xmlns:pic="http://schemas.openxmlformats.org/drawingml/2006/picture">
                        <pic:nvPicPr>
                          <pic:cNvPr id="252" name="Picture_124_SpCnt_14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8" name="Picture_124_SpCnt_145"/>
                  <wp:cNvGraphicFramePr/>
                  <a:graphic xmlns:a="http://schemas.openxmlformats.org/drawingml/2006/main">
                    <a:graphicData uri="http://schemas.openxmlformats.org/drawingml/2006/picture">
                      <pic:pic xmlns:pic="http://schemas.openxmlformats.org/drawingml/2006/picture">
                        <pic:nvPicPr>
                          <pic:cNvPr id="258" name="Picture_124_SpCnt_14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4" name="Picture_124_SpCnt_146"/>
                  <wp:cNvGraphicFramePr/>
                  <a:graphic xmlns:a="http://schemas.openxmlformats.org/drawingml/2006/main">
                    <a:graphicData uri="http://schemas.openxmlformats.org/drawingml/2006/picture">
                      <pic:pic xmlns:pic="http://schemas.openxmlformats.org/drawingml/2006/picture">
                        <pic:nvPicPr>
                          <pic:cNvPr id="254" name="Picture_124_SpCnt_14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45" name="Picture_124_SpCnt_147"/>
                  <wp:cNvGraphicFramePr/>
                  <a:graphic xmlns:a="http://schemas.openxmlformats.org/drawingml/2006/main">
                    <a:graphicData uri="http://schemas.openxmlformats.org/drawingml/2006/picture">
                      <pic:pic xmlns:pic="http://schemas.openxmlformats.org/drawingml/2006/picture">
                        <pic:nvPicPr>
                          <pic:cNvPr id="245" name="Picture_124_SpCnt_14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0" name="Picture_124_SpCnt_148"/>
                  <wp:cNvGraphicFramePr/>
                  <a:graphic xmlns:a="http://schemas.openxmlformats.org/drawingml/2006/main">
                    <a:graphicData uri="http://schemas.openxmlformats.org/drawingml/2006/picture">
                      <pic:pic xmlns:pic="http://schemas.openxmlformats.org/drawingml/2006/picture">
                        <pic:nvPicPr>
                          <pic:cNvPr id="260" name="Picture_124_SpCnt_14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6" name="Picture_124_SpCnt_149"/>
                  <wp:cNvGraphicFramePr/>
                  <a:graphic xmlns:a="http://schemas.openxmlformats.org/drawingml/2006/main">
                    <a:graphicData uri="http://schemas.openxmlformats.org/drawingml/2006/picture">
                      <pic:pic xmlns:pic="http://schemas.openxmlformats.org/drawingml/2006/picture">
                        <pic:nvPicPr>
                          <pic:cNvPr id="256" name="Picture_124_SpCnt_14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0" name="Picture_124_SpCnt_150"/>
                  <wp:cNvGraphicFramePr/>
                  <a:graphic xmlns:a="http://schemas.openxmlformats.org/drawingml/2006/main">
                    <a:graphicData uri="http://schemas.openxmlformats.org/drawingml/2006/picture">
                      <pic:pic xmlns:pic="http://schemas.openxmlformats.org/drawingml/2006/picture">
                        <pic:nvPicPr>
                          <pic:cNvPr id="250" name="Picture_124_SpCnt_15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6" name="Picture_124_SpCnt_151"/>
                  <wp:cNvGraphicFramePr/>
                  <a:graphic xmlns:a="http://schemas.openxmlformats.org/drawingml/2006/main">
                    <a:graphicData uri="http://schemas.openxmlformats.org/drawingml/2006/picture">
                      <pic:pic xmlns:pic="http://schemas.openxmlformats.org/drawingml/2006/picture">
                        <pic:nvPicPr>
                          <pic:cNvPr id="236" name="Picture_124_SpCnt_15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57" name="Picture_124_SpCnt_152"/>
                  <wp:cNvGraphicFramePr/>
                  <a:graphic xmlns:a="http://schemas.openxmlformats.org/drawingml/2006/main">
                    <a:graphicData uri="http://schemas.openxmlformats.org/drawingml/2006/picture">
                      <pic:pic xmlns:pic="http://schemas.openxmlformats.org/drawingml/2006/picture">
                        <pic:nvPicPr>
                          <pic:cNvPr id="257" name="Picture_124_SpCnt_15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1" name="Picture_124_SpCnt_153"/>
                  <wp:cNvGraphicFramePr/>
                  <a:graphic xmlns:a="http://schemas.openxmlformats.org/drawingml/2006/main">
                    <a:graphicData uri="http://schemas.openxmlformats.org/drawingml/2006/picture">
                      <pic:pic xmlns:pic="http://schemas.openxmlformats.org/drawingml/2006/picture">
                        <pic:nvPicPr>
                          <pic:cNvPr id="261" name="Picture_124_SpCnt_15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8" name="Picture_124_SpCnt_154"/>
                  <wp:cNvGraphicFramePr/>
                  <a:graphic xmlns:a="http://schemas.openxmlformats.org/drawingml/2006/main">
                    <a:graphicData uri="http://schemas.openxmlformats.org/drawingml/2006/picture">
                      <pic:pic xmlns:pic="http://schemas.openxmlformats.org/drawingml/2006/picture">
                        <pic:nvPicPr>
                          <pic:cNvPr id="238" name="Picture_124_SpCnt_15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239" name="Picture_124_SpCnt_155"/>
                  <wp:cNvGraphicFramePr/>
                  <a:graphic xmlns:a="http://schemas.openxmlformats.org/drawingml/2006/main">
                    <a:graphicData uri="http://schemas.openxmlformats.org/drawingml/2006/picture">
                      <pic:pic xmlns:pic="http://schemas.openxmlformats.org/drawingml/2006/picture">
                        <pic:nvPicPr>
                          <pic:cNvPr id="239" name="Picture_124_SpCnt_155"/>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37" name="Picture_124_SpCnt_156"/>
                  <wp:cNvGraphicFramePr/>
                  <a:graphic xmlns:a="http://schemas.openxmlformats.org/drawingml/2006/main">
                    <a:graphicData uri="http://schemas.openxmlformats.org/drawingml/2006/picture">
                      <pic:pic xmlns:pic="http://schemas.openxmlformats.org/drawingml/2006/picture">
                        <pic:nvPicPr>
                          <pic:cNvPr id="237" name="Picture_124_SpCnt_15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2" name="Picture_124_SpCnt_157"/>
                  <wp:cNvGraphicFramePr/>
                  <a:graphic xmlns:a="http://schemas.openxmlformats.org/drawingml/2006/main">
                    <a:graphicData uri="http://schemas.openxmlformats.org/drawingml/2006/picture">
                      <pic:pic xmlns:pic="http://schemas.openxmlformats.org/drawingml/2006/picture">
                        <pic:nvPicPr>
                          <pic:cNvPr id="262" name="Picture_124_SpCnt_15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40" name="Picture_124_SpCnt_158"/>
                  <wp:cNvGraphicFramePr/>
                  <a:graphic xmlns:a="http://schemas.openxmlformats.org/drawingml/2006/main">
                    <a:graphicData uri="http://schemas.openxmlformats.org/drawingml/2006/picture">
                      <pic:pic xmlns:pic="http://schemas.openxmlformats.org/drawingml/2006/picture">
                        <pic:nvPicPr>
                          <pic:cNvPr id="240" name="Picture_124_SpCnt_15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3" name="Picture_124_SpCnt_159"/>
                  <wp:cNvGraphicFramePr/>
                  <a:graphic xmlns:a="http://schemas.openxmlformats.org/drawingml/2006/main">
                    <a:graphicData uri="http://schemas.openxmlformats.org/drawingml/2006/picture">
                      <pic:pic xmlns:pic="http://schemas.openxmlformats.org/drawingml/2006/picture">
                        <pic:nvPicPr>
                          <pic:cNvPr id="263" name="Picture_124_SpCnt_15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1、面材：选用国内优质三聚氰胺防火板饰面，表面平滑光洁，容易维护清洗，硬度高，耐磨、耐热性好。               2、基材：采用符合国家E1级标准的优质环保型实木颗粒板，性能指标均达到或优于国家标准。                        3、封边：选用同色PVC封边条。                          4、五金配件：优质五金件，所有五金配件全部经过防锈、防腐处理。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397510</wp:posOffset>
                  </wp:positionH>
                  <wp:positionV relativeFrom="paragraph">
                    <wp:posOffset>579120</wp:posOffset>
                  </wp:positionV>
                  <wp:extent cx="358140" cy="502920"/>
                  <wp:effectExtent l="0" t="0" r="3810" b="11430"/>
                  <wp:wrapNone/>
                  <wp:docPr id="247" name="图片_36"/>
                  <wp:cNvGraphicFramePr/>
                  <a:graphic xmlns:a="http://schemas.openxmlformats.org/drawingml/2006/main">
                    <a:graphicData uri="http://schemas.openxmlformats.org/drawingml/2006/picture">
                      <pic:pic xmlns:pic="http://schemas.openxmlformats.org/drawingml/2006/picture">
                        <pic:nvPicPr>
                          <pic:cNvPr id="247" name="图片_36"/>
                          <pic:cNvPicPr/>
                        </pic:nvPicPr>
                        <pic:blipFill>
                          <a:blip r:embed="rId59"/>
                          <a:stretch>
                            <a:fillRect/>
                          </a:stretch>
                        </pic:blipFill>
                        <pic:spPr>
                          <a:xfrm>
                            <a:off x="0" y="0"/>
                            <a:ext cx="358140" cy="5029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主席台椅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241" name="Picture_124_SpCnt_160"/>
                  <wp:cNvGraphicFramePr/>
                  <a:graphic xmlns:a="http://schemas.openxmlformats.org/drawingml/2006/main">
                    <a:graphicData uri="http://schemas.openxmlformats.org/drawingml/2006/picture">
                      <pic:pic xmlns:pic="http://schemas.openxmlformats.org/drawingml/2006/picture">
                        <pic:nvPicPr>
                          <pic:cNvPr id="241" name="Picture_124_SpCnt_160"/>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264" name="Picture_124_SpCnt_161"/>
                  <wp:cNvGraphicFramePr/>
                  <a:graphic xmlns:a="http://schemas.openxmlformats.org/drawingml/2006/main">
                    <a:graphicData uri="http://schemas.openxmlformats.org/drawingml/2006/picture">
                      <pic:pic xmlns:pic="http://schemas.openxmlformats.org/drawingml/2006/picture">
                        <pic:nvPicPr>
                          <pic:cNvPr id="264" name="Picture_124_SpCnt_161"/>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244" name="Picture_124_SpCnt_162"/>
                  <wp:cNvGraphicFramePr/>
                  <a:graphic xmlns:a="http://schemas.openxmlformats.org/drawingml/2006/main">
                    <a:graphicData uri="http://schemas.openxmlformats.org/drawingml/2006/picture">
                      <pic:pic xmlns:pic="http://schemas.openxmlformats.org/drawingml/2006/picture">
                        <pic:nvPicPr>
                          <pic:cNvPr id="244" name="Picture_124_SpCnt_162"/>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246" name="Picture_124_SpCnt_163"/>
                  <wp:cNvGraphicFramePr/>
                  <a:graphic xmlns:a="http://schemas.openxmlformats.org/drawingml/2006/main">
                    <a:graphicData uri="http://schemas.openxmlformats.org/drawingml/2006/picture">
                      <pic:pic xmlns:pic="http://schemas.openxmlformats.org/drawingml/2006/picture">
                        <pic:nvPicPr>
                          <pic:cNvPr id="246" name="Picture_124_SpCnt_163"/>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 xml:space="preserve">1.皮料：西皮；耐寒性好，皮质感较强，耐磨耐刮，柔软弹性,通过拉力、弹力、耐挠、脱色、耐摩擦测试。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2.扶手：PU扶手面，性能稳定耐用，防撞防碰花，耐清洗。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3.海绵：采用高密度发泡成型棉，35密度海绵，阻燃性能达到Ⅰ级。</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4.椅脚：采用1.5mm钢管，表面电镀处理，硬度大，韧性好安全性高。</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190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472440</wp:posOffset>
                  </wp:positionH>
                  <wp:positionV relativeFrom="paragraph">
                    <wp:posOffset>441960</wp:posOffset>
                  </wp:positionV>
                  <wp:extent cx="381000" cy="541020"/>
                  <wp:effectExtent l="0" t="0" r="0" b="11430"/>
                  <wp:wrapNone/>
                  <wp:docPr id="267" name="图片_49"/>
                  <wp:cNvGraphicFramePr/>
                  <a:graphic xmlns:a="http://schemas.openxmlformats.org/drawingml/2006/main">
                    <a:graphicData uri="http://schemas.openxmlformats.org/drawingml/2006/picture">
                      <pic:pic xmlns:pic="http://schemas.openxmlformats.org/drawingml/2006/picture">
                        <pic:nvPicPr>
                          <pic:cNvPr id="267" name="图片_49"/>
                          <pic:cNvPicPr/>
                        </pic:nvPicPr>
                        <pic:blipFill>
                          <a:blip r:embed="rId61"/>
                          <a:stretch>
                            <a:fillRect/>
                          </a:stretch>
                        </pic:blipFill>
                        <pic:spPr>
                          <a:xfrm>
                            <a:off x="0" y="0"/>
                            <a:ext cx="381000" cy="541020"/>
                          </a:xfrm>
                          <a:prstGeom prst="rect">
                            <a:avLst/>
                          </a:prstGeom>
                          <a:noFill/>
                          <a:ln>
                            <a:noFill/>
                          </a:ln>
                        </pic:spPr>
                      </pic:pic>
                    </a:graphicData>
                  </a:graphic>
                </wp:anchor>
              </w:drawing>
            </w:r>
          </w:p>
        </w:tc>
        <w:tc>
          <w:tcPr>
            <w:tcW w:w="77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演讲台</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8" name="Picture_124_SpCnt_164"/>
                  <wp:cNvGraphicFramePr/>
                  <a:graphic xmlns:a="http://schemas.openxmlformats.org/drawingml/2006/main">
                    <a:graphicData uri="http://schemas.openxmlformats.org/drawingml/2006/picture">
                      <pic:pic xmlns:pic="http://schemas.openxmlformats.org/drawingml/2006/picture">
                        <pic:nvPicPr>
                          <pic:cNvPr id="268" name="Picture_124_SpCnt_164"/>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269" name="Picture_124_SpCnt_165"/>
                  <wp:cNvGraphicFramePr/>
                  <a:graphic xmlns:a="http://schemas.openxmlformats.org/drawingml/2006/main">
                    <a:graphicData uri="http://schemas.openxmlformats.org/drawingml/2006/picture">
                      <pic:pic xmlns:pic="http://schemas.openxmlformats.org/drawingml/2006/picture">
                        <pic:nvPicPr>
                          <pic:cNvPr id="269" name="Picture_124_SpCnt_165"/>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56" name="Picture_124_SpCnt_166"/>
                  <wp:cNvGraphicFramePr/>
                  <a:graphic xmlns:a="http://schemas.openxmlformats.org/drawingml/2006/main">
                    <a:graphicData uri="http://schemas.openxmlformats.org/drawingml/2006/picture">
                      <pic:pic xmlns:pic="http://schemas.openxmlformats.org/drawingml/2006/picture">
                        <pic:nvPicPr>
                          <pic:cNvPr id="56" name="Picture_124_SpCnt_16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57" name="Picture_124_SpCnt_167"/>
                  <wp:cNvGraphicFramePr/>
                  <a:graphic xmlns:a="http://schemas.openxmlformats.org/drawingml/2006/main">
                    <a:graphicData uri="http://schemas.openxmlformats.org/drawingml/2006/picture">
                      <pic:pic xmlns:pic="http://schemas.openxmlformats.org/drawingml/2006/picture">
                        <pic:nvPicPr>
                          <pic:cNvPr id="57" name="Picture_124_SpCnt_16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60" name="Picture_124_SpCnt_168"/>
                  <wp:cNvGraphicFramePr/>
                  <a:graphic xmlns:a="http://schemas.openxmlformats.org/drawingml/2006/main">
                    <a:graphicData uri="http://schemas.openxmlformats.org/drawingml/2006/picture">
                      <pic:pic xmlns:pic="http://schemas.openxmlformats.org/drawingml/2006/picture">
                        <pic:nvPicPr>
                          <pic:cNvPr id="60" name="Picture_124_SpCnt_16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74" name="Picture_124_SpCnt_169"/>
                  <wp:cNvGraphicFramePr/>
                  <a:graphic xmlns:a="http://schemas.openxmlformats.org/drawingml/2006/main">
                    <a:graphicData uri="http://schemas.openxmlformats.org/drawingml/2006/picture">
                      <pic:pic xmlns:pic="http://schemas.openxmlformats.org/drawingml/2006/picture">
                        <pic:nvPicPr>
                          <pic:cNvPr id="74" name="Picture_124_SpCnt_16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47" name="Picture_124_SpCnt_170"/>
                  <wp:cNvGraphicFramePr/>
                  <a:graphic xmlns:a="http://schemas.openxmlformats.org/drawingml/2006/main">
                    <a:graphicData uri="http://schemas.openxmlformats.org/drawingml/2006/picture">
                      <pic:pic xmlns:pic="http://schemas.openxmlformats.org/drawingml/2006/picture">
                        <pic:nvPicPr>
                          <pic:cNvPr id="47" name="Picture_124_SpCnt_17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50" name="Picture_124_SpCnt_171"/>
                  <wp:cNvGraphicFramePr/>
                  <a:graphic xmlns:a="http://schemas.openxmlformats.org/drawingml/2006/main">
                    <a:graphicData uri="http://schemas.openxmlformats.org/drawingml/2006/picture">
                      <pic:pic xmlns:pic="http://schemas.openxmlformats.org/drawingml/2006/picture">
                        <pic:nvPicPr>
                          <pic:cNvPr id="50" name="Picture_124_SpCnt_17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 xml:space="preserve">面材：选用国内优质三聚氰胺防火板饰面，表面平滑光洁，容易维护清洗，硬度高，耐磨、耐热性好。              </w:t>
            </w:r>
          </w:p>
          <w:p>
            <w:pPr>
              <w:keepNext w:val="0"/>
              <w:keepLines w:val="0"/>
              <w:widowControl/>
              <w:numPr>
                <w:ilvl w:val="0"/>
                <w:numId w:val="1"/>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基材：采用符合国家E1级标准的优质环保型实木颗粒板，性能指标均达到或优于国家标准。                        3、封边：选用同色PVC封边条。                          4、五金配件：优质五金件，所有五金配件全部经过防锈、防腐处理。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720090</wp:posOffset>
                  </wp:positionH>
                  <wp:positionV relativeFrom="paragraph">
                    <wp:posOffset>805815</wp:posOffset>
                  </wp:positionV>
                  <wp:extent cx="327660" cy="571500"/>
                  <wp:effectExtent l="0" t="0" r="15240" b="0"/>
                  <wp:wrapNone/>
                  <wp:docPr id="58" name="图片_23_SpCnt_1"/>
                  <wp:cNvGraphicFramePr/>
                  <a:graphic xmlns:a="http://schemas.openxmlformats.org/drawingml/2006/main">
                    <a:graphicData uri="http://schemas.openxmlformats.org/drawingml/2006/picture">
                      <pic:pic xmlns:pic="http://schemas.openxmlformats.org/drawingml/2006/picture">
                        <pic:nvPicPr>
                          <pic:cNvPr id="58" name="图片_23_SpCnt_1"/>
                          <pic:cNvPicPr/>
                        </pic:nvPicPr>
                        <pic:blipFill>
                          <a:blip r:embed="rId62"/>
                          <a:stretch>
                            <a:fillRect/>
                          </a:stretch>
                        </pic:blipFill>
                        <pic:spPr>
                          <a:xfrm>
                            <a:off x="0" y="0"/>
                            <a:ext cx="327660" cy="5715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112395</wp:posOffset>
                  </wp:positionH>
                  <wp:positionV relativeFrom="paragraph">
                    <wp:posOffset>751205</wp:posOffset>
                  </wp:positionV>
                  <wp:extent cx="449580" cy="586740"/>
                  <wp:effectExtent l="0" t="0" r="7620" b="3810"/>
                  <wp:wrapNone/>
                  <wp:docPr id="73" name="图片_22"/>
                  <wp:cNvGraphicFramePr/>
                  <a:graphic xmlns:a="http://schemas.openxmlformats.org/drawingml/2006/main">
                    <a:graphicData uri="http://schemas.openxmlformats.org/drawingml/2006/picture">
                      <pic:pic xmlns:pic="http://schemas.openxmlformats.org/drawingml/2006/picture">
                        <pic:nvPicPr>
                          <pic:cNvPr id="73" name="图片_22"/>
                          <pic:cNvPicPr/>
                        </pic:nvPicPr>
                        <pic:blipFill>
                          <a:blip r:embed="rId63"/>
                          <a:stretch>
                            <a:fillRect/>
                          </a:stretch>
                        </pic:blipFill>
                        <pic:spPr>
                          <a:xfrm>
                            <a:off x="0" y="0"/>
                            <a:ext cx="449580" cy="5867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折叠椅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490*553*848</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68" name="Picture_124_SpCnt_172"/>
                  <wp:cNvGraphicFramePr/>
                  <a:graphic xmlns:a="http://schemas.openxmlformats.org/drawingml/2006/main">
                    <a:graphicData uri="http://schemas.openxmlformats.org/drawingml/2006/picture">
                      <pic:pic xmlns:pic="http://schemas.openxmlformats.org/drawingml/2006/picture">
                        <pic:nvPicPr>
                          <pic:cNvPr id="68" name="Picture_124_SpCnt_17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71" name="Picture_124_SpCnt_173"/>
                  <wp:cNvGraphicFramePr/>
                  <a:graphic xmlns:a="http://schemas.openxmlformats.org/drawingml/2006/main">
                    <a:graphicData uri="http://schemas.openxmlformats.org/drawingml/2006/picture">
                      <pic:pic xmlns:pic="http://schemas.openxmlformats.org/drawingml/2006/picture">
                        <pic:nvPicPr>
                          <pic:cNvPr id="71" name="Picture_124_SpCnt_173"/>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1.靠背尼龙加玻纤白色背框扪华宇透气网布，带倾仰机构设计，有效缓解疲劳功能；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2.坐垫45高密度纯海绵+白色塑胶底壳+高级耐磨弹力绒布座饰面；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3.白色PP扶手面可前后活动；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4.后背与架子链接采用铝合金连接件，稳固性强；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5.铝合金连接头+ABS写字板面，可180°翻转；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6.架子1.5厚喷涂白色蛋型管4脚椅架+固定脚固定脚/ 50mm静音轮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7.功能坐垫可翻起，架子可全折叠。</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417195</wp:posOffset>
                  </wp:positionH>
                  <wp:positionV relativeFrom="paragraph">
                    <wp:posOffset>497840</wp:posOffset>
                  </wp:positionV>
                  <wp:extent cx="441960" cy="548640"/>
                  <wp:effectExtent l="0" t="0" r="15240" b="3810"/>
                  <wp:wrapNone/>
                  <wp:docPr id="75" name="图片_42_SpCnt_3"/>
                  <wp:cNvGraphicFramePr/>
                  <a:graphic xmlns:a="http://schemas.openxmlformats.org/drawingml/2006/main">
                    <a:graphicData uri="http://schemas.openxmlformats.org/drawingml/2006/picture">
                      <pic:pic xmlns:pic="http://schemas.openxmlformats.org/drawingml/2006/picture">
                        <pic:nvPicPr>
                          <pic:cNvPr id="75" name="图片_42_SpCnt_3"/>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基材：采用优质多层板，甲醛释放量≤0.08mg/m³；                                2、贴面：选用双贴三聚氰胺浸渍面纸饰面材料；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园长室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127000</wp:posOffset>
                  </wp:positionH>
                  <wp:positionV relativeFrom="paragraph">
                    <wp:posOffset>548640</wp:posOffset>
                  </wp:positionV>
                  <wp:extent cx="929640" cy="632460"/>
                  <wp:effectExtent l="0" t="0" r="3810" b="15240"/>
                  <wp:wrapNone/>
                  <wp:docPr id="70" name="图片_47"/>
                  <wp:cNvGraphicFramePr/>
                  <a:graphic xmlns:a="http://schemas.openxmlformats.org/drawingml/2006/main">
                    <a:graphicData uri="http://schemas.openxmlformats.org/drawingml/2006/picture">
                      <pic:pic xmlns:pic="http://schemas.openxmlformats.org/drawingml/2006/picture">
                        <pic:nvPicPr>
                          <pic:cNvPr id="70" name="图片_47"/>
                          <pic:cNvPicPr/>
                        </pic:nvPicPr>
                        <pic:blipFill>
                          <a:blip r:embed="rId64"/>
                          <a:stretch>
                            <a:fillRect/>
                          </a:stretch>
                        </pic:blipFill>
                        <pic:spPr>
                          <a:xfrm>
                            <a:off x="0" y="0"/>
                            <a:ext cx="929640" cy="63246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1800*1600*760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542290</wp:posOffset>
                  </wp:positionH>
                  <wp:positionV relativeFrom="paragraph">
                    <wp:posOffset>590550</wp:posOffset>
                  </wp:positionV>
                  <wp:extent cx="358140" cy="502920"/>
                  <wp:effectExtent l="0" t="0" r="3810" b="11430"/>
                  <wp:wrapNone/>
                  <wp:docPr id="76" name="图片_67"/>
                  <wp:cNvGraphicFramePr/>
                  <a:graphic xmlns:a="http://schemas.openxmlformats.org/drawingml/2006/main">
                    <a:graphicData uri="http://schemas.openxmlformats.org/drawingml/2006/picture">
                      <pic:pic xmlns:pic="http://schemas.openxmlformats.org/drawingml/2006/picture">
                        <pic:nvPicPr>
                          <pic:cNvPr id="76" name="图片_67"/>
                          <pic:cNvPicPr/>
                        </pic:nvPicPr>
                        <pic:blipFill>
                          <a:blip r:embed="rId59"/>
                          <a:stretch>
                            <a:fillRect/>
                          </a:stretch>
                        </pic:blipFill>
                        <pic:spPr>
                          <a:xfrm>
                            <a:off x="0" y="0"/>
                            <a:ext cx="358140" cy="5029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主席台椅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常规</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66" name="Picture_124_SpCnt_174"/>
                  <wp:cNvGraphicFramePr/>
                  <a:graphic xmlns:a="http://schemas.openxmlformats.org/drawingml/2006/main">
                    <a:graphicData uri="http://schemas.openxmlformats.org/drawingml/2006/picture">
                      <pic:pic xmlns:pic="http://schemas.openxmlformats.org/drawingml/2006/picture">
                        <pic:nvPicPr>
                          <pic:cNvPr id="66" name="Picture_124_SpCnt_174"/>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69" name="Picture_124_SpCnt_175"/>
                  <wp:cNvGraphicFramePr/>
                  <a:graphic xmlns:a="http://schemas.openxmlformats.org/drawingml/2006/main">
                    <a:graphicData uri="http://schemas.openxmlformats.org/drawingml/2006/picture">
                      <pic:pic xmlns:pic="http://schemas.openxmlformats.org/drawingml/2006/picture">
                        <pic:nvPicPr>
                          <pic:cNvPr id="69" name="Picture_124_SpCnt_175"/>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67" name="Picture_124_SpCnt_176"/>
                  <wp:cNvGraphicFramePr/>
                  <a:graphic xmlns:a="http://schemas.openxmlformats.org/drawingml/2006/main">
                    <a:graphicData uri="http://schemas.openxmlformats.org/drawingml/2006/picture">
                      <pic:pic xmlns:pic="http://schemas.openxmlformats.org/drawingml/2006/picture">
                        <pic:nvPicPr>
                          <pic:cNvPr id="67" name="Picture_124_SpCnt_176"/>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5715</wp:posOffset>
                  </wp:positionV>
                  <wp:extent cx="167640" cy="175260"/>
                  <wp:effectExtent l="0" t="0" r="0" b="0"/>
                  <wp:wrapNone/>
                  <wp:docPr id="72" name="Picture_124_SpCnt_177"/>
                  <wp:cNvGraphicFramePr/>
                  <a:graphic xmlns:a="http://schemas.openxmlformats.org/drawingml/2006/main">
                    <a:graphicData uri="http://schemas.openxmlformats.org/drawingml/2006/picture">
                      <pic:pic xmlns:pic="http://schemas.openxmlformats.org/drawingml/2006/picture">
                        <pic:nvPicPr>
                          <pic:cNvPr id="72" name="Picture_124_SpCnt_177"/>
                          <pic:cNvPicPr/>
                        </pic:nvPicPr>
                        <pic:blipFill>
                          <a:blip r:embed="rId60"/>
                          <a:stretch>
                            <a:fillRect/>
                          </a:stretch>
                        </pic:blipFill>
                        <pic:spPr>
                          <a:xfrm>
                            <a:off x="0" y="0"/>
                            <a:ext cx="167640" cy="17526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 xml:space="preserve">1.皮料：西皮；耐寒性好，皮质感较强，耐磨耐刮，柔软弹性,通过拉力、弹力、耐挠、脱色、耐摩擦测试。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2.扶手：PU扶手面，性能稳定耐用，防撞防碰花，耐清洗。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3.海绵：采用高密度发泡成型棉，35密度海绵，阻燃性能达到Ⅰ级。</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4.椅脚：采用1.5mm钢管，表面电镀处理，硬度大，韧性好安全性高。</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226695</wp:posOffset>
                  </wp:positionH>
                  <wp:positionV relativeFrom="paragraph">
                    <wp:posOffset>526415</wp:posOffset>
                  </wp:positionV>
                  <wp:extent cx="685800" cy="701040"/>
                  <wp:effectExtent l="0" t="0" r="0" b="3810"/>
                  <wp:wrapNone/>
                  <wp:docPr id="63" name="图片_43"/>
                  <wp:cNvGraphicFramePr/>
                  <a:graphic xmlns:a="http://schemas.openxmlformats.org/drawingml/2006/main">
                    <a:graphicData uri="http://schemas.openxmlformats.org/drawingml/2006/picture">
                      <pic:pic xmlns:pic="http://schemas.openxmlformats.org/drawingml/2006/picture">
                        <pic:nvPicPr>
                          <pic:cNvPr id="63" name="图片_43"/>
                          <pic:cNvPicPr/>
                        </pic:nvPicPr>
                        <pic:blipFill>
                          <a:blip r:embed="rId65"/>
                          <a:stretch>
                            <a:fillRect/>
                          </a:stretch>
                        </pic:blipFill>
                        <pic:spPr>
                          <a:xfrm>
                            <a:off x="0" y="0"/>
                            <a:ext cx="685800" cy="7010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书柜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1800*400*2000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273050</wp:posOffset>
                  </wp:positionH>
                  <wp:positionV relativeFrom="paragraph">
                    <wp:posOffset>387985</wp:posOffset>
                  </wp:positionV>
                  <wp:extent cx="632460" cy="571500"/>
                  <wp:effectExtent l="0" t="0" r="15240" b="0"/>
                  <wp:wrapNone/>
                  <wp:docPr id="51" name="图片_52"/>
                  <wp:cNvGraphicFramePr/>
                  <a:graphic xmlns:a="http://schemas.openxmlformats.org/drawingml/2006/main">
                    <a:graphicData uri="http://schemas.openxmlformats.org/drawingml/2006/picture">
                      <pic:pic xmlns:pic="http://schemas.openxmlformats.org/drawingml/2006/picture">
                        <pic:nvPicPr>
                          <pic:cNvPr id="51" name="图片_52"/>
                          <pic:cNvPicPr/>
                        </pic:nvPicPr>
                        <pic:blipFill>
                          <a:blip r:embed="rId66"/>
                          <a:stretch>
                            <a:fillRect/>
                          </a:stretch>
                        </pic:blipFill>
                        <pic:spPr>
                          <a:xfrm>
                            <a:off x="0" y="0"/>
                            <a:ext cx="632460" cy="5715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768350</wp:posOffset>
                  </wp:positionH>
                  <wp:positionV relativeFrom="paragraph">
                    <wp:posOffset>281940</wp:posOffset>
                  </wp:positionV>
                  <wp:extent cx="243840" cy="525780"/>
                  <wp:effectExtent l="0" t="0" r="3810" b="7620"/>
                  <wp:wrapNone/>
                  <wp:docPr id="48" name="图片_2875_SpCnt_1"/>
                  <wp:cNvGraphicFramePr/>
                  <a:graphic xmlns:a="http://schemas.openxmlformats.org/drawingml/2006/main">
                    <a:graphicData uri="http://schemas.openxmlformats.org/drawingml/2006/picture">
                      <pic:pic xmlns:pic="http://schemas.openxmlformats.org/drawingml/2006/picture">
                        <pic:nvPicPr>
                          <pic:cNvPr id="48" name="图片_2875_SpCnt_1"/>
                          <pic:cNvPicPr/>
                        </pic:nvPicPr>
                        <pic:blipFill>
                          <a:blip r:embed="rId67"/>
                          <a:stretch>
                            <a:fillRect/>
                          </a:stretch>
                        </pic:blipFill>
                        <pic:spPr>
                          <a:xfrm>
                            <a:off x="0" y="0"/>
                            <a:ext cx="243840" cy="52578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436880</wp:posOffset>
                  </wp:positionH>
                  <wp:positionV relativeFrom="paragraph">
                    <wp:posOffset>468630</wp:posOffset>
                  </wp:positionV>
                  <wp:extent cx="236220" cy="281940"/>
                  <wp:effectExtent l="0" t="0" r="11430" b="3810"/>
                  <wp:wrapNone/>
                  <wp:docPr id="49" name="图片_169"/>
                  <wp:cNvGraphicFramePr/>
                  <a:graphic xmlns:a="http://schemas.openxmlformats.org/drawingml/2006/main">
                    <a:graphicData uri="http://schemas.openxmlformats.org/drawingml/2006/picture">
                      <pic:pic xmlns:pic="http://schemas.openxmlformats.org/drawingml/2006/picture">
                        <pic:nvPicPr>
                          <pic:cNvPr id="49" name="图片_169"/>
                          <pic:cNvPicPr/>
                        </pic:nvPicPr>
                        <pic:blipFill>
                          <a:blip r:embed="rId68"/>
                          <a:stretch>
                            <a:fillRect/>
                          </a:stretch>
                        </pic:blipFill>
                        <pic:spPr>
                          <a:xfrm>
                            <a:off x="0" y="0"/>
                            <a:ext cx="236220" cy="2819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41275</wp:posOffset>
                  </wp:positionH>
                  <wp:positionV relativeFrom="paragraph">
                    <wp:posOffset>317500</wp:posOffset>
                  </wp:positionV>
                  <wp:extent cx="342900" cy="525780"/>
                  <wp:effectExtent l="0" t="0" r="0" b="7620"/>
                  <wp:wrapNone/>
                  <wp:docPr id="61" name="图片_2875"/>
                  <wp:cNvGraphicFramePr/>
                  <a:graphic xmlns:a="http://schemas.openxmlformats.org/drawingml/2006/main">
                    <a:graphicData uri="http://schemas.openxmlformats.org/drawingml/2006/picture">
                      <pic:pic xmlns:pic="http://schemas.openxmlformats.org/drawingml/2006/picture">
                        <pic:nvPicPr>
                          <pic:cNvPr id="61" name="图片_2875"/>
                          <pic:cNvPicPr/>
                        </pic:nvPicPr>
                        <pic:blipFill>
                          <a:blip r:embed="rId69"/>
                          <a:stretch>
                            <a:fillRect/>
                          </a:stretch>
                        </pic:blipFill>
                        <pic:spPr>
                          <a:xfrm>
                            <a:off x="0" y="0"/>
                            <a:ext cx="342900" cy="5257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接待椅组合</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1+1+茶几</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￭背框：优质全新PP料加纤维                                                         ￭面料：办公专用尼龙网镂空背配不含金属座布料                                                                              ￭扶手：优质全新PP料加纤维                                                     ￭坐垫棉：60密高回弹科技切割定型棉：                                                        ￭2.0MM喷黑磨砂承受力150kg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副园长室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inline distT="0" distB="0" distL="114300" distR="114300">
                  <wp:extent cx="1069975" cy="648970"/>
                  <wp:effectExtent l="0" t="0" r="15875" b="17780"/>
                  <wp:docPr id="377" name="图片 377" descr="166787326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1667873263450(1)"/>
                          <pic:cNvPicPr>
                            <a:picLocks noChangeAspect="1"/>
                          </pic:cNvPicPr>
                        </pic:nvPicPr>
                        <pic:blipFill>
                          <a:blip r:embed="rId70"/>
                          <a:stretch>
                            <a:fillRect/>
                          </a:stretch>
                        </pic:blipFill>
                        <pic:spPr>
                          <a:xfrm>
                            <a:off x="0" y="0"/>
                            <a:ext cx="1069975" cy="648970"/>
                          </a:xfrm>
                          <a:prstGeom prst="rect">
                            <a:avLst/>
                          </a:prstGeom>
                        </pic:spPr>
                      </pic:pic>
                    </a:graphicData>
                  </a:graphic>
                </wp:inline>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53" name="Picture_124_SpCnt_178"/>
                  <wp:cNvGraphicFramePr/>
                  <a:graphic xmlns:a="http://schemas.openxmlformats.org/drawingml/2006/main">
                    <a:graphicData uri="http://schemas.openxmlformats.org/drawingml/2006/picture">
                      <pic:pic xmlns:pic="http://schemas.openxmlformats.org/drawingml/2006/picture">
                        <pic:nvPicPr>
                          <pic:cNvPr id="53" name="Picture_124_SpCnt_178"/>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54" name="Picture_124_SpCnt_179"/>
                  <wp:cNvGraphicFramePr/>
                  <a:graphic xmlns:a="http://schemas.openxmlformats.org/drawingml/2006/main">
                    <a:graphicData uri="http://schemas.openxmlformats.org/drawingml/2006/picture">
                      <pic:pic xmlns:pic="http://schemas.openxmlformats.org/drawingml/2006/picture">
                        <pic:nvPicPr>
                          <pic:cNvPr id="54" name="Picture_124_SpCnt_179"/>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55" name="Picture_124_SpCnt_180"/>
                  <wp:cNvGraphicFramePr/>
                  <a:graphic xmlns:a="http://schemas.openxmlformats.org/drawingml/2006/main">
                    <a:graphicData uri="http://schemas.openxmlformats.org/drawingml/2006/picture">
                      <pic:pic xmlns:pic="http://schemas.openxmlformats.org/drawingml/2006/picture">
                        <pic:nvPicPr>
                          <pic:cNvPr id="55" name="Picture_124_SpCnt_180"/>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65" name="Picture_124_SpCnt_181"/>
                  <wp:cNvGraphicFramePr/>
                  <a:graphic xmlns:a="http://schemas.openxmlformats.org/drawingml/2006/main">
                    <a:graphicData uri="http://schemas.openxmlformats.org/drawingml/2006/picture">
                      <pic:pic xmlns:pic="http://schemas.openxmlformats.org/drawingml/2006/picture">
                        <pic:nvPicPr>
                          <pic:cNvPr id="65" name="Picture_124_SpCnt_181"/>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1、基材：采用优质环保三聚氰胺贴面实多层板，甲醛释放量≤0.5mg/L，符合GB18580-2001标准要求。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4、五金配件：使用优质五金配件（阻尼不锈钢三节轨、机械密码锁具、拉手、阻尼不锈钢铰链等）。                                                         5、颜色：由业主单位指定。                                        </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347980</wp:posOffset>
                  </wp:positionH>
                  <wp:positionV relativeFrom="paragraph">
                    <wp:posOffset>462280</wp:posOffset>
                  </wp:positionV>
                  <wp:extent cx="358140" cy="510540"/>
                  <wp:effectExtent l="0" t="0" r="3810" b="3810"/>
                  <wp:wrapNone/>
                  <wp:docPr id="62" name="图片_54997_SpCnt_2"/>
                  <wp:cNvGraphicFramePr/>
                  <a:graphic xmlns:a="http://schemas.openxmlformats.org/drawingml/2006/main">
                    <a:graphicData uri="http://schemas.openxmlformats.org/drawingml/2006/picture">
                      <pic:pic xmlns:pic="http://schemas.openxmlformats.org/drawingml/2006/picture">
                        <pic:nvPicPr>
                          <pic:cNvPr id="62" name="图片_54997_SpCnt_2"/>
                          <pic:cNvPicPr/>
                        </pic:nvPicPr>
                        <pic:blipFill>
                          <a:blip r:embed="rId54"/>
                          <a:stretch>
                            <a:fillRect/>
                          </a:stretch>
                        </pic:blipFill>
                        <pic:spPr>
                          <a:xfrm>
                            <a:off x="0" y="0"/>
                            <a:ext cx="358140" cy="5105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545*560*985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5.2.0mm厚度的A3钢材电镀弓形架。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9"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373380</wp:posOffset>
                  </wp:positionH>
                  <wp:positionV relativeFrom="paragraph">
                    <wp:posOffset>624205</wp:posOffset>
                  </wp:positionV>
                  <wp:extent cx="350520" cy="716280"/>
                  <wp:effectExtent l="0" t="0" r="11430" b="7620"/>
                  <wp:wrapNone/>
                  <wp:docPr id="64" name="图片_94_SpCnt_3"/>
                  <wp:cNvGraphicFramePr/>
                  <a:graphic xmlns:a="http://schemas.openxmlformats.org/drawingml/2006/main">
                    <a:graphicData uri="http://schemas.openxmlformats.org/drawingml/2006/picture">
                      <pic:pic xmlns:pic="http://schemas.openxmlformats.org/drawingml/2006/picture">
                        <pic:nvPicPr>
                          <pic:cNvPr id="64" name="图片_94_SpCnt_3"/>
                          <pic:cNvPicPr/>
                        </pic:nvPicPr>
                        <pic:blipFill>
                          <a:blip r:embed="rId39"/>
                          <a:stretch>
                            <a:fillRect/>
                          </a:stretch>
                        </pic:blipFill>
                        <pic:spPr>
                          <a:xfrm>
                            <a:off x="0" y="0"/>
                            <a:ext cx="350520" cy="7162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二门柜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373380</wp:posOffset>
                  </wp:positionH>
                  <wp:positionV relativeFrom="paragraph">
                    <wp:posOffset>409575</wp:posOffset>
                  </wp:positionV>
                  <wp:extent cx="441960" cy="548640"/>
                  <wp:effectExtent l="0" t="0" r="15240" b="3810"/>
                  <wp:wrapNone/>
                  <wp:docPr id="77" name="图片_42_SpCnt_4"/>
                  <wp:cNvGraphicFramePr/>
                  <a:graphic xmlns:a="http://schemas.openxmlformats.org/drawingml/2006/main">
                    <a:graphicData uri="http://schemas.openxmlformats.org/drawingml/2006/picture">
                      <pic:pic xmlns:pic="http://schemas.openxmlformats.org/drawingml/2006/picture">
                        <pic:nvPicPr>
                          <pic:cNvPr id="77" name="图片_42_SpCnt_4"/>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1、基材：采用优质实木多层板，甲醛释放量≤0.08mg/m³；                                2、贴面：选用双贴三聚氰胺浸渍面纸饰面材料；             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818515</wp:posOffset>
                  </wp:positionH>
                  <wp:positionV relativeFrom="paragraph">
                    <wp:posOffset>346710</wp:posOffset>
                  </wp:positionV>
                  <wp:extent cx="289560" cy="541020"/>
                  <wp:effectExtent l="0" t="0" r="15240" b="11430"/>
                  <wp:wrapNone/>
                  <wp:docPr id="104" name="图片_13_SpCnt_1"/>
                  <wp:cNvGraphicFramePr/>
                  <a:graphic xmlns:a="http://schemas.openxmlformats.org/drawingml/2006/main">
                    <a:graphicData uri="http://schemas.openxmlformats.org/drawingml/2006/picture">
                      <pic:pic xmlns:pic="http://schemas.openxmlformats.org/drawingml/2006/picture">
                        <pic:nvPicPr>
                          <pic:cNvPr id="104" name="图片_13_SpCnt_1"/>
                          <pic:cNvPicPr/>
                        </pic:nvPicPr>
                        <pic:blipFill>
                          <a:blip r:embed="rId71"/>
                          <a:stretch>
                            <a:fillRect/>
                          </a:stretch>
                        </pic:blipFill>
                        <pic:spPr>
                          <a:xfrm>
                            <a:off x="0" y="0"/>
                            <a:ext cx="289560" cy="541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486410</wp:posOffset>
                  </wp:positionH>
                  <wp:positionV relativeFrom="paragraph">
                    <wp:posOffset>536575</wp:posOffset>
                  </wp:positionV>
                  <wp:extent cx="236220" cy="281940"/>
                  <wp:effectExtent l="0" t="0" r="11430" b="3810"/>
                  <wp:wrapNone/>
                  <wp:docPr id="99" name="图片_169_SpCnt_1"/>
                  <wp:cNvGraphicFramePr/>
                  <a:graphic xmlns:a="http://schemas.openxmlformats.org/drawingml/2006/main">
                    <a:graphicData uri="http://schemas.openxmlformats.org/drawingml/2006/picture">
                      <pic:pic xmlns:pic="http://schemas.openxmlformats.org/drawingml/2006/picture">
                        <pic:nvPicPr>
                          <pic:cNvPr id="99" name="图片_169_SpCnt_1"/>
                          <pic:cNvPicPr/>
                        </pic:nvPicPr>
                        <pic:blipFill>
                          <a:blip r:embed="rId68"/>
                          <a:stretch>
                            <a:fillRect/>
                          </a:stretch>
                        </pic:blipFill>
                        <pic:spPr>
                          <a:xfrm>
                            <a:off x="0" y="0"/>
                            <a:ext cx="236220" cy="28194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wp:posOffset>
                  </wp:positionH>
                  <wp:positionV relativeFrom="paragraph">
                    <wp:posOffset>375285</wp:posOffset>
                  </wp:positionV>
                  <wp:extent cx="396240" cy="541020"/>
                  <wp:effectExtent l="0" t="0" r="3810" b="11430"/>
                  <wp:wrapNone/>
                  <wp:docPr id="78" name="图片_13"/>
                  <wp:cNvGraphicFramePr/>
                  <a:graphic xmlns:a="http://schemas.openxmlformats.org/drawingml/2006/main">
                    <a:graphicData uri="http://schemas.openxmlformats.org/drawingml/2006/picture">
                      <pic:pic xmlns:pic="http://schemas.openxmlformats.org/drawingml/2006/picture">
                        <pic:nvPicPr>
                          <pic:cNvPr id="78" name="图片_13"/>
                          <pic:cNvPicPr/>
                        </pic:nvPicPr>
                        <pic:blipFill>
                          <a:blip r:embed="rId72"/>
                          <a:stretch>
                            <a:fillRect/>
                          </a:stretch>
                        </pic:blipFill>
                        <pic:spPr>
                          <a:xfrm>
                            <a:off x="0" y="0"/>
                            <a:ext cx="396240" cy="54102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接待椅组合</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1+1+茶几</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￭背框：优质全新PP料加纤维                                                         ￭面料：办公专用尼龙网镂空背配韩国进口不含金属座布料                                                                              ￭扶手：优质全新PP料加纤维                                                     ￭坐垫棉：60密高回弹科技切割定型棉：                                                        ￭2.0MM喷黑磨砂承受力150kg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小会议室</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jc w:val="left"/>
              <w:rPr>
                <w:rFonts w:hint="eastAsia" w:ascii="宋体" w:hAnsi="宋体" w:eastAsia="宋体" w:cs="宋体"/>
                <w:b/>
                <w:bCs/>
                <w:i w:val="0"/>
                <w:iCs w:val="0"/>
                <w:color w:val="000000"/>
                <w:sz w:val="18"/>
                <w:szCs w:val="18"/>
                <w:u w:val="none"/>
              </w:rPr>
            </w:pP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98425</wp:posOffset>
                  </wp:positionH>
                  <wp:positionV relativeFrom="paragraph">
                    <wp:posOffset>149860</wp:posOffset>
                  </wp:positionV>
                  <wp:extent cx="929640" cy="647700"/>
                  <wp:effectExtent l="0" t="0" r="3810" b="0"/>
                  <wp:wrapNone/>
                  <wp:docPr id="105" name="图片_44"/>
                  <wp:cNvGraphicFramePr/>
                  <a:graphic xmlns:a="http://schemas.openxmlformats.org/drawingml/2006/main">
                    <a:graphicData uri="http://schemas.openxmlformats.org/drawingml/2006/picture">
                      <pic:pic xmlns:pic="http://schemas.openxmlformats.org/drawingml/2006/picture">
                        <pic:nvPicPr>
                          <pic:cNvPr id="105" name="图片_44"/>
                          <pic:cNvPicPr/>
                        </pic:nvPicPr>
                        <pic:blipFill>
                          <a:blip r:embed="rId73"/>
                          <a:stretch>
                            <a:fillRect/>
                          </a:stretch>
                        </pic:blipFill>
                        <pic:spPr>
                          <a:xfrm>
                            <a:off x="0" y="0"/>
                            <a:ext cx="929640" cy="64770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3200*1200*760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1、框架采用PP全新料，可通过水平拉力86KG拉背测试；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2、面料采用华宇优质网布。靠背采用优质单网，不抽丝；座包采用优质弹力布，透气性强。                                        3、PPT型固定扶手，可通过68kg的水平拉力测试；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4、5.5公分纯绵，密度≥30kg/m³；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5、座板：采用12mm的成型板；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6、弓形架采用2.0厚度的A3优质钢材喷漆，垂直弯曲部位加套管,直径≥25mm钢管，符合GB/T3325-2017金属家具通用技术条件要求。</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350520</wp:posOffset>
                  </wp:positionH>
                  <wp:positionV relativeFrom="paragraph">
                    <wp:posOffset>467995</wp:posOffset>
                  </wp:positionV>
                  <wp:extent cx="358140" cy="510540"/>
                  <wp:effectExtent l="0" t="0" r="3810" b="3810"/>
                  <wp:wrapNone/>
                  <wp:docPr id="90" name="图片_54997_SpCnt_3"/>
                  <wp:cNvGraphicFramePr/>
                  <a:graphic xmlns:a="http://schemas.openxmlformats.org/drawingml/2006/main">
                    <a:graphicData uri="http://schemas.openxmlformats.org/drawingml/2006/picture">
                      <pic:pic xmlns:pic="http://schemas.openxmlformats.org/drawingml/2006/picture">
                        <pic:nvPicPr>
                          <pic:cNvPr id="90" name="图片_54997_SpCnt_3"/>
                          <pic:cNvPicPr/>
                        </pic:nvPicPr>
                        <pic:blipFill>
                          <a:blip r:embed="rId54"/>
                          <a:stretch>
                            <a:fillRect/>
                          </a:stretch>
                        </pic:blipFill>
                        <pic:spPr>
                          <a:xfrm>
                            <a:off x="0" y="0"/>
                            <a:ext cx="358140" cy="5105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宋体" w:hAnsi="宋体" w:eastAsia="宋体" w:cs="宋体"/>
                <w:i w:val="0"/>
                <w:iCs w:val="0"/>
                <w:color w:val="000000"/>
                <w:kern w:val="0"/>
                <w:sz w:val="18"/>
                <w:szCs w:val="18"/>
                <w:u w:val="none"/>
                <w:lang w:val="en-US" w:eastAsia="zh-CN" w:bidi="ar"/>
              </w:rPr>
              <w:t>545*560*985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5.2.0mm厚度的A3钢材电镀弓形架。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411480</wp:posOffset>
                  </wp:positionH>
                  <wp:positionV relativeFrom="paragraph">
                    <wp:posOffset>452755</wp:posOffset>
                  </wp:positionV>
                  <wp:extent cx="441960" cy="548640"/>
                  <wp:effectExtent l="0" t="0" r="15240" b="3810"/>
                  <wp:wrapNone/>
                  <wp:docPr id="82" name="图片_42_SpCnt_5"/>
                  <wp:cNvGraphicFramePr/>
                  <a:graphic xmlns:a="http://schemas.openxmlformats.org/drawingml/2006/main">
                    <a:graphicData uri="http://schemas.openxmlformats.org/drawingml/2006/picture">
                      <pic:pic xmlns:pic="http://schemas.openxmlformats.org/drawingml/2006/picture">
                        <pic:nvPicPr>
                          <pic:cNvPr id="82" name="图片_42_SpCnt_5"/>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基材：采用优质实木多层板，甲醛释放量≤0.08mg/m³；                                2、贴面：选用双贴三聚氰胺浸渍面纸饰面材料；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847" w:type="dxa"/>
            <w:gridSpan w:val="4"/>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保教室、教科室、总务处、财务室4间，每间2人</w:t>
            </w: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inline distT="0" distB="0" distL="114300" distR="114300">
                  <wp:extent cx="1069975" cy="648970"/>
                  <wp:effectExtent l="0" t="0" r="15875" b="17780"/>
                  <wp:docPr id="379" name="图片 379" descr="166787326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1667873263450(1)"/>
                          <pic:cNvPicPr>
                            <a:picLocks noChangeAspect="1"/>
                          </pic:cNvPicPr>
                        </pic:nvPicPr>
                        <pic:blipFill>
                          <a:blip r:embed="rId70"/>
                          <a:stretch>
                            <a:fillRect/>
                          </a:stretch>
                        </pic:blipFill>
                        <pic:spPr>
                          <a:xfrm>
                            <a:off x="0" y="0"/>
                            <a:ext cx="1069975" cy="648970"/>
                          </a:xfrm>
                          <a:prstGeom prst="rect">
                            <a:avLst/>
                          </a:prstGeom>
                        </pic:spPr>
                      </pic:pic>
                    </a:graphicData>
                  </a:graphic>
                </wp:inline>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1400*700*760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98" name="Picture_124_SpCnt_182"/>
                  <wp:cNvGraphicFramePr/>
                  <a:graphic xmlns:a="http://schemas.openxmlformats.org/drawingml/2006/main">
                    <a:graphicData uri="http://schemas.openxmlformats.org/drawingml/2006/picture">
                      <pic:pic xmlns:pic="http://schemas.openxmlformats.org/drawingml/2006/picture">
                        <pic:nvPicPr>
                          <pic:cNvPr id="98" name="Picture_124_SpCnt_182"/>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80" name="Picture_124_SpCnt_183"/>
                  <wp:cNvGraphicFramePr/>
                  <a:graphic xmlns:a="http://schemas.openxmlformats.org/drawingml/2006/main">
                    <a:graphicData uri="http://schemas.openxmlformats.org/drawingml/2006/picture">
                      <pic:pic xmlns:pic="http://schemas.openxmlformats.org/drawingml/2006/picture">
                        <pic:nvPicPr>
                          <pic:cNvPr id="80" name="Picture_124_SpCnt_183"/>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106" name="Picture_124_SpCnt_184"/>
                  <wp:cNvGraphicFramePr/>
                  <a:graphic xmlns:a="http://schemas.openxmlformats.org/drawingml/2006/main">
                    <a:graphicData uri="http://schemas.openxmlformats.org/drawingml/2006/picture">
                      <pic:pic xmlns:pic="http://schemas.openxmlformats.org/drawingml/2006/picture">
                        <pic:nvPicPr>
                          <pic:cNvPr id="106" name="Picture_124_SpCnt_184"/>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86" name="Picture_124_SpCnt_185"/>
                  <wp:cNvGraphicFramePr/>
                  <a:graphic xmlns:a="http://schemas.openxmlformats.org/drawingml/2006/main">
                    <a:graphicData uri="http://schemas.openxmlformats.org/drawingml/2006/picture">
                      <pic:pic xmlns:pic="http://schemas.openxmlformats.org/drawingml/2006/picture">
                        <pic:nvPicPr>
                          <pic:cNvPr id="86" name="Picture_124_SpCnt_185"/>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w:t>
            </w:r>
            <w:bookmarkStart w:id="568" w:name="_GoBack"/>
            <w:bookmarkEnd w:id="568"/>
            <w:r>
              <w:rPr>
                <w:rFonts w:hint="eastAsia" w:ascii="宋体" w:hAnsi="宋体" w:eastAsia="宋体" w:cs="宋体"/>
                <w:i w:val="0"/>
                <w:iCs w:val="0"/>
                <w:color w:val="000000"/>
                <w:kern w:val="0"/>
                <w:sz w:val="18"/>
                <w:szCs w:val="18"/>
                <w:u w:val="none"/>
                <w:lang w:val="en-US" w:eastAsia="zh-CN" w:bidi="ar"/>
              </w:rPr>
              <w:t>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4、五金配件：使用优质五金配件（阻尼不锈钢三节轨、机械密码锁具、拉手、阻尼不锈钢铰链等）。                                                         5、颜色：由业主单位指定。                                        </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339090</wp:posOffset>
                  </wp:positionH>
                  <wp:positionV relativeFrom="paragraph">
                    <wp:posOffset>384175</wp:posOffset>
                  </wp:positionV>
                  <wp:extent cx="358140" cy="510540"/>
                  <wp:effectExtent l="0" t="0" r="3810" b="3810"/>
                  <wp:wrapNone/>
                  <wp:docPr id="87" name="图片_54997_SpCnt_4"/>
                  <wp:cNvGraphicFramePr/>
                  <a:graphic xmlns:a="http://schemas.openxmlformats.org/drawingml/2006/main">
                    <a:graphicData uri="http://schemas.openxmlformats.org/drawingml/2006/picture">
                      <pic:pic xmlns:pic="http://schemas.openxmlformats.org/drawingml/2006/picture">
                        <pic:nvPicPr>
                          <pic:cNvPr id="87" name="图片_54997_SpCnt_4"/>
                          <pic:cNvPicPr/>
                        </pic:nvPicPr>
                        <pic:blipFill>
                          <a:blip r:embed="rId54"/>
                          <a:stretch>
                            <a:fillRect/>
                          </a:stretch>
                        </pic:blipFill>
                        <pic:spPr>
                          <a:xfrm>
                            <a:off x="0" y="0"/>
                            <a:ext cx="358140" cy="5105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545*560*985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3.白色pp扶手面；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4.座包一体成型定型海绵，永不变形，扪华宇透气网布；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5.2.0mm厚度的A3钢材电镀弓形架。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407670</wp:posOffset>
                  </wp:positionH>
                  <wp:positionV relativeFrom="paragraph">
                    <wp:posOffset>494665</wp:posOffset>
                  </wp:positionV>
                  <wp:extent cx="350520" cy="716280"/>
                  <wp:effectExtent l="0" t="0" r="11430" b="7620"/>
                  <wp:wrapNone/>
                  <wp:docPr id="84" name="图片_94_SpCnt_4"/>
                  <wp:cNvGraphicFramePr/>
                  <a:graphic xmlns:a="http://schemas.openxmlformats.org/drawingml/2006/main">
                    <a:graphicData uri="http://schemas.openxmlformats.org/drawingml/2006/picture">
                      <pic:pic xmlns:pic="http://schemas.openxmlformats.org/drawingml/2006/picture">
                        <pic:nvPicPr>
                          <pic:cNvPr id="84" name="图片_94_SpCnt_4"/>
                          <pic:cNvPicPr/>
                        </pic:nvPicPr>
                        <pic:blipFill>
                          <a:blip r:embed="rId39"/>
                          <a:stretch>
                            <a:fillRect/>
                          </a:stretch>
                        </pic:blipFill>
                        <pic:spPr>
                          <a:xfrm>
                            <a:off x="0" y="0"/>
                            <a:ext cx="350520" cy="71628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二门柜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800*400*2000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4、五金配件：使用优质五金配件（阻尼不锈钢三节轨、机械密码锁具、拉手、阻尼不锈钢铰链等）。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400050</wp:posOffset>
                  </wp:positionH>
                  <wp:positionV relativeFrom="paragraph">
                    <wp:posOffset>505460</wp:posOffset>
                  </wp:positionV>
                  <wp:extent cx="441960" cy="548640"/>
                  <wp:effectExtent l="0" t="0" r="15240" b="3810"/>
                  <wp:wrapNone/>
                  <wp:docPr id="83" name="图片_42_SpCnt_6"/>
                  <wp:cNvGraphicFramePr/>
                  <a:graphic xmlns:a="http://schemas.openxmlformats.org/drawingml/2006/main">
                    <a:graphicData uri="http://schemas.openxmlformats.org/drawingml/2006/picture">
                      <pic:pic xmlns:pic="http://schemas.openxmlformats.org/drawingml/2006/picture">
                        <pic:nvPicPr>
                          <pic:cNvPr id="83" name="图片_42_SpCnt_6"/>
                          <pic:cNvPicPr/>
                        </pic:nvPicPr>
                        <pic:blipFill>
                          <a:blip r:embed="rId42"/>
                          <a:stretch>
                            <a:fillRect/>
                          </a:stretch>
                        </pic:blipFill>
                        <pic:spPr>
                          <a:xfrm>
                            <a:off x="0" y="0"/>
                            <a:ext cx="44196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茶水柜</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800*400*800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基材：采用优质实木多层板，甲醛释放量≤0.08mg/m³；                                2、贴面：选用双贴三聚氰胺浸渍面纸饰面材料；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3、优质五金配件；                                       4、抽屉：含二抽屉及开门柜，抽屉内抽旁采用45°拼接，表面PVC包覆，抽底板采用5MM中纤板，与抽旁采用拉槽连接方式。                        5、颜色：由业主单位指定。</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623"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904" w:type="dxa"/>
            <w:tcBorders>
              <w:top w:val="single" w:color="000000" w:sz="4" w:space="0"/>
              <w:left w:val="single" w:color="000000" w:sz="4" w:space="0"/>
              <w:bottom w:val="single" w:color="000000" w:sz="4" w:space="0"/>
              <w:right w:val="nil"/>
            </w:tcBorders>
            <w:shd w:val="clear" w:color="auto" w:fill="E2EFDA"/>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教室18间</w:t>
            </w:r>
          </w:p>
        </w:tc>
        <w:tc>
          <w:tcPr>
            <w:tcW w:w="77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2839" w:type="dxa"/>
            <w:tcBorders>
              <w:top w:val="single" w:color="000000" w:sz="4" w:space="0"/>
              <w:left w:val="nil"/>
              <w:bottom w:val="single" w:color="000000" w:sz="4" w:space="0"/>
              <w:right w:val="nil"/>
            </w:tcBorders>
            <w:shd w:val="clear" w:color="auto" w:fill="E2EFDA"/>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85" name="Picture_124_SpCnt_186"/>
                  <wp:cNvGraphicFramePr/>
                  <a:graphic xmlns:a="http://schemas.openxmlformats.org/drawingml/2006/main">
                    <a:graphicData uri="http://schemas.openxmlformats.org/drawingml/2006/picture">
                      <pic:pic xmlns:pic="http://schemas.openxmlformats.org/drawingml/2006/picture">
                        <pic:nvPicPr>
                          <pic:cNvPr id="85" name="Picture_124_SpCnt_186"/>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03" name="Picture_124_SpCnt_187"/>
                  <wp:cNvGraphicFramePr/>
                  <a:graphic xmlns:a="http://schemas.openxmlformats.org/drawingml/2006/main">
                    <a:graphicData uri="http://schemas.openxmlformats.org/drawingml/2006/picture">
                      <pic:pic xmlns:pic="http://schemas.openxmlformats.org/drawingml/2006/picture">
                        <pic:nvPicPr>
                          <pic:cNvPr id="103" name="Picture_124_SpCnt_187"/>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88" name="Picture_124_SpCnt_188"/>
                  <wp:cNvGraphicFramePr/>
                  <a:graphic xmlns:a="http://schemas.openxmlformats.org/drawingml/2006/main">
                    <a:graphicData uri="http://schemas.openxmlformats.org/drawingml/2006/picture">
                      <pic:pic xmlns:pic="http://schemas.openxmlformats.org/drawingml/2006/picture">
                        <pic:nvPicPr>
                          <pic:cNvPr id="88" name="Picture_124_SpCnt_188"/>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89" name="Picture_124_SpCnt_189"/>
                  <wp:cNvGraphicFramePr/>
                  <a:graphic xmlns:a="http://schemas.openxmlformats.org/drawingml/2006/main">
                    <a:graphicData uri="http://schemas.openxmlformats.org/drawingml/2006/picture">
                      <pic:pic xmlns:pic="http://schemas.openxmlformats.org/drawingml/2006/picture">
                        <pic:nvPicPr>
                          <pic:cNvPr id="89" name="Picture_124_SpCnt_189"/>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01" name="Picture_124_SpCnt_190"/>
                  <wp:cNvGraphicFramePr/>
                  <a:graphic xmlns:a="http://schemas.openxmlformats.org/drawingml/2006/main">
                    <a:graphicData uri="http://schemas.openxmlformats.org/drawingml/2006/picture">
                      <pic:pic xmlns:pic="http://schemas.openxmlformats.org/drawingml/2006/picture">
                        <pic:nvPicPr>
                          <pic:cNvPr id="101" name="Picture_124_SpCnt_190"/>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102" name="Picture_124_SpCnt_191"/>
                  <wp:cNvGraphicFramePr/>
                  <a:graphic xmlns:a="http://schemas.openxmlformats.org/drawingml/2006/main">
                    <a:graphicData uri="http://schemas.openxmlformats.org/drawingml/2006/picture">
                      <pic:pic xmlns:pic="http://schemas.openxmlformats.org/drawingml/2006/picture">
                        <pic:nvPicPr>
                          <pic:cNvPr id="102" name="Picture_124_SpCnt_191"/>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92" name="Picture_124_SpCnt_192"/>
                  <wp:cNvGraphicFramePr/>
                  <a:graphic xmlns:a="http://schemas.openxmlformats.org/drawingml/2006/main">
                    <a:graphicData uri="http://schemas.openxmlformats.org/drawingml/2006/picture">
                      <pic:pic xmlns:pic="http://schemas.openxmlformats.org/drawingml/2006/picture">
                        <pic:nvPicPr>
                          <pic:cNvPr id="92" name="Picture_124_SpCnt_192"/>
                          <pic:cNvPicPr/>
                        </pic:nvPicPr>
                        <pic:blipFill>
                          <a:blip r:embed="rId36"/>
                          <a:stretch>
                            <a:fillRect/>
                          </a:stretch>
                        </pic:blipFill>
                        <pic:spPr>
                          <a:xfrm>
                            <a:off x="0" y="0"/>
                            <a:ext cx="167640" cy="167640"/>
                          </a:xfrm>
                          <a:prstGeom prst="rect">
                            <a:avLst/>
                          </a:prstGeom>
                          <a:noFill/>
                          <a:ln>
                            <a:noFill/>
                          </a:ln>
                        </pic:spPr>
                      </pic:pic>
                    </a:graphicData>
                  </a:graphic>
                </wp:anchor>
              </w:drawing>
            </w:r>
            <w:r>
              <w:rPr>
                <w:rFonts w:hint="eastAsia" w:ascii="宋体" w:hAnsi="宋体" w:eastAsia="宋体" w:cs="宋体"/>
                <w:b/>
                <w:bCs/>
                <w:i w:val="0"/>
                <w:iCs w:val="0"/>
                <w:color w:val="000000"/>
                <w:kern w:val="0"/>
                <w:sz w:val="18"/>
                <w:szCs w:val="18"/>
                <w:u w:val="none"/>
                <w:shd w:val="clear" w:fill="E2EFDA"/>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7640" cy="167640"/>
                  <wp:effectExtent l="0" t="0" r="0" b="0"/>
                  <wp:wrapNone/>
                  <wp:docPr id="91" name="Picture_124_SpCnt_193"/>
                  <wp:cNvGraphicFramePr/>
                  <a:graphic xmlns:a="http://schemas.openxmlformats.org/drawingml/2006/main">
                    <a:graphicData uri="http://schemas.openxmlformats.org/drawingml/2006/picture">
                      <pic:pic xmlns:pic="http://schemas.openxmlformats.org/drawingml/2006/picture">
                        <pic:nvPicPr>
                          <pic:cNvPr id="91" name="Picture_124_SpCnt_193"/>
                          <pic:cNvPicPr/>
                        </pic:nvPicPr>
                        <pic:blipFill>
                          <a:blip r:embed="rId36"/>
                          <a:stretch>
                            <a:fillRect/>
                          </a:stretch>
                        </pic:blipFill>
                        <pic:spPr>
                          <a:xfrm>
                            <a:off x="0" y="0"/>
                            <a:ext cx="167640" cy="167640"/>
                          </a:xfrm>
                          <a:prstGeom prst="rect">
                            <a:avLst/>
                          </a:prstGeom>
                          <a:noFill/>
                          <a:ln>
                            <a:noFill/>
                          </a:ln>
                        </pic:spPr>
                      </pic:pic>
                    </a:graphicData>
                  </a:graphic>
                </wp:anchor>
              </w:drawing>
            </w:r>
          </w:p>
        </w:tc>
        <w:tc>
          <w:tcPr>
            <w:tcW w:w="684"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32" w:type="dxa"/>
            <w:tcBorders>
              <w:top w:val="single" w:color="000000" w:sz="4" w:space="0"/>
              <w:left w:val="nil"/>
              <w:bottom w:val="single" w:color="000000" w:sz="4" w:space="0"/>
              <w:right w:val="nil"/>
            </w:tcBorders>
            <w:shd w:val="clear" w:color="auto" w:fill="E2EFDA"/>
            <w:noWrap/>
            <w:vAlign w:val="center"/>
          </w:tcPr>
          <w:p>
            <w:pPr>
              <w:jc w:val="center"/>
              <w:rPr>
                <w:rFonts w:hint="eastAsia" w:ascii="宋体" w:hAnsi="宋体" w:eastAsia="宋体" w:cs="宋体"/>
                <w:b/>
                <w:bCs/>
                <w:i w:val="0"/>
                <w:iCs w:val="0"/>
                <w:color w:val="000000"/>
                <w:sz w:val="18"/>
                <w:szCs w:val="18"/>
                <w:u w:val="none"/>
              </w:rPr>
            </w:pP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4"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b/>
                <w:bCs/>
                <w:i w:val="0"/>
                <w:iCs w:val="0"/>
                <w:color w:val="000000"/>
                <w:sz w:val="18"/>
                <w:szCs w:val="18"/>
                <w:u w:val="none"/>
                <w:lang w:eastAsia="zh-CN"/>
              </w:rPr>
              <w:drawing>
                <wp:inline distT="0" distB="0" distL="114300" distR="114300">
                  <wp:extent cx="1069975" cy="648970"/>
                  <wp:effectExtent l="0" t="0" r="15875" b="17780"/>
                  <wp:docPr id="380" name="图片 380" descr="166787326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1667873263450(1)"/>
                          <pic:cNvPicPr>
                            <a:picLocks noChangeAspect="1"/>
                          </pic:cNvPicPr>
                        </pic:nvPicPr>
                        <pic:blipFill>
                          <a:blip r:embed="rId70"/>
                          <a:stretch>
                            <a:fillRect/>
                          </a:stretch>
                        </pic:blipFill>
                        <pic:spPr>
                          <a:xfrm>
                            <a:off x="0" y="0"/>
                            <a:ext cx="1069975" cy="648970"/>
                          </a:xfrm>
                          <a:prstGeom prst="rect">
                            <a:avLst/>
                          </a:prstGeom>
                        </pic:spPr>
                      </pic:pic>
                    </a:graphicData>
                  </a:graphic>
                </wp:inline>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办公桌</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1200*600*760</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97" name="Picture_124_SpCnt_194"/>
                  <wp:cNvGraphicFramePr/>
                  <a:graphic xmlns:a="http://schemas.openxmlformats.org/drawingml/2006/main">
                    <a:graphicData uri="http://schemas.openxmlformats.org/drawingml/2006/picture">
                      <pic:pic xmlns:pic="http://schemas.openxmlformats.org/drawingml/2006/picture">
                        <pic:nvPicPr>
                          <pic:cNvPr id="97" name="Picture_124_SpCnt_194"/>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94" name="Picture_124_SpCnt_195"/>
                  <wp:cNvGraphicFramePr/>
                  <a:graphic xmlns:a="http://schemas.openxmlformats.org/drawingml/2006/main">
                    <a:graphicData uri="http://schemas.openxmlformats.org/drawingml/2006/picture">
                      <pic:pic xmlns:pic="http://schemas.openxmlformats.org/drawingml/2006/picture">
                        <pic:nvPicPr>
                          <pic:cNvPr id="94" name="Picture_124_SpCnt_195"/>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96" name="Picture_124_SpCnt_196"/>
                  <wp:cNvGraphicFramePr/>
                  <a:graphic xmlns:a="http://schemas.openxmlformats.org/drawingml/2006/main">
                    <a:graphicData uri="http://schemas.openxmlformats.org/drawingml/2006/picture">
                      <pic:pic xmlns:pic="http://schemas.openxmlformats.org/drawingml/2006/picture">
                        <pic:nvPicPr>
                          <pic:cNvPr id="96" name="Picture_124_SpCnt_196"/>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0020" cy="160020"/>
                  <wp:effectExtent l="0" t="0" r="0" b="0"/>
                  <wp:wrapNone/>
                  <wp:docPr id="100" name="Picture_124_SpCnt_197"/>
                  <wp:cNvGraphicFramePr/>
                  <a:graphic xmlns:a="http://schemas.openxmlformats.org/drawingml/2006/main">
                    <a:graphicData uri="http://schemas.openxmlformats.org/drawingml/2006/picture">
                      <pic:pic xmlns:pic="http://schemas.openxmlformats.org/drawingml/2006/picture">
                        <pic:nvPicPr>
                          <pic:cNvPr id="100" name="Picture_124_SpCnt_197"/>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4、五金配件：使用优质五金配件（阻尼不锈钢三节轨、机械密码锁具、拉手、阻尼不锈钢铰链等）。                                                         5、颜色：由业主单位指定。                                        </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19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305435</wp:posOffset>
                  </wp:positionH>
                  <wp:positionV relativeFrom="paragraph">
                    <wp:posOffset>407670</wp:posOffset>
                  </wp:positionV>
                  <wp:extent cx="396240" cy="548640"/>
                  <wp:effectExtent l="0" t="0" r="3810" b="3810"/>
                  <wp:wrapNone/>
                  <wp:docPr id="271" name="图片_13_SpCnt_2"/>
                  <wp:cNvGraphicFramePr/>
                  <a:graphic xmlns:a="http://schemas.openxmlformats.org/drawingml/2006/main">
                    <a:graphicData uri="http://schemas.openxmlformats.org/drawingml/2006/picture">
                      <pic:pic xmlns:pic="http://schemas.openxmlformats.org/drawingml/2006/picture">
                        <pic:nvPicPr>
                          <pic:cNvPr id="271" name="图片_13_SpCnt_2"/>
                          <pic:cNvPicPr/>
                        </pic:nvPicPr>
                        <pic:blipFill>
                          <a:blip r:embed="rId74"/>
                          <a:stretch>
                            <a:fillRect/>
                          </a:stretch>
                        </pic:blipFill>
                        <pic:spPr>
                          <a:xfrm>
                            <a:off x="0" y="0"/>
                            <a:ext cx="396240" cy="548640"/>
                          </a:xfrm>
                          <a:prstGeom prst="rect">
                            <a:avLst/>
                          </a:prstGeom>
                          <a:noFill/>
                          <a:ln>
                            <a:noFill/>
                          </a:ln>
                        </pic:spPr>
                      </pic:pic>
                    </a:graphicData>
                  </a:graphic>
                </wp:anchor>
              </w:drawing>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490*560*1005</w:t>
            </w:r>
          </w:p>
        </w:tc>
        <w:tc>
          <w:tcPr>
            <w:tcW w:w="28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1.白色全新料加纤背框，扪华宇透气网布；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2.白色PP固定腰靠；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3.白色PP连体固定扶手；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4.45高密度纯绵坐垫，扪华宇透气网布；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5.2.0mm厚度的A3钢材喷白弓形架。</w:t>
            </w:r>
          </w:p>
        </w:tc>
        <w:tc>
          <w:tcPr>
            <w:tcW w:w="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jc w:val="center"/>
        <w:rPr>
          <w:rFonts w:hint="eastAsia"/>
          <w:b/>
          <w:bCs/>
          <w:sz w:val="32"/>
          <w:szCs w:val="32"/>
        </w:rPr>
      </w:pPr>
    </w:p>
    <w:p>
      <w:pPr>
        <w:jc w:val="center"/>
        <w:rPr>
          <w:rFonts w:hint="eastAsia"/>
          <w:b/>
          <w:bCs/>
          <w:sz w:val="32"/>
          <w:szCs w:val="32"/>
        </w:rPr>
      </w:pPr>
      <w:r>
        <w:rPr>
          <w:rFonts w:hint="eastAsia"/>
          <w:b/>
          <w:bCs/>
          <w:sz w:val="32"/>
          <w:szCs w:val="32"/>
        </w:rPr>
        <w:t>小班教室常规配置</w:t>
      </w:r>
    </w:p>
    <w:tbl>
      <w:tblPr>
        <w:tblStyle w:val="62"/>
        <w:tblW w:w="57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2"/>
        <w:gridCol w:w="1021"/>
        <w:gridCol w:w="1434"/>
        <w:gridCol w:w="4387"/>
        <w:gridCol w:w="695"/>
        <w:gridCol w:w="806"/>
        <w:gridCol w:w="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 xml:space="preserve"> 幼儿园（小班6个班）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小班按30人配置，6个班，效果图仅供参考，具体以提供的产品清单为准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产品名称</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参考图片</w:t>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 数量</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椅子(小班）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27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 descr="IMG_256"/>
                          <pic:cNvPicPr>
                            <a:picLocks noChangeAspect="1"/>
                          </pic:cNvPicPr>
                        </pic:nvPicPr>
                        <pic:blipFill>
                          <a:blip r:embed="rId75"/>
                          <a:stretch>
                            <a:fillRect/>
                          </a:stretch>
                        </pic:blipFill>
                        <pic:spPr>
                          <a:xfrm>
                            <a:off x="0" y="0"/>
                            <a:ext cx="676275"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尺寸：270×280×445mm，坐高240mm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主材：椅子主构架采用22mm厚橡胶木实木料，坐板采用18mm厚橡胶木实木板，靠板采用16mm厚橡胶木曲形实木板，甲醛释放量符合GB18580-2017《室内装饰装修材料人造板及其制品中甲醛释放限量》标准要求。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特有：靠背呈弧形凹陷设计，贴合幼儿身体曲线，符合人体工程，前腿连接处采用45°斜头拼接，后腿特征呈弧形，美观牢固。</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27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 descr="IMG_257"/>
                          <pic:cNvPicPr>
                            <a:picLocks noChangeAspect="1"/>
                          </pic:cNvPicPr>
                        </pic:nvPicPr>
                        <pic:blipFill>
                          <a:blip r:embed="rId76"/>
                          <a:stretch>
                            <a:fillRect/>
                          </a:stretch>
                        </pic:blipFill>
                        <pic:spPr>
                          <a:xfrm>
                            <a:off x="0" y="0"/>
                            <a:ext cx="676275"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尺寸：600×600×500mm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特有：桌面板边缘斜切后修大圆角,无框架连接档以增加桌面下活动空间。</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圆腿长方桌(小班）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27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 descr="IMG_258"/>
                          <pic:cNvPicPr>
                            <a:picLocks noChangeAspect="1"/>
                          </pic:cNvPicPr>
                        </pic:nvPicPr>
                        <pic:blipFill>
                          <a:blip r:embed="rId77"/>
                          <a:stretch>
                            <a:fillRect/>
                          </a:stretch>
                        </pic:blipFill>
                        <pic:spPr>
                          <a:xfrm>
                            <a:off x="0" y="0"/>
                            <a:ext cx="676275" cy="5048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尺寸：1200×600×500mm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特有：桌面板边缘斜切后修大圆角,无框架连接档以增加桌面下活动空间。</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原木金典·橡胶木经典椅子(教师椅）</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52450"/>
                  <wp:effectExtent l="0" t="0" r="9525" b="0"/>
                  <wp:docPr id="27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 descr="IMG_259"/>
                          <pic:cNvPicPr>
                            <a:picLocks noChangeAspect="1"/>
                          </pic:cNvPicPr>
                        </pic:nvPicPr>
                        <pic:blipFill>
                          <a:blip r:embed="rId78"/>
                          <a:stretch>
                            <a:fillRect/>
                          </a:stretch>
                        </pic:blipFill>
                        <pic:spPr>
                          <a:xfrm>
                            <a:off x="0" y="0"/>
                            <a:ext cx="676275" cy="5524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尺寸：350*350*750mm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材质：橡胶木(进口料)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坐背板:16mm指接板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椅架：全榫头工艺制作，22×50mm实心脚</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油漆：水性漆。</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组合竖柜</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27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5" descr="IMG_260"/>
                          <pic:cNvPicPr>
                            <a:picLocks noChangeAspect="1"/>
                          </pic:cNvPicPr>
                        </pic:nvPicPr>
                        <pic:blipFill>
                          <a:blip r:embed="rId79"/>
                          <a:stretch>
                            <a:fillRect/>
                          </a:stretch>
                        </pic:blipFill>
                        <pic:spPr>
                          <a:xfrm>
                            <a:off x="0" y="0"/>
                            <a:ext cx="676275" cy="5048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尺寸：927×300×778mm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四层抽拉床</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27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6" descr="IMG_261"/>
                          <pic:cNvPicPr>
                            <a:picLocks noChangeAspect="1"/>
                          </pic:cNvPicPr>
                        </pic:nvPicPr>
                        <pic:blipFill>
                          <a:blip r:embed="rId80"/>
                          <a:stretch>
                            <a:fillRect/>
                          </a:stretch>
                        </pic:blipFill>
                        <pic:spPr>
                          <a:xfrm>
                            <a:off x="0" y="0"/>
                            <a:ext cx="676275"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尺寸：四层：1500×600×1000mm 三层：1414×600×780mm 二层：1328×600×560mm 一层：1242×600×340mm （可置入床垫尺寸：四层：1444×550mm 三层：1358×550mm 二层：1272×550mm 一层：1186×550mm）主材：床架采用70×28mm厚松木实木料，围栏采用45×28mm厚松木实木料，床板采用12mm厚松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脚轮：抗盐雾符合GB28007-2011《儿童家具通用技术条件》标准要求。工艺：表面光洁，无裂缝，无毛刺，无锐边，连接牢固安全,边缘抛圆处理,安全缝隙和孔洞均符合GB28007-2011儿童家具通用技术条件的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多功能黑板</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52450"/>
                  <wp:effectExtent l="0" t="0" r="9525" b="0"/>
                  <wp:docPr id="27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7" descr="IMG_262"/>
                          <pic:cNvPicPr>
                            <a:picLocks noChangeAspect="1"/>
                          </pic:cNvPicPr>
                        </pic:nvPicPr>
                        <pic:blipFill>
                          <a:blip r:embed="rId81"/>
                          <a:stretch>
                            <a:fillRect/>
                          </a:stretch>
                        </pic:blipFill>
                        <pic:spPr>
                          <a:xfrm>
                            <a:off x="0" y="0"/>
                            <a:ext cx="676275" cy="5524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尺寸：1036×410×1200mm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主材：采用18mm厚橡胶木实木板，甲醛释放量符合GB18580-2017《室内装饰装修材料人造板及其制品中甲醛释放限量》标准要求。美术板采用磁性铁质画板和软木。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脚轮：抗盐雾符合GB28007-2011《儿童家具通用技术条件》标准要求。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11</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独立毛巾架</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61975"/>
                  <wp:effectExtent l="0" t="0" r="9525" b="9525"/>
                  <wp:docPr id="27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8" descr="IMG_263"/>
                          <pic:cNvPicPr>
                            <a:picLocks noChangeAspect="1"/>
                          </pic:cNvPicPr>
                        </pic:nvPicPr>
                        <pic:blipFill>
                          <a:blip r:embed="rId82"/>
                          <a:stretch>
                            <a:fillRect/>
                          </a:stretch>
                        </pic:blipFill>
                        <pic:spPr>
                          <a:xfrm>
                            <a:off x="0" y="0"/>
                            <a:ext cx="676275" cy="56197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尺寸：1100×370×1000mm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主材：采用25mm厚橡胶木实木料。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小厨房</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sz w:val="18"/>
                <w:szCs w:val="18"/>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12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90度弯柜（小班）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81050"/>
                  <wp:effectExtent l="0" t="0" r="9525" b="0"/>
                  <wp:docPr id="28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9" descr="IMG_264"/>
                          <pic:cNvPicPr>
                            <a:picLocks noChangeAspect="1"/>
                          </pic:cNvPicPr>
                        </pic:nvPicPr>
                        <pic:blipFill>
                          <a:blip r:embed="rId83"/>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848×300×592mm主材：采用18mm厚橡胶木实木板，甲醛释放量符合GB18580-2017《室内装饰装修材料人造板及其制品中甲醛释放限量》标准要求。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13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售卖台(装饰)</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8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0" descr="IMG_265"/>
                          <pic:cNvPicPr>
                            <a:picLocks noChangeAspect="1"/>
                          </pic:cNvPicPr>
                        </pic:nvPicPr>
                        <pic:blipFill>
                          <a:blip r:embed="rId84"/>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836×300×1226mm主材：采用18mm厚橡胶木实木板，甲醛释放量符合GB18580-2017《室内装饰装修材料人造板及其制品中甲醛释放限量》标准要求。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炊柜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8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1" descr="IMG_266"/>
                          <pic:cNvPicPr>
                            <a:picLocks noChangeAspect="1"/>
                          </pic:cNvPicPr>
                        </pic:nvPicPr>
                        <pic:blipFill>
                          <a:blip r:embed="rId85"/>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400×300×574mm主材：采用18mm厚橡胶木实木板，甲醛释放量符合GB18580-2017《室内装饰装修材料人造板及其制品中甲醛释放限量》标准要求。透明板采用优质PC塑料板。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塑料件：塑料耐老化性符合QB/T4071-2010《课桌椅》标准要求。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中纤板：含水率，甲醛释放量符合GB/T11718-2009《中密度纤维板》标准要求。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15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洗衣机</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8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2" descr="IMG_267"/>
                          <pic:cNvPicPr>
                            <a:picLocks noChangeAspect="1"/>
                          </pic:cNvPicPr>
                        </pic:nvPicPr>
                        <pic:blipFill>
                          <a:blip r:embed="rId86"/>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400×300×574mm主材：采用18mm厚橡胶木实木板，甲醛释放量符合GB18580-2017《室内装饰装修材料人造板及其制品中甲醛释放限量》标准要求。透明板采用优质PC塑料板。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塑料件：塑料耐老化性符合QB/T4071-2010《课桌椅》标准要求。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16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双层长柜（小班）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66750" cy="561975"/>
                  <wp:effectExtent l="0" t="0" r="0" b="9525"/>
                  <wp:docPr id="28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3" descr="IMG_268"/>
                          <pic:cNvPicPr>
                            <a:picLocks noChangeAspect="1"/>
                          </pic:cNvPicPr>
                        </pic:nvPicPr>
                        <pic:blipFill>
                          <a:blip r:embed="rId87"/>
                          <a:stretch>
                            <a:fillRect/>
                          </a:stretch>
                        </pic:blipFill>
                        <pic:spPr>
                          <a:xfrm>
                            <a:off x="0" y="0"/>
                            <a:ext cx="666750" cy="56197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836×300×592mm</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24</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建构区</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sz w:val="18"/>
                <w:szCs w:val="18"/>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直角柜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8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4" descr="IMG_269"/>
                          <pic:cNvPicPr>
                            <a:picLocks noChangeAspect="1"/>
                          </pic:cNvPicPr>
                        </pic:nvPicPr>
                        <pic:blipFill>
                          <a:blip r:embed="rId88"/>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600×600×592mm主材：采用18mm厚橡胶木实木板，甲醛释放量符合GB18580-2017《室内装饰装修材料人造板及其制品中甲醛释放限量》标准要求。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六格柜（小班）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66750" cy="533400"/>
                  <wp:effectExtent l="0" t="0" r="0" b="0"/>
                  <wp:docPr id="28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5" descr="IMG_270"/>
                          <pic:cNvPicPr>
                            <a:picLocks noChangeAspect="1"/>
                          </pic:cNvPicPr>
                        </pic:nvPicPr>
                        <pic:blipFill>
                          <a:blip r:embed="rId89"/>
                          <a:stretch>
                            <a:fillRect/>
                          </a:stretch>
                        </pic:blipFill>
                        <pic:spPr>
                          <a:xfrm>
                            <a:off x="0" y="0"/>
                            <a:ext cx="666750"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尺寸：891×300×592mm主材：采用18mm厚橡胶木实木板，甲醛释放量符合GB18580-2017《室内装饰装修材料人造板及其制品中甲醛释放限量》标准要求。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19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五格柜（小班）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8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6" descr="IMG_271"/>
                          <pic:cNvPicPr>
                            <a:picLocks noChangeAspect="1"/>
                          </pic:cNvPicPr>
                        </pic:nvPicPr>
                        <pic:blipFill>
                          <a:blip r:embed="rId90"/>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891×300×592mm主材：采用18mm厚橡胶木实木板，甲醛释放量符合GB18580-2017《室内装饰装修材料人造板及其制品中甲醛释放限量》标准要求。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双层小屋造型柜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8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7" descr="IMG_272"/>
                          <pic:cNvPicPr>
                            <a:picLocks noChangeAspect="1"/>
                          </pic:cNvPicPr>
                        </pic:nvPicPr>
                        <pic:blipFill>
                          <a:blip r:embed="rId91"/>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600×300×940mm主材：采用18mm厚橡胶木实木板，甲醛释放量符合GB18580-2017《室内装饰装修材料人造板及其制品中甲醛释放限量》标准要求。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神秘森林树门</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8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8" descr="IMG_273"/>
                          <pic:cNvPicPr>
                            <a:picLocks noChangeAspect="1"/>
                          </pic:cNvPicPr>
                        </pic:nvPicPr>
                        <pic:blipFill>
                          <a:blip r:embed="rId92"/>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1160×1600×42mm主材：树干采用18mm厚橡胶木实木板，甲醛释放量符合GB18580-2017《室内装饰装修材料人造板及其制品中甲醛释放限量》标准要求。树冠采用12mm厚橡胶木饰面多层胶合板，含水率符合GB/T9846-2015《普通胶合板》标准要求，甲醛释放量符合GB18580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娃娃家</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sz w:val="18"/>
                <w:szCs w:val="18"/>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22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娃娃扮演家具柜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9" descr="IMG_274"/>
                          <pic:cNvPicPr>
                            <a:picLocks noChangeAspect="1"/>
                          </pic:cNvPicPr>
                        </pic:nvPicPr>
                        <pic:blipFill>
                          <a:blip r:embed="rId93"/>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400×250×463mm主材：采用18mm厚橡胶木实木板，甲醛释放量符合GB18580-2017《室内装饰装修材料人造板及其制品中甲醛释放限量》标准要求。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23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玄关柜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9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0" descr="IMG_275"/>
                          <pic:cNvPicPr>
                            <a:picLocks noChangeAspect="1"/>
                          </pic:cNvPicPr>
                        </pic:nvPicPr>
                        <pic:blipFill>
                          <a:blip r:embed="rId94"/>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400×300×1080mm主材：采用18mm厚橡胶木实木板，甲醛释放量符合GB18580-2017《室内装饰装修材料人造板及其制品中甲醛释放限量》标准要求。镜子采用亚克力镜面板。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塑料件：塑料耐老化性符合QB/T4071-2010《课桌椅》标准要求。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24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娃娃床</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1" descr="IMG_276"/>
                          <pic:cNvPicPr>
                            <a:picLocks noChangeAspect="1"/>
                          </pic:cNvPicPr>
                        </pic:nvPicPr>
                        <pic:blipFill>
                          <a:blip r:embed="rId95"/>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560×330×410mm主材：采用18mm厚橡胶木实木板，甲醛释放量符合GB18580-2017《室内装饰装修材料人造板及其制品中甲醛释放限量》标准要求。立柱采用35×35mm厚橡胶木实木料。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25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娃娃扮演家具椅</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2" descr="IMG_277"/>
                          <pic:cNvPicPr>
                            <a:picLocks noChangeAspect="1"/>
                          </pic:cNvPicPr>
                        </pic:nvPicPr>
                        <pic:blipFill>
                          <a:blip r:embed="rId96"/>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230×230×220mm主材：采用18mm厚橡胶木实木板，甲醛释放量符合GB18580-2017《室内装饰装修材料人造板及其制品中甲醛释放限量》标准要求。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26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3" descr="IMG_278"/>
                          <pic:cNvPicPr>
                            <a:picLocks noChangeAspect="1"/>
                          </pic:cNvPicPr>
                        </pic:nvPicPr>
                        <pic:blipFill>
                          <a:blip r:embed="rId97"/>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27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娃娃扮演家具桌</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4" descr="IMG_279"/>
                          <pic:cNvPicPr>
                            <a:picLocks noChangeAspect="1"/>
                          </pic:cNvPicPr>
                        </pic:nvPicPr>
                        <pic:blipFill>
                          <a:blip r:embed="rId98"/>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440×440×420mm主材：采用18mm厚橡胶木实木板，甲醛释放量符合GB18580-2017《室内装饰装修材料人造板及其制品中甲醛释放限量》标准要求。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绘本区</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sz w:val="18"/>
                <w:szCs w:val="18"/>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28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双面多层书柜（装饰）</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9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5" descr="IMG_280"/>
                          <pic:cNvPicPr>
                            <a:picLocks noChangeAspect="1"/>
                          </pic:cNvPicPr>
                        </pic:nvPicPr>
                        <pic:blipFill>
                          <a:blip r:embed="rId99"/>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29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双层书柜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6" descr="IMG_281"/>
                          <pic:cNvPicPr>
                            <a:picLocks noChangeAspect="1"/>
                          </pic:cNvPicPr>
                        </pic:nvPicPr>
                        <pic:blipFill>
                          <a:blip r:embed="rId100"/>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891×300×778mm主材：采用18mm厚橡胶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30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小书屋（含坐垫）</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29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7" descr="IMG_282"/>
                          <pic:cNvPicPr>
                            <a:picLocks noChangeAspect="1"/>
                          </pic:cNvPicPr>
                        </pic:nvPicPr>
                        <pic:blipFill>
                          <a:blip r:embed="rId101"/>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1200×480×1520mm主材：采用18mm厚橡胶木实木板，甲醛释放量符合GB18580-2017《室内装饰装修材料人造板及其制品中甲醛释放限量》标准要求。垫子采用优质耐磨PU皮。</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31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可坐式方柜（含坐垫）</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29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8" descr="IMG_283"/>
                          <pic:cNvPicPr>
                            <a:picLocks noChangeAspect="1"/>
                          </pic:cNvPicPr>
                        </pic:nvPicPr>
                        <pic:blipFill>
                          <a:blip r:embed="rId102"/>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600×300×254mm主材：采用18mm厚橡胶木实木板，甲醛释放量符合GB18580-2017《室内装饰装修材料人造板及其制品中甲醛释放限量》标准要求。垫子采用优质耐磨PU皮，高密度海绵。</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32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小书柜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0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9" descr="IMG_284"/>
                          <pic:cNvPicPr>
                            <a:picLocks noChangeAspect="1"/>
                          </pic:cNvPicPr>
                        </pic:nvPicPr>
                        <pic:blipFill>
                          <a:blip r:embed="rId103"/>
                          <a:stretch>
                            <a:fillRect/>
                          </a:stretch>
                        </pic:blipFill>
                        <pic:spPr>
                          <a:xfrm>
                            <a:off x="0" y="0"/>
                            <a:ext cx="676275" cy="78105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309×300×490mm主材：采用18mm厚橡胶木实木板，甲醛释放量符合GB18580-2017《室内装饰装修材料人造板及其制品中甲醛释放限量》标准要求。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33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双人沙发</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(含垫子）</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42925"/>
                  <wp:effectExtent l="0" t="0" r="9525" b="9525"/>
                  <wp:docPr id="30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 descr="IMG_285"/>
                          <pic:cNvPicPr>
                            <a:picLocks noChangeAspect="1"/>
                          </pic:cNvPicPr>
                        </pic:nvPicPr>
                        <pic:blipFill>
                          <a:blip r:embed="rId104"/>
                          <a:stretch>
                            <a:fillRect/>
                          </a:stretch>
                        </pic:blipFill>
                        <pic:spPr>
                          <a:xfrm>
                            <a:off x="0" y="0"/>
                            <a:ext cx="676275" cy="5429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800×350×380mm主材：层板，面板采用18mm厚三聚氰胺饰面实木板，边板采用25mm厚三聚氰胺饰面实木板，含水率符合GB/T9846-2015《普通胶合板》标准要求，甲醛释放量符合GB18580标准要求。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塑料件：塑料耐老化性符合QB/T4071-2010《课桌椅》标准要求。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单人沙发</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(含垫子）</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0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1" descr="IMG_286"/>
                          <pic:cNvPicPr>
                            <a:picLocks noChangeAspect="1"/>
                          </pic:cNvPicPr>
                        </pic:nvPicPr>
                        <pic:blipFill>
                          <a:blip r:embed="rId105"/>
                          <a:stretch>
                            <a:fillRect/>
                          </a:stretch>
                        </pic:blipFill>
                        <pic:spPr>
                          <a:xfrm>
                            <a:off x="0" y="0"/>
                            <a:ext cx="676275" cy="52387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500×380×350mm主材：层板，面板采用18mm厚三聚氰胺饰面实木板，边板采用25mm厚三聚氰胺饰面实木板，含水率符合GB/T9846-2015《普通胶合板》标准要求，甲醛释放量符合GB18580标准要求。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塑料件：塑料耐老化性符合QB/T4071-2010《课桌椅》标准要求。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0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2" descr="IMG_287"/>
                          <pic:cNvPicPr>
                            <a:picLocks noChangeAspect="1"/>
                          </pic:cNvPicPr>
                        </pic:nvPicPr>
                        <pic:blipFill>
                          <a:blip r:embed="rId76"/>
                          <a:stretch>
                            <a:fillRect/>
                          </a:stretch>
                        </pic:blipFill>
                        <pic:spPr>
                          <a:xfrm>
                            <a:off x="0" y="0"/>
                            <a:ext cx="676275"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尺寸：600×600×500mm</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特有：桌面板边缘斜切后修大圆角,无框架连接档以增加桌面下活动空间。</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美术区</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微软雅黑" w:hAnsi="微软雅黑" w:eastAsia="微软雅黑" w:cs="微软雅黑"/>
                <w:i w:val="0"/>
                <w:iCs w:val="0"/>
                <w:color w:val="000000"/>
                <w:sz w:val="18"/>
                <w:szCs w:val="18"/>
                <w:u w:val="none"/>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36</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教具盒柜（小）</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（含教具盒 ）</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0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3" descr="IMG_288"/>
                          <pic:cNvPicPr>
                            <a:picLocks noChangeAspect="1"/>
                          </pic:cNvPicPr>
                        </pic:nvPicPr>
                        <pic:blipFill>
                          <a:blip r:embed="rId106"/>
                          <a:stretch>
                            <a:fillRect/>
                          </a:stretch>
                        </pic:blipFill>
                        <pic:spPr>
                          <a:xfrm>
                            <a:off x="0" y="0"/>
                            <a:ext cx="676275" cy="533400"/>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尺寸：800×300×592mm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玩具盒：重金属，邻苯二甲酸酯，多环芳烃，多溴联苯，多溴二苯醚符合GB28481-2012《塑料家具中有害物质限量》标准要求。塑料件外观，其他外观，塑料件冷热循环，硬度符合GB/T32487-2016《塑料家具通用技术条件》标准要求。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其他：教具盒尺寸小盒260×230×100mm，大盒260×230×180mm，材质聚丙烯。盒子前方自带标签卡槽，并附透明标签挡牌。盒子滑轨采用盒子上端放入式设计，此举即可快速放入取出盒子，又可保证盒子不会在水平方向上滑出柜体。</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37</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05"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4" descr="IMG_289"/>
                          <pic:cNvPicPr>
                            <a:picLocks noChangeAspect="1"/>
                          </pic:cNvPicPr>
                        </pic:nvPicPr>
                        <pic:blipFill>
                          <a:blip r:embed="rId97"/>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38</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活动美术柜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0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5" descr="IMG_290"/>
                          <pic:cNvPicPr>
                            <a:picLocks noChangeAspect="1"/>
                          </pic:cNvPicPr>
                        </pic:nvPicPr>
                        <pic:blipFill>
                          <a:blip r:embed="rId107"/>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1036×336×635mm主材：采用18mm厚橡胶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轮：抗盐雾符合GB28007-2011《儿童家具通用技术条件》标准要求。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39 </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直角柜</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0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6" descr="IMG_291"/>
                          <pic:cNvPicPr>
                            <a:picLocks noChangeAspect="1"/>
                          </pic:cNvPicPr>
                        </pic:nvPicPr>
                        <pic:blipFill>
                          <a:blip r:embed="rId88"/>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600×600×592mm主材：采用18mm厚橡胶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40</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铭牌门</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0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7" descr="IMG_292"/>
                          <pic:cNvPicPr>
                            <a:picLocks noChangeAspect="1"/>
                          </pic:cNvPicPr>
                        </pic:nvPicPr>
                        <pic:blipFill>
                          <a:blip r:embed="rId108"/>
                          <a:stretch>
                            <a:fillRect/>
                          </a:stretch>
                        </pic:blipFill>
                        <pic:spPr>
                          <a:xfrm>
                            <a:off x="0" y="0"/>
                            <a:ext cx="676275" cy="77152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800×40×1425mm主材：立柱采用40×40mm厚橡胶木实心料，造型板采用18mm厚橡胶木饰面多层胶合板，含水率符合GB/T9846-2015《普通胶合板》标准要求，甲醛释放量符合GB18580标准要求。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41</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六格柜（小班）</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66750" cy="523875"/>
                  <wp:effectExtent l="0" t="0" r="0" b="9525"/>
                  <wp:docPr id="30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8" descr="IMG_293"/>
                          <pic:cNvPicPr>
                            <a:picLocks noChangeAspect="1"/>
                          </pic:cNvPicPr>
                        </pic:nvPicPr>
                        <pic:blipFill>
                          <a:blip r:embed="rId109"/>
                          <a:stretch>
                            <a:fillRect/>
                          </a:stretch>
                        </pic:blipFill>
                        <pic:spPr>
                          <a:xfrm>
                            <a:off x="0" y="0"/>
                            <a:ext cx="666750" cy="523875"/>
                          </a:xfrm>
                          <a:prstGeom prst="rect">
                            <a:avLst/>
                          </a:prstGeom>
                          <a:noFill/>
                          <a:ln w="9525">
                            <a:noFill/>
                          </a:ln>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尺寸：891×300×592mm主材：采用18mm厚橡胶木实木板，甲醛释放量符合GB18580-2017《室内装饰装修材料人造板及其制品中甲醛释放限量》标准要求。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jc w:val="center"/>
        </w:trPr>
        <w:tc>
          <w:tcPr>
            <w:tcW w:w="3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42</w:t>
            </w:r>
          </w:p>
        </w:tc>
        <w:tc>
          <w:tcPr>
            <w:tcW w:w="5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美术纸筒柜</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sz w:val="18"/>
                <w:szCs w:val="18"/>
                <w:u w:val="none"/>
                <w:lang w:eastAsia="zh-CN"/>
              </w:rPr>
              <w:drawing>
                <wp:inline distT="0" distB="0" distL="114300" distR="114300">
                  <wp:extent cx="552450" cy="714375"/>
                  <wp:effectExtent l="0" t="0" r="0" b="9525"/>
                  <wp:docPr id="310" name="图片 3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图片1"/>
                          <pic:cNvPicPr>
                            <a:picLocks noChangeAspect="1"/>
                          </pic:cNvPicPr>
                        </pic:nvPicPr>
                        <pic:blipFill>
                          <a:blip r:embed="rId110"/>
                          <a:stretch>
                            <a:fillRect/>
                          </a:stretch>
                        </pic:blipFill>
                        <pic:spPr>
                          <a:xfrm>
                            <a:off x="0" y="0"/>
                            <a:ext cx="552450" cy="714375"/>
                          </a:xfrm>
                          <a:prstGeom prst="rect">
                            <a:avLst/>
                          </a:prstGeom>
                        </pic:spPr>
                      </pic:pic>
                    </a:graphicData>
                  </a:graphic>
                </wp:inline>
              </w:drawing>
            </w:r>
          </w:p>
        </w:tc>
        <w:tc>
          <w:tcPr>
            <w:tcW w:w="2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400× 400× 580mm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1.板材：采用健康环保12mm实木板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3.五金：采用优质环保五金，安全无毒，表面特定元素的迁移符合标准要求，锑、砷、钡、镉、铬、铅、汞、硒等八大重金属含量符合GB6675.4-2014标准要求。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4.脚轮：采用TPR静音万向轮，方便移动，脚轮外观要求符合QB/T4765-2014标准要求。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产品：底板离地高度：53mm；上下格内空尺寸：115*115*390mm.外表面和内表面等儿童手指可触及的隐蔽处，均不得有锋利的锐角、毛刺，五金部件不得露出锐利尖端，产品外角均倒圆处理，以保证儿童的安全，成品表面涂层耐刮、耐热、耐冲击，结构安全稳固。</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6.其它：9格收纳格设计，方便美术成品的统一收纳。</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r>
    </w:tbl>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r>
        <w:rPr>
          <w:rFonts w:hint="eastAsia"/>
          <w:b/>
          <w:bCs/>
          <w:sz w:val="32"/>
          <w:szCs w:val="32"/>
        </w:rPr>
        <w:t>中班教室常规配置</w:t>
      </w:r>
    </w:p>
    <w:tbl>
      <w:tblPr>
        <w:tblStyle w:val="62"/>
        <w:tblW w:w="577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005"/>
        <w:gridCol w:w="1425"/>
        <w:gridCol w:w="4380"/>
        <w:gridCol w:w="735"/>
        <w:gridCol w:w="765"/>
        <w:gridCol w:w="7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5000" w:type="pct"/>
            <w:gridSpan w:val="7"/>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幼儿园（中班6个班）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5000" w:type="pct"/>
            <w:gridSpan w:val="7"/>
            <w:tcBorders>
              <w:top w:val="single" w:color="000000" w:sz="4" w:space="0"/>
              <w:left w:val="single" w:color="000000" w:sz="4" w:space="0"/>
              <w:bottom w:val="nil"/>
              <w:right w:val="nil"/>
            </w:tcBorders>
            <w:shd w:val="clear" w:color="auto" w:fill="auto"/>
            <w:noWrap/>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中班按30人配置，6个班，效果图仅供参考，具体以提供的产品清单为准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产品名称</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产品图片</w:t>
            </w: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材质参数</w:t>
            </w: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sz w:val="18"/>
                <w:szCs w:val="18"/>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6"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椅子(中班）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14350"/>
                  <wp:effectExtent l="0" t="0" r="9525" b="0"/>
                  <wp:docPr id="31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40" descr="IMG_295"/>
                          <pic:cNvPicPr>
                            <a:picLocks noChangeAspect="1"/>
                          </pic:cNvPicPr>
                        </pic:nvPicPr>
                        <pic:blipFill>
                          <a:blip r:embed="rId111"/>
                          <a:stretch>
                            <a:fillRect/>
                          </a:stretch>
                        </pic:blipFill>
                        <pic:spPr>
                          <a:xfrm>
                            <a:off x="0" y="0"/>
                            <a:ext cx="676275" cy="5143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尺寸：280×290×490mm，坐高270mm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主材：椅子主构架采用22mm厚橡胶木实心料，坐板采用18mm厚橡胶木实木板，靠板采用16mm厚橡胶木曲形实木板，甲醛释放量符合GB18580-2017《室内装饰装修材料人造板及其制品中甲醛释放限量》标准要求。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特有：靠背呈弧形凹陷设计，贴合幼儿身体曲线，符合人体工程，前腿连接处采用45°斜头拼接，后腿特征呈弧形，美观牢固。</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圆腿长方桌(中班）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14350"/>
                  <wp:effectExtent l="0" t="0" r="9525" b="0"/>
                  <wp:docPr id="31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1" descr="IMG_296"/>
                          <pic:cNvPicPr>
                            <a:picLocks noChangeAspect="1"/>
                          </pic:cNvPicPr>
                        </pic:nvPicPr>
                        <pic:blipFill>
                          <a:blip r:embed="rId112"/>
                          <a:stretch>
                            <a:fillRect/>
                          </a:stretch>
                        </pic:blipFill>
                        <pic:spPr>
                          <a:xfrm>
                            <a:off x="0" y="0"/>
                            <a:ext cx="676275" cy="5143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尺寸：1200×600×550mm </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特有：桌面板边缘斜切后修大圆角,无框架连接档以增加桌面下活动空间。</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1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42" descr="IMG_297"/>
                          <pic:cNvPicPr>
                            <a:picLocks noChangeAspect="1"/>
                          </pic:cNvPicPr>
                        </pic:nvPicPr>
                        <pic:blipFill>
                          <a:blip r:embed="rId113"/>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尺寸：600×600×550mm </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特有：桌面板边缘斜切后修大圆角,无框架连接档以增加桌面下活动空间。</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12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6"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椅子(教师椅）</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1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43" descr="IMG_298"/>
                          <pic:cNvPicPr>
                            <a:picLocks noChangeAspect="1"/>
                          </pic:cNvPicPr>
                        </pic:nvPicPr>
                        <pic:blipFill>
                          <a:blip r:embed="rId114"/>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350*350*750mm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材质：橡胶木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坐背板:16mm指接板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椅架：全榫头工艺制作，22×50mm实心脚</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油漆：水性漆。</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多功能黑板</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1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44" descr="IMG_299"/>
                          <pic:cNvPicPr>
                            <a:picLocks noChangeAspect="1"/>
                          </pic:cNvPicPr>
                        </pic:nvPicPr>
                        <pic:blipFill>
                          <a:blip r:embed="rId115"/>
                          <a:stretch>
                            <a:fillRect/>
                          </a:stretch>
                        </pic:blipFill>
                        <pic:spPr>
                          <a:xfrm>
                            <a:off x="0" y="0"/>
                            <a:ext cx="676275" cy="52387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尺寸：1036×410×1200mm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主材：采用18mm厚橡胶木实木板，甲醛释放量符合GB18580-2017《室内装饰装修材料人造板及其制品中甲醛释放限量》标准要求。美术板采用磁性铁质画板和软木。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脚轮：抗盐雾符合GB28007-2011《儿童家具通用技术条件》标准要求。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四层抽拉床</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1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5" descr="IMG_300"/>
                          <pic:cNvPicPr>
                            <a:picLocks noChangeAspect="1"/>
                          </pic:cNvPicPr>
                        </pic:nvPicPr>
                        <pic:blipFill>
                          <a:blip r:embed="rId116"/>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尺寸：四层：1500×600×1000mm 三层：1414×600×780mm 二层：1328×600×560mm 一层：1242×600×340mm （可置入床垫尺寸：四层：1444×550mm 三层：1358×550mm 二层：1272×550mm 一层：1186×550mm）主材：床架采用70×28mm厚松木实木料，围栏采用45×28mm厚松木实木料，床板采用12mm厚松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脚轮：抗盐雾符合GB28007-2011《儿童家具通用技术条件》标准要求。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6"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组合竖柜</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1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46" descr="IMG_301"/>
                          <pic:cNvPicPr>
                            <a:picLocks noChangeAspect="1"/>
                          </pic:cNvPicPr>
                        </pic:nvPicPr>
                        <pic:blipFill>
                          <a:blip r:embed="rId117"/>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927×300×778mm主材：采用18mm厚橡胶木实木板，甲醛释放量符合GB18580-2017《室内装饰装修材料人造板及其制品中甲醛释放限量》标准要求。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独立毛巾架</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1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47" descr="IMG_302"/>
                          <pic:cNvPicPr>
                            <a:picLocks noChangeAspect="1"/>
                          </pic:cNvPicPr>
                        </pic:nvPicPr>
                        <pic:blipFill>
                          <a:blip r:embed="rId118"/>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尺寸：1100×370×1000mm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主材：采用25mm厚橡胶木实木料。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高低花架</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1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48" descr="IMG_303"/>
                          <pic:cNvPicPr>
                            <a:picLocks noChangeAspect="1"/>
                          </pic:cNvPicPr>
                        </pic:nvPicPr>
                        <pic:blipFill>
                          <a:blip r:embed="rId119"/>
                          <a:stretch>
                            <a:fillRect/>
                          </a:stretch>
                        </pic:blipFill>
                        <pic:spPr>
                          <a:xfrm>
                            <a:off x="0" y="0"/>
                            <a:ext cx="676275" cy="53340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尺寸：900×300×900mm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主材：支架采用40×28mm厚松木实木料，隔板采用12mm厚松木实木板，甲醛释放量符合GB18580-2017《室内装饰装修材料人造板及其制品中甲醛释放限量》标准要求。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两层花架</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2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9" descr="IMG_304"/>
                          <pic:cNvPicPr>
                            <a:picLocks noChangeAspect="1"/>
                          </pic:cNvPicPr>
                        </pic:nvPicPr>
                        <pic:blipFill>
                          <a:blip r:embed="rId120"/>
                          <a:stretch>
                            <a:fillRect/>
                          </a:stretch>
                        </pic:blipFill>
                        <pic:spPr>
                          <a:xfrm>
                            <a:off x="0" y="0"/>
                            <a:ext cx="676275" cy="53340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尺寸：800×350×600mm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主材：支架采用40×28mm厚松木实木料，隔板采用12mm厚松木实木板，甲醛释放量符合GB18580-2017《室内装饰装修材料人造板及其制品中甲醛释放限量》标准要求。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建构区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三层竖柜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2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0" descr="IMG_305"/>
                          <pic:cNvPicPr>
                            <a:picLocks noChangeAspect="1"/>
                          </pic:cNvPicPr>
                        </pic:nvPicPr>
                        <pic:blipFill>
                          <a:blip r:embed="rId121"/>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309×300×778mm主材：采用18mm厚橡胶木实木板，甲醛释放量符合GB18580-2017《室内装饰装修材料人造板及其制品中甲醛释放限量》标准要求。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双层竖柜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2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51" descr="IMG_306"/>
                          <pic:cNvPicPr>
                            <a:picLocks noChangeAspect="1"/>
                          </pic:cNvPicPr>
                        </pic:nvPicPr>
                        <pic:blipFill>
                          <a:blip r:embed="rId122"/>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309×300×548mm主材：采用18mm厚橡胶木实木板，甲醛释放量符合GB18580-2017《室内装饰装修材料人造板及其制品中甲醛释放限量》标准要求。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13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2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52" descr="IMG_307"/>
                          <pic:cNvPicPr>
                            <a:picLocks noChangeAspect="1"/>
                          </pic:cNvPicPr>
                        </pic:nvPicPr>
                        <pic:blipFill>
                          <a:blip r:embed="rId123"/>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836×300×685mm主材：采用18mm厚橡胶木实木板，甲醛释放量符合GB18580-2017《室内装饰装修材料人造板及其制品中甲醛释放限量》标准要求。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default" w:ascii="Arial" w:hAnsi="Arial" w:eastAsia="宋体" w:cs="Arial"/>
                <w:i w:val="0"/>
                <w:iCs w:val="0"/>
                <w:color w:val="000000"/>
                <w:sz w:val="18"/>
                <w:szCs w:val="18"/>
                <w:u w:val="none"/>
              </w:rPr>
            </w:pPr>
            <w:r>
              <w:rPr>
                <w:rFonts w:hint="eastAsia" w:ascii="Arial" w:hAnsi="Arial" w:eastAsia="宋体" w:cs="Arial"/>
                <w:i w:val="0"/>
                <w:iCs w:val="0"/>
                <w:color w:val="000000"/>
                <w:kern w:val="0"/>
                <w:sz w:val="18"/>
                <w:szCs w:val="18"/>
                <w:u w:val="none"/>
                <w:lang w:val="en-US" w:eastAsia="zh-CN" w:bidi="ar"/>
              </w:rPr>
              <w:t>14</w:t>
            </w:r>
            <w:r>
              <w:rPr>
                <w:rFonts w:hint="default" w:ascii="Arial" w:hAnsi="Arial" w:eastAsia="宋体" w:cs="Arial"/>
                <w:i w:val="0"/>
                <w:iCs w:val="0"/>
                <w:color w:val="000000"/>
                <w:kern w:val="0"/>
                <w:sz w:val="18"/>
                <w:szCs w:val="18"/>
                <w:u w:val="none"/>
                <w:lang w:val="en-US" w:eastAsia="zh-CN" w:bidi="ar"/>
              </w:rPr>
              <w:t xml:space="preserve">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2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53" descr="IMG_308"/>
                          <pic:cNvPicPr>
                            <a:picLocks noChangeAspect="1"/>
                          </pic:cNvPicPr>
                        </pic:nvPicPr>
                        <pic:blipFill>
                          <a:blip r:embed="rId124"/>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848×300×685mm主材：采用18mm厚橡胶木实木板，甲醛释放量符合GB18580-2017《室内装饰装修材料人造板及其制品中甲醛释放限量》标准要求。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绘本区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8"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可坐式方柜（含坐垫）</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2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54" descr="IMG_309"/>
                          <pic:cNvPicPr>
                            <a:picLocks noChangeAspect="1"/>
                          </pic:cNvPicPr>
                        </pic:nvPicPr>
                        <pic:blipFill>
                          <a:blip r:embed="rId102"/>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600×300×254mm主材：采用18mm厚橡胶木实木板，甲醛释放量符合GB18580-2017《室内装饰装修材料人造板及其制品中甲醛释放限量》标准要求。垫子采用优质耐磨PU皮，高密度海绵。</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16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双人小沙发(含坐垫）</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476250"/>
                  <wp:effectExtent l="0" t="0" r="9525" b="0"/>
                  <wp:docPr id="32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55" descr="IMG_310"/>
                          <pic:cNvPicPr>
                            <a:picLocks noChangeAspect="1"/>
                          </pic:cNvPicPr>
                        </pic:nvPicPr>
                        <pic:blipFill>
                          <a:blip r:embed="rId125"/>
                          <a:stretch>
                            <a:fillRect/>
                          </a:stretch>
                        </pic:blipFill>
                        <pic:spPr>
                          <a:xfrm>
                            <a:off x="0" y="0"/>
                            <a:ext cx="676275" cy="4762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836×380×500mm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主材：采用18mm厚三聚氰胺饰面多层胶合板，含水率符合GB/T9846-2015《普通胶合板》标准要求，甲醛释放量符合GB18580标准要求。垫子采用优质耐磨PU皮。</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单人小沙发(含坐垫）</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2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6" descr="IMG_311"/>
                          <pic:cNvPicPr>
                            <a:picLocks noChangeAspect="1"/>
                          </pic:cNvPicPr>
                        </pic:nvPicPr>
                        <pic:blipFill>
                          <a:blip r:embed="rId126"/>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436×380×500mm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主材：采用18mm厚三聚氰胺饰面多层胶合板，含水率符合GB/T9846-2015《普通胶合板》标准要求，甲醛释放量符合GB18580标准要求。垫子采用优质耐磨PU皮。</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双层书柜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2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57" descr="IMG_312"/>
                          <pic:cNvPicPr>
                            <a:picLocks noChangeAspect="1"/>
                          </pic:cNvPicPr>
                        </pic:nvPicPr>
                        <pic:blipFill>
                          <a:blip r:embed="rId100"/>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891×300×778mm主材：采用18mm厚橡胶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双面多层书柜（装饰）</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29"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58" descr="IMG_313"/>
                          <pic:cNvPicPr>
                            <a:picLocks noChangeAspect="1"/>
                          </pic:cNvPicPr>
                        </pic:nvPicPr>
                        <pic:blipFill>
                          <a:blip r:embed="rId127"/>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6"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小书柜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3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59" descr="IMG_314"/>
                          <pic:cNvPicPr>
                            <a:picLocks noChangeAspect="1"/>
                          </pic:cNvPicPr>
                        </pic:nvPicPr>
                        <pic:blipFill>
                          <a:blip r:embed="rId128"/>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309×300×490mm主材：采用18mm厚橡胶木实木板，甲醛释放量符合GB18580-2017《室内装饰装修材料人造板及其制品中甲醛释放限量》标准要求。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21</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3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60" descr="IMG_315"/>
                          <pic:cNvPicPr>
                            <a:picLocks noChangeAspect="1"/>
                          </pic:cNvPicPr>
                        </pic:nvPicPr>
                        <pic:blipFill>
                          <a:blip r:embed="rId113"/>
                          <a:stretch>
                            <a:fillRect/>
                          </a:stretch>
                        </pic:blipFill>
                        <pic:spPr>
                          <a:xfrm>
                            <a:off x="0" y="0"/>
                            <a:ext cx="676275" cy="5048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尺寸：600×600×550mm </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特有：桌面板边缘斜切后修大圆角,无框架连接档以增加桌面下活动空间。</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售卖区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3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61" descr="IMG_316"/>
                          <pic:cNvPicPr>
                            <a:picLocks noChangeAspect="1"/>
                          </pic:cNvPicPr>
                        </pic:nvPicPr>
                        <pic:blipFill>
                          <a:blip r:embed="rId124"/>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848×300×685mm主材：采用18mm厚橡胶木实木板，甲醛释放量符合GB18580-2017《室内装饰装修材料人造板及其制品中甲醛释放限量》标准要求。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0"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23</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小橱柜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3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62" descr="IMG_317"/>
                          <pic:cNvPicPr>
                            <a:picLocks noChangeAspect="1"/>
                          </pic:cNvPicPr>
                        </pic:nvPicPr>
                        <pic:blipFill>
                          <a:blip r:embed="rId129"/>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836×300×610mm主材：采用18mm厚橡胶木实木板，甲醛释放量符合GB18580-2017《室内装饰装修材料人造板及其制品中甲醛释放限量》标准要求。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中纤板：含水率，甲醛释放量符合GB/T11718-2009《中密度纤维板》标准要求。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24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多格窄柜（中班）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34"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63" descr="IMG_318"/>
                          <pic:cNvPicPr>
                            <a:picLocks noChangeAspect="1"/>
                          </pic:cNvPicPr>
                        </pic:nvPicPr>
                        <pic:blipFill>
                          <a:blip r:embed="rId130"/>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600×300×685mm主材：采用18mm厚橡胶木实木板，甲醛释放量符合GB18580-2017《室内装饰装修材料人造板及其制品中甲醛释放限量》标准要求。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25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超市柜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35"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64" descr="IMG_319"/>
                          <pic:cNvPicPr>
                            <a:picLocks noChangeAspect="1"/>
                          </pic:cNvPicPr>
                        </pic:nvPicPr>
                        <pic:blipFill>
                          <a:blip r:embed="rId131"/>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836×300×1300mm主材：采用18mm厚橡胶木实木板，甲醛释放量符合GB18580-2017《室内装饰装修材料人造板及其制品中甲醛释放限量》标准要求。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default" w:ascii="Arial" w:hAnsi="Arial" w:eastAsia="宋体" w:cs="Arial"/>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美工区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6"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26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教具盒柜</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（含教具盒 ）</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3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65" descr="IMG_320"/>
                          <pic:cNvPicPr>
                            <a:picLocks noChangeAspect="1"/>
                          </pic:cNvPicPr>
                        </pic:nvPicPr>
                        <pic:blipFill>
                          <a:blip r:embed="rId132"/>
                          <a:stretch>
                            <a:fillRect/>
                          </a:stretch>
                        </pic:blipFill>
                        <pic:spPr>
                          <a:xfrm>
                            <a:off x="0" y="0"/>
                            <a:ext cx="676275" cy="53340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尺寸：800×300×845mm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玩具盒：重金属，邻苯二甲酸酯，多环芳烃，多溴联苯，多溴二苯醚符合GB28481-2012《塑料家具中有害物质限量》标准要求。塑料件外观，其他外观，塑料件冷热循环，硬度符合GB/T32487-2016《塑料家具通用技术条件》标准要求。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其他：教具盒尺寸小盒260×230×100mm，大盒260×230×180mm，材质聚丙烯。盒子前方自带标签卡槽，并附透明标签挡牌。盒子滑轨采用盒子上端放入式设计，此举即可快速放入取出盒子，又可保证盒子不会在水平方向上滑出柜体。</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27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45度角扇形柜（中班）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37"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66" descr="IMG_321"/>
                          <pic:cNvPicPr>
                            <a:picLocks noChangeAspect="1"/>
                          </pic:cNvPicPr>
                        </pic:nvPicPr>
                        <pic:blipFill>
                          <a:blip r:embed="rId133"/>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570×300×685mm主材：采用18mm厚橡胶木实木板，甲醛释放量符合GB18580-2017《室内装饰装修材料人造板及其制品中甲醛释放限量》标准要求。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28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活动美术柜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3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67" descr="IMG_322"/>
                          <pic:cNvPicPr>
                            <a:picLocks noChangeAspect="1"/>
                          </pic:cNvPicPr>
                        </pic:nvPicPr>
                        <pic:blipFill>
                          <a:blip r:embed="rId107"/>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尺寸：1036×336×635mm主材：采用18mm厚橡胶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轮：抗盐雾符合GB28007-2011《儿童家具通用技术条件》标准要求。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u w:val="none"/>
                <w:lang w:val="en-US"/>
              </w:rPr>
            </w:pPr>
            <w:r>
              <w:rPr>
                <w:rFonts w:hint="eastAsia" w:ascii="微软雅黑" w:hAnsi="微软雅黑" w:eastAsia="微软雅黑" w:cs="微软雅黑"/>
                <w:i w:val="0"/>
                <w:iCs w:val="0"/>
                <w:color w:val="auto"/>
                <w:kern w:val="0"/>
                <w:sz w:val="18"/>
                <w:szCs w:val="18"/>
                <w:u w:val="none"/>
                <w:lang w:val="en-US" w:eastAsia="zh-CN" w:bidi="ar"/>
              </w:rPr>
              <w:t>29</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3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68" descr="IMG_323"/>
                          <pic:cNvPicPr>
                            <a:picLocks noChangeAspect="1"/>
                          </pic:cNvPicPr>
                        </pic:nvPicPr>
                        <pic:blipFill>
                          <a:blip r:embed="rId123"/>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836×300×685mm主材：采用18mm厚橡胶木实木板，甲醛释放量符合GB18580-2017《室内装饰装修材料人造板及其制品中甲醛释放限量》标准要求。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30</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30</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直角柜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40"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69" descr="IMG_324"/>
                          <pic:cNvPicPr>
                            <a:picLocks noChangeAspect="1"/>
                          </pic:cNvPicPr>
                        </pic:nvPicPr>
                        <pic:blipFill>
                          <a:blip r:embed="rId134"/>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600×600×592mm主材：采用18mm厚橡胶木实木板，甲醛释放量符合GB18580-2017《室内装饰装修材料人造板及其制品中甲醛释放限量》标准要求。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31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造型区域门</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41"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70" descr="IMG_325"/>
                          <pic:cNvPicPr>
                            <a:picLocks noChangeAspect="1"/>
                          </pic:cNvPicPr>
                        </pic:nvPicPr>
                        <pic:blipFill>
                          <a:blip r:embed="rId135"/>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324×1420mm主材：框架采用48×22mm橡胶木实木料，边板采用18mm厚橡胶木实木板,甲醛释放量符合GB18580-2017《室内装饰装修材料人造板及其制品中甲醛释放限量》标准要求。造型板采用12mm厚橡胶木饰面多层胶合板，含水率符合GB/T9846-2015《普通胶合板》标准要求，甲醛释放量符合GB18580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美术纸筒柜</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微软雅黑" w:hAnsi="微软雅黑" w:eastAsia="微软雅黑" w:cs="微软雅黑"/>
                <w:i w:val="0"/>
                <w:iCs w:val="0"/>
                <w:color w:val="000000"/>
                <w:sz w:val="18"/>
                <w:szCs w:val="18"/>
                <w:u w:val="none"/>
                <w:lang w:eastAsia="zh-CN"/>
              </w:rPr>
              <w:drawing>
                <wp:inline distT="0" distB="0" distL="114300" distR="114300">
                  <wp:extent cx="552450" cy="714375"/>
                  <wp:effectExtent l="0" t="0" r="0" b="9525"/>
                  <wp:docPr id="342" name="图片 3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图片1"/>
                          <pic:cNvPicPr>
                            <a:picLocks noChangeAspect="1"/>
                          </pic:cNvPicPr>
                        </pic:nvPicPr>
                        <pic:blipFill>
                          <a:blip r:embed="rId110"/>
                          <a:stretch>
                            <a:fillRect/>
                          </a:stretch>
                        </pic:blipFill>
                        <pic:spPr>
                          <a:xfrm>
                            <a:off x="0" y="0"/>
                            <a:ext cx="552450" cy="714375"/>
                          </a:xfrm>
                          <a:prstGeom prst="rect">
                            <a:avLst/>
                          </a:prstGeom>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  400× 400× 580mm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1.板材：采用健康环保12mm实木板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3.五金：采用优质环保五金，安全无毒，表面特定元素的迁移符合标准要求，锑、砷、钡、镉、铬、铅、汞、硒等八大重金属含量符合GB6675.4-2014标准要求。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4.脚轮：采用TPR静音万向轮，方便移动，脚轮外观要求符合QB/T4765-2014标准要求。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5.产品：底板离地高度：53mm；  上下格内空尺寸：115*115*390mm.外表面和内表面等儿童手指可触及的隐蔽处，均不得有锋利的锐角、毛刺，五金部件不得露出锐利尖端，产品外角均倒圆处理，以保证儿童的安全，成品表面涂层耐刮、耐热、耐冲击，结构安全稳固。</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6.其它：9格收纳格设计，方便美术成品的统一收纳。</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益智区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33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43"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72" descr="IMG_327"/>
                          <pic:cNvPicPr>
                            <a:picLocks noChangeAspect="1"/>
                          </pic:cNvPicPr>
                        </pic:nvPicPr>
                        <pic:blipFill>
                          <a:blip r:embed="rId124"/>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848×300×685mm主材：采用18mm厚橡胶木实木板，甲醛释放量符合GB18580-2017《室内装饰装修材料人造板及其制品中甲醛释放限量》标准要求。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FF0000"/>
                <w:sz w:val="18"/>
                <w:szCs w:val="18"/>
                <w:u w:val="none"/>
                <w:lang w:val="en-US"/>
              </w:rPr>
            </w:pPr>
            <w:r>
              <w:rPr>
                <w:rFonts w:hint="eastAsia" w:ascii="微软雅黑" w:hAnsi="微软雅黑" w:eastAsia="微软雅黑" w:cs="微软雅黑"/>
                <w:i w:val="0"/>
                <w:iCs w:val="0"/>
                <w:color w:val="000000" w:themeColor="text1"/>
                <w:kern w:val="0"/>
                <w:sz w:val="18"/>
                <w:szCs w:val="18"/>
                <w:u w:val="none"/>
                <w:lang w:val="en-US" w:eastAsia="zh-CN" w:bidi="ar"/>
                <w14:textFill>
                  <w14:solidFill>
                    <w14:schemeClr w14:val="tx1"/>
                  </w14:solidFill>
                </w14:textFill>
              </w:rPr>
              <w:t>34</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直角柜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44"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73" descr="IMG_328"/>
                          <pic:cNvPicPr>
                            <a:picLocks noChangeAspect="1"/>
                          </pic:cNvPicPr>
                        </pic:nvPicPr>
                        <pic:blipFill>
                          <a:blip r:embed="rId134"/>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600×600×592mm主材：采用18mm厚橡胶木实木板，甲醛释放量符合GB18580-2017《室内装饰装修材料人造板及其制品中甲醛释放限量》标准要求。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35</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三层长柜（中班）</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45"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74" descr="IMG_329"/>
                          <pic:cNvPicPr>
                            <a:picLocks noChangeAspect="1"/>
                          </pic:cNvPicPr>
                        </pic:nvPicPr>
                        <pic:blipFill>
                          <a:blip r:embed="rId123"/>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836×300×685mm主材：采用18mm厚橡胶木实木板，甲醛释放量符合GB18580-2017《室内装饰装修材料人造板及其制品中甲醛释放限量》标准要求。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18</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36 </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区域门</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46"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75" descr="IMG_330"/>
                          <pic:cNvPicPr>
                            <a:picLocks noChangeAspect="1"/>
                          </pic:cNvPicPr>
                        </pic:nvPicPr>
                        <pic:blipFill>
                          <a:blip r:embed="rId136"/>
                          <a:stretch>
                            <a:fillRect/>
                          </a:stretch>
                        </pic:blipFill>
                        <pic:spPr>
                          <a:xfrm>
                            <a:off x="0" y="0"/>
                            <a:ext cx="676275" cy="781050"/>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324×1540mm主材：框架采用48×22mm橡胶木实木料，边板采用18mm厚橡胶木实木板,甲醛释放量符合GB18580-2017《室内装饰装修材料人造板及其制品中甲醛释放限量》标准要求。造型板采用12mm厚橡胶木饰面多层胶合板，含水率符合GB/T9846-2015《普通胶合板》标准要求，甲醛释放量符合GB18580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2" w:hRule="atLeast"/>
          <w:jc w:val="center"/>
        </w:trPr>
        <w:tc>
          <w:tcPr>
            <w:tcW w:w="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37</w:t>
            </w:r>
          </w:p>
        </w:tc>
        <w:tc>
          <w:tcPr>
            <w:tcW w:w="5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三层小屋造型柜</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47"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76" descr="IMG_331"/>
                          <pic:cNvPicPr>
                            <a:picLocks noChangeAspect="1"/>
                          </pic:cNvPicPr>
                        </pic:nvPicPr>
                        <pic:blipFill>
                          <a:blip r:embed="rId137"/>
                          <a:stretch>
                            <a:fillRect/>
                          </a:stretch>
                        </pic:blipFill>
                        <pic:spPr>
                          <a:xfrm>
                            <a:off x="0" y="0"/>
                            <a:ext cx="676275" cy="771525"/>
                          </a:xfrm>
                          <a:prstGeom prst="rect">
                            <a:avLst/>
                          </a:prstGeom>
                          <a:noFill/>
                          <a:ln w="9525">
                            <a:noFill/>
                          </a:ln>
                        </pic:spPr>
                      </pic:pic>
                    </a:graphicData>
                  </a:graphic>
                </wp:inline>
              </w:drawing>
            </w:r>
          </w:p>
        </w:tc>
        <w:tc>
          <w:tcPr>
            <w:tcW w:w="22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600×300×1170mm主材：采用18mm厚橡胶木实木板，甲醛释放量符合GB18580-2017《室内装饰装修材料人造板及其制品中甲醛释放限量》标准要求。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p>
        </w:tc>
      </w:tr>
    </w:tbl>
    <w:p>
      <w:pPr>
        <w:jc w:val="center"/>
        <w:rPr>
          <w:rFonts w:hint="eastAsia"/>
          <w:b/>
          <w:bCs/>
          <w:sz w:val="32"/>
          <w:szCs w:val="32"/>
        </w:rPr>
      </w:pPr>
    </w:p>
    <w:p>
      <w:pPr>
        <w:jc w:val="center"/>
        <w:rPr>
          <w:rFonts w:hint="eastAsia"/>
          <w:b/>
          <w:bCs/>
          <w:sz w:val="32"/>
          <w:szCs w:val="32"/>
        </w:rPr>
      </w:pPr>
      <w:r>
        <w:rPr>
          <w:rFonts w:hint="eastAsia"/>
          <w:b/>
          <w:bCs/>
          <w:sz w:val="32"/>
          <w:szCs w:val="32"/>
        </w:rPr>
        <w:t>大班教室常规配置</w:t>
      </w:r>
    </w:p>
    <w:tbl>
      <w:tblPr>
        <w:tblStyle w:val="62"/>
        <w:tblW w:w="58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005"/>
        <w:gridCol w:w="1440"/>
        <w:gridCol w:w="4380"/>
        <w:gridCol w:w="690"/>
        <w:gridCol w:w="780"/>
        <w:gridCol w:w="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5000" w:type="pct"/>
            <w:gridSpan w:val="7"/>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幼儿园（大班6个班）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5000" w:type="pct"/>
            <w:gridSpan w:val="7"/>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大班按35人配置，6个班，效果图仅供参考，具体以提供的产品清单为准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50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产品名称</w:t>
            </w:r>
          </w:p>
        </w:tc>
        <w:tc>
          <w:tcPr>
            <w:tcW w:w="72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产品图片</w:t>
            </w:r>
          </w:p>
        </w:tc>
        <w:tc>
          <w:tcPr>
            <w:tcW w:w="220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材质参数</w:t>
            </w:r>
          </w:p>
        </w:tc>
        <w:tc>
          <w:tcPr>
            <w:tcW w:w="34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39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429" w:type="pct"/>
            <w:tcBorders>
              <w:top w:val="nil"/>
              <w:left w:val="nil"/>
              <w:bottom w:val="nil"/>
              <w:right w:val="nil"/>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b/>
                <w:bCs/>
                <w:i w:val="0"/>
                <w:iCs w:val="0"/>
                <w:color w:val="000000"/>
                <w:sz w:val="18"/>
                <w:szCs w:val="18"/>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圆腿长方桌(大班）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485775"/>
                  <wp:effectExtent l="0" t="0" r="9525" b="9525"/>
                  <wp:docPr id="348"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77" descr="IMG_332"/>
                          <pic:cNvPicPr>
                            <a:picLocks noChangeAspect="1"/>
                          </pic:cNvPicPr>
                        </pic:nvPicPr>
                        <pic:blipFill>
                          <a:blip r:embed="rId138"/>
                          <a:stretch>
                            <a:fillRect/>
                          </a:stretch>
                        </pic:blipFill>
                        <pic:spPr>
                          <a:xfrm>
                            <a:off x="0" y="0"/>
                            <a:ext cx="676275" cy="4857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 xml:space="preserve">尺寸：1200×600×600mm </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主材：桌面采用25mm厚橡胶木实木板，甲醛释放量符合GB18580-2017《室内装饰装修材料人造板及其制品中甲醛释放限量》标准要求，桌腿采用φ62mm橡胶木实木料。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特有：桌面板边缘斜切后修大圆角,无框架连接档以增加桌面下活动空间。</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36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49"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78" descr="IMG_333"/>
                          <pic:cNvPicPr>
                            <a:picLocks noChangeAspect="1"/>
                          </pic:cNvPicPr>
                        </pic:nvPicPr>
                        <pic:blipFill>
                          <a:blip r:embed="rId139"/>
                          <a:stretch>
                            <a:fillRect/>
                          </a:stretch>
                        </pic:blipFill>
                        <pic:spPr>
                          <a:xfrm>
                            <a:off x="0" y="0"/>
                            <a:ext cx="676275" cy="5238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 xml:space="preserve">尺寸：600×600×600mm </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主材：桌面采用25mm厚橡胶木实木板，甲醛释放量符合GB18580-2017《室内装饰装修材料人造板及其制品中甲醛释放限量》标准要求，桌腿采用φ62mm橡胶木实木料。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特有：桌面板边缘斜切后修大圆角,无框架连接档以增加桌面下活动空间。</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12</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椅子(大班）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476250"/>
                  <wp:effectExtent l="0" t="0" r="9525" b="0"/>
                  <wp:docPr id="35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79" descr="IMG_334"/>
                          <pic:cNvPicPr>
                            <a:picLocks noChangeAspect="1"/>
                          </pic:cNvPicPr>
                        </pic:nvPicPr>
                        <pic:blipFill>
                          <a:blip r:embed="rId140"/>
                          <a:stretch>
                            <a:fillRect/>
                          </a:stretch>
                        </pic:blipFill>
                        <pic:spPr>
                          <a:xfrm>
                            <a:off x="0" y="0"/>
                            <a:ext cx="676275" cy="4762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尺寸：290×300×530mm，坐高300mm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主材：椅子主构架采用22mm厚橡胶木实心料，坐板采用18mm厚橡胶木实木板，靠板采用16mm厚橡胶木曲形实木板，甲醛释放量符合GB18580-2017《室内装饰装修材料人造板及其制品中甲醛释放限量》标准要求。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特有：靠背呈弧形凹陷设计，贴合幼儿身体曲线，符合人体工程，前腿连接处采用45°斜头拼接，后腿特征呈弧形，美观牢固。</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210</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3"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椅子(教师椅）</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14350"/>
                  <wp:effectExtent l="0" t="0" r="9525" b="0"/>
                  <wp:docPr id="35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80" descr="IMG_335"/>
                          <pic:cNvPicPr>
                            <a:picLocks noChangeAspect="1"/>
                          </pic:cNvPicPr>
                        </pic:nvPicPr>
                        <pic:blipFill>
                          <a:blip r:embed="rId141"/>
                          <a:stretch>
                            <a:fillRect/>
                          </a:stretch>
                        </pic:blipFill>
                        <pic:spPr>
                          <a:xfrm>
                            <a:off x="0" y="0"/>
                            <a:ext cx="676275" cy="5143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350*350*750mm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材质：橡胶木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坐背板:16mm指接板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椅架：全榫头工艺制作，22×50mm实心脚</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工艺：表面光洁，无裂缝，无毛刺，无锐边，连接牢固、安全。边缘抛圆处理，外表面和内表面以及儿童手指可触及的隐蔽处，均不得有锐利的棱角、毛刺以及小五金部件露出的锐利尖锐。</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油漆：水性漆。</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多功能黑板</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52"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81" descr="IMG_336"/>
                          <pic:cNvPicPr>
                            <a:picLocks noChangeAspect="1"/>
                          </pic:cNvPicPr>
                        </pic:nvPicPr>
                        <pic:blipFill>
                          <a:blip r:embed="rId142"/>
                          <a:stretch>
                            <a:fillRect/>
                          </a:stretch>
                        </pic:blipFill>
                        <pic:spPr>
                          <a:xfrm>
                            <a:off x="0" y="0"/>
                            <a:ext cx="676275" cy="5238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尺寸：1036×410×1200mm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主材：采用18mm厚橡胶木实木板，甲醛释放量符合GB18580-2017《室内装饰装修材料人造板及其制品中甲醛释放限量》标准要求。美术板采用磁性铁质画板和软木。</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脚轮：抗盐雾符合GB28007-2011《儿童家具通用技术条件》标准要求。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四层抽拉床</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485775"/>
                  <wp:effectExtent l="0" t="0" r="9525" b="9525"/>
                  <wp:docPr id="353"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82" descr="IMG_337"/>
                          <pic:cNvPicPr>
                            <a:picLocks noChangeAspect="1"/>
                          </pic:cNvPicPr>
                        </pic:nvPicPr>
                        <pic:blipFill>
                          <a:blip r:embed="rId143"/>
                          <a:stretch>
                            <a:fillRect/>
                          </a:stretch>
                        </pic:blipFill>
                        <pic:spPr>
                          <a:xfrm>
                            <a:off x="0" y="0"/>
                            <a:ext cx="676275" cy="4857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尺寸：四层：1500×600×1000mm 三层：1414×600×780mm 二层：1328×600×560mm 一层：1242×600×340mm （可置入床垫尺寸：四层：1444×550mm 三层：1358×550mm 二层：1272×550mm 一层：1186×550mm）主材：床架采用70×28mm厚松木实木料，围栏采用45×28mm厚松木实木料，床板采用12mm厚松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脚轮：抗盐雾符合GB28007-2011《儿童家具通用技术条件》标准要求。工艺：表面光洁，无裂缝，无毛刺，无锐边，连接牢固安全,边缘抛圆处理,安全缝隙和孔洞均符合GB28007-2011儿童家具通用技术条件的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组合竖柜</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54"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83" descr="IMG_338"/>
                          <pic:cNvPicPr>
                            <a:picLocks noChangeAspect="1"/>
                          </pic:cNvPicPr>
                        </pic:nvPicPr>
                        <pic:blipFill>
                          <a:blip r:embed="rId144"/>
                          <a:stretch>
                            <a:fillRect/>
                          </a:stretch>
                        </pic:blipFill>
                        <pic:spPr>
                          <a:xfrm>
                            <a:off x="0" y="0"/>
                            <a:ext cx="676275" cy="5048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927×300×778mm主材：采用18mm厚橡胶木实木板，甲醛释放量符合GB18580-2017《室内装饰装修材料人造板及其制品中甲醛释放限量》标准要求。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8"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独立毛巾架</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04825"/>
                  <wp:effectExtent l="0" t="0" r="9525" b="9525"/>
                  <wp:docPr id="355"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84" descr="IMG_339"/>
                          <pic:cNvPicPr>
                            <a:picLocks noChangeAspect="1"/>
                          </pic:cNvPicPr>
                        </pic:nvPicPr>
                        <pic:blipFill>
                          <a:blip r:embed="rId145"/>
                          <a:stretch>
                            <a:fillRect/>
                          </a:stretch>
                        </pic:blipFill>
                        <pic:spPr>
                          <a:xfrm>
                            <a:off x="0" y="0"/>
                            <a:ext cx="676275" cy="5048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尺寸：1100×370×1000mm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主材：采用25mm厚橡胶木实木料。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工艺：表面光洁，无裂缝，无毛刺，无锐边，连接牢固安全,边缘抛圆处理,安全缝隙和孔洞均符合GB28007-2011儿童家具通用技术条件的要求。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科学区</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9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集市入口</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56"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85" descr="IMG_340"/>
                          <pic:cNvPicPr>
                            <a:picLocks noChangeAspect="1"/>
                          </pic:cNvPicPr>
                        </pic:nvPicPr>
                        <pic:blipFill>
                          <a:blip r:embed="rId146"/>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800×300×1167mm主材：采用18mm厚橡胶木实木板，甲醛释放量符合GB18580-2017《室内装饰装修材料人造板及其制品中甲醛释放限量》标准要求。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57"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86" descr="IMG_341"/>
                          <pic:cNvPicPr>
                            <a:picLocks noChangeAspect="1"/>
                          </pic:cNvPicPr>
                        </pic:nvPicPr>
                        <pic:blipFill>
                          <a:blip r:embed="rId147"/>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11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58"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87" descr="IMG_342"/>
                          <pic:cNvPicPr>
                            <a:picLocks noChangeAspect="1"/>
                          </pic:cNvPicPr>
                        </pic:nvPicPr>
                        <pic:blipFill>
                          <a:blip r:embed="rId148"/>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12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五格分区柜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59"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88" descr="IMG_343"/>
                          <pic:cNvPicPr>
                            <a:picLocks noChangeAspect="1"/>
                          </pic:cNvPicPr>
                        </pic:nvPicPr>
                        <pic:blipFill>
                          <a:blip r:embed="rId149"/>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836×300×778mm主材：采用18mm厚橡胶木实木板，甲醛释放量符合GB18580-2017《室内装饰装修材料人造板及其制品中甲醛释放限量》标准要求。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建构区</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13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三层小屋造型柜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60"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89" descr="IMG_344"/>
                          <pic:cNvPicPr>
                            <a:picLocks noChangeAspect="1"/>
                          </pic:cNvPicPr>
                        </pic:nvPicPr>
                        <pic:blipFill>
                          <a:blip r:embed="rId150"/>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600×300×1170mm主材：采用18mm厚橡胶木实木板，甲醛释放量符合GB18580-2017《室内装饰装修材料人造板及其制品中甲醛释放限量》标准要求。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90度弯柜（大班）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61"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90" descr="IMG_345"/>
                          <pic:cNvPicPr>
                            <a:picLocks noChangeAspect="1"/>
                          </pic:cNvPicPr>
                        </pic:nvPicPr>
                        <pic:blipFill>
                          <a:blip r:embed="rId147"/>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848×300×778mm主材：采用18mm厚橡胶木实木板，甲醛释放量符合GB18580-2017《室内装饰装修材料人造板及其制品中甲醛释放限量》标准要求。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15</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62"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91" descr="IMG_346"/>
                          <pic:cNvPicPr>
                            <a:picLocks noChangeAspect="1"/>
                          </pic:cNvPicPr>
                        </pic:nvPicPr>
                        <pic:blipFill>
                          <a:blip r:embed="rId148"/>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16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组合竖柜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63"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92" descr="IMG_347"/>
                          <pic:cNvPicPr>
                            <a:picLocks noChangeAspect="1"/>
                          </pic:cNvPicPr>
                        </pic:nvPicPr>
                        <pic:blipFill>
                          <a:blip r:embed="rId151"/>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927×300×778mm主材：采用18mm厚橡胶木实木板，甲醛释放量符合GB18580-2017《室内装饰装修材料人造板及其制品中甲醛释放限量》标准要求。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绘本区</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双层书柜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64"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93" descr="IMG_348"/>
                          <pic:cNvPicPr>
                            <a:picLocks noChangeAspect="1"/>
                          </pic:cNvPicPr>
                        </pic:nvPicPr>
                        <pic:blipFill>
                          <a:blip r:embed="rId152"/>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891×300×778mm主材：采用18mm厚橡胶木实木板，甲醛释放量符合GB18580-2017《室内装饰装修材料人造板及其制品中甲醛释放限量》标准要求。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18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双面多层书柜（装饰）</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65"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94" descr="IMG_349"/>
                          <pic:cNvPicPr>
                            <a:picLocks noChangeAspect="1"/>
                          </pic:cNvPicPr>
                        </pic:nvPicPr>
                        <pic:blipFill>
                          <a:blip r:embed="rId153"/>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800×300×778mm主材：采用18mm厚橡胶木实木板，甲醛释放量符合GB18580-2017《室内装饰装修材料人造板及其制品中甲醛释放限量》标准要求。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19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小书柜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66"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95" descr="IMG_350"/>
                          <pic:cNvPicPr>
                            <a:picLocks noChangeAspect="1"/>
                          </pic:cNvPicPr>
                        </pic:nvPicPr>
                        <pic:blipFill>
                          <a:blip r:embed="rId154"/>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309×300×490mm主材：采用18mm厚橡胶木实木板，甲醛释放量符合GB18580-2017《室内装饰装修材料人造板及其制品中甲醛释放限量》标准要求。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20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沙发书柜(含坐垫）</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67"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96" descr="IMG_351"/>
                          <pic:cNvPicPr>
                            <a:picLocks noChangeAspect="1"/>
                          </pic:cNvPicPr>
                        </pic:nvPicPr>
                        <pic:blipFill>
                          <a:blip r:embed="rId155"/>
                          <a:stretch>
                            <a:fillRect/>
                          </a:stretch>
                        </pic:blipFill>
                        <pic:spPr>
                          <a:xfrm>
                            <a:off x="0" y="0"/>
                            <a:ext cx="676275" cy="5238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 891×420×480mm主材：采用18mm厚橡胶木实木板，甲醛释放量符合GB18580-2017《室内装饰装修材料人造板及其制品中甲醛释放限量》标准要求。垫子采用优质耐磨PU皮，高密度海绵。</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组</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3"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可坐式方柜（含坐垫）</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81050"/>
                  <wp:effectExtent l="0" t="0" r="9525" b="0"/>
                  <wp:docPr id="368"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97" descr="IMG_352"/>
                          <pic:cNvPicPr>
                            <a:picLocks noChangeAspect="1"/>
                          </pic:cNvPicPr>
                        </pic:nvPicPr>
                        <pic:blipFill>
                          <a:blip r:embed="rId156"/>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600×300×254mm主材：采用18mm厚橡胶木实木板，甲醛释放量符合GB18580-2017《室内装饰装修材料人造板及其制品中甲醛释放限量》标准要求。垫子采用优质耐磨PU皮，高密度海绵。</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套</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22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圆腿正方桌(大班）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23875"/>
                  <wp:effectExtent l="0" t="0" r="9525" b="9525"/>
                  <wp:docPr id="369"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98" descr="IMG_353"/>
                          <pic:cNvPicPr>
                            <a:picLocks noChangeAspect="1"/>
                          </pic:cNvPicPr>
                        </pic:nvPicPr>
                        <pic:blipFill>
                          <a:blip r:embed="rId139"/>
                          <a:stretch>
                            <a:fillRect/>
                          </a:stretch>
                        </pic:blipFill>
                        <pic:spPr>
                          <a:xfrm>
                            <a:off x="0" y="0"/>
                            <a:ext cx="676275" cy="52387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 xml:space="preserve">尺寸：600×600×600mm </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主材：桌面采用25mm厚橡胶木实木板，甲醛释放量符合GB18580-2017《室内装饰装修材料人造板及其制品中甲醛释放限量》标准要求，桌腿采用φ62mm橡胶木实木料。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特有：桌面板边缘斜切后修大圆角,无框架连接档以增加桌面下活动空间。</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张</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扮演区</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23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双面储物售卖台（装饰）</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70"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99" descr="IMG_354"/>
                          <pic:cNvPicPr>
                            <a:picLocks noChangeAspect="1"/>
                          </pic:cNvPicPr>
                        </pic:nvPicPr>
                        <pic:blipFill>
                          <a:blip r:embed="rId157"/>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891×400×1300mm</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布料：甲醛含量符合GB/T2912.1-2009，燃烧性能（装饰用织物）符合GB/T5455-2014标准要求。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24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90度弯柜（大班）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81050"/>
                  <wp:effectExtent l="0" t="0" r="9525" b="0"/>
                  <wp:docPr id="371"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00" descr="IMG_355"/>
                          <pic:cNvPicPr>
                            <a:picLocks noChangeAspect="1"/>
                          </pic:cNvPicPr>
                        </pic:nvPicPr>
                        <pic:blipFill>
                          <a:blip r:embed="rId147"/>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848×300×778mm主材：采用18mm厚橡胶木实木板，甲醛释放量符合GB18580-2017《室内装饰装修材料人造板及其制品中甲醛释放限量》标准要求。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5"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25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三层长柜（大班）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71525"/>
                  <wp:effectExtent l="0" t="0" r="9525" b="9525"/>
                  <wp:docPr id="372"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01" descr="IMG_356"/>
                          <pic:cNvPicPr>
                            <a:picLocks noChangeAspect="1"/>
                          </pic:cNvPicPr>
                        </pic:nvPicPr>
                        <pic:blipFill>
                          <a:blip r:embed="rId148"/>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836×300×778mm主材：采用18mm厚橡胶木实木板，甲醛释放量符合GB18580-2017《室内装饰装修材料人造板及其制品中甲醛释放限量》标准要求。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美术区</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18"/>
                <w:szCs w:val="18"/>
                <w:u w:val="none"/>
              </w:rPr>
            </w:pPr>
          </w:p>
        </w:tc>
        <w:tc>
          <w:tcPr>
            <w:tcW w:w="22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18"/>
                <w:szCs w:val="18"/>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7"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26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教具盒柜</w:t>
            </w:r>
          </w:p>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（含教具盒 ）</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533400"/>
                  <wp:effectExtent l="0" t="0" r="9525" b="0"/>
                  <wp:docPr id="373"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02" descr="IMG_357"/>
                          <pic:cNvPicPr>
                            <a:picLocks noChangeAspect="1"/>
                          </pic:cNvPicPr>
                        </pic:nvPicPr>
                        <pic:blipFill>
                          <a:blip r:embed="rId158"/>
                          <a:stretch>
                            <a:fillRect/>
                          </a:stretch>
                        </pic:blipFill>
                        <pic:spPr>
                          <a:xfrm>
                            <a:off x="0" y="0"/>
                            <a:ext cx="676275" cy="53340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尺寸：800×300×845mm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玩具盒：重金属，邻苯二甲酸酯，多环芳烃，多溴联苯，多溴二苯醚符合GB28481-2012《塑料家具中有害物质限量》标准要求。塑料件外观，其他外观，塑料件冷热循环，硬度符合GB/T32487-2016《塑料家具通用技术条件》标准要求。塑料耐老化性符合QB/T4071-2010《课桌椅》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其他：教具盒尺寸小盒260×230×100mm，大盒260×230×180mm，材质聚丙烯。盒子前方自带标签卡槽，并附透明标签挡牌。盒子滑轨采用盒子上端放入式设计，此举即可快速放入取出盒子，又可保证盒子不会在水平方向上滑出柜体。</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27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活动美术柜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74"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03" descr="IMG_358"/>
                          <pic:cNvPicPr>
                            <a:picLocks noChangeAspect="1"/>
                          </pic:cNvPicPr>
                        </pic:nvPicPr>
                        <pic:blipFill>
                          <a:blip r:embed="rId159"/>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尺寸：1036×336×635mm主材：采用18mm厚橡胶木实木板，甲醛释放量符合GB18580-2017《室内装饰装修材料人造板及其制品中甲醛释放限量》标准要求。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脚轮：抗盐雾符合GB28007-2011《儿童家具通用技术条件》标准要求。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28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直角柜</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drawing>
                <wp:inline distT="0" distB="0" distL="114300" distR="114300">
                  <wp:extent cx="676275" cy="771525"/>
                  <wp:effectExtent l="0" t="0" r="9525" b="9525"/>
                  <wp:docPr id="375"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04" descr="IMG_359"/>
                          <pic:cNvPicPr>
                            <a:picLocks noChangeAspect="1"/>
                          </pic:cNvPicPr>
                        </pic:nvPicPr>
                        <pic:blipFill>
                          <a:blip r:embed="rId160"/>
                          <a:stretch>
                            <a:fillRect/>
                          </a:stretch>
                        </pic:blipFill>
                        <pic:spPr>
                          <a:xfrm>
                            <a:off x="0" y="0"/>
                            <a:ext cx="676275" cy="771525"/>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600×600×592mm主材：采用18mm厚橡胶木实木板，甲醛释放量符合GB18580-2017《室内装饰装修材料人造板及其制品中甲醛释放限量》标准要求。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 xml:space="preserve">29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三层长柜（中班）</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drawing>
                <wp:inline distT="0" distB="0" distL="114300" distR="114300">
                  <wp:extent cx="676275" cy="781050"/>
                  <wp:effectExtent l="0" t="0" r="9525" b="0"/>
                  <wp:docPr id="376"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05" descr="IMG_360"/>
                          <pic:cNvPicPr>
                            <a:picLocks noChangeAspect="1"/>
                          </pic:cNvPicPr>
                        </pic:nvPicPr>
                        <pic:blipFill>
                          <a:blip r:embed="rId161"/>
                          <a:stretch>
                            <a:fillRect/>
                          </a:stretch>
                        </pic:blipFill>
                        <pic:spPr>
                          <a:xfrm>
                            <a:off x="0" y="0"/>
                            <a:ext cx="676275" cy="781050"/>
                          </a:xfrm>
                          <a:prstGeom prst="rect">
                            <a:avLst/>
                          </a:prstGeom>
                          <a:noFill/>
                          <a:ln w="9525">
                            <a:noFill/>
                          </a:ln>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836×300×685mm主材：采用18mm厚橡胶木实木板，甲醛释放量符合GB18580-2017《室内装饰装修材料人造板及其制品中甲醛释放限量》标准要求。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top"/>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top"/>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6</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8" w:hRule="atLeast"/>
          <w:jc w:val="center"/>
        </w:trPr>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30 </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美术纸筒柜</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i w:val="0"/>
                <w:iCs w:val="0"/>
                <w:color w:val="000000"/>
                <w:sz w:val="18"/>
                <w:szCs w:val="18"/>
                <w:u w:val="none"/>
                <w:lang w:eastAsia="zh-CN"/>
              </w:rPr>
              <w:drawing>
                <wp:inline distT="0" distB="0" distL="114300" distR="114300">
                  <wp:extent cx="552450" cy="714375"/>
                  <wp:effectExtent l="0" t="0" r="0" b="9525"/>
                  <wp:docPr id="270" name="图片 2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图片1"/>
                          <pic:cNvPicPr>
                            <a:picLocks noChangeAspect="1"/>
                          </pic:cNvPicPr>
                        </pic:nvPicPr>
                        <pic:blipFill>
                          <a:blip r:embed="rId110"/>
                          <a:stretch>
                            <a:fillRect/>
                          </a:stretch>
                        </pic:blipFill>
                        <pic:spPr>
                          <a:xfrm>
                            <a:off x="0" y="0"/>
                            <a:ext cx="552450" cy="714375"/>
                          </a:xfrm>
                          <a:prstGeom prst="rect">
                            <a:avLst/>
                          </a:prstGeom>
                        </pic:spPr>
                      </pic:pic>
                    </a:graphicData>
                  </a:graphic>
                </wp:inline>
              </w:drawing>
            </w:r>
          </w:p>
        </w:tc>
        <w:tc>
          <w:tcPr>
            <w:tcW w:w="2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 xml:space="preserve">  400× 400× 580mm</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1.板材：采用健康环保12mm实木板</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3.五金：采用优质环保五金，安全无毒，表面特定元素的迁移符合标准要求，锑、砷、钡、镉、铬、铅、汞、硒等八大重金属含量符合GB6675.4-2014标准要求。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4.脚轮：采用TPR静音万向轮，方便移动，脚轮外观要求符合QB/T4765-2014标准要求。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5.产品：底板离地高度：53mm；  上下格内空尺寸：115*115*390mm.外表面和内表面等儿童手指可触及的隐蔽处，均不得有锋利的锐角、毛刺，五金部件不得露出锐利尖端，产品外角均倒圆处理，以保证儿童的安全，成品表面涂层耐刮、耐热、耐冲击，结构安全稳固。</w:t>
            </w:r>
          </w:p>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6.其它：9格收纳格设计，方便美术成品的统一收纳。  </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微软雅黑" w:hAnsi="微软雅黑" w:eastAsia="微软雅黑" w:cs="微软雅黑"/>
                <w:i w:val="0"/>
                <w:iCs w:val="0"/>
                <w:color w:val="000000"/>
                <w:sz w:val="18"/>
                <w:szCs w:val="18"/>
                <w:u w:val="none"/>
              </w:rPr>
            </w:pPr>
          </w:p>
        </w:tc>
      </w:tr>
    </w:tbl>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jc w:val="center"/>
        <w:rPr>
          <w:rFonts w:hint="default" w:eastAsiaTheme="minorEastAsia"/>
          <w:b/>
          <w:bCs/>
          <w:sz w:val="32"/>
          <w:szCs w:val="32"/>
          <w:lang w:val="en-US" w:eastAsia="zh-CN"/>
        </w:rPr>
      </w:pPr>
      <w:r>
        <w:rPr>
          <w:rFonts w:hint="eastAsia"/>
          <w:b/>
          <w:bCs/>
          <w:sz w:val="32"/>
          <w:szCs w:val="32"/>
        </w:rPr>
        <w:t>储物柜</w:t>
      </w:r>
      <w:r>
        <w:rPr>
          <w:rFonts w:hint="eastAsia"/>
          <w:b/>
          <w:bCs/>
          <w:sz w:val="32"/>
          <w:szCs w:val="32"/>
          <w:lang w:eastAsia="zh-CN"/>
        </w:rPr>
        <w:t>、</w:t>
      </w:r>
      <w:r>
        <w:rPr>
          <w:rFonts w:hint="eastAsia"/>
          <w:b/>
          <w:bCs/>
          <w:sz w:val="32"/>
          <w:szCs w:val="32"/>
          <w:lang w:val="en-US" w:eastAsia="zh-CN"/>
        </w:rPr>
        <w:t>洗手台</w:t>
      </w:r>
    </w:p>
    <w:tbl>
      <w:tblPr>
        <w:tblStyle w:val="62"/>
        <w:tblW w:w="6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5"/>
        <w:gridCol w:w="2115"/>
        <w:gridCol w:w="1172"/>
        <w:gridCol w:w="4222"/>
        <w:gridCol w:w="837"/>
        <w:gridCol w:w="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FF"/>
                <w:sz w:val="20"/>
                <w:szCs w:val="20"/>
                <w:u w:val="none"/>
                <w:lang w:val="en-US" w:eastAsia="zh-CN"/>
              </w:rPr>
            </w:pPr>
            <w:r>
              <w:rPr>
                <w:rFonts w:hint="eastAsia" w:ascii="宋体" w:hAnsi="宋体" w:eastAsia="宋体" w:cs="宋体"/>
                <w:b/>
                <w:bCs/>
                <w:i w:val="0"/>
                <w:iCs w:val="0"/>
                <w:color w:val="auto"/>
                <w:sz w:val="20"/>
                <w:szCs w:val="20"/>
                <w:u w:val="none"/>
                <w:lang w:val="en-US" w:eastAsia="zh-CN"/>
              </w:rPr>
              <w:t>序号</w:t>
            </w:r>
          </w:p>
        </w:tc>
        <w:tc>
          <w:tcPr>
            <w:tcW w:w="10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工程项目或费用名称 </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图片</w:t>
            </w:r>
          </w:p>
        </w:tc>
        <w:tc>
          <w:tcPr>
            <w:tcW w:w="20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参数</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单位</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个数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 xml:space="preserve">地柜4.6*0.8*0.6m +吊柜4.6*0.65*0.45m  边柜 1.6*0.8*0.6m </w:t>
            </w:r>
            <w:r>
              <w:rPr>
                <w:rFonts w:hint="eastAsia"/>
                <w:lang w:val="en-US" w:eastAsia="zh-CN"/>
              </w:rPr>
              <w:t xml:space="preserve">   </w:t>
            </w:r>
            <w:r>
              <w:rPr>
                <w:rFonts w:hint="eastAsia" w:ascii="宋体" w:hAnsi="宋体" w:eastAsia="宋体" w:cs="宋体"/>
                <w:b w:val="0"/>
                <w:bCs w:val="0"/>
                <w:i w:val="0"/>
                <w:iCs w:val="0"/>
                <w:color w:val="000000"/>
                <w:kern w:val="0"/>
                <w:sz w:val="20"/>
                <w:szCs w:val="20"/>
                <w:u w:val="none"/>
                <w:lang w:val="en-US" w:eastAsia="zh-CN" w:bidi="ar"/>
              </w:rPr>
              <w:t xml:space="preserve">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FF00FF"/>
                <w:sz w:val="20"/>
                <w:szCs w:val="20"/>
                <w:highlight w:val="none"/>
                <w:u w:val="none"/>
              </w:rPr>
            </w:pPr>
            <w:r>
              <w:rPr>
                <w:rFonts w:hint="eastAsia" w:ascii="宋体" w:hAnsi="宋体" w:eastAsia="宋体" w:cs="宋体"/>
                <w:b w:val="0"/>
                <w:bCs w:val="0"/>
                <w:i w:val="0"/>
                <w:iCs w:val="0"/>
                <w:color w:val="FF00FF"/>
                <w:kern w:val="0"/>
                <w:sz w:val="20"/>
                <w:szCs w:val="20"/>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6985</wp:posOffset>
                  </wp:positionH>
                  <wp:positionV relativeFrom="paragraph">
                    <wp:posOffset>295275</wp:posOffset>
                  </wp:positionV>
                  <wp:extent cx="624205" cy="762000"/>
                  <wp:effectExtent l="0" t="0" r="4445" b="0"/>
                  <wp:wrapNone/>
                  <wp:docPr id="81" name="图片_3"/>
                  <wp:cNvGraphicFramePr/>
                  <a:graphic xmlns:a="http://schemas.openxmlformats.org/drawingml/2006/main">
                    <a:graphicData uri="http://schemas.openxmlformats.org/drawingml/2006/picture">
                      <pic:pic xmlns:pic="http://schemas.openxmlformats.org/drawingml/2006/picture">
                        <pic:nvPicPr>
                          <pic:cNvPr id="81" name="图片_3"/>
                          <pic:cNvPicPr/>
                        </pic:nvPicPr>
                        <pic:blipFill>
                          <a:blip r:embed="rId162"/>
                          <a:stretch>
                            <a:fillRect/>
                          </a:stretch>
                        </pic:blipFill>
                        <pic:spPr>
                          <a:xfrm>
                            <a:off x="0" y="0"/>
                            <a:ext cx="624205" cy="762000"/>
                          </a:xfrm>
                          <a:prstGeom prst="rect">
                            <a:avLst/>
                          </a:prstGeom>
                          <a:noFill/>
                          <a:ln>
                            <a:noFill/>
                          </a:ln>
                        </pic:spPr>
                      </pic:pic>
                    </a:graphicData>
                  </a:graphic>
                </wp:anchor>
              </w:drawing>
            </w:r>
          </w:p>
        </w:tc>
        <w:tc>
          <w:tcPr>
            <w:tcW w:w="4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规格：地柜4.6*0.8*0.6m +吊柜4.6*0.65*0.45m  边柜 1.6*0.8*0.6m                          柜体材质：多层实木免漆板；                           门板材质：多层实木PET板；                         台面材质：高端石英石；                           五金材质：不锈钢；</w:t>
            </w:r>
          </w:p>
          <w:p>
            <w:pPr>
              <w:keepNext w:val="0"/>
              <w:keepLines w:val="0"/>
              <w:widowControl/>
              <w:suppressLineNumbers w:val="0"/>
              <w:jc w:val="left"/>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不含水槽、水龙头</w:t>
            </w:r>
            <w:r>
              <w:rPr>
                <w:rFonts w:hint="eastAsia" w:ascii="宋体" w:hAnsi="宋体" w:eastAsia="宋体" w:cs="宋体"/>
                <w:b w:val="0"/>
                <w:bCs w:val="0"/>
                <w:i w:val="0"/>
                <w:iCs w:val="0"/>
                <w:color w:val="000000"/>
                <w:kern w:val="0"/>
                <w:sz w:val="20"/>
                <w:szCs w:val="20"/>
                <w:highlight w:val="none"/>
                <w:u w:val="none"/>
                <w:lang w:val="en-US" w:eastAsia="zh-CN" w:bidi="ar"/>
              </w:rPr>
              <w:t xml:space="preserve">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组</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 xml:space="preserve">地柜4.6*0.8*0.6m +吊柜4.6*0.65*0.45m  边柜 1.6*0.8*0.6m </w:t>
            </w:r>
            <w:r>
              <w:rPr>
                <w:rFonts w:hint="eastAsia"/>
                <w:lang w:val="en-US" w:eastAsia="zh-CN"/>
              </w:rPr>
              <w:t xml:space="preserve">   </w:t>
            </w:r>
            <w:r>
              <w:rPr>
                <w:rFonts w:hint="eastAsia" w:ascii="宋体" w:hAnsi="宋体" w:eastAsia="宋体" w:cs="宋体"/>
                <w:b w:val="0"/>
                <w:bCs w:val="0"/>
                <w:i w:val="0"/>
                <w:iCs w:val="0"/>
                <w:color w:val="000000"/>
                <w:kern w:val="0"/>
                <w:sz w:val="20"/>
                <w:szCs w:val="20"/>
                <w:u w:val="none"/>
                <w:lang w:val="en-US" w:eastAsia="zh-CN" w:bidi="ar"/>
              </w:rPr>
              <w:t xml:space="preserve">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val="0"/>
                <w:bCs w:val="0"/>
                <w:i w:val="0"/>
                <w:iCs w:val="0"/>
                <w:color w:val="FF00FF"/>
                <w:sz w:val="20"/>
                <w:szCs w:val="20"/>
                <w:highlight w:val="none"/>
                <w:u w:val="none"/>
              </w:rPr>
            </w:pPr>
            <w:r>
              <w:rPr>
                <w:rFonts w:hint="eastAsia" w:ascii="宋体" w:hAnsi="宋体" w:eastAsia="宋体" w:cs="宋体"/>
                <w:b w:val="0"/>
                <w:bCs w:val="0"/>
                <w:i w:val="0"/>
                <w:iCs w:val="0"/>
                <w:color w:val="FF00FF"/>
                <w:kern w:val="0"/>
                <w:sz w:val="20"/>
                <w:szCs w:val="20"/>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18415</wp:posOffset>
                  </wp:positionH>
                  <wp:positionV relativeFrom="paragraph">
                    <wp:posOffset>128905</wp:posOffset>
                  </wp:positionV>
                  <wp:extent cx="560705" cy="712470"/>
                  <wp:effectExtent l="0" t="0" r="10795" b="11430"/>
                  <wp:wrapNone/>
                  <wp:docPr id="222" name="图片_1"/>
                  <wp:cNvGraphicFramePr/>
                  <a:graphic xmlns:a="http://schemas.openxmlformats.org/drawingml/2006/main">
                    <a:graphicData uri="http://schemas.openxmlformats.org/drawingml/2006/picture">
                      <pic:pic xmlns:pic="http://schemas.openxmlformats.org/drawingml/2006/picture">
                        <pic:nvPicPr>
                          <pic:cNvPr id="222" name="图片_1"/>
                          <pic:cNvPicPr/>
                        </pic:nvPicPr>
                        <pic:blipFill>
                          <a:blip r:embed="rId163"/>
                          <a:stretch>
                            <a:fillRect/>
                          </a:stretch>
                        </pic:blipFill>
                        <pic:spPr>
                          <a:xfrm>
                            <a:off x="0" y="0"/>
                            <a:ext cx="560705" cy="712470"/>
                          </a:xfrm>
                          <a:prstGeom prst="rect">
                            <a:avLst/>
                          </a:prstGeom>
                          <a:noFill/>
                          <a:ln>
                            <a:noFill/>
                          </a:ln>
                        </pic:spPr>
                      </pic:pic>
                    </a:graphicData>
                  </a:graphic>
                </wp:anchor>
              </w:drawing>
            </w:r>
          </w:p>
        </w:tc>
        <w:tc>
          <w:tcPr>
            <w:tcW w:w="4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规格：地柜4.6*0.8*0.6m +吊柜4.6*0.65*0.45m  边柜 1.6*0.8*0.6m                           柜体材质：多层实木免漆板；                           门板材质：多层实木PET板；                       台面材质：高端石英石；                           五金材质：不锈钢；</w:t>
            </w:r>
          </w:p>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不含水槽、水龙头</w:t>
            </w:r>
            <w:r>
              <w:rPr>
                <w:rFonts w:hint="eastAsia" w:ascii="宋体" w:hAnsi="宋体" w:eastAsia="宋体" w:cs="宋体"/>
                <w:b w:val="0"/>
                <w:bCs w:val="0"/>
                <w:i w:val="0"/>
                <w:iCs w:val="0"/>
                <w:color w:val="000000"/>
                <w:kern w:val="0"/>
                <w:sz w:val="20"/>
                <w:szCs w:val="20"/>
                <w:highlight w:val="none"/>
                <w:u w:val="none"/>
                <w:lang w:val="en-US" w:eastAsia="zh-CN" w:bidi="ar"/>
              </w:rPr>
              <w:t xml:space="preserve">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组</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0" w:hRule="atLeast"/>
          <w:jc w:val="center"/>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0"/>
                <w:szCs w:val="20"/>
                <w:u w:val="none"/>
              </w:rPr>
            </w:pPr>
            <w:r>
              <w:rPr>
                <w:rFonts w:hint="eastAsia" w:ascii="微软雅黑" w:hAnsi="微软雅黑" w:eastAsia="微软雅黑" w:cs="微软雅黑"/>
                <w:i w:val="0"/>
                <w:iCs w:val="0"/>
                <w:color w:val="000000"/>
                <w:kern w:val="0"/>
                <w:sz w:val="18"/>
                <w:szCs w:val="18"/>
                <w:u w:val="none"/>
                <w:lang w:val="en-US" w:eastAsia="zh-CN" w:bidi="ar"/>
              </w:rPr>
              <w:t xml:space="preserve">地柜4.6*0.8*0.6m +吊柜4.6*0.65*0.45m  边柜 1.6*0.8*0.6m </w:t>
            </w:r>
            <w:r>
              <w:rPr>
                <w:rFonts w:hint="eastAsia"/>
                <w:lang w:val="en-US" w:eastAsia="zh-CN"/>
              </w:rPr>
              <w:t xml:space="preserve">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val="0"/>
                <w:bCs w:val="0"/>
                <w:i w:val="0"/>
                <w:iCs w:val="0"/>
                <w:color w:val="FF00FF"/>
                <w:sz w:val="20"/>
                <w:szCs w:val="20"/>
                <w:highlight w:val="none"/>
                <w:u w:val="none"/>
              </w:rPr>
            </w:pPr>
            <w:r>
              <w:rPr>
                <w:rFonts w:hint="eastAsia" w:ascii="宋体" w:hAnsi="宋体" w:eastAsia="宋体" w:cs="宋体"/>
                <w:b w:val="0"/>
                <w:bCs w:val="0"/>
                <w:i w:val="0"/>
                <w:iCs w:val="0"/>
                <w:color w:val="FF00FF"/>
                <w:kern w:val="0"/>
                <w:sz w:val="20"/>
                <w:szCs w:val="20"/>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36830</wp:posOffset>
                  </wp:positionH>
                  <wp:positionV relativeFrom="paragraph">
                    <wp:posOffset>212725</wp:posOffset>
                  </wp:positionV>
                  <wp:extent cx="517525" cy="728345"/>
                  <wp:effectExtent l="0" t="0" r="15875" b="14605"/>
                  <wp:wrapNone/>
                  <wp:docPr id="259" name="图片_2"/>
                  <wp:cNvGraphicFramePr/>
                  <a:graphic xmlns:a="http://schemas.openxmlformats.org/drawingml/2006/main">
                    <a:graphicData uri="http://schemas.openxmlformats.org/drawingml/2006/picture">
                      <pic:pic xmlns:pic="http://schemas.openxmlformats.org/drawingml/2006/picture">
                        <pic:nvPicPr>
                          <pic:cNvPr id="259" name="图片_2"/>
                          <pic:cNvPicPr/>
                        </pic:nvPicPr>
                        <pic:blipFill>
                          <a:blip r:embed="rId164"/>
                          <a:stretch>
                            <a:fillRect/>
                          </a:stretch>
                        </pic:blipFill>
                        <pic:spPr>
                          <a:xfrm>
                            <a:off x="0" y="0"/>
                            <a:ext cx="517525" cy="728345"/>
                          </a:xfrm>
                          <a:prstGeom prst="rect">
                            <a:avLst/>
                          </a:prstGeom>
                          <a:noFill/>
                          <a:ln>
                            <a:noFill/>
                          </a:ln>
                        </pic:spPr>
                      </pic:pic>
                    </a:graphicData>
                  </a:graphic>
                </wp:anchor>
              </w:drawing>
            </w:r>
          </w:p>
        </w:tc>
        <w:tc>
          <w:tcPr>
            <w:tcW w:w="4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规格：地柜4.6*0.8*0.6m +吊柜4.6*0.65*0.45m  边柜 1.6*0.8*0.6m                                        柜体材质：多层实木免漆板；                           门板材质：多层实木PET板；                         台面材质：高端石英石；                           五金材质：不锈钢；</w:t>
            </w:r>
          </w:p>
          <w:p>
            <w:pPr>
              <w:keepNext w:val="0"/>
              <w:keepLines w:val="0"/>
              <w:widowControl/>
              <w:suppressLineNumbers w:val="0"/>
              <w:jc w:val="left"/>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cs="宋体"/>
                <w:b w:val="0"/>
                <w:bCs w:val="0"/>
                <w:i w:val="0"/>
                <w:iCs w:val="0"/>
                <w:color w:val="000000"/>
                <w:kern w:val="0"/>
                <w:sz w:val="20"/>
                <w:szCs w:val="20"/>
                <w:highlight w:val="none"/>
                <w:u w:val="none"/>
                <w:lang w:val="en-US" w:eastAsia="zh-CN" w:bidi="ar"/>
              </w:rPr>
              <w:t>不含水槽、水龙头</w:t>
            </w:r>
            <w:r>
              <w:rPr>
                <w:rFonts w:hint="eastAsia" w:ascii="宋体" w:hAnsi="宋体" w:eastAsia="宋体" w:cs="宋体"/>
                <w:b w:val="0"/>
                <w:bCs w:val="0"/>
                <w:i w:val="0"/>
                <w:iCs w:val="0"/>
                <w:color w:val="000000"/>
                <w:kern w:val="0"/>
                <w:sz w:val="20"/>
                <w:szCs w:val="20"/>
                <w:highlight w:val="none"/>
                <w:u w:val="none"/>
                <w:lang w:val="en-US" w:eastAsia="zh-CN" w:bidi="ar"/>
              </w:rPr>
              <w:t xml:space="preserve">                           </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组</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val="0"/>
                <w:bCs w:val="0"/>
                <w:i w:val="0"/>
                <w:iCs w:val="0"/>
                <w:color w:val="000000"/>
                <w:sz w:val="20"/>
                <w:szCs w:val="20"/>
                <w:u w:val="none"/>
              </w:rPr>
            </w:pPr>
            <w:r>
              <w:rPr>
                <w:rFonts w:hint="eastAsia" w:ascii="新宋体" w:hAnsi="新宋体" w:eastAsia="新宋体" w:cs="新宋体"/>
                <w:b w:val="0"/>
                <w:bCs w:val="0"/>
                <w:i w:val="0"/>
                <w:iCs w:val="0"/>
                <w:color w:val="000000"/>
                <w:kern w:val="0"/>
                <w:sz w:val="20"/>
                <w:szCs w:val="20"/>
                <w:u w:val="none"/>
                <w:lang w:val="en-US" w:eastAsia="zh-CN" w:bidi="ar"/>
              </w:rPr>
              <w:t>6</w:t>
            </w:r>
          </w:p>
        </w:tc>
      </w:tr>
    </w:tbl>
    <w:p>
      <w:pPr>
        <w:spacing w:line="360" w:lineRule="auto"/>
        <w:jc w:val="left"/>
        <w:rPr>
          <w:rFonts w:hint="eastAsia" w:ascii="仿宋" w:hAnsi="仿宋" w:eastAsia="仿宋" w:cs="仿宋"/>
          <w:b/>
          <w:sz w:val="24"/>
        </w:rPr>
      </w:pPr>
    </w:p>
    <w:p>
      <w:pPr>
        <w:spacing w:line="360" w:lineRule="auto"/>
        <w:jc w:val="left"/>
        <w:rPr>
          <w:rFonts w:hint="eastAsia" w:ascii="仿宋" w:hAnsi="仿宋" w:eastAsia="仿宋" w:cs="仿宋"/>
          <w:b/>
          <w:sz w:val="24"/>
        </w:rPr>
      </w:pPr>
      <w:r>
        <w:rPr>
          <w:rFonts w:hint="eastAsia" w:ascii="仿宋" w:hAnsi="仿宋" w:eastAsia="仿宋" w:cs="仿宋"/>
          <w:b/>
          <w:sz w:val="24"/>
        </w:rPr>
        <w:t>注：1、招标人</w:t>
      </w:r>
      <w:r>
        <w:rPr>
          <w:rFonts w:hint="eastAsia" w:ascii="仿宋" w:hAnsi="仿宋" w:eastAsia="仿宋" w:cs="仿宋"/>
          <w:b/>
          <w:sz w:val="24"/>
          <w:lang w:eastAsia="zh-CN"/>
        </w:rPr>
        <w:t>符合</w:t>
      </w:r>
      <w:r>
        <w:rPr>
          <w:rFonts w:hint="eastAsia" w:ascii="仿宋" w:hAnsi="仿宋" w:eastAsia="仿宋" w:cs="仿宋"/>
          <w:b/>
          <w:sz w:val="24"/>
        </w:rPr>
        <w:t>的图片为参考式样和颜色，投标人请</w:t>
      </w:r>
      <w:r>
        <w:rPr>
          <w:rFonts w:hint="eastAsia" w:ascii="仿宋" w:hAnsi="仿宋" w:eastAsia="仿宋" w:cs="仿宋"/>
          <w:b/>
          <w:sz w:val="24"/>
          <w:lang w:eastAsia="zh-CN"/>
        </w:rPr>
        <w:t>符合</w:t>
      </w:r>
      <w:r>
        <w:rPr>
          <w:rFonts w:hint="eastAsia" w:ascii="仿宋" w:hAnsi="仿宋" w:eastAsia="仿宋" w:cs="仿宋"/>
          <w:b/>
          <w:sz w:val="24"/>
        </w:rPr>
        <w:t>所投产品的图片。</w:t>
      </w:r>
    </w:p>
    <w:p>
      <w:pPr>
        <w:jc w:val="left"/>
        <w:rPr>
          <w:rFonts w:hint="default" w:ascii="仿宋" w:hAnsi="仿宋" w:eastAsia="仿宋" w:cs="仿宋"/>
          <w:b/>
          <w:sz w:val="24"/>
          <w:szCs w:val="24"/>
          <w:highlight w:val="none"/>
          <w:lang w:val="en-US" w:eastAsia="zh-CN"/>
        </w:rPr>
      </w:pPr>
      <w:r>
        <w:rPr>
          <w:rFonts w:hint="eastAsia" w:ascii="仿宋" w:hAnsi="仿宋" w:eastAsia="仿宋" w:cs="仿宋"/>
          <w:b/>
          <w:sz w:val="24"/>
        </w:rPr>
        <w:t>投标人所投设备货物的技术参数不应低于本项目的技术要求和档次。上述技术要求如出现某类品牌型号特有的技术指标或性能，则供投标人参考,不作为实质性响应条</w:t>
      </w:r>
      <w:r>
        <w:rPr>
          <w:rFonts w:hint="eastAsia" w:ascii="仿宋" w:hAnsi="仿宋" w:eastAsia="仿宋" w:cs="仿宋"/>
          <w:b/>
          <w:sz w:val="24"/>
          <w:highlight w:val="none"/>
        </w:rPr>
        <w:t>款</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2、</w:t>
      </w:r>
      <w:r>
        <w:rPr>
          <w:rFonts w:hint="eastAsia" w:ascii="仿宋" w:hAnsi="仿宋" w:eastAsia="仿宋" w:cs="仿宋"/>
          <w:b/>
          <w:bCs/>
          <w:sz w:val="24"/>
          <w:szCs w:val="24"/>
          <w:highlight w:val="none"/>
        </w:rPr>
        <w:t>储物柜</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洗手台</w:t>
      </w:r>
      <w:r>
        <w:rPr>
          <w:rFonts w:hint="eastAsia" w:ascii="仿宋" w:hAnsi="仿宋" w:eastAsia="仿宋" w:cs="仿宋"/>
          <w:b/>
          <w:sz w:val="24"/>
          <w:szCs w:val="24"/>
          <w:highlight w:val="none"/>
          <w:lang w:val="en-US" w:eastAsia="zh-CN"/>
        </w:rPr>
        <w:t>为暂定尺寸，</w:t>
      </w:r>
      <w:r>
        <w:rPr>
          <w:rFonts w:hint="eastAsia" w:ascii="仿宋" w:hAnsi="仿宋" w:eastAsia="仿宋" w:cs="仿宋"/>
          <w:b/>
          <w:bCs/>
          <w:sz w:val="24"/>
          <w:szCs w:val="24"/>
          <w:highlight w:val="none"/>
          <w:lang w:val="en-US" w:eastAsia="zh-CN"/>
        </w:rPr>
        <w:t>需现场按照图纸实量后定制，价格参照中标尺寸单价进行结算，如小于招标尺寸资金进行扣减，如大于招标尺寸资金进行增加。</w:t>
      </w:r>
    </w:p>
    <w:p>
      <w:pPr>
        <w:spacing w:line="440" w:lineRule="exact"/>
        <w:rPr>
          <w:rFonts w:ascii="仿宋" w:hAnsi="仿宋" w:eastAsia="仿宋" w:cs="仿宋"/>
          <w:b/>
          <w:sz w:val="24"/>
        </w:rPr>
      </w:pPr>
      <w:r>
        <w:rPr>
          <w:rFonts w:hint="eastAsia" w:ascii="仿宋" w:hAnsi="仿宋" w:eastAsia="仿宋" w:cs="仿宋"/>
          <w:b/>
          <w:sz w:val="24"/>
        </w:rPr>
        <w:t>二、工作范围</w:t>
      </w:r>
    </w:p>
    <w:p>
      <w:pPr>
        <w:spacing w:line="440" w:lineRule="exact"/>
        <w:ind w:firstLine="480" w:firstLineChars="200"/>
        <w:rPr>
          <w:rFonts w:hint="eastAsia" w:ascii="仿宋" w:hAnsi="仿宋" w:eastAsia="仿宋" w:cs="仿宋"/>
          <w:sz w:val="24"/>
          <w:highlight w:val="none"/>
          <w:shd w:val="clear" w:color="auto" w:fill="auto"/>
          <w:lang w:val="en-US" w:eastAsia="zh-CN"/>
        </w:rPr>
      </w:pPr>
      <w:r>
        <w:rPr>
          <w:rFonts w:hint="eastAsia" w:ascii="仿宋" w:hAnsi="仿宋" w:eastAsia="仿宋" w:cs="仿宋"/>
          <w:sz w:val="24"/>
        </w:rPr>
        <w:t>根据招标文件，投标人须按国家有关标准及规范完成下列工作：材料及相关附件的</w:t>
      </w:r>
      <w:r>
        <w:rPr>
          <w:rFonts w:hint="eastAsia" w:ascii="仿宋" w:hAnsi="仿宋" w:eastAsia="仿宋" w:cs="仿宋"/>
          <w:sz w:val="24"/>
          <w:lang w:eastAsia="zh-CN"/>
        </w:rPr>
        <w:t>符合</w:t>
      </w:r>
      <w:r>
        <w:rPr>
          <w:rFonts w:hint="eastAsia" w:ascii="仿宋" w:hAnsi="仿宋" w:eastAsia="仿宋" w:cs="仿宋"/>
          <w:sz w:val="24"/>
        </w:rPr>
        <w:t>、运输、安装、检验、通过验收；</w:t>
      </w:r>
      <w:r>
        <w:rPr>
          <w:rFonts w:hint="eastAsia" w:ascii="仿宋" w:hAnsi="仿宋" w:eastAsia="仿宋" w:cs="仿宋"/>
          <w:sz w:val="24"/>
          <w:highlight w:val="none"/>
        </w:rPr>
        <w:t>供货期：</w:t>
      </w:r>
      <w:r>
        <w:rPr>
          <w:rFonts w:hint="eastAsia" w:ascii="仿宋" w:hAnsi="仿宋" w:eastAsia="仿宋" w:cs="仿宋"/>
          <w:sz w:val="24"/>
          <w:highlight w:val="none"/>
          <w:lang w:val="en-US" w:eastAsia="zh-CN"/>
        </w:rPr>
        <w:t>60</w:t>
      </w:r>
      <w:r>
        <w:rPr>
          <w:rFonts w:hint="eastAsia" w:ascii="仿宋" w:hAnsi="仿宋" w:eastAsia="仿宋" w:cs="仿宋"/>
          <w:sz w:val="24"/>
          <w:highlight w:val="none"/>
        </w:rPr>
        <w:t>天</w:t>
      </w:r>
      <w:r>
        <w:rPr>
          <w:rFonts w:hint="eastAsia" w:ascii="仿宋" w:hAnsi="仿宋" w:eastAsia="仿宋" w:cs="仿宋"/>
          <w:sz w:val="24"/>
          <w:highlight w:val="none"/>
          <w:lang w:eastAsia="zh-CN"/>
        </w:rPr>
        <w:t>内完成供货、安装</w:t>
      </w:r>
      <w:r>
        <w:rPr>
          <w:rFonts w:hint="eastAsia" w:ascii="仿宋" w:hAnsi="仿宋" w:eastAsia="仿宋" w:cs="仿宋"/>
          <w:sz w:val="24"/>
          <w:highlight w:val="none"/>
        </w:rPr>
        <w:t>；供货地点</w:t>
      </w:r>
      <w:r>
        <w:rPr>
          <w:rFonts w:hint="eastAsia" w:ascii="仿宋" w:hAnsi="仿宋" w:eastAsia="仿宋" w:cs="仿宋"/>
          <w:sz w:val="24"/>
          <w:highlight w:val="none"/>
          <w:shd w:val="clear" w:color="auto" w:fill="auto"/>
        </w:rPr>
        <w:t>：於潜镇中心幼儿园</w:t>
      </w:r>
      <w:r>
        <w:rPr>
          <w:rFonts w:hint="eastAsia" w:ascii="仿宋" w:hAnsi="仿宋" w:eastAsia="仿宋" w:cs="仿宋"/>
          <w:sz w:val="24"/>
          <w:highlight w:val="none"/>
          <w:shd w:val="clear" w:color="auto" w:fill="auto"/>
          <w:lang w:eastAsia="zh-CN"/>
        </w:rPr>
        <w:t>（於潜镇天风街与金家巷交叉口）</w:t>
      </w:r>
    </w:p>
    <w:p>
      <w:pPr>
        <w:spacing w:line="440" w:lineRule="exact"/>
        <w:rPr>
          <w:rFonts w:ascii="仿宋" w:hAnsi="仿宋" w:eastAsia="仿宋" w:cs="仿宋"/>
          <w:b/>
          <w:sz w:val="24"/>
        </w:rPr>
      </w:pPr>
      <w:r>
        <w:rPr>
          <w:rFonts w:hint="eastAsia" w:ascii="仿宋" w:hAnsi="仿宋" w:eastAsia="仿宋" w:cs="仿宋"/>
          <w:b/>
          <w:sz w:val="24"/>
        </w:rPr>
        <w:t>三、中标人的工作内容</w:t>
      </w:r>
    </w:p>
    <w:p>
      <w:pPr>
        <w:spacing w:line="440" w:lineRule="exact"/>
        <w:ind w:firstLine="480" w:firstLineChars="200"/>
        <w:rPr>
          <w:rFonts w:ascii="仿宋" w:hAnsi="仿宋" w:eastAsia="仿宋" w:cs="仿宋"/>
          <w:sz w:val="24"/>
        </w:rPr>
      </w:pPr>
      <w:r>
        <w:rPr>
          <w:rFonts w:hint="eastAsia" w:ascii="仿宋" w:hAnsi="仿宋" w:eastAsia="仿宋" w:cs="仿宋"/>
          <w:sz w:val="24"/>
        </w:rPr>
        <w:t>中标人的工作内容需包含但不局限于以下内容：</w:t>
      </w:r>
    </w:p>
    <w:p>
      <w:pPr>
        <w:spacing w:line="440" w:lineRule="exac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设备的制造与供货及</w:t>
      </w:r>
      <w:r>
        <w:rPr>
          <w:rFonts w:hint="eastAsia" w:ascii="仿宋" w:hAnsi="仿宋" w:eastAsia="仿宋" w:cs="仿宋"/>
          <w:sz w:val="24"/>
          <w:lang w:eastAsia="zh-CN"/>
        </w:rPr>
        <w:t>符合</w:t>
      </w:r>
      <w:r>
        <w:rPr>
          <w:rFonts w:hint="eastAsia" w:ascii="仿宋" w:hAnsi="仿宋" w:eastAsia="仿宋" w:cs="仿宋"/>
          <w:sz w:val="24"/>
        </w:rPr>
        <w:t>相关资料；</w:t>
      </w:r>
    </w:p>
    <w:p>
      <w:pPr>
        <w:spacing w:line="440" w:lineRule="exac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设备及部件的检查、检验及测试（该费用计入总价）；</w:t>
      </w:r>
    </w:p>
    <w:p>
      <w:pPr>
        <w:spacing w:line="440" w:lineRule="exac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按照招标人要求完成设备的安装及部件的就位和固定；</w:t>
      </w:r>
    </w:p>
    <w:p>
      <w:pPr>
        <w:spacing w:line="440" w:lineRule="exac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设备及部件的连接和检查；</w:t>
      </w:r>
    </w:p>
    <w:p>
      <w:pPr>
        <w:spacing w:line="440" w:lineRule="exac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ab/>
      </w:r>
      <w:r>
        <w:rPr>
          <w:rFonts w:hint="eastAsia" w:ascii="仿宋" w:hAnsi="仿宋" w:eastAsia="仿宋" w:cs="仿宋"/>
          <w:sz w:val="24"/>
        </w:rPr>
        <w:t>验收（包括负责通过相关部门的整体验收，资料整理交接）；</w:t>
      </w:r>
    </w:p>
    <w:p>
      <w:pPr>
        <w:spacing w:line="440" w:lineRule="exact"/>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rPr>
        <w:tab/>
      </w:r>
      <w:r>
        <w:rPr>
          <w:rFonts w:hint="eastAsia" w:ascii="仿宋" w:hAnsi="仿宋" w:eastAsia="仿宋" w:cs="仿宋"/>
          <w:sz w:val="24"/>
        </w:rPr>
        <w:t>负责培训资料的编写和技术培训；</w:t>
      </w:r>
    </w:p>
    <w:p>
      <w:pPr>
        <w:spacing w:line="440" w:lineRule="exac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ab/>
      </w:r>
      <w:r>
        <w:rPr>
          <w:rFonts w:hint="eastAsia" w:ascii="仿宋" w:hAnsi="仿宋" w:eastAsia="仿宋" w:cs="仿宋"/>
          <w:sz w:val="24"/>
        </w:rPr>
        <w:t>售后服务。</w:t>
      </w:r>
    </w:p>
    <w:p>
      <w:pPr>
        <w:spacing w:line="440" w:lineRule="exact"/>
        <w:rPr>
          <w:rFonts w:ascii="仿宋" w:hAnsi="仿宋" w:eastAsia="仿宋" w:cs="仿宋"/>
          <w:b/>
          <w:sz w:val="24"/>
        </w:rPr>
      </w:pPr>
      <w:r>
        <w:rPr>
          <w:rFonts w:hint="eastAsia" w:ascii="仿宋" w:hAnsi="仿宋" w:eastAsia="仿宋" w:cs="仿宋"/>
          <w:b/>
          <w:sz w:val="24"/>
        </w:rPr>
        <w:t>四、质量保证</w:t>
      </w:r>
    </w:p>
    <w:p>
      <w:pPr>
        <w:spacing w:line="440" w:lineRule="exact"/>
        <w:rPr>
          <w:rFonts w:ascii="仿宋" w:hAnsi="仿宋" w:eastAsia="仿宋" w:cs="仿宋"/>
          <w:sz w:val="24"/>
        </w:rPr>
      </w:pPr>
      <w:r>
        <w:rPr>
          <w:rFonts w:hint="eastAsia" w:ascii="仿宋" w:hAnsi="仿宋" w:eastAsia="仿宋" w:cs="仿宋"/>
          <w:sz w:val="24"/>
        </w:rPr>
        <w:t>1、质量要求</w:t>
      </w:r>
    </w:p>
    <w:p>
      <w:pPr>
        <w:spacing w:line="440" w:lineRule="exact"/>
        <w:rPr>
          <w:rFonts w:ascii="仿宋" w:hAnsi="仿宋" w:eastAsia="仿宋" w:cs="仿宋"/>
          <w:sz w:val="24"/>
        </w:rPr>
      </w:pPr>
      <w:r>
        <w:rPr>
          <w:rFonts w:hint="eastAsia" w:ascii="仿宋" w:hAnsi="仿宋" w:eastAsia="仿宋" w:cs="仿宋"/>
          <w:sz w:val="24"/>
        </w:rPr>
        <w:t>（1）合格及以上，符合国家规定的质量要求。验收标准：货到现场安装完毕后开始验收,所供应的全部设备应符合技术参数和配置要求，要求外观无瑕疵,结构无松动,货物名称、规格、颜色、材质、数量符合要求。设备摆放形式依采购人要求为准。</w:t>
      </w:r>
    </w:p>
    <w:p>
      <w:pPr>
        <w:spacing w:line="440" w:lineRule="exact"/>
        <w:rPr>
          <w:rFonts w:ascii="仿宋" w:hAnsi="仿宋" w:eastAsia="仿宋" w:cs="仿宋"/>
          <w:sz w:val="24"/>
        </w:rPr>
      </w:pPr>
      <w:r>
        <w:rPr>
          <w:rFonts w:hint="eastAsia" w:ascii="仿宋" w:hAnsi="仿宋" w:eastAsia="仿宋" w:cs="仿宋"/>
          <w:sz w:val="24"/>
        </w:rPr>
        <w:t>（2）货物验收过程中，由于质量不合格或运输等原因所造成的一切费用均由供应商负责。</w:t>
      </w:r>
    </w:p>
    <w:p>
      <w:pPr>
        <w:spacing w:line="440" w:lineRule="exact"/>
        <w:rPr>
          <w:rFonts w:ascii="仿宋" w:hAnsi="仿宋" w:eastAsia="仿宋" w:cs="仿宋"/>
          <w:sz w:val="24"/>
        </w:rPr>
      </w:pPr>
      <w:r>
        <w:rPr>
          <w:rFonts w:hint="eastAsia" w:ascii="仿宋" w:hAnsi="仿宋" w:eastAsia="仿宋" w:cs="仿宋"/>
          <w:sz w:val="24"/>
        </w:rPr>
        <w:t>（3）中标供应商须对因投标货物使用期内本身的固有缺陷和瑕疵承担责任。</w:t>
      </w:r>
    </w:p>
    <w:p>
      <w:pPr>
        <w:spacing w:line="440" w:lineRule="exact"/>
        <w:rPr>
          <w:rFonts w:ascii="仿宋" w:hAnsi="仿宋" w:eastAsia="仿宋" w:cs="仿宋"/>
          <w:sz w:val="24"/>
        </w:rPr>
      </w:pPr>
      <w:r>
        <w:rPr>
          <w:rFonts w:hint="eastAsia" w:ascii="仿宋" w:hAnsi="仿宋" w:eastAsia="仿宋" w:cs="仿宋"/>
          <w:sz w:val="24"/>
        </w:rPr>
        <w:t>（4）合同签订前，采购人需查看投标文件中涉及的相关证书、检测报告、合同业绩等原件资料，如发现与投标文件不符，以虚假应标处理。</w:t>
      </w:r>
    </w:p>
    <w:p>
      <w:pPr>
        <w:spacing w:line="440" w:lineRule="exact"/>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bCs w:val="0"/>
          <w:color w:val="auto"/>
          <w:sz w:val="24"/>
        </w:rPr>
        <w:t>保修期：均不少于5年免费保修期（供应商可</w:t>
      </w:r>
      <w:r>
        <w:rPr>
          <w:rFonts w:hint="eastAsia" w:ascii="仿宋" w:hAnsi="仿宋" w:eastAsia="仿宋" w:cs="仿宋"/>
          <w:b/>
          <w:bCs w:val="0"/>
          <w:color w:val="auto"/>
          <w:sz w:val="24"/>
          <w:lang w:eastAsia="zh-CN"/>
        </w:rPr>
        <w:t>符合</w:t>
      </w:r>
      <w:r>
        <w:rPr>
          <w:rFonts w:hint="eastAsia" w:ascii="仿宋" w:hAnsi="仿宋" w:eastAsia="仿宋" w:cs="仿宋"/>
          <w:b/>
          <w:bCs w:val="0"/>
          <w:color w:val="auto"/>
          <w:sz w:val="24"/>
        </w:rPr>
        <w:t>更优惠的保修期）。</w:t>
      </w:r>
    </w:p>
    <w:p>
      <w:pPr>
        <w:spacing w:line="440" w:lineRule="exact"/>
        <w:rPr>
          <w:rFonts w:ascii="仿宋" w:hAnsi="仿宋" w:eastAsia="仿宋" w:cs="仿宋"/>
          <w:sz w:val="24"/>
        </w:rPr>
      </w:pPr>
      <w:r>
        <w:rPr>
          <w:rFonts w:hint="eastAsia" w:ascii="仿宋" w:hAnsi="仿宋" w:eastAsia="仿宋" w:cs="仿宋"/>
          <w:sz w:val="24"/>
        </w:rPr>
        <w:t>（1）保修期内，如因修理货物或更换部件，而非人为因素出现故障而造成短期停用时，则保修期和免费维修期相应顺延。如停用时间累计超过20天，则货物保修期重新计算。</w:t>
      </w:r>
    </w:p>
    <w:p>
      <w:pPr>
        <w:spacing w:line="440" w:lineRule="exact"/>
        <w:rPr>
          <w:rFonts w:ascii="仿宋" w:hAnsi="仿宋" w:eastAsia="仿宋" w:cs="仿宋"/>
          <w:sz w:val="24"/>
        </w:rPr>
      </w:pPr>
      <w:r>
        <w:rPr>
          <w:rFonts w:hint="eastAsia" w:ascii="仿宋" w:hAnsi="仿宋" w:eastAsia="仿宋" w:cs="仿宋"/>
          <w:sz w:val="24"/>
        </w:rPr>
        <w:t>（2）保修期内，采购人无须自行付费，中标供应商负责修理和替换任何由于货物自身的质量问题造成的损坏及故障。</w:t>
      </w:r>
    </w:p>
    <w:p>
      <w:pPr>
        <w:spacing w:line="440" w:lineRule="exact"/>
        <w:rPr>
          <w:rFonts w:ascii="仿宋" w:hAnsi="仿宋" w:eastAsia="仿宋" w:cs="仿宋"/>
          <w:sz w:val="24"/>
        </w:rPr>
      </w:pPr>
      <w:r>
        <w:rPr>
          <w:rFonts w:hint="eastAsia" w:ascii="仿宋" w:hAnsi="仿宋" w:eastAsia="仿宋" w:cs="仿宋"/>
          <w:sz w:val="24"/>
        </w:rPr>
        <w:t>（3）保修期内，须指定一名人员专门负责本项目的售后服务工作；如有更换，须采购人同意。</w:t>
      </w:r>
    </w:p>
    <w:p>
      <w:pPr>
        <w:spacing w:line="440" w:lineRule="exact"/>
        <w:rPr>
          <w:rFonts w:ascii="仿宋" w:hAnsi="仿宋" w:eastAsia="仿宋" w:cs="仿宋"/>
          <w:sz w:val="24"/>
        </w:rPr>
      </w:pPr>
      <w:r>
        <w:rPr>
          <w:rFonts w:hint="eastAsia" w:ascii="仿宋" w:hAnsi="仿宋" w:eastAsia="仿宋" w:cs="仿宋"/>
          <w:sz w:val="24"/>
        </w:rPr>
        <w:t>（4）中标供应商在保修期内安装（更换）的任何零配件，必须是货物制造商原产的或是经采购人认可的。</w:t>
      </w:r>
    </w:p>
    <w:p>
      <w:pPr>
        <w:spacing w:line="440" w:lineRule="exact"/>
        <w:rPr>
          <w:rFonts w:ascii="仿宋" w:hAnsi="仿宋" w:eastAsia="仿宋" w:cs="仿宋"/>
          <w:sz w:val="24"/>
        </w:rPr>
      </w:pPr>
      <w:r>
        <w:rPr>
          <w:rFonts w:hint="eastAsia" w:ascii="仿宋" w:hAnsi="仿宋" w:eastAsia="仿宋" w:cs="仿宋"/>
          <w:sz w:val="24"/>
        </w:rPr>
        <w:t>（5）所有的替代零配件必须是新的未使用和未经修复的,除非最终用户</w:t>
      </w:r>
      <w:r>
        <w:rPr>
          <w:rFonts w:hint="eastAsia" w:ascii="仿宋" w:hAnsi="仿宋" w:eastAsia="仿宋" w:cs="仿宋"/>
          <w:sz w:val="24"/>
          <w:lang w:eastAsia="zh-CN"/>
        </w:rPr>
        <w:t>符合</w:t>
      </w:r>
      <w:r>
        <w:rPr>
          <w:rFonts w:hint="eastAsia" w:ascii="仿宋" w:hAnsi="仿宋" w:eastAsia="仿宋" w:cs="仿宋"/>
          <w:sz w:val="24"/>
        </w:rPr>
        <w:t>书面许可，否则不可使用此范围外的其他（非新的）配件。</w:t>
      </w:r>
    </w:p>
    <w:p>
      <w:pPr>
        <w:spacing w:line="440" w:lineRule="exact"/>
        <w:rPr>
          <w:rFonts w:ascii="仿宋" w:hAnsi="仿宋" w:eastAsia="仿宋" w:cs="仿宋"/>
          <w:sz w:val="24"/>
        </w:rPr>
      </w:pPr>
      <w:r>
        <w:rPr>
          <w:rFonts w:hint="eastAsia" w:ascii="仿宋" w:hAnsi="仿宋" w:eastAsia="仿宋" w:cs="仿宋"/>
          <w:sz w:val="24"/>
        </w:rPr>
        <w:t>（6）保修期结束前，须由中标供应商和采购人进行一次全面检查，任何缺陷必须由中标供应商负责修理，在修理之后，中标供应商应将缺陷原因、修理内容、完成修理及恢复正常的时间和日期等报告给采购人，报告一式两份。</w:t>
      </w:r>
    </w:p>
    <w:p>
      <w:pPr>
        <w:spacing w:line="440" w:lineRule="exact"/>
        <w:rPr>
          <w:rFonts w:ascii="仿宋" w:hAnsi="仿宋" w:eastAsia="仿宋" w:cs="仿宋"/>
          <w:sz w:val="24"/>
        </w:rPr>
      </w:pPr>
      <w:r>
        <w:rPr>
          <w:rFonts w:hint="eastAsia" w:ascii="仿宋" w:hAnsi="仿宋" w:eastAsia="仿宋" w:cs="仿宋"/>
          <w:sz w:val="24"/>
        </w:rPr>
        <w:t>（7）中标供应商或原厂家的承诺的保修期不符的，以最高标准为准，除非供应商事前正式声明，否则均视为认同，并将在合同中载明。</w:t>
      </w:r>
    </w:p>
    <w:p>
      <w:pPr>
        <w:spacing w:line="440" w:lineRule="exact"/>
        <w:rPr>
          <w:rFonts w:ascii="仿宋" w:hAnsi="仿宋" w:eastAsia="仿宋" w:cs="仿宋"/>
          <w:b/>
          <w:sz w:val="24"/>
        </w:rPr>
      </w:pPr>
      <w:r>
        <w:rPr>
          <w:rFonts w:hint="eastAsia" w:ascii="仿宋" w:hAnsi="仿宋" w:eastAsia="仿宋" w:cs="仿宋"/>
          <w:b/>
          <w:sz w:val="24"/>
        </w:rPr>
        <w:t>五、售后服务要求</w:t>
      </w:r>
    </w:p>
    <w:p>
      <w:pPr>
        <w:spacing w:line="440" w:lineRule="exact"/>
        <w:rPr>
          <w:rFonts w:ascii="仿宋" w:hAnsi="仿宋" w:eastAsia="仿宋" w:cs="仿宋"/>
          <w:sz w:val="24"/>
        </w:rPr>
      </w:pPr>
      <w:r>
        <w:rPr>
          <w:rFonts w:hint="eastAsia" w:ascii="仿宋" w:hAnsi="仿宋" w:eastAsia="仿宋" w:cs="仿宋"/>
          <w:sz w:val="24"/>
        </w:rPr>
        <w:t>1、中标人必须有可靠的售后服务保障，能</w:t>
      </w:r>
      <w:r>
        <w:rPr>
          <w:rFonts w:hint="eastAsia" w:ascii="仿宋" w:hAnsi="仿宋" w:eastAsia="仿宋" w:cs="仿宋"/>
          <w:sz w:val="24"/>
          <w:lang w:eastAsia="zh-CN"/>
        </w:rPr>
        <w:t>符合</w:t>
      </w:r>
      <w:r>
        <w:rPr>
          <w:rFonts w:hint="eastAsia" w:ascii="仿宋" w:hAnsi="仿宋" w:eastAsia="仿宋" w:cs="仿宋"/>
          <w:sz w:val="24"/>
        </w:rPr>
        <w:t>正常的技术、备品备件服务。当发生故障时，中标人在接到采购单位通知后，1小时内做出回应，24小时内修复，24小时内不能修复的，则无偿</w:t>
      </w:r>
      <w:r>
        <w:rPr>
          <w:rFonts w:hint="eastAsia" w:ascii="仿宋" w:hAnsi="仿宋" w:eastAsia="仿宋" w:cs="仿宋"/>
          <w:sz w:val="24"/>
          <w:lang w:eastAsia="zh-CN"/>
        </w:rPr>
        <w:t>符合</w:t>
      </w:r>
      <w:r>
        <w:rPr>
          <w:rFonts w:hint="eastAsia" w:ascii="仿宋" w:hAnsi="仿宋" w:eastAsia="仿宋" w:cs="仿宋"/>
          <w:sz w:val="24"/>
        </w:rPr>
        <w:t>备机或备用零件供采购单位使用。</w:t>
      </w:r>
    </w:p>
    <w:p>
      <w:pPr>
        <w:spacing w:line="440" w:lineRule="exact"/>
        <w:rPr>
          <w:rFonts w:ascii="仿宋" w:hAnsi="仿宋" w:eastAsia="仿宋" w:cs="仿宋"/>
          <w:sz w:val="24"/>
        </w:rPr>
      </w:pPr>
      <w:r>
        <w:rPr>
          <w:rFonts w:hint="eastAsia" w:ascii="仿宋" w:hAnsi="仿宋" w:eastAsia="仿宋" w:cs="仿宋"/>
          <w:sz w:val="24"/>
        </w:rPr>
        <w:t>2、中标人服务维修人员均经过良好的系统技术培训，并有丰富的现场维修经验。</w:t>
      </w:r>
    </w:p>
    <w:p>
      <w:pPr>
        <w:spacing w:line="440" w:lineRule="exact"/>
        <w:rPr>
          <w:rFonts w:hint="eastAsia" w:ascii="仿宋" w:hAnsi="仿宋" w:eastAsia="仿宋" w:cs="仿宋"/>
          <w:sz w:val="24"/>
        </w:rPr>
      </w:pPr>
      <w:r>
        <w:rPr>
          <w:rFonts w:hint="eastAsia" w:ascii="仿宋" w:hAnsi="仿宋" w:eastAsia="仿宋" w:cs="仿宋"/>
          <w:sz w:val="24"/>
        </w:rPr>
        <w:t>3、若中标人未能满足上述售后服务要求中的任何一条，采购单位有权委托第三方单位</w:t>
      </w:r>
      <w:r>
        <w:rPr>
          <w:rFonts w:hint="eastAsia" w:ascii="仿宋" w:hAnsi="仿宋" w:eastAsia="仿宋" w:cs="仿宋"/>
          <w:sz w:val="24"/>
          <w:lang w:eastAsia="zh-CN"/>
        </w:rPr>
        <w:t>符合</w:t>
      </w:r>
      <w:r>
        <w:rPr>
          <w:rFonts w:hint="eastAsia" w:ascii="仿宋" w:hAnsi="仿宋" w:eastAsia="仿宋" w:cs="仿宋"/>
          <w:sz w:val="24"/>
        </w:rPr>
        <w:t>售后服务，由此产生的一切费用由中标人承担。</w:t>
      </w:r>
    </w:p>
    <w:p>
      <w:pPr>
        <w:spacing w:line="440" w:lineRule="exact"/>
        <w:rPr>
          <w:rFonts w:hint="eastAsia" w:ascii="仿宋" w:hAnsi="仿宋" w:eastAsia="仿宋" w:cs="仿宋"/>
          <w:b/>
          <w:bCs/>
          <w:sz w:val="24"/>
          <w:lang w:val="en-US" w:eastAsia="zh-CN"/>
        </w:rPr>
      </w:pPr>
      <w:r>
        <w:rPr>
          <w:rFonts w:hint="eastAsia" w:ascii="仿宋" w:hAnsi="仿宋" w:eastAsia="仿宋" w:cs="仿宋"/>
          <w:b/>
          <w:bCs/>
          <w:sz w:val="24"/>
          <w:lang w:val="en-US" w:eastAsia="zh-CN"/>
        </w:rPr>
        <w:t>六、支付方式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合同签订后</w:t>
      </w:r>
      <w:r>
        <w:rPr>
          <w:rFonts w:hint="eastAsia" w:ascii="仿宋" w:hAnsi="仿宋" w:eastAsia="仿宋" w:cs="仿宋"/>
          <w:sz w:val="24"/>
          <w:lang w:val="en-US" w:eastAsia="zh-CN"/>
        </w:rPr>
        <w:t>7</w:t>
      </w:r>
      <w:r>
        <w:rPr>
          <w:rFonts w:hint="eastAsia" w:ascii="仿宋" w:hAnsi="仿宋" w:eastAsia="仿宋" w:cs="仿宋"/>
          <w:sz w:val="24"/>
        </w:rPr>
        <w:t>个工作日内预付合同款的</w:t>
      </w:r>
      <w:r>
        <w:rPr>
          <w:rFonts w:hint="eastAsia" w:ascii="仿宋" w:hAnsi="仿宋" w:eastAsia="仿宋" w:cs="仿宋"/>
          <w:sz w:val="24"/>
          <w:lang w:val="en-US" w:eastAsia="zh-CN"/>
        </w:rPr>
        <w:t>4</w:t>
      </w:r>
      <w:r>
        <w:rPr>
          <w:rFonts w:hint="eastAsia" w:ascii="仿宋" w:hAnsi="仿宋" w:eastAsia="仿宋" w:cs="仿宋"/>
          <w:sz w:val="24"/>
        </w:rPr>
        <w:t>0%</w:t>
      </w:r>
      <w:r>
        <w:rPr>
          <w:rFonts w:hint="eastAsia" w:ascii="仿宋" w:hAnsi="仿宋" w:eastAsia="仿宋" w:cs="仿宋"/>
          <w:sz w:val="24"/>
          <w:lang w:val="en-US" w:eastAsia="zh-CN"/>
        </w:rPr>
        <w:t>，</w:t>
      </w:r>
      <w:r>
        <w:rPr>
          <w:rFonts w:hint="eastAsia" w:ascii="仿宋" w:hAnsi="仿宋" w:eastAsia="仿宋" w:cs="仿宋"/>
          <w:sz w:val="24"/>
        </w:rPr>
        <w:t>验收合格</w:t>
      </w:r>
      <w:r>
        <w:rPr>
          <w:rFonts w:hint="eastAsia" w:ascii="仿宋" w:hAnsi="仿宋" w:eastAsia="仿宋" w:cs="仿宋"/>
          <w:sz w:val="24"/>
          <w:lang w:val="en-US" w:eastAsia="zh-CN"/>
        </w:rPr>
        <w:t>后7个工作日支付合同价的60%。</w:t>
      </w:r>
    </w:p>
    <w:p>
      <w:pPr>
        <w:pStyle w:val="232"/>
      </w:pPr>
    </w:p>
    <w:p>
      <w:pPr>
        <w:pStyle w:val="61"/>
        <w:rPr>
          <w:rFonts w:hint="eastAsia"/>
          <w:lang w:eastAsia="zh-CN"/>
        </w:rPr>
      </w:pPr>
    </w:p>
    <w:p>
      <w:pPr>
        <w:jc w:val="left"/>
        <w:rPr>
          <w:rFonts w:hint="eastAsia"/>
          <w:b/>
          <w:bCs/>
          <w:sz w:val="32"/>
          <w:szCs w:val="32"/>
        </w:rPr>
      </w:pPr>
      <w:r>
        <w:rPr>
          <w:rFonts w:hint="eastAsia" w:ascii="仿宋" w:hAnsi="仿宋" w:eastAsia="仿宋" w:cs="仿宋"/>
          <w:b/>
          <w:sz w:val="32"/>
          <w:szCs w:val="32"/>
          <w:highlight w:val="none"/>
        </w:rPr>
        <w:t>样品清单：</w:t>
      </w:r>
    </w:p>
    <w:tbl>
      <w:tblPr>
        <w:tblStyle w:val="62"/>
        <w:tblW w:w="5133" w:type="pct"/>
        <w:tblInd w:w="-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1536"/>
        <w:gridCol w:w="1047"/>
        <w:gridCol w:w="4032"/>
        <w:gridCol w:w="698"/>
        <w:gridCol w:w="6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序号</w:t>
            </w:r>
          </w:p>
        </w:tc>
        <w:tc>
          <w:tcPr>
            <w:tcW w:w="87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60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31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40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400"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831850" cy="504190"/>
                  <wp:effectExtent l="0" t="0" r="6350" b="10160"/>
                  <wp:docPr id="381" name="图片 381" descr="1667873263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1667873263450(1)"/>
                          <pic:cNvPicPr>
                            <a:picLocks noChangeAspect="1"/>
                          </pic:cNvPicPr>
                        </pic:nvPicPr>
                        <pic:blipFill>
                          <a:blip r:embed="rId70"/>
                          <a:stretch>
                            <a:fillRect/>
                          </a:stretch>
                        </pic:blipFill>
                        <pic:spPr>
                          <a:xfrm>
                            <a:off x="0" y="0"/>
                            <a:ext cx="831850" cy="504190"/>
                          </a:xfrm>
                          <a:prstGeom prst="rect">
                            <a:avLst/>
                          </a:prstGeom>
                        </pic:spPr>
                      </pic:pic>
                    </a:graphicData>
                  </a:graphic>
                </wp:inline>
              </w:drawing>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办公桌</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bdr w:val="single" w:color="000000" w:sz="4" w:space="0"/>
                <w:lang w:val="en-US" w:eastAsia="zh-CN" w:bidi="ar"/>
              </w:rPr>
            </w:pPr>
            <w:r>
              <w:rPr>
                <w:rFonts w:hint="eastAsia" w:ascii="宋体" w:hAnsi="宋体" w:eastAsia="宋体" w:cs="宋体"/>
                <w:i w:val="0"/>
                <w:iCs w:val="0"/>
                <w:color w:val="000000"/>
                <w:kern w:val="0"/>
                <w:sz w:val="18"/>
                <w:szCs w:val="18"/>
                <w:u w:val="none"/>
                <w:lang w:val="en-US" w:eastAsia="zh-CN" w:bidi="ar"/>
              </w:rPr>
              <w:t>尺寸：1200*600*760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60020" cy="160020"/>
                  <wp:effectExtent l="0" t="0" r="0" b="0"/>
                  <wp:wrapNone/>
                  <wp:docPr id="392" name="Picture_124_SpCnt_197"/>
                  <wp:cNvGraphicFramePr/>
                  <a:graphic xmlns:a="http://schemas.openxmlformats.org/drawingml/2006/main">
                    <a:graphicData uri="http://schemas.openxmlformats.org/drawingml/2006/picture">
                      <pic:pic xmlns:pic="http://schemas.openxmlformats.org/drawingml/2006/picture">
                        <pic:nvPicPr>
                          <pic:cNvPr id="392" name="Picture_124_SpCnt_197"/>
                          <pic:cNvPicPr/>
                        </pic:nvPicPr>
                        <pic:blipFill>
                          <a:blip r:embed="rId58"/>
                          <a:stretch>
                            <a:fillRect/>
                          </a:stretch>
                        </pic:blipFill>
                        <pic:spPr>
                          <a:xfrm>
                            <a:off x="0" y="0"/>
                            <a:ext cx="160020" cy="16002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1、基材：采用优质环保三聚氰胺贴面实木多层板，甲醛释放量≤0.5mg/L，符合GB18580-2001标准要求。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2、饰面材料：采用浸渍胶膜纸，表面耐磨、耐污、耐划伤，易清洁，耐磨测试250R无透底现象。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3、封边：同色PVC封边条，厚度2mm 以上。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 xml:space="preserve">4、五金配件：使用优质五金配件（阻尼不锈钢三节轨、机械密码锁具、拉手、阻尼不锈钢铰链等）。                                                         5、颜色：由业主单位指定。                                        </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bdr w:val="single" w:color="000000" w:sz="4" w:space="0"/>
                <w:lang w:val="en-US" w:eastAsia="zh-CN" w:bidi="ar"/>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124460</wp:posOffset>
                  </wp:positionH>
                  <wp:positionV relativeFrom="paragraph">
                    <wp:posOffset>955675</wp:posOffset>
                  </wp:positionV>
                  <wp:extent cx="584200" cy="715645"/>
                  <wp:effectExtent l="0" t="0" r="6350" b="8255"/>
                  <wp:wrapNone/>
                  <wp:docPr id="518" name="Picture_1"/>
                  <wp:cNvGraphicFramePr/>
                  <a:graphic xmlns:a="http://schemas.openxmlformats.org/drawingml/2006/main">
                    <a:graphicData uri="http://schemas.openxmlformats.org/drawingml/2006/picture">
                      <pic:pic xmlns:pic="http://schemas.openxmlformats.org/drawingml/2006/picture">
                        <pic:nvPicPr>
                          <pic:cNvPr id="518" name="Picture_1"/>
                          <pic:cNvPicPr/>
                        </pic:nvPicPr>
                        <pic:blipFill>
                          <a:blip r:embed="rId165"/>
                          <a:stretch>
                            <a:fillRect/>
                          </a:stretch>
                        </pic:blipFill>
                        <pic:spPr>
                          <a:xfrm>
                            <a:off x="0" y="0"/>
                            <a:ext cx="584200" cy="715645"/>
                          </a:xfrm>
                          <a:prstGeom prst="rect">
                            <a:avLst/>
                          </a:prstGeom>
                          <a:noFill/>
                          <a:ln>
                            <a:noFill/>
                          </a:ln>
                        </pic:spPr>
                      </pic:pic>
                    </a:graphicData>
                  </a:graphic>
                </wp:anchor>
              </w:drawing>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椅子(小班）</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尺寸：270×280×445mm，坐高240mm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主材：椅子主构架采用22mm厚橡胶木实木料，坐板采用18mm厚橡胶木实木板，靠板采用16mm厚橡胶木曲形实木板，甲醛释放量符合GB18580-2017《室内装饰装修材料人造板及其制品中甲醛释放限量》标准要求。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特有：靠背呈弧形凹陷设计，贴合幼儿身体曲线，符合人体工程，前腿连接处采用45°斜头拼接，后腿特征呈弧形，美观牢固。</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bdr w:val="single" w:color="000000" w:sz="4" w:space="0"/>
                <w:lang w:val="en-US" w:eastAsia="zh-CN" w:bidi="ar"/>
              </w:rPr>
            </w:pP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232410</wp:posOffset>
                  </wp:positionH>
                  <wp:positionV relativeFrom="paragraph">
                    <wp:posOffset>937895</wp:posOffset>
                  </wp:positionV>
                  <wp:extent cx="590550" cy="649605"/>
                  <wp:effectExtent l="0" t="0" r="0" b="17145"/>
                  <wp:wrapNone/>
                  <wp:docPr id="519" name="Picture_1_SpCnt_1"/>
                  <wp:cNvGraphicFramePr/>
                  <a:graphic xmlns:a="http://schemas.openxmlformats.org/drawingml/2006/main">
                    <a:graphicData uri="http://schemas.openxmlformats.org/drawingml/2006/picture">
                      <pic:pic xmlns:pic="http://schemas.openxmlformats.org/drawingml/2006/picture">
                        <pic:nvPicPr>
                          <pic:cNvPr id="519" name="Picture_1_SpCnt_1"/>
                          <pic:cNvPicPr/>
                        </pic:nvPicPr>
                        <pic:blipFill>
                          <a:blip r:embed="rId166"/>
                          <a:stretch>
                            <a:fillRect/>
                          </a:stretch>
                        </pic:blipFill>
                        <pic:spPr>
                          <a:xfrm>
                            <a:off x="0" y="0"/>
                            <a:ext cx="590550" cy="649605"/>
                          </a:xfrm>
                          <a:prstGeom prst="rect">
                            <a:avLst/>
                          </a:prstGeom>
                          <a:noFill/>
                          <a:ln>
                            <a:noFill/>
                          </a:ln>
                        </pic:spPr>
                      </pic:pic>
                    </a:graphicData>
                  </a:graphic>
                </wp:anchor>
              </w:drawing>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圆腿正方桌(小班）</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尺寸：600×600×500mm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主材：桌面采用18mm厚橡胶木实木板，甲醛释放量符合GB18580-2017《室内装饰装修材料人造板及其制品中甲醛释放限量》标准要求，桌腿采用φ62mm橡胶木实木料。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p>
            <w:pPr>
              <w:keepNext w:val="0"/>
              <w:keepLines w:val="0"/>
              <w:widowControl/>
              <w:suppressLineNumbers w:val="0"/>
              <w:jc w:val="left"/>
              <w:textAlignment w:val="center"/>
              <w:rPr>
                <w:rFonts w:hint="eastAsia" w:ascii="微软雅黑" w:hAnsi="微软雅黑" w:eastAsia="微软雅黑" w:cs="微软雅黑"/>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特有：桌面板边缘斜切后修大圆角,无框架连接档以增加桌面下活动空间。</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2"/>
                <w:sz w:val="18"/>
                <w:szCs w:val="18"/>
                <w:u w:val="none"/>
                <w:lang w:val="en-US" w:eastAsia="zh-CN" w:bidi="ar-SA"/>
              </w:rPr>
            </w:pPr>
            <w:r>
              <w:rPr>
                <w:rFonts w:hint="eastAsia" w:ascii="微软雅黑" w:hAnsi="微软雅黑" w:eastAsia="微软雅黑" w:cs="微软雅黑"/>
                <w:i w:val="0"/>
                <w:iCs w:val="0"/>
                <w:color w:val="auto"/>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bdr w:val="single" w:color="000000" w:sz="4" w:space="0"/>
                <w:lang w:val="en-US" w:eastAsia="zh-CN" w:bidi="ar"/>
              </w:rPr>
            </w:pP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四层抽拉床</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尺寸：四层：1500×600×1000mm 三层：1414×600×780mm 二层：1328×600×560mm 一层：1242×600×340mm （可置入床垫尺寸：四层：1444×550mm 三层：1358×550mm 二层：1272×550mm 一层：1186×550mm）主材：床架采用70×28mm厚松木实木料，围栏采用45×28mm厚松木实木料，床板采用12mm</w:t>
            </w:r>
            <w:r>
              <w:rPr>
                <w:rFonts w:hint="eastAsia" w:ascii="微软雅黑" w:hAnsi="微软雅黑" w:eastAsia="微软雅黑" w:cs="微软雅黑"/>
                <w:i w:val="0"/>
                <w:iCs w:val="0"/>
                <w:color w:val="000000"/>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-1607820</wp:posOffset>
                  </wp:positionH>
                  <wp:positionV relativeFrom="paragraph">
                    <wp:posOffset>302260</wp:posOffset>
                  </wp:positionV>
                  <wp:extent cx="651510" cy="876935"/>
                  <wp:effectExtent l="0" t="0" r="15240" b="18415"/>
                  <wp:wrapNone/>
                  <wp:docPr id="523" name="Picture_1_SpCnt_5"/>
                  <wp:cNvGraphicFramePr/>
                  <a:graphic xmlns:a="http://schemas.openxmlformats.org/drawingml/2006/main">
                    <a:graphicData uri="http://schemas.openxmlformats.org/drawingml/2006/picture">
                      <pic:pic xmlns:pic="http://schemas.openxmlformats.org/drawingml/2006/picture">
                        <pic:nvPicPr>
                          <pic:cNvPr id="523" name="Picture_1_SpCnt_5"/>
                          <pic:cNvPicPr/>
                        </pic:nvPicPr>
                        <pic:blipFill>
                          <a:blip r:embed="rId167"/>
                          <a:stretch>
                            <a:fillRect/>
                          </a:stretch>
                        </pic:blipFill>
                        <pic:spPr>
                          <a:xfrm>
                            <a:off x="0" y="0"/>
                            <a:ext cx="651510" cy="87693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厚松木实木板，甲醛释放量符合GB18580-2017《室内装饰装修材料人造板及其制品中甲醛释放限量》标准要求。水性漆：涂料采用水性漆表面喷涂处理，甲醛，VOC，乙二醇醚及醚酯总和，苯系物总和，烷基酚聚氧乙烯醚总和含量符合GB18581-2020《木器涂料中有害物质限量》标准要求。五金件：抗盐雾符合GB28007-2011《儿童家具通用技术条件》标准要求。脚钉：重金属检测符合GB28481-2012《塑料家具中有害物质限量》标准要求。脚轮：抗盐雾符合GB28007-2011《儿童家具通用技术条件》标准要求。工艺：表面光洁，无裂缝，无毛刺，无锐边，连接牢固安全,边缘抛圆处理,安全缝隙和孔洞均符合GB28007-2011儿童家具通用技术条件的要求。</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drawing>
                <wp:inline distT="0" distB="0" distL="114300" distR="114300">
                  <wp:extent cx="676275" cy="781050"/>
                  <wp:effectExtent l="0" t="0" r="9525" b="0"/>
                  <wp:docPr id="59"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0" descr="IMG_345"/>
                          <pic:cNvPicPr>
                            <a:picLocks noChangeAspect="1"/>
                          </pic:cNvPicPr>
                        </pic:nvPicPr>
                        <pic:blipFill>
                          <a:blip r:embed="rId147"/>
                          <a:stretch>
                            <a:fillRect/>
                          </a:stretch>
                        </pic:blipFill>
                        <pic:spPr>
                          <a:xfrm>
                            <a:off x="0" y="0"/>
                            <a:ext cx="676275" cy="781050"/>
                          </a:xfrm>
                          <a:prstGeom prst="rect">
                            <a:avLst/>
                          </a:prstGeom>
                          <a:noFill/>
                          <a:ln w="9525">
                            <a:noFill/>
                          </a:ln>
                        </pic:spPr>
                      </pic:pic>
                    </a:graphicData>
                  </a:graphic>
                </wp:inline>
              </w:drawing>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90度弯柜（大班）</w:t>
            </w:r>
          </w:p>
        </w:tc>
        <w:tc>
          <w:tcPr>
            <w:tcW w:w="2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848×300×778mm主材：采用18mm厚橡胶木实木板，甲醛释放量符合GB18580-2017《室内装饰装修材料人造板及其制品中甲醛释放限量》标准要求。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水性漆：涂料采用水性漆表面喷涂处理，甲醛，VOC，乙二醇醚及醚酯总和，苯系物总和，烷基酚聚氧乙烯醚总和含量符合GB18581-2020《木器涂料中有害物质限量》标准要求。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五金件：抗盐雾符合GB28007-2011《儿童家具通用技术条件》标准要求。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脚钉：重金属检测符合GB28481-2012《塑料家具中有害物质限量》标准要求。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工艺：表面光洁，无裂缝，无毛刺，无锐边，连接牢固安全,边缘抛圆处理,安全缝隙和孔洞均符合GB28007-2011《儿童家具通用技术条件》标准要求。</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张</w:t>
            </w:r>
          </w:p>
        </w:tc>
      </w:tr>
    </w:tbl>
    <w:p>
      <w:pPr>
        <w:jc w:val="center"/>
        <w:rPr>
          <w:rFonts w:hint="eastAsia"/>
          <w:b/>
          <w:bCs/>
          <w:sz w:val="32"/>
          <w:szCs w:val="32"/>
        </w:rPr>
      </w:pP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备注：</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（1）按采购需求规定</w:t>
      </w:r>
      <w:r>
        <w:rPr>
          <w:rFonts w:hint="eastAsia" w:ascii="仿宋_GB2312" w:hAnsi="仿宋" w:eastAsia="仿宋_GB2312" w:cs="Times New Roman"/>
          <w:sz w:val="24"/>
          <w:szCs w:val="24"/>
          <w:highlight w:val="none"/>
        </w:rPr>
        <w:t>的规格和要求</w:t>
      </w:r>
      <w:r>
        <w:rPr>
          <w:rFonts w:hint="eastAsia" w:ascii="仿宋_GB2312" w:hAnsi="仿宋" w:eastAsia="仿宋_GB2312" w:cs="Times New Roman"/>
          <w:sz w:val="24"/>
          <w:szCs w:val="24"/>
          <w:highlight w:val="none"/>
          <w:lang w:eastAsia="zh-CN"/>
        </w:rPr>
        <w:t>提供</w:t>
      </w:r>
      <w:r>
        <w:rPr>
          <w:rFonts w:hint="eastAsia" w:ascii="仿宋_GB2312" w:hAnsi="仿宋" w:eastAsia="仿宋_GB2312" w:cs="Times New Roman"/>
          <w:sz w:val="24"/>
          <w:szCs w:val="24"/>
          <w:highlight w:val="none"/>
        </w:rPr>
        <w:t>样品：</w:t>
      </w:r>
      <w:r>
        <w:rPr>
          <w:rFonts w:hint="eastAsia" w:ascii="仿宋_GB2312" w:hAnsi="仿宋" w:eastAsia="仿宋_GB2312" w:cs="Times New Roman"/>
          <w:b/>
          <w:bCs/>
          <w:sz w:val="24"/>
          <w:szCs w:val="24"/>
          <w:highlight w:val="none"/>
          <w:lang w:val="en-US" w:eastAsia="zh-CN"/>
        </w:rPr>
        <w:t>1、办公桌1张；2、椅子(小班）1张；3、圆腿正方桌(小班）1张；4、四层抽拉床1张；5、90度弯柜（详见样品清单）</w:t>
      </w:r>
      <w:r>
        <w:rPr>
          <w:rFonts w:hint="eastAsia" w:ascii="仿宋_GB2312" w:hAnsi="仿宋" w:eastAsia="仿宋_GB2312" w:cs="Times New Roman"/>
          <w:sz w:val="24"/>
          <w:szCs w:val="24"/>
          <w:highlight w:val="none"/>
        </w:rPr>
        <w:t>。评标</w:t>
      </w:r>
      <w:r>
        <w:rPr>
          <w:rFonts w:hint="eastAsia" w:ascii="仿宋_GB2312" w:hAnsi="仿宋" w:eastAsia="仿宋_GB2312" w:cs="Times New Roman"/>
          <w:sz w:val="24"/>
          <w:szCs w:val="24"/>
        </w:rPr>
        <w:t>委员会将根据评标方法及评分标准的规定对样品的进行评审。</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样品的</w:t>
      </w:r>
      <w:r>
        <w:rPr>
          <w:rFonts w:hint="eastAsia" w:ascii="仿宋_GB2312" w:hAnsi="仿宋" w:eastAsia="仿宋_GB2312" w:cs="Times New Roman"/>
          <w:sz w:val="24"/>
          <w:szCs w:val="24"/>
          <w:highlight w:val="none"/>
        </w:rPr>
        <w:t>时间：</w:t>
      </w:r>
      <w:r>
        <w:rPr>
          <w:rFonts w:hint="eastAsia" w:ascii="仿宋_GB2312" w:hAnsi="仿宋" w:eastAsia="仿宋_GB2312" w:cs="Times New Roman"/>
          <w:b/>
          <w:bCs/>
          <w:color w:val="auto"/>
          <w:sz w:val="24"/>
          <w:szCs w:val="24"/>
          <w:highlight w:val="none"/>
        </w:rPr>
        <w:t>2022年</w:t>
      </w:r>
      <w:r>
        <w:rPr>
          <w:rFonts w:hint="eastAsia" w:ascii="仿宋_GB2312" w:hAnsi="仿宋" w:eastAsia="仿宋_GB2312" w:cs="Times New Roman"/>
          <w:b/>
          <w:bCs/>
          <w:color w:val="auto"/>
          <w:sz w:val="24"/>
          <w:szCs w:val="24"/>
          <w:highlight w:val="none"/>
          <w:lang w:val="en-US" w:eastAsia="zh-CN"/>
        </w:rPr>
        <w:t>11</w:t>
      </w:r>
      <w:r>
        <w:rPr>
          <w:rFonts w:hint="eastAsia" w:ascii="仿宋_GB2312" w:hAnsi="仿宋" w:eastAsia="仿宋_GB2312" w:cs="Times New Roman"/>
          <w:b/>
          <w:bCs/>
          <w:color w:val="auto"/>
          <w:sz w:val="24"/>
          <w:szCs w:val="24"/>
          <w:highlight w:val="none"/>
        </w:rPr>
        <w:t>月</w:t>
      </w:r>
      <w:r>
        <w:rPr>
          <w:rFonts w:hint="eastAsia" w:ascii="仿宋_GB2312" w:hAnsi="仿宋" w:eastAsia="仿宋_GB2312" w:cs="Times New Roman"/>
          <w:b/>
          <w:bCs/>
          <w:color w:val="auto"/>
          <w:sz w:val="24"/>
          <w:szCs w:val="24"/>
          <w:highlight w:val="none"/>
          <w:lang w:val="en-US" w:eastAsia="zh-CN"/>
        </w:rPr>
        <w:t>23</w:t>
      </w:r>
      <w:r>
        <w:rPr>
          <w:rFonts w:hint="eastAsia" w:ascii="仿宋_GB2312" w:hAnsi="仿宋" w:eastAsia="仿宋_GB2312" w:cs="Times New Roman"/>
          <w:b/>
          <w:bCs/>
          <w:color w:val="auto"/>
          <w:sz w:val="24"/>
          <w:szCs w:val="24"/>
          <w:highlight w:val="none"/>
        </w:rPr>
        <w:t>日 8:</w:t>
      </w:r>
      <w:r>
        <w:rPr>
          <w:rFonts w:hint="eastAsia" w:ascii="仿宋_GB2312" w:hAnsi="仿宋" w:eastAsia="仿宋_GB2312" w:cs="Times New Roman"/>
          <w:b/>
          <w:bCs/>
          <w:color w:val="auto"/>
          <w:sz w:val="24"/>
          <w:szCs w:val="24"/>
          <w:highlight w:val="none"/>
          <w:lang w:val="en-US" w:eastAsia="zh-CN"/>
        </w:rPr>
        <w:t>3</w:t>
      </w:r>
      <w:r>
        <w:rPr>
          <w:rFonts w:hint="eastAsia" w:ascii="仿宋_GB2312" w:hAnsi="仿宋" w:eastAsia="仿宋_GB2312" w:cs="Times New Roman"/>
          <w:b/>
          <w:bCs/>
          <w:color w:val="auto"/>
          <w:sz w:val="24"/>
          <w:szCs w:val="24"/>
          <w:highlight w:val="none"/>
        </w:rPr>
        <w:t>0:00至2022年</w:t>
      </w:r>
      <w:r>
        <w:rPr>
          <w:rFonts w:hint="eastAsia" w:ascii="仿宋_GB2312" w:hAnsi="仿宋" w:eastAsia="仿宋_GB2312" w:cs="Times New Roman"/>
          <w:b/>
          <w:bCs/>
          <w:color w:val="auto"/>
          <w:sz w:val="24"/>
          <w:szCs w:val="24"/>
          <w:highlight w:val="none"/>
          <w:lang w:val="en-US" w:eastAsia="zh-CN"/>
        </w:rPr>
        <w:t>11</w:t>
      </w:r>
      <w:r>
        <w:rPr>
          <w:rFonts w:hint="eastAsia" w:ascii="仿宋_GB2312" w:hAnsi="仿宋" w:eastAsia="仿宋_GB2312" w:cs="Times New Roman"/>
          <w:b/>
          <w:bCs/>
          <w:color w:val="auto"/>
          <w:sz w:val="24"/>
          <w:szCs w:val="24"/>
          <w:highlight w:val="none"/>
        </w:rPr>
        <w:t>月</w:t>
      </w:r>
      <w:r>
        <w:rPr>
          <w:rFonts w:hint="eastAsia" w:ascii="仿宋_GB2312" w:hAnsi="仿宋" w:eastAsia="仿宋_GB2312" w:cs="Times New Roman"/>
          <w:b/>
          <w:bCs/>
          <w:color w:val="auto"/>
          <w:sz w:val="24"/>
          <w:szCs w:val="24"/>
          <w:highlight w:val="none"/>
          <w:lang w:val="en-US" w:eastAsia="zh-CN"/>
        </w:rPr>
        <w:t>23</w:t>
      </w:r>
      <w:r>
        <w:rPr>
          <w:rFonts w:hint="eastAsia" w:ascii="仿宋_GB2312" w:hAnsi="仿宋" w:eastAsia="仿宋_GB2312" w:cs="Times New Roman"/>
          <w:b/>
          <w:bCs/>
          <w:color w:val="auto"/>
          <w:sz w:val="24"/>
          <w:szCs w:val="24"/>
          <w:highlight w:val="none"/>
        </w:rPr>
        <w:t>日13:</w:t>
      </w:r>
      <w:r>
        <w:rPr>
          <w:rFonts w:hint="eastAsia" w:ascii="仿宋_GB2312" w:hAnsi="仿宋" w:eastAsia="仿宋_GB2312" w:cs="Times New Roman"/>
          <w:b/>
          <w:bCs/>
          <w:color w:val="auto"/>
          <w:sz w:val="24"/>
          <w:szCs w:val="24"/>
          <w:highlight w:val="none"/>
          <w:lang w:val="en-US" w:eastAsia="zh-CN"/>
        </w:rPr>
        <w:t>0</w:t>
      </w:r>
      <w:r>
        <w:rPr>
          <w:rFonts w:hint="eastAsia" w:ascii="仿宋_GB2312" w:hAnsi="仿宋" w:eastAsia="仿宋_GB2312" w:cs="Times New Roman"/>
          <w:b/>
          <w:bCs/>
          <w:color w:val="auto"/>
          <w:sz w:val="24"/>
          <w:szCs w:val="24"/>
          <w:highlight w:val="none"/>
        </w:rPr>
        <w:t>0:00</w:t>
      </w:r>
      <w:r>
        <w:rPr>
          <w:rFonts w:hint="eastAsia" w:ascii="仿宋_GB2312" w:hAnsi="仿宋" w:eastAsia="仿宋_GB2312" w:cs="Times New Roman"/>
          <w:b/>
          <w:bCs/>
          <w:color w:val="auto"/>
          <w:sz w:val="24"/>
          <w:szCs w:val="24"/>
          <w:highlight w:val="none"/>
          <w:lang w:eastAsia="zh-CN"/>
        </w:rPr>
        <w:t>。</w:t>
      </w:r>
      <w:r>
        <w:rPr>
          <w:rFonts w:hint="eastAsia" w:ascii="仿宋_GB2312" w:hAnsi="仿宋" w:eastAsia="仿宋_GB2312" w:cs="Times New Roman"/>
          <w:sz w:val="24"/>
          <w:szCs w:val="24"/>
          <w:highlight w:val="none"/>
        </w:rPr>
        <w:t>请投标人在上述时间内</w:t>
      </w:r>
      <w:r>
        <w:rPr>
          <w:rFonts w:hint="eastAsia" w:ascii="仿宋_GB2312" w:hAnsi="仿宋" w:eastAsia="仿宋_GB2312" w:cs="Times New Roman"/>
          <w:sz w:val="24"/>
          <w:szCs w:val="24"/>
          <w:highlight w:val="none"/>
          <w:lang w:eastAsia="zh-CN"/>
        </w:rPr>
        <w:t>提供</w:t>
      </w:r>
      <w:r>
        <w:rPr>
          <w:rFonts w:hint="eastAsia" w:ascii="仿宋_GB2312" w:hAnsi="仿宋" w:eastAsia="仿宋_GB2312" w:cs="Times New Roman"/>
          <w:sz w:val="24"/>
          <w:szCs w:val="24"/>
          <w:highlight w:val="none"/>
        </w:rPr>
        <w:t>样品并按规定位置安装完毕。超过截止时间的，采购人将不</w:t>
      </w:r>
      <w:r>
        <w:rPr>
          <w:rFonts w:hint="eastAsia" w:ascii="仿宋_GB2312" w:hAnsi="仿宋" w:eastAsia="仿宋_GB2312" w:cs="Times New Roman"/>
          <w:sz w:val="24"/>
          <w:szCs w:val="24"/>
        </w:rPr>
        <w:t>予接收。截止时间过后，采购人将清场并封闭样品现场。样</w:t>
      </w:r>
      <w:r>
        <w:rPr>
          <w:rFonts w:hint="eastAsia" w:ascii="仿宋_GB2312" w:hAnsi="仿宋" w:eastAsia="仿宋_GB2312" w:cs="Times New Roman"/>
          <w:color w:val="auto"/>
          <w:sz w:val="24"/>
          <w:szCs w:val="24"/>
        </w:rPr>
        <w:t>品接收地点：</w:t>
      </w:r>
      <w:r>
        <w:rPr>
          <w:rFonts w:hint="eastAsia" w:ascii="仿宋_GB2312" w:hAnsi="仿宋" w:eastAsia="仿宋_GB2312" w:cs="Times New Roman"/>
          <w:b/>
          <w:bCs/>
          <w:color w:val="auto"/>
          <w:sz w:val="24"/>
          <w:szCs w:val="24"/>
        </w:rPr>
        <w:t>浙江省杭州市临安区锦北街道科技大道4398号市民中心1号楼B座4楼询标室B436</w:t>
      </w:r>
      <w:r>
        <w:rPr>
          <w:rFonts w:hint="eastAsia" w:ascii="仿宋_GB2312" w:hAnsi="仿宋" w:eastAsia="仿宋_GB2312" w:cs="Times New Roman"/>
          <w:color w:val="auto"/>
          <w:sz w:val="24"/>
          <w:szCs w:val="24"/>
        </w:rPr>
        <w:t>。所有</w:t>
      </w:r>
      <w:r>
        <w:rPr>
          <w:rFonts w:hint="eastAsia" w:ascii="仿宋_GB2312" w:hAnsi="仿宋" w:eastAsia="仿宋_GB2312" w:cs="Times New Roman"/>
          <w:color w:val="auto"/>
          <w:sz w:val="24"/>
          <w:szCs w:val="24"/>
          <w:lang w:eastAsia="zh-CN"/>
        </w:rPr>
        <w:t>提供</w:t>
      </w:r>
      <w:r>
        <w:rPr>
          <w:rFonts w:hint="eastAsia" w:ascii="仿宋_GB2312" w:hAnsi="仿宋" w:eastAsia="仿宋_GB2312" w:cs="Times New Roman"/>
          <w:sz w:val="24"/>
          <w:szCs w:val="24"/>
        </w:rPr>
        <w:t>的样品不能出现公司名称或与公司有关的商标和标记，如发现有，所有样品分作零分处理；样品未</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或样品</w:t>
      </w:r>
      <w:r>
        <w:rPr>
          <w:rFonts w:hint="eastAsia" w:ascii="仿宋_GB2312" w:hAnsi="仿宋" w:eastAsia="仿宋_GB2312" w:cs="Times New Roman"/>
          <w:sz w:val="24"/>
          <w:szCs w:val="24"/>
          <w:lang w:eastAsia="zh-CN"/>
        </w:rPr>
        <w:t>提供</w:t>
      </w:r>
      <w:r>
        <w:rPr>
          <w:rFonts w:hint="eastAsia" w:ascii="仿宋_GB2312" w:hAnsi="仿宋" w:eastAsia="仿宋_GB2312" w:cs="Times New Roman"/>
          <w:sz w:val="24"/>
          <w:szCs w:val="24"/>
        </w:rPr>
        <w:t>不全，样品分作零分处理。</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w:t>
      </w:r>
      <w:r>
        <w:rPr>
          <w:rFonts w:ascii="仿宋_GB2312" w:hAnsi="仿宋" w:eastAsia="仿宋_GB2312" w:cs="Times New Roman"/>
          <w:sz w:val="24"/>
          <w:szCs w:val="24"/>
        </w:rPr>
        <w:t>采购活动结束后，对于未中标人</w:t>
      </w:r>
      <w:r>
        <w:rPr>
          <w:rFonts w:hint="eastAsia" w:ascii="仿宋_GB2312" w:hAnsi="仿宋" w:eastAsia="仿宋_GB2312" w:cs="Times New Roman"/>
          <w:sz w:val="24"/>
          <w:szCs w:val="24"/>
          <w:lang w:eastAsia="zh-CN"/>
        </w:rPr>
        <w:t>提供</w:t>
      </w:r>
      <w:r>
        <w:rPr>
          <w:rFonts w:ascii="仿宋_GB2312" w:hAnsi="仿宋" w:eastAsia="仿宋_GB2312" w:cs="Times New Roman"/>
          <w:sz w:val="24"/>
          <w:szCs w:val="24"/>
        </w:rPr>
        <w:t>的样品，</w:t>
      </w:r>
      <w:r>
        <w:rPr>
          <w:rFonts w:hint="eastAsia" w:ascii="仿宋_GB2312" w:hAnsi="仿宋" w:eastAsia="仿宋_GB2312" w:cs="Times New Roman"/>
          <w:sz w:val="24"/>
          <w:szCs w:val="24"/>
        </w:rPr>
        <w:t>采购人、采购机构将通知</w:t>
      </w:r>
      <w:r>
        <w:rPr>
          <w:rFonts w:ascii="仿宋_GB2312" w:hAnsi="仿宋" w:eastAsia="仿宋_GB2312" w:cs="Times New Roman"/>
          <w:sz w:val="24"/>
          <w:szCs w:val="24"/>
        </w:rPr>
        <w:t>未中标人</w:t>
      </w:r>
      <w:r>
        <w:rPr>
          <w:rFonts w:hint="eastAsia" w:ascii="仿宋_GB2312" w:hAnsi="仿宋" w:eastAsia="仿宋_GB2312" w:cs="Times New Roman"/>
          <w:sz w:val="24"/>
          <w:szCs w:val="24"/>
        </w:rPr>
        <w:t>在规定的时间内取回，逾期未取回的，采购人、采购机构不负保管义务</w:t>
      </w:r>
      <w:r>
        <w:rPr>
          <w:rFonts w:ascii="仿宋_GB2312" w:hAnsi="仿宋" w:eastAsia="仿宋_GB2312" w:cs="Times New Roman"/>
          <w:sz w:val="24"/>
          <w:szCs w:val="24"/>
        </w:rPr>
        <w:t>；对于中标人</w:t>
      </w:r>
      <w:r>
        <w:rPr>
          <w:rFonts w:hint="eastAsia" w:ascii="仿宋_GB2312" w:hAnsi="仿宋" w:eastAsia="仿宋_GB2312" w:cs="Times New Roman"/>
          <w:sz w:val="24"/>
          <w:szCs w:val="24"/>
          <w:lang w:eastAsia="zh-CN"/>
        </w:rPr>
        <w:t>符合</w:t>
      </w:r>
      <w:r>
        <w:rPr>
          <w:rFonts w:ascii="仿宋_GB2312" w:hAnsi="仿宋" w:eastAsia="仿宋_GB2312" w:cs="Times New Roman"/>
          <w:sz w:val="24"/>
          <w:szCs w:val="24"/>
        </w:rPr>
        <w:t>的样品，</w:t>
      </w:r>
      <w:r>
        <w:rPr>
          <w:rFonts w:hint="eastAsia" w:ascii="仿宋_GB2312" w:hAnsi="仿宋" w:eastAsia="仿宋_GB2312" w:cs="Times New Roman"/>
          <w:sz w:val="24"/>
          <w:szCs w:val="24"/>
        </w:rPr>
        <w:t>采购人将进</w:t>
      </w:r>
      <w:r>
        <w:rPr>
          <w:rFonts w:ascii="仿宋_GB2312" w:hAnsi="仿宋" w:eastAsia="仿宋_GB2312" w:cs="Times New Roman"/>
          <w:sz w:val="24"/>
          <w:szCs w:val="24"/>
        </w:rPr>
        <w:t>行保管、封存，并作为履约验收的参考。</w:t>
      </w:r>
    </w:p>
    <w:p>
      <w:pPr>
        <w:ind w:firstLine="480" w:firstLineChars="200"/>
        <w:jc w:val="both"/>
        <w:rPr>
          <w:rFonts w:hint="eastAsia" w:ascii="仿宋_GB2312" w:hAnsi="仿宋" w:eastAsia="仿宋_GB2312" w:cs="Times New Roman"/>
          <w:sz w:val="24"/>
          <w:szCs w:val="24"/>
          <w:lang w:eastAsia="zh-CN"/>
        </w:rPr>
      </w:pPr>
      <w:r>
        <w:rPr>
          <w:rFonts w:hint="eastAsia" w:ascii="仿宋_GB2312" w:hAnsi="仿宋" w:eastAsia="仿宋_GB2312" w:cs="Times New Roman"/>
          <w:sz w:val="24"/>
          <w:szCs w:val="24"/>
        </w:rPr>
        <w:t>（4）制作、运输、安装和保管样品所发生的一切费用由投标人自理</w:t>
      </w:r>
      <w:r>
        <w:rPr>
          <w:rFonts w:hint="eastAsia" w:ascii="仿宋_GB2312" w:hAnsi="仿宋" w:eastAsia="仿宋_GB2312" w:cs="Times New Roman"/>
          <w:sz w:val="24"/>
          <w:szCs w:val="24"/>
          <w:lang w:eastAsia="zh-CN"/>
        </w:rPr>
        <w:t>。</w:t>
      </w:r>
    </w:p>
    <w:p>
      <w:pPr>
        <w:pStyle w:val="61"/>
        <w:ind w:left="0" w:leftChars="0" w:firstLine="0" w:firstLineChars="0"/>
        <w:rPr>
          <w:rFonts w:hint="default"/>
          <w:lang w:val="en-US" w:eastAsia="zh-CN"/>
        </w:rPr>
      </w:pPr>
    </w:p>
    <w:p>
      <w:pPr>
        <w:spacing w:line="360" w:lineRule="auto"/>
        <w:ind w:firstLine="181" w:firstLineChars="50"/>
        <w:rPr>
          <w:rFonts w:hint="eastAsia" w:ascii="仿宋" w:hAnsi="仿宋" w:eastAsia="仿宋" w:cs="仿宋"/>
          <w:b/>
          <w:sz w:val="36"/>
          <w:szCs w:val="36"/>
        </w:rPr>
      </w:pPr>
    </w:p>
    <w:p>
      <w:pPr>
        <w:spacing w:line="360" w:lineRule="auto"/>
        <w:rPr>
          <w:rFonts w:hint="eastAsia" w:ascii="仿宋" w:hAnsi="仿宋" w:eastAsia="仿宋" w:cs="仿宋"/>
          <w:sz w:val="24"/>
        </w:rPr>
      </w:pPr>
    </w:p>
    <w:p>
      <w:pPr>
        <w:widowControl/>
        <w:ind w:firstLine="720" w:firstLineChars="300"/>
        <w:jc w:val="left"/>
        <w:rPr>
          <w:rFonts w:hint="eastAsia" w:ascii="仿宋" w:hAnsi="仿宋" w:eastAsia="仿宋" w:cs="仿宋"/>
          <w:bCs/>
          <w:sz w:val="24"/>
        </w:rPr>
      </w:pPr>
    </w:p>
    <w:p>
      <w:pPr>
        <w:rPr>
          <w:rFonts w:hint="eastAsia" w:ascii="仿宋" w:hAnsi="仿宋" w:eastAsia="仿宋" w:cs="仿宋"/>
          <w:snapToGrid w:val="0"/>
          <w:kern w:val="0"/>
          <w:sz w:val="24"/>
        </w:rPr>
      </w:pPr>
    </w:p>
    <w:p>
      <w:pPr>
        <w:snapToGrid w:val="0"/>
        <w:spacing w:line="360" w:lineRule="auto"/>
        <w:jc w:val="center"/>
        <w:rPr>
          <w:rFonts w:hint="eastAsia" w:ascii="仿宋" w:hAnsi="仿宋" w:eastAsia="仿宋" w:cs="仿宋"/>
          <w:b/>
          <w:sz w:val="36"/>
          <w:szCs w:val="36"/>
        </w:rPr>
      </w:pPr>
      <w:r>
        <w:rPr>
          <w:rFonts w:hint="eastAsia" w:ascii="仿宋" w:hAnsi="仿宋" w:eastAsia="仿宋" w:cs="仿宋"/>
          <w:b/>
          <w:sz w:val="24"/>
        </w:rPr>
        <w:br w:type="page"/>
      </w:r>
      <w:r>
        <w:rPr>
          <w:rFonts w:hint="eastAsia" w:ascii="仿宋" w:hAnsi="仿宋" w:eastAsia="仿宋" w:cs="仿宋"/>
          <w:b/>
          <w:sz w:val="36"/>
          <w:szCs w:val="36"/>
        </w:rPr>
        <w:t xml:space="preserve">第四部分   </w:t>
      </w:r>
      <w:bookmarkStart w:id="33" w:name="_Toc184314412"/>
      <w:bookmarkEnd w:id="33"/>
      <w:bookmarkStart w:id="34" w:name="_Toc184310325"/>
      <w:bookmarkEnd w:id="34"/>
      <w:bookmarkStart w:id="35" w:name="_Toc184312097"/>
      <w:bookmarkEnd w:id="35"/>
      <w:bookmarkStart w:id="36" w:name="_Toc184312088"/>
      <w:bookmarkEnd w:id="36"/>
      <w:bookmarkStart w:id="37" w:name="_Toc184312106"/>
      <w:bookmarkEnd w:id="37"/>
      <w:bookmarkStart w:id="38" w:name="_Toc184313243"/>
      <w:bookmarkEnd w:id="38"/>
      <w:bookmarkStart w:id="39" w:name="_Toc184308045"/>
      <w:bookmarkEnd w:id="39"/>
      <w:bookmarkStart w:id="40" w:name="_Toc184308052"/>
      <w:bookmarkEnd w:id="40"/>
      <w:bookmarkStart w:id="41" w:name="_Toc184312074"/>
      <w:bookmarkEnd w:id="41"/>
      <w:bookmarkStart w:id="42" w:name="_Toc184313306"/>
      <w:bookmarkEnd w:id="42"/>
      <w:bookmarkStart w:id="43" w:name="_Toc184308050"/>
      <w:bookmarkEnd w:id="43"/>
      <w:bookmarkStart w:id="44" w:name="_Toc184313282"/>
      <w:bookmarkEnd w:id="44"/>
      <w:bookmarkStart w:id="45" w:name="_Toc184313295"/>
      <w:bookmarkEnd w:id="45"/>
      <w:bookmarkStart w:id="46" w:name="_Toc184312139"/>
      <w:bookmarkEnd w:id="46"/>
      <w:bookmarkStart w:id="47" w:name="_Toc184308082"/>
      <w:bookmarkEnd w:id="47"/>
      <w:bookmarkStart w:id="48" w:name="_Toc184312075"/>
      <w:bookmarkEnd w:id="48"/>
      <w:bookmarkStart w:id="49" w:name="_Toc184310289"/>
      <w:bookmarkEnd w:id="49"/>
      <w:bookmarkStart w:id="50" w:name="_Toc184312138"/>
      <w:bookmarkEnd w:id="50"/>
      <w:bookmarkStart w:id="51" w:name="_Toc184314410"/>
      <w:bookmarkEnd w:id="51"/>
      <w:bookmarkStart w:id="52" w:name="_Toc184310320"/>
      <w:bookmarkEnd w:id="52"/>
      <w:bookmarkStart w:id="53" w:name="_Toc184310343"/>
      <w:bookmarkEnd w:id="53"/>
      <w:bookmarkStart w:id="54" w:name="_Toc184312115"/>
      <w:bookmarkEnd w:id="54"/>
      <w:bookmarkStart w:id="55" w:name="_Toc184312070"/>
      <w:bookmarkEnd w:id="55"/>
      <w:bookmarkStart w:id="56" w:name="_Toc184310282"/>
      <w:bookmarkEnd w:id="56"/>
      <w:bookmarkStart w:id="57" w:name="_Toc184310295"/>
      <w:bookmarkEnd w:id="57"/>
      <w:bookmarkStart w:id="58" w:name="_Toc184310299"/>
      <w:bookmarkEnd w:id="58"/>
      <w:bookmarkStart w:id="59" w:name="_Toc184314444"/>
      <w:bookmarkEnd w:id="59"/>
      <w:bookmarkStart w:id="60" w:name="_Toc184310281"/>
      <w:bookmarkEnd w:id="60"/>
      <w:bookmarkStart w:id="61" w:name="_Toc184313274"/>
      <w:bookmarkEnd w:id="61"/>
      <w:bookmarkStart w:id="62" w:name="_Toc184314451"/>
      <w:bookmarkEnd w:id="62"/>
      <w:bookmarkStart w:id="63" w:name="_Toc184314428"/>
      <w:bookmarkEnd w:id="63"/>
      <w:bookmarkStart w:id="64" w:name="_Toc184313238"/>
      <w:bookmarkEnd w:id="64"/>
      <w:bookmarkStart w:id="65" w:name="_Toc184312107"/>
      <w:bookmarkEnd w:id="65"/>
      <w:bookmarkStart w:id="66" w:name="_Toc184314482"/>
      <w:bookmarkEnd w:id="66"/>
      <w:bookmarkStart w:id="67" w:name="_Toc184314464"/>
      <w:bookmarkEnd w:id="67"/>
      <w:bookmarkStart w:id="68" w:name="_Toc184313292"/>
      <w:bookmarkEnd w:id="68"/>
      <w:bookmarkStart w:id="69" w:name="_Toc184314422"/>
      <w:bookmarkEnd w:id="69"/>
      <w:bookmarkStart w:id="70" w:name="_Toc184314449"/>
      <w:bookmarkEnd w:id="70"/>
      <w:bookmarkStart w:id="71" w:name="_Toc184314478"/>
      <w:bookmarkEnd w:id="71"/>
      <w:bookmarkStart w:id="72" w:name="_Toc184314420"/>
      <w:bookmarkEnd w:id="72"/>
      <w:bookmarkStart w:id="73" w:name="_Toc184312110"/>
      <w:bookmarkEnd w:id="73"/>
      <w:bookmarkStart w:id="74" w:name="_Toc184310318"/>
      <w:bookmarkEnd w:id="74"/>
      <w:bookmarkStart w:id="75" w:name="_Toc184314415"/>
      <w:bookmarkEnd w:id="75"/>
      <w:bookmarkStart w:id="76" w:name="_Toc184312099"/>
      <w:bookmarkEnd w:id="76"/>
      <w:bookmarkStart w:id="77" w:name="_Toc184308039"/>
      <w:bookmarkEnd w:id="77"/>
      <w:bookmarkStart w:id="78" w:name="_Toc184312085"/>
      <w:bookmarkEnd w:id="78"/>
      <w:bookmarkStart w:id="79" w:name="_Toc184310312"/>
      <w:bookmarkEnd w:id="79"/>
      <w:bookmarkStart w:id="80" w:name="_Toc184313275"/>
      <w:bookmarkEnd w:id="80"/>
      <w:bookmarkStart w:id="81" w:name="_Toc184313255"/>
      <w:bookmarkEnd w:id="81"/>
      <w:bookmarkStart w:id="82" w:name="_Toc184308053"/>
      <w:bookmarkEnd w:id="82"/>
      <w:bookmarkStart w:id="83" w:name="_Toc184310300"/>
      <w:bookmarkEnd w:id="83"/>
      <w:bookmarkStart w:id="84" w:name="_Toc184313305"/>
      <w:bookmarkEnd w:id="84"/>
      <w:bookmarkStart w:id="85" w:name="_Toc184313262"/>
      <w:bookmarkEnd w:id="85"/>
      <w:bookmarkStart w:id="86" w:name="_Toc184314472"/>
      <w:bookmarkEnd w:id="86"/>
      <w:bookmarkStart w:id="87" w:name="_Toc184314460"/>
      <w:bookmarkEnd w:id="87"/>
      <w:bookmarkStart w:id="88" w:name="_Toc184308041"/>
      <w:bookmarkEnd w:id="88"/>
      <w:bookmarkStart w:id="89" w:name="_Toc184310319"/>
      <w:bookmarkEnd w:id="89"/>
      <w:bookmarkStart w:id="90" w:name="_Toc184308100"/>
      <w:bookmarkEnd w:id="90"/>
      <w:bookmarkStart w:id="91" w:name="_Toc184310272"/>
      <w:bookmarkEnd w:id="91"/>
      <w:bookmarkStart w:id="92" w:name="_Toc184308086"/>
      <w:bookmarkEnd w:id="92"/>
      <w:bookmarkStart w:id="93" w:name="_Toc184310297"/>
      <w:bookmarkEnd w:id="93"/>
      <w:bookmarkStart w:id="94" w:name="_Toc184308079"/>
      <w:bookmarkEnd w:id="94"/>
      <w:bookmarkStart w:id="95" w:name="_Toc184310296"/>
      <w:bookmarkEnd w:id="95"/>
      <w:bookmarkStart w:id="96" w:name="_Toc184308108"/>
      <w:bookmarkEnd w:id="96"/>
      <w:bookmarkStart w:id="97" w:name="_Toc184312104"/>
      <w:bookmarkEnd w:id="97"/>
      <w:bookmarkStart w:id="98" w:name="_Toc184308044"/>
      <w:bookmarkEnd w:id="98"/>
      <w:bookmarkStart w:id="99" w:name="_Toc184310293"/>
      <w:bookmarkEnd w:id="99"/>
      <w:bookmarkStart w:id="100" w:name="_Toc184313302"/>
      <w:bookmarkEnd w:id="100"/>
      <w:bookmarkStart w:id="101" w:name="_Toc184313244"/>
      <w:bookmarkEnd w:id="101"/>
      <w:bookmarkStart w:id="102" w:name="_Toc184310283"/>
      <w:bookmarkEnd w:id="102"/>
      <w:bookmarkStart w:id="103" w:name="_Toc184312093"/>
      <w:bookmarkEnd w:id="103"/>
      <w:bookmarkStart w:id="104" w:name="_Toc184314439"/>
      <w:bookmarkEnd w:id="104"/>
      <w:bookmarkStart w:id="105" w:name="_Toc184308090"/>
      <w:bookmarkEnd w:id="105"/>
      <w:bookmarkStart w:id="106" w:name="_Toc184310278"/>
      <w:bookmarkEnd w:id="106"/>
      <w:bookmarkStart w:id="107" w:name="_Toc184310324"/>
      <w:bookmarkEnd w:id="107"/>
      <w:bookmarkStart w:id="108" w:name="_Toc184314417"/>
      <w:bookmarkEnd w:id="108"/>
      <w:bookmarkStart w:id="109" w:name="_Toc184313264"/>
      <w:bookmarkEnd w:id="109"/>
      <w:bookmarkStart w:id="110" w:name="_Toc184313246"/>
      <w:bookmarkEnd w:id="110"/>
      <w:bookmarkStart w:id="111" w:name="_Toc184310304"/>
      <w:bookmarkEnd w:id="111"/>
      <w:bookmarkStart w:id="112" w:name="_Toc184310286"/>
      <w:bookmarkEnd w:id="112"/>
      <w:bookmarkStart w:id="113" w:name="_Toc184308066"/>
      <w:bookmarkEnd w:id="113"/>
      <w:bookmarkStart w:id="114" w:name="_Toc184314476"/>
      <w:bookmarkEnd w:id="114"/>
      <w:bookmarkStart w:id="115" w:name="_Toc184312130"/>
      <w:bookmarkEnd w:id="115"/>
      <w:bookmarkStart w:id="116" w:name="_Toc184310279"/>
      <w:bookmarkEnd w:id="116"/>
      <w:bookmarkStart w:id="117" w:name="_Toc184310331"/>
      <w:bookmarkEnd w:id="117"/>
      <w:bookmarkStart w:id="118" w:name="_Toc184314425"/>
      <w:bookmarkEnd w:id="118"/>
      <w:bookmarkStart w:id="119" w:name="_Toc184310337"/>
      <w:bookmarkEnd w:id="119"/>
      <w:bookmarkStart w:id="120" w:name="_Toc184314463"/>
      <w:bookmarkEnd w:id="120"/>
      <w:bookmarkStart w:id="121" w:name="_Toc184313241"/>
      <w:bookmarkEnd w:id="121"/>
      <w:bookmarkStart w:id="122" w:name="_Toc184308062"/>
      <w:bookmarkEnd w:id="122"/>
      <w:bookmarkStart w:id="123" w:name="_Toc184308038"/>
      <w:bookmarkEnd w:id="123"/>
      <w:bookmarkStart w:id="124" w:name="_Toc184308067"/>
      <w:bookmarkEnd w:id="124"/>
      <w:bookmarkStart w:id="125" w:name="_Toc184308049"/>
      <w:bookmarkEnd w:id="125"/>
      <w:bookmarkStart w:id="126" w:name="_Toc184313256"/>
      <w:bookmarkEnd w:id="126"/>
      <w:bookmarkStart w:id="127" w:name="_Toc184314480"/>
      <w:bookmarkEnd w:id="127"/>
      <w:bookmarkStart w:id="128" w:name="_Toc184313261"/>
      <w:bookmarkEnd w:id="128"/>
      <w:bookmarkStart w:id="129" w:name="_Toc184308065"/>
      <w:bookmarkEnd w:id="129"/>
      <w:bookmarkStart w:id="130" w:name="_Toc184314416"/>
      <w:bookmarkEnd w:id="130"/>
      <w:bookmarkStart w:id="131" w:name="_Toc184312132"/>
      <w:bookmarkEnd w:id="131"/>
      <w:bookmarkStart w:id="132" w:name="_Toc184314466"/>
      <w:bookmarkEnd w:id="132"/>
      <w:bookmarkStart w:id="133" w:name="_Toc184312092"/>
      <w:bookmarkEnd w:id="133"/>
      <w:bookmarkStart w:id="134" w:name="_Toc184312073"/>
      <w:bookmarkEnd w:id="134"/>
      <w:bookmarkStart w:id="135" w:name="_Toc184314477"/>
      <w:bookmarkEnd w:id="135"/>
      <w:bookmarkStart w:id="136" w:name="_Toc184310317"/>
      <w:bookmarkEnd w:id="136"/>
      <w:bookmarkStart w:id="137" w:name="_Toc184312089"/>
      <w:bookmarkEnd w:id="137"/>
      <w:bookmarkStart w:id="138" w:name="_Toc184312072"/>
      <w:bookmarkEnd w:id="138"/>
      <w:bookmarkStart w:id="139" w:name="_Toc184310334"/>
      <w:bookmarkEnd w:id="139"/>
      <w:bookmarkStart w:id="140" w:name="_Toc184314436"/>
      <w:bookmarkEnd w:id="140"/>
      <w:bookmarkStart w:id="141" w:name="_Toc184313288"/>
      <w:bookmarkEnd w:id="141"/>
      <w:bookmarkStart w:id="142" w:name="_Toc184314413"/>
      <w:bookmarkEnd w:id="142"/>
      <w:bookmarkStart w:id="143" w:name="_Toc184313303"/>
      <w:bookmarkEnd w:id="143"/>
      <w:bookmarkStart w:id="144" w:name="_Toc184310288"/>
      <w:bookmarkEnd w:id="144"/>
      <w:bookmarkStart w:id="145" w:name="_Toc184314424"/>
      <w:bookmarkEnd w:id="145"/>
      <w:bookmarkStart w:id="146" w:name="_Toc184308099"/>
      <w:bookmarkEnd w:id="146"/>
      <w:bookmarkStart w:id="147" w:name="_Toc184313263"/>
      <w:bookmarkEnd w:id="147"/>
      <w:bookmarkStart w:id="148" w:name="_Toc184313285"/>
      <w:bookmarkEnd w:id="148"/>
      <w:bookmarkStart w:id="149" w:name="_Toc184313251"/>
      <w:bookmarkEnd w:id="149"/>
      <w:bookmarkStart w:id="150" w:name="_Toc184310340"/>
      <w:bookmarkEnd w:id="150"/>
      <w:bookmarkStart w:id="151" w:name="_Toc184310322"/>
      <w:bookmarkEnd w:id="151"/>
      <w:bookmarkStart w:id="152" w:name="_Toc184312125"/>
      <w:bookmarkEnd w:id="152"/>
      <w:bookmarkStart w:id="153" w:name="_Toc184312136"/>
      <w:bookmarkEnd w:id="153"/>
      <w:bookmarkStart w:id="154" w:name="_Toc184312069"/>
      <w:bookmarkEnd w:id="154"/>
      <w:bookmarkStart w:id="155" w:name="_Toc184314452"/>
      <w:bookmarkEnd w:id="155"/>
      <w:bookmarkStart w:id="156" w:name="_Toc184308051"/>
      <w:bookmarkEnd w:id="156"/>
      <w:bookmarkStart w:id="157" w:name="_Toc184312098"/>
      <w:bookmarkEnd w:id="157"/>
      <w:bookmarkStart w:id="158" w:name="_Toc184308054"/>
      <w:bookmarkEnd w:id="158"/>
      <w:bookmarkStart w:id="159" w:name="_Toc184313258"/>
      <w:bookmarkEnd w:id="159"/>
      <w:bookmarkStart w:id="160" w:name="_Toc184308056"/>
      <w:bookmarkEnd w:id="160"/>
      <w:bookmarkStart w:id="161" w:name="_Toc184314454"/>
      <w:bookmarkEnd w:id="161"/>
      <w:bookmarkStart w:id="162" w:name="_Toc184310329"/>
      <w:bookmarkEnd w:id="162"/>
      <w:bookmarkStart w:id="163" w:name="_Toc184308098"/>
      <w:bookmarkEnd w:id="163"/>
      <w:bookmarkStart w:id="164" w:name="_Toc184312126"/>
      <w:bookmarkEnd w:id="164"/>
      <w:bookmarkStart w:id="165" w:name="_Toc184308073"/>
      <w:bookmarkEnd w:id="165"/>
      <w:bookmarkStart w:id="166" w:name="_Toc184314446"/>
      <w:bookmarkEnd w:id="166"/>
      <w:bookmarkStart w:id="167" w:name="_Toc184308077"/>
      <w:bookmarkEnd w:id="167"/>
      <w:bookmarkStart w:id="168" w:name="_Toc184308072"/>
      <w:bookmarkEnd w:id="168"/>
      <w:bookmarkStart w:id="169" w:name="_Toc184314441"/>
      <w:bookmarkEnd w:id="169"/>
      <w:bookmarkStart w:id="170" w:name="_Toc184312122"/>
      <w:bookmarkEnd w:id="170"/>
      <w:bookmarkStart w:id="171" w:name="_Toc184310321"/>
      <w:bookmarkEnd w:id="171"/>
      <w:bookmarkStart w:id="172" w:name="_Toc184310315"/>
      <w:bookmarkEnd w:id="172"/>
      <w:bookmarkStart w:id="173" w:name="_Toc184314435"/>
      <w:bookmarkEnd w:id="173"/>
      <w:bookmarkStart w:id="174" w:name="_Toc184308107"/>
      <w:bookmarkEnd w:id="174"/>
      <w:bookmarkStart w:id="175" w:name="_Toc184313280"/>
      <w:bookmarkEnd w:id="175"/>
      <w:bookmarkStart w:id="176" w:name="_Toc184314481"/>
      <w:bookmarkEnd w:id="176"/>
      <w:bookmarkStart w:id="177" w:name="_Toc184310309"/>
      <w:bookmarkEnd w:id="177"/>
      <w:bookmarkStart w:id="178" w:name="_Toc184313253"/>
      <w:bookmarkEnd w:id="178"/>
      <w:bookmarkStart w:id="179" w:name="_Toc184313247"/>
      <w:bookmarkEnd w:id="179"/>
      <w:bookmarkStart w:id="180" w:name="_Toc184310280"/>
      <w:bookmarkEnd w:id="180"/>
      <w:bookmarkStart w:id="181" w:name="_Toc184310294"/>
      <w:bookmarkEnd w:id="181"/>
      <w:bookmarkStart w:id="182" w:name="_Toc184310338"/>
      <w:bookmarkEnd w:id="182"/>
      <w:bookmarkStart w:id="183" w:name="_Toc184312090"/>
      <w:bookmarkEnd w:id="183"/>
      <w:bookmarkStart w:id="184" w:name="_Toc184308078"/>
      <w:bookmarkEnd w:id="184"/>
      <w:bookmarkStart w:id="185" w:name="_Toc184313290"/>
      <w:bookmarkEnd w:id="185"/>
      <w:bookmarkStart w:id="186" w:name="_Toc184310307"/>
      <w:bookmarkEnd w:id="186"/>
      <w:bookmarkStart w:id="187" w:name="_Toc184310330"/>
      <w:bookmarkEnd w:id="187"/>
      <w:bookmarkStart w:id="188" w:name="_Toc184312133"/>
      <w:bookmarkEnd w:id="188"/>
      <w:bookmarkStart w:id="189" w:name="_Toc184312131"/>
      <w:bookmarkEnd w:id="189"/>
      <w:bookmarkStart w:id="190" w:name="_Toc184312128"/>
      <w:bookmarkEnd w:id="190"/>
      <w:bookmarkStart w:id="191" w:name="_Toc184313279"/>
      <w:bookmarkEnd w:id="191"/>
      <w:bookmarkStart w:id="192" w:name="_Toc184314437"/>
      <w:bookmarkEnd w:id="192"/>
      <w:bookmarkStart w:id="193" w:name="_Toc184308095"/>
      <w:bookmarkEnd w:id="193"/>
      <w:bookmarkStart w:id="194" w:name="_Toc184308058"/>
      <w:bookmarkEnd w:id="194"/>
      <w:bookmarkStart w:id="195" w:name="_Toc184308076"/>
      <w:bookmarkEnd w:id="195"/>
      <w:bookmarkStart w:id="196" w:name="_Toc184312118"/>
      <w:bookmarkEnd w:id="196"/>
      <w:bookmarkStart w:id="197" w:name="_Toc184308047"/>
      <w:bookmarkEnd w:id="197"/>
      <w:bookmarkStart w:id="198" w:name="_Toc184308074"/>
      <w:bookmarkEnd w:id="198"/>
      <w:bookmarkStart w:id="199" w:name="_Toc184310336"/>
      <w:bookmarkEnd w:id="199"/>
      <w:bookmarkStart w:id="200" w:name="_Toc184314427"/>
      <w:bookmarkEnd w:id="200"/>
      <w:bookmarkStart w:id="201" w:name="_Toc184313293"/>
      <w:bookmarkEnd w:id="201"/>
      <w:bookmarkStart w:id="202" w:name="_Toc184313278"/>
      <w:bookmarkEnd w:id="202"/>
      <w:bookmarkStart w:id="203" w:name="_Toc184313297"/>
      <w:bookmarkEnd w:id="203"/>
      <w:bookmarkStart w:id="204" w:name="_Toc184314456"/>
      <w:bookmarkEnd w:id="204"/>
      <w:bookmarkStart w:id="205" w:name="_Toc184313307"/>
      <w:bookmarkEnd w:id="205"/>
      <w:bookmarkStart w:id="206" w:name="_Toc184313286"/>
      <w:bookmarkEnd w:id="206"/>
      <w:bookmarkStart w:id="207" w:name="_Toc184308080"/>
      <w:bookmarkEnd w:id="207"/>
      <w:bookmarkStart w:id="208" w:name="_Toc184310298"/>
      <w:bookmarkEnd w:id="208"/>
      <w:bookmarkStart w:id="209" w:name="_Toc184308036"/>
      <w:bookmarkEnd w:id="209"/>
      <w:bookmarkStart w:id="210" w:name="_Toc184310310"/>
      <w:bookmarkEnd w:id="210"/>
      <w:bookmarkStart w:id="211" w:name="_Toc184313296"/>
      <w:bookmarkEnd w:id="211"/>
      <w:bookmarkStart w:id="212" w:name="_Toc184313289"/>
      <w:bookmarkEnd w:id="212"/>
      <w:bookmarkStart w:id="213" w:name="_Toc184308092"/>
      <w:bookmarkEnd w:id="213"/>
      <w:bookmarkStart w:id="214" w:name="_Toc184310327"/>
      <w:bookmarkEnd w:id="214"/>
      <w:bookmarkStart w:id="215" w:name="_Toc184308101"/>
      <w:bookmarkEnd w:id="215"/>
      <w:bookmarkStart w:id="216" w:name="_Toc184310306"/>
      <w:bookmarkEnd w:id="216"/>
      <w:bookmarkStart w:id="217" w:name="_Toc184308097"/>
      <w:bookmarkEnd w:id="217"/>
      <w:bookmarkStart w:id="218" w:name="_Toc184313250"/>
      <w:bookmarkEnd w:id="218"/>
      <w:bookmarkStart w:id="219" w:name="_Toc184314469"/>
      <w:bookmarkEnd w:id="219"/>
      <w:bookmarkStart w:id="220" w:name="_Toc184313291"/>
      <w:bookmarkEnd w:id="220"/>
      <w:bookmarkStart w:id="221" w:name="_Toc184312124"/>
      <w:bookmarkEnd w:id="221"/>
      <w:bookmarkStart w:id="222" w:name="_Toc184308069"/>
      <w:bookmarkEnd w:id="222"/>
      <w:bookmarkStart w:id="223" w:name="_Toc184308070"/>
      <w:bookmarkEnd w:id="223"/>
      <w:bookmarkStart w:id="224" w:name="_Toc184314455"/>
      <w:bookmarkEnd w:id="224"/>
      <w:bookmarkStart w:id="225" w:name="_Toc184313257"/>
      <w:bookmarkEnd w:id="225"/>
      <w:bookmarkStart w:id="226" w:name="_Toc184313272"/>
      <w:bookmarkEnd w:id="226"/>
      <w:bookmarkStart w:id="227" w:name="_Toc184310311"/>
      <w:bookmarkEnd w:id="227"/>
      <w:bookmarkStart w:id="228" w:name="_Toc184308048"/>
      <w:bookmarkEnd w:id="228"/>
      <w:bookmarkStart w:id="229" w:name="_Toc184308037"/>
      <w:bookmarkEnd w:id="229"/>
      <w:bookmarkStart w:id="230" w:name="_Toc184308104"/>
      <w:bookmarkEnd w:id="230"/>
      <w:bookmarkStart w:id="231" w:name="_Toc184312121"/>
      <w:bookmarkEnd w:id="231"/>
      <w:bookmarkStart w:id="232" w:name="_Toc184312081"/>
      <w:bookmarkEnd w:id="232"/>
      <w:bookmarkStart w:id="233" w:name="_Toc184312095"/>
      <w:bookmarkEnd w:id="233"/>
      <w:bookmarkStart w:id="234" w:name="_Toc184314442"/>
      <w:bookmarkEnd w:id="234"/>
      <w:bookmarkStart w:id="235" w:name="_Toc184312076"/>
      <w:bookmarkEnd w:id="235"/>
      <w:bookmarkStart w:id="236" w:name="_Toc184310344"/>
      <w:bookmarkEnd w:id="236"/>
      <w:bookmarkStart w:id="237" w:name="_Toc184313259"/>
      <w:bookmarkEnd w:id="237"/>
      <w:bookmarkStart w:id="238" w:name="_Toc184313294"/>
      <w:bookmarkEnd w:id="238"/>
      <w:bookmarkStart w:id="239" w:name="_Toc184308064"/>
      <w:bookmarkEnd w:id="239"/>
      <w:bookmarkStart w:id="240" w:name="_Toc184308055"/>
      <w:bookmarkEnd w:id="240"/>
      <w:bookmarkStart w:id="241" w:name="_Toc184312071"/>
      <w:bookmarkEnd w:id="241"/>
      <w:bookmarkStart w:id="242" w:name="_Toc184314470"/>
      <w:bookmarkEnd w:id="242"/>
      <w:bookmarkStart w:id="243" w:name="_Toc184308102"/>
      <w:bookmarkEnd w:id="243"/>
      <w:bookmarkStart w:id="244" w:name="_Toc184312086"/>
      <w:bookmarkEnd w:id="244"/>
      <w:bookmarkStart w:id="245" w:name="_Toc184310290"/>
      <w:bookmarkEnd w:id="245"/>
      <w:bookmarkStart w:id="246" w:name="_Toc184312100"/>
      <w:bookmarkEnd w:id="246"/>
      <w:bookmarkStart w:id="247" w:name="_Toc184308068"/>
      <w:bookmarkEnd w:id="247"/>
      <w:bookmarkStart w:id="248" w:name="_Toc184314440"/>
      <w:bookmarkEnd w:id="248"/>
      <w:bookmarkStart w:id="249" w:name="_Toc184310277"/>
      <w:bookmarkEnd w:id="249"/>
      <w:bookmarkStart w:id="250" w:name="_Toc184308106"/>
      <w:bookmarkEnd w:id="250"/>
      <w:bookmarkStart w:id="251" w:name="_Toc184312129"/>
      <w:bookmarkEnd w:id="251"/>
      <w:bookmarkStart w:id="252" w:name="_Toc184313266"/>
      <w:bookmarkEnd w:id="252"/>
      <w:bookmarkStart w:id="253" w:name="_Toc184312087"/>
      <w:bookmarkEnd w:id="253"/>
      <w:bookmarkStart w:id="254" w:name="_Toc184312082"/>
      <w:bookmarkEnd w:id="254"/>
      <w:bookmarkStart w:id="255" w:name="_Toc184312094"/>
      <w:bookmarkEnd w:id="255"/>
      <w:bookmarkStart w:id="256" w:name="_Toc184312113"/>
      <w:bookmarkEnd w:id="256"/>
      <w:bookmarkStart w:id="257" w:name="_Toc184313242"/>
      <w:bookmarkEnd w:id="257"/>
      <w:bookmarkStart w:id="258" w:name="_Toc184310342"/>
      <w:bookmarkEnd w:id="258"/>
      <w:bookmarkStart w:id="259" w:name="_Toc184308042"/>
      <w:bookmarkEnd w:id="259"/>
      <w:bookmarkStart w:id="260" w:name="_Toc184314411"/>
      <w:bookmarkEnd w:id="260"/>
      <w:bookmarkStart w:id="261" w:name="_Toc184313287"/>
      <w:bookmarkEnd w:id="261"/>
      <w:bookmarkStart w:id="262" w:name="_Toc184312077"/>
      <w:bookmarkEnd w:id="262"/>
      <w:bookmarkStart w:id="263" w:name="_Toc184310274"/>
      <w:bookmarkEnd w:id="263"/>
      <w:bookmarkStart w:id="264" w:name="_Toc184314438"/>
      <w:bookmarkEnd w:id="264"/>
      <w:bookmarkStart w:id="265" w:name="_Toc184312109"/>
      <w:bookmarkEnd w:id="265"/>
      <w:bookmarkStart w:id="266" w:name="_Toc184312111"/>
      <w:bookmarkEnd w:id="266"/>
      <w:bookmarkStart w:id="267" w:name="_Toc184314474"/>
      <w:bookmarkEnd w:id="267"/>
      <w:bookmarkStart w:id="268" w:name="_Toc184310314"/>
      <w:bookmarkEnd w:id="268"/>
      <w:bookmarkStart w:id="269" w:name="_Toc184312127"/>
      <w:bookmarkEnd w:id="269"/>
      <w:bookmarkStart w:id="270" w:name="_Toc184314447"/>
      <w:bookmarkEnd w:id="270"/>
      <w:bookmarkStart w:id="271" w:name="_Toc184308091"/>
      <w:bookmarkEnd w:id="271"/>
      <w:bookmarkStart w:id="272" w:name="_Toc184313273"/>
      <w:bookmarkEnd w:id="272"/>
      <w:bookmarkStart w:id="273" w:name="_Toc184308088"/>
      <w:bookmarkEnd w:id="273"/>
      <w:bookmarkStart w:id="274" w:name="_Toc184313265"/>
      <w:bookmarkEnd w:id="274"/>
      <w:bookmarkStart w:id="275" w:name="_Toc184308057"/>
      <w:bookmarkEnd w:id="275"/>
      <w:bookmarkStart w:id="276" w:name="_Toc184312114"/>
      <w:bookmarkEnd w:id="276"/>
      <w:bookmarkStart w:id="277" w:name="_Toc184314423"/>
      <w:bookmarkEnd w:id="277"/>
      <w:bookmarkStart w:id="278" w:name="_Toc184308085"/>
      <w:bookmarkEnd w:id="278"/>
      <w:bookmarkStart w:id="279" w:name="_Toc184310308"/>
      <w:bookmarkEnd w:id="279"/>
      <w:bookmarkStart w:id="280" w:name="_Toc184312112"/>
      <w:bookmarkEnd w:id="280"/>
      <w:bookmarkStart w:id="281" w:name="_Toc184314434"/>
      <w:bookmarkEnd w:id="281"/>
      <w:bookmarkStart w:id="282" w:name="_Toc184314462"/>
      <w:bookmarkEnd w:id="282"/>
      <w:bookmarkStart w:id="283" w:name="_Toc184314443"/>
      <w:bookmarkEnd w:id="283"/>
      <w:bookmarkStart w:id="284" w:name="_Toc184314431"/>
      <w:bookmarkEnd w:id="284"/>
      <w:bookmarkStart w:id="285" w:name="_Toc184313300"/>
      <w:bookmarkEnd w:id="285"/>
      <w:bookmarkStart w:id="286" w:name="_Toc184310305"/>
      <w:bookmarkEnd w:id="286"/>
      <w:bookmarkStart w:id="287" w:name="_Toc184313260"/>
      <w:bookmarkEnd w:id="287"/>
      <w:bookmarkStart w:id="288" w:name="_Toc184314418"/>
      <w:bookmarkEnd w:id="288"/>
      <w:bookmarkStart w:id="289" w:name="_Toc184312108"/>
      <w:bookmarkEnd w:id="289"/>
      <w:bookmarkStart w:id="290" w:name="_Toc184308089"/>
      <w:bookmarkEnd w:id="290"/>
      <w:bookmarkStart w:id="291" w:name="_Toc184313254"/>
      <w:bookmarkEnd w:id="291"/>
      <w:bookmarkStart w:id="292" w:name="_Toc184312116"/>
      <w:bookmarkEnd w:id="292"/>
      <w:bookmarkStart w:id="293" w:name="_Toc184310328"/>
      <w:bookmarkEnd w:id="293"/>
      <w:bookmarkStart w:id="294" w:name="_Toc184312137"/>
      <w:bookmarkEnd w:id="294"/>
      <w:bookmarkStart w:id="295" w:name="_Toc184312096"/>
      <w:bookmarkEnd w:id="295"/>
      <w:bookmarkStart w:id="296" w:name="_Toc184314419"/>
      <w:bookmarkEnd w:id="296"/>
      <w:bookmarkStart w:id="297" w:name="_Toc184312084"/>
      <w:bookmarkEnd w:id="297"/>
      <w:bookmarkStart w:id="298" w:name="_Toc184313310"/>
      <w:bookmarkEnd w:id="298"/>
      <w:bookmarkStart w:id="299" w:name="_Toc184312068"/>
      <w:bookmarkEnd w:id="299"/>
      <w:bookmarkStart w:id="300" w:name="_Toc184314432"/>
      <w:bookmarkEnd w:id="300"/>
      <w:bookmarkStart w:id="301" w:name="_Toc184310285"/>
      <w:bookmarkEnd w:id="301"/>
      <w:bookmarkStart w:id="302" w:name="_Toc184314465"/>
      <w:bookmarkEnd w:id="302"/>
      <w:bookmarkStart w:id="303" w:name="_Toc184310335"/>
      <w:bookmarkEnd w:id="303"/>
      <w:bookmarkStart w:id="304" w:name="_Toc184310287"/>
      <w:bookmarkEnd w:id="304"/>
      <w:bookmarkStart w:id="305" w:name="_Toc184313267"/>
      <w:bookmarkEnd w:id="305"/>
      <w:bookmarkStart w:id="306" w:name="_Toc184313298"/>
      <w:bookmarkEnd w:id="306"/>
      <w:bookmarkStart w:id="307" w:name="_Toc184312091"/>
      <w:bookmarkEnd w:id="307"/>
      <w:bookmarkStart w:id="308" w:name="_Toc184313245"/>
      <w:bookmarkEnd w:id="308"/>
      <w:bookmarkStart w:id="309" w:name="_Toc184310301"/>
      <w:bookmarkEnd w:id="309"/>
      <w:bookmarkStart w:id="310" w:name="_Toc184308081"/>
      <w:bookmarkEnd w:id="310"/>
      <w:bookmarkStart w:id="311" w:name="_Toc184310316"/>
      <w:bookmarkEnd w:id="311"/>
      <w:bookmarkStart w:id="312" w:name="_Toc184313270"/>
      <w:bookmarkEnd w:id="312"/>
      <w:bookmarkStart w:id="313" w:name="_Toc184313239"/>
      <w:bookmarkEnd w:id="313"/>
      <w:bookmarkStart w:id="314" w:name="_Toc184314453"/>
      <w:bookmarkEnd w:id="314"/>
      <w:bookmarkStart w:id="315" w:name="_Toc184310341"/>
      <w:bookmarkEnd w:id="315"/>
      <w:bookmarkStart w:id="316" w:name="_Toc184308046"/>
      <w:bookmarkEnd w:id="316"/>
      <w:bookmarkStart w:id="317" w:name="_Toc184314467"/>
      <w:bookmarkEnd w:id="317"/>
      <w:bookmarkStart w:id="318" w:name="_Toc184310303"/>
      <w:bookmarkEnd w:id="318"/>
      <w:bookmarkStart w:id="319" w:name="_Toc184314479"/>
      <w:bookmarkEnd w:id="319"/>
      <w:bookmarkStart w:id="320" w:name="_Toc184308087"/>
      <w:bookmarkEnd w:id="320"/>
      <w:bookmarkStart w:id="321" w:name="_Toc184308071"/>
      <w:bookmarkEnd w:id="321"/>
      <w:bookmarkStart w:id="322" w:name="_Toc184313308"/>
      <w:bookmarkEnd w:id="322"/>
      <w:bookmarkStart w:id="323" w:name="_Toc184312117"/>
      <w:bookmarkEnd w:id="323"/>
      <w:bookmarkStart w:id="324" w:name="_Toc184313299"/>
      <w:bookmarkEnd w:id="324"/>
      <w:bookmarkStart w:id="325" w:name="_Toc184310275"/>
      <w:bookmarkEnd w:id="325"/>
      <w:bookmarkStart w:id="326" w:name="_Toc184310276"/>
      <w:bookmarkEnd w:id="326"/>
      <w:bookmarkStart w:id="327" w:name="_Toc184308059"/>
      <w:bookmarkEnd w:id="327"/>
      <w:bookmarkStart w:id="328" w:name="_Toc184313281"/>
      <w:bookmarkEnd w:id="328"/>
      <w:bookmarkStart w:id="329" w:name="_Toc184312123"/>
      <w:bookmarkEnd w:id="329"/>
      <w:bookmarkStart w:id="330" w:name="_Toc184314461"/>
      <w:bookmarkEnd w:id="330"/>
      <w:bookmarkStart w:id="331" w:name="_Toc184312120"/>
      <w:bookmarkEnd w:id="331"/>
      <w:bookmarkStart w:id="332" w:name="_Toc184310326"/>
      <w:bookmarkEnd w:id="332"/>
      <w:bookmarkStart w:id="333" w:name="_Toc184312135"/>
      <w:bookmarkEnd w:id="333"/>
      <w:bookmarkStart w:id="334" w:name="_Toc184314475"/>
      <w:bookmarkEnd w:id="334"/>
      <w:bookmarkStart w:id="335" w:name="_Toc184308084"/>
      <w:bookmarkEnd w:id="335"/>
      <w:bookmarkStart w:id="336" w:name="_Toc184312083"/>
      <w:bookmarkEnd w:id="336"/>
      <w:bookmarkStart w:id="337" w:name="_Toc184314473"/>
      <w:bookmarkEnd w:id="337"/>
      <w:bookmarkStart w:id="338" w:name="_Toc184314433"/>
      <w:bookmarkEnd w:id="338"/>
      <w:bookmarkStart w:id="339" w:name="_Toc184308043"/>
      <w:bookmarkEnd w:id="339"/>
      <w:bookmarkStart w:id="340" w:name="_Toc184314468"/>
      <w:bookmarkEnd w:id="340"/>
      <w:bookmarkStart w:id="341" w:name="_Toc184313248"/>
      <w:bookmarkEnd w:id="341"/>
      <w:bookmarkStart w:id="342" w:name="_Toc184310273"/>
      <w:bookmarkEnd w:id="342"/>
      <w:bookmarkStart w:id="343" w:name="_Toc184310333"/>
      <w:bookmarkEnd w:id="343"/>
      <w:bookmarkStart w:id="344" w:name="_Toc184314459"/>
      <w:bookmarkEnd w:id="344"/>
      <w:bookmarkStart w:id="345" w:name="_Toc184308083"/>
      <w:bookmarkEnd w:id="345"/>
      <w:bookmarkStart w:id="346" w:name="_Toc184308075"/>
      <w:bookmarkEnd w:id="346"/>
      <w:bookmarkStart w:id="347" w:name="_Toc184308103"/>
      <w:bookmarkEnd w:id="347"/>
      <w:bookmarkStart w:id="348" w:name="_Toc184312078"/>
      <w:bookmarkEnd w:id="348"/>
      <w:bookmarkStart w:id="349" w:name="_Toc184310291"/>
      <w:bookmarkEnd w:id="349"/>
      <w:bookmarkStart w:id="350" w:name="_Toc184314457"/>
      <w:bookmarkEnd w:id="350"/>
      <w:bookmarkStart w:id="351" w:name="_Toc184308096"/>
      <w:bookmarkEnd w:id="351"/>
      <w:bookmarkStart w:id="352" w:name="_Toc184308094"/>
      <w:bookmarkEnd w:id="352"/>
      <w:bookmarkStart w:id="353" w:name="_Toc184308061"/>
      <w:bookmarkEnd w:id="353"/>
      <w:bookmarkStart w:id="354" w:name="_Toc184313301"/>
      <w:bookmarkEnd w:id="354"/>
      <w:bookmarkStart w:id="355" w:name="_Toc184308105"/>
      <w:bookmarkEnd w:id="355"/>
      <w:bookmarkStart w:id="356" w:name="_Toc184308040"/>
      <w:bookmarkEnd w:id="356"/>
      <w:bookmarkStart w:id="357" w:name="_Toc184310339"/>
      <w:bookmarkEnd w:id="357"/>
      <w:bookmarkStart w:id="358" w:name="_Toc184313304"/>
      <w:bookmarkEnd w:id="358"/>
      <w:bookmarkStart w:id="359" w:name="_Toc184310302"/>
      <w:bookmarkEnd w:id="359"/>
      <w:bookmarkStart w:id="360" w:name="_Toc184312134"/>
      <w:bookmarkEnd w:id="360"/>
      <w:bookmarkStart w:id="361" w:name="_Toc184313252"/>
      <w:bookmarkEnd w:id="361"/>
      <w:bookmarkStart w:id="362" w:name="_Toc184308060"/>
      <w:bookmarkEnd w:id="362"/>
      <w:bookmarkStart w:id="363" w:name="_Toc184313249"/>
      <w:bookmarkEnd w:id="363"/>
      <w:bookmarkStart w:id="364" w:name="_Toc184314430"/>
      <w:bookmarkEnd w:id="364"/>
      <w:bookmarkStart w:id="365" w:name="_Toc184313283"/>
      <w:bookmarkEnd w:id="365"/>
      <w:bookmarkStart w:id="366" w:name="_Toc184313277"/>
      <w:bookmarkEnd w:id="366"/>
      <w:bookmarkStart w:id="367" w:name="_Toc184313276"/>
      <w:bookmarkEnd w:id="367"/>
      <w:bookmarkStart w:id="368" w:name="_Toc184308093"/>
      <w:bookmarkEnd w:id="368"/>
      <w:bookmarkStart w:id="369" w:name="_Toc184310292"/>
      <w:bookmarkEnd w:id="369"/>
      <w:bookmarkStart w:id="370" w:name="_Toc184314450"/>
      <w:bookmarkEnd w:id="370"/>
      <w:bookmarkStart w:id="371" w:name="_Toc184313309"/>
      <w:bookmarkEnd w:id="371"/>
      <w:bookmarkStart w:id="372" w:name="_Toc184308063"/>
      <w:bookmarkEnd w:id="372"/>
      <w:bookmarkStart w:id="373" w:name="_Toc184314471"/>
      <w:bookmarkEnd w:id="373"/>
      <w:bookmarkStart w:id="374" w:name="_Toc184314448"/>
      <w:bookmarkEnd w:id="374"/>
      <w:bookmarkStart w:id="375" w:name="_Toc184312105"/>
      <w:bookmarkEnd w:id="375"/>
      <w:bookmarkStart w:id="376" w:name="_Toc184310284"/>
      <w:bookmarkEnd w:id="376"/>
      <w:bookmarkStart w:id="377" w:name="_Toc184314429"/>
      <w:bookmarkEnd w:id="377"/>
      <w:bookmarkStart w:id="378" w:name="_Toc184313271"/>
      <w:bookmarkEnd w:id="378"/>
      <w:bookmarkStart w:id="379" w:name="_Toc184312067"/>
      <w:bookmarkEnd w:id="379"/>
      <w:bookmarkStart w:id="380" w:name="_Toc184313284"/>
      <w:bookmarkEnd w:id="380"/>
      <w:bookmarkStart w:id="381" w:name="_Toc184314414"/>
      <w:bookmarkEnd w:id="381"/>
      <w:bookmarkStart w:id="382" w:name="_Toc184312079"/>
      <w:bookmarkEnd w:id="382"/>
      <w:bookmarkStart w:id="383" w:name="_Toc184312101"/>
      <w:bookmarkEnd w:id="383"/>
      <w:bookmarkStart w:id="384" w:name="_Toc184314445"/>
      <w:bookmarkEnd w:id="384"/>
      <w:bookmarkStart w:id="385" w:name="_Toc184312102"/>
      <w:bookmarkEnd w:id="385"/>
      <w:bookmarkStart w:id="386" w:name="_Toc184313240"/>
      <w:bookmarkEnd w:id="386"/>
      <w:bookmarkStart w:id="387" w:name="_Toc184310323"/>
      <w:bookmarkEnd w:id="387"/>
      <w:bookmarkStart w:id="388" w:name="_Toc184313269"/>
      <w:bookmarkEnd w:id="388"/>
      <w:bookmarkStart w:id="389" w:name="_Toc184312103"/>
      <w:bookmarkEnd w:id="389"/>
      <w:bookmarkStart w:id="390" w:name="_Toc184314421"/>
      <w:bookmarkEnd w:id="390"/>
      <w:bookmarkStart w:id="391" w:name="_Toc184314426"/>
      <w:bookmarkEnd w:id="391"/>
      <w:bookmarkStart w:id="392" w:name="_Toc184310332"/>
      <w:bookmarkEnd w:id="392"/>
      <w:bookmarkStart w:id="393" w:name="_Toc184312080"/>
      <w:bookmarkEnd w:id="393"/>
      <w:bookmarkStart w:id="394" w:name="_Toc184313268"/>
      <w:bookmarkEnd w:id="394"/>
      <w:bookmarkStart w:id="395" w:name="_Toc184310313"/>
      <w:bookmarkEnd w:id="395"/>
      <w:bookmarkStart w:id="396" w:name="_Toc184314458"/>
      <w:bookmarkEnd w:id="396"/>
      <w:bookmarkStart w:id="397" w:name="_Toc184312119"/>
      <w:bookmarkEnd w:id="397"/>
      <w:r>
        <w:rPr>
          <w:rFonts w:hint="eastAsia" w:ascii="仿宋" w:hAnsi="仿宋" w:eastAsia="仿宋" w:cs="仿宋"/>
          <w:b/>
          <w:sz w:val="36"/>
          <w:szCs w:val="36"/>
        </w:rPr>
        <w:t>评标办法</w:t>
      </w:r>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评标办法前附表</w:t>
      </w:r>
    </w:p>
    <w:tbl>
      <w:tblPr>
        <w:tblStyle w:val="62"/>
        <w:tblpPr w:leftFromText="180" w:rightFromText="180" w:vertAnchor="text" w:horzAnchor="page" w:tblpXSpec="center" w:tblpY="126"/>
        <w:tblW w:w="54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5778"/>
        <w:gridCol w:w="727"/>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402" w:type="pct"/>
            <w:vAlign w:val="center"/>
          </w:tcPr>
          <w:p>
            <w:pPr>
              <w:spacing w:line="360" w:lineRule="auto"/>
              <w:jc w:val="center"/>
              <w:outlineLvl w:val="0"/>
              <w:rPr>
                <w:rFonts w:ascii="仿宋" w:hAnsi="仿宋" w:eastAsia="仿宋" w:cs="仿宋_GB2312"/>
                <w:bCs/>
                <w:sz w:val="24"/>
                <w:highlight w:val="none"/>
              </w:rPr>
            </w:pPr>
            <w:r>
              <w:rPr>
                <w:rFonts w:hint="eastAsia" w:ascii="仿宋" w:hAnsi="仿宋" w:eastAsia="仿宋" w:cs="仿宋_GB2312"/>
                <w:bCs/>
                <w:sz w:val="24"/>
                <w:highlight w:val="none"/>
              </w:rPr>
              <w:t>序号</w:t>
            </w:r>
          </w:p>
        </w:tc>
        <w:tc>
          <w:tcPr>
            <w:tcW w:w="3141" w:type="pct"/>
            <w:vAlign w:val="center"/>
          </w:tcPr>
          <w:p>
            <w:pPr>
              <w:spacing w:line="360" w:lineRule="auto"/>
              <w:ind w:firstLine="1560" w:firstLineChars="650"/>
              <w:outlineLvl w:val="0"/>
              <w:rPr>
                <w:rFonts w:ascii="仿宋" w:hAnsi="仿宋" w:eastAsia="仿宋" w:cs="仿宋_GB2312"/>
                <w:bCs/>
                <w:sz w:val="24"/>
                <w:highlight w:val="none"/>
              </w:rPr>
            </w:pPr>
            <w:r>
              <w:rPr>
                <w:rFonts w:hint="eastAsia" w:ascii="仿宋" w:hAnsi="仿宋" w:eastAsia="仿宋" w:cs="仿宋_GB2312"/>
                <w:bCs/>
                <w:sz w:val="24"/>
                <w:highlight w:val="none"/>
              </w:rPr>
              <w:t>评标标准</w:t>
            </w:r>
          </w:p>
        </w:tc>
        <w:tc>
          <w:tcPr>
            <w:tcW w:w="395" w:type="pct"/>
            <w:vAlign w:val="center"/>
          </w:tcPr>
          <w:p>
            <w:pPr>
              <w:spacing w:line="360" w:lineRule="auto"/>
              <w:jc w:val="center"/>
              <w:outlineLvl w:val="0"/>
              <w:rPr>
                <w:rFonts w:ascii="仿宋" w:hAnsi="仿宋" w:eastAsia="仿宋" w:cs="仿宋_GB2312"/>
                <w:bCs/>
                <w:sz w:val="24"/>
                <w:highlight w:val="none"/>
              </w:rPr>
            </w:pPr>
            <w:r>
              <w:rPr>
                <w:rFonts w:hint="eastAsia" w:ascii="仿宋" w:hAnsi="仿宋" w:eastAsia="仿宋" w:cs="仿宋_GB2312"/>
                <w:bCs/>
                <w:sz w:val="24"/>
                <w:highlight w:val="none"/>
              </w:rPr>
              <w:t>权重</w:t>
            </w:r>
          </w:p>
        </w:tc>
        <w:tc>
          <w:tcPr>
            <w:tcW w:w="1060" w:type="pct"/>
          </w:tcPr>
          <w:p>
            <w:pPr>
              <w:spacing w:line="360" w:lineRule="auto"/>
              <w:outlineLvl w:val="0"/>
              <w:rPr>
                <w:rFonts w:ascii="仿宋" w:hAnsi="仿宋" w:eastAsia="仿宋" w:cs="仿宋_GB2312"/>
                <w:bCs/>
                <w:sz w:val="24"/>
                <w:highlight w:val="none"/>
              </w:rPr>
            </w:pPr>
            <w:r>
              <w:rPr>
                <w:rFonts w:hint="eastAsia" w:ascii="仿宋" w:hAnsi="仿宋" w:eastAsia="仿宋" w:cs="仿宋_GB2312"/>
                <w:bCs/>
                <w:sz w:val="24"/>
                <w:highlight w:val="none"/>
              </w:rPr>
              <w:t>投标文件中评标标准相应的商务技术资料目录</w:t>
            </w:r>
            <w:r>
              <w:rPr>
                <w:rFonts w:hint="eastAsia" w:ascii="宋体" w:hAnsi="宋体" w:cs="宋体"/>
                <w:sz w:val="24"/>
                <w:highlight w:val="none"/>
                <w:shd w:val="clear" w:color="auto" w:fill="FFFFFF"/>
              </w:rPr>
              <w:t> </w:t>
            </w:r>
            <w:r>
              <w:rPr>
                <w:rFonts w:ascii="仿宋" w:hAnsi="仿宋" w:eastAsia="仿宋" w:cs="Arial"/>
                <w:sz w:val="24"/>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000" w:type="pct"/>
            <w:gridSpan w:val="4"/>
            <w:vAlign w:val="center"/>
          </w:tcPr>
          <w:p>
            <w:pPr>
              <w:spacing w:line="360" w:lineRule="auto"/>
              <w:jc w:val="center"/>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lang w:eastAsia="zh-CN"/>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lang w:val="en-US" w:eastAsia="zh-CN"/>
              </w:rPr>
              <w:t>1</w:t>
            </w:r>
          </w:p>
        </w:tc>
        <w:tc>
          <w:tcPr>
            <w:tcW w:w="3141" w:type="pct"/>
            <w:vAlign w:val="center"/>
          </w:tcPr>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lang w:eastAsia="zh-CN"/>
              </w:rPr>
              <w:t>①</w:t>
            </w:r>
            <w:r>
              <w:rPr>
                <w:rFonts w:hint="eastAsia" w:ascii="仿宋" w:hAnsi="仿宋" w:eastAsia="仿宋" w:cs="仿宋_GB2312"/>
                <w:sz w:val="24"/>
                <w:highlight w:val="none"/>
              </w:rPr>
              <w:t>投标人具有有效期内的ISO9001质量管理体系认证证书，提供有效证明材料。满足得1分，否则不得分。</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lang w:eastAsia="zh-CN"/>
              </w:rPr>
              <w:t>②</w:t>
            </w:r>
            <w:r>
              <w:rPr>
                <w:rFonts w:hint="eastAsia" w:ascii="仿宋" w:hAnsi="仿宋" w:eastAsia="仿宋" w:cs="仿宋_GB2312"/>
                <w:sz w:val="24"/>
                <w:highlight w:val="none"/>
              </w:rPr>
              <w:t>投标人具有有效期内的ISO14001环境管理体系认证证书，提供有效证明材料。满足得1分，否则不得分。</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lang w:eastAsia="zh-CN"/>
              </w:rPr>
              <w:t>③</w:t>
            </w:r>
            <w:r>
              <w:rPr>
                <w:rFonts w:hint="eastAsia" w:ascii="仿宋" w:hAnsi="仿宋" w:eastAsia="仿宋" w:cs="仿宋_GB2312"/>
                <w:sz w:val="24"/>
                <w:highlight w:val="none"/>
              </w:rPr>
              <w:t>投标人具有有效期内的ISO45001职业健康安全管理体系认证证书</w:t>
            </w:r>
            <w:r>
              <w:rPr>
                <w:rFonts w:hint="eastAsia" w:ascii="仿宋" w:hAnsi="仿宋" w:eastAsia="仿宋" w:cs="仿宋_GB2312"/>
                <w:sz w:val="24"/>
                <w:highlight w:val="none"/>
                <w:lang w:val="en-US" w:eastAsia="zh-CN"/>
              </w:rPr>
              <w:t>或(GB/T 28001 职业健康安全管理体系认证证书)，</w:t>
            </w:r>
            <w:r>
              <w:rPr>
                <w:rFonts w:hint="eastAsia" w:ascii="仿宋" w:hAnsi="仿宋" w:eastAsia="仿宋" w:cs="仿宋_GB2312"/>
                <w:sz w:val="24"/>
                <w:highlight w:val="none"/>
              </w:rPr>
              <w:t>提供有效证明材料。满足得1分，否则不得分。</w:t>
            </w:r>
          </w:p>
        </w:tc>
        <w:tc>
          <w:tcPr>
            <w:tcW w:w="395" w:type="pct"/>
            <w:vAlign w:val="center"/>
          </w:tcPr>
          <w:p>
            <w:pPr>
              <w:spacing w:line="360" w:lineRule="auto"/>
              <w:jc w:val="center"/>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3</w:t>
            </w:r>
          </w:p>
        </w:tc>
        <w:tc>
          <w:tcPr>
            <w:tcW w:w="1060" w:type="pct"/>
            <w:vAlign w:val="center"/>
          </w:tcPr>
          <w:p>
            <w:pPr>
              <w:spacing w:line="360" w:lineRule="auto"/>
              <w:jc w:val="center"/>
              <w:outlineLvl w:val="0"/>
              <w:rPr>
                <w:rFonts w:ascii="仿宋" w:hAnsi="仿宋" w:eastAsia="仿宋" w:cs="仿宋_GB2312"/>
                <w:sz w:val="24"/>
                <w:highlight w:val="none"/>
              </w:rPr>
            </w:pPr>
            <w:r>
              <w:rPr>
                <w:rFonts w:hint="eastAsia" w:ascii="仿宋" w:hAnsi="仿宋" w:eastAsia="仿宋" w:cs="仿宋_GB2312"/>
                <w:sz w:val="24"/>
                <w:highlight w:val="none"/>
                <w:lang w:eastAsia="zh-CN"/>
              </w:rPr>
              <w:t>（一）</w:t>
            </w:r>
            <w:r>
              <w:rPr>
                <w:rFonts w:hint="eastAsia" w:ascii="仿宋" w:hAnsi="仿宋" w:eastAsia="仿宋" w:cs="仿宋_GB2312"/>
                <w:sz w:val="24"/>
                <w:highlight w:val="none"/>
                <w:lang w:val="en-US" w:eastAsia="zh-CN"/>
              </w:rPr>
              <w:t>体系证书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lang w:val="en-US" w:eastAsia="zh-CN"/>
              </w:rPr>
              <w:t>2</w:t>
            </w:r>
          </w:p>
        </w:tc>
        <w:tc>
          <w:tcPr>
            <w:tcW w:w="3141" w:type="pct"/>
            <w:vAlign w:val="center"/>
          </w:tcPr>
          <w:p>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rPr>
              <w:t>投标产品（</w:t>
            </w:r>
            <w:r>
              <w:rPr>
                <w:rFonts w:hint="eastAsia" w:ascii="仿宋" w:hAnsi="仿宋" w:eastAsia="仿宋" w:cs="仿宋_GB2312"/>
                <w:sz w:val="24"/>
                <w:highlight w:val="none"/>
                <w:lang w:eastAsia="zh-CN"/>
              </w:rPr>
              <w:t>幼儿正方</w:t>
            </w:r>
            <w:r>
              <w:rPr>
                <w:rFonts w:hint="eastAsia" w:ascii="仿宋" w:hAnsi="仿宋" w:eastAsia="仿宋" w:cs="仿宋_GB2312"/>
                <w:sz w:val="24"/>
                <w:highlight w:val="none"/>
              </w:rPr>
              <w:t>桌或其同品类、</w:t>
            </w:r>
            <w:r>
              <w:rPr>
                <w:rFonts w:hint="eastAsia" w:ascii="仿宋" w:hAnsi="仿宋" w:eastAsia="仿宋" w:cs="仿宋_GB2312"/>
                <w:sz w:val="24"/>
                <w:highlight w:val="none"/>
                <w:lang w:eastAsia="zh-CN"/>
              </w:rPr>
              <w:t>幼儿椅子</w:t>
            </w:r>
            <w:r>
              <w:rPr>
                <w:rFonts w:hint="eastAsia" w:ascii="仿宋" w:hAnsi="仿宋" w:eastAsia="仿宋" w:cs="仿宋_GB2312"/>
                <w:sz w:val="24"/>
                <w:highlight w:val="none"/>
              </w:rPr>
              <w:t>或其同品类、</w:t>
            </w:r>
            <w:r>
              <w:rPr>
                <w:rFonts w:hint="eastAsia" w:ascii="仿宋" w:hAnsi="仿宋" w:eastAsia="仿宋" w:cs="仿宋_GB2312"/>
                <w:sz w:val="24"/>
                <w:highlight w:val="none"/>
                <w:lang w:eastAsia="zh-CN"/>
              </w:rPr>
              <w:t>幼儿抽拉床</w:t>
            </w:r>
            <w:r>
              <w:rPr>
                <w:rFonts w:hint="eastAsia" w:ascii="仿宋" w:hAnsi="仿宋" w:eastAsia="仿宋" w:cs="仿宋_GB2312"/>
                <w:sz w:val="24"/>
                <w:highlight w:val="none"/>
              </w:rPr>
              <w:t>或其同品类、玩具柜或其同品类）获得</w:t>
            </w:r>
            <w:r>
              <w:rPr>
                <w:rFonts w:hint="eastAsia" w:ascii="仿宋" w:hAnsi="仿宋" w:eastAsia="仿宋" w:cs="仿宋_GB2312"/>
                <w:sz w:val="24"/>
                <w:highlight w:val="none"/>
                <w:lang w:eastAsia="zh-CN"/>
              </w:rPr>
              <w:t>有效期内的中国</w:t>
            </w:r>
            <w:r>
              <w:rPr>
                <w:rFonts w:hint="eastAsia" w:ascii="仿宋" w:hAnsi="仿宋" w:eastAsia="仿宋" w:cs="仿宋_GB2312"/>
                <w:sz w:val="24"/>
                <w:highlight w:val="none"/>
              </w:rPr>
              <w:t>环境标志产品认证证书的，提供有效证明材料</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每项产品得</w:t>
            </w:r>
            <w:r>
              <w:rPr>
                <w:rFonts w:hint="eastAsia" w:ascii="仿宋" w:hAnsi="仿宋" w:eastAsia="仿宋" w:cs="仿宋_GB2312"/>
                <w:sz w:val="24"/>
                <w:highlight w:val="none"/>
                <w:lang w:val="en-US" w:eastAsia="zh-CN"/>
              </w:rPr>
              <w:t>0.5</w:t>
            </w:r>
            <w:r>
              <w:rPr>
                <w:rFonts w:hint="eastAsia" w:ascii="仿宋" w:hAnsi="仿宋" w:eastAsia="仿宋" w:cs="仿宋_GB2312"/>
                <w:sz w:val="24"/>
                <w:highlight w:val="none"/>
              </w:rPr>
              <w:t>分，</w:t>
            </w:r>
            <w:r>
              <w:rPr>
                <w:rFonts w:hint="eastAsia" w:ascii="仿宋" w:hAnsi="仿宋" w:eastAsia="仿宋" w:cs="仿宋_GB2312"/>
                <w:sz w:val="24"/>
                <w:highlight w:val="none"/>
                <w:lang w:eastAsia="zh-CN"/>
              </w:rPr>
              <w:t>共</w:t>
            </w:r>
            <w:r>
              <w:rPr>
                <w:rFonts w:hint="eastAsia" w:ascii="仿宋" w:hAnsi="仿宋" w:eastAsia="仿宋" w:cs="仿宋_GB2312"/>
                <w:sz w:val="24"/>
                <w:highlight w:val="none"/>
                <w:lang w:val="en-US" w:eastAsia="zh-CN"/>
              </w:rPr>
              <w:t>2</w:t>
            </w:r>
            <w:r>
              <w:rPr>
                <w:rFonts w:hint="eastAsia" w:ascii="仿宋" w:hAnsi="仿宋" w:eastAsia="仿宋" w:cs="仿宋_GB2312"/>
                <w:sz w:val="24"/>
                <w:highlight w:val="none"/>
              </w:rPr>
              <w:t>分</w:t>
            </w:r>
            <w:r>
              <w:rPr>
                <w:rFonts w:hint="eastAsia" w:ascii="仿宋" w:hAnsi="仿宋" w:eastAsia="仿宋" w:cs="仿宋_GB2312"/>
                <w:sz w:val="24"/>
                <w:highlight w:val="none"/>
                <w:lang w:eastAsia="zh-CN"/>
              </w:rPr>
              <w:t>。</w:t>
            </w:r>
          </w:p>
        </w:tc>
        <w:tc>
          <w:tcPr>
            <w:tcW w:w="395" w:type="pct"/>
            <w:vAlign w:val="center"/>
          </w:tcPr>
          <w:p>
            <w:pPr>
              <w:spacing w:line="360" w:lineRule="auto"/>
              <w:jc w:val="center"/>
              <w:outlineLvl w:val="0"/>
              <w:rPr>
                <w:rFonts w:hint="default" w:ascii="仿宋" w:hAnsi="仿宋" w:eastAsia="仿宋" w:cs="仿宋_GB2312"/>
                <w:sz w:val="24"/>
                <w:highlight w:val="none"/>
                <w:lang w:val="en-US"/>
              </w:rPr>
            </w:pPr>
            <w:r>
              <w:rPr>
                <w:rFonts w:hint="eastAsia" w:ascii="仿宋" w:hAnsi="仿宋" w:eastAsia="仿宋" w:cs="仿宋_GB2312"/>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lang w:eastAsia="zh-CN"/>
              </w:rPr>
              <w:t>（二）中国环境标志产品认证（即十环认证）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3</w:t>
            </w:r>
          </w:p>
        </w:tc>
        <w:tc>
          <w:tcPr>
            <w:tcW w:w="3141" w:type="pct"/>
            <w:vAlign w:val="center"/>
          </w:tcPr>
          <w:p>
            <w:pPr>
              <w:numPr>
                <w:ilvl w:val="0"/>
                <w:numId w:val="0"/>
              </w:numPr>
              <w:spacing w:line="360" w:lineRule="auto"/>
              <w:jc w:val="both"/>
              <w:rPr>
                <w:rFonts w:hint="eastAsia" w:ascii="仿宋" w:hAnsi="仿宋" w:eastAsia="仿宋" w:cs="仿宋"/>
                <w:sz w:val="24"/>
                <w:highlight w:val="none"/>
              </w:rPr>
            </w:pPr>
            <w:r>
              <w:rPr>
                <w:rFonts w:hint="eastAsia" w:ascii="仿宋" w:hAnsi="仿宋" w:eastAsia="仿宋" w:cs="仿宋"/>
                <w:sz w:val="24"/>
                <w:highlight w:val="none"/>
                <w:lang w:val="en-US" w:eastAsia="zh-CN"/>
              </w:rPr>
              <w:t>投标产品（</w:t>
            </w:r>
            <w:r>
              <w:rPr>
                <w:rFonts w:hint="eastAsia" w:ascii="仿宋" w:hAnsi="仿宋" w:eastAsia="仿宋" w:cs="仿宋_GB2312"/>
                <w:sz w:val="24"/>
                <w:highlight w:val="none"/>
                <w:lang w:eastAsia="zh-CN"/>
              </w:rPr>
              <w:t>幼儿正方</w:t>
            </w:r>
            <w:r>
              <w:rPr>
                <w:rFonts w:hint="eastAsia" w:ascii="仿宋" w:hAnsi="仿宋" w:eastAsia="仿宋" w:cs="仿宋_GB2312"/>
                <w:sz w:val="24"/>
                <w:highlight w:val="none"/>
              </w:rPr>
              <w:t>桌或其同品类、</w:t>
            </w:r>
            <w:r>
              <w:rPr>
                <w:rFonts w:hint="eastAsia" w:ascii="仿宋" w:hAnsi="仿宋" w:eastAsia="仿宋" w:cs="仿宋_GB2312"/>
                <w:sz w:val="24"/>
                <w:highlight w:val="none"/>
                <w:lang w:eastAsia="zh-CN"/>
              </w:rPr>
              <w:t>幼儿椅子</w:t>
            </w:r>
            <w:r>
              <w:rPr>
                <w:rFonts w:hint="eastAsia" w:ascii="仿宋" w:hAnsi="仿宋" w:eastAsia="仿宋" w:cs="仿宋_GB2312"/>
                <w:sz w:val="24"/>
                <w:highlight w:val="none"/>
              </w:rPr>
              <w:t>或其同品类、</w:t>
            </w:r>
            <w:r>
              <w:rPr>
                <w:rFonts w:hint="eastAsia" w:ascii="仿宋" w:hAnsi="仿宋" w:eastAsia="仿宋" w:cs="仿宋_GB2312"/>
                <w:sz w:val="24"/>
                <w:highlight w:val="none"/>
                <w:lang w:eastAsia="zh-CN"/>
              </w:rPr>
              <w:t>幼儿抽拉床</w:t>
            </w:r>
            <w:r>
              <w:rPr>
                <w:rFonts w:hint="eastAsia" w:ascii="仿宋" w:hAnsi="仿宋" w:eastAsia="仿宋" w:cs="仿宋_GB2312"/>
                <w:sz w:val="24"/>
                <w:highlight w:val="none"/>
              </w:rPr>
              <w:t>或其同品类、玩具柜或其同品类</w:t>
            </w:r>
            <w:r>
              <w:rPr>
                <w:rFonts w:hint="eastAsia" w:ascii="仿宋" w:hAnsi="仿宋" w:eastAsia="仿宋" w:cs="仿宋"/>
                <w:sz w:val="24"/>
                <w:highlight w:val="none"/>
                <w:lang w:val="en-US" w:eastAsia="zh-CN"/>
              </w:rPr>
              <w:t>）及生产厂家具有效期内的CEC家具产品环保卫士认证证书，提供有效证明材料，全部满足得2分，缺1类扣0.5分，扣完为止</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（三）</w:t>
            </w:r>
            <w:r>
              <w:rPr>
                <w:rFonts w:hint="eastAsia" w:ascii="仿宋" w:hAnsi="仿宋" w:eastAsia="仿宋" w:cs="仿宋"/>
                <w:sz w:val="24"/>
                <w:highlight w:val="none"/>
                <w:lang w:val="en-US" w:eastAsia="zh-CN"/>
              </w:rPr>
              <w:t>CEC家具产品环保卫士认证证书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p>
        </w:tc>
        <w:tc>
          <w:tcPr>
            <w:tcW w:w="3141" w:type="pct"/>
            <w:vAlign w:val="center"/>
          </w:tcPr>
          <w:p>
            <w:pPr>
              <w:spacing w:after="240" w:afterAutospacing="0" w:line="360" w:lineRule="auto"/>
              <w:outlineLvl w:val="0"/>
              <w:rPr>
                <w:rFonts w:hint="default" w:ascii="仿宋" w:hAnsi="仿宋" w:eastAsia="仿宋"/>
                <w:sz w:val="24"/>
                <w:highlight w:val="none"/>
                <w:lang w:val="en-US" w:eastAsia="zh-CN"/>
              </w:rPr>
            </w:pPr>
            <w:r>
              <w:rPr>
                <w:rFonts w:hint="eastAsia" w:ascii="仿宋" w:hAnsi="仿宋" w:eastAsia="仿宋" w:cs="仿宋"/>
                <w:sz w:val="24"/>
                <w:highlight w:val="none"/>
                <w:lang w:val="en-US" w:eastAsia="zh-CN"/>
              </w:rPr>
              <w:t>投标产品（</w:t>
            </w:r>
            <w:r>
              <w:rPr>
                <w:rFonts w:hint="eastAsia" w:ascii="仿宋" w:hAnsi="仿宋" w:eastAsia="仿宋" w:cs="仿宋_GB2312"/>
                <w:sz w:val="24"/>
                <w:highlight w:val="none"/>
                <w:lang w:eastAsia="zh-CN"/>
              </w:rPr>
              <w:t>幼儿正方</w:t>
            </w:r>
            <w:r>
              <w:rPr>
                <w:rFonts w:hint="eastAsia" w:ascii="仿宋" w:hAnsi="仿宋" w:eastAsia="仿宋" w:cs="仿宋_GB2312"/>
                <w:sz w:val="24"/>
                <w:highlight w:val="none"/>
              </w:rPr>
              <w:t>桌或其同品类、</w:t>
            </w:r>
            <w:r>
              <w:rPr>
                <w:rFonts w:hint="eastAsia" w:ascii="仿宋" w:hAnsi="仿宋" w:eastAsia="仿宋" w:cs="仿宋_GB2312"/>
                <w:sz w:val="24"/>
                <w:highlight w:val="none"/>
                <w:lang w:eastAsia="zh-CN"/>
              </w:rPr>
              <w:t>幼儿椅子</w:t>
            </w:r>
            <w:r>
              <w:rPr>
                <w:rFonts w:hint="eastAsia" w:ascii="仿宋" w:hAnsi="仿宋" w:eastAsia="仿宋" w:cs="仿宋_GB2312"/>
                <w:sz w:val="24"/>
                <w:highlight w:val="none"/>
              </w:rPr>
              <w:t>或其同品类、</w:t>
            </w:r>
            <w:r>
              <w:rPr>
                <w:rFonts w:hint="eastAsia" w:ascii="仿宋" w:hAnsi="仿宋" w:eastAsia="仿宋" w:cs="仿宋_GB2312"/>
                <w:sz w:val="24"/>
                <w:highlight w:val="none"/>
                <w:lang w:eastAsia="zh-CN"/>
              </w:rPr>
              <w:t>幼儿抽拉床</w:t>
            </w:r>
            <w:r>
              <w:rPr>
                <w:rFonts w:hint="eastAsia" w:ascii="仿宋" w:hAnsi="仿宋" w:eastAsia="仿宋" w:cs="仿宋_GB2312"/>
                <w:sz w:val="24"/>
                <w:highlight w:val="none"/>
              </w:rPr>
              <w:t>或其同品类、玩具柜或其同品类</w:t>
            </w:r>
            <w:r>
              <w:rPr>
                <w:rFonts w:hint="eastAsia" w:ascii="仿宋" w:hAnsi="仿宋" w:eastAsia="仿宋" w:cs="仿宋"/>
                <w:sz w:val="24"/>
                <w:highlight w:val="none"/>
                <w:lang w:val="en-US" w:eastAsia="zh-CN"/>
              </w:rPr>
              <w:t>）及生产厂家具有效期内的CQC中国环保产品认证证书，提供有效证明材料，全部满足得2分，缺1类扣0.5分，扣完为止</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rPr>
            </w:pPr>
            <w:r>
              <w:rPr>
                <w:rFonts w:hint="eastAsia" w:ascii="仿宋" w:hAnsi="仿宋" w:eastAsia="仿宋"/>
                <w:sz w:val="24"/>
                <w:highlight w:val="none"/>
                <w:lang w:eastAsia="zh-CN"/>
              </w:rPr>
              <w:t>（四）</w:t>
            </w:r>
            <w:r>
              <w:rPr>
                <w:rFonts w:hint="eastAsia" w:ascii="仿宋" w:hAnsi="仿宋" w:eastAsia="仿宋"/>
                <w:sz w:val="24"/>
                <w:highlight w:val="none"/>
              </w:rPr>
              <w:t>CQC中国环保产品认证证书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5</w:t>
            </w:r>
          </w:p>
        </w:tc>
        <w:tc>
          <w:tcPr>
            <w:tcW w:w="3141" w:type="pct"/>
            <w:vAlign w:val="center"/>
          </w:tcPr>
          <w:p>
            <w:pPr>
              <w:spacing w:line="360" w:lineRule="auto"/>
              <w:outlineLvl w:val="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投标人自</w:t>
            </w:r>
            <w:r>
              <w:rPr>
                <w:rFonts w:hint="eastAsia" w:ascii="仿宋" w:hAnsi="仿宋" w:eastAsia="仿宋" w:cs="仿宋"/>
                <w:sz w:val="24"/>
                <w:highlight w:val="none"/>
                <w:lang w:val="en-US" w:eastAsia="zh-CN"/>
              </w:rPr>
              <w:t>2019</w:t>
            </w:r>
            <w:r>
              <w:rPr>
                <w:rFonts w:hint="default" w:ascii="仿宋" w:hAnsi="仿宋" w:eastAsia="仿宋" w:cs="仿宋"/>
                <w:sz w:val="24"/>
                <w:highlight w:val="none"/>
                <w:lang w:val="en-US" w:eastAsia="zh-CN"/>
              </w:rPr>
              <w:t>年1月1日（含）至开标时间止（以合同签订时间为准）承接过</w:t>
            </w:r>
            <w:r>
              <w:rPr>
                <w:rFonts w:hint="eastAsia" w:ascii="仿宋" w:hAnsi="仿宋" w:eastAsia="仿宋" w:cs="仿宋"/>
                <w:sz w:val="24"/>
                <w:highlight w:val="none"/>
                <w:lang w:val="en-US" w:eastAsia="zh-CN"/>
              </w:rPr>
              <w:t>同类</w:t>
            </w:r>
            <w:r>
              <w:rPr>
                <w:rFonts w:hint="default" w:ascii="仿宋" w:hAnsi="仿宋" w:eastAsia="仿宋" w:cs="仿宋"/>
                <w:sz w:val="24"/>
                <w:highlight w:val="none"/>
                <w:lang w:val="en-US" w:eastAsia="zh-CN"/>
              </w:rPr>
              <w:t>家具项目案例</w:t>
            </w:r>
            <w:r>
              <w:rPr>
                <w:rFonts w:hint="eastAsia" w:ascii="仿宋" w:hAnsi="仿宋" w:eastAsia="仿宋" w:cs="仿宋"/>
                <w:sz w:val="24"/>
                <w:highlight w:val="none"/>
                <w:lang w:val="en-US" w:eastAsia="zh-CN"/>
              </w:rPr>
              <w:t>（须含幼儿家具）</w:t>
            </w:r>
            <w:r>
              <w:rPr>
                <w:rFonts w:hint="default" w:ascii="仿宋" w:hAnsi="仿宋" w:eastAsia="仿宋" w:cs="仿宋"/>
                <w:sz w:val="24"/>
                <w:highlight w:val="none"/>
                <w:lang w:val="en-US" w:eastAsia="zh-CN"/>
              </w:rPr>
              <w:t>，同时提供中标通知书、合同、验收合格报告</w:t>
            </w:r>
            <w:r>
              <w:rPr>
                <w:rFonts w:hint="eastAsia" w:ascii="仿宋" w:hAnsi="仿宋" w:eastAsia="仿宋" w:cs="仿宋"/>
                <w:sz w:val="24"/>
                <w:highlight w:val="none"/>
                <w:lang w:val="en-US" w:eastAsia="zh-CN"/>
              </w:rPr>
              <w:t>，</w:t>
            </w:r>
            <w:r>
              <w:rPr>
                <w:rFonts w:hint="default" w:ascii="仿宋" w:hAnsi="仿宋" w:eastAsia="仿宋" w:cs="仿宋"/>
                <w:sz w:val="24"/>
                <w:highlight w:val="none"/>
                <w:lang w:val="en-US" w:eastAsia="zh-CN"/>
              </w:rPr>
              <w:t>一个案例得1分，</w:t>
            </w:r>
            <w:r>
              <w:rPr>
                <w:rFonts w:hint="eastAsia" w:ascii="仿宋" w:hAnsi="仿宋" w:eastAsia="仿宋" w:cs="仿宋"/>
                <w:sz w:val="24"/>
                <w:highlight w:val="none"/>
                <w:lang w:val="en-US" w:eastAsia="zh-CN"/>
              </w:rPr>
              <w:t>共3</w:t>
            </w:r>
            <w:r>
              <w:rPr>
                <w:rFonts w:hint="default" w:ascii="仿宋" w:hAnsi="仿宋" w:eastAsia="仿宋" w:cs="仿宋"/>
                <w:sz w:val="24"/>
                <w:highlight w:val="none"/>
                <w:lang w:val="en-US" w:eastAsia="zh-CN"/>
              </w:rPr>
              <w:t>分。</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3</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（六）同类案例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000" w:type="pct"/>
            <w:gridSpan w:val="4"/>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6</w:t>
            </w:r>
          </w:p>
        </w:tc>
        <w:tc>
          <w:tcPr>
            <w:tcW w:w="3141" w:type="pct"/>
            <w:vAlign w:val="center"/>
          </w:tcPr>
          <w:p>
            <w:pPr>
              <w:spacing w:line="360" w:lineRule="auto"/>
              <w:outlineLvl w:val="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提供自</w:t>
            </w:r>
            <w:r>
              <w:rPr>
                <w:rFonts w:hint="default" w:ascii="仿宋" w:hAnsi="仿宋" w:eastAsia="仿宋" w:cs="仿宋"/>
                <w:color w:val="000000"/>
                <w:sz w:val="24"/>
                <w:highlight w:val="none"/>
                <w:lang w:val="en-US" w:eastAsia="zh-CN"/>
              </w:rPr>
              <w:t>2021年1月1日</w:t>
            </w:r>
            <w:r>
              <w:rPr>
                <w:rFonts w:hint="eastAsia" w:ascii="仿宋" w:hAnsi="仿宋" w:eastAsia="仿宋" w:cs="仿宋"/>
                <w:color w:val="000000"/>
                <w:sz w:val="24"/>
                <w:highlight w:val="none"/>
                <w:lang w:val="en-US" w:eastAsia="zh-CN"/>
              </w:rPr>
              <w:t>至开标时间止的</w:t>
            </w:r>
            <w:r>
              <w:rPr>
                <w:rFonts w:hint="default" w:ascii="仿宋" w:hAnsi="仿宋" w:eastAsia="仿宋" w:cs="仿宋"/>
                <w:color w:val="000000"/>
                <w:sz w:val="24"/>
                <w:highlight w:val="none"/>
                <w:lang w:val="en-US" w:eastAsia="zh-CN"/>
              </w:rPr>
              <w:t>符合核心技术性能要求的投标产品（</w:t>
            </w:r>
            <w:r>
              <w:rPr>
                <w:rFonts w:hint="eastAsia" w:ascii="仿宋" w:hAnsi="仿宋" w:eastAsia="仿宋" w:cs="仿宋_GB2312"/>
                <w:sz w:val="24"/>
                <w:highlight w:val="none"/>
                <w:lang w:eastAsia="zh-CN"/>
              </w:rPr>
              <w:t>幼儿正方</w:t>
            </w:r>
            <w:r>
              <w:rPr>
                <w:rFonts w:hint="eastAsia" w:ascii="仿宋" w:hAnsi="仿宋" w:eastAsia="仿宋" w:cs="仿宋_GB2312"/>
                <w:sz w:val="24"/>
                <w:highlight w:val="none"/>
              </w:rPr>
              <w:t>桌或其同品类、</w:t>
            </w:r>
            <w:r>
              <w:rPr>
                <w:rFonts w:hint="eastAsia" w:ascii="仿宋" w:hAnsi="仿宋" w:eastAsia="仿宋" w:cs="仿宋_GB2312"/>
                <w:sz w:val="24"/>
                <w:highlight w:val="none"/>
                <w:lang w:eastAsia="zh-CN"/>
              </w:rPr>
              <w:t>幼儿椅子</w:t>
            </w:r>
            <w:r>
              <w:rPr>
                <w:rFonts w:hint="eastAsia" w:ascii="仿宋" w:hAnsi="仿宋" w:eastAsia="仿宋" w:cs="仿宋_GB2312"/>
                <w:sz w:val="24"/>
                <w:highlight w:val="none"/>
              </w:rPr>
              <w:t>或其同品类、</w:t>
            </w:r>
            <w:r>
              <w:rPr>
                <w:rFonts w:hint="eastAsia" w:ascii="仿宋" w:hAnsi="仿宋" w:eastAsia="仿宋" w:cs="仿宋_GB2312"/>
                <w:sz w:val="24"/>
                <w:highlight w:val="none"/>
                <w:lang w:eastAsia="zh-CN"/>
              </w:rPr>
              <w:t>幼儿抽拉床</w:t>
            </w:r>
            <w:r>
              <w:rPr>
                <w:rFonts w:hint="eastAsia" w:ascii="仿宋" w:hAnsi="仿宋" w:eastAsia="仿宋" w:cs="仿宋_GB2312"/>
                <w:sz w:val="24"/>
                <w:highlight w:val="none"/>
              </w:rPr>
              <w:t>或其同品类、玩具柜或其同品类</w:t>
            </w:r>
            <w:r>
              <w:rPr>
                <w:rFonts w:hint="default" w:ascii="仿宋" w:hAnsi="仿宋" w:eastAsia="仿宋" w:cs="仿宋"/>
                <w:color w:val="000000"/>
                <w:sz w:val="24"/>
                <w:highlight w:val="none"/>
                <w:lang w:val="en-US" w:eastAsia="zh-CN"/>
              </w:rPr>
              <w:t>）的成品检测报告。</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每个产品的核心技术指标评分应包含以下内容，内容完全符合要求且报告提供齐全的每个产品得</w:t>
            </w:r>
            <w:r>
              <w:rPr>
                <w:rFonts w:hint="eastAsia" w:ascii="仿宋" w:hAnsi="仿宋" w:eastAsia="仿宋" w:cs="仿宋"/>
                <w:color w:val="000000"/>
                <w:sz w:val="24"/>
                <w:highlight w:val="none"/>
                <w:lang w:val="en-US" w:eastAsia="zh-CN"/>
              </w:rPr>
              <w:t>2</w:t>
            </w:r>
            <w:r>
              <w:rPr>
                <w:rFonts w:hint="default" w:ascii="仿宋" w:hAnsi="仿宋" w:eastAsia="仿宋" w:cs="仿宋"/>
                <w:color w:val="000000"/>
                <w:sz w:val="24"/>
                <w:highlight w:val="none"/>
                <w:lang w:val="en-US" w:eastAsia="zh-CN"/>
              </w:rPr>
              <w:t>分，最高</w:t>
            </w:r>
            <w:r>
              <w:rPr>
                <w:rFonts w:hint="eastAsia" w:ascii="仿宋" w:hAnsi="仿宋" w:eastAsia="仿宋" w:cs="仿宋"/>
                <w:color w:val="000000"/>
                <w:sz w:val="24"/>
                <w:highlight w:val="none"/>
                <w:lang w:val="en-US" w:eastAsia="zh-CN"/>
              </w:rPr>
              <w:t>8</w:t>
            </w:r>
            <w:r>
              <w:rPr>
                <w:rFonts w:hint="default" w:ascii="仿宋" w:hAnsi="仿宋" w:eastAsia="仿宋" w:cs="仿宋"/>
                <w:color w:val="000000"/>
                <w:sz w:val="24"/>
                <w:highlight w:val="none"/>
                <w:lang w:val="en-US" w:eastAsia="zh-CN"/>
              </w:rPr>
              <w:t>分，缺项不得分：</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1.力学性能(稳定性全项、符合采购需求的强度及耐久性全项）；</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2.产品涉及的表面理化性能（如：漆膜、软硬质覆面、金属件、封边条表面胶合强度等）；</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3.甲醛释放量按对应的国家标准执行评分（选取两项中的其中一项）：</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 xml:space="preserve">  （1）按GB 18580-2017执行，甲醛释放量≤0.05mg/m3 ；</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 xml:space="preserve">  （2）按GB 18584-2001执行，甲醛释放量≤0.5mg/L。</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4.除第3项所涉及的甲醛释放量以外的安全性能和有害物质限量。</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备注：出具的检测报告必须由具备家具成品及其原辅材料检测能力并通过国家计量认证（CMA资质）的第三方检测机构提供。</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8</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（七）</w:t>
            </w:r>
            <w:r>
              <w:rPr>
                <w:rFonts w:hint="eastAsia" w:ascii="仿宋" w:hAnsi="仿宋" w:eastAsia="仿宋"/>
                <w:sz w:val="24"/>
                <w:highlight w:val="none"/>
                <w:lang w:val="en-US" w:eastAsia="zh-CN"/>
              </w:rPr>
              <w:t>成品检测报告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7</w:t>
            </w:r>
          </w:p>
        </w:tc>
        <w:tc>
          <w:tcPr>
            <w:tcW w:w="3141" w:type="pct"/>
            <w:vAlign w:val="center"/>
          </w:tcPr>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提供符合国家标准或行业标准要求的主要原材料（如胶粘剂、热熔胶、塑粉、塑料胶套、钢管、</w:t>
            </w:r>
            <w:r>
              <w:rPr>
                <w:rFonts w:hint="eastAsia" w:ascii="仿宋" w:hAnsi="仿宋" w:eastAsia="仿宋" w:cs="仿宋"/>
                <w:color w:val="000000"/>
                <w:sz w:val="24"/>
                <w:highlight w:val="none"/>
                <w:lang w:val="en-US" w:eastAsia="zh-CN"/>
              </w:rPr>
              <w:t>多层板、</w:t>
            </w:r>
            <w:r>
              <w:rPr>
                <w:rFonts w:hint="default" w:ascii="仿宋" w:hAnsi="仿宋" w:eastAsia="仿宋" w:cs="仿宋"/>
                <w:color w:val="000000"/>
                <w:sz w:val="24"/>
                <w:highlight w:val="none"/>
                <w:lang w:val="en-US" w:eastAsia="zh-CN"/>
              </w:rPr>
              <w:t>橡胶木、脚轮、五金件</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海绵、封边条、胶水、水性漆</w:t>
            </w:r>
            <w:r>
              <w:rPr>
                <w:rFonts w:hint="eastAsia" w:ascii="仿宋" w:hAnsi="仿宋" w:eastAsia="仿宋" w:cs="仿宋"/>
                <w:color w:val="000000"/>
                <w:sz w:val="24"/>
                <w:highlight w:val="none"/>
                <w:lang w:val="en-US" w:eastAsia="zh-CN"/>
              </w:rPr>
              <w:t>、水基型胶粘剂、实木板材</w:t>
            </w:r>
            <w:r>
              <w:rPr>
                <w:rFonts w:hint="default" w:ascii="仿宋" w:hAnsi="仿宋" w:eastAsia="仿宋" w:cs="仿宋"/>
                <w:color w:val="000000"/>
                <w:sz w:val="24"/>
                <w:highlight w:val="none"/>
                <w:lang w:val="en-US" w:eastAsia="zh-CN"/>
              </w:rPr>
              <w:t>等）的检测报告（投标截止时间前一年内）。每提供一个种类的原材料检测报告，得</w:t>
            </w:r>
            <w:r>
              <w:rPr>
                <w:rFonts w:hint="eastAsia" w:ascii="仿宋" w:hAnsi="仿宋" w:eastAsia="仿宋" w:cs="仿宋"/>
                <w:color w:val="000000"/>
                <w:sz w:val="24"/>
                <w:highlight w:val="none"/>
                <w:lang w:val="en-US" w:eastAsia="zh-CN"/>
              </w:rPr>
              <w:t>1</w:t>
            </w:r>
            <w:r>
              <w:rPr>
                <w:rFonts w:hint="default" w:ascii="仿宋" w:hAnsi="仿宋" w:eastAsia="仿宋" w:cs="仿宋"/>
                <w:color w:val="000000"/>
                <w:sz w:val="24"/>
                <w:highlight w:val="none"/>
                <w:lang w:val="en-US" w:eastAsia="zh-CN"/>
              </w:rPr>
              <w:t>分，最高得</w:t>
            </w:r>
            <w:r>
              <w:rPr>
                <w:rFonts w:hint="eastAsia" w:ascii="仿宋" w:hAnsi="仿宋" w:eastAsia="仿宋" w:cs="仿宋"/>
                <w:color w:val="000000"/>
                <w:sz w:val="24"/>
                <w:highlight w:val="none"/>
                <w:lang w:val="en-US" w:eastAsia="zh-CN"/>
              </w:rPr>
              <w:t>8</w:t>
            </w:r>
            <w:r>
              <w:rPr>
                <w:rFonts w:hint="default" w:ascii="仿宋" w:hAnsi="仿宋" w:eastAsia="仿宋" w:cs="仿宋"/>
                <w:color w:val="000000"/>
                <w:sz w:val="24"/>
                <w:highlight w:val="none"/>
                <w:lang w:val="en-US" w:eastAsia="zh-CN"/>
              </w:rPr>
              <w:t>分。</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原材料供应商提供符合上述要求的检测报告也可采用，但必须提供供应商购买对应原材料的发票复印件（投标截止时间前一年内）或者预购对应原材料的预约合同等证明材料。</w:t>
            </w:r>
          </w:p>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备注：出具的检测报告必须由具备家具成品及其原辅材料检测能力并通过国家计量认证（CMA资质）的第三方检测机构提供。</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8</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cs="仿宋"/>
                <w:color w:val="000000"/>
                <w:sz w:val="24"/>
                <w:highlight w:val="none"/>
                <w:lang w:val="en-US" w:eastAsia="zh-CN"/>
              </w:rPr>
              <w:t>（八）原材料</w:t>
            </w:r>
            <w:r>
              <w:rPr>
                <w:rFonts w:hint="default" w:ascii="仿宋" w:hAnsi="仿宋" w:eastAsia="仿宋" w:cs="仿宋"/>
                <w:color w:val="000000"/>
                <w:sz w:val="24"/>
                <w:highlight w:val="none"/>
                <w:lang w:val="en-US" w:eastAsia="zh-CN"/>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8</w:t>
            </w:r>
          </w:p>
        </w:tc>
        <w:tc>
          <w:tcPr>
            <w:tcW w:w="3141" w:type="pct"/>
            <w:vAlign w:val="center"/>
          </w:tcPr>
          <w:p>
            <w:pPr>
              <w:spacing w:line="360" w:lineRule="auto"/>
              <w:outlineLvl w:val="0"/>
              <w:rPr>
                <w:rFonts w:hint="default" w:ascii="仿宋" w:hAnsi="仿宋" w:eastAsia="仿宋"/>
                <w:sz w:val="24"/>
                <w:highlight w:val="none"/>
                <w:lang w:val="en-US" w:eastAsia="zh-CN"/>
              </w:rPr>
            </w:pPr>
            <w:r>
              <w:rPr>
                <w:rFonts w:hint="default" w:ascii="仿宋" w:hAnsi="仿宋" w:eastAsia="仿宋"/>
                <w:sz w:val="24"/>
                <w:highlight w:val="none"/>
                <w:lang w:val="en-US" w:eastAsia="zh-CN"/>
              </w:rPr>
              <w:t>投标人或生产厂家完成本项目所具备下列主要生产设备（</w:t>
            </w:r>
            <w:r>
              <w:rPr>
                <w:rFonts w:hint="eastAsia" w:ascii="仿宋" w:hAnsi="仿宋" w:eastAsia="仿宋"/>
                <w:sz w:val="24"/>
                <w:highlight w:val="none"/>
                <w:lang w:val="en-US" w:eastAsia="zh-CN"/>
              </w:rPr>
              <w:t>同时</w:t>
            </w:r>
            <w:r>
              <w:rPr>
                <w:rFonts w:hint="default" w:ascii="仿宋" w:hAnsi="仿宋" w:eastAsia="仿宋"/>
                <w:sz w:val="24"/>
                <w:highlight w:val="none"/>
                <w:lang w:val="en-US" w:eastAsia="zh-CN"/>
              </w:rPr>
              <w:t>提供生产设备现场实景图、生产设备采购发票原件</w:t>
            </w:r>
            <w:r>
              <w:rPr>
                <w:rFonts w:hint="eastAsia" w:ascii="仿宋" w:hAnsi="仿宋" w:eastAsia="仿宋"/>
                <w:sz w:val="24"/>
                <w:highlight w:val="none"/>
                <w:lang w:val="en-US" w:eastAsia="zh-CN"/>
              </w:rPr>
              <w:t>扫描件</w:t>
            </w:r>
            <w:r>
              <w:rPr>
                <w:rFonts w:hint="default" w:ascii="仿宋" w:hAnsi="仿宋" w:eastAsia="仿宋"/>
                <w:sz w:val="24"/>
                <w:highlight w:val="none"/>
                <w:lang w:val="en-US" w:eastAsia="zh-CN"/>
              </w:rPr>
              <w:t>,</w:t>
            </w:r>
            <w:r>
              <w:rPr>
                <w:rFonts w:hint="eastAsia" w:ascii="仿宋" w:hAnsi="仿宋" w:eastAsia="仿宋"/>
                <w:sz w:val="24"/>
                <w:highlight w:val="none"/>
                <w:lang w:val="en-US" w:eastAsia="zh-CN"/>
              </w:rPr>
              <w:t>提供不全或</w:t>
            </w:r>
            <w:r>
              <w:rPr>
                <w:rFonts w:hint="default" w:ascii="仿宋" w:hAnsi="仿宋" w:eastAsia="仿宋"/>
                <w:sz w:val="24"/>
                <w:highlight w:val="none"/>
                <w:lang w:val="en-US" w:eastAsia="zh-CN"/>
              </w:rPr>
              <w:t>不提供不得分）：</w:t>
            </w:r>
          </w:p>
          <w:p>
            <w:pPr>
              <w:spacing w:line="360" w:lineRule="auto"/>
              <w:outlineLvl w:val="0"/>
              <w:rPr>
                <w:rFonts w:hint="default" w:ascii="仿宋" w:hAnsi="仿宋" w:eastAsia="仿宋"/>
                <w:sz w:val="24"/>
                <w:highlight w:val="none"/>
                <w:lang w:val="en-US" w:eastAsia="zh-CN"/>
              </w:rPr>
            </w:pPr>
            <w:r>
              <w:rPr>
                <w:rFonts w:hint="default" w:ascii="仿宋" w:hAnsi="仿宋" w:eastAsia="仿宋"/>
                <w:sz w:val="24"/>
                <w:highlight w:val="none"/>
                <w:lang w:val="en-US" w:eastAsia="zh-CN"/>
              </w:rPr>
              <w:t>1.人造板类：开料锯机、封边机、排钻床、冷压机、热压机、涂装设备、加工中心等；</w:t>
            </w:r>
          </w:p>
          <w:p>
            <w:pPr>
              <w:spacing w:line="360" w:lineRule="auto"/>
              <w:outlineLvl w:val="0"/>
              <w:rPr>
                <w:rFonts w:hint="default" w:ascii="仿宋" w:hAnsi="仿宋" w:eastAsia="仿宋"/>
                <w:sz w:val="24"/>
                <w:highlight w:val="none"/>
                <w:lang w:val="en-US" w:eastAsia="zh-CN"/>
              </w:rPr>
            </w:pPr>
            <w:r>
              <w:rPr>
                <w:rFonts w:hint="default" w:ascii="仿宋" w:hAnsi="仿宋" w:eastAsia="仿宋"/>
                <w:sz w:val="24"/>
                <w:highlight w:val="none"/>
                <w:lang w:val="en-US" w:eastAsia="zh-CN"/>
              </w:rPr>
              <w:t>2.实木类：纵解锯机、横截锯机、平刨床、压刨床、拼板机、开榫机、加工中心、干燥房、涂装设备等；</w:t>
            </w:r>
          </w:p>
          <w:p>
            <w:pPr>
              <w:spacing w:line="360" w:lineRule="auto"/>
              <w:outlineLvl w:val="0"/>
              <w:rPr>
                <w:rFonts w:hint="default" w:ascii="仿宋" w:hAnsi="仿宋" w:eastAsia="仿宋"/>
                <w:sz w:val="24"/>
                <w:highlight w:val="none"/>
                <w:lang w:val="en-US" w:eastAsia="zh-CN"/>
              </w:rPr>
            </w:pPr>
            <w:r>
              <w:rPr>
                <w:rFonts w:hint="default" w:ascii="仿宋" w:hAnsi="仿宋" w:eastAsia="仿宋"/>
                <w:sz w:val="24"/>
                <w:highlight w:val="none"/>
                <w:lang w:val="en-US" w:eastAsia="zh-CN"/>
              </w:rPr>
              <w:t>3.钢制类：切割设备、折弯机、焊接设备、涂装设备、冲床、钻床、加工中心等；</w:t>
            </w:r>
          </w:p>
          <w:p>
            <w:pPr>
              <w:spacing w:line="360" w:lineRule="auto"/>
              <w:outlineLvl w:val="0"/>
              <w:rPr>
                <w:rFonts w:hint="default" w:ascii="仿宋" w:hAnsi="仿宋" w:eastAsia="仿宋"/>
                <w:sz w:val="24"/>
                <w:highlight w:val="none"/>
                <w:lang w:val="en-US" w:eastAsia="zh-CN"/>
              </w:rPr>
            </w:pPr>
            <w:r>
              <w:rPr>
                <w:rFonts w:hint="default" w:ascii="仿宋" w:hAnsi="仿宋" w:eastAsia="仿宋"/>
                <w:sz w:val="24"/>
                <w:highlight w:val="none"/>
                <w:lang w:val="en-US" w:eastAsia="zh-CN"/>
              </w:rPr>
              <w:t>4.钢木类：切割设备、弯管机、焊接设备、涂装设备、开料锯机、封边机、排钻床等；</w:t>
            </w:r>
          </w:p>
          <w:p>
            <w:pPr>
              <w:spacing w:line="360" w:lineRule="auto"/>
              <w:outlineLvl w:val="0"/>
              <w:rPr>
                <w:rFonts w:hint="default" w:ascii="仿宋" w:hAnsi="仿宋" w:eastAsia="仿宋"/>
                <w:sz w:val="24"/>
                <w:highlight w:val="none"/>
                <w:lang w:val="en-US" w:eastAsia="zh-CN"/>
              </w:rPr>
            </w:pPr>
            <w:r>
              <w:rPr>
                <w:rFonts w:hint="eastAsia" w:ascii="仿宋" w:hAnsi="仿宋" w:eastAsia="仿宋"/>
                <w:sz w:val="24"/>
                <w:highlight w:val="none"/>
                <w:lang w:val="en-US" w:eastAsia="zh-CN"/>
              </w:rPr>
              <w:t>以上</w:t>
            </w:r>
            <w:r>
              <w:rPr>
                <w:rFonts w:hint="default" w:ascii="仿宋" w:hAnsi="仿宋" w:eastAsia="仿宋"/>
                <w:sz w:val="24"/>
                <w:highlight w:val="none"/>
                <w:lang w:val="en-US" w:eastAsia="zh-CN"/>
              </w:rPr>
              <w:t>每提供一项得0.5分</w:t>
            </w:r>
            <w:r>
              <w:rPr>
                <w:rFonts w:hint="eastAsia" w:ascii="仿宋" w:hAnsi="仿宋" w:eastAsia="仿宋"/>
                <w:sz w:val="24"/>
                <w:highlight w:val="none"/>
                <w:lang w:val="en-US" w:eastAsia="zh-CN"/>
              </w:rPr>
              <w:t>，共2分。</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（九）生产设备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9</w:t>
            </w:r>
          </w:p>
        </w:tc>
        <w:tc>
          <w:tcPr>
            <w:tcW w:w="3141" w:type="pct"/>
            <w:vAlign w:val="center"/>
          </w:tcPr>
          <w:p>
            <w:pPr>
              <w:spacing w:line="360" w:lineRule="auto"/>
              <w:outlineLvl w:val="0"/>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eastAsia="zh-CN"/>
              </w:rPr>
              <w:t>其余技术规格响应情况。其余技术规格均满足得</w:t>
            </w: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lang w:eastAsia="zh-CN"/>
              </w:rPr>
              <w:t>分，每一项负偏离扣0.5分，扣完为止。</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p>
        </w:tc>
        <w:tc>
          <w:tcPr>
            <w:tcW w:w="1060" w:type="pct"/>
            <w:vAlign w:val="center"/>
          </w:tcPr>
          <w:p>
            <w:pPr>
              <w:spacing w:line="360" w:lineRule="auto"/>
              <w:jc w:val="center"/>
              <w:outlineLvl w:val="0"/>
              <w:rPr>
                <w:rFonts w:hint="eastAsia" w:ascii="仿宋" w:hAnsi="仿宋" w:eastAsia="仿宋"/>
                <w:sz w:val="24"/>
                <w:highlight w:val="none"/>
              </w:rPr>
            </w:pPr>
            <w:r>
              <w:rPr>
                <w:rFonts w:hint="eastAsia" w:ascii="仿宋" w:hAnsi="仿宋" w:eastAsia="仿宋" w:cs="仿宋"/>
                <w:color w:val="000000"/>
                <w:sz w:val="24"/>
                <w:highlight w:val="none"/>
                <w:lang w:eastAsia="zh-CN"/>
              </w:rPr>
              <w:t>技术规格响应情况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10</w:t>
            </w:r>
          </w:p>
        </w:tc>
        <w:tc>
          <w:tcPr>
            <w:tcW w:w="3141" w:type="pct"/>
            <w:vAlign w:val="center"/>
          </w:tcPr>
          <w:p>
            <w:pPr>
              <w:spacing w:line="360" w:lineRule="auto"/>
              <w:outlineLvl w:val="0"/>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eastAsia="zh-CN"/>
              </w:rPr>
              <w:t>项目整体实施规划方案，提出合理的项目整体规划设计与生产实施方案，能按照项目分解节点，并可跟踪实施。根据投标人提供的方案能否满足采购需求判定评分，内容完整、措施有效、符合采购人实际。完全满足得2分，部分满足得1分,不满足不得分，共</w:t>
            </w:r>
            <w:r>
              <w:rPr>
                <w:rFonts w:hint="eastAsia" w:ascii="仿宋" w:hAnsi="仿宋" w:eastAsia="仿宋" w:cs="仿宋"/>
                <w:color w:val="000000"/>
                <w:sz w:val="24"/>
                <w:highlight w:val="none"/>
                <w:lang w:val="en-US" w:eastAsia="zh-CN"/>
              </w:rPr>
              <w:t>2分</w:t>
            </w:r>
            <w:r>
              <w:rPr>
                <w:rFonts w:hint="eastAsia" w:ascii="仿宋" w:hAnsi="仿宋" w:eastAsia="仿宋" w:cs="仿宋"/>
                <w:color w:val="000000"/>
                <w:sz w:val="24"/>
                <w:highlight w:val="none"/>
                <w:lang w:eastAsia="zh-CN"/>
              </w:rPr>
              <w:t>。</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rPr>
            </w:pPr>
            <w:r>
              <w:rPr>
                <w:rFonts w:hint="eastAsia" w:ascii="仿宋" w:hAnsi="仿宋" w:eastAsia="仿宋"/>
                <w:sz w:val="24"/>
                <w:highlight w:val="none"/>
                <w:lang w:eastAsia="zh-CN"/>
              </w:rPr>
              <w:t>（十）</w:t>
            </w:r>
            <w:r>
              <w:rPr>
                <w:rFonts w:hint="eastAsia" w:ascii="仿宋" w:hAnsi="仿宋" w:eastAsia="仿宋"/>
                <w:sz w:val="24"/>
                <w:highlight w:val="none"/>
              </w:rPr>
              <w:t>项目整体实施规划方案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11</w:t>
            </w:r>
          </w:p>
        </w:tc>
        <w:tc>
          <w:tcPr>
            <w:tcW w:w="3141" w:type="pct"/>
            <w:vAlign w:val="top"/>
          </w:tcPr>
          <w:p>
            <w:pPr>
              <w:spacing w:line="360" w:lineRule="auto"/>
              <w:outlineLvl w:val="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技术团队履历及能力说明，须提供项目团队成员名单、与本项目有关的能力证明（包括但不限于职称证明或经验证明等）、社保证明等材料。每满足一项能力证明得1分，最高得 2 分，材料提供不全不得分。</w:t>
            </w:r>
          </w:p>
        </w:tc>
        <w:tc>
          <w:tcPr>
            <w:tcW w:w="395" w:type="pct"/>
            <w:vAlign w:val="center"/>
          </w:tcPr>
          <w:p>
            <w:pPr>
              <w:spacing w:line="360" w:lineRule="auto"/>
              <w:jc w:val="center"/>
              <w:outlineLvl w:val="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cs="仿宋"/>
                <w:color w:val="000000"/>
                <w:sz w:val="24"/>
                <w:highlight w:val="none"/>
                <w:lang w:val="en-US" w:eastAsia="zh-CN"/>
              </w:rPr>
              <w:t>（十一）技术团队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12</w:t>
            </w:r>
          </w:p>
        </w:tc>
        <w:tc>
          <w:tcPr>
            <w:tcW w:w="3141" w:type="pct"/>
            <w:vAlign w:val="top"/>
          </w:tcPr>
          <w:p>
            <w:pPr>
              <w:spacing w:line="360" w:lineRule="auto"/>
              <w:outlineLvl w:val="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品质管理管控过程，有独立品管部门和专门品管人员，确保产品生产过程中的质量控制完善。满足得2分，不满足不得分，共2分。</w:t>
            </w:r>
          </w:p>
        </w:tc>
        <w:tc>
          <w:tcPr>
            <w:tcW w:w="395" w:type="pct"/>
            <w:vAlign w:val="center"/>
          </w:tcPr>
          <w:p>
            <w:pPr>
              <w:spacing w:line="360" w:lineRule="auto"/>
              <w:jc w:val="center"/>
              <w:outlineLvl w:val="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cs="仿宋"/>
                <w:color w:val="000000"/>
                <w:sz w:val="24"/>
                <w:highlight w:val="none"/>
                <w:lang w:val="en-US" w:eastAsia="zh-CN"/>
              </w:rPr>
              <w:t>（十二）品质管理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13</w:t>
            </w:r>
          </w:p>
        </w:tc>
        <w:tc>
          <w:tcPr>
            <w:tcW w:w="3141" w:type="pct"/>
            <w:vAlign w:val="top"/>
          </w:tcPr>
          <w:p>
            <w:pPr>
              <w:spacing w:line="360" w:lineRule="auto"/>
              <w:outlineLvl w:val="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安装服务实施方案，安装方案的制定，根据货物交付时间节点，落实送货安装时间和人员安排，确保按期交付使用。满足得2分，不满足不得分，共2分。</w:t>
            </w:r>
          </w:p>
        </w:tc>
        <w:tc>
          <w:tcPr>
            <w:tcW w:w="395" w:type="pct"/>
            <w:vAlign w:val="center"/>
          </w:tcPr>
          <w:p>
            <w:pPr>
              <w:spacing w:line="360" w:lineRule="auto"/>
              <w:jc w:val="center"/>
              <w:outlineLvl w:val="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2</w:t>
            </w:r>
          </w:p>
        </w:tc>
        <w:tc>
          <w:tcPr>
            <w:tcW w:w="1060" w:type="pc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（十三）</w:t>
            </w:r>
            <w:r>
              <w:rPr>
                <w:rFonts w:hint="eastAsia" w:ascii="仿宋" w:hAnsi="仿宋" w:eastAsia="仿宋" w:cs="仿宋"/>
                <w:color w:val="000000"/>
                <w:sz w:val="24"/>
                <w:highlight w:val="none"/>
                <w:lang w:val="en-US" w:eastAsia="zh-CN"/>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14</w:t>
            </w:r>
          </w:p>
        </w:tc>
        <w:tc>
          <w:tcPr>
            <w:tcW w:w="3141" w:type="pct"/>
            <w:vAlign w:val="top"/>
          </w:tcPr>
          <w:p>
            <w:pPr>
              <w:spacing w:line="360" w:lineRule="auto"/>
              <w:outlineLvl w:val="0"/>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售后服务方案及承诺：提供详细完整的“三包”措施及售后服务措施和方案（包括服务措施、产品质量保证、回访、技术培训等）。根据投标人提供的方案能否满足采购需求判定评分，内容完整、措施有效、符合采购人实际完全。满足得</w:t>
            </w:r>
            <w:r>
              <w:rPr>
                <w:rFonts w:hint="eastAsia" w:ascii="仿宋" w:hAnsi="仿宋" w:eastAsia="仿宋" w:cs="仿宋"/>
                <w:color w:val="000000"/>
                <w:sz w:val="24"/>
                <w:highlight w:val="none"/>
                <w:lang w:val="en-US" w:eastAsia="zh-CN"/>
              </w:rPr>
              <w:t>3</w:t>
            </w:r>
            <w:r>
              <w:rPr>
                <w:rFonts w:hint="default" w:ascii="仿宋" w:hAnsi="仿宋" w:eastAsia="仿宋" w:cs="仿宋"/>
                <w:color w:val="000000"/>
                <w:sz w:val="24"/>
                <w:highlight w:val="none"/>
                <w:lang w:val="en-US" w:eastAsia="zh-CN"/>
              </w:rPr>
              <w:t>分，部分满足得1分,不满足不得分。</w:t>
            </w:r>
          </w:p>
        </w:tc>
        <w:tc>
          <w:tcPr>
            <w:tcW w:w="395" w:type="pct"/>
            <w:vAlign w:val="center"/>
          </w:tcPr>
          <w:p>
            <w:pPr>
              <w:spacing w:line="360" w:lineRule="auto"/>
              <w:jc w:val="center"/>
              <w:outlineLvl w:val="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3</w:t>
            </w:r>
          </w:p>
        </w:tc>
        <w:tc>
          <w:tcPr>
            <w:tcW w:w="1060" w:type="pct"/>
            <w:vMerge w:val="restart"/>
            <w:vAlign w:val="center"/>
          </w:tcPr>
          <w:p>
            <w:pPr>
              <w:spacing w:line="360" w:lineRule="auto"/>
              <w:jc w:val="center"/>
              <w:outlineLvl w:val="0"/>
              <w:rPr>
                <w:rFonts w:hint="eastAsia" w:ascii="仿宋" w:hAnsi="仿宋" w:eastAsia="仿宋"/>
                <w:sz w:val="24"/>
                <w:highlight w:val="none"/>
                <w:lang w:eastAsia="zh-CN"/>
              </w:rPr>
            </w:pPr>
            <w:r>
              <w:rPr>
                <w:rFonts w:hint="eastAsia" w:ascii="仿宋" w:hAnsi="仿宋" w:eastAsia="仿宋"/>
                <w:sz w:val="24"/>
                <w:highlight w:val="none"/>
                <w:lang w:eastAsia="zh-CN"/>
              </w:rPr>
              <w:t>（十四）</w:t>
            </w:r>
            <w:r>
              <w:rPr>
                <w:rFonts w:hint="eastAsia" w:ascii="仿宋" w:hAnsi="仿宋" w:eastAsia="仿宋"/>
                <w:sz w:val="24"/>
                <w:highlight w:val="none"/>
                <w:lang w:val="en-US" w:eastAsia="zh-CN"/>
              </w:rPr>
              <w:t>售后服务方案及承诺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15</w:t>
            </w:r>
          </w:p>
        </w:tc>
        <w:tc>
          <w:tcPr>
            <w:tcW w:w="3141" w:type="pct"/>
            <w:vAlign w:val="center"/>
          </w:tcPr>
          <w:p>
            <w:pPr>
              <w:spacing w:line="360" w:lineRule="auto"/>
              <w:outlineLvl w:val="0"/>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质保期在满足招标文件的基础上每增加一年得1分，共3 分。</w:t>
            </w:r>
          </w:p>
        </w:tc>
        <w:tc>
          <w:tcPr>
            <w:tcW w:w="395"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3</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16</w:t>
            </w:r>
          </w:p>
        </w:tc>
        <w:tc>
          <w:tcPr>
            <w:tcW w:w="3141" w:type="pct"/>
            <w:vAlign w:val="center"/>
          </w:tcPr>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一.产品主要尺寸、形状及位置公差（5分）：每偏离一个参数指标扣1分，扣完为止。采购人有明确要求且明示的产品尺寸偏差控制在±3mm以内(测量工具：0～3m钢卷尺，精度1mm)。</w:t>
            </w:r>
          </w:p>
        </w:tc>
        <w:tc>
          <w:tcPr>
            <w:tcW w:w="395" w:type="pct"/>
            <w:vAlign w:val="center"/>
          </w:tcPr>
          <w:p>
            <w:pPr>
              <w:pStyle w:val="963"/>
              <w:spacing w:line="320" w:lineRule="exact"/>
              <w:ind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w:t>
            </w:r>
          </w:p>
        </w:tc>
        <w:tc>
          <w:tcPr>
            <w:tcW w:w="1060" w:type="pct"/>
            <w:vMerge w:val="restart"/>
            <w:vAlign w:val="center"/>
          </w:tcPr>
          <w:p>
            <w:pPr>
              <w:spacing w:line="360" w:lineRule="auto"/>
              <w:jc w:val="center"/>
              <w:outlineLvl w:val="0"/>
              <w:rPr>
                <w:rFonts w:hint="default" w:ascii="仿宋" w:hAnsi="仿宋" w:eastAsia="仿宋"/>
                <w:sz w:val="24"/>
                <w:highlight w:val="none"/>
                <w:lang w:val="en-US" w:eastAsia="zh-CN"/>
              </w:rPr>
            </w:pPr>
            <w:r>
              <w:rPr>
                <w:rFonts w:hint="eastAsia" w:ascii="仿宋" w:hAnsi="仿宋" w:eastAsia="仿宋"/>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2"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17</w:t>
            </w:r>
          </w:p>
        </w:tc>
        <w:tc>
          <w:tcPr>
            <w:tcW w:w="3141" w:type="pct"/>
            <w:vAlign w:val="center"/>
          </w:tcPr>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二.外观要求（5分）：如存在下列不合格的，每个不合格项扣1分，扣完为止。</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1.金属件外观要求：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(1)管材：管材应无裂缝、叠缝，外露管口端面应封闭；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(2)焊接件：焊接处应无脱焊、虚焊、焊穿、错位，焊接处应无夹渣、气孔、焊瘤、焊丝头、咬边、飞溅，焊接处表面波纹应均匀；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(3)冲压件：冲压件应无脱层、裂缝；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(4)铆接件：铆接处应铆接牢固，无漏铆、脱铆，铆钉应端正圆滑，无明显锤印；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(5)金属合金件：无锈蚀、氧化膜脱落、刃口、锐棱，表面细密，应无裂纹、毛刺、黑斑等缺陷；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(6)皱纹或波纹：圆管和扁线管弯曲处弧形应圆滑一致；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(7)喷涂层：涂层应无漏喷、锈蚀和脱色、掉色现象，涂层应光滑均匀，色泽一致，应无流挂、疙瘩、皱皮、飞漆等缺陷；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(8)电镀层：表面应无剥落、返锈、毛刺，表面应无烧焦、起泡、针孔、裂纹、花斑（不包括镀彩锌）和划痕。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2.木制件外观要求：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(1)不应有蛀虫现象；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(2)应无贯通裂缝；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(3)外表应无腐朽材，内表腐朽材面积不应超过零件面积的5%；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(4)外表节子宽度不应超过材宽的1/3，直径不应超过12mm（特殊设计要求除外）；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(5)结合处应无崩茬；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(6)薄木、塑料等材料贴面应无明显透胶、脱胶、凹陷、压痕、鼓泡、胶迹。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3.人造板件外观要求: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(1)外表应无干花、湿花,内表干花、湿花面积不超过板面的5%；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(2)外表应无明显划痕、压痕；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(3)表面应无明显色差；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(4)外表应无鼓泡、龟裂、分层。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4.漆膜外观要求：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(1)同色部件的色泽应相似；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(2)应无褪色、掉色现象；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(3)涂层不应有皱皮、发粘或漏漆现象；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(4)涂层应平整光滑、清晰、无明显粒子、涨边现象；应无明显加工痕迹、划痕、雾光、白棱、白点、鼓泡、油白、流挂、缩孔、刷毛、积粉和杂渣。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5.软包件外观要求：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软面包覆表面：包覆的面料拼接对称图案应完整；同一部位绒面料的绒毛方向应一致；不应有明显色差，包覆的面料应无破损、严重划痕、色污、油污，应平服饱满，松紧均匀，不应有明显皱折，对称工艺性皱折应匀称，层次分明；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(2)外露泡钉：应排列应整齐，间距基本相等，不应有泡钉明显敲扁或脱漆；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(3)缝纫：线迹间距应均匀，无明显浮线、跳针或外露线头、脱线、开缝、脱胶。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6.塑料件外观要求:应无裂纹，无明显变形，应无明显缩孔、气泡、杂质、伤痕，外表用塑料件表面应光洁、无划痕、无污渍、无明显色差。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7.玻璃件外观要求：玻璃外露部件不应有裂纹或缺角。</w:t>
            </w:r>
          </w:p>
        </w:tc>
        <w:tc>
          <w:tcPr>
            <w:tcW w:w="395" w:type="pct"/>
            <w:vAlign w:val="center"/>
          </w:tcPr>
          <w:p>
            <w:pPr>
              <w:pStyle w:val="963"/>
              <w:spacing w:line="320" w:lineRule="exact"/>
              <w:ind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18</w:t>
            </w:r>
          </w:p>
        </w:tc>
        <w:tc>
          <w:tcPr>
            <w:tcW w:w="3141" w:type="pct"/>
            <w:vAlign w:val="center"/>
          </w:tcPr>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三.材料要求（3分）：样品所选用木材、人造板、钢材、面料、封边条等原辅材料，以及铰链、拉手、锁、脚轮等配件与采购需求一致。每偏离一个参数指标扣1分，扣完为止。</w:t>
            </w:r>
          </w:p>
        </w:tc>
        <w:tc>
          <w:tcPr>
            <w:tcW w:w="395" w:type="pct"/>
            <w:vAlign w:val="center"/>
          </w:tcPr>
          <w:p>
            <w:pPr>
              <w:pStyle w:val="963"/>
              <w:spacing w:line="320" w:lineRule="exact"/>
              <w:ind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19</w:t>
            </w:r>
          </w:p>
        </w:tc>
        <w:tc>
          <w:tcPr>
            <w:tcW w:w="3141" w:type="pct"/>
            <w:vAlign w:val="center"/>
          </w:tcPr>
          <w:p>
            <w:pPr>
              <w:pStyle w:val="963"/>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四、功能性要求（3分）：如存在下列不合格的，每个不合格项扣1分，扣完为止。 </w:t>
            </w:r>
          </w:p>
          <w:p>
            <w:pPr>
              <w:pStyle w:val="963"/>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1.铰链、合页、反弹装置、吸合装置、滑轨、倾斜机构、升降机构、翻转机构、插销等部件，安装后应灵活使用；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2.折叠机构：无非预期的自行折叠现象；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3.家具锁锁定到位，开启应灵活；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4.锁定脚轮的锁定装置完好，在开锁状态下应运动灵活；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5.设计美观、实用，能够实现产品的整体使用功能。</w:t>
            </w:r>
          </w:p>
        </w:tc>
        <w:tc>
          <w:tcPr>
            <w:tcW w:w="395" w:type="pct"/>
            <w:vAlign w:val="center"/>
          </w:tcPr>
          <w:p>
            <w:pPr>
              <w:pStyle w:val="963"/>
              <w:spacing w:line="320" w:lineRule="exact"/>
              <w:ind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20</w:t>
            </w:r>
          </w:p>
        </w:tc>
        <w:tc>
          <w:tcPr>
            <w:tcW w:w="3141" w:type="pct"/>
            <w:vAlign w:val="center"/>
          </w:tcPr>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五、制作工艺（3分） ：如存在下列不合格的，每个不合格项扣1分，扣完为止。</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1.人造板部件的非交接面应进行封边或涂饰处理；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2.板件或部件在接触人体或贮物部位不应有毛刺、刃口或棱角；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3.板件或部件的外表应光滑，倒棱、圆角、圆线应均匀一致；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4.榫、塞角、零部件等结合处不应断裂；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5.零部件的结合应严密、牢固；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6.各种配件、连接件安装不应有少件、漏钉、透钉（预留孔、选择孔除外）；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7.各种配件特别是连接件的安装应严密、平整、端正、牢固，结合处应无开裂或松动；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8.雕刻的图案应均匀、清晰、层次分明，对称部位应对称，凹凸和大挖、过桥、棱角、圆弧处应无缺角；铲底应平整，各部位不应有锤印或毛刺；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9.车木的线形应一致，凹凸台阶应匀称，对称部位应对称，车削线条应清晰，加工表面不应有崩茬、刀痕、砂痕。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10.涂层无刺激性气味，成膜后应能形成平整的饰面,无明显凹凸或条痕，无气泡龟裂、斑点等现象。 </w:t>
            </w:r>
          </w:p>
        </w:tc>
        <w:tc>
          <w:tcPr>
            <w:tcW w:w="395" w:type="pct"/>
            <w:vAlign w:val="center"/>
          </w:tcPr>
          <w:p>
            <w:pPr>
              <w:pStyle w:val="963"/>
              <w:spacing w:line="320" w:lineRule="exact"/>
              <w:ind w:firstLine="0" w:firstLineChars="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21</w:t>
            </w:r>
          </w:p>
        </w:tc>
        <w:tc>
          <w:tcPr>
            <w:tcW w:w="3141" w:type="pct"/>
            <w:vAlign w:val="center"/>
          </w:tcPr>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六、结构及安全要求（3分）：如存在下列不合格的，每个不合格项扣1分，扣完为止。</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1.活动部件间距离≤5mm或≥25mm；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2.所有垂直滑行的部件，在高于闭合点50mm的任一位置，不应自行下落；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3.抽屉、键盘、拉篮等推拉构件应有防脱落装置； </w:t>
            </w:r>
          </w:p>
          <w:p>
            <w:pPr>
              <w:pStyle w:val="963"/>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color w:val="000000"/>
                <w:kern w:val="2"/>
                <w:sz w:val="24"/>
                <w:szCs w:val="22"/>
                <w:highlight w:val="none"/>
                <w:lang w:val="en-US" w:eastAsia="zh-CN" w:bidi="ar-SA"/>
              </w:rPr>
            </w:pPr>
            <w:r>
              <w:rPr>
                <w:rFonts w:hint="eastAsia" w:ascii="仿宋" w:hAnsi="仿宋" w:eastAsia="仿宋" w:cs="仿宋"/>
                <w:color w:val="000000"/>
                <w:kern w:val="2"/>
                <w:sz w:val="24"/>
                <w:szCs w:val="22"/>
                <w:highlight w:val="none"/>
                <w:lang w:val="en-US" w:eastAsia="zh-CN" w:bidi="ar-SA"/>
              </w:rPr>
              <w:t xml:space="preserve">4.其他结构安全项目通过眼观和手感等方法进行检测。 </w:t>
            </w:r>
          </w:p>
        </w:tc>
        <w:tc>
          <w:tcPr>
            <w:tcW w:w="395" w:type="pct"/>
            <w:vAlign w:val="center"/>
          </w:tcPr>
          <w:p>
            <w:pPr>
              <w:pStyle w:val="963"/>
              <w:spacing w:line="320" w:lineRule="exact"/>
              <w:ind w:firstLine="0" w:firstLineChars="0"/>
              <w:jc w:val="center"/>
              <w:rPr>
                <w:rFonts w:hint="default"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w:t>
            </w:r>
          </w:p>
        </w:tc>
        <w:tc>
          <w:tcPr>
            <w:tcW w:w="1060" w:type="pct"/>
            <w:vMerge w:val="continue"/>
            <w:vAlign w:val="center"/>
          </w:tcPr>
          <w:p>
            <w:pPr>
              <w:spacing w:line="360" w:lineRule="auto"/>
              <w:jc w:val="center"/>
              <w:outlineLvl w:val="0"/>
              <w:rPr>
                <w:rFonts w:hint="eastAsia" w:ascii="仿宋" w:hAnsi="仿宋" w:eastAsia="仿宋"/>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2" w:type="pct"/>
            <w:vAlign w:val="center"/>
          </w:tcPr>
          <w:p>
            <w:pPr>
              <w:spacing w:line="360" w:lineRule="auto"/>
              <w:jc w:val="center"/>
              <w:outlineLvl w:val="0"/>
              <w:rPr>
                <w:rFonts w:hint="default" w:ascii="仿宋" w:hAnsi="仿宋" w:eastAsia="仿宋" w:cs="仿宋"/>
                <w:kern w:val="2"/>
                <w:sz w:val="24"/>
                <w:szCs w:val="22"/>
                <w:highlight w:val="none"/>
                <w:lang w:val="en-US" w:eastAsia="zh-CN" w:bidi="ar-SA"/>
              </w:rPr>
            </w:pPr>
            <w:r>
              <w:rPr>
                <w:rFonts w:hint="eastAsia" w:ascii="仿宋" w:hAnsi="仿宋" w:eastAsia="仿宋" w:cs="仿宋"/>
                <w:sz w:val="24"/>
                <w:highlight w:val="none"/>
                <w:lang w:val="en-US" w:eastAsia="zh-CN"/>
              </w:rPr>
              <w:t>22</w:t>
            </w:r>
          </w:p>
        </w:tc>
        <w:tc>
          <w:tcPr>
            <w:tcW w:w="3141" w:type="pct"/>
            <w:vAlign w:val="top"/>
          </w:tcPr>
          <w:p>
            <w:pPr>
              <w:keepNext w:val="0"/>
              <w:keepLines w:val="0"/>
              <w:pageBreakBefore w:val="0"/>
              <w:kinsoku/>
              <w:wordWrap/>
              <w:overflowPunct/>
              <w:topLinePunct w:val="0"/>
              <w:autoSpaceDE/>
              <w:autoSpaceDN/>
              <w:bidi w:val="0"/>
              <w:adjustRightInd/>
              <w:snapToGrid/>
              <w:spacing w:line="360" w:lineRule="auto"/>
              <w:textAlignment w:val="auto"/>
              <w:outlineLvl w:val="0"/>
              <w:rPr>
                <w:rFonts w:hint="eastAsia" w:ascii="仿宋" w:hAnsi="仿宋" w:eastAsia="仿宋" w:cs="仿宋_GB2312"/>
                <w:sz w:val="24"/>
                <w:highlight w:val="none"/>
              </w:rPr>
            </w:pPr>
            <w:r>
              <w:rPr>
                <w:rFonts w:hint="eastAsia" w:ascii="仿宋" w:hAnsi="仿宋" w:eastAsia="仿宋" w:cs="仿宋_GB2312"/>
                <w:sz w:val="24"/>
                <w:highlight w:val="none"/>
              </w:rPr>
              <w:t>有效投标报价的最低价作为评标基准价，其最低报价为满分；按［投标报价得分=（评标基准价/投标报价）*30］的计算公式计算。</w:t>
            </w:r>
          </w:p>
          <w:p>
            <w:pPr>
              <w:keepNext w:val="0"/>
              <w:keepLines w:val="0"/>
              <w:pageBreakBefore w:val="0"/>
              <w:kinsoku/>
              <w:wordWrap/>
              <w:overflowPunct/>
              <w:topLinePunct w:val="0"/>
              <w:autoSpaceDE/>
              <w:autoSpaceDN/>
              <w:bidi w:val="0"/>
              <w:adjustRightInd/>
              <w:snapToGrid/>
              <w:spacing w:line="360" w:lineRule="auto"/>
              <w:textAlignment w:val="auto"/>
              <w:outlineLvl w:val="0"/>
              <w:rPr>
                <w:rFonts w:hint="eastAsia" w:ascii="仿宋" w:hAnsi="仿宋" w:eastAsia="仿宋" w:cs="仿宋_GB2312"/>
                <w:sz w:val="24"/>
                <w:highlight w:val="none"/>
              </w:rPr>
            </w:pPr>
            <w:r>
              <w:rPr>
                <w:rFonts w:hint="eastAsia" w:ascii="仿宋" w:hAnsi="仿宋" w:eastAsia="仿宋" w:cs="仿宋_GB2312"/>
                <w:sz w:val="24"/>
                <w:highlight w:val="none"/>
              </w:rPr>
              <w:t>评标过程中，不得去掉报价中的最高报价和最低报价。</w:t>
            </w:r>
          </w:p>
          <w:p>
            <w:pPr>
              <w:keepNext w:val="0"/>
              <w:keepLines w:val="0"/>
              <w:pageBreakBefore w:val="0"/>
              <w:kinsoku/>
              <w:wordWrap/>
              <w:overflowPunct/>
              <w:topLinePunct w:val="0"/>
              <w:autoSpaceDE/>
              <w:autoSpaceDN/>
              <w:bidi w:val="0"/>
              <w:adjustRightInd/>
              <w:snapToGrid/>
              <w:spacing w:line="360" w:lineRule="auto"/>
              <w:textAlignment w:val="auto"/>
              <w:outlineLvl w:val="0"/>
              <w:rPr>
                <w:rFonts w:hint="eastAsia" w:ascii="仿宋" w:hAnsi="仿宋" w:eastAsia="仿宋" w:cs="仿宋_GB2312"/>
                <w:kern w:val="2"/>
                <w:sz w:val="24"/>
                <w:szCs w:val="22"/>
                <w:highlight w:val="none"/>
                <w:lang w:val="en-US" w:eastAsia="zh-CN" w:bidi="ar-SA"/>
              </w:rPr>
            </w:pPr>
            <w:r>
              <w:rPr>
                <w:rFonts w:hint="eastAsia" w:ascii="仿宋" w:hAnsi="仿宋" w:eastAsia="仿宋" w:cs="仿宋_GB2312"/>
                <w:sz w:val="24"/>
                <w:highlight w:val="none"/>
              </w:rPr>
              <w:t>因落实政府采购政策需要进行价格调整的，以调整后的价格计算评标基准价和投标报价。</w:t>
            </w:r>
          </w:p>
        </w:tc>
        <w:tc>
          <w:tcPr>
            <w:tcW w:w="395" w:type="pct"/>
            <w:vAlign w:val="center"/>
          </w:tcPr>
          <w:p>
            <w:pPr>
              <w:spacing w:line="360" w:lineRule="auto"/>
              <w:jc w:val="center"/>
              <w:outlineLvl w:val="0"/>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30</w:t>
            </w:r>
          </w:p>
        </w:tc>
        <w:tc>
          <w:tcPr>
            <w:tcW w:w="1060" w:type="pct"/>
            <w:vAlign w:val="center"/>
          </w:tcPr>
          <w:p>
            <w:pPr>
              <w:spacing w:line="360" w:lineRule="auto"/>
              <w:jc w:val="center"/>
              <w:outlineLvl w:val="0"/>
              <w:rPr>
                <w:rFonts w:hint="eastAsia" w:ascii="仿宋" w:hAnsi="仿宋" w:eastAsia="仿宋" w:cs="仿宋"/>
                <w:kern w:val="2"/>
                <w:sz w:val="24"/>
                <w:szCs w:val="22"/>
                <w:highlight w:val="none"/>
                <w:lang w:val="en-US" w:eastAsia="zh-CN" w:bidi="ar-SA"/>
              </w:rPr>
            </w:pPr>
            <w:r>
              <w:rPr>
                <w:rFonts w:hint="eastAsia" w:ascii="仿宋" w:hAnsi="仿宋" w:eastAsia="仿宋" w:cs="仿宋"/>
                <w:sz w:val="24"/>
                <w:highlight w:val="none"/>
              </w:rPr>
              <w:t>/</w:t>
            </w:r>
          </w:p>
        </w:tc>
      </w:tr>
    </w:tbl>
    <w:p>
      <w:pPr>
        <w:snapToGrid w:val="0"/>
        <w:spacing w:line="360" w:lineRule="auto"/>
        <w:rPr>
          <w:rFonts w:hint="eastAsia" w:ascii="仿宋" w:hAnsi="仿宋" w:eastAsia="仿宋" w:cs="仿宋"/>
          <w:b/>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napToGrid w:val="0"/>
        <w:spacing w:line="360" w:lineRule="auto"/>
        <w:rPr>
          <w:rFonts w:hint="eastAsia" w:ascii="仿宋" w:hAnsi="仿宋" w:eastAsia="仿宋" w:cs="仿宋"/>
          <w:b/>
          <w:sz w:val="28"/>
          <w:szCs w:val="28"/>
        </w:rPr>
      </w:pPr>
      <w:r>
        <w:rPr>
          <w:rFonts w:hint="eastAsia" w:ascii="仿宋" w:hAnsi="仿宋" w:eastAsia="仿宋" w:cs="仿宋"/>
          <w:b/>
          <w:sz w:val="32"/>
        </w:rPr>
        <w:t>一、评标方法</w:t>
      </w:r>
    </w:p>
    <w:p>
      <w:pPr>
        <w:adjustRightInd/>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kern w:val="0"/>
          <w:sz w:val="24"/>
        </w:rPr>
      </w:pPr>
      <w:r>
        <w:rPr>
          <w:rFonts w:hint="eastAsia" w:ascii="仿宋" w:hAnsi="仿宋" w:eastAsia="仿宋" w:cs="仿宋"/>
          <w:b/>
          <w:sz w:val="32"/>
        </w:rPr>
        <w:t>二、评标标准</w:t>
      </w:r>
    </w:p>
    <w:p>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pPr>
        <w:pStyle w:val="128"/>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pPr>
        <w:pStyle w:val="128"/>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pPr>
        <w:pStyle w:val="5"/>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4.2.14法律、法规、规章（适用本市的）及省级以上规范性文件（适用本市的）规定的其他无效情形。</w:t>
      </w:r>
    </w:p>
    <w:p>
      <w:pPr>
        <w:pStyle w:val="2"/>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2"/>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pPr>
        <w:pStyle w:val="2"/>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pPr>
        <w:pStyle w:val="2"/>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pPr>
        <w:pStyle w:val="2"/>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pPr>
        <w:pStyle w:val="2"/>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pPr>
        <w:pStyle w:val="2"/>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pPr>
        <w:pStyle w:val="2"/>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pPr>
        <w:pStyle w:val="2"/>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pPr>
        <w:pStyle w:val="2"/>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pPr>
        <w:pStyle w:val="2"/>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pPr>
        <w:pStyle w:val="2"/>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p>
      <w:pPr>
        <w:pStyle w:val="2"/>
        <w:snapToGrid w:val="0"/>
        <w:spacing w:line="360" w:lineRule="auto"/>
        <w:ind w:firstLine="0" w:firstLineChars="0"/>
        <w:rPr>
          <w:rFonts w:hint="eastAsia" w:ascii="仿宋" w:hAnsi="仿宋" w:eastAsia="仿宋" w:cs="仿宋"/>
        </w:rPr>
      </w:pPr>
    </w:p>
    <w:bookmarkEnd w:id="32"/>
    <w:p>
      <w:pPr>
        <w:spacing w:line="360" w:lineRule="auto"/>
        <w:ind w:left="720" w:leftChars="343" w:firstLine="1084" w:firstLineChars="300"/>
        <w:outlineLvl w:val="0"/>
        <w:rPr>
          <w:rFonts w:hint="eastAsia" w:ascii="仿宋" w:hAnsi="仿宋" w:eastAsia="仿宋" w:cs="仿宋"/>
          <w:b/>
          <w:sz w:val="36"/>
          <w:szCs w:val="36"/>
        </w:rPr>
      </w:pPr>
      <w:bookmarkStart w:id="398" w:name="第五部分"/>
      <w:bookmarkStart w:id="399" w:name="_Toc86217003"/>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 xml:space="preserve">    </w:t>
      </w: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p>
    <w:p>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699"/>
        <w:rPr>
          <w:rFonts w:hint="eastAsia" w:ascii="仿宋" w:hAnsi="仿宋" w:eastAsia="仿宋" w:cs="仿宋"/>
          <w:szCs w:val="24"/>
        </w:rPr>
      </w:pPr>
    </w:p>
    <w:p>
      <w:pPr>
        <w:pStyle w:val="699"/>
        <w:rPr>
          <w:rFonts w:hint="eastAsia" w:ascii="仿宋" w:hAnsi="仿宋" w:eastAsia="仿宋" w:cs="仿宋"/>
          <w:szCs w:val="24"/>
        </w:rPr>
      </w:pPr>
    </w:p>
    <w:p>
      <w:pPr>
        <w:pStyle w:val="699"/>
        <w:jc w:val="center"/>
        <w:rPr>
          <w:rFonts w:hint="eastAsia" w:ascii="仿宋" w:hAnsi="仿宋" w:eastAsia="仿宋" w:cs="仿宋"/>
          <w:szCs w:val="24"/>
        </w:rPr>
      </w:pPr>
    </w:p>
    <w:p>
      <w:pPr>
        <w:pStyle w:val="699"/>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699"/>
        <w:rPr>
          <w:rFonts w:hint="eastAsia" w:ascii="仿宋" w:hAnsi="仿宋" w:eastAsia="仿宋" w:cs="仿宋"/>
          <w:szCs w:val="24"/>
        </w:rPr>
      </w:pPr>
    </w:p>
    <w:p>
      <w:pPr>
        <w:pStyle w:val="699"/>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6"/>
        <w:spacing w:before="120" w:line="22" w:lineRule="atLeast"/>
        <w:rPr>
          <w:rFonts w:hint="eastAsia" w:ascii="仿宋" w:hAnsi="仿宋" w:eastAsia="仿宋" w:cs="仿宋"/>
          <w:szCs w:val="24"/>
        </w:rPr>
      </w:pPr>
    </w:p>
    <w:p>
      <w:pPr>
        <w:pStyle w:val="596"/>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为该项目中标供应商。现于中标通知书发出之日起10个工作日内，按照采购文件确定的事项签订本合同。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400" w:name="_Toc3029"/>
      <w:bookmarkStart w:id="401" w:name="_Toc2232"/>
      <w:bookmarkStart w:id="402" w:name="_Toc24059"/>
      <w:r>
        <w:rPr>
          <w:rFonts w:hint="eastAsia" w:ascii="仿宋" w:hAnsi="仿宋" w:eastAsia="仿宋" w:cs="仿宋"/>
          <w:b/>
          <w:sz w:val="24"/>
        </w:rPr>
        <w:t>1.1 合同组成部分</w:t>
      </w:r>
      <w:bookmarkEnd w:id="400"/>
      <w:bookmarkEnd w:id="401"/>
      <w:bookmarkEnd w:id="4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403" w:name="_Toc27126"/>
      <w:bookmarkStart w:id="404" w:name="_Toc21295"/>
      <w:bookmarkStart w:id="405" w:name="_Toc24300"/>
      <w:r>
        <w:rPr>
          <w:rFonts w:hint="eastAsia" w:ascii="仿宋" w:hAnsi="仿宋" w:eastAsia="仿宋" w:cs="仿宋"/>
          <w:b/>
          <w:sz w:val="24"/>
        </w:rPr>
        <w:t>1.2 货物</w:t>
      </w:r>
      <w:bookmarkEnd w:id="403"/>
      <w:bookmarkEnd w:id="404"/>
      <w:bookmarkEnd w:id="405"/>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06" w:name="_Toc21631"/>
      <w:bookmarkStart w:id="407" w:name="_Toc21551"/>
      <w:bookmarkStart w:id="408" w:name="_Toc23292"/>
      <w:r>
        <w:rPr>
          <w:rFonts w:hint="eastAsia" w:ascii="仿宋" w:hAnsi="仿宋" w:eastAsia="仿宋" w:cs="仿宋"/>
          <w:b/>
          <w:sz w:val="24"/>
        </w:rPr>
        <w:t>1.3 价款</w:t>
      </w:r>
      <w:bookmarkEnd w:id="406"/>
      <w:bookmarkEnd w:id="407"/>
      <w:bookmarkEnd w:id="40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int="eastAsia" w:ascii="仿宋" w:hAnsi="仿宋" w:eastAsia="仿宋" w:cs="仿宋"/>
                <w:sz w:val="24"/>
                <w:szCs w:val="24"/>
              </w:rPr>
            </w:pPr>
          </w:p>
        </w:tc>
      </w:tr>
    </w:tbl>
    <w:p>
      <w:pPr>
        <w:spacing w:line="560" w:lineRule="exact"/>
        <w:ind w:firstLine="482" w:firstLineChars="200"/>
        <w:outlineLvl w:val="0"/>
        <w:rPr>
          <w:rFonts w:hint="eastAsia" w:ascii="仿宋" w:hAnsi="仿宋" w:eastAsia="仿宋" w:cs="仿宋"/>
          <w:b/>
          <w:sz w:val="24"/>
        </w:rPr>
      </w:pPr>
      <w:bookmarkStart w:id="409" w:name="_Toc22618"/>
      <w:bookmarkStart w:id="410" w:name="_Toc10340"/>
      <w:bookmarkStart w:id="411" w:name="_Toc1814"/>
      <w:r>
        <w:rPr>
          <w:rFonts w:hint="eastAsia" w:ascii="仿宋" w:hAnsi="仿宋" w:eastAsia="仿宋" w:cs="仿宋"/>
          <w:b/>
          <w:sz w:val="24"/>
        </w:rPr>
        <w:t>1.4 付款</w:t>
      </w:r>
      <w:bookmarkEnd w:id="409"/>
      <w:bookmarkEnd w:id="410"/>
      <w:bookmarkEnd w:id="411"/>
      <w:r>
        <w:rPr>
          <w:rFonts w:hint="eastAsia" w:ascii="仿宋" w:hAnsi="仿宋" w:eastAsia="仿宋" w:cs="仿宋"/>
          <w:b/>
          <w:sz w:val="24"/>
        </w:rPr>
        <w:t>方式、时间和条件</w:t>
      </w:r>
    </w:p>
    <w:p>
      <w:pPr>
        <w:pStyle w:val="957"/>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hint="eastAsia" w:ascii="仿宋" w:hAnsi="仿宋" w:eastAsia="仿宋" w:cs="仿宋"/>
          <w:b/>
          <w:sz w:val="24"/>
        </w:rPr>
      </w:pPr>
      <w:bookmarkStart w:id="412" w:name="_Toc32071"/>
      <w:bookmarkStart w:id="413" w:name="_Toc19304"/>
      <w:bookmarkStart w:id="414" w:name="_Toc2846"/>
      <w:r>
        <w:rPr>
          <w:rFonts w:hint="eastAsia" w:ascii="仿宋" w:hAnsi="仿宋" w:eastAsia="仿宋" w:cs="仿宋"/>
          <w:b/>
          <w:sz w:val="24"/>
        </w:rPr>
        <w:t>1.5 货物交付期限、地点和方式</w:t>
      </w:r>
      <w:bookmarkEnd w:id="412"/>
      <w:bookmarkEnd w:id="413"/>
      <w:bookmarkEnd w:id="414"/>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15" w:name="_Toc21423"/>
      <w:bookmarkStart w:id="416" w:name="_Toc19554"/>
      <w:bookmarkStart w:id="417" w:name="_Toc27250"/>
      <w:r>
        <w:rPr>
          <w:rFonts w:hint="eastAsia" w:ascii="仿宋" w:hAnsi="仿宋" w:eastAsia="仿宋" w:cs="仿宋"/>
          <w:b/>
          <w:sz w:val="24"/>
        </w:rPr>
        <w:t>1.6 违约责任</w:t>
      </w:r>
      <w:bookmarkEnd w:id="415"/>
      <w:bookmarkEnd w:id="416"/>
      <w:bookmarkEnd w:id="4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418" w:name="_Toc15583"/>
      <w:bookmarkStart w:id="419" w:name="_Toc28375"/>
      <w:bookmarkStart w:id="420" w:name="_Toc16021"/>
      <w:r>
        <w:rPr>
          <w:rFonts w:hint="eastAsia" w:ascii="仿宋" w:hAnsi="仿宋" w:eastAsia="仿宋" w:cs="仿宋"/>
          <w:b/>
          <w:sz w:val="24"/>
        </w:rPr>
        <w:t>1.7 合同争议的解决</w:t>
      </w:r>
      <w:bookmarkEnd w:id="418"/>
      <w:bookmarkEnd w:id="419"/>
      <w:bookmarkEnd w:id="420"/>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421" w:name="_Toc15322"/>
      <w:bookmarkStart w:id="422" w:name="_Toc7245"/>
      <w:bookmarkStart w:id="423" w:name="_Toc11173"/>
      <w:r>
        <w:rPr>
          <w:rFonts w:hint="eastAsia" w:ascii="仿宋" w:hAnsi="仿宋" w:eastAsia="仿宋" w:cs="仿宋"/>
          <w:b/>
          <w:sz w:val="24"/>
        </w:rPr>
        <w:t>1.8 合同生效</w:t>
      </w:r>
      <w:bookmarkEnd w:id="421"/>
      <w:bookmarkEnd w:id="422"/>
      <w:bookmarkEnd w:id="423"/>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hint="eastAsia" w:ascii="仿宋" w:hAnsi="仿宋" w:eastAsia="仿宋" w:cs="仿宋"/>
          <w:b/>
          <w:sz w:val="24"/>
        </w:rPr>
      </w:pPr>
      <w:bookmarkStart w:id="424" w:name="_Toc331685783"/>
    </w:p>
    <w:p>
      <w:pPr>
        <w:pStyle w:val="699"/>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bookmarkEnd w:id="424"/>
    </w:p>
    <w:p>
      <w:pPr>
        <w:spacing w:line="560" w:lineRule="exact"/>
        <w:ind w:firstLine="482" w:firstLineChars="200"/>
        <w:outlineLvl w:val="0"/>
        <w:rPr>
          <w:rFonts w:hint="eastAsia" w:ascii="仿宋" w:hAnsi="仿宋" w:eastAsia="仿宋" w:cs="仿宋"/>
          <w:b/>
          <w:sz w:val="24"/>
        </w:rPr>
      </w:pPr>
      <w:bookmarkStart w:id="425" w:name="_Ref467378499"/>
      <w:bookmarkStart w:id="426" w:name="_Toc487900349"/>
      <w:bookmarkStart w:id="427" w:name="_Toc28763"/>
      <w:bookmarkStart w:id="428" w:name="_Ref467379094"/>
      <w:bookmarkStart w:id="429" w:name="_Toc259093669"/>
      <w:bookmarkStart w:id="430" w:name="_Ref467379214"/>
      <w:bookmarkStart w:id="431" w:name="_Ref467379195"/>
      <w:bookmarkStart w:id="432" w:name="_Ref467379101"/>
      <w:bookmarkStart w:id="433" w:name="_Toc16917"/>
      <w:bookmarkStart w:id="434" w:name="_Ref467378404"/>
      <w:bookmarkStart w:id="435" w:name="_Toc19614"/>
      <w:bookmarkStart w:id="436" w:name="_Ref467379225"/>
      <w:bookmarkStart w:id="437" w:name="_Ref467378463"/>
      <w:bookmarkStart w:id="438" w:name="_Toc279701240"/>
      <w:bookmarkStart w:id="439" w:name="_Ref467379205"/>
      <w:bookmarkStart w:id="440" w:name="_Ref467379109"/>
      <w:r>
        <w:rPr>
          <w:rFonts w:hint="eastAsia" w:ascii="仿宋" w:hAnsi="仿宋" w:eastAsia="仿宋" w:cs="仿宋"/>
          <w:b/>
          <w:sz w:val="24"/>
        </w:rPr>
        <w:t>2.1 定义</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441" w:name="_Ref467378840"/>
      <w:r>
        <w:rPr>
          <w:rFonts w:hint="eastAsia" w:ascii="仿宋" w:hAnsi="仿宋" w:eastAsia="仿宋" w:cs="仿宋"/>
          <w:sz w:val="24"/>
        </w:rPr>
        <w:t>2.1.4 “甲方”系指与中标供应商签署合同的采购人</w:t>
      </w:r>
      <w:bookmarkEnd w:id="441"/>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442" w:name="_Ref467379400"/>
      <w:r>
        <w:rPr>
          <w:rFonts w:hint="eastAsia" w:ascii="仿宋" w:hAnsi="仿宋" w:eastAsia="仿宋" w:cs="仿宋"/>
          <w:sz w:val="24"/>
        </w:rPr>
        <w:t>2.1.5 “乙方”系指根据合同约定交付货物的中标供应商</w:t>
      </w:r>
      <w:bookmarkEnd w:id="44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443" w:name="_Ref467379436"/>
      <w:r>
        <w:rPr>
          <w:rFonts w:hint="eastAsia" w:ascii="仿宋" w:hAnsi="仿宋" w:eastAsia="仿宋" w:cs="仿宋"/>
          <w:sz w:val="24"/>
        </w:rPr>
        <w:t>2.1.6 “现场”系指合同约定货物将要运至或者安装的地点。</w:t>
      </w:r>
      <w:bookmarkEnd w:id="443"/>
    </w:p>
    <w:p>
      <w:pPr>
        <w:spacing w:line="560" w:lineRule="exact"/>
        <w:ind w:firstLine="482" w:firstLineChars="200"/>
        <w:outlineLvl w:val="0"/>
        <w:rPr>
          <w:rFonts w:hint="eastAsia" w:ascii="仿宋" w:hAnsi="仿宋" w:eastAsia="仿宋" w:cs="仿宋"/>
          <w:b/>
          <w:sz w:val="24"/>
        </w:rPr>
      </w:pPr>
      <w:bookmarkStart w:id="444" w:name="_Toc259093670"/>
      <w:bookmarkStart w:id="445" w:name="_Toc13336"/>
      <w:bookmarkStart w:id="446" w:name="_Toc27635"/>
      <w:bookmarkStart w:id="447" w:name="_Toc487900350"/>
      <w:bookmarkStart w:id="448" w:name="_Toc279701241"/>
      <w:bookmarkStart w:id="449" w:name="_Toc32504"/>
      <w:r>
        <w:rPr>
          <w:rFonts w:hint="eastAsia" w:ascii="仿宋" w:hAnsi="仿宋" w:eastAsia="仿宋" w:cs="仿宋"/>
          <w:b/>
          <w:sz w:val="24"/>
        </w:rPr>
        <w:t>2.2 技术规范</w:t>
      </w:r>
      <w:bookmarkEnd w:id="444"/>
      <w:bookmarkEnd w:id="445"/>
      <w:bookmarkEnd w:id="446"/>
      <w:bookmarkEnd w:id="447"/>
      <w:bookmarkEnd w:id="448"/>
      <w:bookmarkEnd w:id="44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450" w:name="_Toc9829"/>
      <w:bookmarkStart w:id="451" w:name="_Toc259093671"/>
      <w:bookmarkStart w:id="452" w:name="_Toc487900351"/>
      <w:bookmarkStart w:id="453" w:name="_Toc31634"/>
      <w:bookmarkStart w:id="454" w:name="_Toc279701242"/>
      <w:bookmarkStart w:id="455" w:name="_Toc27853"/>
      <w:r>
        <w:rPr>
          <w:rFonts w:hint="eastAsia" w:ascii="仿宋" w:hAnsi="仿宋" w:eastAsia="仿宋" w:cs="仿宋"/>
          <w:b/>
          <w:sz w:val="24"/>
        </w:rPr>
        <w:t>2.3 知识产权</w:t>
      </w:r>
      <w:bookmarkEnd w:id="450"/>
      <w:bookmarkEnd w:id="451"/>
      <w:bookmarkEnd w:id="452"/>
      <w:bookmarkEnd w:id="453"/>
      <w:bookmarkEnd w:id="454"/>
      <w:bookmarkEnd w:id="4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56" w:name="_Toc29149"/>
      <w:bookmarkStart w:id="457" w:name="_Toc11932"/>
      <w:bookmarkStart w:id="458" w:name="_Toc4194"/>
      <w:r>
        <w:rPr>
          <w:rFonts w:hint="eastAsia" w:ascii="仿宋" w:hAnsi="仿宋" w:eastAsia="仿宋" w:cs="仿宋"/>
          <w:b/>
          <w:sz w:val="24"/>
        </w:rPr>
        <w:t>2.4 包装和装运</w:t>
      </w:r>
      <w:bookmarkEnd w:id="456"/>
      <w:bookmarkEnd w:id="457"/>
      <w:bookmarkEnd w:id="45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59" w:name="_Ref467379542"/>
      <w:bookmarkStart w:id="460" w:name="_Toc487900354"/>
      <w:bookmarkStart w:id="461" w:name="_Toc259093674"/>
      <w:bookmarkStart w:id="462" w:name="_Ref467379527"/>
      <w:bookmarkStart w:id="463" w:name="_Ref467378591"/>
      <w:bookmarkStart w:id="464" w:name="_Toc279701245"/>
      <w:bookmarkStart w:id="465" w:name="_Ref467379536"/>
      <w:bookmarkStart w:id="466" w:name="_Ref467378541"/>
      <w:bookmarkStart w:id="467" w:name="_Toc30272"/>
      <w:bookmarkStart w:id="468" w:name="_Toc19074"/>
      <w:bookmarkStart w:id="469" w:name="_Toc26182"/>
      <w:r>
        <w:rPr>
          <w:rFonts w:hint="eastAsia" w:ascii="仿宋" w:hAnsi="仿宋" w:eastAsia="仿宋" w:cs="仿宋"/>
          <w:b/>
          <w:sz w:val="24"/>
        </w:rPr>
        <w:t>2.</w:t>
      </w:r>
      <w:bookmarkEnd w:id="459"/>
      <w:bookmarkEnd w:id="460"/>
      <w:bookmarkEnd w:id="461"/>
      <w:bookmarkEnd w:id="462"/>
      <w:bookmarkEnd w:id="463"/>
      <w:bookmarkEnd w:id="464"/>
      <w:bookmarkEnd w:id="465"/>
      <w:bookmarkEnd w:id="466"/>
      <w:r>
        <w:rPr>
          <w:rFonts w:hint="eastAsia" w:ascii="仿宋" w:hAnsi="仿宋" w:eastAsia="仿宋" w:cs="仿宋"/>
          <w:b/>
          <w:sz w:val="24"/>
        </w:rPr>
        <w:t>5 履约检查和问题反馈</w:t>
      </w:r>
      <w:bookmarkEnd w:id="467"/>
      <w:bookmarkEnd w:id="468"/>
      <w:bookmarkEnd w:id="469"/>
    </w:p>
    <w:p>
      <w:pPr>
        <w:spacing w:line="560" w:lineRule="exact"/>
        <w:ind w:firstLine="480" w:firstLineChars="200"/>
        <w:rPr>
          <w:rFonts w:hint="eastAsia" w:ascii="仿宋" w:hAnsi="仿宋" w:eastAsia="仿宋" w:cs="仿宋"/>
          <w:sz w:val="24"/>
        </w:rPr>
      </w:pPr>
      <w:bookmarkStart w:id="470" w:name="_Ref467379657"/>
      <w:r>
        <w:rPr>
          <w:rFonts w:hint="eastAsia" w:ascii="仿宋" w:hAnsi="仿宋" w:eastAsia="仿宋" w:cs="仿宋"/>
          <w:sz w:val="24"/>
        </w:rPr>
        <w:t>2.5.1</w:t>
      </w:r>
      <w:bookmarkEnd w:id="470"/>
      <w:bookmarkStart w:id="471" w:name="_Toc186431854"/>
      <w:bookmarkStart w:id="472" w:name="_Toc487900357"/>
      <w:bookmarkStart w:id="473" w:name="_Toc259093676"/>
      <w:bookmarkStart w:id="474" w:name="_Ref467379807"/>
      <w:bookmarkStart w:id="475" w:name="_Ref467379793"/>
      <w:bookmarkStart w:id="476"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471"/>
      <w:bookmarkStart w:id="477" w:name="_Toc186431855"/>
      <w:r>
        <w:rPr>
          <w:rFonts w:hint="eastAsia" w:ascii="仿宋" w:hAnsi="仿宋" w:eastAsia="仿宋" w:cs="仿宋"/>
          <w:sz w:val="24"/>
        </w:rPr>
        <w:t>。</w:t>
      </w:r>
    </w:p>
    <w:bookmarkEnd w:id="472"/>
    <w:bookmarkEnd w:id="473"/>
    <w:bookmarkEnd w:id="474"/>
    <w:bookmarkEnd w:id="475"/>
    <w:bookmarkEnd w:id="476"/>
    <w:bookmarkEnd w:id="477"/>
    <w:p>
      <w:pPr>
        <w:spacing w:line="560" w:lineRule="exact"/>
        <w:ind w:firstLine="482" w:firstLineChars="200"/>
        <w:outlineLvl w:val="0"/>
        <w:rPr>
          <w:rFonts w:hint="eastAsia" w:ascii="仿宋" w:hAnsi="仿宋" w:eastAsia="仿宋" w:cs="仿宋"/>
          <w:b/>
          <w:sz w:val="24"/>
        </w:rPr>
      </w:pPr>
      <w:bookmarkStart w:id="478" w:name="_Toc487900358"/>
      <w:bookmarkStart w:id="479" w:name="_Ref467379923"/>
      <w:bookmarkStart w:id="480" w:name="_Ref467379852"/>
      <w:bookmarkStart w:id="481" w:name="_Toc259093677"/>
      <w:bookmarkStart w:id="482" w:name="_Toc279701248"/>
      <w:bookmarkStart w:id="483" w:name="_Ref467379863"/>
      <w:bookmarkStart w:id="484" w:name="_Toc3225"/>
      <w:bookmarkStart w:id="485" w:name="_Toc16110"/>
      <w:bookmarkStart w:id="486" w:name="_Toc774"/>
      <w:r>
        <w:rPr>
          <w:rFonts w:hint="eastAsia" w:ascii="仿宋" w:hAnsi="仿宋" w:eastAsia="仿宋" w:cs="仿宋"/>
          <w:b/>
          <w:sz w:val="24"/>
        </w:rPr>
        <w:t>2.6 技术资料</w:t>
      </w:r>
      <w:bookmarkEnd w:id="478"/>
      <w:bookmarkEnd w:id="479"/>
      <w:bookmarkEnd w:id="480"/>
      <w:bookmarkEnd w:id="481"/>
      <w:bookmarkEnd w:id="482"/>
      <w:bookmarkEnd w:id="483"/>
      <w:r>
        <w:rPr>
          <w:rFonts w:hint="eastAsia" w:ascii="仿宋" w:hAnsi="仿宋" w:eastAsia="仿宋" w:cs="仿宋"/>
          <w:b/>
          <w:sz w:val="24"/>
        </w:rPr>
        <w:t>和保密义务</w:t>
      </w:r>
      <w:bookmarkEnd w:id="484"/>
      <w:bookmarkEnd w:id="485"/>
      <w:bookmarkEnd w:id="48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487" w:name="_Toc7860"/>
      <w:r>
        <w:rPr>
          <w:rFonts w:hint="eastAsia" w:ascii="仿宋" w:hAnsi="仿宋" w:eastAsia="仿宋" w:cs="仿宋"/>
          <w:b/>
          <w:sz w:val="24"/>
        </w:rPr>
        <w:t>2.7 质量保证</w:t>
      </w:r>
      <w:bookmarkEnd w:id="48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488" w:name="_Toc17244"/>
      <w:bookmarkStart w:id="489" w:name="_Toc279701252"/>
      <w:bookmarkStart w:id="490" w:name="_Toc259093681"/>
      <w:bookmarkStart w:id="491" w:name="_Toc487900362"/>
      <w:r>
        <w:rPr>
          <w:rFonts w:hint="eastAsia" w:ascii="仿宋" w:hAnsi="仿宋" w:eastAsia="仿宋" w:cs="仿宋"/>
          <w:b/>
          <w:sz w:val="24"/>
        </w:rPr>
        <w:t>2.8 货物的风险负担</w:t>
      </w:r>
      <w:bookmarkEnd w:id="488"/>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92" w:name="_Toc14055"/>
      <w:r>
        <w:rPr>
          <w:rFonts w:hint="eastAsia" w:ascii="仿宋" w:hAnsi="仿宋" w:eastAsia="仿宋" w:cs="仿宋"/>
          <w:b/>
          <w:sz w:val="24"/>
        </w:rPr>
        <w:t>2.9 延迟交货</w:t>
      </w:r>
      <w:bookmarkEnd w:id="489"/>
      <w:bookmarkEnd w:id="490"/>
      <w:bookmarkEnd w:id="491"/>
      <w:bookmarkEnd w:id="49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493" w:name="_Toc7502"/>
      <w:bookmarkStart w:id="494" w:name="_Toc279701254"/>
      <w:bookmarkStart w:id="495" w:name="_Toc259093683"/>
      <w:bookmarkStart w:id="496" w:name="_Ref467378121"/>
      <w:bookmarkStart w:id="497" w:name="_Toc487900364"/>
      <w:r>
        <w:rPr>
          <w:rFonts w:hint="eastAsia" w:ascii="仿宋" w:hAnsi="仿宋" w:eastAsia="仿宋" w:cs="仿宋"/>
          <w:b/>
          <w:sz w:val="24"/>
        </w:rPr>
        <w:t>2.10 合同变更</w:t>
      </w:r>
      <w:bookmarkEnd w:id="49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498" w:name="_Toc487900369"/>
      <w:bookmarkStart w:id="499" w:name="_Toc259093688"/>
      <w:bookmarkStart w:id="500" w:name="_Toc279701259"/>
    </w:p>
    <w:p>
      <w:pPr>
        <w:spacing w:line="560" w:lineRule="exact"/>
        <w:ind w:firstLine="482" w:firstLineChars="200"/>
        <w:outlineLvl w:val="0"/>
        <w:rPr>
          <w:rFonts w:hint="eastAsia" w:ascii="仿宋" w:hAnsi="仿宋" w:eastAsia="仿宋" w:cs="仿宋"/>
          <w:b/>
          <w:sz w:val="24"/>
        </w:rPr>
      </w:pPr>
      <w:bookmarkStart w:id="501" w:name="_Toc15237"/>
      <w:bookmarkStart w:id="502" w:name="_Toc22955"/>
      <w:bookmarkStart w:id="503" w:name="_Toc10366"/>
      <w:r>
        <w:rPr>
          <w:rFonts w:hint="eastAsia" w:ascii="仿宋" w:hAnsi="仿宋" w:eastAsia="仿宋" w:cs="仿宋"/>
          <w:b/>
          <w:sz w:val="24"/>
        </w:rPr>
        <w:t>2.11 合同转让</w:t>
      </w:r>
      <w:bookmarkEnd w:id="498"/>
      <w:bookmarkEnd w:id="499"/>
      <w:bookmarkEnd w:id="500"/>
      <w:r>
        <w:rPr>
          <w:rFonts w:hint="eastAsia" w:ascii="仿宋" w:hAnsi="仿宋" w:eastAsia="仿宋" w:cs="仿宋"/>
          <w:b/>
          <w:sz w:val="24"/>
        </w:rPr>
        <w:t>和分包</w:t>
      </w:r>
      <w:bookmarkEnd w:id="501"/>
      <w:bookmarkEnd w:id="502"/>
      <w:bookmarkEnd w:id="5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504" w:name="_Toc16508"/>
      <w:bookmarkStart w:id="505" w:name="_Toc13566"/>
      <w:bookmarkStart w:id="506" w:name="_Toc14066"/>
      <w:r>
        <w:rPr>
          <w:rFonts w:hint="eastAsia" w:ascii="仿宋" w:hAnsi="仿宋" w:eastAsia="仿宋" w:cs="仿宋"/>
          <w:b/>
          <w:sz w:val="24"/>
        </w:rPr>
        <w:t>2.12 不可抗力</w:t>
      </w:r>
      <w:bookmarkEnd w:id="504"/>
      <w:bookmarkEnd w:id="505"/>
      <w:bookmarkEnd w:id="50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507" w:name="_Toc30676"/>
      <w:bookmarkStart w:id="508" w:name="_Toc259093684"/>
      <w:bookmarkStart w:id="509" w:name="_Toc6969"/>
      <w:bookmarkStart w:id="510" w:name="_Toc689"/>
      <w:bookmarkStart w:id="511" w:name="_Toc487900365"/>
      <w:bookmarkStart w:id="512" w:name="_Toc279701255"/>
      <w:r>
        <w:rPr>
          <w:rFonts w:hint="eastAsia" w:ascii="仿宋" w:hAnsi="仿宋" w:eastAsia="仿宋" w:cs="仿宋"/>
          <w:b/>
          <w:sz w:val="24"/>
        </w:rPr>
        <w:t>2.13 税费</w:t>
      </w:r>
      <w:bookmarkEnd w:id="507"/>
      <w:bookmarkEnd w:id="508"/>
      <w:bookmarkEnd w:id="509"/>
      <w:bookmarkEnd w:id="510"/>
      <w:bookmarkEnd w:id="511"/>
      <w:bookmarkEnd w:id="5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513" w:name="_Toc259093687"/>
      <w:bookmarkStart w:id="514" w:name="_Toc16959"/>
      <w:bookmarkStart w:id="515" w:name="_Toc279701258"/>
      <w:bookmarkStart w:id="516" w:name="_Toc8298"/>
      <w:bookmarkStart w:id="517" w:name="_Toc7102"/>
      <w:bookmarkStart w:id="518" w:name="_Toc487900368"/>
      <w:r>
        <w:rPr>
          <w:rFonts w:hint="eastAsia" w:ascii="仿宋" w:hAnsi="仿宋" w:eastAsia="仿宋" w:cs="仿宋"/>
          <w:b/>
          <w:sz w:val="24"/>
        </w:rPr>
        <w:t>2.14乙方破产</w:t>
      </w:r>
      <w:bookmarkEnd w:id="513"/>
      <w:bookmarkEnd w:id="514"/>
      <w:bookmarkEnd w:id="515"/>
      <w:bookmarkEnd w:id="516"/>
      <w:bookmarkEnd w:id="517"/>
      <w:bookmarkEnd w:id="51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519" w:name="_Toc15387"/>
      <w:bookmarkStart w:id="520" w:name="_Toc6134"/>
      <w:bookmarkStart w:id="521" w:name="_Toc29333"/>
      <w:r>
        <w:rPr>
          <w:rFonts w:hint="eastAsia" w:ascii="仿宋" w:hAnsi="仿宋" w:eastAsia="仿宋" w:cs="仿宋"/>
          <w:b/>
          <w:sz w:val="24"/>
        </w:rPr>
        <w:t>2.15 合同中止、终止</w:t>
      </w:r>
      <w:bookmarkEnd w:id="519"/>
      <w:bookmarkEnd w:id="520"/>
      <w:bookmarkEnd w:id="52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522" w:name="_Toc14563"/>
      <w:bookmarkStart w:id="523" w:name="_Toc6596"/>
      <w:bookmarkStart w:id="524" w:name="_Toc1125"/>
      <w:r>
        <w:rPr>
          <w:rFonts w:hint="eastAsia" w:ascii="仿宋" w:hAnsi="仿宋" w:eastAsia="仿宋" w:cs="仿宋"/>
          <w:b/>
          <w:sz w:val="24"/>
        </w:rPr>
        <w:t>2.16检验和验收</w:t>
      </w:r>
      <w:bookmarkEnd w:id="522"/>
      <w:bookmarkEnd w:id="523"/>
      <w:bookmarkEnd w:id="524"/>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494"/>
    <w:bookmarkEnd w:id="495"/>
    <w:bookmarkEnd w:id="496"/>
    <w:bookmarkEnd w:id="497"/>
    <w:p>
      <w:pPr>
        <w:spacing w:line="560" w:lineRule="exact"/>
        <w:ind w:firstLine="482" w:firstLineChars="200"/>
        <w:outlineLvl w:val="0"/>
        <w:rPr>
          <w:rFonts w:hint="eastAsia" w:ascii="仿宋" w:hAnsi="仿宋" w:eastAsia="仿宋" w:cs="仿宋"/>
          <w:b/>
          <w:sz w:val="24"/>
        </w:rPr>
      </w:pPr>
      <w:bookmarkStart w:id="525" w:name="_Toc259093690"/>
      <w:bookmarkStart w:id="526" w:name="_Toc487900371"/>
      <w:bookmarkStart w:id="527" w:name="_Toc279701261"/>
      <w:bookmarkStart w:id="528" w:name="_Toc19604"/>
      <w:bookmarkStart w:id="529" w:name="_Toc25182"/>
      <w:bookmarkStart w:id="530" w:name="_Toc11284"/>
      <w:r>
        <w:rPr>
          <w:rFonts w:hint="eastAsia" w:ascii="仿宋" w:hAnsi="仿宋" w:eastAsia="仿宋" w:cs="仿宋"/>
          <w:b/>
          <w:sz w:val="24"/>
        </w:rPr>
        <w:t>2.17 通知</w:t>
      </w:r>
      <w:bookmarkEnd w:id="525"/>
      <w:bookmarkEnd w:id="526"/>
      <w:bookmarkEnd w:id="527"/>
      <w:r>
        <w:rPr>
          <w:rFonts w:hint="eastAsia" w:ascii="仿宋" w:hAnsi="仿宋" w:eastAsia="仿宋" w:cs="仿宋"/>
          <w:b/>
          <w:sz w:val="24"/>
        </w:rPr>
        <w:t>和送达</w:t>
      </w:r>
      <w:bookmarkEnd w:id="528"/>
      <w:bookmarkEnd w:id="529"/>
      <w:bookmarkEnd w:id="530"/>
    </w:p>
    <w:p>
      <w:pPr>
        <w:spacing w:line="560" w:lineRule="exact"/>
        <w:ind w:firstLine="480" w:firstLineChars="200"/>
        <w:rPr>
          <w:rFonts w:hint="eastAsia" w:ascii="仿宋" w:hAnsi="仿宋" w:eastAsia="仿宋" w:cs="仿宋"/>
          <w:sz w:val="24"/>
        </w:rPr>
      </w:pPr>
      <w:bookmarkStart w:id="531" w:name="_Toc3135"/>
      <w:bookmarkStart w:id="532" w:name="_Toc6698"/>
      <w:bookmarkStart w:id="533" w:name="_Toc259093691"/>
      <w:bookmarkStart w:id="534" w:name="_Toc487900372"/>
      <w:bookmarkStart w:id="535"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531"/>
      <w:bookmarkEnd w:id="532"/>
    </w:p>
    <w:p>
      <w:pPr>
        <w:spacing w:line="560" w:lineRule="exact"/>
        <w:ind w:firstLine="480" w:firstLineChars="200"/>
        <w:rPr>
          <w:rFonts w:hint="eastAsia" w:ascii="仿宋" w:hAnsi="仿宋" w:eastAsia="仿宋" w:cs="仿宋"/>
          <w:sz w:val="24"/>
        </w:rPr>
      </w:pPr>
      <w:bookmarkStart w:id="536" w:name="_Toc23294"/>
      <w:bookmarkStart w:id="537"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6"/>
      <w:bookmarkEnd w:id="537"/>
    </w:p>
    <w:p>
      <w:pPr>
        <w:spacing w:line="560" w:lineRule="exact"/>
        <w:ind w:firstLine="482" w:firstLineChars="200"/>
        <w:outlineLvl w:val="0"/>
        <w:rPr>
          <w:rFonts w:hint="eastAsia" w:ascii="仿宋" w:hAnsi="仿宋" w:eastAsia="仿宋" w:cs="仿宋"/>
          <w:b/>
          <w:sz w:val="24"/>
        </w:rPr>
      </w:pPr>
      <w:bookmarkStart w:id="538" w:name="_Toc30599"/>
      <w:bookmarkStart w:id="539" w:name="_Toc4355"/>
      <w:bookmarkStart w:id="540" w:name="_Toc18540"/>
      <w:r>
        <w:rPr>
          <w:rFonts w:hint="eastAsia" w:ascii="仿宋" w:hAnsi="仿宋" w:eastAsia="仿宋" w:cs="仿宋"/>
          <w:b/>
          <w:sz w:val="24"/>
        </w:rPr>
        <w:t>2.18 计量单位</w:t>
      </w:r>
      <w:bookmarkEnd w:id="533"/>
      <w:bookmarkEnd w:id="534"/>
      <w:bookmarkEnd w:id="535"/>
      <w:bookmarkEnd w:id="538"/>
      <w:bookmarkEnd w:id="539"/>
      <w:bookmarkEnd w:id="5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541" w:name="_Toc10330"/>
      <w:bookmarkStart w:id="542" w:name="_Toc279701263"/>
      <w:bookmarkStart w:id="543" w:name="_Toc487900373"/>
      <w:bookmarkStart w:id="544" w:name="_Toc18567"/>
      <w:bookmarkStart w:id="545" w:name="_Toc259093692"/>
      <w:bookmarkStart w:id="546" w:name="_Toc12773"/>
      <w:r>
        <w:rPr>
          <w:rFonts w:hint="eastAsia" w:ascii="仿宋" w:hAnsi="仿宋" w:eastAsia="仿宋" w:cs="仿宋"/>
          <w:b/>
          <w:sz w:val="24"/>
        </w:rPr>
        <w:t>2.19 合同使用的文字和适用的法律</w:t>
      </w:r>
      <w:bookmarkEnd w:id="541"/>
      <w:bookmarkEnd w:id="542"/>
      <w:bookmarkEnd w:id="543"/>
      <w:bookmarkEnd w:id="544"/>
      <w:bookmarkEnd w:id="545"/>
      <w:bookmarkEnd w:id="5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547" w:name="_Toc279701264"/>
      <w:bookmarkStart w:id="548" w:name="_Toc259093693"/>
      <w:bookmarkStart w:id="549" w:name="_Toc16673"/>
      <w:bookmarkStart w:id="550" w:name="_Toc3148"/>
      <w:bookmarkStart w:id="551" w:name="_Toc12004"/>
      <w:bookmarkStart w:id="552" w:name="_Toc487900374"/>
      <w:r>
        <w:rPr>
          <w:rFonts w:hint="eastAsia" w:ascii="仿宋" w:hAnsi="仿宋" w:eastAsia="仿宋" w:cs="仿宋"/>
          <w:b/>
          <w:sz w:val="24"/>
        </w:rPr>
        <w:t>2.20 履约保证金</w:t>
      </w:r>
      <w:bookmarkEnd w:id="547"/>
      <w:bookmarkEnd w:id="548"/>
      <w:bookmarkEnd w:id="549"/>
      <w:bookmarkEnd w:id="550"/>
      <w:bookmarkEnd w:id="551"/>
    </w:p>
    <w:p>
      <w:pPr>
        <w:pStyle w:val="957"/>
        <w:spacing w:before="0" w:beforeAutospacing="0" w:after="0" w:afterAutospacing="0" w:line="360" w:lineRule="auto"/>
        <w:ind w:firstLine="420"/>
        <w:rPr>
          <w:rFonts w:hint="eastAsia"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2.20.2  甲方在项目验收结束后及时退还履约保证金。甲方在项目通过验收之日起</w:t>
      </w:r>
      <w:r>
        <w:rPr>
          <w:rFonts w:hint="eastAsia" w:ascii="仿宋" w:hAnsi="仿宋" w:eastAsia="仿宋" w:cs="仿宋"/>
          <w:sz w:val="24"/>
          <w:u w:val="single"/>
        </w:rPr>
        <w:t xml:space="preserve"> 5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0.05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20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2.20.4 甲方根据杭州市政府采购网公布的供应商履约评价情况减免履约保证金。乙方履约验收评价总分为100分的，甲方免收履约保证金。</w:t>
      </w:r>
    </w:p>
    <w:p>
      <w:pPr>
        <w:spacing w:line="560" w:lineRule="exact"/>
        <w:ind w:firstLine="480" w:firstLineChars="200"/>
        <w:rPr>
          <w:rFonts w:hint="eastAsia" w:ascii="仿宋" w:hAnsi="仿宋" w:eastAsia="仿宋" w:cs="仿宋"/>
        </w:rPr>
      </w:pPr>
      <w:r>
        <w:rPr>
          <w:rFonts w:hint="eastAsia" w:ascii="仿宋" w:hAnsi="仿宋" w:eastAsia="仿宋" w:cs="仿宋"/>
          <w:sz w:val="24"/>
        </w:rPr>
        <w:t>2.20.5甲方在乙方履行完合同约定义务事项后及时退还，延迟退还的，应当按照合同约定和法律规定承担相应的赔偿责任。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552"/>
    <w:p>
      <w:pPr>
        <w:spacing w:line="560" w:lineRule="exact"/>
        <w:ind w:firstLine="482" w:firstLineChars="200"/>
        <w:outlineLvl w:val="0"/>
        <w:rPr>
          <w:rFonts w:hint="eastAsia" w:ascii="仿宋" w:hAnsi="仿宋" w:eastAsia="仿宋" w:cs="仿宋"/>
          <w:b/>
          <w:sz w:val="24"/>
        </w:rPr>
      </w:pPr>
      <w:bookmarkStart w:id="553" w:name="_Toc19890"/>
      <w:bookmarkStart w:id="554" w:name="_Toc14001"/>
      <w:bookmarkStart w:id="555" w:name="_Toc6885"/>
      <w:r>
        <w:rPr>
          <w:rFonts w:hint="eastAsia" w:ascii="仿宋" w:hAnsi="仿宋" w:eastAsia="仿宋" w:cs="仿宋"/>
          <w:b/>
          <w:sz w:val="24"/>
        </w:rPr>
        <w:t>2.22合同份数</w:t>
      </w:r>
      <w:bookmarkEnd w:id="553"/>
      <w:bookmarkEnd w:id="554"/>
      <w:bookmarkEnd w:id="5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699"/>
        <w:spacing w:line="560" w:lineRule="exact"/>
        <w:jc w:val="center"/>
        <w:rPr>
          <w:rFonts w:hint="eastAsia" w:ascii="仿宋" w:hAnsi="仿宋" w:eastAsia="仿宋" w:cs="仿宋"/>
          <w:b/>
          <w:szCs w:val="24"/>
        </w:rPr>
      </w:pPr>
      <w:r>
        <w:rPr>
          <w:rFonts w:hint="eastAsia" w:ascii="仿宋" w:hAnsi="仿宋" w:eastAsia="仿宋" w:cs="仿宋"/>
          <w:kern w:val="0"/>
          <w:szCs w:val="24"/>
        </w:rPr>
        <w:br w:type="page"/>
      </w:r>
      <w:bookmarkStart w:id="556" w:name="_Toc331685784"/>
      <w:r>
        <w:rPr>
          <w:rFonts w:hint="eastAsia" w:ascii="仿宋" w:hAnsi="仿宋" w:eastAsia="仿宋" w:cs="仿宋"/>
          <w:b/>
          <w:szCs w:val="24"/>
        </w:rPr>
        <w:t xml:space="preserve"> </w:t>
      </w:r>
      <w:bookmarkEnd w:id="556"/>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rPr>
        <w:t>本部分是对前两部分的补充和修改，如果前两部分和本部分的约定不一致，应以本部分的约定为准。本部分的条款</w:t>
      </w:r>
      <w:r>
        <w:rPr>
          <w:rFonts w:hint="eastAsia" w:ascii="仿宋" w:hAnsi="仿宋" w:eastAsia="仿宋" w:cs="仿宋"/>
          <w:sz w:val="24"/>
          <w:highlight w:val="none"/>
        </w:rPr>
        <w:t>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4534" w:type="pct"/>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1.4.4</w:t>
            </w:r>
          </w:p>
        </w:tc>
        <w:tc>
          <w:tcPr>
            <w:tcW w:w="4534" w:type="pct"/>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资金支付</w:t>
            </w:r>
            <w:r>
              <w:rPr>
                <w:rFonts w:hint="eastAsia" w:ascii="仿宋" w:hAnsi="仿宋" w:eastAsia="仿宋" w:cs="仿宋"/>
                <w:sz w:val="24"/>
                <w:highlight w:val="none"/>
                <w:lang w:eastAsia="zh-CN"/>
              </w:rPr>
              <w:t>：</w:t>
            </w:r>
            <w:r>
              <w:rPr>
                <w:rFonts w:hint="eastAsia" w:ascii="仿宋" w:hAnsi="仿宋" w:eastAsia="仿宋" w:cs="仿宋"/>
                <w:sz w:val="24"/>
                <w:highlight w:val="none"/>
              </w:rPr>
              <w:t>本次项目合同总价为大写人民币元整（￥元），采用分期付款方式，具体如下：合同签订后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个工作日内预付合同款的</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验收合格</w:t>
            </w:r>
            <w:r>
              <w:rPr>
                <w:rFonts w:hint="eastAsia" w:ascii="仿宋" w:hAnsi="仿宋" w:eastAsia="仿宋" w:cs="仿宋"/>
                <w:sz w:val="24"/>
                <w:highlight w:val="none"/>
                <w:lang w:val="en-US" w:eastAsia="zh-CN"/>
              </w:rPr>
              <w:t>后7个工作日支付合同价的60%。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交付期限</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w:t>
            </w:r>
            <w:r>
              <w:rPr>
                <w:rFonts w:hint="eastAsia" w:ascii="仿宋" w:hAnsi="仿宋" w:eastAsia="仿宋" w:cs="仿宋"/>
                <w:sz w:val="24"/>
                <w:highlight w:val="none"/>
                <w:lang w:eastAsia="zh-CN"/>
              </w:rPr>
              <w:t>天内完成供货、安装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275" w:type="dxa"/>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交付地点</w:t>
            </w:r>
            <w:r>
              <w:rPr>
                <w:rFonts w:hint="eastAsia" w:ascii="仿宋" w:hAnsi="仿宋" w:eastAsia="仿宋" w:cs="仿宋"/>
                <w:sz w:val="24"/>
                <w:highlight w:val="none"/>
                <w:lang w:eastAsia="zh-CN"/>
              </w:rPr>
              <w:t>：於潜镇中心幼儿园（於潜镇天风街与金家巷交叉口）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275" w:type="dxa"/>
            <w:vAlign w:val="center"/>
          </w:tcPr>
          <w:p>
            <w:pPr>
              <w:spacing w:line="360" w:lineRule="auto"/>
              <w:rPr>
                <w:rFonts w:hint="eastAsia" w:ascii="仿宋" w:hAnsi="仿宋" w:eastAsia="仿宋" w:cs="仿宋"/>
                <w:sz w:val="24"/>
                <w:highlight w:val="none"/>
                <w:lang w:val="en-US"/>
              </w:rPr>
            </w:pPr>
            <w:r>
              <w:rPr>
                <w:rFonts w:hint="eastAsia" w:ascii="仿宋" w:hAnsi="仿宋" w:eastAsia="仿宋" w:cs="仿宋"/>
                <w:sz w:val="24"/>
                <w:highlight w:val="none"/>
              </w:rPr>
              <w:t>交付方式</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1.6.7</w:t>
            </w:r>
          </w:p>
        </w:tc>
        <w:tc>
          <w:tcPr>
            <w:tcW w:w="4534" w:type="pct"/>
            <w:vAlign w:val="center"/>
          </w:tcPr>
          <w:p>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w:t>
            </w:r>
          </w:p>
        </w:tc>
        <w:tc>
          <w:tcPr>
            <w:tcW w:w="4534" w:type="pct"/>
            <w:vAlign w:val="center"/>
          </w:tcPr>
          <w:p>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4534" w:type="pct"/>
            <w:vAlign w:val="center"/>
          </w:tcPr>
          <w:p>
            <w:pPr>
              <w:spacing w:line="360" w:lineRule="auto"/>
              <w:rPr>
                <w:rFonts w:hint="eastAsia" w:ascii="仿宋" w:hAnsi="仿宋" w:eastAsia="仿宋" w:cs="仿宋"/>
                <w:sz w:val="24"/>
                <w:highlight w:val="none"/>
              </w:rPr>
            </w:pPr>
            <w:r>
              <w:rPr>
                <w:rFonts w:hint="eastAsia" w:ascii="仿宋" w:hAnsi="仿宋" w:eastAsia="仿宋" w:cs="仿宋"/>
                <w:color w:val="auto"/>
                <w:sz w:val="24"/>
                <w:highlight w:val="none"/>
                <w:lang w:val="en-US" w:eastAsia="zh-CN"/>
              </w:rPr>
              <w:t>甲方所在地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4534" w:type="pct"/>
            <w:vAlign w:val="center"/>
          </w:tcPr>
          <w:p>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2.4.2</w:t>
            </w:r>
          </w:p>
        </w:tc>
        <w:tc>
          <w:tcPr>
            <w:tcW w:w="4534" w:type="pct"/>
            <w:vAlign w:val="center"/>
          </w:tcPr>
          <w:p>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4534" w:type="pct"/>
          </w:tcPr>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27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color w:val="auto"/>
                <w:sz w:val="24"/>
                <w:szCs w:val="24"/>
                <w:highlight w:val="none"/>
              </w:rPr>
              <w:t>因不可抗力致使合同有变更必要的，双方当事人应在15日内以书面形式变更合同；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27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color w:val="auto"/>
                <w:sz w:val="24"/>
                <w:szCs w:val="24"/>
                <w:highlight w:val="none"/>
              </w:rPr>
              <w:t>受不可抗力影响的一方在不可抗力发生后，应在15日内以书面形式通知对方当事人，并在15日内，将有关部门出具的证明文件送达对方当事人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27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color w:val="auto"/>
                <w:sz w:val="24"/>
                <w:szCs w:val="24"/>
                <w:highlight w:val="none"/>
              </w:rPr>
              <w:t>项目交付前，乙方应对服务的质量、数量等方面进行详细、全面的检验，并向甲方出具证明服务符合合同约定的文件，提出验收申请；甲方根据乙方的验收申请发起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27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color w:val="auto"/>
                <w:sz w:val="24"/>
                <w:szCs w:val="24"/>
                <w:highlight w:val="none"/>
              </w:rPr>
              <w:t>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2.20.1</w:t>
            </w:r>
          </w:p>
        </w:tc>
        <w:tc>
          <w:tcPr>
            <w:tcW w:w="8275" w:type="dxa"/>
            <w:vAlign w:val="center"/>
          </w:tcPr>
          <w:p>
            <w:pPr>
              <w:spacing w:line="360" w:lineRule="auto"/>
              <w:jc w:val="left"/>
              <w:rPr>
                <w:rFonts w:hint="eastAsia" w:ascii="仿宋" w:hAnsi="仿宋" w:eastAsia="仿宋" w:cs="仿宋"/>
                <w:sz w:val="24"/>
                <w:highlight w:val="none"/>
                <w:lang w:eastAsia="zh-CN"/>
              </w:rPr>
            </w:pPr>
            <w:r>
              <w:rPr>
                <w:rFonts w:hint="eastAsia" w:ascii="仿宋" w:hAnsi="仿宋" w:eastAsia="仿宋" w:cs="仿宋"/>
                <w:color w:val="auto"/>
                <w:sz w:val="24"/>
                <w:szCs w:val="24"/>
                <w:highlight w:val="none"/>
                <w:lang w:eastAsia="zh-CN"/>
              </w:rPr>
              <w:t>履约保证金：</w:t>
            </w:r>
            <w:r>
              <w:rPr>
                <w:rFonts w:hint="eastAsia" w:ascii="仿宋" w:hAnsi="仿宋" w:eastAsia="仿宋" w:cs="仿宋"/>
                <w:color w:val="auto"/>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 w:hRule="atLeast"/>
        </w:trPr>
        <w:tc>
          <w:tcPr>
            <w:tcW w:w="466" w:type="pct"/>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2.20.2 </w:t>
            </w:r>
          </w:p>
        </w:tc>
        <w:tc>
          <w:tcPr>
            <w:tcW w:w="827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color w:val="auto"/>
                <w:sz w:val="24"/>
                <w:szCs w:val="24"/>
                <w:highlight w:val="none"/>
              </w:rPr>
              <w:t>履约保证金在项目通过验收前不予退还，甲方在项目通过验收之日起5个工作日内，将履约保证金退还乙方。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2.22 </w:t>
            </w:r>
          </w:p>
        </w:tc>
        <w:tc>
          <w:tcPr>
            <w:tcW w:w="4534" w:type="pct"/>
            <w:vAlign w:val="center"/>
          </w:tcPr>
          <w:p>
            <w:pPr>
              <w:spacing w:line="360" w:lineRule="auto"/>
              <w:rPr>
                <w:rFonts w:hint="eastAsia" w:ascii="仿宋" w:hAnsi="仿宋" w:eastAsia="仿宋" w:cs="仿宋"/>
                <w:sz w:val="24"/>
              </w:rPr>
            </w:pPr>
            <w:r>
              <w:rPr>
                <w:rFonts w:hint="eastAsia" w:ascii="仿宋" w:hAnsi="仿宋" w:eastAsia="仿宋" w:cs="仿宋"/>
                <w:color w:val="auto"/>
                <w:sz w:val="24"/>
                <w:szCs w:val="24"/>
              </w:rPr>
              <w:t>本合同壹式   份，甲方执   份，乙方执   份。每份均具有同等法律效力。</w:t>
            </w: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8"/>
      <w:r>
        <w:rPr>
          <w:rFonts w:hint="eastAsia" w:ascii="仿宋" w:hAnsi="仿宋" w:eastAsia="仿宋" w:cs="仿宋"/>
          <w:b/>
          <w:sz w:val="36"/>
          <w:szCs w:val="20"/>
        </w:rPr>
        <w:t xml:space="preserve"> </w:t>
      </w:r>
      <w:bookmarkEnd w:id="399"/>
      <w:r>
        <w:rPr>
          <w:rFonts w:hint="eastAsia" w:ascii="仿宋" w:hAnsi="仿宋" w:eastAsia="仿宋" w:cs="仿宋"/>
          <w:b/>
          <w:sz w:val="36"/>
          <w:szCs w:val="20"/>
        </w:rPr>
        <w:t>应提交的有关格式范例</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（3）落实政府采购政策需满足的资格要求………………………………（页码）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（4）本项目的特定资格要求………………………………………………（页码）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spacing w:line="360" w:lineRule="auto"/>
        <w:ind w:firstLine="643" w:firstLineChars="200"/>
        <w:jc w:val="center"/>
        <w:rPr>
          <w:rFonts w:hint="eastAsia" w:ascii="仿宋" w:hAnsi="仿宋" w:eastAsia="仿宋" w:cs="仿宋"/>
          <w:b/>
          <w:kern w:val="0"/>
          <w:sz w:val="32"/>
          <w:szCs w:val="32"/>
        </w:rPr>
      </w:pPr>
    </w:p>
    <w:p>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80"/>
        <w:jc w:val="left"/>
        <w:rPr>
          <w:rFonts w:hint="eastAsia" w:ascii="仿宋" w:hAnsi="仿宋" w:eastAsia="仿宋" w:cs="仿宋"/>
          <w:sz w:val="24"/>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480" w:firstLineChars="200"/>
        <w:rPr>
          <w:rFonts w:hint="eastAsia" w:ascii="仿宋" w:hAnsi="仿宋" w:eastAsia="仿宋" w:cs="仿宋"/>
          <w:sz w:val="24"/>
        </w:rPr>
      </w:pP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四、本项目的特定资格要求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rPr>
          <w:rFonts w:hint="eastAsia" w:ascii="仿宋" w:hAnsi="仿宋" w:eastAsia="仿宋" w:cs="仿宋"/>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5"/>
        <w:rPr>
          <w:rFonts w:hint="eastAsia" w:ascii="仿宋" w:hAnsi="仿宋" w:eastAsia="仿宋" w:cs="仿宋"/>
          <w:lang w:val="en-US"/>
        </w:rPr>
      </w:pPr>
    </w:p>
    <w:p>
      <w:pPr>
        <w:rPr>
          <w:rFonts w:hint="eastAsia" w:ascii="仿宋" w:hAnsi="仿宋" w:eastAsia="仿宋" w:cs="仿宋"/>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pStyle w:val="5"/>
        <w:rPr>
          <w:rFonts w:hint="eastAsia" w:ascii="仿宋" w:hAnsi="仿宋" w:eastAsia="仿宋" w:cs="仿宋"/>
          <w:lang w:val="en-US"/>
        </w:rPr>
      </w:pPr>
    </w:p>
    <w:p>
      <w:pPr>
        <w:rPr>
          <w:rFonts w:hint="eastAsia" w:ascii="仿宋" w:hAnsi="仿宋" w:eastAsia="仿宋" w:cs="仿宋"/>
        </w:rPr>
      </w:pPr>
    </w:p>
    <w:p>
      <w:pPr>
        <w:snapToGrid w:val="0"/>
        <w:spacing w:line="360" w:lineRule="auto"/>
        <w:ind w:firstLine="3855" w:firstLineChars="1200"/>
        <w:outlineLvl w:val="0"/>
        <w:rPr>
          <w:rFonts w:hint="eastAsia" w:ascii="仿宋" w:hAnsi="仿宋" w:eastAsia="仿宋" w:cs="仿宋"/>
          <w:b/>
          <w:kern w:val="0"/>
          <w:sz w:val="32"/>
          <w:szCs w:val="32"/>
        </w:rPr>
      </w:pPr>
    </w:p>
    <w:p>
      <w:pPr>
        <w:snapToGrid w:val="0"/>
        <w:spacing w:line="360" w:lineRule="auto"/>
        <w:ind w:firstLine="3855" w:firstLineChars="1200"/>
        <w:outlineLvl w:val="0"/>
        <w:rPr>
          <w:rFonts w:hint="eastAsia" w:ascii="仿宋" w:hAnsi="仿宋" w:eastAsia="仿宋" w:cs="仿宋"/>
          <w:b/>
          <w:kern w:val="0"/>
          <w:sz w:val="32"/>
          <w:szCs w:val="32"/>
        </w:rPr>
      </w:pPr>
    </w:p>
    <w:p>
      <w:pPr>
        <w:snapToGrid w:val="0"/>
        <w:spacing w:line="360" w:lineRule="auto"/>
        <w:ind w:firstLine="3855" w:firstLineChars="1200"/>
        <w:outlineLvl w:val="0"/>
        <w:rPr>
          <w:rFonts w:hint="eastAsia" w:ascii="仿宋" w:hAnsi="仿宋" w:eastAsia="仿宋" w:cs="仿宋"/>
          <w:b/>
          <w:kern w:val="0"/>
          <w:sz w:val="32"/>
          <w:szCs w:val="32"/>
        </w:rPr>
      </w:pPr>
    </w:p>
    <w:p>
      <w:pPr>
        <w:pStyle w:val="5"/>
        <w:rPr>
          <w:rFonts w:hint="eastAsia" w:ascii="仿宋" w:hAnsi="仿宋" w:eastAsia="仿宋" w:cs="仿宋"/>
          <w:lang w:val="en-US"/>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我方参加你方组织的（项目名称）【招标编号：（采购编号）】招标的有关活动，并对此项目进行投标。为此：</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联合协议（如果有)；</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2.1.4本项目的特定资格要求（如果有）。</w:t>
      </w:r>
    </w:p>
    <w:p>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2.2.3分包意向协议（如果有）；</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left="420" w:leftChars="200" w:firstLine="4200" w:firstLineChars="1750"/>
        <w:rPr>
          <w:rFonts w:hint="eastAsia" w:ascii="仿宋" w:hAnsi="仿宋" w:eastAsia="仿宋" w:cs="仿宋"/>
          <w:kern w:val="0"/>
          <w:sz w:val="24"/>
          <w:u w:val="single"/>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（项目名称）【招标编号：（采购编号）】</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r>
        <w:rPr>
          <w:rFonts w:hint="eastAsia" w:ascii="仿宋" w:hAnsi="仿宋" w:eastAsia="仿宋" w:cs="仿宋"/>
          <w:b/>
          <w:kern w:val="0"/>
          <w:sz w:val="32"/>
          <w:szCs w:val="32"/>
          <w:lang w:val="zh-CN"/>
        </w:rPr>
        <w:t>授权委托书（适用于联合体投标）</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（项目名称）【招标编号：（采购编号）】</w:t>
      </w:r>
      <w:r>
        <w:rPr>
          <w:rFonts w:hint="eastAsia" w:ascii="仿宋" w:hAnsi="仿宋" w:eastAsia="仿宋" w:cs="仿宋"/>
          <w:kern w:val="0"/>
          <w:sz w:val="24"/>
          <w:lang w:val="zh-CN"/>
        </w:rPr>
        <w:t>政府采购投标的一切事项，其法律后果由我方承担。</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pPr>
        <w:pStyle w:val="146"/>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6"/>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pPr>
              <w:pStyle w:val="146"/>
              <w:adjustRightInd w:val="0"/>
              <w:spacing w:line="360" w:lineRule="auto"/>
              <w:rPr>
                <w:rFonts w:hint="eastAsia" w:ascii="仿宋" w:hAnsi="仿宋" w:eastAsia="仿宋" w:cs="仿宋"/>
                <w:bCs/>
                <w:sz w:val="24"/>
              </w:rPr>
            </w:pPr>
          </w:p>
        </w:tc>
      </w:tr>
    </w:tbl>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三、分包意向协议</w:t>
      </w:r>
    </w:p>
    <w:p>
      <w:pPr>
        <w:widowControl/>
        <w:spacing w:line="360" w:lineRule="auto"/>
        <w:ind w:firstLine="120" w:firstLineChars="50"/>
        <w:jc w:val="left"/>
        <w:rPr>
          <w:rFonts w:hint="eastAsia" w:ascii="仿宋" w:hAnsi="仿宋" w:eastAsia="仿宋" w:cs="仿宋"/>
          <w:sz w:val="24"/>
        </w:rPr>
      </w:pPr>
      <w:bookmarkStart w:id="557" w:name="_Hlk101169080"/>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bookmarkEnd w:id="557"/>
    <w:p>
      <w:pPr>
        <w:snapToGrid w:val="0"/>
        <w:spacing w:line="360" w:lineRule="auto"/>
        <w:rPr>
          <w:rFonts w:hint="eastAsia" w:ascii="仿宋" w:hAnsi="仿宋" w:eastAsia="仿宋" w:cs="仿宋"/>
          <w:kern w:val="0"/>
          <w:sz w:val="24"/>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pPr>
        <w:jc w:val="center"/>
        <w:rPr>
          <w:rFonts w:hint="eastAsia" w:ascii="仿宋" w:hAnsi="仿宋" w:eastAsia="仿宋" w:cs="仿宋"/>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rPr>
            </w:pPr>
            <w:r>
              <w:rPr>
                <w:rFonts w:hint="eastAsia" w:ascii="仿宋" w:hAnsi="仿宋" w:eastAsia="仿宋" w:cs="仿宋"/>
                <w:sz w:val="24"/>
              </w:rPr>
              <w:t>1</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pP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tcPr>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见投标文件</w:t>
            </w:r>
          </w:p>
          <w:p>
            <w:pP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
                <w:sz w:val="24"/>
              </w:rPr>
            </w:pPr>
            <w:r>
              <w:rPr>
                <w:rFonts w:hint="eastAsia" w:ascii="仿宋" w:hAnsi="仿宋" w:eastAsia="仿宋" w:cs="仿宋"/>
                <w:sz w:val="24"/>
              </w:rPr>
              <w:t>2</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仿宋" w:hAnsi="仿宋" w:eastAsia="仿宋" w:cs="仿宋"/>
                <w:sz w:val="24"/>
              </w:rPr>
            </w:pPr>
            <w:r>
              <w:rPr>
                <w:rFonts w:hint="eastAsia" w:ascii="仿宋" w:hAnsi="仿宋" w:eastAsia="仿宋" w:cs="仿宋"/>
                <w:sz w:val="24"/>
              </w:rPr>
              <w:t>节能产品认证证书（本项目拟采购的产品不属于政府强制采购的节能产品品目清单范围的，无需提供）</w:t>
            </w:r>
          </w:p>
        </w:tc>
        <w:tc>
          <w:tcPr>
            <w:tcW w:w="1418" w:type="dxa"/>
          </w:tcPr>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见投标文件</w:t>
            </w:r>
          </w:p>
          <w:p>
            <w:pPr>
              <w:pStyle w:val="5"/>
              <w:rPr>
                <w:rFonts w:hint="eastAsia" w:ascii="仿宋" w:hAnsi="仿宋" w:eastAsia="仿宋" w:cs="仿宋"/>
                <w:lang w:val="en-US"/>
              </w:rPr>
            </w:pPr>
            <w:r>
              <w:rPr>
                <w:rFonts w:hint="eastAsia" w:ascii="仿宋" w:hAnsi="仿宋" w:eastAsia="仿宋" w:cs="仿宋"/>
                <w:b w:val="0"/>
                <w:bCs w:val="0"/>
                <w:sz w:val="24"/>
                <w:szCs w:val="24"/>
                <w:lang w:val="en-US"/>
              </w:rPr>
              <w:t>第</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rPr>
            </w:pPr>
            <w:r>
              <w:rPr>
                <w:rFonts w:hint="eastAsia" w:ascii="仿宋" w:hAnsi="仿宋" w:eastAsia="仿宋" w:cs="仿宋"/>
                <w:sz w:val="24"/>
              </w:rPr>
              <w:t>3</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pPr>
              <w:rPr>
                <w:rFonts w:hint="eastAsia" w:ascii="仿宋" w:hAnsi="仿宋" w:eastAsia="仿宋" w:cs="仿宋"/>
                <w:sz w:val="24"/>
              </w:rPr>
            </w:pPr>
            <w:r>
              <w:rPr>
                <w:rFonts w:hint="eastAsia" w:ascii="仿宋" w:hAnsi="仿宋" w:eastAsia="仿宋" w:cs="仿宋"/>
                <w:sz w:val="24"/>
              </w:rPr>
              <w:t>投标函</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sz w:val="24"/>
              </w:rPr>
            </w:pPr>
            <w:r>
              <w:rPr>
                <w:rFonts w:hint="eastAsia" w:ascii="仿宋" w:hAnsi="仿宋" w:eastAsia="仿宋" w:cs="仿宋"/>
                <w:sz w:val="24"/>
              </w:rPr>
              <w:t>4</w:t>
            </w:r>
          </w:p>
        </w:tc>
        <w:tc>
          <w:tcPr>
            <w:tcW w:w="4991" w:type="dxa"/>
          </w:tcPr>
          <w:p>
            <w:pPr>
              <w:spacing w:line="360" w:lineRule="auto"/>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51" w:type="dxa"/>
            <w:vAlign w:val="center"/>
          </w:tcPr>
          <w:p>
            <w:pP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tcPr>
          <w:p>
            <w:pP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rPr>
      </w:pPr>
      <w:r>
        <w:rPr>
          <w:rFonts w:hint="eastAsia" w:ascii="仿宋" w:hAnsi="仿宋" w:eastAsia="仿宋" w:cs="仿宋"/>
          <w:b/>
          <w:kern w:val="0"/>
          <w:sz w:val="32"/>
          <w:szCs w:val="32"/>
        </w:rPr>
        <w:t>五、评标标准相应的商务技术资料</w:t>
      </w:r>
    </w:p>
    <w:p>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ind w:firstLine="2891" w:firstLineChars="900"/>
        <w:rPr>
          <w:rFonts w:hint="eastAsia"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p>
        </w:tc>
      </w:tr>
    </w:tbl>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bCs/>
          <w:sz w:val="32"/>
          <w:szCs w:val="32"/>
        </w:rPr>
      </w:pPr>
    </w:p>
    <w:p>
      <w:pPr>
        <w:ind w:firstLine="1911" w:firstLineChars="595"/>
        <w:rPr>
          <w:rFonts w:hint="eastAsia" w:ascii="仿宋" w:hAnsi="仿宋" w:eastAsia="仿宋" w:cs="仿宋"/>
          <w:b/>
          <w:kern w:val="0"/>
          <w:sz w:val="32"/>
          <w:szCs w:val="32"/>
        </w:rPr>
      </w:pPr>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hint="eastAsia" w:ascii="仿宋" w:hAnsi="仿宋" w:eastAsia="仿宋" w:cs="仿宋"/>
                <w:sz w:val="24"/>
              </w:rPr>
            </w:pP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eastAsia" w:ascii="仿宋" w:hAnsi="仿宋" w:eastAsia="仿宋" w:cs="仿宋"/>
                <w:sz w:val="24"/>
              </w:rPr>
            </w:pP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rPr>
            </w:pPr>
          </w:p>
        </w:tc>
        <w:tc>
          <w:tcPr>
            <w:tcW w:w="1417" w:type="dxa"/>
            <w:vAlign w:val="center"/>
          </w:tcPr>
          <w:p>
            <w:pPr>
              <w:snapToGrid w:val="0"/>
              <w:spacing w:line="360" w:lineRule="auto"/>
              <w:jc w:val="center"/>
              <w:rPr>
                <w:rFonts w:hint="eastAsia" w:ascii="仿宋" w:hAnsi="仿宋" w:eastAsia="仿宋" w:cs="仿宋"/>
                <w:sz w:val="24"/>
              </w:rPr>
            </w:pPr>
          </w:p>
        </w:tc>
        <w:tc>
          <w:tcPr>
            <w:tcW w:w="1843" w:type="dxa"/>
            <w:vAlign w:val="center"/>
          </w:tcPr>
          <w:p>
            <w:pPr>
              <w:snapToGrid w:val="0"/>
              <w:spacing w:line="360" w:lineRule="auto"/>
              <w:jc w:val="center"/>
              <w:rPr>
                <w:rFonts w:hint="eastAsia" w:ascii="仿宋" w:hAnsi="仿宋" w:eastAsia="仿宋" w:cs="仿宋"/>
                <w:sz w:val="24"/>
              </w:rPr>
            </w:pPr>
          </w:p>
        </w:tc>
        <w:tc>
          <w:tcPr>
            <w:tcW w:w="3118" w:type="dxa"/>
            <w:vAlign w:val="center"/>
          </w:tcPr>
          <w:p>
            <w:pPr>
              <w:snapToGrid w:val="0"/>
              <w:spacing w:line="360" w:lineRule="auto"/>
              <w:jc w:val="center"/>
              <w:rPr>
                <w:rFonts w:hint="eastAsia" w:ascii="仿宋" w:hAnsi="仿宋" w:eastAsia="仿宋" w:cs="仿宋"/>
                <w:sz w:val="24"/>
              </w:rPr>
            </w:pPr>
          </w:p>
        </w:tc>
        <w:tc>
          <w:tcPr>
            <w:tcW w:w="993" w:type="dxa"/>
            <w:vAlign w:val="center"/>
          </w:tcPr>
          <w:p>
            <w:pPr>
              <w:snapToGrid w:val="0"/>
              <w:spacing w:line="360" w:lineRule="auto"/>
              <w:jc w:val="center"/>
              <w:rPr>
                <w:rFonts w:hint="eastAsia" w:ascii="仿宋" w:hAnsi="仿宋" w:eastAsia="仿宋" w:cs="仿宋"/>
                <w:sz w:val="24"/>
              </w:rPr>
            </w:pPr>
          </w:p>
        </w:tc>
        <w:tc>
          <w:tcPr>
            <w:tcW w:w="1559" w:type="dxa"/>
            <w:vAlign w:val="center"/>
          </w:tcPr>
          <w:p>
            <w:pPr>
              <w:spacing w:line="360" w:lineRule="auto"/>
              <w:jc w:val="center"/>
              <w:rPr>
                <w:rFonts w:hint="eastAsia" w:ascii="仿宋" w:hAnsi="仿宋" w:eastAsia="仿宋" w:cs="仿宋"/>
                <w:sz w:val="24"/>
              </w:rPr>
            </w:pPr>
          </w:p>
        </w:tc>
        <w:tc>
          <w:tcPr>
            <w:tcW w:w="1984" w:type="dxa"/>
            <w:vAlign w:val="center"/>
          </w:tcPr>
          <w:p>
            <w:pPr>
              <w:spacing w:line="360" w:lineRule="auto"/>
              <w:jc w:val="center"/>
              <w:rPr>
                <w:rFonts w:hint="eastAsia" w:ascii="仿宋" w:hAnsi="仿宋" w:eastAsia="仿宋" w:cs="仿宋"/>
                <w:sz w:val="24"/>
              </w:rPr>
            </w:pPr>
          </w:p>
        </w:tc>
        <w:tc>
          <w:tcPr>
            <w:tcW w:w="3119"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0"/>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58" w:name="_Hlk101259491"/>
      <w:r>
        <w:rPr>
          <w:rFonts w:hint="eastAsia" w:ascii="仿宋" w:hAnsi="仿宋" w:eastAsia="仿宋" w:cs="仿宋"/>
          <w:sz w:val="32"/>
          <w:szCs w:val="32"/>
        </w:rPr>
        <w:t>（如果有）</w:t>
      </w:r>
      <w:bookmarkEnd w:id="558"/>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0"/>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tabs>
          <w:tab w:val="left" w:pos="8085"/>
        </w:tabs>
        <w:spacing w:line="360" w:lineRule="auto"/>
        <w:ind w:firstLine="1285" w:firstLineChars="400"/>
        <w:jc w:val="left"/>
        <w:rPr>
          <w:rFonts w:hint="eastAsia" w:ascii="仿宋" w:hAnsi="仿宋" w:eastAsia="仿宋" w:cs="仿宋"/>
          <w:b/>
          <w:sz w:val="32"/>
          <w:szCs w:val="32"/>
        </w:rPr>
      </w:pPr>
      <w:r>
        <w:rPr>
          <w:rFonts w:hint="eastAsia" w:ascii="仿宋" w:hAnsi="仿宋" w:eastAsia="仿宋" w:cs="仿宋"/>
          <w:b/>
          <w:sz w:val="32"/>
          <w:szCs w:val="32"/>
        </w:rPr>
        <w:t>政府采购支持中小企业信用融资相关事项通知</w:t>
      </w:r>
    </w:p>
    <w:p>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一、适用对象</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二、相关信息获取方式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三、　政府采购信用融资操作流程：</w:t>
      </w:r>
    </w:p>
    <w:p>
      <w:pPr>
        <w:spacing w:line="360" w:lineRule="auto"/>
        <w:ind w:firstLine="960" w:firstLineChars="400"/>
        <w:rPr>
          <w:rFonts w:hint="eastAsia" w:ascii="仿宋" w:hAnsi="仿宋" w:eastAsia="仿宋" w:cs="仿宋"/>
          <w:sz w:val="24"/>
        </w:rPr>
      </w:pPr>
      <w:r>
        <w:rPr>
          <w:rFonts w:hint="eastAsia" w:ascii="仿宋" w:hAnsi="仿宋" w:eastAsia="仿宋" w:cs="仿宋"/>
          <w:sz w:val="24"/>
        </w:rPr>
        <w:t>（一）线上融资模式：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1.供应商根据合作银行提供的方案，自行选择金融产品，并办理开户等手续；</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2.供应商中标后，可通过杭州市政府采购网或“浙里办”测算授信额度；</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3.采购合同签订后，供应商在杭州市政府采购网或“浙里办”向合作银行发出融资申请；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4.审批通过后，在线办理放贷手续。</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（二）线下融资模式：</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1.供应商根据合作银行提供的方案，自行选择金融产品，向合作银行提出信用资格预审，并办理开户等手续；</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2.采购合同签订后，供应商在杭州市政府采购网或“浙里办”向合作银行发出融资申请；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4.审批通过后，合作银行应按照合作备忘录中约定的审批放款期限和优惠利率及时予以放款。</w:t>
      </w:r>
    </w:p>
    <w:p>
      <w:pPr>
        <w:pStyle w:val="5"/>
        <w:numPr>
          <w:ilvl w:val="255"/>
          <w:numId w:val="0"/>
        </w:numPr>
        <w:ind w:firstLine="960" w:firstLineChars="400"/>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（三）杭州e融平台申请融资</w:t>
      </w:r>
    </w:p>
    <w:p>
      <w:pPr>
        <w:pStyle w:val="5"/>
        <w:numPr>
          <w:ilvl w:val="255"/>
          <w:numId w:val="0"/>
        </w:numPr>
        <w:ind w:firstLine="960" w:firstLineChars="400"/>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供应商通过杭州e融平台政采贷专区，自行选择金融产品，按规定手续办理贷款流程。</w:t>
      </w:r>
    </w:p>
    <w:p>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四、注意事项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仿宋" w:hAnsi="仿宋" w:eastAsia="仿宋" w:cs="仿宋"/>
          <w:b/>
          <w:bCs/>
          <w:kern w:val="0"/>
          <w:sz w:val="24"/>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559" w:name="_Toc465665161"/>
      <w:r>
        <w:rPr>
          <w:rFonts w:hint="eastAsia" w:ascii="仿宋" w:hAnsi="仿宋" w:eastAsia="仿宋" w:cs="仿宋"/>
        </w:rPr>
        <w:t>附件</w:t>
      </w:r>
      <w:bookmarkEnd w:id="559"/>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560" w:name="OLE_LINK14"/>
      <w:bookmarkStart w:id="561" w:name="OLE_LINK13"/>
      <w:r>
        <w:rPr>
          <w:rFonts w:hint="eastAsia" w:ascii="仿宋" w:hAnsi="仿宋" w:eastAsia="仿宋" w:cs="仿宋"/>
          <w:b/>
          <w:spacing w:val="6"/>
          <w:sz w:val="32"/>
          <w:szCs w:val="32"/>
        </w:rPr>
        <w:t>残疾人福利性单位声明函</w:t>
      </w:r>
    </w:p>
    <w:bookmarkEnd w:id="560"/>
    <w:bookmarkEnd w:id="561"/>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附件5：</w:t>
      </w:r>
      <w:r>
        <w:rPr>
          <w:rFonts w:hint="eastAsia" w:ascii="仿宋" w:hAnsi="仿宋" w:eastAsia="仿宋" w:cs="仿宋"/>
          <w:b/>
          <w:kern w:val="0"/>
          <w:sz w:val="32"/>
          <w:szCs w:val="32"/>
          <w:lang w:val="zh-CN"/>
        </w:rPr>
        <w:t>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hint="eastAsia" w:ascii="仿宋" w:hAnsi="仿宋" w:eastAsia="仿宋" w:cs="仿宋"/>
          <w:kern w:val="0"/>
          <w:sz w:val="24"/>
          <w:lang w:val="zh-CN"/>
        </w:rPr>
      </w:pPr>
      <w:bookmarkStart w:id="56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62"/>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（未预留份额专门面向中小企业采购的的采购项目，以及预留份额中的非预留部分采购包，接受联合体投标的，联合协议约定小微企业的合同份额占到合同总金额30%以上的，对联合体报价给予6%的扣除。供应商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kern w:val="0"/>
          <w:sz w:val="32"/>
          <w:szCs w:val="32"/>
        </w:rPr>
      </w:pPr>
      <w:r>
        <w:rPr>
          <w:rFonts w:hint="eastAsia" w:ascii="仿宋" w:hAnsi="仿宋" w:eastAsia="仿宋" w:cs="仿宋"/>
          <w:b/>
          <w:spacing w:val="6"/>
          <w:sz w:val="32"/>
          <w:szCs w:val="32"/>
        </w:rPr>
        <w:t>附件6：</w:t>
      </w: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给予6%的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6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63"/>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附件7：</w:t>
      </w:r>
      <w:r>
        <w:rPr>
          <w:rFonts w:hint="eastAsia" w:ascii="仿宋" w:hAnsi="仿宋" w:eastAsia="仿宋" w:cs="仿宋"/>
          <w:b/>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64" w:name="_Toc91899912"/>
    <w:bookmarkStart w:id="565" w:name="_Toc164085800"/>
    <w:bookmarkStart w:id="566" w:name="_Toc36110187"/>
    <w:bookmarkStart w:id="567" w:name="_Toc131845147"/>
    <w:r>
      <w:rPr>
        <w:rFonts w:hint="eastAsia" w:ascii="仿宋_GB2312" w:eastAsia="仿宋_GB2312"/>
        <w:kern w:val="0"/>
        <w:szCs w:val="21"/>
      </w:rPr>
      <w:t xml:space="preserve"> 页</w:t>
    </w:r>
    <w:bookmarkEnd w:id="564"/>
    <w:bookmarkEnd w:id="565"/>
    <w:bookmarkEnd w:id="566"/>
    <w:bookmarkEnd w:id="5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w:t>
    </w:r>
    <w:r>
      <w:rPr>
        <w:rFonts w:hint="eastAsia"/>
      </w:rPr>
      <w:t xml:space="preserve">      </w:t>
    </w:r>
    <w:r>
      <w:t>杭州市</w:t>
    </w:r>
    <w:r>
      <w:rPr>
        <w:rFonts w:hint="eastAsia"/>
        <w:lang w:eastAsia="zh-CN"/>
      </w:rPr>
      <w:t>临安区</w:t>
    </w:r>
    <w:r>
      <w:t>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临安区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杭州市</w:t>
    </w:r>
    <w:r>
      <w:rPr>
        <w:rFonts w:hint="eastAsia"/>
        <w:lang w:eastAsia="zh-CN"/>
      </w:rPr>
      <w:t>临安区</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w:t>
    </w:r>
    <w:r>
      <w:rPr>
        <w:rFonts w:hint="eastAsia"/>
      </w:rPr>
      <w:t xml:space="preserve">                                                </w:t>
    </w:r>
    <w:r>
      <w:t xml:space="preserve">            </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r>
      <w:rPr>
        <w:rFonts w:hint="eastAsia"/>
      </w:rPr>
      <w:t xml:space="preserve">         </w:t>
    </w:r>
  </w:p>
  <w:p>
    <w:pPr>
      <w:pStyle w:val="41"/>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w:t>
    </w:r>
    <w:r>
      <w:rPr>
        <w:rFonts w:hint="eastAsia"/>
        <w:lang w:eastAsia="zh-CN"/>
      </w:rPr>
      <w:t>临安区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8D1F0"/>
    <w:multiLevelType w:val="singleLevel"/>
    <w:tmpl w:val="9C78D1F0"/>
    <w:lvl w:ilvl="0" w:tentative="0">
      <w:start w:val="1"/>
      <w:numFmt w:val="decimal"/>
      <w:suff w:val="nothing"/>
      <w:lvlText w:val="%1、"/>
      <w:lvlJc w:val="left"/>
    </w:lvl>
  </w:abstractNum>
  <w:abstractNum w:abstractNumId="1">
    <w:nsid w:val="1813BD06"/>
    <w:multiLevelType w:val="singleLevel"/>
    <w:tmpl w:val="1813BD06"/>
    <w:lvl w:ilvl="0" w:tentative="0">
      <w:start w:val="1"/>
      <w:numFmt w:val="decimal"/>
      <w:suff w:val="nothing"/>
      <w:lvlText w:val="%1、"/>
      <w:lvlJc w:val="left"/>
    </w:lvl>
  </w:abstractNum>
  <w:abstractNum w:abstractNumId="2">
    <w:nsid w:val="2E480573"/>
    <w:multiLevelType w:val="singleLevel"/>
    <w:tmpl w:val="2E480573"/>
    <w:lvl w:ilvl="0" w:tentative="0">
      <w:start w:val="1"/>
      <w:numFmt w:val="decimal"/>
      <w:suff w:val="nothing"/>
      <w:lvlText w:val="%1、"/>
      <w:lvlJc w:val="left"/>
    </w:lvl>
  </w:abstractNum>
  <w:abstractNum w:abstractNumId="3">
    <w:nsid w:val="57F0A609"/>
    <w:multiLevelType w:val="singleLevel"/>
    <w:tmpl w:val="57F0A609"/>
    <w:lvl w:ilvl="0" w:tentative="0">
      <w:start w:val="1"/>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123"/>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2D3"/>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80797A"/>
    <w:rsid w:val="03DD35E4"/>
    <w:rsid w:val="04076900"/>
    <w:rsid w:val="041A5A3B"/>
    <w:rsid w:val="042311BA"/>
    <w:rsid w:val="042B157A"/>
    <w:rsid w:val="047414D8"/>
    <w:rsid w:val="0484573D"/>
    <w:rsid w:val="048F763B"/>
    <w:rsid w:val="049F330E"/>
    <w:rsid w:val="04AA775C"/>
    <w:rsid w:val="04AF1889"/>
    <w:rsid w:val="04E87609"/>
    <w:rsid w:val="04F66F48"/>
    <w:rsid w:val="05251E14"/>
    <w:rsid w:val="05A16594"/>
    <w:rsid w:val="05A7762D"/>
    <w:rsid w:val="060E5941"/>
    <w:rsid w:val="06110FAF"/>
    <w:rsid w:val="06277BAC"/>
    <w:rsid w:val="06493CA7"/>
    <w:rsid w:val="065A6178"/>
    <w:rsid w:val="066F1CF3"/>
    <w:rsid w:val="06712E9A"/>
    <w:rsid w:val="0675020B"/>
    <w:rsid w:val="06930BB8"/>
    <w:rsid w:val="069639E4"/>
    <w:rsid w:val="07155C33"/>
    <w:rsid w:val="07245D42"/>
    <w:rsid w:val="07264C62"/>
    <w:rsid w:val="077176F4"/>
    <w:rsid w:val="0779354C"/>
    <w:rsid w:val="07D06C58"/>
    <w:rsid w:val="08061376"/>
    <w:rsid w:val="08452D77"/>
    <w:rsid w:val="086401F8"/>
    <w:rsid w:val="08751CAA"/>
    <w:rsid w:val="087E4C40"/>
    <w:rsid w:val="08A23C33"/>
    <w:rsid w:val="08A871D0"/>
    <w:rsid w:val="08D66AD6"/>
    <w:rsid w:val="08DA33A3"/>
    <w:rsid w:val="08E80F13"/>
    <w:rsid w:val="090240E8"/>
    <w:rsid w:val="09335624"/>
    <w:rsid w:val="0944690F"/>
    <w:rsid w:val="09535675"/>
    <w:rsid w:val="095576F7"/>
    <w:rsid w:val="095F057D"/>
    <w:rsid w:val="09642282"/>
    <w:rsid w:val="09733572"/>
    <w:rsid w:val="09772C16"/>
    <w:rsid w:val="098353B5"/>
    <w:rsid w:val="09923CF9"/>
    <w:rsid w:val="09A92330"/>
    <w:rsid w:val="09B06B87"/>
    <w:rsid w:val="09C13146"/>
    <w:rsid w:val="09E04166"/>
    <w:rsid w:val="0A19537E"/>
    <w:rsid w:val="0A1C0718"/>
    <w:rsid w:val="0A2A6773"/>
    <w:rsid w:val="0A3E7710"/>
    <w:rsid w:val="0A5B7E63"/>
    <w:rsid w:val="0AA374A5"/>
    <w:rsid w:val="0AAB7649"/>
    <w:rsid w:val="0ABC5606"/>
    <w:rsid w:val="0B30404E"/>
    <w:rsid w:val="0B4C6C14"/>
    <w:rsid w:val="0B506DC9"/>
    <w:rsid w:val="0B547599"/>
    <w:rsid w:val="0B631A88"/>
    <w:rsid w:val="0B683D45"/>
    <w:rsid w:val="0B7F3F11"/>
    <w:rsid w:val="0B884417"/>
    <w:rsid w:val="0BF6188C"/>
    <w:rsid w:val="0BF73C91"/>
    <w:rsid w:val="0C170175"/>
    <w:rsid w:val="0C571A41"/>
    <w:rsid w:val="0C5C1171"/>
    <w:rsid w:val="0C5E1CBC"/>
    <w:rsid w:val="0C615B50"/>
    <w:rsid w:val="0C75278F"/>
    <w:rsid w:val="0C8445DA"/>
    <w:rsid w:val="0C87121B"/>
    <w:rsid w:val="0CB1003D"/>
    <w:rsid w:val="0CC007F7"/>
    <w:rsid w:val="0CC617AC"/>
    <w:rsid w:val="0CDE5C44"/>
    <w:rsid w:val="0CE618DF"/>
    <w:rsid w:val="0CFE707A"/>
    <w:rsid w:val="0D063BDA"/>
    <w:rsid w:val="0D08375F"/>
    <w:rsid w:val="0D184CFB"/>
    <w:rsid w:val="0D4A7419"/>
    <w:rsid w:val="0D6F3813"/>
    <w:rsid w:val="0D827401"/>
    <w:rsid w:val="0D84094E"/>
    <w:rsid w:val="0D8A00E9"/>
    <w:rsid w:val="0D8D589E"/>
    <w:rsid w:val="0DA01C73"/>
    <w:rsid w:val="0DD63300"/>
    <w:rsid w:val="0DF50604"/>
    <w:rsid w:val="0DF702FE"/>
    <w:rsid w:val="0E060E51"/>
    <w:rsid w:val="0E5604B2"/>
    <w:rsid w:val="0E6D5D79"/>
    <w:rsid w:val="0E9D0089"/>
    <w:rsid w:val="0EB803EE"/>
    <w:rsid w:val="0EF94D4B"/>
    <w:rsid w:val="0F2B6750"/>
    <w:rsid w:val="0F4958DC"/>
    <w:rsid w:val="0F515DF7"/>
    <w:rsid w:val="0F596BA8"/>
    <w:rsid w:val="0F6248D2"/>
    <w:rsid w:val="0F693536"/>
    <w:rsid w:val="0F7B0511"/>
    <w:rsid w:val="0F7B76D9"/>
    <w:rsid w:val="0F816ACD"/>
    <w:rsid w:val="0F9832DB"/>
    <w:rsid w:val="0FBF3FD2"/>
    <w:rsid w:val="0FBF7FF3"/>
    <w:rsid w:val="0FDA0452"/>
    <w:rsid w:val="10646583"/>
    <w:rsid w:val="10772E75"/>
    <w:rsid w:val="107D4B15"/>
    <w:rsid w:val="108A3C80"/>
    <w:rsid w:val="10B814BE"/>
    <w:rsid w:val="10C26171"/>
    <w:rsid w:val="10F33360"/>
    <w:rsid w:val="10FC16EA"/>
    <w:rsid w:val="110F1D40"/>
    <w:rsid w:val="112156CD"/>
    <w:rsid w:val="11266F33"/>
    <w:rsid w:val="115B30E5"/>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0972E9"/>
    <w:rsid w:val="141008D8"/>
    <w:rsid w:val="14125FE6"/>
    <w:rsid w:val="146D271E"/>
    <w:rsid w:val="14982588"/>
    <w:rsid w:val="149A5AD9"/>
    <w:rsid w:val="14A7619D"/>
    <w:rsid w:val="150536C3"/>
    <w:rsid w:val="150C1963"/>
    <w:rsid w:val="151447A0"/>
    <w:rsid w:val="154A6454"/>
    <w:rsid w:val="15762120"/>
    <w:rsid w:val="158279A3"/>
    <w:rsid w:val="15A656B3"/>
    <w:rsid w:val="16A8729C"/>
    <w:rsid w:val="16B33777"/>
    <w:rsid w:val="16BC70A7"/>
    <w:rsid w:val="16C6339E"/>
    <w:rsid w:val="172F2D79"/>
    <w:rsid w:val="17557BEF"/>
    <w:rsid w:val="17C8250D"/>
    <w:rsid w:val="17D349C1"/>
    <w:rsid w:val="1830729E"/>
    <w:rsid w:val="185B35FE"/>
    <w:rsid w:val="1870062C"/>
    <w:rsid w:val="18817102"/>
    <w:rsid w:val="18830A15"/>
    <w:rsid w:val="18852B28"/>
    <w:rsid w:val="188B5321"/>
    <w:rsid w:val="18D73AB9"/>
    <w:rsid w:val="19932372"/>
    <w:rsid w:val="19A20DD5"/>
    <w:rsid w:val="19AE03F1"/>
    <w:rsid w:val="1A071A03"/>
    <w:rsid w:val="1A1F16AE"/>
    <w:rsid w:val="1A3B5C77"/>
    <w:rsid w:val="1A984BAD"/>
    <w:rsid w:val="1AB03F01"/>
    <w:rsid w:val="1AB8220E"/>
    <w:rsid w:val="1AE4166C"/>
    <w:rsid w:val="1AF06CFB"/>
    <w:rsid w:val="1AF11B8D"/>
    <w:rsid w:val="1B11359C"/>
    <w:rsid w:val="1B2A271F"/>
    <w:rsid w:val="1B530544"/>
    <w:rsid w:val="1B713184"/>
    <w:rsid w:val="1BA209CF"/>
    <w:rsid w:val="1BB4777D"/>
    <w:rsid w:val="1BD75AB8"/>
    <w:rsid w:val="1C0459C2"/>
    <w:rsid w:val="1C1B3B4A"/>
    <w:rsid w:val="1C674573"/>
    <w:rsid w:val="1C88086E"/>
    <w:rsid w:val="1CEA19DE"/>
    <w:rsid w:val="1D194590"/>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675BAC"/>
    <w:rsid w:val="1FE868A9"/>
    <w:rsid w:val="20034907"/>
    <w:rsid w:val="20050592"/>
    <w:rsid w:val="20173E4B"/>
    <w:rsid w:val="204E48BC"/>
    <w:rsid w:val="208921B3"/>
    <w:rsid w:val="20973DEB"/>
    <w:rsid w:val="20B26522"/>
    <w:rsid w:val="20B44310"/>
    <w:rsid w:val="20DD42E1"/>
    <w:rsid w:val="20EB24AB"/>
    <w:rsid w:val="211116EB"/>
    <w:rsid w:val="21166A8C"/>
    <w:rsid w:val="212B4D55"/>
    <w:rsid w:val="216133FC"/>
    <w:rsid w:val="216B6DAE"/>
    <w:rsid w:val="21D56769"/>
    <w:rsid w:val="21E52EF3"/>
    <w:rsid w:val="21FB5D7B"/>
    <w:rsid w:val="22015E94"/>
    <w:rsid w:val="220B1C3D"/>
    <w:rsid w:val="221D1D20"/>
    <w:rsid w:val="22334A87"/>
    <w:rsid w:val="22BE6801"/>
    <w:rsid w:val="233500BF"/>
    <w:rsid w:val="23377FF7"/>
    <w:rsid w:val="236B425F"/>
    <w:rsid w:val="23836192"/>
    <w:rsid w:val="23901F29"/>
    <w:rsid w:val="239C0061"/>
    <w:rsid w:val="23A51B4E"/>
    <w:rsid w:val="23B908A4"/>
    <w:rsid w:val="23E95BEF"/>
    <w:rsid w:val="23FD0064"/>
    <w:rsid w:val="245375B0"/>
    <w:rsid w:val="24642C0A"/>
    <w:rsid w:val="24B22173"/>
    <w:rsid w:val="24B95AD9"/>
    <w:rsid w:val="24BE24DA"/>
    <w:rsid w:val="24CF5825"/>
    <w:rsid w:val="24D663E6"/>
    <w:rsid w:val="24D77F2B"/>
    <w:rsid w:val="24E01721"/>
    <w:rsid w:val="258B00E2"/>
    <w:rsid w:val="25A917A6"/>
    <w:rsid w:val="25BE27CC"/>
    <w:rsid w:val="25F74A5C"/>
    <w:rsid w:val="2628662C"/>
    <w:rsid w:val="262D45DE"/>
    <w:rsid w:val="26434D83"/>
    <w:rsid w:val="26871DC8"/>
    <w:rsid w:val="26A53EF9"/>
    <w:rsid w:val="26A94201"/>
    <w:rsid w:val="26AC274F"/>
    <w:rsid w:val="27044A29"/>
    <w:rsid w:val="271D34C8"/>
    <w:rsid w:val="276142BF"/>
    <w:rsid w:val="27783712"/>
    <w:rsid w:val="27907362"/>
    <w:rsid w:val="27973AE9"/>
    <w:rsid w:val="27EC2DF2"/>
    <w:rsid w:val="28333E1D"/>
    <w:rsid w:val="28454BD6"/>
    <w:rsid w:val="28455253"/>
    <w:rsid w:val="28551971"/>
    <w:rsid w:val="285B1C53"/>
    <w:rsid w:val="289F7086"/>
    <w:rsid w:val="28C32028"/>
    <w:rsid w:val="28CC490F"/>
    <w:rsid w:val="28DE40AA"/>
    <w:rsid w:val="29345E77"/>
    <w:rsid w:val="2943105D"/>
    <w:rsid w:val="294C65AD"/>
    <w:rsid w:val="29806583"/>
    <w:rsid w:val="298B3C4C"/>
    <w:rsid w:val="29B5032E"/>
    <w:rsid w:val="29F26D24"/>
    <w:rsid w:val="2A15033F"/>
    <w:rsid w:val="2A1662C1"/>
    <w:rsid w:val="2A1C7367"/>
    <w:rsid w:val="2A2815FA"/>
    <w:rsid w:val="2A2E2E27"/>
    <w:rsid w:val="2A6D6092"/>
    <w:rsid w:val="2A7D76B4"/>
    <w:rsid w:val="2B437463"/>
    <w:rsid w:val="2B7807EE"/>
    <w:rsid w:val="2BA50BF7"/>
    <w:rsid w:val="2BBF00EC"/>
    <w:rsid w:val="2BC37CFD"/>
    <w:rsid w:val="2BD5237F"/>
    <w:rsid w:val="2BE536CE"/>
    <w:rsid w:val="2BE758D9"/>
    <w:rsid w:val="2C087460"/>
    <w:rsid w:val="2C09049E"/>
    <w:rsid w:val="2C0A653C"/>
    <w:rsid w:val="2C134275"/>
    <w:rsid w:val="2C191F85"/>
    <w:rsid w:val="2CE82D6F"/>
    <w:rsid w:val="2D343236"/>
    <w:rsid w:val="2D603592"/>
    <w:rsid w:val="2DD15014"/>
    <w:rsid w:val="2DF72DE4"/>
    <w:rsid w:val="2E0220AF"/>
    <w:rsid w:val="2E4B082A"/>
    <w:rsid w:val="2E4D5C14"/>
    <w:rsid w:val="2E5D4E86"/>
    <w:rsid w:val="2E5D790B"/>
    <w:rsid w:val="2E9A3C18"/>
    <w:rsid w:val="2EBB0FEE"/>
    <w:rsid w:val="2EC63002"/>
    <w:rsid w:val="2F0A6B38"/>
    <w:rsid w:val="2F946CCB"/>
    <w:rsid w:val="2FC74E4B"/>
    <w:rsid w:val="2FD25781"/>
    <w:rsid w:val="2FDC745C"/>
    <w:rsid w:val="2FFD03CC"/>
    <w:rsid w:val="2FFD7934"/>
    <w:rsid w:val="3016060B"/>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90F06"/>
    <w:rsid w:val="354D7158"/>
    <w:rsid w:val="355F5EFC"/>
    <w:rsid w:val="358D5588"/>
    <w:rsid w:val="35AD0409"/>
    <w:rsid w:val="363A3B40"/>
    <w:rsid w:val="365302AE"/>
    <w:rsid w:val="36607A0A"/>
    <w:rsid w:val="366A5BD4"/>
    <w:rsid w:val="366E227C"/>
    <w:rsid w:val="366F2E0D"/>
    <w:rsid w:val="367B6A5C"/>
    <w:rsid w:val="36A26F55"/>
    <w:rsid w:val="36A74ADA"/>
    <w:rsid w:val="36AD60D5"/>
    <w:rsid w:val="36B224F9"/>
    <w:rsid w:val="36DB5FB2"/>
    <w:rsid w:val="36EC0CC9"/>
    <w:rsid w:val="373F410B"/>
    <w:rsid w:val="37BC2CF8"/>
    <w:rsid w:val="37EE7094"/>
    <w:rsid w:val="38296C89"/>
    <w:rsid w:val="383002EB"/>
    <w:rsid w:val="38586797"/>
    <w:rsid w:val="38BC0149"/>
    <w:rsid w:val="38D87D1C"/>
    <w:rsid w:val="38EE1AFE"/>
    <w:rsid w:val="39241442"/>
    <w:rsid w:val="39607AD3"/>
    <w:rsid w:val="39636459"/>
    <w:rsid w:val="396B2FA2"/>
    <w:rsid w:val="396B7F6C"/>
    <w:rsid w:val="39B417A9"/>
    <w:rsid w:val="39C9109C"/>
    <w:rsid w:val="39E547A8"/>
    <w:rsid w:val="39FC5695"/>
    <w:rsid w:val="3A006D8E"/>
    <w:rsid w:val="3A3651E5"/>
    <w:rsid w:val="3A744481"/>
    <w:rsid w:val="3A8C7BEF"/>
    <w:rsid w:val="3A906246"/>
    <w:rsid w:val="3B190FC9"/>
    <w:rsid w:val="3B2349B7"/>
    <w:rsid w:val="3B616CFF"/>
    <w:rsid w:val="3B6259F6"/>
    <w:rsid w:val="3B704E38"/>
    <w:rsid w:val="3B917E9C"/>
    <w:rsid w:val="3B976654"/>
    <w:rsid w:val="3BC01EFC"/>
    <w:rsid w:val="3BCA786A"/>
    <w:rsid w:val="3BD31E2F"/>
    <w:rsid w:val="3BF15831"/>
    <w:rsid w:val="3C105946"/>
    <w:rsid w:val="3C471448"/>
    <w:rsid w:val="3C5D6F2C"/>
    <w:rsid w:val="3C5F759A"/>
    <w:rsid w:val="3C6C525A"/>
    <w:rsid w:val="3C814DD5"/>
    <w:rsid w:val="3CCE23CB"/>
    <w:rsid w:val="3CD17D17"/>
    <w:rsid w:val="3D3C7F39"/>
    <w:rsid w:val="3D440F09"/>
    <w:rsid w:val="3D4504A0"/>
    <w:rsid w:val="3D6572BA"/>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633B7"/>
    <w:rsid w:val="3EAF4836"/>
    <w:rsid w:val="3EC33DFA"/>
    <w:rsid w:val="3F060E16"/>
    <w:rsid w:val="3F1D1096"/>
    <w:rsid w:val="3F2F0234"/>
    <w:rsid w:val="3F6363FE"/>
    <w:rsid w:val="3F756B8F"/>
    <w:rsid w:val="3F95482B"/>
    <w:rsid w:val="4019356B"/>
    <w:rsid w:val="40592157"/>
    <w:rsid w:val="40617F9E"/>
    <w:rsid w:val="406E1CAE"/>
    <w:rsid w:val="40A0133A"/>
    <w:rsid w:val="40BD1B3E"/>
    <w:rsid w:val="40C31A53"/>
    <w:rsid w:val="40C56C12"/>
    <w:rsid w:val="40FF545D"/>
    <w:rsid w:val="410067C8"/>
    <w:rsid w:val="4170267C"/>
    <w:rsid w:val="418F0D2A"/>
    <w:rsid w:val="41D01505"/>
    <w:rsid w:val="42474939"/>
    <w:rsid w:val="424C3C57"/>
    <w:rsid w:val="42613FF3"/>
    <w:rsid w:val="42660D96"/>
    <w:rsid w:val="42830FE8"/>
    <w:rsid w:val="428667D2"/>
    <w:rsid w:val="42A028A0"/>
    <w:rsid w:val="42CD1CE0"/>
    <w:rsid w:val="42CF0E36"/>
    <w:rsid w:val="42E1381E"/>
    <w:rsid w:val="42ED6459"/>
    <w:rsid w:val="42FE58DD"/>
    <w:rsid w:val="43174B3D"/>
    <w:rsid w:val="4342143C"/>
    <w:rsid w:val="434B790E"/>
    <w:rsid w:val="4360274F"/>
    <w:rsid w:val="43977AB6"/>
    <w:rsid w:val="43A3342B"/>
    <w:rsid w:val="43C77C27"/>
    <w:rsid w:val="43DE09EE"/>
    <w:rsid w:val="44002FAD"/>
    <w:rsid w:val="44436C3C"/>
    <w:rsid w:val="449101DD"/>
    <w:rsid w:val="44DE1391"/>
    <w:rsid w:val="451B225C"/>
    <w:rsid w:val="452410C9"/>
    <w:rsid w:val="45317DFB"/>
    <w:rsid w:val="45371409"/>
    <w:rsid w:val="45420ABE"/>
    <w:rsid w:val="45470885"/>
    <w:rsid w:val="456D3CE4"/>
    <w:rsid w:val="4579042C"/>
    <w:rsid w:val="457F0571"/>
    <w:rsid w:val="45851176"/>
    <w:rsid w:val="45C63B94"/>
    <w:rsid w:val="460E7DA5"/>
    <w:rsid w:val="46313514"/>
    <w:rsid w:val="46422483"/>
    <w:rsid w:val="4659254A"/>
    <w:rsid w:val="465B0637"/>
    <w:rsid w:val="465E3F0D"/>
    <w:rsid w:val="466A16E6"/>
    <w:rsid w:val="46893F2B"/>
    <w:rsid w:val="46C4686E"/>
    <w:rsid w:val="470574B6"/>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BE5900"/>
    <w:rsid w:val="49E1756E"/>
    <w:rsid w:val="49F6167F"/>
    <w:rsid w:val="4A064FA0"/>
    <w:rsid w:val="4A16615C"/>
    <w:rsid w:val="4A2E3175"/>
    <w:rsid w:val="4A4424D7"/>
    <w:rsid w:val="4AB82D0F"/>
    <w:rsid w:val="4AEB7664"/>
    <w:rsid w:val="4AFD7C19"/>
    <w:rsid w:val="4B043445"/>
    <w:rsid w:val="4B0567D1"/>
    <w:rsid w:val="4B236AAE"/>
    <w:rsid w:val="4B247014"/>
    <w:rsid w:val="4B707271"/>
    <w:rsid w:val="4B9739F7"/>
    <w:rsid w:val="4BEE2503"/>
    <w:rsid w:val="4C245A30"/>
    <w:rsid w:val="4CB6685F"/>
    <w:rsid w:val="4CC367FE"/>
    <w:rsid w:val="4D077F3C"/>
    <w:rsid w:val="4D123355"/>
    <w:rsid w:val="4D2A3B31"/>
    <w:rsid w:val="4D312C52"/>
    <w:rsid w:val="4D905305"/>
    <w:rsid w:val="4D964A72"/>
    <w:rsid w:val="4D9C1254"/>
    <w:rsid w:val="4DEE4F9C"/>
    <w:rsid w:val="4E793892"/>
    <w:rsid w:val="4E800872"/>
    <w:rsid w:val="4EC569ED"/>
    <w:rsid w:val="4ED50EA1"/>
    <w:rsid w:val="4EEC050C"/>
    <w:rsid w:val="4EF35D72"/>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652890"/>
    <w:rsid w:val="518832C8"/>
    <w:rsid w:val="519D3C50"/>
    <w:rsid w:val="51A0432A"/>
    <w:rsid w:val="51A86090"/>
    <w:rsid w:val="51A916A4"/>
    <w:rsid w:val="51B7396D"/>
    <w:rsid w:val="522B6003"/>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63E27"/>
    <w:rsid w:val="55573288"/>
    <w:rsid w:val="555D4828"/>
    <w:rsid w:val="557A4C8B"/>
    <w:rsid w:val="558931E1"/>
    <w:rsid w:val="55923347"/>
    <w:rsid w:val="55925180"/>
    <w:rsid w:val="559402F3"/>
    <w:rsid w:val="55983B1B"/>
    <w:rsid w:val="55A8376B"/>
    <w:rsid w:val="55DC29B6"/>
    <w:rsid w:val="55DD4241"/>
    <w:rsid w:val="566B6D1E"/>
    <w:rsid w:val="567933A7"/>
    <w:rsid w:val="56EF04AC"/>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A139E"/>
    <w:rsid w:val="58AE4F0C"/>
    <w:rsid w:val="58B85899"/>
    <w:rsid w:val="58E363A9"/>
    <w:rsid w:val="595250D1"/>
    <w:rsid w:val="595E1678"/>
    <w:rsid w:val="596D5BD4"/>
    <w:rsid w:val="597E3DD8"/>
    <w:rsid w:val="59F80043"/>
    <w:rsid w:val="5A09252F"/>
    <w:rsid w:val="5A0B2778"/>
    <w:rsid w:val="5A2A7C7B"/>
    <w:rsid w:val="5A357F92"/>
    <w:rsid w:val="5A3E2560"/>
    <w:rsid w:val="5A5D3B6E"/>
    <w:rsid w:val="5A637A76"/>
    <w:rsid w:val="5A6D33BA"/>
    <w:rsid w:val="5A792B1F"/>
    <w:rsid w:val="5A874767"/>
    <w:rsid w:val="5AA85BE2"/>
    <w:rsid w:val="5AAD6F28"/>
    <w:rsid w:val="5AD63A24"/>
    <w:rsid w:val="5B2E1A1D"/>
    <w:rsid w:val="5B756AAA"/>
    <w:rsid w:val="5B843A1C"/>
    <w:rsid w:val="5B873E3F"/>
    <w:rsid w:val="5C02690E"/>
    <w:rsid w:val="5C196DA7"/>
    <w:rsid w:val="5C2752B7"/>
    <w:rsid w:val="5C2A048C"/>
    <w:rsid w:val="5C80234E"/>
    <w:rsid w:val="5C8A680C"/>
    <w:rsid w:val="5CF579DC"/>
    <w:rsid w:val="5D0C4701"/>
    <w:rsid w:val="5D0F0395"/>
    <w:rsid w:val="5D194388"/>
    <w:rsid w:val="5D221076"/>
    <w:rsid w:val="5D397964"/>
    <w:rsid w:val="5D5A391C"/>
    <w:rsid w:val="5D5F10C0"/>
    <w:rsid w:val="5D891B7B"/>
    <w:rsid w:val="5DAD38EE"/>
    <w:rsid w:val="5E006862"/>
    <w:rsid w:val="5E0207B9"/>
    <w:rsid w:val="5E1834A1"/>
    <w:rsid w:val="5E261785"/>
    <w:rsid w:val="5E45791F"/>
    <w:rsid w:val="5E4A7017"/>
    <w:rsid w:val="5E552BBA"/>
    <w:rsid w:val="5E611C10"/>
    <w:rsid w:val="5E7A0F3F"/>
    <w:rsid w:val="5EC23EB4"/>
    <w:rsid w:val="5EFC7377"/>
    <w:rsid w:val="5F06174D"/>
    <w:rsid w:val="5F3A3602"/>
    <w:rsid w:val="5F45733B"/>
    <w:rsid w:val="5F6277C6"/>
    <w:rsid w:val="5F6D0B1D"/>
    <w:rsid w:val="5F8D0B82"/>
    <w:rsid w:val="5FCC5339"/>
    <w:rsid w:val="5FCE251F"/>
    <w:rsid w:val="5FE34A5B"/>
    <w:rsid w:val="5FFE1E36"/>
    <w:rsid w:val="60232584"/>
    <w:rsid w:val="60494110"/>
    <w:rsid w:val="605E3E21"/>
    <w:rsid w:val="606B48E7"/>
    <w:rsid w:val="607330CE"/>
    <w:rsid w:val="607E0E63"/>
    <w:rsid w:val="60825176"/>
    <w:rsid w:val="609F2AC4"/>
    <w:rsid w:val="60A40C05"/>
    <w:rsid w:val="60FA2EE8"/>
    <w:rsid w:val="61054A27"/>
    <w:rsid w:val="610A52BC"/>
    <w:rsid w:val="610F178D"/>
    <w:rsid w:val="611D2366"/>
    <w:rsid w:val="61421856"/>
    <w:rsid w:val="615227C4"/>
    <w:rsid w:val="61654E3F"/>
    <w:rsid w:val="6182292A"/>
    <w:rsid w:val="619F7F92"/>
    <w:rsid w:val="61F94C26"/>
    <w:rsid w:val="62000E56"/>
    <w:rsid w:val="624F3E49"/>
    <w:rsid w:val="62615191"/>
    <w:rsid w:val="62632286"/>
    <w:rsid w:val="62885958"/>
    <w:rsid w:val="62D72132"/>
    <w:rsid w:val="62F40B65"/>
    <w:rsid w:val="62FC2CFE"/>
    <w:rsid w:val="63024505"/>
    <w:rsid w:val="635600A5"/>
    <w:rsid w:val="635B1DB5"/>
    <w:rsid w:val="63711FED"/>
    <w:rsid w:val="63880DDC"/>
    <w:rsid w:val="638D750D"/>
    <w:rsid w:val="63AC6CC0"/>
    <w:rsid w:val="63E4075E"/>
    <w:rsid w:val="64055776"/>
    <w:rsid w:val="64240056"/>
    <w:rsid w:val="643E143A"/>
    <w:rsid w:val="64491666"/>
    <w:rsid w:val="648B6EEF"/>
    <w:rsid w:val="64C158BF"/>
    <w:rsid w:val="64CE2EAA"/>
    <w:rsid w:val="64DC7F8A"/>
    <w:rsid w:val="653C3090"/>
    <w:rsid w:val="65854376"/>
    <w:rsid w:val="658767BE"/>
    <w:rsid w:val="65892531"/>
    <w:rsid w:val="66195831"/>
    <w:rsid w:val="662E75B1"/>
    <w:rsid w:val="66342C2E"/>
    <w:rsid w:val="663E784C"/>
    <w:rsid w:val="668B6A45"/>
    <w:rsid w:val="66B26C18"/>
    <w:rsid w:val="66BD78D3"/>
    <w:rsid w:val="672F3F24"/>
    <w:rsid w:val="673E055F"/>
    <w:rsid w:val="67551CE3"/>
    <w:rsid w:val="67A22552"/>
    <w:rsid w:val="67B22DCC"/>
    <w:rsid w:val="67BE71AA"/>
    <w:rsid w:val="67D90273"/>
    <w:rsid w:val="67DE5875"/>
    <w:rsid w:val="67E55852"/>
    <w:rsid w:val="67EB1AB4"/>
    <w:rsid w:val="67FA1285"/>
    <w:rsid w:val="68492D7E"/>
    <w:rsid w:val="68551F4F"/>
    <w:rsid w:val="687C10C9"/>
    <w:rsid w:val="68840C16"/>
    <w:rsid w:val="68876EFB"/>
    <w:rsid w:val="68884654"/>
    <w:rsid w:val="689F444F"/>
    <w:rsid w:val="68B96DBB"/>
    <w:rsid w:val="68CA2805"/>
    <w:rsid w:val="68E937A3"/>
    <w:rsid w:val="69396858"/>
    <w:rsid w:val="693E15D3"/>
    <w:rsid w:val="69627681"/>
    <w:rsid w:val="6977531D"/>
    <w:rsid w:val="69BF099D"/>
    <w:rsid w:val="69CC2BFF"/>
    <w:rsid w:val="69FD55B8"/>
    <w:rsid w:val="6A0B1C62"/>
    <w:rsid w:val="6A2406C8"/>
    <w:rsid w:val="6A2E6BD4"/>
    <w:rsid w:val="6ADE0BD1"/>
    <w:rsid w:val="6AE96859"/>
    <w:rsid w:val="6B147746"/>
    <w:rsid w:val="6B24787C"/>
    <w:rsid w:val="6B573233"/>
    <w:rsid w:val="6B5B6274"/>
    <w:rsid w:val="6B935D53"/>
    <w:rsid w:val="6BD25728"/>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21862"/>
    <w:rsid w:val="6DF43C2E"/>
    <w:rsid w:val="6DF51CA3"/>
    <w:rsid w:val="6E1A2C4F"/>
    <w:rsid w:val="6E8335BD"/>
    <w:rsid w:val="6E8E12EF"/>
    <w:rsid w:val="6E972936"/>
    <w:rsid w:val="6ECC78D8"/>
    <w:rsid w:val="6ED446C5"/>
    <w:rsid w:val="6F2A7D94"/>
    <w:rsid w:val="6F410CC6"/>
    <w:rsid w:val="6F8331F1"/>
    <w:rsid w:val="6FAE1A09"/>
    <w:rsid w:val="6FD75BF8"/>
    <w:rsid w:val="707723D0"/>
    <w:rsid w:val="70960712"/>
    <w:rsid w:val="70AE71B1"/>
    <w:rsid w:val="70C17D43"/>
    <w:rsid w:val="70CC3D71"/>
    <w:rsid w:val="70F5661B"/>
    <w:rsid w:val="712A3B85"/>
    <w:rsid w:val="71360107"/>
    <w:rsid w:val="713B688E"/>
    <w:rsid w:val="719A0EE5"/>
    <w:rsid w:val="71D43752"/>
    <w:rsid w:val="71F1796A"/>
    <w:rsid w:val="72154626"/>
    <w:rsid w:val="72262B5D"/>
    <w:rsid w:val="72283FF7"/>
    <w:rsid w:val="722E7212"/>
    <w:rsid w:val="723A0474"/>
    <w:rsid w:val="723A4726"/>
    <w:rsid w:val="725923E4"/>
    <w:rsid w:val="72686EC5"/>
    <w:rsid w:val="72864BF7"/>
    <w:rsid w:val="729023FC"/>
    <w:rsid w:val="73C0646E"/>
    <w:rsid w:val="73CD76DD"/>
    <w:rsid w:val="742222F5"/>
    <w:rsid w:val="74476126"/>
    <w:rsid w:val="74696ABC"/>
    <w:rsid w:val="74706664"/>
    <w:rsid w:val="747F3682"/>
    <w:rsid w:val="749C4185"/>
    <w:rsid w:val="74B80EF1"/>
    <w:rsid w:val="75067759"/>
    <w:rsid w:val="752E6DCD"/>
    <w:rsid w:val="7551380D"/>
    <w:rsid w:val="75600BE5"/>
    <w:rsid w:val="7564475C"/>
    <w:rsid w:val="7583797F"/>
    <w:rsid w:val="759E0385"/>
    <w:rsid w:val="75D20F1D"/>
    <w:rsid w:val="75DA2C18"/>
    <w:rsid w:val="75E65D3C"/>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1C18AA"/>
    <w:rsid w:val="78775729"/>
    <w:rsid w:val="78A1161B"/>
    <w:rsid w:val="78A42DB0"/>
    <w:rsid w:val="78A656AB"/>
    <w:rsid w:val="78B2245C"/>
    <w:rsid w:val="78E172CC"/>
    <w:rsid w:val="78EA1D1F"/>
    <w:rsid w:val="7904172F"/>
    <w:rsid w:val="790F7E27"/>
    <w:rsid w:val="792A231A"/>
    <w:rsid w:val="79316829"/>
    <w:rsid w:val="79434607"/>
    <w:rsid w:val="797C79B2"/>
    <w:rsid w:val="797E66A9"/>
    <w:rsid w:val="798518A4"/>
    <w:rsid w:val="79A97383"/>
    <w:rsid w:val="79B02065"/>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1CC9"/>
    <w:rsid w:val="7D5429C0"/>
    <w:rsid w:val="7D6E6D43"/>
    <w:rsid w:val="7DB57A34"/>
    <w:rsid w:val="7DCE3AB0"/>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262"/>
    <w:qFormat/>
    <w:uiPriority w:val="0"/>
    <w:pPr>
      <w:spacing w:line="480" w:lineRule="exact"/>
      <w:ind w:firstLine="480" w:firstLineChars="200"/>
    </w:pPr>
    <w:rPr>
      <w:rFonts w:ascii="宋体" w:hAnsi="宋体"/>
      <w:sz w:val="24"/>
    </w:rPr>
  </w:style>
  <w:style w:type="paragraph" w:styleId="3">
    <w:name w:val="Body Text First Indent 2"/>
    <w:basedOn w:val="2"/>
    <w:link w:val="118"/>
    <w:qFormat/>
    <w:uiPriority w:val="0"/>
    <w:pPr>
      <w:adjustRightInd/>
      <w:spacing w:after="120" w:line="240" w:lineRule="auto"/>
      <w:ind w:left="420" w:leftChars="200" w:firstLine="210"/>
    </w:pPr>
    <w:rPr>
      <w:sz w:val="21"/>
    </w:rPr>
  </w:style>
  <w:style w:type="paragraph" w:styleId="7">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6"/>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199"/>
    <w:qFormat/>
    <w:uiPriority w:val="0"/>
    <w:pPr>
      <w:shd w:val="clear" w:color="auto" w:fill="000080"/>
    </w:pPr>
  </w:style>
  <w:style w:type="paragraph" w:styleId="21">
    <w:name w:val="annotation text"/>
    <w:basedOn w:val="1"/>
    <w:link w:val="341"/>
    <w:qFormat/>
    <w:uiPriority w:val="99"/>
    <w:pPr>
      <w:jc w:val="left"/>
    </w:pPr>
  </w:style>
  <w:style w:type="paragraph" w:styleId="22">
    <w:name w:val="Salutation"/>
    <w:basedOn w:val="1"/>
    <w:next w:val="1"/>
    <w:link w:val="295"/>
    <w:qFormat/>
    <w:uiPriority w:val="0"/>
    <w:rPr>
      <w:rFonts w:ascii="仿宋_GB2312" w:eastAsia="仿宋_GB2312"/>
      <w:sz w:val="28"/>
      <w:szCs w:val="20"/>
    </w:rPr>
  </w:style>
  <w:style w:type="paragraph" w:styleId="23">
    <w:name w:val="Body Text 3"/>
    <w:basedOn w:val="1"/>
    <w:link w:val="327"/>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1"/>
    <w:link w:val="427"/>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3"/>
    <w:qFormat/>
    <w:uiPriority w:val="0"/>
    <w:rPr>
      <w:b/>
      <w:bCs/>
    </w:rPr>
  </w:style>
  <w:style w:type="paragraph" w:styleId="61">
    <w:name w:val="Body Text First Indent"/>
    <w:basedOn w:val="25"/>
    <w:next w:val="1"/>
    <w:link w:val="318"/>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字符"/>
    <w:link w:val="60"/>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文本首行缩进 2 字符"/>
    <w:link w:val="3"/>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字符"/>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字符"/>
    <w:link w:val="10"/>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5"/>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字符"/>
    <w:link w:val="36"/>
    <w:qFormat/>
    <w:uiPriority w:val="0"/>
    <w:rPr>
      <w:rFonts w:ascii="宋体"/>
      <w:kern w:val="2"/>
      <w:sz w:val="24"/>
      <w:szCs w:val="21"/>
      <w:lang w:val="zh-CN"/>
    </w:rPr>
  </w:style>
  <w:style w:type="character" w:customStyle="1" w:styleId="179">
    <w:name w:val="标题 9 字符"/>
    <w:link w:val="13"/>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99"/>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字符1"/>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7"/>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字符"/>
    <w:link w:val="20"/>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字符"/>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8"/>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字符"/>
    <w:link w:val="18"/>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字符1"/>
    <w:link w:val="2"/>
    <w:qFormat/>
    <w:uiPriority w:val="0"/>
    <w:rPr>
      <w:rFonts w:ascii="宋体" w:hAnsi="宋体"/>
      <w:kern w:val="2"/>
      <w:sz w:val="24"/>
      <w:szCs w:val="24"/>
    </w:rPr>
  </w:style>
  <w:style w:type="character" w:customStyle="1" w:styleId="263">
    <w:name w:val="font01"/>
    <w:basedOn w:val="69"/>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字符1"/>
    <w:link w:val="4"/>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字符"/>
    <w:link w:val="59"/>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字符"/>
    <w:link w:val="9"/>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字符"/>
    <w:link w:val="22"/>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字符"/>
    <w:link w:val="57"/>
    <w:qFormat/>
    <w:uiPriority w:val="0"/>
    <w:rPr>
      <w:rFonts w:ascii="黑体" w:hAnsi="Courier New" w:eastAsia="黑体"/>
    </w:rPr>
  </w:style>
  <w:style w:type="character" w:customStyle="1" w:styleId="299">
    <w:name w:val="正文文本 2 字符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8"/>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字符"/>
    <w:link w:val="11"/>
    <w:qFormat/>
    <w:uiPriority w:val="0"/>
    <w:rPr>
      <w:b/>
      <w:bCs/>
      <w:kern w:val="2"/>
      <w:sz w:val="24"/>
      <w:szCs w:val="24"/>
    </w:rPr>
  </w:style>
  <w:style w:type="character" w:customStyle="1" w:styleId="305">
    <w:name w:val="正文文本缩进 2 字符"/>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字符"/>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文本首行缩进 字符"/>
    <w:link w:val="61"/>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字符1"/>
    <w:link w:val="8"/>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字符"/>
    <w:link w:val="23"/>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字符1"/>
    <w:link w:val="21"/>
    <w:qFormat/>
    <w:uiPriority w:val="0"/>
    <w:rPr>
      <w:kern w:val="2"/>
      <w:sz w:val="21"/>
      <w:szCs w:val="24"/>
    </w:rPr>
  </w:style>
  <w:style w:type="character" w:customStyle="1" w:styleId="342">
    <w:name w:val="签名 字符"/>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12"/>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字符"/>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字符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字符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156"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7"/>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8"/>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312"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5"/>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spacing w:before="0" w:after="0"/>
      <w:outlineLvl w:val="5"/>
    </w:pPr>
  </w:style>
  <w:style w:type="paragraph" w:customStyle="1" w:styleId="471">
    <w:name w:val="5级标题"/>
    <w:basedOn w:val="47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5"/>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6"/>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9"/>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6"/>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8"/>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5"/>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156"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4"/>
    <w:qFormat/>
    <w:uiPriority w:val="0"/>
    <w:pPr>
      <w:tabs>
        <w:tab w:val="left" w:pos="840"/>
      </w:tabs>
      <w:adjustRightInd/>
      <w:ind w:left="840" w:hanging="420"/>
    </w:pPr>
  </w:style>
  <w:style w:type="paragraph" w:customStyle="1" w:styleId="623">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0" w:beforeLines="0" w:after="0" w:afterLines="0"/>
      <w:ind w:left="1680"/>
      <w:outlineLvl w:val="2"/>
    </w:pPr>
  </w:style>
  <w:style w:type="paragraph" w:customStyle="1" w:styleId="655">
    <w:name w:val="章标题"/>
    <w:next w:val="6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8"/>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6"/>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0"/>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4"/>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9"/>
    <w:next w:val="1"/>
    <w:qFormat/>
    <w:uiPriority w:val="0"/>
    <w:pPr>
      <w:tabs>
        <w:tab w:val="left" w:pos="1080"/>
      </w:tabs>
      <w:ind w:left="1080" w:hanging="1080"/>
    </w:pPr>
  </w:style>
  <w:style w:type="paragraph" w:customStyle="1" w:styleId="894">
    <w:name w:val="数字标题1"/>
    <w:basedOn w:val="4"/>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8"/>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51"/>
    <w:basedOn w:val="69"/>
    <w:qFormat/>
    <w:uiPriority w:val="0"/>
    <w:rPr>
      <w:rFonts w:hint="eastAsia" w:ascii="宋体" w:hAnsi="宋体" w:eastAsia="宋体" w:cs="宋体"/>
      <w:color w:val="000000"/>
      <w:sz w:val="32"/>
      <w:szCs w:val="32"/>
      <w:u w:val="none"/>
    </w:rPr>
  </w:style>
  <w:style w:type="paragraph" w:customStyle="1" w:styleId="963">
    <w:name w:val="pa-6"/>
    <w:basedOn w:val="1"/>
    <w:qFormat/>
    <w:uiPriority w:val="0"/>
    <w:pPr>
      <w:widowControl/>
      <w:spacing w:line="320" w:lineRule="atLeast"/>
      <w:ind w:firstLine="560"/>
    </w:pPr>
    <w:rPr>
      <w:rFonts w:ascii="宋体" w:hAnsi="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1" Type="http://schemas.openxmlformats.org/officeDocument/2006/relationships/fontTable" Target="fontTable.xml"/><Relationship Id="rId170" Type="http://schemas.openxmlformats.org/officeDocument/2006/relationships/customXml" Target="../customXml/item2.xml"/><Relationship Id="rId17" Type="http://schemas.openxmlformats.org/officeDocument/2006/relationships/header" Target="header8.xml"/><Relationship Id="rId169" Type="http://schemas.openxmlformats.org/officeDocument/2006/relationships/numbering" Target="numbering.xml"/><Relationship Id="rId168" Type="http://schemas.openxmlformats.org/officeDocument/2006/relationships/customXml" Target="../customXml/item1.xml"/><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72</Pages>
  <Words>6057</Words>
  <Characters>34530</Characters>
  <Lines>287</Lines>
  <Paragraphs>81</Paragraphs>
  <TotalTime>3</TotalTime>
  <ScaleCrop>false</ScaleCrop>
  <LinksUpToDate>false</LinksUpToDate>
  <CharactersWithSpaces>40506</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杨颖</cp:lastModifiedBy>
  <cp:lastPrinted>2021-12-27T03:06:00Z</cp:lastPrinted>
  <dcterms:modified xsi:type="dcterms:W3CDTF">2022-11-08T02:11:12Z</dcterms:modified>
  <dc:title>杭州市市民卡扩大发卡工程</dc:title>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