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bCs/>
          <w:w w:val="95"/>
          <w:sz w:val="48"/>
          <w:szCs w:val="48"/>
          <w:lang w:val="zh-CN"/>
        </w:rPr>
      </w:pPr>
      <w:r>
        <w:rPr>
          <w:rFonts w:hint="eastAsia" w:ascii="仿宋" w:hAnsi="仿宋" w:eastAsia="仿宋" w:cs="仿宋"/>
          <w:b/>
          <w:bCs/>
          <w:w w:val="95"/>
          <w:sz w:val="48"/>
          <w:szCs w:val="48"/>
          <w:lang w:val="zh-CN"/>
        </w:rPr>
        <w:t>杭州市临安区人民检察院数智检察指挥中心（情报中心）、实验室建设项目</w:t>
      </w:r>
    </w:p>
    <w:p>
      <w:pPr>
        <w:adjustRightInd/>
        <w:spacing w:line="360" w:lineRule="auto"/>
        <w:jc w:val="center"/>
        <w:rPr>
          <w:rFonts w:hint="eastAsia"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hint="eastAsia" w:ascii="仿宋" w:hAnsi="仿宋" w:eastAsia="仿宋" w:cs="仿宋"/>
          <w:sz w:val="30"/>
          <w:szCs w:val="30"/>
        </w:rPr>
      </w:pPr>
    </w:p>
    <w:p>
      <w:pPr>
        <w:snapToGrid w:val="0"/>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rPr>
        <w:t>编号:</w:t>
      </w:r>
      <w:r>
        <w:rPr>
          <w:rFonts w:hint="eastAsia" w:ascii="仿宋" w:hAnsi="仿宋" w:eastAsia="仿宋" w:cs="仿宋"/>
          <w:sz w:val="30"/>
          <w:szCs w:val="30"/>
          <w:lang w:val="en-US" w:eastAsia="zh-CN"/>
        </w:rPr>
        <w:t>LZC-CS-2022-11078</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pStyle w:val="23"/>
        <w:widowControl w:val="0"/>
        <w:spacing w:before="0" w:beforeAutospacing="0" w:after="0" w:afterAutospacing="0" w:line="360" w:lineRule="auto"/>
        <w:jc w:val="both"/>
        <w:textAlignment w:val="auto"/>
        <w:rPr>
          <w:rFonts w:hint="eastAsia" w:ascii="仿宋" w:hAnsi="仿宋" w:eastAsia="仿宋" w:cs="仿宋"/>
          <w:kern w:val="2"/>
        </w:rPr>
      </w:pPr>
    </w:p>
    <w:p>
      <w:pPr>
        <w:spacing w:line="360" w:lineRule="auto"/>
        <w:jc w:val="center"/>
        <w:rPr>
          <w:rFonts w:hint="eastAsia" w:ascii="仿宋" w:hAnsi="仿宋" w:eastAsia="仿宋" w:cs="仿宋"/>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杭州市临安区人民检察院</w:t>
      </w:r>
    </w:p>
    <w:p>
      <w:pPr>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杭州市公共资源交易中心</w:t>
      </w:r>
      <w:r>
        <w:rPr>
          <w:rFonts w:hint="eastAsia" w:ascii="仿宋" w:hAnsi="仿宋" w:eastAsia="仿宋" w:cs="仿宋"/>
          <w:bCs/>
          <w:sz w:val="32"/>
          <w:szCs w:val="32"/>
          <w:highlight w:val="none"/>
          <w:lang w:eastAsia="zh-CN"/>
        </w:rPr>
        <w:t>临安分中心</w:t>
      </w:r>
    </w:p>
    <w:p>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eastAsia="zh-CN"/>
        </w:rPr>
        <w:t>十一</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eastAsia="zh-CN"/>
        </w:rPr>
        <w:t>十一</w:t>
      </w:r>
      <w:r>
        <w:rPr>
          <w:rFonts w:hint="eastAsia" w:ascii="仿宋" w:hAnsi="仿宋" w:eastAsia="仿宋" w:cs="仿宋"/>
          <w:bCs/>
          <w:sz w:val="32"/>
          <w:szCs w:val="32"/>
          <w:highlight w:val="none"/>
        </w:rPr>
        <w:t>日</w:t>
      </w:r>
    </w:p>
    <w:p>
      <w:pPr>
        <w:snapToGrid w:val="0"/>
        <w:spacing w:line="360" w:lineRule="auto"/>
        <w:jc w:val="center"/>
        <w:rPr>
          <w:rFonts w:hint="eastAsia" w:ascii="仿宋" w:hAnsi="仿宋" w:eastAsia="仿宋" w:cs="仿宋"/>
          <w:bCs/>
          <w:sz w:val="32"/>
          <w:szCs w:val="32"/>
          <w:highlight w:val="green"/>
        </w:rPr>
      </w:pPr>
    </w:p>
    <w:p>
      <w:pPr>
        <w:spacing w:line="360" w:lineRule="auto"/>
        <w:jc w:val="center"/>
        <w:rPr>
          <w:rFonts w:hint="eastAsia" w:ascii="仿宋" w:hAnsi="仿宋" w:eastAsia="仿宋" w:cs="仿宋"/>
          <w:sz w:val="24"/>
        </w:rPr>
      </w:pPr>
      <w:r>
        <w:rPr>
          <w:rFonts w:hint="eastAsia" w:ascii="仿宋" w:hAnsi="仿宋" w:eastAsia="仿宋" w:cs="仿宋"/>
          <w:sz w:val="24"/>
        </w:rPr>
        <w:br w:type="page"/>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评审方法及评分标准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549" w:firstLineChars="229"/>
        <w:rPr>
          <w:rFonts w:hint="eastAsia" w:ascii="仿宋" w:hAnsi="仿宋" w:eastAsia="仿宋" w:cs="仿宋"/>
          <w:sz w:val="24"/>
        </w:rPr>
      </w:pPr>
      <w:bookmarkStart w:id="0" w:name="_Hlt91233176"/>
      <w:bookmarkEnd w:id="0"/>
    </w:p>
    <w:p>
      <w:pPr>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9"/>
        <w:rPr>
          <w:rFonts w:hint="eastAsia" w:ascii="仿宋" w:hAnsi="仿宋" w:eastAsia="仿宋" w:cs="仿宋"/>
        </w:rPr>
      </w:pPr>
    </w:p>
    <w:p>
      <w:pPr>
        <w:pStyle w:val="8"/>
        <w:rPr>
          <w:rFonts w:hint="eastAsia" w:ascii="仿宋" w:hAnsi="仿宋" w:eastAsia="仿宋" w:cs="仿宋"/>
        </w:rPr>
      </w:pPr>
    </w:p>
    <w:p>
      <w:pPr>
        <w:pStyle w:val="9"/>
        <w:rPr>
          <w:rFonts w:hint="eastAsia" w:ascii="仿宋" w:hAnsi="仿宋" w:eastAsia="仿宋" w:cs="仿宋"/>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邀请供应商</w:t>
      </w:r>
    </w:p>
    <w:p>
      <w:pPr>
        <w:adjustRightInd/>
        <w:spacing w:line="360" w:lineRule="auto"/>
        <w:jc w:val="center"/>
        <w:outlineLvl w:val="0"/>
        <w:rPr>
          <w:rFonts w:hint="eastAsia" w:ascii="仿宋" w:hAnsi="仿宋" w:eastAsia="仿宋" w:cs="仿宋"/>
        </w:rPr>
      </w:pPr>
      <w:r>
        <w:rPr>
          <w:rFonts w:hint="eastAsia" w:ascii="仿宋" w:hAnsi="仿宋" w:eastAsia="仿宋" w:cs="仿宋"/>
          <w:b/>
          <w:sz w:val="36"/>
          <w:szCs w:val="20"/>
        </w:rPr>
        <w:t>竞争性磋商邀请公告</w:t>
      </w:r>
    </w:p>
    <w:p>
      <w:pPr>
        <w:pStyle w:val="5"/>
        <w:numPr>
          <w:ilvl w:val="0"/>
          <w:numId w:val="0"/>
        </w:numPr>
        <w:ind w:left="432" w:hanging="432"/>
        <w:rPr>
          <w:rFonts w:hint="eastAsia" w:ascii="仿宋" w:hAnsi="仿宋" w:eastAsia="仿宋" w:cs="仿宋"/>
          <w:sz w:val="24"/>
          <w:szCs w:val="24"/>
        </w:rPr>
      </w:pPr>
      <w:bookmarkStart w:id="1" w:name="_Toc35393629"/>
      <w:bookmarkStart w:id="2" w:name="_Toc35393798"/>
      <w:bookmarkStart w:id="3" w:name="_Toc28359089"/>
      <w:bookmarkStart w:id="4" w:name="_Toc28359012"/>
      <w:r>
        <w:rPr>
          <w:rFonts w:hint="eastAsia" w:ascii="仿宋" w:hAnsi="仿宋" w:eastAsia="仿宋" w:cs="仿宋"/>
          <w:sz w:val="24"/>
          <w:szCs w:val="24"/>
        </w:rPr>
        <w:t>一、项目基本情况</w:t>
      </w:r>
      <w:bookmarkEnd w:id="1"/>
      <w:bookmarkEnd w:id="2"/>
      <w:bookmarkEnd w:id="3"/>
      <w:bookmarkEnd w:id="4"/>
    </w:p>
    <w:p>
      <w:p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rPr>
        <w:t>项目编号：</w:t>
      </w:r>
      <w:r>
        <w:rPr>
          <w:rFonts w:hint="eastAsia" w:ascii="仿宋" w:hAnsi="仿宋" w:eastAsia="仿宋" w:cs="仿宋"/>
          <w:b w:val="0"/>
          <w:bCs w:val="0"/>
          <w:sz w:val="24"/>
          <w:lang w:val="en-US" w:eastAsia="zh-CN"/>
        </w:rPr>
        <w:t>LZC-CS-2022-11078</w:t>
      </w:r>
    </w:p>
    <w:p>
      <w:pPr>
        <w:spacing w:line="360" w:lineRule="auto"/>
        <w:ind w:firstLine="482" w:firstLineChars="200"/>
        <w:rPr>
          <w:rFonts w:hint="eastAsia" w:ascii="仿宋" w:hAnsi="仿宋" w:eastAsia="仿宋" w:cs="仿宋"/>
          <w:b w:val="0"/>
          <w:bCs w:val="0"/>
          <w:sz w:val="24"/>
        </w:rPr>
      </w:pPr>
      <w:r>
        <w:rPr>
          <w:rFonts w:hint="eastAsia" w:ascii="仿宋" w:hAnsi="仿宋" w:eastAsia="仿宋" w:cs="仿宋"/>
          <w:b/>
          <w:bCs/>
          <w:sz w:val="24"/>
        </w:rPr>
        <w:t>项目名称：</w:t>
      </w:r>
      <w:r>
        <w:rPr>
          <w:rFonts w:hint="eastAsia" w:ascii="仿宋" w:hAnsi="仿宋" w:eastAsia="仿宋" w:cs="仿宋"/>
          <w:b w:val="0"/>
          <w:bCs w:val="0"/>
          <w:sz w:val="24"/>
        </w:rPr>
        <w:t>杭州市临安区人民检察院数智检察指挥中心（情报中心）、实验室建设项目</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采购方式：竞争性磋商</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rPr>
        <w:t>预算金额（元）：</w:t>
      </w:r>
      <w:r>
        <w:rPr>
          <w:rFonts w:hint="eastAsia" w:ascii="仿宋" w:hAnsi="仿宋" w:eastAsia="仿宋" w:cs="仿宋"/>
          <w:b/>
          <w:bCs/>
          <w:sz w:val="24"/>
          <w:lang w:val="en-US" w:eastAsia="zh-CN"/>
        </w:rPr>
        <w:t>1540000</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最高限价（元）：</w:t>
      </w:r>
      <w:r>
        <w:rPr>
          <w:rFonts w:hint="eastAsia" w:ascii="仿宋" w:hAnsi="仿宋" w:eastAsia="仿宋" w:cs="仿宋"/>
          <w:b/>
          <w:bCs/>
          <w:sz w:val="24"/>
          <w:highlight w:val="none"/>
          <w:lang w:val="en-US" w:eastAsia="zh-CN"/>
        </w:rPr>
        <w:t>1540000</w:t>
      </w:r>
    </w:p>
    <w:p>
      <w:pPr>
        <w:widowControl/>
        <w:adjustRightInd/>
        <w:spacing w:line="360" w:lineRule="auto"/>
        <w:ind w:firstLine="482" w:firstLineChars="200"/>
        <w:jc w:val="left"/>
        <w:rPr>
          <w:rFonts w:hint="eastAsia" w:ascii="仿宋" w:hAnsi="仿宋" w:eastAsia="仿宋" w:cs="仿宋"/>
          <w:b/>
          <w:bCs/>
          <w:sz w:val="24"/>
          <w:u w:val="single"/>
        </w:rPr>
      </w:pPr>
      <w:r>
        <w:rPr>
          <w:rFonts w:hint="eastAsia" w:ascii="仿宋" w:hAnsi="仿宋" w:eastAsia="仿宋" w:cs="仿宋"/>
          <w:b/>
          <w:bCs/>
          <w:sz w:val="24"/>
        </w:rPr>
        <w:t>采购需求：</w:t>
      </w:r>
      <w:r>
        <w:rPr>
          <w:rFonts w:hint="eastAsia" w:ascii="仿宋" w:hAnsi="仿宋" w:eastAsia="仿宋" w:cs="仿宋"/>
          <w:b w:val="0"/>
          <w:bCs w:val="0"/>
          <w:sz w:val="24"/>
        </w:rPr>
        <w:t>临安区人民检察院</w:t>
      </w:r>
      <w:r>
        <w:rPr>
          <w:rFonts w:hint="eastAsia" w:ascii="仿宋" w:hAnsi="仿宋" w:eastAsia="仿宋" w:cs="仿宋"/>
          <w:b w:val="0"/>
          <w:bCs w:val="0"/>
          <w:sz w:val="24"/>
          <w:lang w:val="en-US" w:eastAsia="zh-CN"/>
        </w:rPr>
        <w:t>数智检察</w:t>
      </w:r>
      <w:r>
        <w:rPr>
          <w:rFonts w:hint="eastAsia" w:ascii="仿宋" w:hAnsi="仿宋" w:eastAsia="仿宋" w:cs="仿宋"/>
          <w:b w:val="0"/>
          <w:bCs w:val="0"/>
          <w:sz w:val="24"/>
        </w:rPr>
        <w:t>指挥中心</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情报中心</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实验室</w:t>
      </w:r>
      <w:r>
        <w:rPr>
          <w:rFonts w:hint="eastAsia" w:ascii="仿宋" w:hAnsi="仿宋" w:eastAsia="仿宋" w:cs="仿宋"/>
          <w:b w:val="0"/>
          <w:bCs w:val="0"/>
          <w:sz w:val="24"/>
        </w:rPr>
        <w:t>建设。详见</w:t>
      </w:r>
      <w:r>
        <w:rPr>
          <w:rFonts w:hint="eastAsia" w:ascii="仿宋" w:hAnsi="仿宋" w:eastAsia="仿宋" w:cs="仿宋"/>
          <w:b w:val="0"/>
          <w:bCs w:val="0"/>
          <w:sz w:val="24"/>
          <w:lang w:val="en-US" w:eastAsia="zh-CN"/>
        </w:rPr>
        <w:t>采购</w:t>
      </w:r>
      <w:r>
        <w:rPr>
          <w:rFonts w:hint="eastAsia" w:ascii="仿宋" w:hAnsi="仿宋" w:eastAsia="仿宋" w:cs="仿宋"/>
          <w:b w:val="0"/>
          <w:bCs w:val="0"/>
          <w:sz w:val="24"/>
        </w:rPr>
        <w:t>文件第三部分采购需求。</w:t>
      </w:r>
    </w:p>
    <w:p>
      <w:pPr>
        <w:spacing w:line="360" w:lineRule="auto"/>
        <w:ind w:firstLine="482" w:firstLineChars="200"/>
        <w:rPr>
          <w:rFonts w:hint="eastAsia" w:ascii="仿宋" w:hAnsi="仿宋" w:eastAsia="仿宋" w:cs="仿宋"/>
          <w:b w:val="0"/>
          <w:bCs w:val="0"/>
          <w:sz w:val="24"/>
          <w:u w:val="single"/>
        </w:rPr>
      </w:pPr>
      <w:r>
        <w:rPr>
          <w:rFonts w:hint="eastAsia" w:ascii="仿宋" w:hAnsi="仿宋" w:eastAsia="仿宋" w:cs="仿宋"/>
          <w:b/>
          <w:bCs/>
          <w:sz w:val="24"/>
        </w:rPr>
        <w:t>合同履行期限：</w:t>
      </w:r>
      <w:r>
        <w:rPr>
          <w:rFonts w:hint="eastAsia" w:ascii="仿宋" w:hAnsi="仿宋" w:eastAsia="仿宋" w:cs="仿宋"/>
          <w:b w:val="0"/>
          <w:bCs w:val="0"/>
          <w:sz w:val="24"/>
        </w:rPr>
        <w:t>合同签订生效后30天内设备全部到场安装调试完成，正常运行后，通过初验；合同签订生效后45天内，通过终验</w:t>
      </w:r>
      <w:r>
        <w:rPr>
          <w:rFonts w:hint="eastAsia" w:ascii="仿宋" w:hAnsi="仿宋" w:eastAsia="仿宋" w:cs="仿宋"/>
          <w:b w:val="0"/>
          <w:bCs w:val="0"/>
          <w:sz w:val="24"/>
          <w:lang w:eastAsia="zh-CN"/>
        </w:rPr>
        <w:t>。</w:t>
      </w:r>
    </w:p>
    <w:p>
      <w:pPr>
        <w:pStyle w:val="7"/>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bookmarkStart w:id="5" w:name="_Toc28359090"/>
      <w:bookmarkStart w:id="6" w:name="_Toc35393630"/>
      <w:bookmarkStart w:id="7" w:name="_Toc35393799"/>
      <w:bookmarkStart w:id="8" w:name="_Toc28359013"/>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pPr>
        <w:pStyle w:val="5"/>
        <w:numPr>
          <w:ilvl w:val="0"/>
          <w:numId w:val="0"/>
        </w:numPr>
        <w:ind w:left="432" w:hanging="432"/>
        <w:rPr>
          <w:rFonts w:hint="eastAsia" w:ascii="仿宋" w:hAnsi="仿宋" w:eastAsia="仿宋" w:cs="仿宋"/>
          <w:i/>
          <w:iCs/>
          <w:sz w:val="24"/>
          <w:u w:val="single"/>
        </w:rPr>
      </w:pPr>
      <w:r>
        <w:rPr>
          <w:rFonts w:hint="eastAsia" w:ascii="仿宋" w:hAnsi="仿宋" w:eastAsia="仿宋" w:cs="仿宋"/>
          <w:sz w:val="24"/>
          <w:szCs w:val="24"/>
        </w:rPr>
        <w:t>二、申请人的资格要求：</w:t>
      </w:r>
      <w:bookmarkEnd w:id="5"/>
      <w:bookmarkEnd w:id="6"/>
      <w:bookmarkEnd w:id="7"/>
      <w:bookmarkEnd w:id="8"/>
      <w:bookmarkStart w:id="9" w:name="_Toc28359014"/>
      <w:bookmarkStart w:id="10" w:name="_Toc28359091"/>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bookmarkStart w:id="11" w:name="_Toc35393631"/>
      <w:bookmarkStart w:id="12" w:name="_Toc35393800"/>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无；</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 w:hAnsi="仿宋" w:eastAsia="仿宋" w:cs="仿宋"/>
          <w:color w:val="000000" w:themeColor="text1"/>
          <w:sz w:val="24"/>
          <w:highlight w:val="none"/>
          <w:u w:val="singl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 w:hAnsi="仿宋" w:eastAsia="仿宋" w:cs="仿宋"/>
          <w:color w:val="000000" w:themeColor="text1"/>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5"/>
        <w:numPr>
          <w:ilvl w:val="0"/>
          <w:numId w:val="0"/>
        </w:numPr>
        <w:ind w:left="432" w:hanging="432"/>
        <w:rPr>
          <w:rFonts w:hint="eastAsia" w:ascii="仿宋" w:hAnsi="仿宋" w:eastAsia="仿宋" w:cs="仿宋"/>
          <w:sz w:val="24"/>
          <w:szCs w:val="24"/>
          <w:highlight w:val="none"/>
        </w:rPr>
      </w:pPr>
      <w:r>
        <w:rPr>
          <w:rFonts w:hint="eastAsia" w:ascii="仿宋" w:hAnsi="仿宋" w:eastAsia="仿宋" w:cs="仿宋"/>
          <w:sz w:val="24"/>
          <w:szCs w:val="24"/>
        </w:rPr>
        <w:t>三、获取采</w:t>
      </w:r>
      <w:r>
        <w:rPr>
          <w:rFonts w:hint="eastAsia" w:ascii="仿宋" w:hAnsi="仿宋" w:eastAsia="仿宋" w:cs="仿宋"/>
          <w:sz w:val="24"/>
          <w:szCs w:val="24"/>
          <w:highlight w:val="none"/>
        </w:rPr>
        <w:t>购文件</w:t>
      </w:r>
      <w:bookmarkEnd w:id="9"/>
      <w:bookmarkEnd w:id="10"/>
      <w:bookmarkEnd w:id="11"/>
      <w:bookmarkEnd w:id="12"/>
    </w:p>
    <w:p>
      <w:pPr>
        <w:spacing w:line="360" w:lineRule="auto"/>
        <w:ind w:firstLine="54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22</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540"/>
        <w:rPr>
          <w:rFonts w:hint="eastAsia" w:ascii="仿宋" w:hAnsi="仿宋" w:eastAsia="仿宋" w:cs="仿宋"/>
          <w:sz w:val="28"/>
          <w:szCs w:val="28"/>
          <w:highlight w:val="none"/>
          <w:u w:val="single"/>
        </w:rPr>
      </w:pPr>
      <w:r>
        <w:rPr>
          <w:rFonts w:hint="eastAsia" w:ascii="仿宋" w:hAnsi="仿宋" w:eastAsia="仿宋" w:cs="仿宋"/>
          <w:b/>
          <w:sz w:val="24"/>
          <w:highlight w:val="none"/>
        </w:rPr>
        <w:t>地点：浙江政府采购网（http://zfcg.czt.zj.gov.cn）</w:t>
      </w:r>
    </w:p>
    <w:p>
      <w:pPr>
        <w:spacing w:line="360" w:lineRule="auto"/>
        <w:ind w:firstLine="540"/>
        <w:rPr>
          <w:rFonts w:hint="eastAsia" w:ascii="仿宋" w:hAnsi="仿宋" w:eastAsia="仿宋" w:cs="仿宋"/>
          <w:sz w:val="24"/>
          <w:highlight w:val="none"/>
          <w:u w:val="single"/>
        </w:rPr>
      </w:pPr>
      <w:r>
        <w:rPr>
          <w:rFonts w:hint="eastAsia" w:ascii="仿宋" w:hAnsi="仿宋" w:eastAsia="仿宋" w:cs="仿宋"/>
          <w:b/>
          <w:sz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hint="eastAsia" w:ascii="仿宋" w:hAnsi="仿宋" w:eastAsia="仿宋" w:cs="仿宋"/>
          <w:sz w:val="28"/>
          <w:szCs w:val="28"/>
          <w:highlight w:val="none"/>
          <w:lang w:eastAsia="zh-CN"/>
        </w:rPr>
      </w:pPr>
      <w:r>
        <w:rPr>
          <w:rFonts w:hint="eastAsia" w:ascii="仿宋" w:hAnsi="仿宋" w:eastAsia="仿宋" w:cs="仿宋"/>
          <w:b/>
          <w:sz w:val="24"/>
          <w:highlight w:val="none"/>
        </w:rPr>
        <w:t>售价：</w:t>
      </w:r>
      <w:r>
        <w:rPr>
          <w:rFonts w:hint="eastAsia" w:ascii="仿宋" w:hAnsi="仿宋" w:eastAsia="仿宋" w:cs="仿宋"/>
          <w:sz w:val="24"/>
          <w:highlight w:val="none"/>
          <w:lang w:val="en-US" w:eastAsia="zh-CN"/>
        </w:rPr>
        <w:t>0</w:t>
      </w:r>
    </w:p>
    <w:p>
      <w:pPr>
        <w:pStyle w:val="5"/>
        <w:numPr>
          <w:ilvl w:val="0"/>
          <w:numId w:val="0"/>
        </w:numPr>
        <w:ind w:left="432" w:hanging="432"/>
        <w:rPr>
          <w:rFonts w:hint="eastAsia" w:ascii="仿宋" w:hAnsi="仿宋" w:eastAsia="仿宋" w:cs="仿宋"/>
          <w:sz w:val="24"/>
          <w:szCs w:val="24"/>
          <w:highlight w:val="none"/>
        </w:rPr>
      </w:pPr>
      <w:bookmarkStart w:id="13" w:name="_Toc28359015"/>
      <w:bookmarkStart w:id="14" w:name="_Toc35393632"/>
      <w:bookmarkStart w:id="15" w:name="_Toc28359092"/>
      <w:bookmarkStart w:id="16" w:name="_Toc35393801"/>
      <w:r>
        <w:rPr>
          <w:rFonts w:hint="eastAsia" w:ascii="仿宋" w:hAnsi="仿宋" w:eastAsia="仿宋" w:cs="仿宋"/>
          <w:sz w:val="24"/>
          <w:szCs w:val="24"/>
          <w:highlight w:val="none"/>
        </w:rPr>
        <w:t>四、响应文件提交</w:t>
      </w:r>
      <w:bookmarkEnd w:id="13"/>
      <w:bookmarkEnd w:id="14"/>
      <w:bookmarkEnd w:id="15"/>
      <w:bookmarkEnd w:id="16"/>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11</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22</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13</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w:t>
      </w:r>
      <w:r>
        <w:rPr>
          <w:rFonts w:hint="eastAsia" w:ascii="仿宋" w:hAnsi="仿宋" w:eastAsia="仿宋" w:cs="仿宋"/>
          <w:bCs/>
          <w:sz w:val="24"/>
          <w:highlight w:val="none"/>
          <w:u w:val="single"/>
        </w:rPr>
        <w:t>0分00秒</w:t>
      </w:r>
      <w:r>
        <w:rPr>
          <w:rFonts w:hint="eastAsia" w:ascii="仿宋" w:hAnsi="仿宋" w:eastAsia="仿宋" w:cs="仿宋"/>
          <w:bCs/>
          <w:sz w:val="24"/>
          <w:highlight w:val="none"/>
        </w:rPr>
        <w:t>（北京时间）</w:t>
      </w:r>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 w:val="0"/>
          <w:bCs/>
          <w:sz w:val="24"/>
          <w:highlight w:val="none"/>
        </w:rPr>
        <w:t>政采云平台（</w:t>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HYPERLINK "https://www.zcygov.cn/" </w:instrText>
      </w:r>
      <w:r>
        <w:rPr>
          <w:rFonts w:hint="eastAsia" w:ascii="仿宋" w:hAnsi="仿宋" w:eastAsia="仿宋" w:cs="仿宋"/>
          <w:b w:val="0"/>
          <w:bCs/>
          <w:highlight w:val="none"/>
        </w:rPr>
        <w:fldChar w:fldCharType="separate"/>
      </w:r>
      <w:r>
        <w:rPr>
          <w:rStyle w:val="21"/>
          <w:rFonts w:hint="eastAsia" w:ascii="仿宋" w:hAnsi="仿宋" w:eastAsia="仿宋" w:cs="仿宋"/>
          <w:b w:val="0"/>
          <w:bCs/>
          <w:color w:val="auto"/>
          <w:kern w:val="2"/>
          <w:sz w:val="24"/>
          <w:szCs w:val="24"/>
          <w:highlight w:val="none"/>
        </w:rPr>
        <w:t>https://www.zcygov.cn/</w:t>
      </w:r>
      <w:r>
        <w:rPr>
          <w:rFonts w:hint="eastAsia" w:ascii="仿宋" w:hAnsi="仿宋" w:eastAsia="仿宋" w:cs="仿宋"/>
          <w:b w:val="0"/>
          <w:bCs/>
          <w:sz w:val="24"/>
          <w:highlight w:val="none"/>
        </w:rPr>
        <w:fldChar w:fldCharType="end"/>
      </w:r>
      <w:r>
        <w:rPr>
          <w:rFonts w:hint="eastAsia" w:ascii="仿宋" w:hAnsi="仿宋" w:eastAsia="仿宋" w:cs="仿宋"/>
          <w:b w:val="0"/>
          <w:bCs/>
          <w:sz w:val="24"/>
          <w:highlight w:val="none"/>
        </w:rPr>
        <w:t>）。</w:t>
      </w:r>
    </w:p>
    <w:p>
      <w:pPr>
        <w:pStyle w:val="5"/>
        <w:numPr>
          <w:ilvl w:val="0"/>
          <w:numId w:val="0"/>
        </w:numPr>
        <w:ind w:left="432" w:hanging="432"/>
        <w:rPr>
          <w:rFonts w:hint="eastAsia" w:ascii="仿宋" w:hAnsi="仿宋" w:eastAsia="仿宋" w:cs="仿宋"/>
          <w:sz w:val="24"/>
          <w:szCs w:val="24"/>
          <w:highlight w:val="none"/>
        </w:rPr>
      </w:pPr>
      <w:bookmarkStart w:id="17" w:name="_Toc28359016"/>
      <w:bookmarkStart w:id="18" w:name="_Toc35393802"/>
      <w:bookmarkStart w:id="19" w:name="_Toc28359093"/>
      <w:bookmarkStart w:id="20" w:name="_Toc35393633"/>
      <w:r>
        <w:rPr>
          <w:rFonts w:hint="eastAsia" w:ascii="仿宋" w:hAnsi="仿宋" w:eastAsia="仿宋" w:cs="仿宋"/>
          <w:sz w:val="24"/>
          <w:szCs w:val="24"/>
          <w:highlight w:val="none"/>
        </w:rPr>
        <w:t>五、</w:t>
      </w:r>
      <w:bookmarkEnd w:id="17"/>
      <w:bookmarkEnd w:id="18"/>
      <w:bookmarkEnd w:id="19"/>
      <w:bookmarkEnd w:id="20"/>
      <w:r>
        <w:rPr>
          <w:rFonts w:hint="eastAsia" w:ascii="仿宋" w:hAnsi="仿宋" w:eastAsia="仿宋" w:cs="仿宋"/>
          <w:sz w:val="24"/>
          <w:szCs w:val="24"/>
          <w:highlight w:val="none"/>
        </w:rPr>
        <w:t>开启响应文件时间与地点：</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bCs/>
          <w:sz w:val="24"/>
          <w:highlight w:val="none"/>
          <w:u w:val="single"/>
          <w:shd w:val="clear"/>
        </w:rPr>
        <w:t>年</w:t>
      </w:r>
      <w:r>
        <w:rPr>
          <w:rFonts w:hint="eastAsia" w:ascii="仿宋" w:hAnsi="仿宋" w:eastAsia="仿宋" w:cs="仿宋"/>
          <w:bCs/>
          <w:sz w:val="24"/>
          <w:highlight w:val="none"/>
          <w:u w:val="single"/>
          <w:shd w:val="clear"/>
          <w:lang w:val="en-US" w:eastAsia="zh-CN"/>
        </w:rPr>
        <w:t>11</w:t>
      </w:r>
      <w:r>
        <w:rPr>
          <w:rFonts w:hint="eastAsia" w:ascii="仿宋" w:hAnsi="仿宋" w:eastAsia="仿宋" w:cs="仿宋"/>
          <w:bCs/>
          <w:sz w:val="24"/>
          <w:highlight w:val="none"/>
          <w:u w:val="single"/>
          <w:shd w:val="clear"/>
        </w:rPr>
        <w:t>月</w:t>
      </w:r>
      <w:r>
        <w:rPr>
          <w:rFonts w:hint="eastAsia" w:ascii="仿宋" w:hAnsi="仿宋" w:eastAsia="仿宋" w:cs="仿宋"/>
          <w:bCs/>
          <w:sz w:val="24"/>
          <w:highlight w:val="none"/>
          <w:u w:val="single"/>
          <w:shd w:val="clear"/>
          <w:lang w:val="en-US" w:eastAsia="zh-CN"/>
        </w:rPr>
        <w:t>22</w:t>
      </w:r>
      <w:r>
        <w:rPr>
          <w:rFonts w:hint="eastAsia" w:ascii="仿宋" w:hAnsi="仿宋" w:eastAsia="仿宋" w:cs="仿宋"/>
          <w:bCs/>
          <w:sz w:val="24"/>
          <w:highlight w:val="none"/>
          <w:u w:val="single"/>
          <w:shd w:val="clear"/>
        </w:rPr>
        <w:t>日</w:t>
      </w:r>
      <w:r>
        <w:rPr>
          <w:rFonts w:hint="eastAsia" w:ascii="仿宋" w:hAnsi="仿宋" w:eastAsia="仿宋" w:cs="仿宋"/>
          <w:bCs/>
          <w:sz w:val="24"/>
          <w:highlight w:val="none"/>
          <w:u w:val="single"/>
          <w:shd w:val="clear"/>
          <w:lang w:val="en-US" w:eastAsia="zh-CN"/>
        </w:rPr>
        <w:t>13</w:t>
      </w:r>
      <w:r>
        <w:rPr>
          <w:rFonts w:hint="eastAsia" w:ascii="仿宋" w:hAnsi="仿宋" w:eastAsia="仿宋" w:cs="仿宋"/>
          <w:bCs/>
          <w:sz w:val="24"/>
          <w:highlight w:val="none"/>
          <w:u w:val="single"/>
          <w:shd w:val="clear"/>
        </w:rPr>
        <w:t>点</w:t>
      </w:r>
      <w:r>
        <w:rPr>
          <w:rFonts w:hint="eastAsia" w:ascii="仿宋" w:hAnsi="仿宋" w:eastAsia="仿宋" w:cs="仿宋"/>
          <w:bCs/>
          <w:sz w:val="24"/>
          <w:highlight w:val="none"/>
          <w:u w:val="single"/>
          <w:shd w:val="clear"/>
          <w:lang w:val="en-US" w:eastAsia="zh-CN"/>
        </w:rPr>
        <w:t>0</w:t>
      </w:r>
      <w:r>
        <w:rPr>
          <w:rFonts w:hint="eastAsia" w:ascii="仿宋" w:hAnsi="仿宋" w:eastAsia="仿宋" w:cs="仿宋"/>
          <w:bCs/>
          <w:sz w:val="24"/>
          <w:highlight w:val="none"/>
          <w:u w:val="single"/>
          <w:shd w:val="clear"/>
        </w:rPr>
        <w:t>0分00秒</w:t>
      </w:r>
      <w:r>
        <w:rPr>
          <w:rFonts w:hint="eastAsia" w:ascii="仿宋" w:hAnsi="仿宋" w:eastAsia="仿宋" w:cs="仿宋"/>
          <w:bCs/>
          <w:sz w:val="24"/>
          <w:highlight w:val="none"/>
          <w:shd w:val="clear"/>
        </w:rPr>
        <w:t>（北</w:t>
      </w:r>
      <w:r>
        <w:rPr>
          <w:rFonts w:hint="eastAsia" w:ascii="仿宋" w:hAnsi="仿宋" w:eastAsia="仿宋" w:cs="仿宋"/>
          <w:bCs/>
          <w:sz w:val="24"/>
        </w:rPr>
        <w:t>京时间）</w:t>
      </w:r>
    </w:p>
    <w:p>
      <w:pPr>
        <w:pStyle w:val="5"/>
        <w:numPr>
          <w:ilvl w:val="0"/>
          <w:numId w:val="0"/>
        </w:numPr>
        <w:ind w:firstLine="480" w:firstLineChars="200"/>
        <w:rPr>
          <w:rFonts w:hint="eastAsia" w:ascii="仿宋" w:hAnsi="仿宋" w:eastAsia="仿宋" w:cs="仿宋"/>
          <w:b w:val="0"/>
          <w:bCs w:val="0"/>
          <w:color w:val="auto"/>
          <w:sz w:val="24"/>
          <w:szCs w:val="24"/>
        </w:rPr>
      </w:pPr>
      <w:bookmarkStart w:id="21" w:name="_Toc35393634"/>
      <w:bookmarkStart w:id="22" w:name="_Toc35393803"/>
      <w:bookmarkStart w:id="23" w:name="_Toc28359017"/>
      <w:bookmarkStart w:id="24" w:name="_Toc28359094"/>
      <w:r>
        <w:rPr>
          <w:rFonts w:hint="eastAsia" w:ascii="仿宋" w:hAnsi="仿宋" w:eastAsia="仿宋" w:cs="仿宋"/>
          <w:b w:val="0"/>
          <w:bCs w:val="0"/>
          <w:sz w:val="24"/>
          <w:szCs w:val="24"/>
        </w:rPr>
        <w:t>开标地点（网址）：杭州市公共资源交易中心</w:t>
      </w:r>
      <w:r>
        <w:rPr>
          <w:rFonts w:hint="eastAsia" w:ascii="仿宋" w:hAnsi="仿宋" w:eastAsia="仿宋" w:cs="仿宋"/>
          <w:b w:val="0"/>
          <w:bCs w:val="0"/>
          <w:color w:val="auto"/>
          <w:sz w:val="24"/>
          <w:szCs w:val="24"/>
          <w:lang w:eastAsia="zh-CN"/>
        </w:rPr>
        <w:t>临安分中心</w:t>
      </w:r>
      <w:r>
        <w:rPr>
          <w:rFonts w:hint="eastAsia" w:ascii="仿宋" w:hAnsi="仿宋" w:eastAsia="仿宋" w:cs="仿宋"/>
          <w:b w:val="0"/>
          <w:bCs w:val="0"/>
          <w:color w:val="auto"/>
          <w:sz w:val="24"/>
          <w:szCs w:val="24"/>
          <w:lang w:val="en-US" w:eastAsia="zh-CN"/>
        </w:rPr>
        <w:t>1号</w:t>
      </w:r>
      <w:r>
        <w:rPr>
          <w:rFonts w:hint="eastAsia" w:ascii="仿宋" w:hAnsi="仿宋" w:eastAsia="仿宋" w:cs="仿宋"/>
          <w:b w:val="0"/>
          <w:bCs w:val="0"/>
          <w:color w:val="auto"/>
          <w:sz w:val="24"/>
          <w:szCs w:val="24"/>
        </w:rPr>
        <w:t>开标室[杭州市</w:t>
      </w:r>
      <w:r>
        <w:rPr>
          <w:rFonts w:hint="eastAsia" w:ascii="仿宋" w:hAnsi="仿宋" w:eastAsia="仿宋" w:cs="仿宋"/>
          <w:b w:val="0"/>
          <w:bCs w:val="0"/>
          <w:color w:val="auto"/>
          <w:sz w:val="24"/>
          <w:szCs w:val="24"/>
          <w:lang w:eastAsia="zh-CN"/>
        </w:rPr>
        <w:t>临安区锦北街道科技大道</w:t>
      </w:r>
      <w:r>
        <w:rPr>
          <w:rFonts w:hint="eastAsia" w:ascii="仿宋" w:hAnsi="仿宋" w:eastAsia="仿宋" w:cs="仿宋"/>
          <w:b w:val="0"/>
          <w:bCs w:val="0"/>
          <w:color w:val="auto"/>
          <w:sz w:val="24"/>
          <w:szCs w:val="24"/>
          <w:lang w:val="en-US" w:eastAsia="zh-CN"/>
        </w:rPr>
        <w:t>4398号市民中心B座4楼</w:t>
      </w:r>
      <w:r>
        <w:rPr>
          <w:rFonts w:hint="eastAsia" w:ascii="仿宋" w:hAnsi="仿宋" w:eastAsia="仿宋" w:cs="仿宋"/>
          <w:b w:val="0"/>
          <w:bCs w:val="0"/>
          <w:color w:val="auto"/>
          <w:sz w:val="24"/>
          <w:szCs w:val="24"/>
        </w:rPr>
        <w:t>]， 政采云平台（https://www.zcygov.cn/）</w:t>
      </w:r>
    </w:p>
    <w:p>
      <w:pPr>
        <w:pStyle w:val="5"/>
        <w:numPr>
          <w:ilvl w:val="0"/>
          <w:numId w:val="0"/>
        </w:numPr>
        <w:rPr>
          <w:rFonts w:hint="eastAsia" w:ascii="仿宋" w:hAnsi="仿宋" w:eastAsia="仿宋" w:cs="仿宋"/>
          <w:sz w:val="24"/>
          <w:szCs w:val="24"/>
        </w:rPr>
      </w:pPr>
      <w:r>
        <w:rPr>
          <w:rFonts w:hint="eastAsia" w:ascii="仿宋" w:hAnsi="仿宋" w:eastAsia="仿宋" w:cs="仿宋"/>
          <w:sz w:val="24"/>
          <w:szCs w:val="24"/>
        </w:rPr>
        <w:t>六、公告期限</w:t>
      </w:r>
      <w:bookmarkEnd w:id="21"/>
      <w:bookmarkEnd w:id="22"/>
      <w:bookmarkEnd w:id="23"/>
      <w:bookmarkEnd w:id="24"/>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pPr>
        <w:pStyle w:val="5"/>
        <w:numPr>
          <w:ilvl w:val="0"/>
          <w:numId w:val="0"/>
        </w:numPr>
        <w:ind w:left="432" w:hanging="432"/>
        <w:rPr>
          <w:rFonts w:hint="eastAsia" w:ascii="仿宋" w:hAnsi="仿宋" w:eastAsia="仿宋" w:cs="仿宋"/>
          <w:sz w:val="24"/>
          <w:szCs w:val="24"/>
        </w:rPr>
      </w:pPr>
      <w:bookmarkStart w:id="25" w:name="_Toc35393804"/>
      <w:bookmarkStart w:id="26" w:name="_Toc35393635"/>
      <w:r>
        <w:rPr>
          <w:rFonts w:hint="eastAsia" w:ascii="仿宋" w:hAnsi="仿宋" w:eastAsia="仿宋" w:cs="仿宋"/>
          <w:sz w:val="24"/>
          <w:szCs w:val="24"/>
        </w:rPr>
        <w:t>七、其他补充事宜</w:t>
      </w:r>
      <w:bookmarkEnd w:id="25"/>
      <w:bookmarkEnd w:id="26"/>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354" w:firstLineChars="147"/>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：详见政采云平台“服务中心-帮助文档-项目采购-操作流程-电子招投标-政府采购项目电子交易管理操作指南-供应商”。（3）招标文件公告期限与招标公告的公告期限一致。</w:t>
      </w:r>
    </w:p>
    <w:p>
      <w:pPr>
        <w:pStyle w:val="5"/>
        <w:numPr>
          <w:ilvl w:val="0"/>
          <w:numId w:val="0"/>
        </w:numPr>
        <w:rPr>
          <w:rFonts w:hint="eastAsia" w:ascii="仿宋" w:hAnsi="仿宋" w:eastAsia="仿宋" w:cs="仿宋"/>
          <w:sz w:val="24"/>
          <w:szCs w:val="24"/>
        </w:rPr>
      </w:pPr>
      <w:bookmarkStart w:id="27" w:name="_Toc35393805"/>
      <w:bookmarkStart w:id="28" w:name="_Toc28359018"/>
      <w:bookmarkStart w:id="29" w:name="_Toc35393636"/>
      <w:bookmarkStart w:id="30" w:name="_Toc28359095"/>
      <w:r>
        <w:rPr>
          <w:rFonts w:hint="eastAsia" w:ascii="仿宋" w:hAnsi="仿宋" w:eastAsia="仿宋" w:cs="仿宋"/>
          <w:sz w:val="24"/>
          <w:szCs w:val="24"/>
        </w:rPr>
        <w:t>八、凡对本次采购提出询问，请按以下方式联系。</w:t>
      </w:r>
      <w:bookmarkEnd w:id="27"/>
      <w:bookmarkEnd w:id="28"/>
      <w:bookmarkEnd w:id="29"/>
      <w:bookmarkEnd w:id="30"/>
    </w:p>
    <w:p>
      <w:pPr>
        <w:pStyle w:val="5"/>
        <w:numPr>
          <w:ilvl w:val="0"/>
          <w:numId w:val="0"/>
        </w:numPr>
        <w:ind w:left="432" w:hanging="432"/>
        <w:rPr>
          <w:rFonts w:hint="eastAsia" w:ascii="仿宋" w:hAnsi="仿宋" w:eastAsia="仿宋" w:cs="仿宋"/>
          <w:sz w:val="24"/>
          <w:szCs w:val="24"/>
        </w:rPr>
      </w:pPr>
      <w:bookmarkStart w:id="31" w:name="_Toc28359096"/>
      <w:bookmarkStart w:id="32" w:name="_Toc35393637"/>
      <w:bookmarkStart w:id="33" w:name="_Toc28359019"/>
      <w:bookmarkStart w:id="34" w:name="_Toc35393806"/>
      <w:r>
        <w:rPr>
          <w:rFonts w:hint="eastAsia" w:ascii="仿宋" w:hAnsi="仿宋" w:eastAsia="仿宋" w:cs="仿宋"/>
          <w:sz w:val="24"/>
          <w:szCs w:val="24"/>
        </w:rPr>
        <w:t>1.采购人信息</w:t>
      </w:r>
      <w:bookmarkEnd w:id="31"/>
      <w:bookmarkEnd w:id="32"/>
      <w:bookmarkEnd w:id="33"/>
      <w:bookmarkEnd w:id="34"/>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称：杭州市临安区人民检察院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地    址：浙江省杭州市临安区锦南街道检察院路919号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传    真：</w:t>
      </w:r>
      <w:r>
        <w:rPr>
          <w:rFonts w:hint="eastAsia" w:ascii="仿宋" w:hAnsi="仿宋" w:eastAsia="仿宋" w:cs="仿宋"/>
          <w:sz w:val="24"/>
          <w:lang w:val="en-US" w:eastAsia="zh-CN"/>
        </w:rPr>
        <w:t>/</w:t>
      </w:r>
    </w:p>
    <w:p>
      <w:pPr>
        <w:spacing w:line="360" w:lineRule="auto"/>
        <w:rPr>
          <w:rFonts w:hint="eastAsia" w:ascii="仿宋" w:hAnsi="仿宋" w:eastAsia="仿宋" w:cs="仿宋"/>
          <w:sz w:val="24"/>
          <w:highlight w:val="none"/>
        </w:rPr>
      </w:pPr>
      <w:r>
        <w:rPr>
          <w:rFonts w:hint="eastAsia" w:ascii="仿宋" w:hAnsi="仿宋" w:eastAsia="仿宋" w:cs="仿宋"/>
          <w:sz w:val="24"/>
        </w:rPr>
        <w:t xml:space="preserve">  </w:t>
      </w:r>
      <w:r>
        <w:rPr>
          <w:rFonts w:hint="eastAsia" w:ascii="仿宋" w:hAnsi="仿宋" w:eastAsia="仿宋" w:cs="仿宋"/>
          <w:sz w:val="24"/>
          <w:highlight w:val="none"/>
        </w:rPr>
        <w:t xml:space="preserve">  项目联系人（询问）：阮非</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项目联系方式（询问）：0571-61072657</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eastAsia="zh-CN"/>
        </w:rPr>
        <w:t>：施倩茹</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质疑联系方式：0571-61072657</w:t>
      </w:r>
    </w:p>
    <w:p>
      <w:pPr>
        <w:pStyle w:val="5"/>
        <w:numPr>
          <w:ilvl w:val="0"/>
          <w:numId w:val="0"/>
        </w:numPr>
        <w:ind w:left="432" w:hanging="432"/>
        <w:rPr>
          <w:rFonts w:hint="eastAsia" w:ascii="仿宋" w:hAnsi="仿宋" w:eastAsia="仿宋" w:cs="仿宋"/>
          <w:sz w:val="24"/>
          <w:szCs w:val="24"/>
        </w:rPr>
      </w:pPr>
      <w:bookmarkStart w:id="35" w:name="_Toc35393638"/>
      <w:bookmarkStart w:id="36" w:name="_Toc35393807"/>
      <w:bookmarkStart w:id="37" w:name="_Toc28359097"/>
      <w:bookmarkStart w:id="38" w:name="_Toc28359020"/>
      <w:r>
        <w:rPr>
          <w:rFonts w:hint="eastAsia" w:ascii="仿宋" w:hAnsi="仿宋" w:eastAsia="仿宋" w:cs="仿宋"/>
          <w:sz w:val="24"/>
          <w:szCs w:val="24"/>
        </w:rPr>
        <w:t>2.采购代理机构信息</w:t>
      </w:r>
      <w:bookmarkEnd w:id="35"/>
      <w:bookmarkEnd w:id="36"/>
      <w:bookmarkEnd w:id="37"/>
      <w:bookmarkEnd w:id="38"/>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4398号市民中心B座4楼</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质疑联系人：</w:t>
      </w:r>
      <w:r>
        <w:rPr>
          <w:rFonts w:hint="eastAsia" w:ascii="仿宋" w:hAnsi="仿宋" w:eastAsia="仿宋" w:cs="仿宋"/>
          <w:sz w:val="24"/>
          <w:lang w:eastAsia="zh-CN"/>
        </w:rPr>
        <w:t>王晖</w:t>
      </w:r>
    </w:p>
    <w:p>
      <w:pPr>
        <w:pStyle w:val="5"/>
        <w:numPr>
          <w:ilvl w:val="0"/>
          <w:numId w:val="0"/>
        </w:numPr>
        <w:ind w:left="432" w:hanging="432"/>
        <w:rPr>
          <w:rFonts w:hint="eastAsia" w:ascii="仿宋" w:hAnsi="仿宋" w:eastAsia="仿宋" w:cs="仿宋"/>
          <w:b w:val="0"/>
          <w:sz w:val="24"/>
        </w:rPr>
      </w:pPr>
      <w:r>
        <w:rPr>
          <w:rFonts w:hint="eastAsia" w:ascii="仿宋" w:hAnsi="仿宋" w:eastAsia="仿宋" w:cs="仿宋"/>
          <w:sz w:val="24"/>
        </w:rPr>
        <w:t xml:space="preserve">    </w:t>
      </w:r>
      <w:r>
        <w:rPr>
          <w:rFonts w:hint="eastAsia" w:ascii="仿宋" w:hAnsi="仿宋" w:eastAsia="仿宋" w:cs="仿宋"/>
          <w:b w:val="0"/>
          <w:sz w:val="24"/>
        </w:rPr>
        <w:t>质疑联系方式：</w:t>
      </w:r>
      <w:r>
        <w:rPr>
          <w:rFonts w:hint="eastAsia" w:ascii="仿宋" w:hAnsi="仿宋" w:eastAsia="仿宋" w:cs="仿宋"/>
          <w:b w:val="0"/>
          <w:bCs w:val="0"/>
          <w:sz w:val="24"/>
          <w:lang w:val="en-US" w:eastAsia="zh-CN"/>
        </w:rPr>
        <w:t>0571-23616016</w:t>
      </w:r>
    </w:p>
    <w:p>
      <w:pPr>
        <w:spacing w:line="360" w:lineRule="auto"/>
        <w:rPr>
          <w:rFonts w:hint="eastAsia" w:ascii="仿宋" w:hAnsi="仿宋" w:eastAsia="仿宋" w:cs="仿宋"/>
          <w:b/>
          <w:sz w:val="24"/>
        </w:rPr>
      </w:pPr>
      <w:bookmarkStart w:id="39" w:name="_Toc28359098"/>
      <w:bookmarkStart w:id="40" w:name="_Toc35393808"/>
      <w:bookmarkStart w:id="41" w:name="_Toc35393639"/>
      <w:bookmarkStart w:id="42" w:name="_Toc28359021"/>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真：0571-63722886 </w:t>
      </w:r>
    </w:p>
    <w:p>
      <w:pPr>
        <w:spacing w:line="360" w:lineRule="auto"/>
        <w:rPr>
          <w:rFonts w:hint="eastAsia" w:ascii="仿宋" w:hAnsi="仿宋" w:eastAsia="仿宋" w:cs="仿宋"/>
          <w:b w:val="0"/>
          <w:bCs w:val="0"/>
          <w:sz w:val="24"/>
        </w:rPr>
      </w:pPr>
      <w:r>
        <w:rPr>
          <w:rFonts w:hint="eastAsia" w:ascii="仿宋" w:hAnsi="仿宋" w:eastAsia="仿宋" w:cs="仿宋"/>
          <w:b w:val="0"/>
          <w:bCs w:val="0"/>
          <w:sz w:val="24"/>
        </w:rPr>
        <w:t xml:space="preserve">    联系人 ：喻伟建 </w:t>
      </w:r>
    </w:p>
    <w:p>
      <w:pPr>
        <w:pStyle w:val="5"/>
        <w:numPr>
          <w:ilvl w:val="0"/>
          <w:numId w:val="0"/>
        </w:numPr>
        <w:ind w:left="432" w:hanging="432"/>
        <w:rPr>
          <w:rFonts w:hint="eastAsia" w:ascii="仿宋" w:hAnsi="仿宋" w:eastAsia="仿宋" w:cs="仿宋"/>
          <w:b w:val="0"/>
          <w:bCs w:val="0"/>
          <w:sz w:val="24"/>
          <w:u w:val="single"/>
        </w:rPr>
      </w:pPr>
      <w:r>
        <w:rPr>
          <w:rFonts w:hint="eastAsia" w:ascii="仿宋" w:hAnsi="仿宋" w:eastAsia="仿宋" w:cs="仿宋"/>
          <w:b w:val="0"/>
          <w:bCs w:val="0"/>
          <w:sz w:val="24"/>
        </w:rPr>
        <w:t xml:space="preserve">    监督投诉电话：0571-61073953 </w:t>
      </w:r>
    </w:p>
    <w:bookmarkEnd w:id="39"/>
    <w:bookmarkEnd w:id="40"/>
    <w:bookmarkEnd w:id="41"/>
    <w:bookmarkEnd w:id="42"/>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若对项目采购电子交易系统操作有疑问，可登录政采云（https://www.zcygov.cn/），点击右侧咨询小采，获取采小蜜智能服务管家帮助，或拨打政采云服务热线400-881-7190获取热线服务帮助。        </w:t>
      </w:r>
    </w:p>
    <w:p>
      <w:pPr>
        <w:spacing w:line="360" w:lineRule="auto"/>
        <w:ind w:firstLine="440" w:firstLineChars="200"/>
        <w:rPr>
          <w:rFonts w:hint="eastAsia" w:ascii="仿宋" w:hAnsi="仿宋" w:eastAsia="仿宋" w:cs="仿宋"/>
          <w:sz w:val="22"/>
          <w:szCs w:val="22"/>
        </w:rPr>
      </w:pPr>
    </w:p>
    <w:p>
      <w:pPr>
        <w:spacing w:line="360" w:lineRule="auto"/>
        <w:ind w:firstLine="440" w:firstLineChars="200"/>
        <w:rPr>
          <w:rFonts w:hint="eastAsia" w:ascii="仿宋" w:hAnsi="仿宋" w:eastAsia="仿宋" w:cs="仿宋"/>
          <w:sz w:val="24"/>
        </w:rPr>
      </w:pPr>
      <w:r>
        <w:rPr>
          <w:rFonts w:hint="eastAsia" w:ascii="仿宋" w:hAnsi="仿宋" w:eastAsia="仿宋" w:cs="仿宋"/>
          <w:sz w:val="22"/>
          <w:szCs w:val="22"/>
        </w:rPr>
        <w:t>CA问题联系电话（人工）：汇信CA 400-888-4636；天谷CA 400-087-8198。</w:t>
      </w:r>
    </w:p>
    <w:p>
      <w:pPr>
        <w:pStyle w:val="9"/>
        <w:ind w:left="0" w:leftChars="0" w:firstLine="0" w:firstLineChars="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pPr>
        <w:pStyle w:val="24"/>
        <w:spacing w:before="0"/>
        <w:ind w:firstLine="0" w:firstLineChars="0"/>
        <w:rPr>
          <w:rFonts w:hint="eastAsia" w:ascii="仿宋" w:hAnsi="仿宋" w:eastAsia="仿宋" w:cs="仿宋"/>
          <w:b/>
        </w:rPr>
      </w:pPr>
      <w:r>
        <w:rPr>
          <w:rFonts w:hint="eastAsia" w:ascii="仿宋" w:hAnsi="仿宋" w:eastAsia="仿宋" w:cs="仿宋"/>
          <w:b/>
          <w:szCs w:val="24"/>
        </w:rPr>
        <w:t>1.征集供应商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1.1邀请供应商。</w:t>
      </w:r>
    </w:p>
    <w:p>
      <w:pPr>
        <w:pStyle w:val="24"/>
        <w:numPr>
          <w:ilvl w:val="0"/>
          <w:numId w:val="3"/>
        </w:numPr>
        <w:spacing w:before="0"/>
        <w:ind w:left="840" w:leftChars="0"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由采购人、采购机构在省级以上人民政府财政部门指定的政府采购信息发布媒体上发布磋商公告，邀请符合相应资格条件的供应商参与竞争性磋商采购活动。</w:t>
      </w:r>
    </w:p>
    <w:p>
      <w:pPr>
        <w:pStyle w:val="24"/>
        <w:numPr>
          <w:ilvl w:val="0"/>
          <w:numId w:val="3"/>
        </w:numPr>
        <w:spacing w:before="0"/>
        <w:ind w:left="840" w:leftChars="0"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由采购人、采购机构从省级以上财政部门建立的供应商库中随机抽取不少于3家符合相应资格条件的供应商参与竞争性磋商采购活动。</w:t>
      </w:r>
    </w:p>
    <w:p>
      <w:pPr>
        <w:pStyle w:val="24"/>
        <w:numPr>
          <w:ilvl w:val="0"/>
          <w:numId w:val="3"/>
        </w:numPr>
        <w:spacing w:before="0"/>
        <w:ind w:left="840" w:leftChars="0"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pPr>
        <w:pStyle w:val="24"/>
        <w:spacing w:before="0"/>
        <w:ind w:firstLine="480"/>
        <w:rPr>
          <w:rFonts w:hint="eastAsia" w:ascii="仿宋" w:hAnsi="仿宋" w:eastAsia="仿宋" w:cs="仿宋"/>
          <w:szCs w:val="24"/>
        </w:rPr>
      </w:pPr>
      <w:r>
        <w:rPr>
          <w:rFonts w:hint="eastAsia" w:ascii="仿宋" w:hAnsi="仿宋" w:eastAsia="仿宋" w:cs="仿宋"/>
          <w:szCs w:val="24"/>
        </w:rPr>
        <w:t>1.2供应商获取磋商采购文件。</w:t>
      </w:r>
    </w:p>
    <w:p>
      <w:pPr>
        <w:pStyle w:val="24"/>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pPr>
        <w:pStyle w:val="24"/>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pPr>
        <w:pStyle w:val="24"/>
        <w:spacing w:before="0"/>
        <w:ind w:firstLine="480" w:firstLineChars="200"/>
        <w:rPr>
          <w:rFonts w:hint="eastAsia" w:ascii="仿宋" w:hAnsi="仿宋" w:eastAsia="仿宋" w:cs="仿宋"/>
          <w:szCs w:val="24"/>
        </w:rPr>
      </w:pPr>
      <w:r>
        <w:rPr>
          <w:rFonts w:hint="eastAsia" w:ascii="仿宋" w:hAnsi="仿宋" w:eastAsia="仿宋" w:cs="仿宋"/>
          <w:szCs w:val="24"/>
        </w:rPr>
        <w:t>1.5供应商按磋商文件要求编制响应文件。</w:t>
      </w:r>
    </w:p>
    <w:p>
      <w:pPr>
        <w:pStyle w:val="24"/>
        <w:spacing w:before="0"/>
        <w:ind w:firstLine="0" w:firstLineChars="0"/>
        <w:rPr>
          <w:rFonts w:hint="eastAsia" w:ascii="仿宋" w:hAnsi="仿宋" w:eastAsia="仿宋" w:cs="仿宋"/>
          <w:b/>
        </w:rPr>
      </w:pPr>
      <w:r>
        <w:rPr>
          <w:rFonts w:hint="eastAsia" w:ascii="仿宋" w:hAnsi="仿宋" w:eastAsia="仿宋" w:cs="仿宋"/>
          <w:b/>
        </w:rPr>
        <w:t>2.开启响应文件与信用信息查询</w:t>
      </w:r>
    </w:p>
    <w:p>
      <w:pPr>
        <w:pStyle w:val="24"/>
        <w:spacing w:before="0"/>
        <w:ind w:firstLine="480"/>
        <w:rPr>
          <w:rFonts w:hint="eastAsia" w:ascii="仿宋" w:hAnsi="仿宋" w:eastAsia="仿宋" w:cs="仿宋"/>
          <w:szCs w:val="24"/>
        </w:rPr>
      </w:pPr>
      <w:r>
        <w:rPr>
          <w:rFonts w:hint="eastAsia" w:ascii="仿宋" w:hAnsi="仿宋" w:eastAsia="仿宋" w:cs="仿宋"/>
          <w:szCs w:val="24"/>
        </w:rPr>
        <w:t>2.1供应商依据“响应文件提交的截止时间与地点”通过政采云平台在线提交响应文件。供应商在提交响应文件截止时间前，可以补充、修改或撤回响应文件。</w:t>
      </w:r>
    </w:p>
    <w:p>
      <w:pPr>
        <w:pStyle w:val="24"/>
        <w:spacing w:before="0"/>
        <w:ind w:firstLine="480"/>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2</w:t>
      </w:r>
      <w:r>
        <w:rPr>
          <w:rFonts w:hint="eastAsia" w:ascii="仿宋" w:hAnsi="仿宋" w:eastAsia="仿宋" w:cs="仿宋"/>
          <w:kern w:val="0"/>
          <w:szCs w:val="24"/>
        </w:rPr>
        <w:t>采购机构将通过“信用中国”网站(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21"/>
          <w:rFonts w:hint="eastAsia" w:ascii="仿宋" w:hAnsi="仿宋" w:eastAsia="仿宋" w:cs="仿宋"/>
          <w:snapToGrid/>
          <w:color w:val="auto"/>
          <w:sz w:val="24"/>
          <w:szCs w:val="24"/>
        </w:rPr>
        <w:t>www.creditchina.gov.cn</w:t>
      </w:r>
      <w:r>
        <w:rPr>
          <w:rFonts w:hint="eastAsia" w:ascii="仿宋" w:hAnsi="仿宋" w:eastAsia="仿宋" w:cs="仿宋"/>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24"/>
        <w:spacing w:before="0"/>
        <w:ind w:firstLine="0" w:firstLineChars="0"/>
        <w:rPr>
          <w:rFonts w:hint="eastAsia" w:ascii="仿宋" w:hAnsi="仿宋" w:eastAsia="仿宋" w:cs="仿宋"/>
          <w:b/>
        </w:rPr>
      </w:pPr>
      <w:r>
        <w:rPr>
          <w:rFonts w:hint="eastAsia" w:ascii="仿宋" w:hAnsi="仿宋" w:eastAsia="仿宋" w:cs="仿宋"/>
          <w:b/>
        </w:rPr>
        <w:t>3.磋商与评审</w:t>
      </w:r>
    </w:p>
    <w:p>
      <w:pPr>
        <w:pStyle w:val="24"/>
        <w:spacing w:before="0"/>
        <w:ind w:firstLine="480"/>
        <w:rPr>
          <w:rFonts w:hint="eastAsia" w:ascii="仿宋" w:hAnsi="仿宋" w:eastAsia="仿宋" w:cs="仿宋"/>
          <w:szCs w:val="24"/>
        </w:rPr>
      </w:pPr>
      <w:r>
        <w:rPr>
          <w:rFonts w:hint="eastAsia" w:ascii="仿宋" w:hAnsi="仿宋" w:eastAsia="仿宋" w:cs="仿宋"/>
          <w:szCs w:val="24"/>
        </w:rPr>
        <w:t>3.1磋商小组签到。</w:t>
      </w:r>
    </w:p>
    <w:p>
      <w:pPr>
        <w:pStyle w:val="24"/>
        <w:spacing w:before="0"/>
        <w:ind w:firstLine="480"/>
        <w:rPr>
          <w:rFonts w:hint="eastAsia" w:ascii="仿宋" w:hAnsi="仿宋" w:eastAsia="仿宋" w:cs="仿宋"/>
          <w:szCs w:val="24"/>
        </w:rPr>
      </w:pPr>
      <w:r>
        <w:rPr>
          <w:rFonts w:hint="eastAsia" w:ascii="仿宋" w:hAnsi="仿宋" w:eastAsia="仿宋" w:cs="仿宋"/>
          <w:szCs w:val="24"/>
        </w:rPr>
        <w:t>3.2采购机构宣布有关纪律以及磋商、评审工作程序。</w:t>
      </w:r>
    </w:p>
    <w:p>
      <w:pPr>
        <w:pStyle w:val="24"/>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3.3磋商小组审查确认磋商文件。磋商文件内容违反国家有关强制性规定的，磋商小组应当停止评审并向采购机构说明情况。</w:t>
      </w:r>
    </w:p>
    <w:p>
      <w:pPr>
        <w:pStyle w:val="24"/>
        <w:spacing w:before="0"/>
        <w:ind w:firstLine="480"/>
        <w:rPr>
          <w:rFonts w:hint="eastAsia" w:ascii="仿宋" w:hAnsi="仿宋" w:eastAsia="仿宋" w:cs="仿宋"/>
          <w:szCs w:val="24"/>
        </w:rPr>
      </w:pPr>
      <w:r>
        <w:rPr>
          <w:rFonts w:hint="eastAsia" w:ascii="仿宋" w:hAnsi="仿宋" w:eastAsia="仿宋" w:cs="仿宋"/>
          <w:szCs w:val="24"/>
        </w:rPr>
        <w:t>3.4</w:t>
      </w:r>
      <w:r>
        <w:rPr>
          <w:rFonts w:hint="eastAsia" w:ascii="仿宋" w:hAnsi="仿宋" w:eastAsia="仿宋" w:cs="仿宋"/>
          <w:szCs w:val="24"/>
          <w:lang w:eastAsia="zh-CN"/>
        </w:rPr>
        <w:t>采购人</w:t>
      </w:r>
      <w:r>
        <w:rPr>
          <w:rFonts w:hint="eastAsia" w:ascii="仿宋" w:hAnsi="仿宋" w:eastAsia="仿宋" w:cs="仿宋"/>
          <w:szCs w:val="24"/>
        </w:rPr>
        <w:t>对供应商的资格进行审查。</w:t>
      </w:r>
    </w:p>
    <w:p>
      <w:pPr>
        <w:pStyle w:val="24"/>
        <w:spacing w:before="0"/>
        <w:ind w:firstLine="480"/>
        <w:rPr>
          <w:rFonts w:hint="eastAsia" w:ascii="仿宋" w:hAnsi="仿宋" w:eastAsia="仿宋" w:cs="仿宋"/>
          <w:szCs w:val="24"/>
          <w:lang w:val="en-US" w:eastAsia="zh-CN"/>
        </w:rPr>
      </w:pPr>
      <w:r>
        <w:rPr>
          <w:rFonts w:hint="eastAsia" w:ascii="仿宋" w:hAnsi="仿宋" w:eastAsia="仿宋" w:cs="仿宋"/>
          <w:szCs w:val="24"/>
        </w:rPr>
        <w:t>3.5磋商小组审查响应文件。</w:t>
      </w:r>
    </w:p>
    <w:p>
      <w:pPr>
        <w:pStyle w:val="24"/>
        <w:spacing w:before="0"/>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6</w:t>
      </w:r>
      <w:r>
        <w:rPr>
          <w:rFonts w:hint="eastAsia" w:ascii="仿宋" w:hAnsi="仿宋" w:eastAsia="仿宋" w:cs="仿宋"/>
          <w:szCs w:val="24"/>
        </w:rPr>
        <w:t>对于未实质性响应磋商文件的响应文件由磋商小组认定响应无效，并告知该供应商。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24"/>
        <w:spacing w:before="0"/>
        <w:ind w:firstLine="480"/>
        <w:rPr>
          <w:rFonts w:hint="eastAsia" w:ascii="仿宋" w:hAnsi="仿宋" w:eastAsia="仿宋" w:cs="仿宋"/>
          <w:szCs w:val="24"/>
        </w:rPr>
      </w:pPr>
      <w:r>
        <w:rPr>
          <w:rFonts w:hint="eastAsia" w:ascii="仿宋" w:hAnsi="仿宋" w:eastAsia="仿宋" w:cs="仿宋"/>
          <w:snapToGrid/>
          <w:color w:val="auto"/>
          <w:kern w:val="2"/>
          <w:sz w:val="24"/>
          <w:szCs w:val="24"/>
        </w:rPr>
        <w:t>3.</w:t>
      </w:r>
      <w:r>
        <w:rPr>
          <w:rFonts w:hint="eastAsia" w:ascii="仿宋" w:hAnsi="仿宋" w:eastAsia="仿宋" w:cs="仿宋"/>
          <w:snapToGrid/>
          <w:color w:val="auto"/>
          <w:kern w:val="2"/>
          <w:sz w:val="24"/>
          <w:szCs w:val="24"/>
          <w:lang w:val="en-US" w:eastAsia="zh-CN"/>
        </w:rPr>
        <w:t>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w:t>
      </w:r>
    </w:p>
    <w:p>
      <w:pPr>
        <w:pStyle w:val="24"/>
        <w:spacing w:before="0"/>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9</w:t>
      </w:r>
      <w:r>
        <w:rPr>
          <w:rFonts w:hint="eastAsia" w:ascii="仿宋" w:hAnsi="仿宋" w:eastAsia="仿宋" w:cs="仿宋"/>
          <w:szCs w:val="24"/>
        </w:rPr>
        <w:t>经磋商确定磋商文件的变动情况。对磋商文件作出的实质性变动是磋商文件的有效组成部分，磋商小组应当及时以书面形式同时通知所有参加磋商的供应商。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24"/>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24"/>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24"/>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24"/>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24"/>
        <w:spacing w:before="0"/>
        <w:ind w:firstLine="480"/>
        <w:rPr>
          <w:rFonts w:hint="eastAsia" w:ascii="仿宋" w:hAnsi="仿宋" w:eastAsia="仿宋" w:cs="仿宋"/>
          <w:szCs w:val="24"/>
        </w:rPr>
      </w:pPr>
      <w:r>
        <w:rPr>
          <w:rFonts w:hint="eastAsia" w:ascii="仿宋" w:hAnsi="仿宋" w:eastAsia="仿宋" w:cs="仿宋"/>
          <w:szCs w:val="24"/>
        </w:rPr>
        <w:t>3.13采购机构唱价。</w:t>
      </w:r>
    </w:p>
    <w:p>
      <w:pPr>
        <w:pStyle w:val="24"/>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24"/>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pPr>
        <w:pStyle w:val="24"/>
        <w:spacing w:before="0"/>
        <w:ind w:firstLine="0" w:firstLineChars="0"/>
        <w:rPr>
          <w:rFonts w:hint="eastAsia" w:ascii="仿宋" w:hAnsi="仿宋" w:eastAsia="仿宋" w:cs="仿宋"/>
          <w:b/>
        </w:rPr>
      </w:pPr>
      <w:r>
        <w:rPr>
          <w:rFonts w:hint="eastAsia" w:ascii="仿宋" w:hAnsi="仿宋" w:eastAsia="仿宋" w:cs="仿宋"/>
          <w:b/>
        </w:rPr>
        <w:t>4. 定标</w:t>
      </w:r>
    </w:p>
    <w:p>
      <w:pPr>
        <w:pStyle w:val="24"/>
        <w:spacing w:before="0"/>
        <w:ind w:firstLine="480"/>
        <w:rPr>
          <w:rFonts w:hint="eastAsia" w:ascii="仿宋" w:hAnsi="仿宋" w:eastAsia="仿宋" w:cs="仿宋"/>
          <w:szCs w:val="24"/>
        </w:rPr>
      </w:pPr>
      <w:r>
        <w:rPr>
          <w:rFonts w:hint="eastAsia" w:ascii="仿宋" w:hAnsi="仿宋" w:eastAsia="仿宋" w:cs="仿宋"/>
          <w:szCs w:val="24"/>
        </w:rPr>
        <w:t>4.1采购机构应当在评审结束后2个工作日内，将评审报告送采购人确认。</w:t>
      </w:r>
    </w:p>
    <w:p>
      <w:pPr>
        <w:pStyle w:val="24"/>
        <w:spacing w:before="0"/>
        <w:ind w:firstLine="480"/>
        <w:rPr>
          <w:rFonts w:hint="eastAsia" w:ascii="仿宋" w:hAnsi="仿宋" w:eastAsia="仿宋" w:cs="仿宋"/>
          <w:szCs w:val="24"/>
        </w:rPr>
      </w:pPr>
      <w:r>
        <w:rPr>
          <w:rFonts w:hint="eastAsia" w:ascii="仿宋" w:hAnsi="仿宋" w:eastAsia="仿宋" w:cs="仿宋"/>
          <w:szCs w:val="24"/>
        </w:rPr>
        <w:t>4.2采购人应当在收到评审报告后</w:t>
      </w:r>
      <w:r>
        <w:rPr>
          <w:rFonts w:hint="eastAsia" w:ascii="仿宋" w:hAnsi="仿宋" w:eastAsia="仿宋" w:cs="仿宋"/>
          <w:szCs w:val="24"/>
          <w:lang w:val="en-US" w:eastAsia="zh-CN"/>
        </w:rPr>
        <w:t>2</w:t>
      </w:r>
      <w:r>
        <w:rPr>
          <w:rFonts w:hint="eastAsia" w:ascii="仿宋" w:hAnsi="仿宋" w:eastAsia="仿宋" w:cs="仿宋"/>
          <w:szCs w:val="24"/>
        </w:rPr>
        <w:t>个工作日内，从评审报告提出的成交候选供应商中，按照排序由高到低的原则确定成交供应商，采购人也可以书面授权磋商小组直接确定成交供应商。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24"/>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pPr>
        <w:pStyle w:val="24"/>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pPr>
        <w:pStyle w:val="24"/>
        <w:spacing w:before="0"/>
        <w:ind w:firstLine="480"/>
        <w:rPr>
          <w:rFonts w:hint="eastAsia" w:ascii="仿宋" w:hAnsi="仿宋" w:eastAsia="仿宋" w:cs="仿宋"/>
          <w:szCs w:val="24"/>
        </w:rPr>
      </w:pPr>
      <w:r>
        <w:rPr>
          <w:rFonts w:hint="eastAsia" w:ascii="仿宋" w:hAnsi="仿宋" w:eastAsia="仿宋" w:cs="仿宋"/>
          <w:szCs w:val="24"/>
        </w:rPr>
        <w:t>5.2成交供应商缴纳履约保证金（</w:t>
      </w:r>
      <w:r>
        <w:rPr>
          <w:rFonts w:hint="eastAsia" w:ascii="仿宋" w:hAnsi="仿宋" w:eastAsia="仿宋" w:cs="仿宋"/>
          <w:kern w:val="0"/>
        </w:rPr>
        <w:t>拟签订的合同文本要求成交供应商提交履约保证金的，供应商应当以支票、汇票、本票或者金融机构、担保机构出具的保函等非现金形式提交</w:t>
      </w:r>
      <w:r>
        <w:rPr>
          <w:rFonts w:hint="eastAsia" w:ascii="仿宋" w:hAnsi="仿宋" w:eastAsia="仿宋" w:cs="仿宋"/>
        </w:rPr>
        <w:t>。履约保证金的数额不得超过政府采购合同金额的</w:t>
      </w:r>
      <w:r>
        <w:rPr>
          <w:rFonts w:hint="eastAsia" w:ascii="仿宋" w:hAnsi="仿宋" w:eastAsia="仿宋" w:cs="仿宋"/>
          <w:lang w:val="en-US" w:eastAsia="zh-CN"/>
        </w:rPr>
        <w:t>1</w:t>
      </w:r>
      <w:r>
        <w:rPr>
          <w:rFonts w:hint="eastAsia" w:ascii="仿宋" w:hAnsi="仿宋" w:eastAsia="仿宋" w:cs="仿宋"/>
        </w:rPr>
        <w:t>%。</w:t>
      </w:r>
      <w:r>
        <w:rPr>
          <w:rFonts w:hint="eastAsia" w:ascii="仿宋" w:hAnsi="仿宋" w:eastAsia="仿宋" w:cs="仿宋"/>
          <w:b/>
        </w:rPr>
        <w:t>采购人不得拒收履约保函</w:t>
      </w:r>
      <w:r>
        <w:rPr>
          <w:rFonts w:hint="eastAsia" w:ascii="仿宋" w:hAnsi="仿宋" w:eastAsia="仿宋" w:cs="仿宋"/>
          <w:szCs w:val="24"/>
        </w:rPr>
        <w:t>）。</w:t>
      </w:r>
    </w:p>
    <w:p>
      <w:pPr>
        <w:pStyle w:val="24"/>
        <w:spacing w:before="0"/>
        <w:ind w:firstLine="480"/>
        <w:rPr>
          <w:rFonts w:hint="eastAsia" w:ascii="仿宋" w:hAnsi="仿宋" w:eastAsia="仿宋" w:cs="仿宋"/>
          <w:szCs w:val="24"/>
        </w:rPr>
      </w:pPr>
      <w:r>
        <w:rPr>
          <w:rFonts w:hint="eastAsia" w:ascii="仿宋" w:hAnsi="仿宋" w:eastAsia="仿宋" w:cs="仿宋"/>
          <w:szCs w:val="24"/>
        </w:rPr>
        <w:t>5.3合同履约。</w:t>
      </w:r>
    </w:p>
    <w:p>
      <w:pPr>
        <w:pStyle w:val="24"/>
        <w:spacing w:before="0"/>
        <w:ind w:firstLine="480"/>
        <w:rPr>
          <w:rFonts w:hint="eastAsia" w:ascii="仿宋" w:hAnsi="仿宋" w:eastAsia="仿宋" w:cs="仿宋"/>
          <w:b/>
        </w:rPr>
      </w:pPr>
      <w:r>
        <w:rPr>
          <w:rFonts w:hint="eastAsia" w:ascii="仿宋" w:hAnsi="仿宋" w:eastAsia="仿宋" w:cs="仿宋"/>
          <w:szCs w:val="24"/>
        </w:rPr>
        <w:t>5.4采购人组织验收。</w:t>
      </w: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r>
        <w:rPr>
          <w:rFonts w:hint="eastAsia" w:ascii="仿宋" w:hAnsi="仿宋" w:eastAsia="仿宋" w:cs="仿宋"/>
          <w:b/>
        </w:rPr>
        <w:t>6.竞争性磋商流程图</w:t>
      </w:r>
    </w:p>
    <w:p>
      <w:pPr>
        <w:adjustRightInd/>
        <w:spacing w:line="360" w:lineRule="auto"/>
        <w:jc w:val="center"/>
        <w:outlineLvl w:val="0"/>
        <w:rPr>
          <w:rFonts w:hint="eastAsia" w:ascii="仿宋" w:hAnsi="仿宋" w:eastAsia="仿宋" w:cs="仿宋"/>
          <w:b/>
        </w:rPr>
      </w:pPr>
    </w:p>
    <w:p>
      <w:pPr>
        <w:adjustRightInd/>
        <w:spacing w:line="360" w:lineRule="auto"/>
        <w:jc w:val="center"/>
        <w:outlineLvl w:val="0"/>
        <w:rPr>
          <w:rFonts w:hint="eastAsia" w:ascii="仿宋" w:hAnsi="仿宋" w:eastAsia="仿宋" w:cs="仿宋"/>
          <w:b/>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2336;mso-width-relative:page;mso-height-relative:page;" fillcolor="#DAE3F3 [664]" filled="t" stroked="t" coordsize="21600,21600" o:gfxdata="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g1h+2wAAAAsBAAAPAAAAAAAAAAEA&#10;IAAAACIAAABkcnMvZG93bnJldi54bWxQSwECFAAUAAAACACHTuJATXvbhX4CAAD9BAAADgAAAAAA&#10;AAABACAAAAAq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00.75pt;height:20.65pt;width:0pt;z-index:251681792;mso-width-relative:page;mso-height-relative:page;" filled="f" stroked="t" coordsize="21600,21600" o:gfxdata="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lAL1gAAAAsBAAAPAAAAAAAAAAEAIAAAACIAAABkcnMv&#10;ZG93bnJldi54bWxQSwECFAAUAAAACACHTuJAhAOeaQUCAADdAwAADgAAAAAAAAABACAAAAAlAQAA&#10;ZHJzL2Uyb0RvYy54bWxQSwUGAAAAAAYABgBZAQAAnAU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3360;mso-width-relative:page;mso-height-relative:page;" fillcolor="#DAE3F3 [664]" filled="t" stroked="t" coordsize="21600,21600" o:gfxdata="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9yA6rcAAAACwEAAA8AAAAAAAAA&#10;AQAgAAAAIgAAAGRycy9kb3ducmV2LnhtbFBLAQIUABQAAAAIAIdO4kD60bi1fwIAAP0EAAAOAAAA&#10;AAAAAAEAIAAAACsBAABkcnMvZTJvRG9jLnhtbFBLBQYAAAAABgAGAFkBAAAcBg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38.3pt;height:20.65pt;width:84.45pt;z-index:251678720;mso-width-relative:page;mso-height-relative:page;" fillcolor="#DAE3F3 [664]" filled="t" stroked="t" coordsize="21600,21600" o:gfxdata="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JPzev3AAAAAsBAAAPAAAAAAAAAAEA&#10;IAAAACIAAABkcnMvZG93bnJldi54bWxQSwECFAAUAAAACACHTuJANBHVA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298.15pt;height:20.6pt;width:124.55pt;z-index:251675648;mso-width-relative:page;mso-height-relative:page;" fillcolor="#DAE3F3 [664]" filled="t" stroked="t" coordsize="21600,21600" o:gfxdata="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PpFNwAAAALAQAADwAAAAAAAAAB&#10;ACAAAAAiAAAAZHJzL2Rvd25yZXYueG1sUEsBAhQAFAAAAAgAh07iQDaFEd1+AgAAAAUAAA4AAAAA&#10;AAAAAQAgAAAAKwEAAGRycy9lMm9Eb2MueG1sUEsFBgAAAAAGAAYAWQEAABsGA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55.45pt;height:20.65pt;width:84.45pt;z-index:251676672;mso-width-relative:page;mso-height-relative:page;" fillcolor="#DAE3F3 [664]" filled="t" stroked="t" coordsize="21600,21600" o:gfxdata="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h0r3AAAAAsBAAAPAAAAAAAAAAEA&#10;IAAAACIAAABkcnMvZG93bnJldi54bWxQSwECFAAUAAAACACHTuJAXnnZb30CAAAABQAADgAAAAAA&#10;AAABACAAAAAr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4384;mso-width-relative:page;mso-height-relative:page;" fillcolor="#DAE3F3 [664]" filled="t" stroked="t" coordsize="21600,21600" o:gfxdata="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6eII22wAAAAsBAAAPAAAAAAAAAAEAIAAA&#10;ACIAAABkcnMvZG93bnJldi54bWxQSwECFAAUAAAACACHTuJAbxQFhHsCAAAABQAADgAAAAAAAAAB&#10;ACAAAAAqAQAAZHJzL2Uyb0RvYy54bWxQSwUGAAAAAAYABgBZAQAAFw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2576;mso-width-relative:page;mso-height-relative:page;" fillcolor="#DAE3F3 [664]" filled="t" stroked="t" coordsize="21600,21600" o:gfxdata="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rNF03AAAAAsBAAAPAAAAAAAAAAEA&#10;IAAAACIAAABkcnMvZG93bnJldi54bWxQSwECFAAUAAAACACHTuJA8qogi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1552;mso-width-relative:page;mso-height-relative:page;" fillcolor="#DAE3F3 [664]" filled="t" stroked="t" coordsize="21600,21600" o:gfxdata="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2B69dwAAAALAQAADwAAAAAAAAAB&#10;ACAAAAAiAAAAZHJzL2Rvd25yZXYueG1sUEsBAhQAFAAAAAgAh07iQCqlTkB+AgAAAAUAAA4AAAAA&#10;AAAAAQAgAAAAKwEAAGRycy9lMm9Eb2MueG1sUEsFBgAAAAAGAAYAWQEAABs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91.45pt;height:20.65pt;width:85.7pt;z-index:251680768;mso-width-relative:page;mso-height-relative:page;" fillcolor="#DAE3F3 [664]" filled="t" stroked="t" coordsize="21600,21600" o:gfxdata="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OI5NsAAAALAQAADwAAAAAAAAABACAA&#10;AAAiAAAAZHJzL2Rvd25yZXYueG1sUEsBAhQAFAAAAAgAh07iQK3zusR8AgAAAAUAAA4AAAAAAAAA&#10;AQAgAAAAKg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59.25pt;height:20.6pt;width:0pt;z-index:251679744;mso-width-relative:page;mso-height-relative:page;" filled="f" stroked="t" coordsize="21600,21600" o:gfxdata="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UXm1gAAAAsBAAAPAAAAAAAAAAEAIAAAACIAAABk&#10;cnMvZG93bnJldi54bWxQSwECFAAUAAAACACHTuJAKzNXkQ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17.8pt;height:20.6pt;width:0pt;z-index:251661312;mso-width-relative:page;mso-height-relative:page;" filled="f" stroked="t" coordsize="21600,21600" o:gfxdata="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z/f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0288;mso-width-relative:page;mso-height-relative:page;" fillcolor="#DAE3F3 [664]" filled="t" stroked="t" coordsize="21600,21600" o:gfxdata="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wFUz3AAAAAsBAAAPAAAAAAAAAAEA&#10;IAAAACIAAABkcnMvZG93bnJldi54bWxQSwECFAAUAAAACACHTuJAx7PaZX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5408;mso-width-relative:page;mso-height-relative:page;" fillcolor="#DAE3F3 [664]" filled="t" stroked="t" coordsize="21600,21600" o:gfxdata="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fZYFXbAAAACgEAAA8AAAAAAAAAAQAg&#10;AAAAIgAAAGRycy9kb3ducmV2LnhtbFBLAQIUABQAAAAIAIdO4kAZB0qifQIAAAAFAAAOAAAAAAAA&#10;AAEAIAAAACo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6432;mso-width-relative:page;mso-height-relative:page;" fillcolor="#DAE3F3 [664]" filled="t" stroked="t" coordsize="21600,21600" o:gfxdata="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ihljtoAAAAJAQAADwAAAAAAAAABACAAAAAi&#10;AAAAZHJzL2Rvd25yZXYueG1sUEsBAhQAFAAAAAgAh07iQA8w7Tx6AgAAAAUAAA4AAAAAAAAAAQAg&#10;AAAAKQEAAGRycy9lMm9Eb2MueG1sUEsFBgAAAAAGAAYAWQEAABU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12.55pt;height:20.65pt;width:0pt;z-index:251667456;mso-width-relative:page;mso-height-relative:page;" filled="f" stroked="t" coordsize="21600,21600" o:gfxdata="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fzPzWAAAACgEAAA8AAAAAAAAAAQAgAAAAIgAAAGRy&#10;cy9kb3ducmV2LnhtbFBLAQIUABQAAAAIAIdO4kBNJMN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8.8pt;height:20.65pt;width:0pt;z-index:251668480;mso-width-relative:page;mso-height-relative:page;" filled="f" stroked="t" coordsize="21600,21600" o:gfxdata="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qljWAAAACQEAAA8AAAAAAAAAAQAgAAAAIgAAAGRy&#10;cy9kb3ducmV2LnhtbFBLAQIUABQAAAAIAIdO4kBczBA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2.1pt;height:20.65pt;width:0pt;z-index:251669504;mso-width-relative:page;mso-height-relative:page;" filled="f" stroked="t" coordsize="21600,21600" o:gfxdata="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hXxNUAAAALAQAADwAAAAAAAAABACAAAAAiAAAAZHJz&#10;L2Rvd25yZXYueG1sUEsBAhQAFAAAAAgAh07iQGpSWssHAgAA3wMAAA4AAAAAAAAAAQAgAAAAJAEA&#10;AGRycy9lMm9Eb2MueG1sUEsFBgAAAAAGAAYAWQEAAJ0FA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11.45pt;height:20.65pt;width:0pt;z-index:251670528;mso-width-relative:page;mso-height-relative:page;" filled="f" stroked="t" coordsize="21600,21600" o:gfxdata="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aozfWAAAACwEAAA8AAAAAAAAAAQAgAAAAIgAAAGRy&#10;cy9kb3ducmV2LnhtbFBLAQIUABQAAAAIAIdO4kB7uom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4.75pt;height:20.65pt;width:0pt;z-index:251673600;mso-width-relative:page;mso-height-relative:page;" filled="f" stroked="t" coordsize="21600,21600" o:gfxdata="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aNfTWAAAACwEAAA8AAAAAAAAAAQAgAAAAIgAAAGRy&#10;cy9kb3ducmV2LnhtbFBLAQIUABQAAAAIAIdO4kBZai5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3.45pt;height:20.65pt;width:0pt;z-index:251674624;mso-width-relative:page;mso-height-relative:page;" filled="f" stroked="t" coordsize="21600,21600" o:gfxdata="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ag9NYAAAALAQAADwAAAAAAAAABACAAAAAiAAAAZHJz&#10;L2Rvd25yZXYueG1sUEsBAhQAFAAAAAgAh07iQGW4GQs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6.1pt;height:20.65pt;width:0pt;z-index:251677696;mso-width-relative:page;mso-height-relative:page;" filled="f" stroked="t" coordsize="21600,21600" o:gfxdata="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TIfvWAAAACwEAAA8AAAAAAAAAAQAgAAAAIgAAAGRy&#10;cy9kb3ducmV2LnhtbFBLAQIUABQAAAAIAIdO4kB0UMp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rPr>
        <w:br w:type="page"/>
      </w:r>
      <w:r>
        <w:rPr>
          <w:rFonts w:hint="eastAsia" w:ascii="仿宋" w:hAnsi="仿宋" w:eastAsia="仿宋" w:cs="仿宋"/>
          <w:b/>
          <w:sz w:val="36"/>
          <w:szCs w:val="20"/>
        </w:rPr>
        <w:t xml:space="preserve">第三部分  </w:t>
      </w:r>
      <w:r>
        <w:rPr>
          <w:rFonts w:hint="eastAsia" w:ascii="仿宋" w:hAnsi="仿宋" w:eastAsia="仿宋" w:cs="仿宋"/>
          <w:b/>
          <w:sz w:val="36"/>
        </w:rPr>
        <w:t>供应商须知</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一、前附表</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6"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有关本项目建设所需的</w:t>
            </w:r>
            <w:r>
              <w:rPr>
                <w:rFonts w:hint="eastAsia" w:ascii="仿宋" w:hAnsi="仿宋" w:eastAsia="仿宋" w:cs="仿宋"/>
                <w:sz w:val="24"/>
              </w:rPr>
              <w:t>全部</w:t>
            </w:r>
            <w:r>
              <w:rPr>
                <w:rFonts w:hint="eastAsia" w:ascii="仿宋" w:hAnsi="仿宋" w:eastAsia="仿宋" w:cs="仿宋"/>
                <w:kern w:val="0"/>
                <w:sz w:val="24"/>
                <w:lang w:val="zh-CN"/>
              </w:rPr>
              <w:t>费用包括税费均计入最后报价。</w:t>
            </w:r>
            <w:r>
              <w:rPr>
                <w:rFonts w:hint="eastAsia" w:ascii="仿宋" w:hAnsi="仿宋" w:eastAsia="仿宋" w:cs="仿宋"/>
                <w:sz w:val="24"/>
              </w:rPr>
              <w:t>《报价一览表》是报价的唯一载体</w:t>
            </w:r>
            <w:r>
              <w:rPr>
                <w:rFonts w:hint="eastAsia" w:ascii="仿宋" w:hAnsi="仿宋" w:eastAsia="仿宋" w:cs="仿宋"/>
                <w:kern w:val="0"/>
                <w:sz w:val="24"/>
                <w:lang w:val="zh-CN"/>
              </w:rPr>
              <w:t>。响应文件中价格全部采用人民币报价。磋商文件未列明，而供应商认为必需的费用也需列入最后报价。</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出现不是唯一的、有选择性最后报价的；</w:t>
            </w:r>
          </w:p>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b/>
                <w:sz w:val="24"/>
              </w:rPr>
              <w:t>▲响应报价高于本项目采购预算的;</w:t>
            </w:r>
          </w:p>
          <w:p>
            <w:pPr>
              <w:spacing w:line="360" w:lineRule="auto"/>
              <w:rPr>
                <w:rFonts w:hint="eastAsia" w:ascii="仿宋" w:hAnsi="仿宋" w:eastAsia="仿宋" w:cs="仿宋"/>
                <w:b/>
                <w:sz w:val="24"/>
              </w:rPr>
            </w:pPr>
            <w:r>
              <w:rPr>
                <w:rFonts w:hint="eastAsia" w:ascii="仿宋" w:hAnsi="仿宋" w:eastAsia="仿宋" w:cs="仿宋"/>
                <w:b/>
                <w:sz w:val="24"/>
              </w:rPr>
              <w:t>▲最后</w:t>
            </w:r>
            <w:r>
              <w:rPr>
                <w:rFonts w:hint="eastAsia" w:ascii="仿宋" w:hAnsi="仿宋" w:eastAsia="仿宋" w:cs="仿宋"/>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 w:hAnsi="仿宋" w:eastAsia="仿宋" w:cs="仿宋"/>
                <w:b/>
                <w:sz w:val="24"/>
                <w:szCs w:val="21"/>
              </w:rPr>
              <w:t>;</w:t>
            </w:r>
          </w:p>
          <w:p>
            <w:pPr>
              <w:spacing w:line="360" w:lineRule="auto"/>
              <w:rPr>
                <w:rFonts w:hint="eastAsia" w:ascii="仿宋" w:hAnsi="仿宋" w:eastAsia="仿宋" w:cs="仿宋"/>
                <w:sz w:val="24"/>
                <w:szCs w:val="21"/>
              </w:rPr>
            </w:pPr>
            <w:r>
              <w:rPr>
                <w:rFonts w:hint="eastAsia" w:ascii="仿宋" w:hAnsi="仿宋" w:eastAsia="仿宋" w:cs="仿宋"/>
                <w:b/>
                <w:sz w:val="24"/>
              </w:rPr>
              <w:t>▲《报价一览表》</w:t>
            </w:r>
            <w:r>
              <w:rPr>
                <w:rFonts w:hint="eastAsia" w:ascii="仿宋" w:hAnsi="仿宋" w:eastAsia="仿宋" w:cs="仿宋"/>
                <w:b/>
                <w:sz w:val="24"/>
                <w:lang w:eastAsia="zh-CN"/>
              </w:rPr>
              <w:t>重要信息</w:t>
            </w:r>
            <w:r>
              <w:rPr>
                <w:rFonts w:hint="eastAsia" w:ascii="仿宋" w:hAnsi="仿宋" w:eastAsia="仿宋" w:cs="仿宋"/>
                <w:b/>
                <w:sz w:val="24"/>
              </w:rPr>
              <w:t>填写不完整或字迹不能辨认或有漏项的；</w:t>
            </w:r>
          </w:p>
          <w:p>
            <w:pPr>
              <w:spacing w:line="360" w:lineRule="auto"/>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分包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kern w:val="2"/>
                <w:sz w:val="24"/>
                <w:szCs w:val="24"/>
                <w:lang w:val="en-US" w:eastAsia="zh-CN" w:bidi="ar-SA"/>
              </w:rPr>
            </w:pPr>
            <w:sdt>
              <w:sdtPr>
                <w:rPr>
                  <w:rFonts w:hint="eastAsia" w:ascii="仿宋" w:hAnsi="仿宋" w:eastAsia="仿宋" w:cs="仿宋"/>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运输、安装</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工作分包。</w:t>
            </w:r>
            <w:sdt>
              <w:sdtPr>
                <w:rPr>
                  <w:rFonts w:hint="eastAsia" w:ascii="仿宋" w:hAnsi="仿宋" w:eastAsia="仿宋" w:cs="仿宋"/>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供应商应当提供的特定资格证明材料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特定资格证明文件：无。</w:t>
            </w:r>
          </w:p>
          <w:p>
            <w:pPr>
              <w:spacing w:line="360" w:lineRule="auto"/>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供应商未提供有效的特定资格证明材料的，视为供应商不具备磋商文件中规定的资格要求，响应无效。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供应商应当提供的资信证明材料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rPr>
              <w:t>资信证明文件：根据磋商文件第五部分具体评审标准提供。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rPr>
              <w:t>开启响应文件</w:t>
            </w:r>
            <w:r>
              <w:rPr>
                <w:rFonts w:hint="eastAsia" w:ascii="仿宋" w:hAnsi="仿宋" w:eastAsia="仿宋" w:cs="仿宋"/>
                <w:b/>
                <w:sz w:val="24"/>
              </w:rPr>
              <w:t>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pPr>
              <w:pStyle w:val="10"/>
              <w:spacing w:line="360" w:lineRule="auto"/>
              <w:rPr>
                <w:rFonts w:hint="eastAsia" w:ascii="仿宋" w:hAnsi="仿宋" w:eastAsia="仿宋" w:cs="仿宋"/>
                <w:sz w:val="24"/>
              </w:rPr>
            </w:pPr>
            <w:sdt>
              <w:sdtPr>
                <w:rPr>
                  <w:rFonts w:hint="eastAsia" w:ascii="仿宋" w:hAnsi="仿宋" w:eastAsia="仿宋" w:cs="仿宋"/>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2"/>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（4）是否需要针对样品提交检测报告：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14:textFill>
                  <w14:solidFill>
                    <w14:schemeClr w14:val="tx1"/>
                  </w14:solidFill>
                </w14:textFill>
              </w:rPr>
              <w:t>检测报告编制在投标文件中。</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（5）提供样品的截止时间：</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，联系电话：</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pStyle w:val="10"/>
              <w:spacing w:line="360" w:lineRule="auto"/>
              <w:rPr>
                <w:rFonts w:hint="eastAsia" w:ascii="仿宋" w:hAnsi="仿宋" w:eastAsia="仿宋" w:cs="仿宋"/>
                <w:b/>
                <w:sz w:val="24"/>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szCs w:val="24"/>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现场讲解地点为</w:t>
            </w:r>
            <w:r>
              <w:rPr>
                <w:rFonts w:hint="eastAsia" w:ascii="仿宋" w:hAnsi="仿宋" w:eastAsia="仿宋" w:cs="仿宋"/>
                <w:sz w:val="24"/>
                <w:szCs w:val="24"/>
                <w:u w:val="single"/>
              </w:rPr>
              <w:t>杭州市公共资源交易中心</w:t>
            </w:r>
            <w:r>
              <w:rPr>
                <w:rFonts w:hint="eastAsia" w:ascii="仿宋" w:hAnsi="仿宋" w:eastAsia="仿宋" w:cs="仿宋"/>
                <w:color w:val="auto"/>
                <w:sz w:val="24"/>
                <w:szCs w:val="24"/>
                <w:u w:val="single"/>
                <w:lang w:eastAsia="zh-CN"/>
              </w:rPr>
              <w:t>临安分中心</w:t>
            </w:r>
            <w:r>
              <w:rPr>
                <w:rFonts w:hint="eastAsia" w:ascii="仿宋" w:hAnsi="仿宋" w:eastAsia="仿宋" w:cs="仿宋"/>
                <w:color w:val="auto"/>
                <w:sz w:val="24"/>
                <w:szCs w:val="24"/>
                <w:u w:val="single"/>
                <w:lang w:val="en-US" w:eastAsia="zh-CN"/>
              </w:rPr>
              <w:t>询标</w:t>
            </w:r>
            <w:r>
              <w:rPr>
                <w:rFonts w:hint="eastAsia" w:ascii="仿宋" w:hAnsi="仿宋" w:eastAsia="仿宋" w:cs="仿宋"/>
                <w:color w:val="auto"/>
                <w:sz w:val="24"/>
                <w:szCs w:val="24"/>
                <w:u w:val="single"/>
              </w:rPr>
              <w:t>室[杭州市</w:t>
            </w:r>
            <w:r>
              <w:rPr>
                <w:rFonts w:hint="eastAsia" w:ascii="仿宋" w:hAnsi="仿宋" w:eastAsia="仿宋" w:cs="仿宋"/>
                <w:color w:val="auto"/>
                <w:sz w:val="24"/>
                <w:szCs w:val="24"/>
                <w:u w:val="single"/>
                <w:lang w:eastAsia="zh-CN"/>
              </w:rPr>
              <w:t>临安区锦北街道科技大道</w:t>
            </w:r>
            <w:r>
              <w:rPr>
                <w:rFonts w:hint="eastAsia" w:ascii="仿宋" w:hAnsi="仿宋" w:eastAsia="仿宋" w:cs="仿宋"/>
                <w:color w:val="auto"/>
                <w:sz w:val="24"/>
                <w:szCs w:val="24"/>
                <w:u w:val="single"/>
                <w:lang w:val="en-US" w:eastAsia="zh-CN"/>
              </w:rPr>
              <w:t>4398号市民中心B座4楼询标室</w:t>
            </w:r>
            <w:r>
              <w:rPr>
                <w:rFonts w:hint="eastAsia" w:ascii="仿宋" w:hAnsi="仿宋" w:eastAsia="仿宋" w:cs="仿宋"/>
                <w:color w:val="auto"/>
                <w:sz w:val="24"/>
                <w:szCs w:val="24"/>
                <w:u w:val="single"/>
              </w:rPr>
              <w:t>]</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sz w:val="24"/>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color w:val="000000" w:themeColor="text1"/>
                <w:kern w:val="2"/>
                <w:sz w:val="24"/>
                <w:szCs w:val="22"/>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000000" w:themeColor="text1"/>
                <w:kern w:val="2"/>
                <w:sz w:val="24"/>
                <w:szCs w:val="22"/>
                <w:lang w:val="en-US" w:eastAsia="zh-CN" w:bidi="ar-SA"/>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pPr>
              <w:spacing w:line="360" w:lineRule="auto"/>
              <w:rPr>
                <w:rFonts w:hint="eastAsia" w:ascii="仿宋" w:hAnsi="仿宋" w:eastAsia="仿宋" w:cs="仿宋"/>
                <w:color w:val="000000" w:themeColor="text1"/>
                <w:kern w:val="2"/>
                <w:sz w:val="21"/>
                <w:szCs w:val="22"/>
                <w:lang w:val="en-US" w:eastAsia="zh-CN" w:bidi="ar-SA"/>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872786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szCs w:val="24"/>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货物类，单一产品或</w:t>
            </w:r>
            <w:r>
              <w:rPr>
                <w:rFonts w:hint="eastAsia" w:ascii="仿宋" w:hAnsi="仿宋" w:eastAsia="仿宋" w:cs="仿宋"/>
                <w:color w:val="000000" w:themeColor="text1"/>
                <w:kern w:val="0"/>
                <w:sz w:val="24"/>
                <w14:textFill>
                  <w14:solidFill>
                    <w14:schemeClr w14:val="tx1"/>
                  </w14:solidFill>
                </w14:textFill>
              </w:rPr>
              <w:t>核心产品为：</w:t>
            </w:r>
            <w:r>
              <w:rPr>
                <w:rFonts w:hint="eastAsia" w:ascii="仿宋" w:hAnsi="仿宋" w:eastAsia="仿宋" w:cs="仿宋"/>
                <w:b/>
                <w:bCs/>
                <w:color w:val="000000" w:themeColor="text1"/>
                <w:kern w:val="0"/>
                <w:sz w:val="24"/>
                <w:u w:val="single"/>
                <w:lang w:val="en-US" w:eastAsia="zh-CN"/>
                <w14:textFill>
                  <w14:solidFill>
                    <w14:schemeClr w14:val="tx1"/>
                  </w14:solidFill>
                </w14:textFill>
              </w:rPr>
              <w:t>屏体</w:t>
            </w: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b/>
                <w:kern w:val="0"/>
                <w:sz w:val="24"/>
                <w:highlight w:val="none"/>
                <w:lang w:val="zh-CN"/>
              </w:rPr>
            </w:pPr>
            <w:sdt>
              <w:sdtPr>
                <w:rPr>
                  <w:rFonts w:hint="eastAsia" w:ascii="仿宋" w:hAnsi="仿宋" w:eastAsia="仿宋" w:cs="仿宋"/>
                  <w:color w:val="000000" w:themeColor="text1"/>
                  <w:kern w:val="0"/>
                  <w:sz w:val="24"/>
                  <w14:textFill>
                    <w14:solidFill>
                      <w14:schemeClr w14:val="tx1"/>
                    </w14:solidFill>
                  </w14:textFill>
                </w:rPr>
                <w:id w:val="47488555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szCs w:val="24"/>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0"/>
              </w:numPr>
              <w:snapToGrid w:val="0"/>
              <w:spacing w:line="360"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kern w:val="0"/>
                <w:sz w:val="24"/>
              </w:rPr>
              <w:t>标的：</w:t>
            </w:r>
            <w:r>
              <w:rPr>
                <w:rFonts w:hint="eastAsia" w:ascii="仿宋" w:hAnsi="仿宋" w:eastAsia="仿宋" w:cs="仿宋"/>
                <w:b/>
                <w:bCs/>
                <w:kern w:val="0"/>
                <w:sz w:val="24"/>
                <w:u w:val="single"/>
                <w:lang w:eastAsia="zh-CN"/>
              </w:rPr>
              <w:t>详见采购清单</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工业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b/>
                <w:color w:val="0000FF"/>
                <w:kern w:val="0"/>
                <w:sz w:val="24"/>
                <w:szCs w:val="24"/>
                <w:lang w:val="en-US" w:eastAsia="zh-CN" w:bidi="ar-SA"/>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restart"/>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hint="eastAsia" w:ascii="仿宋" w:hAnsi="仿宋" w:eastAsia="仿宋" w:cs="仿宋"/>
                <w:sz w:val="24"/>
                <w:szCs w:val="24"/>
              </w:rPr>
            </w:pPr>
          </w:p>
          <w:p>
            <w:pPr>
              <w:adjustRightInd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 w:hAnsi="仿宋" w:eastAsia="仿宋" w:cs="仿宋"/>
                <w:b/>
                <w:sz w:val="24"/>
              </w:rPr>
            </w:pPr>
            <w:r>
              <w:rPr>
                <w:rFonts w:hint="eastAsia" w:ascii="仿宋" w:hAnsi="仿宋" w:eastAsia="仿宋" w:cs="仿宋"/>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continue"/>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hint="eastAsia" w:ascii="仿宋" w:hAnsi="仿宋" w:eastAsia="仿宋" w:cs="仿宋"/>
                <w:sz w:val="24"/>
                <w:szCs w:val="24"/>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 w:hAnsi="仿宋" w:eastAsia="仿宋" w:cs="仿宋"/>
                <w:b/>
                <w:sz w:val="24"/>
                <w:szCs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color w:val="000000" w:themeColor="text1"/>
                <w:sz w:val="24"/>
                <w:highlight w:val="none"/>
                <w14:textFill>
                  <w14:solidFill>
                    <w14:schemeClr w14:val="tx1"/>
                  </w14:solidFill>
                </w14:textFill>
              </w:rPr>
              <w:t xml:space="preserve">备份投标文件送达地点和签收人员 </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1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响应</w:t>
            </w:r>
            <w:r>
              <w:rPr>
                <w:rFonts w:hint="eastAsia" w:ascii="仿宋" w:hAnsi="仿宋" w:eastAsia="仿宋" w:cs="仿宋"/>
                <w:color w:val="000000" w:themeColor="text1"/>
                <w:kern w:val="28"/>
                <w:sz w:val="24"/>
                <w:szCs w:val="24"/>
                <w:highlight w:val="none"/>
                <w14:textFill>
                  <w14:solidFill>
                    <w14:schemeClr w14:val="tx1"/>
                  </w14:solidFill>
                </w14:textFill>
              </w:rPr>
              <w:t>文件送达地点</w:t>
            </w:r>
            <w:r>
              <w:rPr>
                <w:rFonts w:hint="eastAsia" w:ascii="仿宋" w:hAnsi="仿宋" w:eastAsia="仿宋" w:cs="仿宋"/>
                <w:color w:val="000000" w:themeColor="text1"/>
                <w:kern w:val="28"/>
                <w:sz w:val="24"/>
                <w:szCs w:val="24"/>
                <w:highlight w:val="none"/>
                <w:u w:val="single"/>
                <w14:textFill>
                  <w14:solidFill>
                    <w14:schemeClr w14:val="tx1"/>
                  </w14:solidFill>
                </w14:textFill>
              </w:rPr>
              <w:t>：</w:t>
            </w:r>
            <w:r>
              <w:rPr>
                <w:rFonts w:hint="eastAsia" w:ascii="仿宋" w:hAnsi="仿宋" w:eastAsia="仿宋" w:cs="仿宋"/>
                <w:snapToGrid w:val="0"/>
                <w:sz w:val="24"/>
                <w:szCs w:val="24"/>
                <w:u w:val="single"/>
              </w:rPr>
              <w:t>杭州市</w:t>
            </w:r>
            <w:r>
              <w:rPr>
                <w:rFonts w:hint="eastAsia" w:ascii="仿宋" w:hAnsi="仿宋" w:eastAsia="仿宋" w:cs="仿宋"/>
                <w:snapToGrid w:val="0"/>
                <w:sz w:val="24"/>
                <w:szCs w:val="24"/>
                <w:u w:val="single"/>
                <w:lang w:eastAsia="zh-CN"/>
              </w:rPr>
              <w:t>临安区锦北街道科技大道</w:t>
            </w:r>
            <w:r>
              <w:rPr>
                <w:rFonts w:hint="eastAsia" w:ascii="仿宋" w:hAnsi="仿宋" w:eastAsia="仿宋" w:cs="仿宋"/>
                <w:snapToGrid w:val="0"/>
                <w:sz w:val="24"/>
                <w:szCs w:val="24"/>
                <w:u w:val="single"/>
                <w:lang w:val="en-US" w:eastAsia="zh-CN"/>
              </w:rPr>
              <w:t>4398号市民中心B座B448室</w:t>
            </w:r>
            <w:r>
              <w:rPr>
                <w:rFonts w:hint="eastAsia" w:ascii="仿宋" w:hAnsi="仿宋" w:eastAsia="仿宋" w:cs="仿宋"/>
                <w:snapToGrid w:val="0"/>
                <w:sz w:val="24"/>
                <w:szCs w:val="24"/>
                <w:u w:val="single"/>
              </w:rPr>
              <w:t>（杭州市公共资源交易中心</w:t>
            </w:r>
            <w:r>
              <w:rPr>
                <w:rFonts w:hint="eastAsia" w:ascii="仿宋" w:hAnsi="仿宋" w:eastAsia="仿宋" w:cs="仿宋"/>
                <w:snapToGrid w:val="0"/>
                <w:sz w:val="24"/>
                <w:szCs w:val="24"/>
                <w:u w:val="single"/>
                <w:lang w:eastAsia="zh-CN"/>
              </w:rPr>
              <w:t>临安分中心</w:t>
            </w:r>
            <w:r>
              <w:rPr>
                <w:rFonts w:hint="eastAsia" w:ascii="仿宋" w:hAnsi="仿宋" w:eastAsia="仿宋" w:cs="仿宋"/>
                <w:snapToGrid w:val="0"/>
                <w:sz w:val="24"/>
                <w:szCs w:val="24"/>
                <w:u w:val="single"/>
              </w:rPr>
              <w:t>政府采购</w:t>
            </w:r>
            <w:r>
              <w:rPr>
                <w:rFonts w:hint="eastAsia" w:ascii="仿宋" w:hAnsi="仿宋" w:eastAsia="仿宋" w:cs="仿宋"/>
                <w:snapToGrid w:val="0"/>
                <w:sz w:val="24"/>
                <w:szCs w:val="24"/>
                <w:u w:val="single"/>
                <w:lang w:eastAsia="zh-CN"/>
              </w:rPr>
              <w:t>科</w:t>
            </w:r>
            <w:r>
              <w:rPr>
                <w:rFonts w:hint="eastAsia" w:ascii="仿宋" w:hAnsi="仿宋" w:eastAsia="仿宋" w:cs="仿宋"/>
                <w:snapToGrid w:val="0"/>
                <w:sz w:val="24"/>
                <w:szCs w:val="24"/>
                <w:u w:val="single"/>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28"/>
                <w:sz w:val="24"/>
                <w:szCs w:val="24"/>
                <w:highlight w:val="none"/>
                <w14:textFill>
                  <w14:solidFill>
                    <w14:schemeClr w14:val="tx1"/>
                  </w14:solidFill>
                </w14:textFill>
              </w:rPr>
              <w:t>；备份</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响应</w:t>
            </w:r>
            <w:r>
              <w:rPr>
                <w:rFonts w:hint="eastAsia" w:ascii="仿宋" w:hAnsi="仿宋" w:eastAsia="仿宋" w:cs="仿宋"/>
                <w:color w:val="000000" w:themeColor="text1"/>
                <w:kern w:val="28"/>
                <w:sz w:val="24"/>
                <w:szCs w:val="24"/>
                <w:highlight w:val="none"/>
                <w14:textFill>
                  <w14:solidFill>
                    <w14:schemeClr w14:val="tx1"/>
                  </w14:solidFill>
                </w14:textFill>
              </w:rPr>
              <w:t>文件签收人员联系电话：</w:t>
            </w:r>
            <w:r>
              <w:rPr>
                <w:rFonts w:hint="eastAsia" w:ascii="仿宋" w:hAnsi="仿宋" w:eastAsia="仿宋" w:cs="仿宋"/>
                <w:color w:val="000000" w:themeColor="text1"/>
                <w:sz w:val="24"/>
                <w:highlight w:val="none"/>
                <w:u w:val="single"/>
                <w14:textFill>
                  <w14:solidFill>
                    <w14:schemeClr w14:val="tx1"/>
                  </w14:solidFill>
                </w14:textFill>
              </w:rPr>
              <w:t>0571-</w:t>
            </w:r>
            <w:r>
              <w:rPr>
                <w:rFonts w:hint="eastAsia" w:ascii="仿宋" w:hAnsi="仿宋" w:eastAsia="仿宋" w:cs="仿宋"/>
                <w:color w:val="000000" w:themeColor="text1"/>
                <w:sz w:val="24"/>
                <w:highlight w:val="none"/>
                <w:u w:val="single"/>
                <w:lang w:val="en-US" w:eastAsia="zh-CN"/>
                <w14:textFill>
                  <w14:solidFill>
                    <w14:schemeClr w14:val="tx1"/>
                  </w14:solidFill>
                </w14:textFill>
              </w:rPr>
              <w:t>23616011</w:t>
            </w:r>
            <w:r>
              <w:rPr>
                <w:rFonts w:hint="eastAsia" w:ascii="仿宋" w:hAnsi="仿宋" w:eastAsia="仿宋" w:cs="仿宋"/>
                <w:color w:val="000000" w:themeColor="text1"/>
                <w:sz w:val="24"/>
                <w:szCs w:val="24"/>
                <w:highlight w:val="none"/>
                <w14:textFill>
                  <w14:solidFill>
                    <w14:schemeClr w14:val="tx1"/>
                  </w14:solidFill>
                </w14:textFill>
              </w:rPr>
              <w:t>。</w:t>
            </w:r>
          </w:p>
          <w:p>
            <w:pPr>
              <w:pStyle w:val="10"/>
              <w:spacing w:line="360" w:lineRule="auto"/>
              <w:rPr>
                <w:rFonts w:hint="eastAsia" w:ascii="仿宋" w:hAnsi="仿宋" w:eastAsia="仿宋" w:cs="仿宋"/>
                <w:snapToGrid w:val="0"/>
                <w:kern w:val="28"/>
                <w:sz w:val="24"/>
              </w:rPr>
            </w:pP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w:t>
            </w:r>
            <w:r>
              <w:rPr>
                <w:rFonts w:hint="eastAsia" w:ascii="仿宋" w:hAnsi="仿宋" w:eastAsia="仿宋" w:cs="仿宋"/>
                <w:b/>
                <w:color w:val="000000" w:themeColor="text1"/>
                <w:sz w:val="24"/>
                <w:szCs w:val="24"/>
                <w:highlight w:val="none"/>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36976655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0525701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“采购机构”系指磋商邀请公告中载明的本项目的采购机构。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2.7“电子交易平台”是指本项目政府采购活动所依托的政府采购云平台（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21"/>
          <w:rFonts w:hint="eastAsia" w:ascii="仿宋" w:hAnsi="仿宋" w:eastAsia="仿宋" w:cs="仿宋"/>
          <w:snapToGrid/>
          <w:color w:val="auto"/>
          <w:kern w:val="2"/>
          <w:sz w:val="24"/>
          <w:szCs w:val="24"/>
        </w:rPr>
        <w:t>https://www.zcygov.cn/</w:t>
      </w:r>
      <w:r>
        <w:rPr>
          <w:rFonts w:hint="eastAsia" w:ascii="仿宋" w:hAnsi="仿宋" w:eastAsia="仿宋" w:cs="仿宋"/>
          <w:sz w:val="24"/>
        </w:rPr>
        <w:fldChar w:fldCharType="end"/>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adjustRightInd/>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3. 磋商有效期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24"/>
        <w:spacing w:before="0"/>
        <w:ind w:firstLine="480"/>
        <w:rPr>
          <w:rFonts w:hint="eastAsia" w:ascii="仿宋" w:hAnsi="仿宋" w:eastAsia="仿宋" w:cs="仿宋"/>
        </w:rPr>
      </w:pPr>
      <w:r>
        <w:rPr>
          <w:rFonts w:hint="eastAsia" w:ascii="仿宋" w:hAnsi="仿宋" w:eastAsia="仿宋" w:cs="仿宋"/>
        </w:rPr>
        <w:t>3.2响应文件合格投递后，自响应截止日期起，在响应有效期内有效。</w:t>
      </w:r>
    </w:p>
    <w:p>
      <w:pPr>
        <w:pStyle w:val="24"/>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pPr>
        <w:pStyle w:val="10"/>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spacing w:line="360" w:lineRule="auto"/>
        <w:jc w:val="center"/>
        <w:rPr>
          <w:rFonts w:hint="eastAsia" w:ascii="仿宋" w:hAnsi="仿宋" w:eastAsia="仿宋" w:cs="仿宋"/>
          <w:b/>
          <w:sz w:val="24"/>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pPr>
        <w:pStyle w:val="10"/>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rPr>
          <w:rFonts w:hint="eastAsia" w:ascii="仿宋" w:hAnsi="仿宋" w:eastAsia="仿宋" w:cs="仿宋"/>
          <w:b/>
          <w:sz w:val="24"/>
        </w:rPr>
      </w:pPr>
      <w:r>
        <w:rPr>
          <w:rFonts w:hint="eastAsia" w:ascii="仿宋" w:hAnsi="仿宋" w:eastAsia="仿宋" w:cs="仿宋"/>
          <w:b/>
          <w:sz w:val="24"/>
          <w:szCs w:val="24"/>
        </w:rPr>
        <w:t xml:space="preserve">2. </w:t>
      </w:r>
      <w:r>
        <w:rPr>
          <w:rFonts w:hint="eastAsia" w:ascii="仿宋" w:hAnsi="仿宋" w:eastAsia="仿宋" w:cs="仿宋"/>
          <w:b/>
          <w:sz w:val="24"/>
        </w:rPr>
        <w:t>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采购人拟采购的产品属于政府强制采购的节能产品品目清单范围的，供应商未按磋商文件要求提供国家确定的认证机构出具的、处于有效期之内的节能产品认证证书的，响应无效。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修缮、装修类项目采购建材的，采购人应将绿色建筑和绿色建材性能、指标等作为实质性条件纳入磋商文件和合同。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szCs w:val="24"/>
        </w:rPr>
        <w:t>3.</w:t>
      </w:r>
      <w:r>
        <w:rPr>
          <w:rFonts w:hint="eastAsia" w:ascii="仿宋" w:hAnsi="仿宋" w:eastAsia="仿宋" w:cs="仿宋"/>
          <w:bCs/>
          <w:sz w:val="24"/>
        </w:rPr>
        <w:t>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在政府采购活动中，供应商提供的货物、工程或者服务符合下列情形的，享受中小企业扶持政策：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3.3对于未预留份额专门面向中小企业的政府采购货物或服务项目，以及预留份额政府采购货物或服务项目中的非预留部分标项，对小型和微型企业的最后报价给予</w:t>
      </w:r>
      <w:r>
        <w:rPr>
          <w:rFonts w:hint="eastAsia" w:ascii="仿宋" w:hAnsi="仿宋" w:eastAsia="仿宋" w:cs="仿宋"/>
          <w:b/>
          <w:bCs/>
          <w:sz w:val="24"/>
          <w:lang w:val="en-US" w:eastAsia="zh-CN"/>
        </w:rPr>
        <w:t>2</w:t>
      </w:r>
      <w:r>
        <w:rPr>
          <w:rFonts w:hint="eastAsia" w:ascii="仿宋" w:hAnsi="仿宋" w:eastAsia="仿宋" w:cs="仿宋"/>
          <w:b/>
          <w:bCs/>
          <w:sz w:val="24"/>
        </w:rPr>
        <w:t>0 %</w:t>
      </w:r>
      <w:r>
        <w:rPr>
          <w:rFonts w:hint="eastAsia" w:ascii="仿宋" w:hAnsi="仿宋" w:eastAsia="仿宋" w:cs="仿宋"/>
          <w:sz w:val="24"/>
        </w:rPr>
        <w:t>的扣除，用扣除后的价格参与评审。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3.5符合《关于促进残疾人就业政府采购政策的通知》（财库〔2017〕141号）规定的条件并提供《残疾人福利性单位声明函》（附件4）的残疾人福利性单位视同小型、微型企业；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3.7可享受</w:t>
      </w:r>
      <w:r>
        <w:rPr>
          <w:rFonts w:hint="eastAsia" w:ascii="仿宋" w:hAnsi="仿宋" w:eastAsia="仿宋" w:cs="仿宋"/>
          <w:kern w:val="0"/>
          <w:sz w:val="24"/>
        </w:rPr>
        <w:t>中小企业扶持政策</w:t>
      </w:r>
      <w:r>
        <w:rPr>
          <w:rFonts w:hint="eastAsia" w:ascii="仿宋" w:hAnsi="仿宋" w:eastAsia="仿宋" w:cs="仿宋"/>
          <w:sz w:val="24"/>
        </w:rPr>
        <w:t>的供应商应按照磋商文件格式要求提供《中小企业声明函》。</w:t>
      </w:r>
    </w:p>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3.8中小企业享受扶持政策获得政府采购合同的，小微企业不得将合同分包给大中型企业，中型企业不得将合同分包给大型企业。</w:t>
      </w:r>
      <w:r>
        <w:rPr>
          <w:rFonts w:hint="eastAsia" w:ascii="仿宋" w:hAnsi="仿宋" w:eastAsia="仿宋" w:cs="仿宋"/>
          <w:sz w:val="24"/>
        </w:rPr>
        <w:br w:type="textWrapping"/>
      </w:r>
      <w:r>
        <w:rPr>
          <w:rFonts w:hint="eastAsia" w:ascii="仿宋" w:hAnsi="仿宋" w:eastAsia="仿宋" w:cs="仿宋"/>
          <w:b/>
          <w:bCs/>
          <w:kern w:val="2"/>
          <w:sz w:val="24"/>
          <w:szCs w:val="20"/>
          <w:lang w:val="en-US" w:eastAsia="zh-CN" w:bidi="ar-SA"/>
        </w:rPr>
        <w:t>4、支持创新发展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 中小企业信用融资</w:t>
      </w:r>
    </w:p>
    <w:p>
      <w:pPr>
        <w:pStyle w:val="10"/>
        <w:spacing w:line="360" w:lineRule="auto"/>
        <w:ind w:firstLine="360" w:firstLineChars="150"/>
        <w:rPr>
          <w:rFonts w:hint="eastAsia" w:ascii="仿宋" w:hAnsi="仿宋" w:eastAsia="仿宋" w:cs="仿宋"/>
          <w:sz w:val="24"/>
        </w:rPr>
      </w:pPr>
      <w:r>
        <w:rPr>
          <w:rFonts w:hint="eastAsia" w:ascii="仿宋" w:hAnsi="仿宋" w:eastAsia="仿宋" w:cs="仿宋"/>
          <w:sz w:val="24"/>
        </w:rPr>
        <w:t>凡已在浙江政府采购网网上注册入库，并取得临安区政府采购合同的中小企业供应商，均可申请政府采购信用融资</w:t>
      </w:r>
      <w:r>
        <w:rPr>
          <w:rFonts w:hint="eastAsia" w:ascii="仿宋" w:hAnsi="仿宋" w:eastAsia="仿宋" w:cs="仿宋"/>
          <w:sz w:val="24"/>
          <w:lang w:eastAsia="zh-CN"/>
        </w:rPr>
        <w:t>，</w:t>
      </w:r>
      <w:r>
        <w:rPr>
          <w:rFonts w:hint="eastAsia" w:ascii="仿宋" w:hAnsi="仿宋" w:eastAsia="仿宋" w:cs="仿宋"/>
          <w:sz w:val="24"/>
        </w:rPr>
        <w:t>联系方式见附表（政府采购融资畅通工程金融机构联系信息表）</w:t>
      </w:r>
      <w:r>
        <w:rPr>
          <w:rFonts w:hint="eastAsia" w:ascii="仿宋" w:hAnsi="仿宋" w:eastAsia="仿宋" w:cs="仿宋"/>
          <w:sz w:val="24"/>
          <w:lang w:eastAsia="zh-CN"/>
        </w:rPr>
        <w:t>。</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pPr>
        <w:spacing w:line="360" w:lineRule="auto"/>
        <w:rPr>
          <w:rFonts w:hint="eastAsia" w:ascii="仿宋" w:hAnsi="仿宋" w:eastAsia="仿宋" w:cs="仿宋"/>
          <w:b/>
          <w:sz w:val="24"/>
        </w:rPr>
      </w:pPr>
      <w:r>
        <w:rPr>
          <w:rFonts w:hint="eastAsia" w:ascii="仿宋" w:hAnsi="仿宋" w:eastAsia="仿宋" w:cs="仿宋"/>
          <w:b/>
          <w:sz w:val="24"/>
        </w:rPr>
        <w:t>1. 供应商询问</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根据采购人与采购机构签订的《杭州市</w:t>
      </w:r>
      <w:r>
        <w:rPr>
          <w:rFonts w:hint="eastAsia" w:ascii="仿宋" w:hAnsi="仿宋" w:eastAsia="仿宋" w:cs="仿宋"/>
          <w:sz w:val="24"/>
          <w:lang w:eastAsia="zh-CN"/>
        </w:rPr>
        <w:t>临安区</w:t>
      </w:r>
      <w:r>
        <w:rPr>
          <w:rFonts w:hint="eastAsia" w:ascii="仿宋" w:hAnsi="仿宋" w:eastAsia="仿宋" w:cs="仿宋"/>
          <w:sz w:val="24"/>
        </w:rPr>
        <w:t>集中采购年度委托协议》的规定：供应商可以就采购文件中特定资格条件、采购需求、评分办法及采购过程中有关现场考察或开启响应文件前答疑会事项向采购人提出询问，采购人将对此作出答复；供应商可以就采购活动中的其它事项向采购机构提出询问，采购机构将对此作出答复。答复的内容不得涉及商业秘密。</w:t>
      </w:r>
    </w:p>
    <w:p>
      <w:pPr>
        <w:spacing w:line="360" w:lineRule="auto"/>
        <w:rPr>
          <w:rFonts w:hint="eastAsia" w:ascii="仿宋" w:hAnsi="仿宋" w:eastAsia="仿宋" w:cs="仿宋"/>
          <w:b/>
          <w:sz w:val="24"/>
        </w:rPr>
      </w:pPr>
      <w:r>
        <w:rPr>
          <w:rFonts w:hint="eastAsia" w:ascii="仿宋" w:hAnsi="仿宋" w:eastAsia="仿宋" w:cs="仿宋"/>
          <w:b/>
          <w:sz w:val="24"/>
        </w:rPr>
        <w:t>2. 供应商质疑</w:t>
      </w:r>
    </w:p>
    <w:p>
      <w:pPr>
        <w:pStyle w:val="10"/>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2</w:t>
      </w:r>
      <w:r>
        <w:rPr>
          <w:rFonts w:hint="eastAsia" w:ascii="仿宋" w:hAnsi="仿宋" w:eastAsia="仿宋" w:cs="仿宋"/>
          <w:b/>
          <w:sz w:val="24"/>
        </w:rPr>
        <w:t>.1质疑提出时效</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2.1.1提出质疑的供应商应当是参与所质疑项目采购活动的供应商。潜在供应商已依法获取其可质疑的采购文件的，可以对该文件提出质疑。</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2</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2.1.2.2对采购过程提出质疑的，质疑期限为各采购程序环节结束之日起计算。对同一采购程序环节的质疑，供应商须一次性提出。</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2.1.2.3对采购结果提出质疑的，质疑期限自采购结果公告期限届满之日起计算。</w:t>
      </w:r>
    </w:p>
    <w:p>
      <w:pPr>
        <w:pStyle w:val="10"/>
        <w:spacing w:line="360" w:lineRule="auto"/>
        <w:ind w:firstLine="482" w:firstLineChars="200"/>
        <w:rPr>
          <w:rFonts w:hint="eastAsia" w:ascii="仿宋" w:hAnsi="仿宋" w:eastAsia="仿宋" w:cs="仿宋"/>
          <w:sz w:val="24"/>
        </w:rPr>
      </w:pPr>
      <w:r>
        <w:rPr>
          <w:rFonts w:hint="eastAsia" w:ascii="仿宋" w:hAnsi="仿宋" w:eastAsia="仿宋" w:cs="仿宋"/>
          <w:b/>
          <w:sz w:val="24"/>
        </w:rPr>
        <w:t>2.2质疑答复</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2.2.1根据采购人与采购机构签订的《杭州市集中采购委托协议》的规定，质疑答复责任主体如下：</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质疑答复责任主体一览表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4635"/>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0" w:type="dxa"/>
            <w:gridSpan w:val="2"/>
            <w:vAlign w:val="center"/>
          </w:tcPr>
          <w:p>
            <w:pPr>
              <w:pStyle w:val="1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质疑内容</w:t>
            </w:r>
          </w:p>
        </w:tc>
        <w:tc>
          <w:tcPr>
            <w:tcW w:w="2676" w:type="dxa"/>
            <w:vAlign w:val="center"/>
          </w:tcPr>
          <w:p>
            <w:pPr>
              <w:pStyle w:val="1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restart"/>
            <w:vAlign w:val="center"/>
          </w:tcPr>
          <w:p>
            <w:pPr>
              <w:pStyle w:val="10"/>
              <w:spacing w:line="360" w:lineRule="auto"/>
              <w:rPr>
                <w:rFonts w:hint="eastAsia" w:ascii="仿宋" w:hAnsi="仿宋" w:eastAsia="仿宋" w:cs="仿宋"/>
                <w:sz w:val="24"/>
              </w:rPr>
            </w:pPr>
            <w:r>
              <w:rPr>
                <w:rFonts w:hint="eastAsia" w:ascii="仿宋" w:hAnsi="仿宋" w:eastAsia="仿宋" w:cs="仿宋"/>
                <w:sz w:val="24"/>
              </w:rPr>
              <w:t>对采购文件提出质疑</w:t>
            </w: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vAlign w:val="center"/>
          </w:tcPr>
          <w:p>
            <w:pPr>
              <w:pStyle w:val="10"/>
              <w:spacing w:line="360" w:lineRule="auto"/>
              <w:ind w:firstLine="480" w:firstLineChars="200"/>
              <w:rPr>
                <w:rFonts w:hint="eastAsia" w:ascii="仿宋" w:hAnsi="仿宋" w:eastAsia="仿宋" w:cs="仿宋"/>
                <w:sz w:val="24"/>
              </w:rPr>
            </w:pP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对采购文件中其他内容提出的质疑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restart"/>
            <w:vAlign w:val="center"/>
          </w:tcPr>
          <w:p>
            <w:pPr>
              <w:pStyle w:val="10"/>
              <w:spacing w:line="360" w:lineRule="auto"/>
              <w:rPr>
                <w:rFonts w:hint="eastAsia" w:ascii="仿宋" w:hAnsi="仿宋" w:eastAsia="仿宋" w:cs="仿宋"/>
                <w:sz w:val="24"/>
              </w:rPr>
            </w:pPr>
            <w:r>
              <w:rPr>
                <w:rFonts w:hint="eastAsia" w:ascii="仿宋" w:hAnsi="仿宋" w:eastAsia="仿宋" w:cs="仿宋"/>
                <w:sz w:val="24"/>
              </w:rPr>
              <w:t>对采购过程提出质疑</w:t>
            </w: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vAlign w:val="center"/>
          </w:tcPr>
          <w:p>
            <w:pPr>
              <w:pStyle w:val="10"/>
              <w:spacing w:line="360" w:lineRule="auto"/>
              <w:ind w:firstLine="480" w:firstLineChars="200"/>
              <w:rPr>
                <w:rFonts w:hint="eastAsia" w:ascii="仿宋" w:hAnsi="仿宋" w:eastAsia="仿宋" w:cs="仿宋"/>
                <w:sz w:val="24"/>
              </w:rPr>
            </w:pP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对采购过程中其它事项提出的质疑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center"/>
          </w:tcPr>
          <w:p>
            <w:pPr>
              <w:pStyle w:val="10"/>
              <w:spacing w:line="360" w:lineRule="auto"/>
              <w:rPr>
                <w:rFonts w:hint="eastAsia" w:ascii="仿宋" w:hAnsi="仿宋" w:eastAsia="仿宋" w:cs="仿宋"/>
                <w:sz w:val="24"/>
              </w:rPr>
            </w:pPr>
            <w:r>
              <w:rPr>
                <w:rFonts w:hint="eastAsia" w:ascii="仿宋" w:hAnsi="仿宋" w:eastAsia="仿宋" w:cs="仿宋"/>
                <w:sz w:val="24"/>
              </w:rPr>
              <w:t>对采购结果提出质疑</w:t>
            </w: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对采购结果提出的质疑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w:t>
            </w:r>
          </w:p>
        </w:tc>
      </w:tr>
    </w:tbl>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 2.3询问或者质疑事项可能影响采购结果的，采购人应当暂停签订合同，已经签订合同的，应当中止履行合同。</w:t>
      </w:r>
    </w:p>
    <w:p>
      <w:pPr>
        <w:pStyle w:val="10"/>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2.3质疑函</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2.3.1供应商提出质疑应当提交质疑函和必要的证明材料。质疑函应当包括下列内容：</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10"/>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w:t>
      </w:r>
      <w:r>
        <w:rPr>
          <w:rFonts w:hint="eastAsia" w:ascii="仿宋" w:hAnsi="仿宋" w:eastAsia="仿宋" w:cs="仿宋"/>
          <w:b/>
          <w:sz w:val="24"/>
          <w:lang w:val="en-US" w:eastAsia="zh-CN"/>
        </w:rPr>
        <w:t>4</w:t>
      </w:r>
      <w:r>
        <w:rPr>
          <w:rFonts w:hint="eastAsia" w:ascii="仿宋" w:hAnsi="仿宋" w:eastAsia="仿宋" w:cs="仿宋"/>
          <w:b/>
          <w:sz w:val="24"/>
        </w:rPr>
        <w:t>。</w:t>
      </w:r>
    </w:p>
    <w:p>
      <w:pPr>
        <w:spacing w:line="360" w:lineRule="auto"/>
        <w:rPr>
          <w:rFonts w:hint="eastAsia" w:ascii="仿宋" w:hAnsi="仿宋" w:eastAsia="仿宋" w:cs="仿宋"/>
          <w:b/>
          <w:sz w:val="24"/>
        </w:rPr>
      </w:pPr>
      <w:r>
        <w:rPr>
          <w:rFonts w:hint="eastAsia" w:ascii="仿宋" w:hAnsi="仿宋" w:eastAsia="仿宋" w:cs="仿宋"/>
          <w:b/>
          <w:sz w:val="24"/>
        </w:rPr>
        <w:t>3.供应商投诉</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3.1质疑供应商对采购人、采购机构的答复不满意或者采购人、采购机构未在规定的时间内作出答复的，可以在答复期满后十五个工作日内向同级政府采购监督管理部门提出投诉。</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3.2供应商投诉的事项不得超出已质疑事项的范围，基于质疑答复内容提出的投诉事项除外。</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3.3供应商投诉应当有明确的请求和必要的证明材料。</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3.4以联合体形式参加政府采购活动的，其投诉应当由组成联合体的所有供应商共同提出。</w:t>
      </w:r>
    </w:p>
    <w:p>
      <w:pPr>
        <w:pStyle w:val="10"/>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w:t>
      </w:r>
      <w:r>
        <w:rPr>
          <w:rFonts w:hint="eastAsia" w:ascii="仿宋" w:hAnsi="仿宋" w:eastAsia="仿宋" w:cs="仿宋"/>
          <w:b/>
          <w:sz w:val="24"/>
          <w:lang w:val="en-US" w:eastAsia="zh-CN"/>
        </w:rPr>
        <w:t>5</w:t>
      </w:r>
      <w:r>
        <w:rPr>
          <w:rFonts w:hint="eastAsia" w:ascii="仿宋" w:hAnsi="仿宋" w:eastAsia="仿宋" w:cs="仿宋"/>
          <w:b/>
          <w:sz w:val="24"/>
        </w:rPr>
        <w:t>。</w:t>
      </w:r>
    </w:p>
    <w:p>
      <w:pPr>
        <w:pStyle w:val="1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w:t>
      </w:r>
      <w:r>
        <w:rPr>
          <w:rFonts w:hint="eastAsia" w:ascii="仿宋" w:hAnsi="仿宋" w:eastAsia="仿宋" w:cs="仿宋"/>
          <w:b w:val="0"/>
          <w:bCs/>
          <w:sz w:val="24"/>
          <w:lang w:val="en-US" w:eastAsia="zh-CN"/>
        </w:rPr>
        <w:t>5</w:t>
      </w:r>
      <w:r>
        <w:rPr>
          <w:rFonts w:hint="eastAsia" w:ascii="仿宋" w:hAnsi="仿宋" w:eastAsia="仿宋" w:cs="仿宋"/>
          <w:b w:val="0"/>
          <w:bCs/>
          <w:sz w:val="24"/>
        </w:rPr>
        <w:t>在线质疑、投诉。</w:t>
      </w:r>
    </w:p>
    <w:p>
      <w:pPr>
        <w:pStyle w:val="1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0"/>
        <w:spacing w:line="360" w:lineRule="auto"/>
        <w:ind w:firstLine="482" w:firstLineChars="200"/>
        <w:rPr>
          <w:rFonts w:hint="eastAsia" w:ascii="仿宋" w:hAnsi="仿宋" w:eastAsia="仿宋" w:cs="仿宋"/>
          <w:b/>
          <w:sz w:val="24"/>
        </w:rPr>
      </w:pPr>
    </w:p>
    <w:p>
      <w:pPr>
        <w:spacing w:line="360" w:lineRule="auto"/>
        <w:ind w:firstLine="480" w:firstLineChars="200"/>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pPr>
        <w:pStyle w:val="24"/>
        <w:snapToGrid w:val="0"/>
        <w:spacing w:before="0"/>
        <w:ind w:firstLine="482"/>
        <w:rPr>
          <w:rFonts w:hint="eastAsia" w:ascii="仿宋" w:hAnsi="仿宋" w:eastAsia="仿宋" w:cs="仿宋"/>
          <w:b w:val="0"/>
          <w:bCs/>
        </w:rPr>
      </w:pPr>
      <w:r>
        <w:rPr>
          <w:rFonts w:hint="eastAsia" w:ascii="仿宋" w:hAnsi="仿宋" w:eastAsia="仿宋" w:cs="仿宋"/>
          <w:b w:val="0"/>
          <w:bCs/>
        </w:rPr>
        <w:t>2.1已获取磋商文件的潜在供应商，若有问题需要澄清，应于提交首次响应文件截止时间前，以书面形式向采购机构提出。</w:t>
      </w:r>
    </w:p>
    <w:p>
      <w:pPr>
        <w:pStyle w:val="24"/>
        <w:snapToGrid w:val="0"/>
        <w:spacing w:before="0"/>
        <w:ind w:firstLine="482"/>
        <w:rPr>
          <w:rFonts w:hint="eastAsia" w:ascii="仿宋" w:hAnsi="仿宋" w:eastAsia="仿宋" w:cs="仿宋"/>
          <w:b w:val="0"/>
          <w:bCs/>
        </w:rPr>
      </w:pPr>
      <w:r>
        <w:rPr>
          <w:rFonts w:hint="eastAsia" w:ascii="仿宋" w:hAnsi="仿宋" w:eastAsia="仿宋" w:cs="仿宋"/>
          <w:b w:val="0"/>
          <w:bCs/>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24"/>
        <w:snapToGrid w:val="0"/>
        <w:spacing w:before="0"/>
        <w:ind w:firstLine="482"/>
        <w:rPr>
          <w:rFonts w:hint="eastAsia" w:ascii="仿宋" w:hAnsi="仿宋" w:eastAsia="仿宋" w:cs="仿宋"/>
          <w:b w:val="0"/>
          <w:bCs/>
        </w:rPr>
      </w:pPr>
      <w:r>
        <w:rPr>
          <w:rFonts w:hint="eastAsia" w:ascii="仿宋" w:hAnsi="仿宋" w:eastAsia="仿宋" w:cs="仿宋"/>
          <w:b w:val="0"/>
          <w:bCs/>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24"/>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8"/>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pPr>
        <w:pStyle w:val="10"/>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pPr>
        <w:pStyle w:val="1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10"/>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响应文件应当包括以下主要内容：</w:t>
      </w:r>
      <w:r>
        <w:rPr>
          <w:rFonts w:hint="eastAsia" w:ascii="仿宋" w:hAnsi="仿宋" w:eastAsia="仿宋" w:cs="仿宋"/>
          <w:b/>
          <w:sz w:val="24"/>
          <w:szCs w:val="24"/>
        </w:rPr>
        <w:t>资格文件、报价文件、商务技术文件</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文件应当对</w:t>
      </w:r>
      <w:r>
        <w:rPr>
          <w:rFonts w:hint="eastAsia" w:ascii="仿宋" w:hAnsi="仿宋" w:eastAsia="仿宋" w:cs="仿宋"/>
          <w:sz w:val="24"/>
          <w:szCs w:val="24"/>
          <w:lang w:eastAsia="zh-CN"/>
        </w:rPr>
        <w:t>磋商</w:t>
      </w:r>
      <w:r>
        <w:rPr>
          <w:rFonts w:hint="eastAsia" w:ascii="仿宋" w:hAnsi="仿宋" w:eastAsia="仿宋" w:cs="仿宋"/>
          <w:sz w:val="24"/>
          <w:szCs w:val="24"/>
        </w:rPr>
        <w:t>文件提出的要求和条件作出明确响应。</w:t>
      </w:r>
    </w:p>
    <w:p>
      <w:pPr>
        <w:snapToGrid w:val="0"/>
        <w:spacing w:line="360" w:lineRule="auto"/>
        <w:rPr>
          <w:rFonts w:hint="eastAsia" w:ascii="仿宋" w:hAnsi="仿宋" w:eastAsia="仿宋" w:cs="仿宋"/>
          <w:sz w:val="24"/>
        </w:rPr>
      </w:pPr>
      <w:r>
        <w:rPr>
          <w:rFonts w:hint="eastAsia" w:ascii="仿宋" w:hAnsi="仿宋" w:eastAsia="仿宋" w:cs="仿宋"/>
          <w:b/>
          <w:sz w:val="24"/>
        </w:rPr>
        <w:t>2.1 资格文件</w:t>
      </w:r>
      <w:r>
        <w:rPr>
          <w:rFonts w:hint="eastAsia" w:ascii="仿宋" w:hAnsi="仿宋" w:eastAsia="仿宋" w:cs="仿宋"/>
          <w:sz w:val="24"/>
        </w:rPr>
        <w:t>应包括以下内容（均需使用电子签名）：</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.1.1符合参加政府采购活动应当具备的一般条件的承诺函；</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.1.2落实政府采购政策需满足的资格要求；</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.1.3本项目的特定资格要求。</w:t>
      </w:r>
    </w:p>
    <w:p>
      <w:pPr>
        <w:pStyle w:val="10"/>
        <w:spacing w:line="360" w:lineRule="auto"/>
        <w:rPr>
          <w:rFonts w:hint="eastAsia" w:ascii="仿宋" w:hAnsi="仿宋" w:eastAsia="仿宋" w:cs="仿宋"/>
          <w:sz w:val="24"/>
          <w:lang w:val="zh-CN"/>
        </w:rPr>
      </w:pPr>
      <w:r>
        <w:rPr>
          <w:rFonts w:hint="eastAsia" w:ascii="仿宋" w:hAnsi="仿宋" w:eastAsia="仿宋" w:cs="仿宋"/>
          <w:b/>
          <w:bCs/>
          <w:kern w:val="0"/>
          <w:sz w:val="24"/>
          <w:szCs w:val="24"/>
          <w:lang w:val="zh-CN"/>
        </w:rPr>
        <w:t xml:space="preserve">2.2  </w:t>
      </w:r>
      <w:r>
        <w:rPr>
          <w:rFonts w:hint="eastAsia" w:ascii="仿宋" w:hAnsi="仿宋" w:eastAsia="仿宋" w:cs="仿宋"/>
          <w:b/>
          <w:bCs/>
          <w:sz w:val="24"/>
          <w:szCs w:val="24"/>
        </w:rPr>
        <w:t>商务</w:t>
      </w:r>
      <w:r>
        <w:rPr>
          <w:rFonts w:hint="eastAsia" w:ascii="仿宋" w:hAnsi="仿宋" w:eastAsia="仿宋" w:cs="仿宋"/>
          <w:b/>
          <w:sz w:val="24"/>
          <w:szCs w:val="24"/>
        </w:rPr>
        <w:t>技术</w:t>
      </w:r>
      <w:r>
        <w:rPr>
          <w:rFonts w:hint="eastAsia" w:ascii="仿宋" w:hAnsi="仿宋" w:eastAsia="仿宋" w:cs="仿宋"/>
          <w:b/>
          <w:kern w:val="0"/>
          <w:sz w:val="24"/>
          <w:szCs w:val="24"/>
          <w:lang w:val="zh-CN"/>
        </w:rPr>
        <w:t>文件</w:t>
      </w:r>
      <w:r>
        <w:rPr>
          <w:rFonts w:hint="eastAsia" w:ascii="仿宋" w:hAnsi="仿宋" w:eastAsia="仿宋" w:cs="仿宋"/>
          <w:b w:val="0"/>
          <w:bCs/>
          <w:kern w:val="0"/>
          <w:sz w:val="24"/>
          <w:szCs w:val="24"/>
          <w:lang w:val="zh-CN"/>
        </w:rPr>
        <w:t>应</w:t>
      </w:r>
      <w:r>
        <w:rPr>
          <w:rFonts w:hint="eastAsia" w:ascii="仿宋" w:hAnsi="仿宋" w:eastAsia="仿宋" w:cs="仿宋"/>
          <w:sz w:val="24"/>
          <w:lang w:val="zh-CN"/>
        </w:rPr>
        <w:t>包括以下内容</w:t>
      </w:r>
      <w:r>
        <w:rPr>
          <w:rFonts w:hint="eastAsia" w:ascii="仿宋" w:hAnsi="仿宋" w:eastAsia="仿宋" w:cs="仿宋"/>
          <w:sz w:val="24"/>
        </w:rPr>
        <w:t>（均需使用电子签名）</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.2.2授权委托书或法定代表人（单位负责人、自然人本人）身份证明；</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.2.3联合协议；</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.2.4分包意向协议；</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.2.5符合性审查资料；</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.2.6评标标准相应的商务技术资料；</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.2.7商务技术偏离表；</w:t>
      </w:r>
    </w:p>
    <w:p>
      <w:pPr>
        <w:pStyle w:val="8"/>
        <w:ind w:firstLine="480" w:firstLineChars="200"/>
        <w:rPr>
          <w:rFonts w:hint="eastAsia" w:ascii="仿宋" w:hAnsi="仿宋" w:eastAsia="仿宋" w:cs="仿宋"/>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2.2.8响应产品规格配置清单</w:t>
      </w:r>
    </w:p>
    <w:p>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rPr>
          <w:rFonts w:hint="eastAsia" w:ascii="仿宋" w:hAnsi="仿宋" w:eastAsia="仿宋" w:cs="仿宋"/>
          <w:kern w:val="0"/>
          <w:sz w:val="24"/>
          <w:szCs w:val="20"/>
          <w:lang w:val="zh-CN" w:eastAsia="zh-CN" w:bidi="ar-SA"/>
        </w:rPr>
      </w:pPr>
      <w:r>
        <w:rPr>
          <w:rFonts w:hint="eastAsia" w:ascii="仿宋" w:hAnsi="仿宋" w:eastAsia="仿宋" w:cs="仿宋"/>
          <w:kern w:val="0"/>
          <w:sz w:val="24"/>
          <w:szCs w:val="20"/>
          <w:lang w:val="zh-CN" w:eastAsia="zh-CN" w:bidi="ar-SA"/>
        </w:rPr>
        <w:t>2.3  投标人的</w:t>
      </w:r>
      <w:r>
        <w:rPr>
          <w:rFonts w:hint="eastAsia" w:ascii="仿宋" w:hAnsi="仿宋" w:eastAsia="仿宋" w:cs="仿宋"/>
          <w:b/>
          <w:bCs/>
          <w:kern w:val="0"/>
          <w:sz w:val="24"/>
          <w:szCs w:val="20"/>
          <w:lang w:val="zh-CN" w:eastAsia="zh-CN" w:bidi="ar-SA"/>
        </w:rPr>
        <w:t>报价文件</w:t>
      </w:r>
      <w:r>
        <w:rPr>
          <w:rFonts w:hint="eastAsia" w:ascii="仿宋" w:hAnsi="仿宋" w:eastAsia="仿宋" w:cs="仿宋"/>
          <w:kern w:val="0"/>
          <w:sz w:val="24"/>
          <w:szCs w:val="20"/>
          <w:lang w:val="zh-CN" w:eastAsia="zh-CN" w:bidi="ar-SA"/>
        </w:rPr>
        <w:t>应包括以下内容（均需使用电子签名）：</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.3.1开标一览表（报价表）；</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.3.2中小企业声明函。</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482" w:firstLineChars="200"/>
        <w:rPr>
          <w:rFonts w:hint="eastAsia" w:ascii="仿宋" w:hAnsi="仿宋" w:eastAsia="仿宋" w:cs="仿宋"/>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仿宋" w:hAnsi="仿宋" w:eastAsia="仿宋" w:cs="仿宋"/>
          <w:b/>
          <w:sz w:val="24"/>
        </w:rPr>
        <w:t>▲响应文件未按规定的格式编制的，响应无效；</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24"/>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24"/>
        <w:spacing w:before="0"/>
        <w:ind w:firstLine="0" w:firstLineChars="0"/>
        <w:rPr>
          <w:rFonts w:hint="eastAsia" w:ascii="仿宋" w:hAnsi="仿宋" w:eastAsia="仿宋" w:cs="仿宋"/>
          <w:b/>
          <w:szCs w:val="24"/>
        </w:rPr>
      </w:pP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pPr>
        <w:pStyle w:val="24"/>
        <w:ind w:firstLine="480"/>
        <w:rPr>
          <w:rFonts w:hint="eastAsia" w:ascii="仿宋" w:hAnsi="仿宋" w:eastAsia="仿宋" w:cs="仿宋"/>
          <w:szCs w:val="24"/>
        </w:rPr>
      </w:pPr>
      <w:r>
        <w:rPr>
          <w:rFonts w:hint="eastAsia" w:ascii="仿宋" w:hAnsi="仿宋" w:eastAsia="仿宋" w:cs="仿宋"/>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采购机构可以视情况延长响应文件提交的截止时间。在上述情况下，采购机构与供应商以前在响应截止期方面的全部权利、责任和义务，将适用于延长至新的响应截止期。</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pPr>
        <w:pStyle w:val="10"/>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供应商在电子交易平台传输递交响应文件后，还可以在响应截止时间前直接提交或者以快递方式递交备份响应文件1份，</w:t>
      </w:r>
      <w:r>
        <w:rPr>
          <w:rFonts w:hint="eastAsia" w:ascii="仿宋" w:hAnsi="仿宋" w:eastAsia="仿宋" w:cs="仿宋"/>
          <w:b/>
          <w:sz w:val="24"/>
          <w:szCs w:val="24"/>
        </w:rPr>
        <w:t>但采购人、采购机构不强制或变相强制供应商提交备份响应文件。</w:t>
      </w:r>
    </w:p>
    <w:p>
      <w:pPr>
        <w:pStyle w:val="10"/>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备份响应文件须在“政采云投标客户端”制作生成，并储存不可修改的</w:t>
      </w:r>
      <w:r>
        <w:rPr>
          <w:rFonts w:hint="eastAsia" w:ascii="仿宋" w:hAnsi="仿宋" w:eastAsia="仿宋" w:cs="仿宋"/>
          <w:b/>
          <w:bCs/>
          <w:sz w:val="24"/>
          <w:szCs w:val="24"/>
        </w:rPr>
        <w:t>电子光盘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以快递方式递交备份响应文件的，供应商应先将备份响应文件按要求密封和标记，再进行快递包装后邮寄。备份响应文件须在响应截止时间之前送达</w:t>
      </w:r>
      <w:r>
        <w:rPr>
          <w:rFonts w:hint="eastAsia" w:ascii="仿宋" w:hAnsi="仿宋" w:eastAsia="仿宋" w:cs="仿宋"/>
          <w:sz w:val="24"/>
          <w:szCs w:val="24"/>
          <w:lang w:eastAsia="zh-CN"/>
        </w:rPr>
        <w:t>浙江省杭州市临安区锦北街道科技大道</w:t>
      </w:r>
      <w:r>
        <w:rPr>
          <w:rFonts w:hint="eastAsia" w:ascii="仿宋" w:hAnsi="仿宋" w:eastAsia="仿宋" w:cs="仿宋"/>
          <w:sz w:val="24"/>
          <w:szCs w:val="24"/>
          <w:lang w:val="en-US" w:eastAsia="zh-CN"/>
        </w:rPr>
        <w:t>4398号市民中心B座448办公室</w:t>
      </w:r>
      <w:r>
        <w:rPr>
          <w:rFonts w:hint="eastAsia" w:ascii="仿宋" w:hAnsi="仿宋" w:eastAsia="仿宋" w:cs="仿宋"/>
          <w:sz w:val="24"/>
          <w:szCs w:val="24"/>
        </w:rPr>
        <w:t>；送达时间以签收人签收时间为准（签收人：</w:t>
      </w:r>
      <w:r>
        <w:rPr>
          <w:rFonts w:hint="eastAsia" w:ascii="仿宋" w:hAnsi="仿宋" w:eastAsia="仿宋" w:cs="仿宋"/>
          <w:sz w:val="24"/>
          <w:szCs w:val="24"/>
          <w:lang w:eastAsia="zh-CN"/>
        </w:rPr>
        <w:t>杨颖</w:t>
      </w:r>
      <w:r>
        <w:rPr>
          <w:rFonts w:hint="eastAsia" w:ascii="仿宋" w:hAnsi="仿宋" w:eastAsia="仿宋" w:cs="仿宋"/>
          <w:sz w:val="24"/>
          <w:szCs w:val="24"/>
        </w:rPr>
        <w:t>，联系电话：0571-</w:t>
      </w:r>
      <w:r>
        <w:rPr>
          <w:rFonts w:hint="eastAsia" w:ascii="仿宋" w:hAnsi="仿宋" w:eastAsia="仿宋" w:cs="仿宋"/>
          <w:sz w:val="24"/>
          <w:szCs w:val="24"/>
          <w:lang w:val="en-US" w:eastAsia="zh-CN"/>
        </w:rPr>
        <w:t>23616011</w:t>
      </w:r>
      <w:r>
        <w:rPr>
          <w:rFonts w:hint="eastAsia" w:ascii="仿宋" w:hAnsi="仿宋" w:eastAsia="仿宋" w:cs="仿宋"/>
          <w:sz w:val="24"/>
          <w:szCs w:val="24"/>
        </w:rPr>
        <w:t>）。采购机构将拒绝接受逾期送达的备份响应文件。邮寄过程中，电子备份响应文件发生泄露、遗失、损坏或延期送达等情况的，由供应商自行负责。</w:t>
      </w:r>
    </w:p>
    <w:p>
      <w:pPr>
        <w:pStyle w:val="10"/>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供应商仅提交备份响应文件，没有在电子交易平台传输递交响应文件的，响应无效。</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10"/>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2.1信用信息查询渠道及截止时间：采购机构将通过“信用中国”网站(www.creditchina.gov.cn)和中国政府采购网(www.ccgp.gov.cn)渠道查询供应商响应截止时间前的信用记录。</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0"/>
        <w:spacing w:line="360" w:lineRule="auto"/>
        <w:rPr>
          <w:rFonts w:hint="eastAsia" w:ascii="仿宋" w:hAnsi="仿宋" w:eastAsia="仿宋" w:cs="仿宋"/>
          <w:b/>
          <w:sz w:val="24"/>
          <w:szCs w:val="24"/>
        </w:rPr>
      </w:pPr>
    </w:p>
    <w:p>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rPr>
        <w:t>九</w:t>
      </w:r>
      <w:r>
        <w:rPr>
          <w:rFonts w:hint="eastAsia" w:ascii="仿宋" w:hAnsi="仿宋" w:eastAsia="仿宋" w:cs="仿宋"/>
          <w:b/>
          <w:sz w:val="32"/>
          <w:szCs w:val="20"/>
        </w:rPr>
        <w:t>、</w:t>
      </w:r>
      <w:r>
        <w:rPr>
          <w:rFonts w:hint="eastAsia" w:ascii="仿宋" w:hAnsi="仿宋" w:eastAsia="仿宋" w:cs="仿宋"/>
          <w:b/>
          <w:sz w:val="32"/>
          <w:szCs w:val="32"/>
        </w:rPr>
        <w:t>评审</w:t>
      </w:r>
    </w:p>
    <w:p>
      <w:pPr>
        <w:pStyle w:val="24"/>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评审方法：</w:t>
      </w:r>
      <w:r>
        <w:rPr>
          <w:rFonts w:hint="eastAsia" w:ascii="仿宋" w:hAnsi="仿宋" w:eastAsia="仿宋" w:cs="仿宋"/>
        </w:rPr>
        <w:t>综合评分法。</w:t>
      </w:r>
    </w:p>
    <w:p>
      <w:pPr>
        <w:pStyle w:val="24"/>
        <w:spacing w:before="0"/>
        <w:ind w:firstLine="0" w:firstLineChars="0"/>
        <w:rPr>
          <w:rFonts w:hint="eastAsia" w:ascii="仿宋" w:hAnsi="仿宋" w:eastAsia="仿宋" w:cs="仿宋"/>
          <w:b/>
        </w:rPr>
      </w:pPr>
      <w:r>
        <w:rPr>
          <w:rFonts w:hint="eastAsia" w:ascii="仿宋" w:hAnsi="仿宋" w:eastAsia="仿宋" w:cs="仿宋"/>
          <w:b/>
        </w:rPr>
        <w:t>2.价格分计算方法：</w:t>
      </w:r>
      <w:r>
        <w:rPr>
          <w:rFonts w:hint="eastAsia" w:ascii="仿宋" w:hAnsi="仿宋" w:eastAsia="仿宋" w:cs="仿宋"/>
        </w:rPr>
        <w:t>低价优先法。</w:t>
      </w:r>
    </w:p>
    <w:p>
      <w:pPr>
        <w:pStyle w:val="24"/>
        <w:spacing w:before="0"/>
        <w:ind w:firstLine="0" w:firstLineChars="0"/>
        <w:rPr>
          <w:rFonts w:hint="eastAsia" w:ascii="仿宋" w:hAnsi="仿宋" w:eastAsia="仿宋" w:cs="仿宋"/>
          <w:szCs w:val="24"/>
        </w:rPr>
      </w:pPr>
      <w:r>
        <w:rPr>
          <w:rFonts w:hint="eastAsia" w:ascii="仿宋" w:hAnsi="仿宋" w:eastAsia="仿宋" w:cs="仿宋"/>
          <w:b/>
        </w:rPr>
        <w:t>3.评审要求：</w:t>
      </w:r>
      <w:r>
        <w:rPr>
          <w:rFonts w:hint="eastAsia" w:ascii="仿宋" w:hAnsi="仿宋" w:eastAsia="仿宋" w:cs="仿宋"/>
        </w:rPr>
        <w:t>详见磋商文件第五部分“评审方法及评审标准”。</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20"/>
        </w:rPr>
        <w:t>十、提交</w:t>
      </w:r>
      <w:r>
        <w:rPr>
          <w:rFonts w:hint="eastAsia" w:ascii="仿宋" w:hAnsi="仿宋" w:eastAsia="仿宋" w:cs="仿宋"/>
          <w:b/>
          <w:sz w:val="32"/>
          <w:szCs w:val="32"/>
        </w:rPr>
        <w:t>最后报价</w:t>
      </w:r>
    </w:p>
    <w:p>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最后文件</w:t>
      </w:r>
      <w:r>
        <w:rPr>
          <w:rFonts w:hint="eastAsia" w:ascii="仿宋" w:hAnsi="仿宋" w:eastAsia="仿宋" w:cs="仿宋"/>
          <w:sz w:val="24"/>
        </w:rPr>
        <w:t>应包括以下内容（均需使用电子签名）：</w:t>
      </w:r>
    </w:p>
    <w:p>
      <w:pPr>
        <w:pStyle w:val="10"/>
        <w:snapToGrid w:val="0"/>
        <w:spacing w:line="360" w:lineRule="auto"/>
        <w:ind w:firstLine="480" w:firstLineChars="200"/>
        <w:rPr>
          <w:rFonts w:hint="eastAsia" w:ascii="仿宋" w:hAnsi="仿宋" w:eastAsia="仿宋" w:cs="仿宋"/>
          <w:b/>
          <w:sz w:val="32"/>
          <w:szCs w:val="20"/>
          <w:lang w:eastAsia="zh-CN"/>
        </w:rPr>
      </w:pPr>
      <w:r>
        <w:rPr>
          <w:rFonts w:hint="eastAsia" w:ascii="仿宋" w:hAnsi="仿宋" w:eastAsia="仿宋" w:cs="仿宋"/>
          <w:sz w:val="24"/>
          <w:szCs w:val="24"/>
        </w:rPr>
        <w:t>1.1 最后报价；供应商通过政采云系统提交最后报价，明细清单中各单价以同比例（最后报价总价与初始报价总价的比值）下调</w:t>
      </w:r>
      <w:r>
        <w:rPr>
          <w:rFonts w:hint="eastAsia" w:ascii="仿宋" w:hAnsi="仿宋" w:eastAsia="仿宋" w:cs="仿宋"/>
          <w:sz w:val="24"/>
          <w:szCs w:val="24"/>
          <w:lang w:eastAsia="zh-CN"/>
        </w:rPr>
        <w:t>。</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10"/>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10"/>
        <w:spacing w:line="360" w:lineRule="auto"/>
        <w:rPr>
          <w:rFonts w:hint="eastAsia" w:ascii="仿宋" w:hAnsi="仿宋" w:eastAsia="仿宋" w:cs="仿宋"/>
          <w:b/>
          <w:sz w:val="24"/>
        </w:rPr>
      </w:pPr>
      <w:r>
        <w:rPr>
          <w:rFonts w:hint="eastAsia" w:ascii="仿宋" w:hAnsi="仿宋" w:eastAsia="仿宋" w:cs="仿宋"/>
          <w:b/>
          <w:sz w:val="24"/>
        </w:rPr>
        <w:t>2. 确定成交供应商</w:t>
      </w:r>
    </w:p>
    <w:p>
      <w:pPr>
        <w:adjustRightInd w:val="0"/>
        <w:snapToGrid w:val="0"/>
        <w:spacing w:after="120" w:line="360" w:lineRule="auto"/>
        <w:ind w:firstLine="480" w:firstLineChars="200"/>
        <w:rPr>
          <w:rFonts w:hint="eastAsia" w:ascii="仿宋" w:hAnsi="仿宋" w:eastAsia="仿宋" w:cs="仿宋"/>
          <w:sz w:val="24"/>
          <w:szCs w:val="21"/>
        </w:rPr>
      </w:pPr>
      <w:r>
        <w:rPr>
          <w:rFonts w:hint="eastAsia" w:ascii="仿宋" w:hAnsi="仿宋" w:eastAsia="仿宋" w:cs="仿宋"/>
          <w:b w:val="0"/>
          <w:bCs/>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600" w:firstLineChars="250"/>
        <w:rPr>
          <w:rFonts w:hint="eastAsia" w:ascii="仿宋" w:hAnsi="仿宋" w:eastAsia="仿宋" w:cs="仿宋"/>
          <w:sz w:val="24"/>
          <w:szCs w:val="21"/>
        </w:rPr>
      </w:pPr>
      <w:r>
        <w:rPr>
          <w:rFonts w:hint="eastAsia" w:ascii="仿宋" w:hAnsi="仿宋" w:eastAsia="仿宋" w:cs="仿宋"/>
          <w:sz w:val="24"/>
          <w:szCs w:val="21"/>
        </w:rPr>
        <w:t>3.1自成交人确定之日起2个工作日内，采购机构通过电子交易平台向成交人发出成交通知书，同时编制发布采购成交结果公告。成交结果公告内容包括采购人及其委托的采购机构的名称、地址、联系方式，项目名称和项目编号，成交人名称、地址和成交金额，主要中标标的的名称、规格型号、数量、单价、服务要求，开标记录、</w:t>
      </w:r>
      <w:bookmarkStart w:id="43" w:name="_Hlk101184471"/>
      <w:r>
        <w:rPr>
          <w:rFonts w:hint="eastAsia" w:ascii="仿宋" w:hAnsi="仿宋" w:eastAsia="仿宋" w:cs="仿宋"/>
          <w:sz w:val="24"/>
          <w:szCs w:val="21"/>
        </w:rPr>
        <w:t>资格审查情况、评审专家抽取规则、符合性审查情况、</w:t>
      </w:r>
      <w:bookmarkEnd w:id="43"/>
      <w:r>
        <w:rPr>
          <w:rFonts w:hint="eastAsia" w:ascii="仿宋" w:hAnsi="仿宋" w:eastAsia="仿宋" w:cs="仿宋"/>
          <w:sz w:val="24"/>
          <w:szCs w:val="21"/>
        </w:rPr>
        <w:t>未中标情况说明、中标公告期限以及评审专家名单、评分汇总及明细。</w:t>
      </w:r>
    </w:p>
    <w:p>
      <w:pPr>
        <w:spacing w:line="360" w:lineRule="auto"/>
        <w:ind w:firstLine="600" w:firstLineChars="250"/>
        <w:rPr>
          <w:rFonts w:hint="eastAsia" w:ascii="仿宋" w:hAnsi="仿宋" w:eastAsia="仿宋" w:cs="仿宋"/>
          <w:sz w:val="24"/>
          <w:szCs w:val="21"/>
        </w:rPr>
      </w:pPr>
      <w:r>
        <w:rPr>
          <w:rFonts w:hint="eastAsia" w:ascii="仿宋" w:hAnsi="仿宋" w:eastAsia="仿宋" w:cs="仿宋"/>
          <w:sz w:val="24"/>
          <w:szCs w:val="21"/>
        </w:rPr>
        <w:t>3.2公告期限为1个工作日。</w:t>
      </w:r>
    </w:p>
    <w:p>
      <w:pPr>
        <w:snapToGrid w:val="0"/>
        <w:spacing w:line="360" w:lineRule="auto"/>
        <w:jc w:val="center"/>
        <w:outlineLvl w:val="0"/>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十二、合同授予</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24"/>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24"/>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spacing w:line="360" w:lineRule="auto"/>
        <w:ind w:firstLine="465" w:firstLineChars="194"/>
        <w:rPr>
          <w:rFonts w:hint="eastAsia" w:ascii="仿宋" w:hAnsi="仿宋" w:eastAsia="仿宋" w:cs="仿宋"/>
          <w:sz w:val="24"/>
          <w:szCs w:val="21"/>
        </w:rPr>
      </w:pP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sz w:val="24"/>
          <w:szCs w:val="24"/>
        </w:rPr>
        <w:t>供应商</w:t>
      </w:r>
      <w:r>
        <w:rPr>
          <w:rFonts w:hint="eastAsia" w:ascii="仿宋" w:hAnsi="仿宋" w:eastAsia="仿宋" w:cs="仿宋"/>
          <w:sz w:val="24"/>
          <w:szCs w:val="24"/>
          <w:lang w:val="en-US"/>
        </w:rPr>
        <w:t>可</w:t>
      </w:r>
      <w:r>
        <w:rPr>
          <w:rFonts w:hint="eastAsia" w:ascii="仿宋" w:hAnsi="仿宋" w:eastAsia="仿宋" w:cs="仿宋"/>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pPr>
        <w:pStyle w:val="2"/>
        <w:spacing w:line="360" w:lineRule="auto"/>
        <w:ind w:firstLine="0" w:firstLineChars="0"/>
        <w:rPr>
          <w:rFonts w:hint="eastAsia" w:ascii="仿宋" w:hAnsi="仿宋" w:eastAsia="仿宋" w:cs="仿宋"/>
          <w:b/>
        </w:rPr>
      </w:pPr>
      <w:r>
        <w:rPr>
          <w:rFonts w:hint="eastAsia" w:ascii="仿宋" w:hAnsi="仿宋" w:eastAsia="仿宋" w:cs="仿宋"/>
          <w:b/>
        </w:rPr>
        <w:t>1.验收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 w:hAnsi="仿宋" w:eastAsia="仿宋" w:cs="仿宋"/>
          <w:sz w:val="24"/>
          <w:lang w:val="zh-CN"/>
        </w:rPr>
        <w:t>《中华人民共和国民法典》</w:t>
      </w:r>
      <w:r>
        <w:rPr>
          <w:rFonts w:hint="eastAsia" w:ascii="仿宋" w:hAnsi="仿宋" w:eastAsia="仿宋" w:cs="仿宋"/>
          <w:kern w:val="0"/>
          <w:sz w:val="24"/>
        </w:rPr>
        <w:t>。供应商在履约过程中有政府采购法律法规规定的违法违规情形的，采购人应当及时报告本级财政部门。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44" w:name="_Hlt74729768"/>
      <w:bookmarkEnd w:id="44"/>
      <w:bookmarkStart w:id="45" w:name="_Hlt74714665"/>
      <w:bookmarkEnd w:id="45"/>
      <w:bookmarkStart w:id="46" w:name="_Hlt75236101"/>
      <w:bookmarkEnd w:id="46"/>
      <w:bookmarkStart w:id="47" w:name="_Hlt74707468"/>
      <w:bookmarkEnd w:id="47"/>
      <w:bookmarkStart w:id="48" w:name="_Hlt68072990"/>
      <w:bookmarkEnd w:id="48"/>
      <w:bookmarkStart w:id="49" w:name="_Hlt68057669"/>
      <w:bookmarkEnd w:id="49"/>
      <w:bookmarkStart w:id="50" w:name="_Hlt75236011"/>
      <w:bookmarkEnd w:id="50"/>
      <w:bookmarkStart w:id="51" w:name="_Hlt74730295"/>
      <w:bookmarkEnd w:id="51"/>
      <w:bookmarkStart w:id="52" w:name="_Hlt75236290"/>
      <w:bookmarkEnd w:id="52"/>
      <w:r>
        <w:rPr>
          <w:rFonts w:hint="eastAsia" w:ascii="仿宋" w:hAnsi="仿宋" w:eastAsia="仿宋" w:cs="仿宋"/>
          <w:kern w:val="0"/>
          <w:sz w:val="24"/>
          <w:lang w:eastAsia="zh-CN"/>
        </w:rPr>
        <w:t>。</w:t>
      </w:r>
    </w:p>
    <w:p>
      <w:pPr>
        <w:pStyle w:val="8"/>
        <w:numPr>
          <w:ilvl w:val="0"/>
          <w:numId w:val="0"/>
        </w:numPr>
        <w:rPr>
          <w:rFonts w:hint="eastAsia" w:ascii="仿宋" w:hAnsi="仿宋" w:eastAsia="仿宋" w:cs="仿宋"/>
          <w:lang w:eastAsia="zh-CN"/>
        </w:rPr>
      </w:pPr>
    </w:p>
    <w:p>
      <w:pPr>
        <w:pStyle w:val="9"/>
        <w:ind w:left="0" w:leftChars="0" w:firstLine="0" w:firstLineChars="0"/>
        <w:rPr>
          <w:rFonts w:hint="eastAsia" w:ascii="仿宋" w:hAnsi="仿宋" w:eastAsia="仿宋" w:cs="仿宋"/>
          <w:lang w:eastAsia="zh-CN"/>
        </w:rPr>
      </w:pPr>
    </w:p>
    <w:p>
      <w:pPr>
        <w:pStyle w:val="9"/>
        <w:ind w:left="0" w:leftChars="0" w:firstLine="0" w:firstLineChars="0"/>
        <w:rPr>
          <w:rFonts w:hint="eastAsia" w:ascii="仿宋" w:hAnsi="仿宋" w:eastAsia="仿宋" w:cs="仿宋"/>
          <w:lang w:eastAsia="zh-CN"/>
        </w:rPr>
      </w:pPr>
    </w:p>
    <w:p>
      <w:pPr>
        <w:keepNext w:val="0"/>
        <w:keepLines/>
        <w:pageBreakBefore w:val="0"/>
        <w:widowControl w:val="0"/>
        <w:numPr>
          <w:ilvl w:val="0"/>
          <w:numId w:val="5"/>
        </w:numPr>
        <w:kinsoku/>
        <w:wordWrap/>
        <w:overflowPunct/>
        <w:topLinePunct w:val="0"/>
        <w:bidi w:val="0"/>
        <w:adjustRightInd/>
        <w:snapToGrid/>
        <w:jc w:val="center"/>
        <w:textAlignment w:val="auto"/>
        <w:rPr>
          <w:rFonts w:hint="eastAsia" w:ascii="仿宋" w:hAnsi="仿宋" w:eastAsia="仿宋" w:cs="仿宋"/>
          <w:b/>
          <w:sz w:val="36"/>
          <w:szCs w:val="36"/>
        </w:rPr>
      </w:pPr>
      <w:r>
        <w:rPr>
          <w:rFonts w:hint="eastAsia" w:ascii="仿宋" w:hAnsi="仿宋" w:eastAsia="仿宋" w:cs="仿宋"/>
          <w:b/>
          <w:sz w:val="36"/>
          <w:szCs w:val="36"/>
        </w:rPr>
        <w:t xml:space="preserve"> 采购需求</w:t>
      </w:r>
    </w:p>
    <w:p>
      <w:pPr>
        <w:pStyle w:val="9"/>
        <w:rPr>
          <w:rFonts w:hint="eastAsia" w:ascii="仿宋" w:hAnsi="仿宋" w:eastAsia="仿宋" w:cs="仿宋"/>
        </w:rPr>
      </w:pPr>
    </w:p>
    <w:p>
      <w:pPr>
        <w:adjustRightInd/>
        <w:spacing w:line="360" w:lineRule="auto"/>
        <w:jc w:val="left"/>
        <w:outlineLvl w:val="0"/>
        <w:rPr>
          <w:rFonts w:hint="eastAsia" w:ascii="仿宋" w:hAnsi="仿宋" w:eastAsia="仿宋" w:cs="仿宋"/>
          <w:b/>
          <w:sz w:val="36"/>
          <w:szCs w:val="36"/>
          <w:u w:val="single"/>
        </w:rPr>
      </w:pPr>
      <w:r>
        <w:rPr>
          <w:rFonts w:hint="eastAsia" w:ascii="仿宋" w:hAnsi="仿宋" w:eastAsia="仿宋" w:cs="仿宋"/>
          <w:b/>
          <w:sz w:val="24"/>
        </w:rPr>
        <w:t>注：“▲” 系指实质性要求条款， “※”系指磋商过程中可能实质性变动的内容。</w:t>
      </w:r>
    </w:p>
    <w:p>
      <w:pPr>
        <w:spacing w:before="120" w:beforeLines="50" w:after="120" w:afterLines="50" w:line="360" w:lineRule="auto"/>
        <w:ind w:firstLine="723" w:firstLineChars="300"/>
        <w:jc w:val="left"/>
        <w:outlineLvl w:val="1"/>
        <w:rPr>
          <w:rFonts w:hint="eastAsia" w:ascii="仿宋" w:hAnsi="仿宋" w:eastAsia="仿宋" w:cs="仿宋"/>
          <w:b/>
          <w:bCs/>
          <w:sz w:val="24"/>
          <w:szCs w:val="24"/>
        </w:rPr>
      </w:pPr>
      <w:r>
        <w:rPr>
          <w:rFonts w:hint="eastAsia" w:ascii="仿宋" w:hAnsi="仿宋" w:eastAsia="仿宋" w:cs="仿宋"/>
          <w:b/>
          <w:bCs/>
          <w:sz w:val="24"/>
          <w:szCs w:val="24"/>
        </w:rPr>
        <w:t>“★”系产品采购项目中的核心产品。</w:t>
      </w:r>
    </w:p>
    <w:p>
      <w:pPr>
        <w:pStyle w:val="4"/>
        <w:numPr>
          <w:ilvl w:val="0"/>
          <w:numId w:val="0"/>
        </w:numPr>
        <w:bidi w:val="0"/>
        <w:ind w:leftChars="0"/>
        <w:rPr>
          <w:rFonts w:hint="eastAsia"/>
          <w:sz w:val="36"/>
          <w:szCs w:val="36"/>
          <w:highlight w:val="none"/>
          <w:lang w:val="en-US" w:eastAsia="zh-CN"/>
        </w:rPr>
      </w:pPr>
      <w:r>
        <w:rPr>
          <w:rFonts w:hint="eastAsia"/>
          <w:sz w:val="36"/>
          <w:szCs w:val="36"/>
          <w:highlight w:val="none"/>
          <w:lang w:val="en-US" w:eastAsia="zh-CN"/>
        </w:rPr>
        <w:t>一、采购清单</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1"/>
        <w:gridCol w:w="3416"/>
        <w:gridCol w:w="666"/>
        <w:gridCol w:w="638"/>
        <w:gridCol w:w="1670"/>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技术要求</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一、显示部分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智慧检务大数据可视化平台</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仿宋" w:hAnsi="仿宋" w:eastAsia="仿宋" w:cs="仿宋"/>
                <w:b/>
                <w:bCs/>
                <w:sz w:val="24"/>
                <w:szCs w:val="24"/>
              </w:rPr>
              <w:t>★</w:t>
            </w:r>
            <w:r>
              <w:rPr>
                <w:rFonts w:hint="eastAsia" w:ascii="宋体" w:hAnsi="宋体" w:eastAsia="宋体" w:cs="宋体"/>
                <w:i w:val="0"/>
                <w:iCs w:val="0"/>
                <w:color w:val="000000"/>
                <w:kern w:val="0"/>
                <w:sz w:val="18"/>
                <w:szCs w:val="18"/>
                <w:highlight w:val="none"/>
                <w:u w:val="none"/>
                <w:lang w:val="en-US" w:eastAsia="zh-CN" w:bidi="ar"/>
              </w:rPr>
              <w:t>屏体</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14.17</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软件</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播控电脑</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视频处理器</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接入盒/卡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接收系统</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配电柜</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24口千兆交换机</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钢结构</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14.17</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装修装饰</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14.17</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运输</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工程施工</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备品备件</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二、扩声部分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操作电脑</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FF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无线键鼠套装</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无线话筒主机</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数字音频处理器</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调音台</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功放</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全频阵列音柱</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三、环境设备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电源时序器</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32U机柜</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辅材管材</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施工布线</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安装调试</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b/>
                <w:bCs/>
                <w:i w:val="0"/>
                <w:iCs w:val="0"/>
                <w:color w:val="000000"/>
                <w:kern w:val="0"/>
                <w:sz w:val="18"/>
                <w:szCs w:val="18"/>
                <w:highlight w:val="none"/>
                <w:u w:val="none"/>
                <w:lang w:val="en-US" w:eastAsia="zh-CN" w:bidi="ar"/>
              </w:rPr>
              <w:t>四、实验室设备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olor w:val="auto"/>
                <w:sz w:val="20"/>
                <w:highlight w:val="none"/>
              </w:rPr>
              <w:t>取证航母一体化智能取证工作站系统</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套</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r>
    </w:tbl>
    <w:p>
      <w:pPr>
        <w:pStyle w:val="8"/>
        <w:numPr>
          <w:ilvl w:val="0"/>
          <w:numId w:val="0"/>
        </w:numPr>
        <w:rPr>
          <w:rFonts w:hint="default"/>
          <w:highlight w:val="none"/>
          <w:lang w:val="en-US" w:eastAsia="zh-CN"/>
        </w:rPr>
      </w:pPr>
    </w:p>
    <w:p>
      <w:pPr>
        <w:pStyle w:val="10"/>
        <w:numPr>
          <w:ilvl w:val="0"/>
          <w:numId w:val="0"/>
        </w:numPr>
        <w:bidi w:val="0"/>
        <w:rPr>
          <w:rFonts w:hint="eastAsia"/>
          <w:b/>
          <w:bCs/>
          <w:sz w:val="36"/>
          <w:szCs w:val="32"/>
          <w:highlight w:val="none"/>
          <w:lang w:val="en-US" w:eastAsia="zh-CN"/>
        </w:rPr>
      </w:pPr>
      <w:r>
        <w:rPr>
          <w:rFonts w:hint="eastAsia"/>
          <w:b/>
          <w:bCs/>
          <w:sz w:val="36"/>
          <w:szCs w:val="32"/>
          <w:highlight w:val="none"/>
          <w:lang w:val="en-US" w:eastAsia="zh-CN"/>
        </w:rPr>
        <w:t>二、技术参数</w:t>
      </w:r>
    </w:p>
    <w:tbl>
      <w:tblPr>
        <w:tblStyle w:val="16"/>
        <w:tblW w:w="5425" w:type="pct"/>
        <w:tblInd w:w="-2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9"/>
        <w:gridCol w:w="933"/>
        <w:gridCol w:w="6808"/>
        <w:gridCol w:w="960"/>
        <w:gridCol w:w="405"/>
        <w:gridCol w:w="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color w:val="000000"/>
                <w:kern w:val="0"/>
                <w:sz w:val="20"/>
                <w:szCs w:val="20"/>
                <w:highlight w:val="none"/>
              </w:rPr>
              <w:t>名称</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color w:val="000000"/>
                <w:kern w:val="0"/>
                <w:sz w:val="20"/>
                <w:szCs w:val="20"/>
                <w:highlight w:val="none"/>
              </w:rPr>
              <w:t>性能指标参数</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一、显示部分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6"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智慧检务大数据可视化平台</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top"/>
              <w:rPr>
                <w:rFonts w:hint="eastAsia"/>
                <w:sz w:val="20"/>
                <w:szCs w:val="20"/>
                <w:highlight w:val="none"/>
                <w:lang w:val="en-US" w:eastAsia="zh-CN"/>
              </w:rPr>
            </w:pPr>
            <w:r>
              <w:rPr>
                <w:rFonts w:hint="eastAsia"/>
                <w:sz w:val="20"/>
                <w:szCs w:val="20"/>
                <w:highlight w:val="none"/>
                <w:lang w:val="en-US" w:eastAsia="zh-CN"/>
              </w:rPr>
              <w:t>全面、实时、动态多维度展示检察院业务大数据，可完美的根据系统对图像、数据化的显示要求进行任意开窗、图像漫游、信号切换等工作，融合多个系统来进行统一的可视化的调度与管控，大数据可视化平台进一步打通数据壁垒，构建检察院全业务数据仓库，通过数据处理、数据整合调度、数据挖掘分析、数据可视化呈现等技术手段，实现在检察机关“人- 事- 财- 物- 策”全景态势分析，达到检察院全面的数据管理，向数据要检力，向数据要决策力的目的。</w:t>
            </w:r>
          </w:p>
          <w:p>
            <w:pPr>
              <w:keepNext w:val="0"/>
              <w:keepLines w:val="0"/>
              <w:widowControl/>
              <w:suppressLineNumbers w:val="0"/>
              <w:jc w:val="left"/>
              <w:textAlignment w:val="top"/>
              <w:rPr>
                <w:rFonts w:hint="default"/>
                <w:sz w:val="20"/>
                <w:szCs w:val="20"/>
                <w:highlight w:val="none"/>
                <w:lang w:val="en-US" w:eastAsia="zh-CN"/>
              </w:rPr>
            </w:pPr>
            <w:r>
              <w:rPr>
                <w:rFonts w:hint="eastAsia"/>
                <w:sz w:val="20"/>
                <w:szCs w:val="20"/>
                <w:highlight w:val="none"/>
                <w:lang w:val="en-US" w:eastAsia="zh-CN"/>
              </w:rPr>
              <w:t>1、智能多维展示:智能可视化数据采集，自动解析界面数据，全景展示当前工作；</w:t>
            </w:r>
          </w:p>
          <w:p>
            <w:pPr>
              <w:keepNext w:val="0"/>
              <w:keepLines w:val="0"/>
              <w:widowControl/>
              <w:suppressLineNumbers w:val="0"/>
              <w:jc w:val="left"/>
              <w:textAlignment w:val="top"/>
              <w:rPr>
                <w:rFonts w:hint="eastAsia"/>
                <w:sz w:val="20"/>
                <w:szCs w:val="20"/>
                <w:highlight w:val="none"/>
                <w:lang w:val="en-US" w:eastAsia="zh-CN"/>
              </w:rPr>
            </w:pPr>
            <w:r>
              <w:rPr>
                <w:rFonts w:hint="eastAsia"/>
                <w:sz w:val="20"/>
                <w:szCs w:val="20"/>
                <w:highlight w:val="none"/>
                <w:lang w:val="en-US" w:eastAsia="zh-CN"/>
              </w:rPr>
              <w:t>2、智能组件：丰富的OCR、NLP能力组件，拖拽即可使用，支持特殊场景的智能化能力定制</w:t>
            </w:r>
          </w:p>
          <w:p>
            <w:pPr>
              <w:keepNext w:val="0"/>
              <w:keepLines w:val="0"/>
              <w:widowControl/>
              <w:suppressLineNumbers w:val="0"/>
              <w:jc w:val="left"/>
              <w:textAlignment w:val="top"/>
              <w:rPr>
                <w:rFonts w:hint="eastAsia"/>
                <w:sz w:val="20"/>
                <w:szCs w:val="20"/>
                <w:highlight w:val="none"/>
                <w:lang w:val="en-US" w:eastAsia="zh-CN"/>
              </w:rPr>
            </w:pPr>
            <w:r>
              <w:rPr>
                <w:rFonts w:hint="eastAsia"/>
                <w:sz w:val="20"/>
                <w:szCs w:val="20"/>
                <w:highlight w:val="none"/>
                <w:lang w:val="en-US" w:eastAsia="zh-CN"/>
              </w:rPr>
              <w:t xml:space="preserve">智能运作：适用不同业务场景，具备灵活高效的集中控制能力 </w:t>
            </w:r>
          </w:p>
          <w:p>
            <w:pPr>
              <w:keepNext w:val="0"/>
              <w:keepLines w:val="0"/>
              <w:widowControl/>
              <w:numPr>
                <w:ilvl w:val="0"/>
                <w:numId w:val="0"/>
              </w:numPr>
              <w:suppressLineNumbers w:val="0"/>
              <w:jc w:val="left"/>
              <w:textAlignment w:val="top"/>
              <w:rPr>
                <w:rFonts w:hint="eastAsia"/>
                <w:sz w:val="20"/>
                <w:szCs w:val="20"/>
                <w:highlight w:val="none"/>
              </w:rPr>
            </w:pPr>
            <w:r>
              <w:rPr>
                <w:rFonts w:hint="eastAsia" w:ascii="仿宋_GB2312" w:hAnsi="仿宋_GB2312" w:eastAsia="仿宋_GB2312" w:cs="仿宋_GB2312"/>
                <w:b/>
                <w:bCs/>
                <w:sz w:val="20"/>
                <w:szCs w:val="20"/>
                <w:highlight w:val="none"/>
              </w:rPr>
              <w:t>▲</w:t>
            </w:r>
            <w:r>
              <w:rPr>
                <w:rFonts w:hint="eastAsia"/>
                <w:sz w:val="20"/>
                <w:szCs w:val="20"/>
                <w:highlight w:val="none"/>
                <w:lang w:val="en-US" w:eastAsia="zh-CN"/>
              </w:rPr>
              <w:t>3、数字智治驾驶舱：聚焦基层数字检察体系数字化改革，积极围绕“云检察”数字智治驾驶舱建设，细化功能、创新机制，推进“云检察”应用建设。实现云眼、云助、云评、云防。</w:t>
            </w:r>
            <w:r>
              <w:rPr>
                <w:rFonts w:hint="eastAsia" w:ascii="宋体" w:hAnsi="宋体" w:eastAsia="宋体" w:cs="宋体"/>
                <w:b/>
                <w:bCs/>
                <w:i w:val="0"/>
                <w:iCs w:val="0"/>
                <w:color w:val="000000"/>
                <w:kern w:val="0"/>
                <w:sz w:val="20"/>
                <w:szCs w:val="20"/>
                <w:highlight w:val="none"/>
                <w:u w:val="none"/>
                <w:lang w:val="en-US" w:eastAsia="zh-CN" w:bidi="ar"/>
              </w:rPr>
              <w:t>（提供“云检察”数字智治驾驶舱设计图）</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屏体</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仿宋_GB2312" w:hAnsi="仿宋_GB2312" w:eastAsia="仿宋_GB2312" w:cs="仿宋_GB2312"/>
                <w:b/>
                <w:bCs/>
                <w:sz w:val="20"/>
                <w:szCs w:val="20"/>
                <w:highlight w:val="none"/>
              </w:rPr>
              <w:t>▲</w:t>
            </w:r>
            <w:r>
              <w:rPr>
                <w:rFonts w:hint="eastAsia" w:ascii="仿宋_GB2312" w:hAnsi="仿宋_GB2312" w:eastAsia="仿宋_GB2312" w:cs="仿宋_GB2312"/>
                <w:b/>
                <w:bCs/>
                <w:sz w:val="20"/>
                <w:szCs w:val="20"/>
                <w:highlight w:val="none"/>
                <w:lang w:val="en-US" w:eastAsia="zh-CN"/>
              </w:rPr>
              <w:t>1、</w:t>
            </w:r>
            <w:r>
              <w:rPr>
                <w:rFonts w:hint="eastAsia" w:ascii="宋体" w:hAnsi="宋体" w:eastAsia="宋体" w:cs="宋体"/>
                <w:i w:val="0"/>
                <w:iCs w:val="0"/>
                <w:color w:val="000000"/>
                <w:kern w:val="0"/>
                <w:sz w:val="20"/>
                <w:szCs w:val="20"/>
                <w:highlight w:val="none"/>
                <w:u w:val="none"/>
                <w:lang w:val="en-US" w:eastAsia="zh-CN" w:bidi="ar"/>
              </w:rPr>
              <w:t>产品LED像素点间距≤1.25mm;像素密度≥640000点/㎡。显示屏有效显示尺寸不小于为6m*2.36m。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2、箱体结构采用压铸铝合金，后壳采用双列格板散热设计，增大散热面积，无风扇，无孔。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3、产品最大刷新率≥3840Hz ，换帧频率为50-120Hz，最大对比度≥5000:1。水平和垂直视角≥170°；亮度均匀性≥98%，NTSC色域覆盖率≥115%，DCI-P3色域覆盖率≥115%。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4、LED的电源和接收卡采用前后壳传导散热方式，具有导热柱设计，箱体内部元器件热量可传导至后壳进行散热。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5、产品客户端操作可使LED 箱体显示实际连线编号，可快捷连线，无需到屏后查看编号。</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产品亮度色温支持0-100%无极可调，1000K~13000K 连续可调，可设置亮度定时调节，支持通过客户端、遥控器、物理按键进行调节。</w:t>
            </w:r>
            <w:r>
              <w:rPr>
                <w:rFonts w:hint="eastAsia" w:ascii="宋体" w:hAnsi="宋体" w:eastAsia="宋体" w:cs="宋体"/>
                <w:b/>
                <w:bCs/>
                <w:i w:val="0"/>
                <w:iCs w:val="0"/>
                <w:color w:val="000000"/>
                <w:kern w:val="0"/>
                <w:sz w:val="20"/>
                <w:szCs w:val="20"/>
                <w:highlight w:val="none"/>
                <w:u w:val="none"/>
                <w:lang w:val="en-US" w:eastAsia="zh-CN" w:bidi="ar"/>
              </w:rPr>
              <w:t>（提供</w:t>
            </w:r>
            <w:r>
              <w:rPr>
                <w:rFonts w:hint="eastAsia" w:ascii="宋体" w:hAnsi="宋体" w:cs="宋体"/>
                <w:b/>
                <w:bCs/>
                <w:i w:val="0"/>
                <w:iCs w:val="0"/>
                <w:color w:val="000000"/>
                <w:kern w:val="0"/>
                <w:sz w:val="20"/>
                <w:szCs w:val="20"/>
                <w:highlight w:val="none"/>
                <w:u w:val="none"/>
                <w:lang w:val="en-US" w:eastAsia="zh-CN" w:bidi="ar"/>
              </w:rPr>
              <w:t>具有检测资质的第三方检测机构出具的检测报告</w:t>
            </w:r>
            <w:r>
              <w:rPr>
                <w:rFonts w:hint="eastAsia" w:ascii="宋体" w:hAnsi="宋体" w:eastAsia="宋体" w:cs="宋体"/>
                <w:b/>
                <w:bCs/>
                <w:i w:val="0"/>
                <w:iCs w:val="0"/>
                <w:color w:val="000000"/>
                <w:kern w:val="0"/>
                <w:sz w:val="20"/>
                <w:szCs w:val="20"/>
                <w:highlight w:val="none"/>
                <w:u w:val="none"/>
                <w:lang w:val="en-US" w:eastAsia="zh-CN" w:bidi="ar"/>
              </w:rPr>
              <w:t>）</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7、投标产品可通过遥控器的操作，对图像的对比度、清晰度、饱和度、色温以及图像模式进行调节设置。</w:t>
            </w:r>
            <w:r>
              <w:rPr>
                <w:rFonts w:hint="eastAsia" w:ascii="宋体" w:hAnsi="宋体" w:eastAsia="宋体" w:cs="宋体"/>
                <w:b/>
                <w:bCs/>
                <w:i w:val="0"/>
                <w:iCs w:val="0"/>
                <w:color w:val="000000"/>
                <w:kern w:val="0"/>
                <w:sz w:val="20"/>
                <w:szCs w:val="20"/>
                <w:highlight w:val="none"/>
                <w:u w:val="none"/>
                <w:lang w:val="en-US" w:eastAsia="zh-CN" w:bidi="ar"/>
              </w:rPr>
              <w:t>（提供</w:t>
            </w:r>
            <w:r>
              <w:rPr>
                <w:rFonts w:hint="eastAsia" w:ascii="宋体" w:hAnsi="宋体" w:cs="宋体"/>
                <w:b/>
                <w:bCs/>
                <w:i w:val="0"/>
                <w:iCs w:val="0"/>
                <w:color w:val="000000"/>
                <w:kern w:val="0"/>
                <w:sz w:val="20"/>
                <w:szCs w:val="20"/>
                <w:highlight w:val="none"/>
                <w:u w:val="none"/>
                <w:lang w:val="en-US" w:eastAsia="zh-CN" w:bidi="ar"/>
              </w:rPr>
              <w:t>具有检测资质的第三方检测机构出具的检测报告</w:t>
            </w:r>
            <w:r>
              <w:rPr>
                <w:rFonts w:hint="eastAsia" w:ascii="宋体" w:hAnsi="宋体" w:eastAsia="宋体" w:cs="宋体"/>
                <w:b/>
                <w:bCs/>
                <w:i w:val="0"/>
                <w:iCs w:val="0"/>
                <w:color w:val="000000"/>
                <w:kern w:val="0"/>
                <w:sz w:val="20"/>
                <w:szCs w:val="20"/>
                <w:highlight w:val="none"/>
                <w:u w:val="none"/>
                <w:lang w:val="en-US" w:eastAsia="zh-CN" w:bidi="ar"/>
              </w:rPr>
              <w:t>）</w:t>
            </w:r>
          </w:p>
          <w:p>
            <w:pPr>
              <w:keepNext w:val="0"/>
              <w:keepLines w:val="0"/>
              <w:widowControl/>
              <w:numPr>
                <w:numId w:val="0"/>
              </w:numPr>
              <w:suppressLineNumbers w:val="0"/>
              <w:ind w:lef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8、</w:t>
            </w:r>
            <w:r>
              <w:rPr>
                <w:rFonts w:hint="eastAsia" w:ascii="宋体" w:hAnsi="宋体" w:eastAsia="宋体" w:cs="宋体"/>
                <w:i w:val="0"/>
                <w:iCs w:val="0"/>
                <w:color w:val="000000"/>
                <w:kern w:val="0"/>
                <w:sz w:val="20"/>
                <w:szCs w:val="20"/>
                <w:highlight w:val="none"/>
                <w:u w:val="none"/>
                <w:lang w:val="en-US" w:eastAsia="zh-CN" w:bidi="ar"/>
              </w:rPr>
              <w:t>投标产品的客户端、遥控器更改设置时，屏幕出现OSD 提示菜单。</w:t>
            </w:r>
            <w:r>
              <w:rPr>
                <w:rFonts w:hint="eastAsia" w:ascii="宋体" w:hAnsi="宋体" w:eastAsia="宋体" w:cs="宋体"/>
                <w:b/>
                <w:bCs/>
                <w:i w:val="0"/>
                <w:iCs w:val="0"/>
                <w:color w:val="000000"/>
                <w:kern w:val="0"/>
                <w:sz w:val="20"/>
                <w:szCs w:val="20"/>
                <w:highlight w:val="none"/>
                <w:u w:val="none"/>
                <w:lang w:val="en-US" w:eastAsia="zh-CN" w:bidi="ar"/>
              </w:rPr>
              <w:t>（提供</w:t>
            </w:r>
            <w:r>
              <w:rPr>
                <w:rFonts w:hint="eastAsia" w:ascii="宋体" w:hAnsi="宋体" w:cs="宋体"/>
                <w:b/>
                <w:bCs/>
                <w:i w:val="0"/>
                <w:iCs w:val="0"/>
                <w:color w:val="000000"/>
                <w:kern w:val="0"/>
                <w:sz w:val="20"/>
                <w:szCs w:val="20"/>
                <w:highlight w:val="none"/>
                <w:u w:val="none"/>
                <w:lang w:val="en-US" w:eastAsia="zh-CN" w:bidi="ar"/>
              </w:rPr>
              <w:t>具有检测资质的第三方检测机构出具的检测报告</w:t>
            </w:r>
            <w:r>
              <w:rPr>
                <w:rFonts w:hint="eastAsia" w:ascii="宋体" w:hAnsi="宋体" w:eastAsia="宋体" w:cs="宋体"/>
                <w:b/>
                <w:bCs/>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9、产品支持无信号输入自动熄屏待机，有信号输入自动唤醒功能。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10、支持全灰阶校正，通过采集屏幕不同亮度下数据，进行校正处理，实现不同亮度下调用对应的校正系数，从而实现在不同亮度下屏幕显示一致性都较好。</w:t>
            </w:r>
            <w:r>
              <w:rPr>
                <w:rFonts w:hint="eastAsia" w:ascii="宋体" w:hAnsi="宋体" w:eastAsia="宋体" w:cs="宋体"/>
                <w:i w:val="0"/>
                <w:iCs w:val="0"/>
                <w:color w:val="000000"/>
                <w:kern w:val="0"/>
                <w:sz w:val="20"/>
                <w:szCs w:val="20"/>
                <w:highlight w:val="none"/>
                <w:u w:val="none"/>
                <w:lang w:val="en-US" w:eastAsia="zh-CN" w:bidi="ar"/>
              </w:rPr>
              <w:br w:type="textWrapping"/>
            </w:r>
            <w:bookmarkStart w:id="168" w:name="_GoBack"/>
            <w:r>
              <w:rPr>
                <w:rFonts w:hint="eastAsia" w:ascii="宋体" w:hAnsi="宋体" w:eastAsia="宋体" w:cs="宋体"/>
                <w:i w:val="0"/>
                <w:iCs w:val="0"/>
                <w:color w:val="000000"/>
                <w:kern w:val="0"/>
                <w:sz w:val="20"/>
                <w:szCs w:val="20"/>
                <w:highlight w:val="none"/>
                <w:u w:val="none"/>
                <w:lang w:val="en-US" w:eastAsia="zh-CN" w:bidi="ar"/>
              </w:rPr>
              <w:t>11、具备智能节能功能，自动检测当前环境是否有人，无人时自动调暗屏幕画面或黑屏。</w:t>
            </w:r>
            <w:r>
              <w:rPr>
                <w:rFonts w:hint="eastAsia" w:ascii="宋体" w:hAnsi="宋体" w:eastAsia="宋体" w:cs="宋体"/>
                <w:b/>
                <w:bCs/>
                <w:i w:val="0"/>
                <w:iCs w:val="0"/>
                <w:color w:val="000000"/>
                <w:kern w:val="0"/>
                <w:sz w:val="20"/>
                <w:szCs w:val="20"/>
                <w:highlight w:val="none"/>
                <w:u w:val="none"/>
                <w:lang w:val="en-US" w:eastAsia="zh-CN" w:bidi="ar"/>
              </w:rPr>
              <w:t>（提供</w:t>
            </w:r>
            <w:r>
              <w:rPr>
                <w:rFonts w:hint="eastAsia" w:ascii="宋体" w:hAnsi="宋体" w:cs="宋体"/>
                <w:b/>
                <w:bCs/>
                <w:i w:val="0"/>
                <w:iCs w:val="0"/>
                <w:color w:val="000000"/>
                <w:kern w:val="0"/>
                <w:sz w:val="20"/>
                <w:szCs w:val="20"/>
                <w:highlight w:val="none"/>
                <w:u w:val="none"/>
                <w:lang w:val="en-US" w:eastAsia="zh-CN" w:bidi="ar"/>
              </w:rPr>
              <w:t>具有检测资质的第三方检测机构出具的检测报告</w:t>
            </w:r>
            <w:r>
              <w:rPr>
                <w:rFonts w:hint="eastAsia" w:ascii="宋体" w:hAnsi="宋体" w:eastAsia="宋体" w:cs="宋体"/>
                <w:b/>
                <w:bCs/>
                <w:i w:val="0"/>
                <w:iCs w:val="0"/>
                <w:color w:val="000000"/>
                <w:kern w:val="0"/>
                <w:sz w:val="20"/>
                <w:szCs w:val="20"/>
                <w:highlight w:val="none"/>
                <w:u w:val="none"/>
                <w:lang w:val="en-US" w:eastAsia="zh-CN" w:bidi="ar"/>
              </w:rPr>
              <w:t>）</w:t>
            </w:r>
            <w:bookmarkEnd w:id="168"/>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12、当控制卡的网络环境变化后，能自动获取控制卡的IP地址，防止网络环境变化后，使用者无法登陆设备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13、支持灰度再编码技术，每帧图像实时处理，针对低灰图像细节进行对比度增强，低灰更细腻；刷新帧率倍频，减少闪烁。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14、支持256灰阶每一级灰度进行精准检测与控制，解决灰阶过渡偏色反跳等问题，使灰阶过渡更加细腻。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15、可通过遥控器快速开关机。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16、支持自动检测环境温湿度，出现环境异常时，联动调节空调和除湿等设备。</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14.17</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软件</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大屏显控软件，支持8Gwindows系统部署，包含大屏显控、平板操控、内容切换、中控管理的功能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渲染机的状态、CPU、内存、硬盘；使用量；支持在渲染服务下添加、修改、删除渲染页面；支持查看渲染页面状态及切换页面显示操作；页面中支持添加网页、程序包、图片、视频、PPT、DOC、Excel、PDF类型的窗口；</w:t>
            </w:r>
            <w:r>
              <w:rPr>
                <w:rFonts w:hint="eastAsia" w:ascii="宋体" w:hAnsi="宋体" w:eastAsia="宋体" w:cs="宋体"/>
                <w:i w:val="0"/>
                <w:iCs w:val="0"/>
                <w:color w:val="000000"/>
                <w:kern w:val="0"/>
                <w:sz w:val="20"/>
                <w:szCs w:val="20"/>
                <w:highlight w:val="yellow"/>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2、平台支持下发由网页、程序包、图片、视频、PPT、Doc、Excel、Pdf八种类型组成的渲染指令渲染端根据指令进行渲染；支持查看、切换渲染页面；</w:t>
            </w:r>
            <w:r>
              <w:rPr>
                <w:rFonts w:hint="eastAsia" w:ascii="宋体" w:hAnsi="宋体" w:eastAsia="宋体" w:cs="宋体"/>
                <w:i w:val="0"/>
                <w:iCs w:val="0"/>
                <w:color w:val="000000"/>
                <w:kern w:val="0"/>
                <w:sz w:val="20"/>
                <w:szCs w:val="20"/>
                <w:highlight w:val="yellow"/>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在屏幕中添加、删除、修改、配置门户；门户配置支持一二级门户配置管理；门户的菜单类型包括：场景+页面、页面、场景、网页、图片的类型，根据不同的类型配置不同的菜单内容；支持门户菜单的位置移动、名称修改、设置播放速度；支持在屏幕上显示已配置的门户，门户背景图片可自动切换播放；</w:t>
            </w:r>
            <w:r>
              <w:rPr>
                <w:rFonts w:hint="eastAsia" w:ascii="宋体" w:hAnsi="宋体" w:eastAsia="宋体" w:cs="宋体"/>
                <w:i w:val="0"/>
                <w:iCs w:val="0"/>
                <w:color w:val="000000"/>
                <w:kern w:val="0"/>
                <w:sz w:val="20"/>
                <w:szCs w:val="20"/>
                <w:highlight w:val="yellow"/>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4、支持通过触摸板（surface显控客户端、会议平板）控制多个屏幕场景的展示；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5、通过显控客户端控制屏幕开关机；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6、显控客户端功能；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7、支持通过网络信号实现操作系统桌面上墙；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8、大屏预案管理功能。支持预案的查询、添加、修改、删除、启动/停止预案操作；预案配置支持定时计划和轮询计划；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9、场景管理功能,场景配置功能；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10、支持4K码流上墙显示；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11、网络信号查询功能。</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播控电脑</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板载双口千兆RJ45网卡，8个USB3.0；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2、Hygon 3250（8核 2.8主频）*1/DDR4 8G/256G 2.5 SATA 6G R SSD/GT710 2G 显卡；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3、内置DVD光驱/150cm 国标电源线/350W单电源/键鼠套装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4、23.8寸宽屏LED背光液晶显示器；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5、桌面操作系统：搭载官方标准正版授权统信UOS V20操作系统</w:t>
            </w:r>
          </w:p>
          <w:p>
            <w:pPr>
              <w:keepNext w:val="0"/>
              <w:keepLines w:val="0"/>
              <w:widowControl/>
              <w:numPr>
                <w:ilvl w:val="0"/>
                <w:numId w:val="0"/>
              </w:numPr>
              <w:suppressLineNumbers w:val="0"/>
              <w:jc w:val="left"/>
              <w:textAlignment w:val="center"/>
              <w:rPr>
                <w:rFonts w:hint="eastAsia" w:ascii="宋体" w:hAnsi="宋体" w:eastAsia="仿宋_GB2312" w:cs="宋体"/>
                <w:i w:val="0"/>
                <w:iCs w:val="0"/>
                <w:color w:val="000000"/>
                <w:sz w:val="20"/>
                <w:szCs w:val="20"/>
                <w:highlight w:val="none"/>
                <w:u w:val="none"/>
                <w:lang w:eastAsia="zh-CN"/>
              </w:rPr>
            </w:pPr>
            <w:r>
              <w:rPr>
                <w:rFonts w:hint="eastAsia" w:asciiTheme="majorEastAsia" w:hAnsiTheme="majorEastAsia" w:eastAsiaTheme="majorEastAsia" w:cstheme="majorEastAsia"/>
                <w:b/>
                <w:bCs/>
                <w:sz w:val="20"/>
                <w:szCs w:val="20"/>
                <w:highlight w:val="none"/>
              </w:rPr>
              <w:t>▲</w:t>
            </w:r>
            <w:r>
              <w:rPr>
                <w:rFonts w:hint="eastAsia" w:asciiTheme="majorEastAsia" w:hAnsiTheme="majorEastAsia" w:eastAsiaTheme="majorEastAsia" w:cstheme="majorEastAsia"/>
                <w:b/>
                <w:bCs/>
                <w:sz w:val="20"/>
                <w:szCs w:val="20"/>
                <w:highlight w:val="none"/>
                <w:lang w:eastAsia="zh-CN"/>
              </w:rPr>
              <w:t>提供节能证书扫描件。</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视频处理器</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1、之处8路DVI输入，4路HDMI输入和12路DVI输出，采用LED 拼接发送卡，最大带载 1300 万像素点，20×RJ45 千兆网口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2、纯硬件架构，内部无操作系统，功耗小，允许频繁开关机，开机启动响应时间不超过10秒，按键面板，带字符屏显示。≥1个RJ-45 10/100M自适应以太网口，支持网络、RS232控制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3、采用B/S架构，无需安装应用程序，可跨平台、跨系统进行访问及控制，可在Windows、MAC、iOS、Android和Linux环境下支持多用户在线操作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4、支持单屏独立设置OSD，透明度叠加；支持多图层显示。单卡支持16个2K图层，8个DL图层或4个4K图层，支持BKG，BKG最大宽度15K，最大高度为8K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5、全系统支持HDR和10bit视频处理，画面显示更加细腻清晰，支持输入源画质，输出画质和图层画质管理，包括亮度、对比度、饱和度、色度和Gamma调整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6、采用帧同步技术，保证所有输出接口的输出图像完全同步，画面完整，播放流畅，无卡顿丢帧情况，无撕裂和拼缝现象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7、支持HDMI、DP、DVI、VGA、CVBS、YPbPr、SD/HD/3G-SDI HDBaseTFIBER、IP 码流等1080P信号输入/输出;4K DP4KHDBaseT、4KFIBER等4K信号输入/输出支持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8、信号编码:可将前端数字信号进行编码输出，供网络内设备解码观看，单卡支持2路4K@30Hz信号编码，可在编码画面上叠加字符，编码信号可加密，解码时需输入用户名密码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9、支持对CVBS信号进行拉伸处理，以便适配显示屏输出。提供四种拉伸处理方式:4:3等比拉伸至16:9，4:3非线性拉伸至16:9，4:3两侧黑边填充至16:9，4：3切上下边得到16:9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字符叠加，支持8声道音频功能；支持多用户端同步操作、支持软件备份与恢复功能、操作日志的查看；支持同一个上位机软件对多个设备的统一管理，当需要对某一设备进行控制时，一键切换即可，无需重新通讯</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接入盒/卡</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具有16路报警输入/4路报警输出接口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具有RS-232，RS-485，以太网口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可在Windows平台上通过IE进行参数设置及图像预览、录像和回放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支持H.264编码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支持960×576图像分辨率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最大支持25帧/秒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支持32~2048Kbps可调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视频信号丢失报警：当视频信号丢失时，应能发出报警信号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支持移动侦测报警功能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系统自恢复功能：设备在运行或升级过程中发生异常，重启后可自动恢复</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接收系统</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1)LED全彩显示屏控制器,1路DVI输入，1路HDMI输入；6路网口输出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2)带载分辨率1920x1200 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3)极限带载分辨率：极限宽度（3840*600@60Hz），极限高度（548*3840@60Hz）</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配电柜</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配电柜额定功率≥20KW，具备6个单相回路；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2、配电柜壳体采用折弯焊接加固； 钣金厚度 1.2mm， 表面喷塑； 外壳无划痕，结构稳固；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3、配电柜输入保护： 塑壳断路器保护， 输出保护： 微型断路器保护， 两级均有断路器保护措施；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4、配电柜一次回路电缆符合标准 GB/T19666-2019 、JB/T8734.2-2016标准，一次回路铜电缆线规格： ZC-BVR2.5、6mm²；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5、配电柜二次回路电缆符合标准 GB/T5023.3-2008、IEC60227-3:1997标准，二次回路铜电缆线规格： RV-0.75mm²；</w:t>
            </w: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6、配电柜接线端子连接方式： 紫铜端子压接； 线径余量： 较标称值余量 20%；</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配电柜控制器采用欧姆龙 PLC；网络通讯端口： TCP/IP 网络；串口通讯端口： RS232；软件支持： PC 软件、 C/S B/S 及手机 APP 软件进行远程控制； 串口（中控） 、 网络可同时进行控制； </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配电柜具备环境联动功能，配备温度传感器， 烟雾传感器， 环境检测， 可设置阈值与配电柜进行联动， 实现环境变量和配电柜联动；温度超出阈值后软件立即报警提示， 3 秒后断开配电柜输出；触发烟雾阈值可根据设定执行 3 秒后断开配电柜输出或者只报警不断开配电柜输出。</w:t>
            </w:r>
            <w:r>
              <w:rPr>
                <w:rFonts w:hint="eastAsia" w:ascii="宋体" w:hAnsi="宋体" w:eastAsia="宋体" w:cs="宋体"/>
                <w:i w:val="0"/>
                <w:iCs w:val="0"/>
                <w:color w:val="000000"/>
                <w:kern w:val="0"/>
                <w:sz w:val="20"/>
                <w:szCs w:val="20"/>
                <w:highlight w:val="yellow"/>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9、配电柜每个通道均可独立控制： 通过面板可手动开、 停止； 远程控制： 开、 停止， 单个或分组设置定时自动开关；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10、配电柜符合GB/T 7251.3-2017标准</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24口千兆交换机</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产品类型 千兆以太网交换机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传输速率 10/100/1000Mbps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交换方式 存储-转发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背板带宽 336Gbps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包转发率 96Mbps/108Mbps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MAC地址表 支持32kMAC地址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支持黑洞MAC地址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支持设置端口MAC地址学习个数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端口参数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端口结构 非模块化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端口数量 28个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端口描述 24个10/100/1000Base-T自适应以太网端口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4个千兆SFP+口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功能特性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VLAN 支持基于端口的VLAN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支持QinQ、灵活QinQ</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 Voice VLAN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支持协议VLAN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支持 MAC VLAN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其它参数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电源电压 额定电压范围:100V-240VAC,50/60Hz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满载电压范围:90V-264VAC,47-63Hz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电源功率 静态：24W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满负荷：460W </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钢结构</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与屏体相关的LED钢支架制作及安装</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14.17</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装修装饰</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与屏体相关的LED钢支架装饰</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14.17</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工程施工</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安装实施、调试、培训服务等</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备品备件</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屏体模组2块，接收卡2块，电源2块</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二、扩声部分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操作电脑</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板载双口千兆RJ45网卡，8个USB3.0；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2、Hygon 3250（8核 2.8主频）*1/DDR4 8G/256G 2.5 SATA 6G R SSD/GT710 2G 显卡；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3、内置DVD光驱/150cm 国标电源线/350W单电源/键鼠套装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4、23.8寸宽屏LED背光液晶显示器；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5、桌面操作系统：搭载官方标准正版授权统信UOS V20操作系统</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Theme="majorEastAsia" w:hAnsiTheme="majorEastAsia" w:eastAsiaTheme="majorEastAsia" w:cstheme="majorEastAsia"/>
                <w:b/>
                <w:bCs/>
                <w:sz w:val="20"/>
                <w:szCs w:val="20"/>
                <w:highlight w:val="none"/>
              </w:rPr>
              <w:t>▲</w:t>
            </w:r>
            <w:r>
              <w:rPr>
                <w:rFonts w:hint="eastAsia" w:asciiTheme="majorEastAsia" w:hAnsiTheme="majorEastAsia" w:eastAsiaTheme="majorEastAsia" w:cstheme="majorEastAsia"/>
                <w:b/>
                <w:bCs/>
                <w:sz w:val="20"/>
                <w:szCs w:val="20"/>
                <w:highlight w:val="none"/>
                <w:lang w:eastAsia="zh-CN"/>
              </w:rPr>
              <w:t>提供节能证书扫描件。</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无线键鼠套装</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无线键鼠套装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无线话筒主机</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一拖四无线鹅颈主机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1.拥有四通道接收信号,每通道﹥95个信道可选，UHF频段传输信号，频率范围：500MHz-900MHz；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2.实现同一发射可在四个通道400个信道中互通互用，采用红外自动对频技术，锁相环频率合成振荡方式；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3.设置4条橡胶接收天线，增强接收的信号，设有4个独立SQ电位器、4个平衡输出和1个混合非平衡输出；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4.同一场合可供﹥18套机同时使用，即可同时使用﹥18台接收机和﹥72个发射器，每通道设有独立窗口；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5.各通道配备独立的音量调节旋钮、红外对频信号灯、一键对频按键、频率前后调节按键、通道电源开关按键；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6.振荡方式:锁相环频率合成，频率范围：UHF500MHz～900MHz，频率稳定性：±0.001%，最大频率偏：±50KHz；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7.FM调制方式，信噪比&gt;105dB，失真度&lt;0.5%@1KHz，灵敏度1.2/UV @S/N=12dB，音频输出：独立0～400mV、混合0～300mV；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无线鹅颈话筒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1.载波频率：UHF 500MHz～900MHz，频率稳定度：±25KHz，信噪比：&gt;105dB；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2.邻频干扰比：&gt;80dB，动态范围：≥100dB，类型：电容式，单一指向性；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3.频率响应：40Hz～20KHz，话筒灵敏度：-45±2dB@1KHz；</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数字音频处理器</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软件环境要求：运行于WINDOWS操作系统下;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支持I0S移动终端APP远程控制功能;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8路输入、8路输出平衡接口;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支持编组控制功能,通道拷贝、粘贴、联控功能;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支持外部面板配置及控制功能;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输入每通道功能:前级放大器、扩展器、压缩器、参量均衡器;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输出每通道:参量/段图均衡可选、分频器、延时器、高低通滤波器、限幅器;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支持自适应反馈消除（AFC）功能;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支持自适应回声消除（AEC）功能、噪声消除（ANC）功能;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多种模式自动混音,可选门限型自动混音或增益分享型自动混音模式;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支持GPIO可编程控制接口;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自带USB接口,支持音频录放功能;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支持RS-232双向串行控制接口;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支持不少于5组场景预设功能;</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调音台</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1）8路话筒输入，4路（2组）立体声输入；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2）带48V幻像电源，隐藏式按键开关；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3）话筒输入高中低3段均衡，立体声高低2段均衡，输入推子60mm，手感平滑；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4）一个AUX发送（推子前信号），一个FX发送（推子后信号），AUX发送由推子控制，FX发送由旋钮控制；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5）输入每路带PFL按键，方便监听推子前信号，独特透明按键设计；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6）毎路带信号指示灯和峰值指示灯，共用可变色指示灯,绿色红色可变；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7）播放模块特点：带蓝牙,USB播放,录音功能，也可以做为简易声卡直接和电脑连接，播放音乐可以显示歌名，歌词，支持MP3,WAV等多种格式，中英文界面可选，循环模式可选；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8）内置效果器，延时和重复比例可调，组合各种模式，音色优美，效果可以；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9）两主输出，带卡龙和RCA两种输出口（方便给本地或远程录音信号），两个推子独立控制，60mm进口推子；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10）立体声监听输出，可以耳机监听，也可以外接音箱监听，旋钮控制音量大小；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11）左右立体声辅助返回，旋钮控制返回音量大小；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12）调音台本底噪声低，信噪比好，性能稳定；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14）独特的外观设计,SMT表面贴片工艺，性能可靠；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15）话筒输入可以选择卡龙或6.35接口，立体声输入可以选择RCA或6.35接口；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16)可选配支架，直接装在标准机柜上；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17)输入放大线路采用独特设计的方案，声音动态大，音色饱满；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18)外置大功率电源，有效减少外部电源干扰。</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功放</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1.输出功率：2*400W/8Ω，2*750W/4Ω，2*1100W/2Ω，桥接8Ω 800W，桥接4Ω 1100W；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2.信号输入：平衡插座，XLR插脚。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3.信噪比：103dB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4.失真：&lt;0.03%@8Ω1KHz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5.输入阻抗：20KΩ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6.频响范围：35Hz—20KHz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7.阻尼系数:&gt;400@8ohm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全频阵列音柱</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1.铝合金线型阵列扬声器，可定制环保防水箱体及颜色；单元组成：LF：4*4"低音单元/HF：1*3"高音单元；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2.额定功率﹥250W，额定阻抗：8Ω，覆盖角度：100°水平*60°垂直；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3.频率范围：150Hz-19KHz，灵敏度:(1m/1W)：96dB，最大声压级：123dB；</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三、环境设备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电源时序器</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1、带网口，支持通过网络控制时序开关实现一键开关机。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2、提供8个220VAC/6个12VDC电源时序控制，单通道的最大电流为10A，总输入电流容量为40A；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3、可通过软件指令，锁闭和解锁面板按键操作功能；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4、提供1-8号端口独立开关的延时设置，可现场进行开关机的延时时间和顺序的设定，延时时间可达15小时（可对投影机等进行延时关电操作）</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32U机柜</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600*800*1600   玻璃门机柜</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辅材管材</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根据客户要求提供以上设备安装的网线、水晶头、电源线、话筒线、音频线、视频线、视频接头、地插、插排等满足项目需要的其它材料</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施工布线</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工程师施工布线费用等工作。</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安装调试</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各系统进行安装、调试、培训等费用。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b/>
                <w:bCs/>
                <w:i w:val="0"/>
                <w:iCs w:val="0"/>
                <w:color w:val="000000"/>
                <w:sz w:val="20"/>
                <w:szCs w:val="20"/>
                <w:highlight w:val="none"/>
                <w:u w:val="none"/>
                <w:lang w:val="en-US" w:eastAsia="zh-CN"/>
              </w:rPr>
              <w:t>四、实验室设备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olor w:val="auto"/>
                <w:sz w:val="20"/>
                <w:szCs w:val="20"/>
                <w:highlight w:val="none"/>
              </w:rPr>
              <w:t>取证航母一体化智能取证工作站系统</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 硬件配置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产品为一体化触控工作桌，全方面满足取证工作全流程自动化工作的需求；工作台尺寸：180cm（长）*85cm（宽）*95cm（高），尺寸不包括上方显示器；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配置1个23.8英寸高强度触控显示器；配备2个34英寸宽屏高清显示器；配备1个7英寸的触控显示屏，可用于案件信息显示和硬盘擦除控制等；配置：CPU主频3.6Ghz，八核十六线程；内存配置64GB DDR4高速；配置16GB显存的独立显卡；配置4TB的固态硬盘作为系统盘，配置12TB的机械硬盘作为数据存储盘；配置万兆网卡；</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配置4个SATA/SAS硬盘只读仓、4个SATA/SAS硬盘读写仓（可灵活切换到只读）；配置IDE/SATA/USB（2.0/3.0）和各类存储卡等各种存储介质只读接入；</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配置2路的SATA硬盘仓用于硬盘擦除，2路的USB3.0接口用于USB存储介质擦除；</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 配置8路带手机网络阻隔功能的手机取证USB3.0接口（内网）、8路直通功能的手机取证USB3.0接口（外网）；4个USB3.0读写接口；</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 配置2个220V电源接口、4路5V/2.1A USB充电口、1个RJ45千兆网络接口、1个电话接口；配置银行卡取证接口（IC芯片、磁条、NFC三种银行卡）、身份证取证接口、三合一SIM卡取证接口；</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 配置1个蓝光刻录光驱；配置1个广角摄像头和1个高清摄像头；设备具有自主知识产权，具备专利和著作权证书；预装windows10神州网信政府版操作系统；</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 提供录屏录像功能，配置广角摄像头可以对取证区域进行录像；同时支持取证日志审计，构建取证过程轨迹，保证取证司法有效性；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 主要功能点</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支持8路介质和8路手机并行取证；</w:t>
            </w:r>
          </w:p>
          <w:p>
            <w:pPr>
              <w:keepNext w:val="0"/>
              <w:keepLines w:val="0"/>
              <w:widowControl/>
              <w:suppressLineNumbers w:val="0"/>
              <w:jc w:val="left"/>
              <w:textAlignment w:val="top"/>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支持自动取证，接入存储介质后一键完成介质预检、介质固定、取证分析、系统仿真等取证工作，并自动完成工作报告；</w:t>
            </w:r>
            <w:r>
              <w:rPr>
                <w:rFonts w:hint="eastAsia" w:ascii="宋体" w:hAnsi="宋体" w:cs="宋体"/>
                <w:i w:val="0"/>
                <w:iCs w:val="0"/>
                <w:color w:val="000000"/>
                <w:kern w:val="0"/>
                <w:sz w:val="20"/>
                <w:szCs w:val="20"/>
                <w:highlight w:val="none"/>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提供语音交互功能，支持知识问题和语音操作取证；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 计算机取证功能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（一）介质预检要求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需支持硬盘硬件信息检测，包括获取硬盘基本配置信息（型号、固件版本、序列号等11项数据）、硬盘S.M.A.R.T信息（数据读取错误率、主轴旋转次数等15项数据）、盘面健康状况的检测、HPA/DCO情况检测等功能；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支持USB设备硬件信息检测、闪存卡硬件信息检测；</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（二）硬盘复制要求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需支持4路高速硬盘复制同时工作，支持一对一、一对多、四对四等硬盘复制模式；</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需支持4路读写与8路只读的切换，实现8路同时镜像；</w:t>
            </w: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3. 需支持IDE、SATA、SAS、USB等接口硬盘的高速复制，并行复制速度SATAIII硬盘每路最高可达50GB/min；</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需支持自动识别HPA隐藏区域，并可进行复制、镜像等操作；</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（三）取证分析要求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需支持Windows系统、Mac OS X系统和Linux系统取证；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需支持基本磁盘/动态磁盘、MBR磁盘/GPT磁盘、LDM/LVM/LVM2磁盘、磁盘阵列重组，支持FAT12、FAT16、FAT32、exFAT、NTFS、CDFS、UDF、Ext2/3/4、HFSX/HFS+ UFS、ReiserFS、XFS、NILFS2、ReFS、VMFS、ZFS、JFS、JFS2、APFS、F2FS、BTRFS、 QNX4FS、QNX6FS、JFFS2以及手机上的YAFFS2、ROFS、黑莓BlackBerryFS等多种文件系统格式的解析，及多种被删除数据的恢复；</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需支持E01、Ex01、L01、DD、IMG、001、ISO、DMG、VMDK、VHD、AFF、Lx01、GHO、VDI、DVD、HDD、HDS、QCOW2等镜像文件的加载和分析；</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需支持EFS离线解密；支持BitLocker离线解密(支持最新Win10 XTS-AES新加密算法)；支持FileVault2离线解密；支持VeraCrypt离线解密；支持Luks离线解密；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 需支持JBOD、RAID0、RAID1、RAID5常规左同步、RAID5常规右同步、RAID5常规左异步、RAID5常规右异步的RAID磁盘组加载；支持macOS的RAID0解析；</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 需支持索引搜索，对设备进行索引后，对文件名和内容可实现秒级搜索相应。</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 需支持自定义报告，摘录功能可以将数据片段、文本信息、文件信息、取证结果或其它类型的数据添加到摘录视图中，并可将摘录数据生成报告以自定义模板形式导出；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 需支持简单删除文件恢复、格式化后的文件恢复、被删除的磁盘分区恢复、根据文件头尾特征对被删除文件进行恢复；</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 需支持动态取证功能，获取计算机系统运行状态下的动态信息，包括系统进程、各种通讯及网络服务帐号和密码、上网记录及网络连接信息等；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 需支持工具集功能，提供动态取证、QQ密钥获取、内存镜像解析、内存镜像制作、人脸识别、银行卡采集等应用；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 支持自定义脚本功能；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（四）操作系统仿真要求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 需支持Windows、Mac、Linux系统仿真，仿真方式包括物理盘系统仿真和系统镜像仿真； 需支持对Windows操作系统（支持微软账户破解）、MAC OS操作系统、Linux多个版本进行仿真取证；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需支持多镜像仿真；</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需支持对全盘镜像或分区镜像（DD镜像、E01镜像等）的仿真取证，可直接查看DD、E01镜像中的分区、操作系统及用户等重要信息；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需支持对Windows 操作系统获取信息：系统信息、易失数据、账号密码、上网痕迹、用户痕迹等五大类重要数据；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四、 手机取证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（一）手机支持能力要求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需支持主流智能机操作系统： Android（含各类定制Android系统，支持最新Android 10.0）、iOS（支持最新iOS 13）、Windows Mobile/Phone/CE、塞班、黑莓（含黑莓10）、Linux、Bada等。支持制作或解析Android、iPhone手机逻辑镜像，固定手机数据。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需通过内置镜像采集终端获取镜像并解析取证，平台包括MTK、展讯、Mstar、CoolSand、ADI、英飞凌等平台其他机型，也包含MTK平台的Android手机。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（二）手机数据提取和恢复要求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1.需支持Android和iPhone手机基本信息取证，包括系统信息、通讯录、通话记录、短信等；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需支持iOS系统无需越狱，即可绕过备份密码提取数据；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产品需支持Android系统在取证过程中无需频繁点击授权提示，提高取证效率。</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需支持Android和iPhone 手机微信、QQ、微博信息取证，包括账号信息、好友信息、聊天记录等。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 需支持获取手机IMEI、IMSI、通讯簿、短信、通话记录、位置信息、备忘录、日程表、Wi-Fi/蓝牙连接记录、多媒体文件（图片/视频/音频）、系统日志（开关机时间、应用程序使用卸载记录、电量统计、流量统计、iOS设备使用过的手机号、iOS设备连接过的主机、iOS PushStore推送消息）和密码密钥等信息，支持恢复已删除的电话簿、短信、通话记录、日程表等信息。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 需支持手机已删除数据的恢复，支持删除数据恢复的平台包括： iPhone手机、Android手机、Symbian手机、MTK及展讯其他机型、诺基亚S40手机、摩托罗拉非智能机、高通平台CDMA功能手机和部分黑莓手机等。其中iPhone手机越狱和未越狱均可实现删除数据恢复，Android手机未ROOT或已ROOT均可进行删除数据恢复。</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 需支持手机内存镜像的获取和解析，包括Android手机、iPhone手机、其他机型（MTK、展讯、Mstar等）、诺基亚S40手机、黑莓手机。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 需支持Android手机基于镜像的深度数据恢复，可深度恢复微信、短信等删除数据。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（三）手机密码破解及绕过要求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系统需提供Android解锁大师工具。支持 6.x-10.0版本华为系列手机屏幕锁破解，包含高通芯片、MTK芯片以及麒麟990/810980/710/970/960/955/950/659/658/655等，支持MATE30、MATE30PRO、P30、P30PRO、mate20、V20、荣耀V30、荣耀V30 Pro、荣耀20、 Nova6等全版本解锁；支持6.x-8.x版本三星系列手机（含S8/S8+等）绕过屏幕锁、绕过BL锁直接获取ROOT权限、免ROOT下载镜像或数据包等；支持高通芯片手机绕过屏幕锁、破解ROOT权限、免ROOT或自定义参数下载镜像等；支持MTK芯片手机绕过屏幕锁、免ROOT下载镜像或数据包、自定义参数下载镜像等；支持OPPO系列手机R17/R17 PRO系列、Find X、R15系列、K1、A7x、A7、A5、R11s系列、R11系列等屏幕解锁、ROOT破解或镜像下载等，支持OPPO全系列高级备份，支持手机应用程序解析；支持vivo系列手机(含vivo X27 PRO、X23系列、X21系列、X20系列、Y97、Y93、Y95、Z5x、Z3x、Z3/Z3i、Z1/Z1i、U1、S1、Y3等)屏幕解锁等, 最高支持至Android10.0；支持小米系列手机（含小米Max3、小米8 青春版、小米8 SE、小米6x、红米Note7、红米Note5、红米Pro、红米S2等）屏幕解锁，新增小米高级备份，只需一点空间即可完成小米取证，支持Android5.0以上版本所有手机；支持移除全盘加密的魅族手机（如8X、PRO 7/PRO 6、NOTE 8/NOTE 6/NOTE 5、6/6T、MAX、E/E2/E3）屏幕锁；支持LG、小米、HTC、联想、金立、ZTE、努比亚、乐视、一加、小辣椒、海信、国美、朵唯、SUGAR\美图、酷比、酷派、360、锤子、8848等品牌手机绕过密码、免ROOT镜像下载等；支持海外手机的屏幕锁破解或镜像下载；支持MTK（含MTK Android，如vivo X6 Plus D）、展讯、Mstar、CoolSand、ADI、英飞凌等平台其他机型开机密码绕过和破解、免ROOT下载镜像或数据包等。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需支持三星、华为、小米、OPPO、vivo、魅族、乐视、HTC等各品牌手机在未ROOT情况下免刷机直接提取镜像并自动解密。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（四）手机应用程序解析要求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针对手机APP种类广、版本多、迭代快等特点，用户可自定义编写Python脚本，实现对新APP数据的快速提取，并支持将提取结果合并到案件数据中。支持手机APK静态分析，快速提取分析APK资源分析。</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使用设备自带显卡进行GPU并行运算解密、支持密钥数据库文件解密、支持缓存文件解密Android微信多账号数据；支持各种即时通讯软件多媒体文件的转码，并在软件内直接播放；支持部分应用程序删除数据的恢复；支持部分应用程序密码/密钥的提取。</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需支持手机即时通讯类应用程序的痕迹记录解析、社交网络数据的获取、上网日志的获取解析、手机邮件的获取解析、手机行程记录的获取解析、手机电子商务数据的获取解析、手机Wi-Fi、蓝牙连接记录、GPS、Wi-Fi、基站、照片位置信息及部分应用程序位置信息的提取、支持第三方安全软件的获取解析、车载导航记录的获取解析、视听软件的获取解析、支持360安全云盘、易联OVPN、华为手机云、iCloud等应用的获取解析、银行类APP的获取解析、其他应用解析如搜狗输入法、imToken、币牛牛、115网盘、金十数据、豌豆荚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（五）手机取证工具集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Android系列：需提供Android镜像下载工具，支持任意多部手机同时下载镜像；提供Android解锁大师工具，支持按手机型号破解或绕过密码。提供Android一键root工具，支持一键root和一键取消root，提供第三方工具，提供360一键root/kingroot/root大师的下载链接；提供Android屏幕截图工具，在PC上实现对手机屏幕的截图；提供Android缩略图恢复工具，用于恢复被删除图片的缩略图；提供Android文件浏览，辅助进行手动方式取证；提供ADB数据备份工具，支持降级备份、直接导出文件。</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iPhone系列：需提供iPhone屏幕锁破解设备提供iPhone备份浏览工具，可直接加在备份目录浏览；提供iPhone缩略图恢复工具，在手机照片删除情况下，可恢复删除照片的缩略图；提供iPhone备份密码破解工具，具备无加密备份的提示，支持载入第三方字典文件破解和暴力破解；提供iPhone数据备份工具，可用于备份iPhone数据到PC上。</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设备集成暴恐查缉-暴恐音视频图片电子书查缉工具，在手机取证时对手机进行暴恐文件的检索查缉。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（六）支持数据分析、关联和报告要求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需支持列表、会话等方式的数据浏览，语音、视频、图片等多媒体文件直接播放，红包、分享链接、转账等直观展示，微信、QQ、支付宝等资金往来数据单独归类，全面提升数据浏览效率。</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支持多关键字搜索、时间段搜索、搜索结果溯源以及导出搜索报告；支持对数据添加标签并导出标签报告；支持导出Word、Html、Pdf、CSV等格式的取证报告并进行管理，且Html报告支持会话展示、多浏览器查看以及搜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支持多重数据分析，刻画人物属性、挖掘身份标识、二维码分析等，对手机持有人的头像、手机号、姓名、身份证号等各类信息进行挖掘，对二维码详细信息进行展示，多方位多角度挖掘有效线索。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需集成免费绿色版的案件阅读工具，支持导出案件数据后，使用案件阅读工具进行数据浏览、搜索、分析、添加标签、导出各种格式的取证报告和标签报告，方便进行案件多人分析、跨部门案件协助处理、案件保存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（七）人工智能与取证技术结合要求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语音识别，支持单个或批量语音识别，可将语音文件自动识别成文字内容，且识别结果支持列表展示与会话展示，解决人工听取语音耗时长的问题。</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涉案分析，专业定位淹没在海量数据中的关键涉案信息，利用基于机器学习的智能分析，快速聚焦黄、赌、毒、诈骗、涉贷等会话数据，攻克海量数据查找分析难题。</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照片分析，快速识别并分类手机中所有照片，种类包括SH、SB、SJ、SM、SK、证件照片（身份证、银行卡、护照、驾驶证、行驶证、车牌、营业执照、名片等）、二维码、人物照片等，辅助分析嫌疑人及其关系网人物样貌。其中证件照片支持OCR识别文字信息，人脸照片支持人脸搜索与聚类。</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bl>
    <w:p>
      <w:pPr>
        <w:pStyle w:val="9"/>
        <w:numPr>
          <w:ilvl w:val="0"/>
          <w:numId w:val="0"/>
        </w:numPr>
        <w:ind w:leftChars="0"/>
        <w:rPr>
          <w:rFonts w:hint="default"/>
          <w:highlight w:val="none"/>
          <w:lang w:val="en-US" w:eastAsia="zh-CN"/>
        </w:rPr>
      </w:pPr>
    </w:p>
    <w:p>
      <w:pPr>
        <w:autoSpaceDE w:val="0"/>
        <w:autoSpaceDN w:val="0"/>
        <w:spacing w:line="360" w:lineRule="auto"/>
        <w:outlineLvl w:val="1"/>
        <w:rPr>
          <w:rFonts w:ascii="宋体" w:hAnsi="宋体" w:cs="黑体"/>
          <w:b/>
          <w:bCs w:val="0"/>
          <w:sz w:val="36"/>
          <w:szCs w:val="40"/>
          <w:highlight w:val="none"/>
        </w:rPr>
      </w:pPr>
      <w:r>
        <w:rPr>
          <w:rFonts w:hint="eastAsia" w:ascii="宋体" w:hAnsi="宋体" w:cs="黑体"/>
          <w:b/>
          <w:bCs w:val="0"/>
          <w:sz w:val="32"/>
          <w:szCs w:val="32"/>
          <w:highlight w:val="none"/>
          <w:lang w:val="en-US" w:eastAsia="zh-CN"/>
        </w:rPr>
        <w:t>三.</w:t>
      </w:r>
      <w:r>
        <w:rPr>
          <w:rFonts w:hint="eastAsia" w:ascii="宋体" w:hAnsi="宋体" w:cs="黑体"/>
          <w:b/>
          <w:bCs w:val="0"/>
          <w:sz w:val="36"/>
          <w:szCs w:val="40"/>
          <w:highlight w:val="none"/>
        </w:rPr>
        <w:t>项目详细商务要求</w:t>
      </w:r>
    </w:p>
    <w:p>
      <w:pPr>
        <w:keepNext w:val="0"/>
        <w:keepLines w:val="0"/>
        <w:pageBreakBefore w:val="0"/>
        <w:widowControl w:val="0"/>
        <w:kinsoku/>
        <w:wordWrap/>
        <w:overflowPunct/>
        <w:topLinePunct w:val="0"/>
        <w:autoSpaceDE w:val="0"/>
        <w:autoSpaceDN w:val="0"/>
        <w:bidi w:val="0"/>
        <w:adjustRightInd w:val="0"/>
        <w:spacing w:line="360" w:lineRule="auto"/>
        <w:ind w:firstLine="240" w:firstLineChars="100"/>
        <w:textAlignment w:val="auto"/>
        <w:outlineLvl w:val="2"/>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val="en-US" w:eastAsia="zh-CN"/>
        </w:rPr>
        <w:t>3</w:t>
      </w:r>
      <w:r>
        <w:rPr>
          <w:rFonts w:hint="eastAsia" w:ascii="仿宋" w:hAnsi="仿宋" w:eastAsia="仿宋" w:cs="仿宋"/>
          <w:bCs/>
          <w:color w:val="000000"/>
          <w:kern w:val="0"/>
          <w:sz w:val="24"/>
          <w:szCs w:val="24"/>
          <w:highlight w:val="none"/>
        </w:rPr>
        <w:t>.1 产品承诺</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）清单中的所有货物应符合招标文件的规定并达到国家相关标准。</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）供应商中标后，在签订合同前需同采购人再次确认</w:t>
      </w:r>
      <w:r>
        <w:rPr>
          <w:rFonts w:hint="eastAsia" w:ascii="仿宋" w:hAnsi="仿宋" w:eastAsia="仿宋" w:cs="仿宋"/>
          <w:sz w:val="24"/>
          <w:szCs w:val="24"/>
          <w:highlight w:val="none"/>
          <w:lang w:eastAsia="zh-Hans"/>
        </w:rPr>
        <w:t>产品</w:t>
      </w:r>
      <w:r>
        <w:rPr>
          <w:rFonts w:hint="eastAsia" w:ascii="仿宋" w:hAnsi="仿宋" w:eastAsia="仿宋" w:cs="仿宋"/>
          <w:sz w:val="24"/>
          <w:szCs w:val="24"/>
          <w:highlight w:val="none"/>
        </w:rPr>
        <w:t>的数量、</w:t>
      </w:r>
      <w:r>
        <w:rPr>
          <w:rFonts w:hint="eastAsia" w:ascii="仿宋" w:hAnsi="仿宋" w:eastAsia="仿宋" w:cs="仿宋"/>
          <w:sz w:val="24"/>
          <w:szCs w:val="24"/>
          <w:highlight w:val="none"/>
          <w:lang w:eastAsia="zh-Hans"/>
        </w:rPr>
        <w:t>指标</w:t>
      </w:r>
      <w:r>
        <w:rPr>
          <w:rFonts w:hint="eastAsia" w:ascii="仿宋" w:hAnsi="仿宋" w:eastAsia="仿宋" w:cs="仿宋"/>
          <w:sz w:val="24"/>
          <w:szCs w:val="24"/>
          <w:highlight w:val="none"/>
        </w:rPr>
        <w:t>等。</w:t>
      </w:r>
    </w:p>
    <w:p>
      <w:pPr>
        <w:keepNext w:val="0"/>
        <w:keepLines w:val="0"/>
        <w:pageBreakBefore w:val="0"/>
        <w:widowControl w:val="0"/>
        <w:kinsoku/>
        <w:wordWrap/>
        <w:overflowPunct/>
        <w:topLinePunct w:val="0"/>
        <w:autoSpaceDE w:val="0"/>
        <w:autoSpaceDN w:val="0"/>
        <w:bidi w:val="0"/>
        <w:adjustRightInd w:val="0"/>
        <w:spacing w:line="360" w:lineRule="auto"/>
        <w:ind w:firstLine="240" w:firstLineChars="100"/>
        <w:textAlignment w:val="auto"/>
        <w:outlineLvl w:val="2"/>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val="en-US" w:eastAsia="zh-CN"/>
        </w:rPr>
        <w:t>3</w:t>
      </w:r>
      <w:r>
        <w:rPr>
          <w:rFonts w:hint="eastAsia" w:ascii="仿宋" w:hAnsi="仿宋" w:eastAsia="仿宋" w:cs="仿宋"/>
          <w:bCs/>
          <w:color w:val="000000"/>
          <w:kern w:val="0"/>
          <w:sz w:val="24"/>
          <w:szCs w:val="24"/>
          <w:highlight w:val="none"/>
        </w:rPr>
        <w:t>.2 验收要求</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1）包括生产、运输、保险、卸货到采购人指定地点、开箱验收（箱体外观无人为损坏情况下）、安装、最终验收；供应商提供安装所需的附件。</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2）交货方式：现场交货；</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3）实施地点：甲方指定地点；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bCs/>
          <w:sz w:val="24"/>
          <w:szCs w:val="24"/>
          <w:highlight w:val="none"/>
          <w:u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u w:val="none"/>
        </w:rPr>
        <w:t>▲</w:t>
      </w:r>
      <w:r>
        <w:rPr>
          <w:rFonts w:hint="eastAsia" w:ascii="仿宋" w:hAnsi="仿宋" w:eastAsia="仿宋" w:cs="仿宋"/>
          <w:b/>
          <w:bCs/>
          <w:sz w:val="24"/>
          <w:szCs w:val="24"/>
          <w:highlight w:val="none"/>
          <w:u w:val="none"/>
        </w:rPr>
        <w:t>实施周期：合同签订生效后30天内设备全部到场安装调试完成，正常运行后，通过初验；合同签订生效后45天内，通过终验。</w:t>
      </w:r>
    </w:p>
    <w:p>
      <w:pPr>
        <w:pStyle w:val="8"/>
        <w:keepNext w:val="0"/>
        <w:keepLines w:val="0"/>
        <w:pageBreakBefore w:val="0"/>
        <w:widowControl w:val="0"/>
        <w:kinsoku/>
        <w:wordWrap/>
        <w:overflowPunct/>
        <w:topLinePunct w:val="0"/>
        <w:bidi w:val="0"/>
        <w:adjustRightInd w:val="0"/>
        <w:textAlignment w:val="auto"/>
        <w:rPr>
          <w:rFonts w:hint="eastAsia" w:ascii="仿宋" w:hAnsi="仿宋" w:eastAsia="仿宋" w:cs="仿宋"/>
          <w:sz w:val="24"/>
          <w:szCs w:val="24"/>
          <w:highlight w:val="none"/>
          <w:u w:val="none"/>
          <w:lang w:val="en-US"/>
        </w:rPr>
      </w:pPr>
      <w:r>
        <w:rPr>
          <w:rFonts w:hint="eastAsia" w:ascii="仿宋" w:hAnsi="仿宋" w:eastAsia="仿宋" w:cs="仿宋"/>
          <w:sz w:val="24"/>
          <w:szCs w:val="24"/>
          <w:highlight w:val="none"/>
          <w:u w:val="none"/>
          <w:lang w:val="en-US"/>
        </w:rPr>
        <w:t xml:space="preserve">    </w:t>
      </w:r>
      <w:r>
        <w:rPr>
          <w:rFonts w:hint="eastAsia" w:ascii="仿宋" w:hAnsi="仿宋" w:eastAsia="仿宋" w:cs="仿宋"/>
          <w:sz w:val="24"/>
          <w:szCs w:val="24"/>
          <w:highlight w:val="none"/>
          <w:u w:val="none"/>
        </w:rPr>
        <w:t>5）▲</w:t>
      </w:r>
      <w:r>
        <w:rPr>
          <w:rFonts w:hint="eastAsia" w:ascii="仿宋" w:hAnsi="仿宋" w:eastAsia="仿宋" w:cs="仿宋"/>
          <w:b/>
          <w:bCs/>
          <w:sz w:val="24"/>
          <w:szCs w:val="24"/>
          <w:highlight w:val="none"/>
          <w:u w:val="none"/>
        </w:rPr>
        <w:t>提供一名驻场服务人员，协助保障工作顺利过渡。服务时间3个月。需提供驻场人员工作相关证书和人员信息。</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6）验收</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验收时，供应商应向采购人提供所有</w:t>
      </w:r>
      <w:r>
        <w:rPr>
          <w:rFonts w:hint="eastAsia" w:ascii="仿宋" w:hAnsi="仿宋" w:eastAsia="仿宋" w:cs="仿宋"/>
          <w:sz w:val="24"/>
          <w:szCs w:val="24"/>
          <w:highlight w:val="none"/>
          <w:lang w:eastAsia="zh-Hans"/>
        </w:rPr>
        <w:t>产品</w:t>
      </w:r>
      <w:r>
        <w:rPr>
          <w:rFonts w:hint="eastAsia" w:ascii="仿宋" w:hAnsi="仿宋" w:eastAsia="仿宋" w:cs="仿宋"/>
          <w:sz w:val="24"/>
          <w:szCs w:val="24"/>
          <w:highlight w:val="none"/>
        </w:rPr>
        <w:t>检测合格证明，验收标准，同时产品必须和标书要求相一致。</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供应商产品送货后，采购人有权抽检产品送产品质量检验中心对技术参数进行验证和产品的材质、质量、环保性能等进行检验，如果供应商产品检验不通过，</w:t>
      </w:r>
      <w:r>
        <w:rPr>
          <w:rFonts w:hint="eastAsia" w:ascii="仿宋" w:hAnsi="仿宋" w:eastAsia="仿宋" w:cs="仿宋"/>
          <w:b w:val="0"/>
          <w:bCs w:val="0"/>
          <w:sz w:val="24"/>
          <w:szCs w:val="24"/>
          <w:highlight w:val="none"/>
          <w:lang w:eastAsia="zh-CN"/>
        </w:rPr>
        <w:t>或</w:t>
      </w:r>
      <w:r>
        <w:rPr>
          <w:rFonts w:hint="eastAsia" w:ascii="仿宋" w:hAnsi="仿宋" w:eastAsia="仿宋" w:cs="仿宋"/>
          <w:b w:val="0"/>
          <w:bCs w:val="0"/>
          <w:sz w:val="24"/>
          <w:szCs w:val="24"/>
          <w:highlight w:val="none"/>
        </w:rPr>
        <w:t>与投标文件中承诺的产品不一致</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供应商必须接受无条件退货退款并赔偿采购人合同总金额30%的为违约金。</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采购人有权抽取供应商提供的产品交第三方权威检测机构进行检测；所有</w:t>
      </w:r>
      <w:r>
        <w:rPr>
          <w:rFonts w:hint="eastAsia" w:ascii="仿宋" w:hAnsi="仿宋" w:eastAsia="仿宋" w:cs="仿宋"/>
          <w:sz w:val="24"/>
          <w:szCs w:val="24"/>
          <w:highlight w:val="none"/>
          <w:lang w:eastAsia="zh-Hans"/>
        </w:rPr>
        <w:t>产品</w:t>
      </w:r>
      <w:r>
        <w:rPr>
          <w:rFonts w:hint="eastAsia" w:ascii="仿宋" w:hAnsi="仿宋" w:eastAsia="仿宋" w:cs="仿宋"/>
          <w:sz w:val="24"/>
          <w:szCs w:val="24"/>
          <w:highlight w:val="none"/>
        </w:rPr>
        <w:t>必须符合</w:t>
      </w:r>
      <w:r>
        <w:rPr>
          <w:rFonts w:hint="eastAsia" w:ascii="仿宋" w:hAnsi="仿宋" w:eastAsia="仿宋" w:cs="仿宋"/>
          <w:sz w:val="24"/>
          <w:szCs w:val="24"/>
          <w:highlight w:val="none"/>
          <w:lang w:eastAsia="zh-Hans"/>
        </w:rPr>
        <w:t>等保合规性</w:t>
      </w:r>
      <w:r>
        <w:rPr>
          <w:rFonts w:hint="eastAsia" w:ascii="仿宋" w:hAnsi="仿宋" w:eastAsia="仿宋" w:cs="仿宋"/>
          <w:sz w:val="24"/>
          <w:szCs w:val="24"/>
          <w:highlight w:val="none"/>
        </w:rPr>
        <w:t>要求，如供应商的产品达不到上述检测标准，将被视为不合格产品。</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所供货物在现场进行到货验收时供应商必须派员参加并与采购人一起开箱检验，按供货清单验收，若有缺少或损坏，供应商应立即补足或更换全新同规格产品，并承担相关费用直至使采购人满意为止。</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在货物运抵安装现场前30天内，向采购人提供详细的安装计划（包含安装时采用的方法、现场负责人、工程师及参与安装人员的名单），在采购人确认该计划的可行性，供应商必须严格按照安装计划实施，不得随意更改。所供货物安装必须符合有关标准和规范，采购人将对安装过程及安装质量进行监督。</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安装调试完毕后，经采购人检验合格，并在采购人接受了供应商提供的技术资料、图纸等，视为验收合格，签订验收报告，验收报告由验收人及具体使用部门盖章确认。</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若因供应商产品质量或安装不当导致验收不合格，应及时处理直至验收合格，期间产生的一切费用由供应商承担；若二次验收不合格，采购人有权退货。采购人在此期间保留对供应商的索赔权利。</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供应商在货物到货、安装和验收期间应采取严格的安全措施，承担由于自身原因所造成的事故责任及其发生的一切费用。</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提供产品的有效检验文件及供货清单，经采购人认可后，与合同的性能指标一起作为产品验收标准。采购人对产品验收合格后，双方共同签署验收合格证书。验收中发现产品达不到验收标准或合同规定的性能指标，供应商必须更换相关零部件，甚至于更换产品。并且赔偿由此给用户造成的损失。</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验收合格条件：运行结果及使用效果符合采购要求及国家相关标准；在进行测试和验收运行过程中发生的故障和发现的问题已被排除，并得到采购人的认可；所有合同中规定的产品、备品备件和资料都已提交并得到接受。</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7）其他要求按采购合同；</w:t>
      </w:r>
    </w:p>
    <w:p>
      <w:pPr>
        <w:keepNext w:val="0"/>
        <w:keepLines w:val="0"/>
        <w:pageBreakBefore w:val="0"/>
        <w:widowControl w:val="0"/>
        <w:kinsoku/>
        <w:wordWrap/>
        <w:overflowPunct/>
        <w:topLinePunct w:val="0"/>
        <w:autoSpaceDE w:val="0"/>
        <w:autoSpaceDN w:val="0"/>
        <w:bidi w:val="0"/>
        <w:adjustRightInd w:val="0"/>
        <w:spacing w:line="360" w:lineRule="auto"/>
        <w:ind w:firstLine="240" w:firstLineChars="100"/>
        <w:textAlignment w:val="auto"/>
        <w:outlineLvl w:val="2"/>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val="en-US" w:eastAsia="zh-CN"/>
        </w:rPr>
        <w:t>3</w:t>
      </w:r>
      <w:r>
        <w:rPr>
          <w:rFonts w:hint="eastAsia" w:ascii="仿宋" w:hAnsi="仿宋" w:eastAsia="仿宋" w:cs="仿宋"/>
          <w:bCs/>
          <w:color w:val="000000"/>
          <w:kern w:val="0"/>
          <w:sz w:val="24"/>
          <w:szCs w:val="24"/>
          <w:highlight w:val="none"/>
        </w:rPr>
        <w:t>.3 售后服务</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1）保修</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w:t>
      </w:r>
      <w:r>
        <w:rPr>
          <w:rFonts w:hint="eastAsia" w:ascii="仿宋" w:hAnsi="仿宋" w:eastAsia="仿宋" w:cs="仿宋"/>
          <w:b/>
          <w:bCs/>
          <w:sz w:val="24"/>
          <w:szCs w:val="24"/>
          <w:highlight w:val="none"/>
          <w:u w:val="none"/>
        </w:rPr>
        <w:t>所有</w:t>
      </w:r>
      <w:r>
        <w:rPr>
          <w:rFonts w:hint="eastAsia" w:ascii="仿宋" w:hAnsi="仿宋" w:eastAsia="仿宋" w:cs="仿宋"/>
          <w:b/>
          <w:bCs/>
          <w:sz w:val="24"/>
          <w:szCs w:val="24"/>
          <w:highlight w:val="none"/>
          <w:u w:val="none"/>
          <w:lang w:eastAsia="zh-Hans"/>
        </w:rPr>
        <w:t>新购硬件产品</w:t>
      </w:r>
      <w:r>
        <w:rPr>
          <w:rFonts w:hint="eastAsia" w:ascii="仿宋" w:hAnsi="仿宋" w:eastAsia="仿宋" w:cs="仿宋"/>
          <w:b/>
          <w:bCs/>
          <w:sz w:val="24"/>
          <w:szCs w:val="24"/>
          <w:highlight w:val="none"/>
          <w:u w:val="none"/>
        </w:rPr>
        <w:t>免费保修期不少于3年。保修期自初验合格之日起计算。</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2）售后服务机构</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乙方应设有维修中心，维修中心应能提供快捷、周到、规范的服务。</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3）售后服务响应</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乙方在接到使用单位维修及技术服务要求后应在1小时之内做出响应，如果使用单位需要，应在24小时之内派出专业工程师维修人员到达现场维修。</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4）售后服务内容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在保修期内，乙方应提供免费维保服务，在正常工作条件下，因产品制造质量不良而产生损坏或不能正常工作，乙方应提供免费维修直至更换。费用由乙方承担（包括返厂维修）。</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保修期结束后，</w:t>
      </w:r>
      <w:r>
        <w:rPr>
          <w:rFonts w:hint="eastAsia" w:ascii="仿宋" w:hAnsi="仿宋" w:eastAsia="仿宋" w:cs="仿宋"/>
          <w:sz w:val="24"/>
          <w:szCs w:val="24"/>
          <w:highlight w:val="none"/>
          <w:lang w:eastAsia="zh-Hans"/>
        </w:rPr>
        <w:t>甲</w:t>
      </w:r>
      <w:r>
        <w:rPr>
          <w:rFonts w:hint="eastAsia" w:ascii="仿宋" w:hAnsi="仿宋" w:eastAsia="仿宋" w:cs="仿宋"/>
          <w:sz w:val="24"/>
          <w:szCs w:val="24"/>
          <w:highlight w:val="none"/>
        </w:rPr>
        <w:t>方</w:t>
      </w:r>
      <w:r>
        <w:rPr>
          <w:rFonts w:hint="eastAsia" w:ascii="仿宋" w:hAnsi="仿宋" w:eastAsia="仿宋" w:cs="仿宋"/>
          <w:sz w:val="24"/>
          <w:szCs w:val="24"/>
          <w:highlight w:val="none"/>
          <w:lang w:eastAsia="zh-Hans"/>
        </w:rPr>
        <w:t>向乙方续保后</w:t>
      </w:r>
      <w:r>
        <w:rPr>
          <w:rFonts w:hint="eastAsia" w:ascii="仿宋" w:hAnsi="仿宋" w:eastAsia="仿宋" w:cs="仿宋"/>
          <w:sz w:val="24"/>
          <w:szCs w:val="24"/>
          <w:highlight w:val="none"/>
        </w:rPr>
        <w:t>提供终生维修。</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5）售后服务收费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在保修期内，乙方提供免费服务，保修期将满时，乙方须对产品进行全面检测一次，解决检测出的问题，并向甲方提供整个书面报告。</w:t>
      </w:r>
    </w:p>
    <w:p>
      <w:pPr>
        <w:keepNext w:val="0"/>
        <w:keepLines w:val="0"/>
        <w:pageBreakBefore w:val="0"/>
        <w:widowControl w:val="0"/>
        <w:numPr>
          <w:ilvl w:val="0"/>
          <w:numId w:val="11"/>
        </w:numPr>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供应商应在投标文件中对以上内容进行详细、明确的阐述。</w:t>
      </w:r>
    </w:p>
    <w:p>
      <w:pPr>
        <w:pStyle w:val="9"/>
        <w:rPr>
          <w:rFonts w:hint="eastAsia" w:ascii="仿宋" w:hAnsi="仿宋" w:eastAsia="仿宋" w:cs="仿宋"/>
        </w:rPr>
      </w:pPr>
    </w:p>
    <w:p>
      <w:pPr>
        <w:pStyle w:val="8"/>
        <w:rPr>
          <w:rFonts w:hint="eastAsia" w:ascii="仿宋" w:hAnsi="仿宋" w:eastAsia="仿宋" w:cs="仿宋"/>
        </w:rPr>
      </w:pPr>
    </w:p>
    <w:p>
      <w:pPr>
        <w:adjustRightInd/>
        <w:spacing w:line="360" w:lineRule="auto"/>
        <w:jc w:val="center"/>
        <w:outlineLvl w:val="0"/>
        <w:rPr>
          <w:rFonts w:hint="eastAsia" w:ascii="仿宋" w:hAnsi="仿宋" w:eastAsia="仿宋" w:cs="仿宋"/>
          <w:b/>
          <w:sz w:val="36"/>
          <w:szCs w:val="36"/>
        </w:rPr>
      </w:pPr>
    </w:p>
    <w:p>
      <w:pPr>
        <w:adjustRightInd/>
        <w:spacing w:line="360" w:lineRule="auto"/>
        <w:jc w:val="center"/>
        <w:outlineLvl w:val="0"/>
        <w:rPr>
          <w:rFonts w:hint="eastAsia" w:ascii="仿宋" w:hAnsi="仿宋" w:eastAsia="仿宋" w:cs="仿宋"/>
          <w:b/>
          <w:sz w:val="36"/>
          <w:szCs w:val="36"/>
        </w:rPr>
      </w:pPr>
    </w:p>
    <w:p>
      <w:pPr>
        <w:adjustRightInd/>
        <w:spacing w:line="360" w:lineRule="auto"/>
        <w:jc w:val="center"/>
        <w:outlineLvl w:val="0"/>
        <w:rPr>
          <w:rFonts w:hint="eastAsia" w:ascii="仿宋" w:hAnsi="仿宋" w:eastAsia="仿宋" w:cs="仿宋"/>
          <w:b/>
          <w:sz w:val="36"/>
          <w:szCs w:val="36"/>
        </w:rPr>
      </w:pPr>
    </w:p>
    <w:p>
      <w:pPr>
        <w:adjustRightInd/>
        <w:spacing w:line="360" w:lineRule="auto"/>
        <w:jc w:val="both"/>
        <w:outlineLvl w:val="0"/>
        <w:rPr>
          <w:rFonts w:hint="eastAsia" w:ascii="仿宋" w:hAnsi="仿宋" w:eastAsia="仿宋" w:cs="仿宋"/>
          <w:b/>
          <w:sz w:val="36"/>
          <w:szCs w:val="36"/>
        </w:r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评审方法及评审标准</w:t>
      </w:r>
    </w:p>
    <w:p>
      <w:pPr>
        <w:pStyle w:val="24"/>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16"/>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2"/>
        <w:gridCol w:w="5905"/>
        <w:gridCol w:w="79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9"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028" w:type="pct"/>
            <w:shd w:val="clear" w:color="auto" w:fill="auto"/>
            <w:vAlign w:val="center"/>
          </w:tcPr>
          <w:p>
            <w:pPr>
              <w:spacing w:line="360" w:lineRule="auto"/>
              <w:ind w:firstLine="1560" w:firstLineChars="650"/>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评标标准</w:t>
            </w:r>
          </w:p>
        </w:tc>
        <w:tc>
          <w:tcPr>
            <w:tcW w:w="407" w:type="pct"/>
            <w:shd w:val="clear" w:color="auto" w:fill="auto"/>
            <w:vAlign w:val="center"/>
          </w:tcPr>
          <w:p>
            <w:pPr>
              <w:spacing w:line="360" w:lineRule="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权重</w:t>
            </w:r>
          </w:p>
        </w:tc>
        <w:tc>
          <w:tcPr>
            <w:tcW w:w="1096" w:type="pct"/>
            <w:shd w:val="clear" w:color="auto" w:fill="auto"/>
          </w:tcPr>
          <w:p>
            <w:pPr>
              <w:spacing w:line="360" w:lineRule="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投标文件中评标标准相应的商务技术资料目录</w:t>
            </w:r>
            <w:r>
              <w:rPr>
                <w:rFonts w:hint="eastAsia" w:ascii="仿宋" w:hAnsi="仿宋" w:eastAsia="仿宋" w:cs="仿宋"/>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028" w:type="pct"/>
            <w:shd w:val="clear" w:color="auto" w:fill="auto"/>
            <w:vAlign w:val="center"/>
          </w:tcPr>
          <w:p>
            <w:pPr>
              <w:spacing w:line="360" w:lineRule="auto"/>
              <w:outlineLvl w:val="0"/>
              <w:rPr>
                <w:rFonts w:hint="eastAsia" w:ascii="仿宋" w:hAnsi="仿宋" w:eastAsia="仿宋" w:cs="仿宋"/>
                <w:sz w:val="24"/>
                <w:szCs w:val="24"/>
                <w:highlight w:val="none"/>
              </w:rPr>
            </w:pPr>
            <w:r>
              <w:rPr>
                <w:rFonts w:hint="eastAsia" w:ascii="仿宋" w:hAnsi="仿宋" w:eastAsia="仿宋" w:cs="仿宋_GB2312"/>
                <w:sz w:val="24"/>
                <w:highlight w:val="none"/>
                <w:lang w:val="en-US" w:eastAsia="zh-CN"/>
              </w:rPr>
              <w:t>总体投标方案与需求的吻合程度，包括方案的科学性、可靠性、成熟性、扩展性等。投标方案准确完整，与需求完全吻合的得3分；基本吻合的得1分；没提供或不符合的不得分。共3分。</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096"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（一）总体投标方案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028" w:type="pct"/>
            <w:shd w:val="clear" w:color="auto" w:fill="auto"/>
            <w:vAlign w:val="center"/>
          </w:tcPr>
          <w:p>
            <w:pPr>
              <w:spacing w:line="360" w:lineRule="auto"/>
              <w:outlineLvl w:val="0"/>
              <w:rPr>
                <w:rFonts w:hint="default" w:ascii="仿宋" w:hAnsi="仿宋" w:eastAsia="仿宋" w:cs="仿宋_GB2312"/>
                <w:kern w:val="2"/>
                <w:sz w:val="24"/>
                <w:szCs w:val="22"/>
                <w:highlight w:val="none"/>
                <w:lang w:val="en-US" w:eastAsia="zh-CN" w:bidi="ar-SA"/>
              </w:rPr>
            </w:pPr>
            <w:r>
              <w:rPr>
                <w:rFonts w:hint="default" w:ascii="仿宋" w:hAnsi="仿宋" w:eastAsia="仿宋" w:cs="仿宋_GB2312"/>
                <w:kern w:val="2"/>
                <w:sz w:val="24"/>
                <w:szCs w:val="22"/>
                <w:highlight w:val="none"/>
                <w:lang w:val="en-US" w:eastAsia="zh-CN" w:bidi="ar-SA"/>
              </w:rPr>
              <w:t>投标产品的技术指标的吻合程度和偏差情况（包括所投标产品的规格型号、详细配置、主要技术参数、随机软件、证明材料</w:t>
            </w:r>
            <w:r>
              <w:rPr>
                <w:rFonts w:hint="eastAsia" w:ascii="仿宋" w:hAnsi="仿宋" w:eastAsia="仿宋" w:cs="仿宋_GB2312"/>
                <w:kern w:val="2"/>
                <w:sz w:val="24"/>
                <w:szCs w:val="22"/>
                <w:highlight w:val="none"/>
                <w:lang w:val="en-US" w:eastAsia="zh-CN" w:bidi="ar-SA"/>
              </w:rPr>
              <w:t>、产品售后</w:t>
            </w:r>
            <w:r>
              <w:rPr>
                <w:rFonts w:hint="default" w:ascii="仿宋" w:hAnsi="仿宋" w:eastAsia="仿宋" w:cs="仿宋_GB2312"/>
                <w:kern w:val="2"/>
                <w:sz w:val="24"/>
                <w:szCs w:val="22"/>
                <w:highlight w:val="none"/>
                <w:lang w:val="en-US" w:eastAsia="zh-CN" w:bidi="ar-SA"/>
              </w:rPr>
              <w:t>等），满足</w:t>
            </w:r>
            <w:r>
              <w:rPr>
                <w:rFonts w:hint="eastAsia" w:ascii="仿宋" w:hAnsi="仿宋" w:eastAsia="仿宋" w:cs="仿宋_GB2312"/>
                <w:kern w:val="2"/>
                <w:sz w:val="24"/>
                <w:szCs w:val="22"/>
                <w:highlight w:val="none"/>
                <w:lang w:val="en-US" w:eastAsia="zh-CN" w:bidi="ar-SA"/>
              </w:rPr>
              <w:t>采购</w:t>
            </w:r>
            <w:r>
              <w:rPr>
                <w:rFonts w:hint="default" w:ascii="仿宋" w:hAnsi="仿宋" w:eastAsia="仿宋" w:cs="仿宋_GB2312"/>
                <w:kern w:val="2"/>
                <w:sz w:val="24"/>
                <w:szCs w:val="22"/>
                <w:highlight w:val="none"/>
                <w:lang w:val="en-US" w:eastAsia="zh-CN" w:bidi="ar-SA"/>
              </w:rPr>
              <w:t>件技术指标的得基准分</w:t>
            </w:r>
            <w:r>
              <w:rPr>
                <w:rFonts w:hint="eastAsia" w:ascii="仿宋" w:hAnsi="仿宋" w:eastAsia="仿宋" w:cs="仿宋_GB2312"/>
                <w:kern w:val="2"/>
                <w:sz w:val="24"/>
                <w:szCs w:val="22"/>
                <w:highlight w:val="none"/>
                <w:lang w:val="en-US" w:eastAsia="zh-CN" w:bidi="ar-SA"/>
              </w:rPr>
              <w:t>32</w:t>
            </w:r>
            <w:r>
              <w:rPr>
                <w:rFonts w:hint="default" w:ascii="仿宋" w:hAnsi="仿宋" w:eastAsia="仿宋" w:cs="仿宋_GB2312"/>
                <w:kern w:val="2"/>
                <w:sz w:val="24"/>
                <w:szCs w:val="22"/>
                <w:highlight w:val="none"/>
                <w:lang w:val="en-US" w:eastAsia="zh-CN" w:bidi="ar-SA"/>
              </w:rPr>
              <w:t>分，带“▲”为实际业务需要，不得出现负偏离，否则做无效标处理，对其他参数或功能要求负偏离或未响应的每项扣</w:t>
            </w:r>
            <w:r>
              <w:rPr>
                <w:rFonts w:hint="eastAsia" w:ascii="仿宋" w:hAnsi="仿宋" w:eastAsia="仿宋" w:cs="仿宋_GB2312"/>
                <w:kern w:val="2"/>
                <w:sz w:val="24"/>
                <w:szCs w:val="22"/>
                <w:highlight w:val="none"/>
                <w:lang w:val="en-US" w:eastAsia="zh-CN" w:bidi="ar-SA"/>
              </w:rPr>
              <w:t>1</w:t>
            </w:r>
            <w:r>
              <w:rPr>
                <w:rFonts w:hint="default" w:ascii="仿宋" w:hAnsi="仿宋" w:eastAsia="仿宋" w:cs="仿宋_GB2312"/>
                <w:kern w:val="2"/>
                <w:sz w:val="24"/>
                <w:szCs w:val="22"/>
                <w:highlight w:val="none"/>
                <w:lang w:val="en-US" w:eastAsia="zh-CN" w:bidi="ar-SA"/>
              </w:rPr>
              <w:t>分（无实质性意义的负偏离不扣分）</w:t>
            </w:r>
            <w:r>
              <w:rPr>
                <w:rFonts w:hint="eastAsia" w:ascii="仿宋" w:hAnsi="仿宋" w:eastAsia="仿宋" w:cs="仿宋_GB2312"/>
                <w:kern w:val="2"/>
                <w:sz w:val="24"/>
                <w:szCs w:val="22"/>
                <w:highlight w:val="none"/>
                <w:lang w:val="en-US" w:eastAsia="zh-CN" w:bidi="ar-SA"/>
              </w:rPr>
              <w:t>。</w:t>
            </w:r>
          </w:p>
          <w:p>
            <w:pPr>
              <w:spacing w:line="360" w:lineRule="auto"/>
              <w:outlineLvl w:val="0"/>
              <w:rPr>
                <w:rFonts w:hint="eastAsia" w:ascii="仿宋" w:hAnsi="仿宋" w:eastAsia="仿宋" w:cs="仿宋"/>
                <w:sz w:val="24"/>
                <w:szCs w:val="24"/>
                <w:highlight w:val="none"/>
              </w:rPr>
            </w:pPr>
            <w:r>
              <w:rPr>
                <w:rFonts w:hint="default" w:ascii="仿宋" w:hAnsi="仿宋" w:eastAsia="仿宋" w:cs="仿宋_GB2312"/>
                <w:kern w:val="2"/>
                <w:sz w:val="24"/>
                <w:szCs w:val="22"/>
                <w:highlight w:val="none"/>
                <w:lang w:val="en-US" w:eastAsia="zh-CN" w:bidi="ar-SA"/>
              </w:rPr>
              <w:t>注：要求提供测试报告复印件、证书复印件等证明材料而未提供视作一项负偏离。</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2</w:t>
            </w:r>
          </w:p>
        </w:tc>
        <w:tc>
          <w:tcPr>
            <w:tcW w:w="1096" w:type="pct"/>
            <w:vMerge w:val="restar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（二）技术指标响应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3</w:t>
            </w:r>
          </w:p>
        </w:tc>
        <w:tc>
          <w:tcPr>
            <w:tcW w:w="3028" w:type="pct"/>
            <w:shd w:val="clear" w:color="auto" w:fill="auto"/>
            <w:vAlign w:val="center"/>
          </w:tcPr>
          <w:p>
            <w:pPr>
              <w:spacing w:line="360" w:lineRule="auto"/>
              <w:outlineLvl w:val="0"/>
              <w:rPr>
                <w:rFonts w:hint="default" w:ascii="仿宋" w:hAnsi="仿宋" w:eastAsia="仿宋" w:cs="仿宋_GB2312"/>
                <w:kern w:val="2"/>
                <w:sz w:val="24"/>
                <w:szCs w:val="22"/>
                <w:highlight w:val="none"/>
                <w:lang w:val="en-US" w:eastAsia="zh-CN" w:bidi="ar-SA"/>
              </w:rPr>
            </w:pPr>
            <w:r>
              <w:rPr>
                <w:rFonts w:hint="default" w:ascii="仿宋" w:hAnsi="仿宋" w:eastAsia="仿宋" w:cs="仿宋_GB2312"/>
                <w:kern w:val="2"/>
                <w:sz w:val="24"/>
                <w:szCs w:val="22"/>
                <w:highlight w:val="none"/>
                <w:lang w:val="en-US" w:eastAsia="zh-CN" w:bidi="ar-SA"/>
              </w:rPr>
              <w:t>投标产品</w:t>
            </w:r>
            <w:r>
              <w:rPr>
                <w:rFonts w:hint="eastAsia" w:ascii="仿宋" w:hAnsi="仿宋" w:eastAsia="仿宋" w:cs="仿宋_GB2312"/>
                <w:kern w:val="2"/>
                <w:sz w:val="24"/>
                <w:szCs w:val="22"/>
                <w:highlight w:val="none"/>
                <w:lang w:val="en-US" w:eastAsia="zh-CN" w:bidi="ar-SA"/>
              </w:rPr>
              <w:t>（不含强制节能产品）</w:t>
            </w:r>
            <w:r>
              <w:rPr>
                <w:rFonts w:hint="default" w:ascii="仿宋" w:hAnsi="仿宋" w:eastAsia="仿宋" w:cs="仿宋_GB2312"/>
                <w:kern w:val="2"/>
                <w:sz w:val="24"/>
                <w:szCs w:val="22"/>
                <w:highlight w:val="none"/>
                <w:lang w:val="en-US" w:eastAsia="zh-CN" w:bidi="ar-SA"/>
              </w:rPr>
              <w:t>是否取得节能产品、环境标志产品认证证书；此项由投标人提供相关证明材料，每证加1分，最高为</w:t>
            </w:r>
            <w:r>
              <w:rPr>
                <w:rFonts w:hint="eastAsia" w:ascii="仿宋" w:hAnsi="仿宋" w:eastAsia="仿宋" w:cs="仿宋_GB2312"/>
                <w:kern w:val="2"/>
                <w:sz w:val="24"/>
                <w:szCs w:val="22"/>
                <w:highlight w:val="none"/>
                <w:lang w:val="en-US" w:eastAsia="zh-CN" w:bidi="ar-SA"/>
              </w:rPr>
              <w:t>3</w:t>
            </w:r>
            <w:r>
              <w:rPr>
                <w:rFonts w:hint="default" w:ascii="仿宋" w:hAnsi="仿宋" w:eastAsia="仿宋" w:cs="仿宋_GB2312"/>
                <w:kern w:val="2"/>
                <w:sz w:val="24"/>
                <w:szCs w:val="22"/>
                <w:highlight w:val="none"/>
                <w:lang w:val="en-US" w:eastAsia="zh-CN" w:bidi="ar-SA"/>
              </w:rPr>
              <w:t>分</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Merge w:val="continue"/>
            <w:shd w:val="clear" w:color="auto" w:fill="auto"/>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3028" w:type="pct"/>
            <w:shd w:val="clear" w:color="auto" w:fill="auto"/>
            <w:vAlign w:val="center"/>
          </w:tcPr>
          <w:p>
            <w:pPr>
              <w:spacing w:line="360" w:lineRule="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实施进度方案，含有供货进度实施及进度保障措施方案，能按照项目分解节点，并可跟踪实施。根据投标人提供的方案能否满足采购需求判定评分，内容完整、符合采购需求，视为满足。满足得3分，部分满足得1分，不满足或未提供不得分。</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096" w:type="pct"/>
            <w:vMerge w:val="restart"/>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（三）实施</w:t>
            </w:r>
            <w:r>
              <w:rPr>
                <w:rFonts w:hint="eastAsia" w:ascii="仿宋" w:hAnsi="仿宋" w:eastAsia="仿宋" w:cs="仿宋"/>
                <w:sz w:val="24"/>
                <w:szCs w:val="24"/>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3028" w:type="pct"/>
            <w:shd w:val="clear" w:color="auto" w:fill="auto"/>
            <w:vAlign w:val="center"/>
          </w:tcPr>
          <w:p>
            <w:pPr>
              <w:spacing w:line="360" w:lineRule="auto"/>
              <w:outlineLvl w:val="0"/>
              <w:rPr>
                <w:rFonts w:hint="default" w:ascii="仿宋" w:hAnsi="仿宋" w:eastAsia="仿宋" w:cs="仿宋_GB2312"/>
                <w:sz w:val="24"/>
                <w:szCs w:val="24"/>
                <w:highlight w:val="none"/>
                <w:lang w:val="en-US" w:eastAsia="zh-CN"/>
              </w:rPr>
            </w:pPr>
            <w:r>
              <w:rPr>
                <w:rFonts w:hint="default" w:ascii="仿宋" w:hAnsi="仿宋" w:eastAsia="仿宋" w:cs="仿宋_GB2312"/>
                <w:sz w:val="24"/>
                <w:szCs w:val="24"/>
                <w:highlight w:val="none"/>
                <w:lang w:val="en-US" w:eastAsia="zh-CN"/>
              </w:rPr>
              <w:t>投标人按照投标文件要求有明确的建设质量目标，质量保证措施，并具有详细可行的实施内容等</w:t>
            </w:r>
            <w:r>
              <w:rPr>
                <w:rFonts w:hint="eastAsia" w:ascii="仿宋" w:hAnsi="仿宋" w:eastAsia="仿宋" w:cs="仿宋_GB2312"/>
                <w:sz w:val="24"/>
                <w:szCs w:val="24"/>
                <w:highlight w:val="none"/>
                <w:lang w:val="en-US" w:eastAsia="zh-CN"/>
              </w:rPr>
              <w:t>，</w:t>
            </w:r>
            <w:r>
              <w:rPr>
                <w:rFonts w:hint="default" w:ascii="仿宋" w:hAnsi="仿宋" w:eastAsia="仿宋" w:cs="仿宋_GB2312"/>
                <w:sz w:val="24"/>
                <w:szCs w:val="24"/>
                <w:highlight w:val="none"/>
                <w:lang w:val="en-US" w:eastAsia="zh-CN"/>
              </w:rPr>
              <w:t>符合采购要求视为满足。满足得</w:t>
            </w:r>
            <w:r>
              <w:rPr>
                <w:rFonts w:hint="eastAsia" w:ascii="仿宋" w:hAnsi="仿宋" w:eastAsia="仿宋" w:cs="仿宋_GB2312"/>
                <w:sz w:val="24"/>
                <w:szCs w:val="24"/>
                <w:highlight w:val="none"/>
                <w:lang w:val="en-US" w:eastAsia="zh-CN"/>
              </w:rPr>
              <w:t>2</w:t>
            </w:r>
            <w:r>
              <w:rPr>
                <w:rFonts w:hint="default" w:ascii="仿宋" w:hAnsi="仿宋" w:eastAsia="仿宋" w:cs="仿宋_GB2312"/>
                <w:sz w:val="24"/>
                <w:szCs w:val="24"/>
                <w:highlight w:val="none"/>
                <w:lang w:val="en-US" w:eastAsia="zh-CN"/>
              </w:rPr>
              <w:t>分，部分满足得1分，不满足不得分。</w:t>
            </w:r>
          </w:p>
        </w:tc>
        <w:tc>
          <w:tcPr>
            <w:tcW w:w="407" w:type="pct"/>
            <w:shd w:val="clear" w:color="auto" w:fill="auto"/>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6" w:type="pct"/>
            <w:vMerge w:val="continue"/>
            <w:shd w:val="clear" w:color="auto" w:fill="auto"/>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028" w:type="pct"/>
            <w:shd w:val="clear" w:color="auto" w:fill="auto"/>
            <w:vAlign w:val="center"/>
          </w:tcPr>
          <w:p>
            <w:pPr>
              <w:spacing w:line="360" w:lineRule="auto"/>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项目安装调试、测试及试运行方案，含设备安装和调试、测试及试运行，根据投标人提供的方案能否满足采购需求判定评分，内容完整、符合采购需求，视为满足。满足得3分，部分满足得1分，不满足或未提供不得分。</w:t>
            </w:r>
          </w:p>
        </w:tc>
        <w:tc>
          <w:tcPr>
            <w:tcW w:w="407" w:type="pct"/>
            <w:shd w:val="clear" w:color="auto" w:fill="auto"/>
            <w:vAlign w:val="center"/>
          </w:tcPr>
          <w:p>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096" w:type="pct"/>
            <w:vMerge w:val="continue"/>
            <w:shd w:val="clear" w:color="auto" w:fill="auto"/>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shd w:val="clear" w:color="auto" w:fill="auto"/>
            <w:vAlign w:val="center"/>
          </w:tcPr>
          <w:p>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7</w:t>
            </w:r>
          </w:p>
        </w:tc>
        <w:tc>
          <w:tcPr>
            <w:tcW w:w="3028" w:type="pct"/>
            <w:shd w:val="clear" w:color="auto" w:fill="auto"/>
            <w:vAlign w:val="center"/>
          </w:tcPr>
          <w:p>
            <w:pPr>
              <w:spacing w:line="360" w:lineRule="auto"/>
              <w:outlineLvl w:val="0"/>
              <w:rPr>
                <w:rFonts w:hint="eastAsia" w:ascii="仿宋" w:hAnsi="仿宋" w:eastAsia="仿宋" w:cs="仿宋"/>
                <w:sz w:val="24"/>
                <w:szCs w:val="24"/>
                <w:highlight w:val="none"/>
              </w:rPr>
            </w:pPr>
            <w:r>
              <w:rPr>
                <w:rFonts w:hint="default" w:ascii="仿宋" w:hAnsi="仿宋" w:eastAsia="仿宋" w:cs="仿宋_GB2312"/>
                <w:sz w:val="24"/>
                <w:szCs w:val="24"/>
                <w:highlight w:val="none"/>
                <w:lang w:val="en-US" w:eastAsia="zh-CN"/>
              </w:rPr>
              <w:t>项目团队情况：</w:t>
            </w:r>
            <w:r>
              <w:rPr>
                <w:rFonts w:hint="eastAsia" w:ascii="仿宋" w:hAnsi="仿宋" w:eastAsia="仿宋" w:cs="仿宋"/>
                <w:sz w:val="24"/>
                <w:szCs w:val="24"/>
                <w:highlight w:val="none"/>
              </w:rPr>
              <w:t>项目经理具有PMP证书的得1分；</w:t>
            </w:r>
            <w:r>
              <w:rPr>
                <w:rFonts w:hint="eastAsia" w:ascii="仿宋" w:hAnsi="仿宋" w:eastAsia="仿宋" w:cs="仿宋_GB2312"/>
                <w:sz w:val="24"/>
                <w:szCs w:val="24"/>
                <w:highlight w:val="none"/>
                <w:lang w:val="en-US" w:eastAsia="zh-CN"/>
              </w:rPr>
              <w:t>具</w:t>
            </w:r>
            <w:r>
              <w:rPr>
                <w:rFonts w:hint="default" w:ascii="仿宋" w:hAnsi="仿宋" w:eastAsia="仿宋" w:cs="仿宋_GB2312"/>
                <w:sz w:val="24"/>
                <w:szCs w:val="24"/>
                <w:highlight w:val="none"/>
                <w:lang w:val="en-US" w:eastAsia="zh-CN"/>
              </w:rPr>
              <w:t>有</w:t>
            </w:r>
            <w:r>
              <w:rPr>
                <w:rFonts w:hint="eastAsia" w:ascii="仿宋" w:hAnsi="仿宋" w:eastAsia="仿宋" w:cs="仿宋_GB2312"/>
                <w:sz w:val="24"/>
                <w:szCs w:val="24"/>
                <w:highlight w:val="none"/>
                <w:lang w:val="en-US" w:eastAsia="zh-CN"/>
              </w:rPr>
              <w:t>3</w:t>
            </w:r>
            <w:r>
              <w:rPr>
                <w:rFonts w:hint="default" w:ascii="仿宋" w:hAnsi="仿宋" w:eastAsia="仿宋" w:cs="仿宋_GB2312"/>
                <w:sz w:val="24"/>
                <w:szCs w:val="24"/>
                <w:highlight w:val="none"/>
                <w:lang w:val="en-US" w:eastAsia="zh-CN"/>
              </w:rPr>
              <w:t>年以上类似项目从业经历的得</w:t>
            </w:r>
            <w:r>
              <w:rPr>
                <w:rFonts w:hint="eastAsia" w:ascii="仿宋" w:hAnsi="仿宋" w:eastAsia="仿宋" w:cs="仿宋_GB2312"/>
                <w:sz w:val="24"/>
                <w:szCs w:val="24"/>
                <w:highlight w:val="none"/>
                <w:lang w:val="en-US" w:eastAsia="zh-CN"/>
              </w:rPr>
              <w:t>2</w:t>
            </w:r>
            <w:r>
              <w:rPr>
                <w:rFonts w:hint="default" w:ascii="仿宋" w:hAnsi="仿宋" w:eastAsia="仿宋" w:cs="仿宋_GB2312"/>
                <w:sz w:val="24"/>
                <w:szCs w:val="24"/>
                <w:highlight w:val="none"/>
                <w:lang w:val="en-US" w:eastAsia="zh-CN"/>
              </w:rPr>
              <w:t>分</w:t>
            </w:r>
            <w:r>
              <w:rPr>
                <w:rFonts w:hint="eastAsia" w:ascii="仿宋" w:hAnsi="仿宋" w:eastAsia="仿宋" w:cs="仿宋_GB2312"/>
                <w:sz w:val="24"/>
                <w:szCs w:val="24"/>
                <w:highlight w:val="none"/>
                <w:lang w:val="en-US" w:eastAsia="zh-CN"/>
              </w:rPr>
              <w:t>。</w:t>
            </w:r>
            <w:r>
              <w:rPr>
                <w:rFonts w:hint="default" w:ascii="仿宋" w:hAnsi="仿宋" w:eastAsia="仿宋" w:cs="仿宋_GB2312"/>
                <w:sz w:val="24"/>
                <w:szCs w:val="24"/>
                <w:highlight w:val="none"/>
                <w:lang w:val="en-US" w:eastAsia="zh-CN"/>
              </w:rPr>
              <w:t>以上要求</w:t>
            </w:r>
            <w:r>
              <w:rPr>
                <w:rFonts w:hint="eastAsia" w:ascii="仿宋" w:hAnsi="仿宋" w:eastAsia="仿宋" w:cs="仿宋_GB2312"/>
                <w:sz w:val="24"/>
                <w:szCs w:val="24"/>
                <w:highlight w:val="none"/>
                <w:lang w:val="en-US" w:eastAsia="zh-CN"/>
              </w:rPr>
              <w:t>同时</w:t>
            </w:r>
            <w:r>
              <w:rPr>
                <w:rFonts w:hint="default" w:ascii="仿宋" w:hAnsi="仿宋" w:eastAsia="仿宋" w:cs="仿宋_GB2312"/>
                <w:sz w:val="24"/>
                <w:szCs w:val="24"/>
                <w:highlight w:val="none"/>
                <w:lang w:val="en-US" w:eastAsia="zh-CN"/>
              </w:rPr>
              <w:t>提供社保证明、资质证书及其他相关证明材料</w:t>
            </w:r>
            <w:r>
              <w:rPr>
                <w:rFonts w:hint="eastAsia" w:ascii="仿宋" w:hAnsi="仿宋" w:eastAsia="仿宋" w:cs="仿宋_GB2312"/>
                <w:sz w:val="24"/>
                <w:szCs w:val="24"/>
                <w:highlight w:val="none"/>
                <w:lang w:val="en-US" w:eastAsia="zh-CN"/>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3分。</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096" w:type="pct"/>
            <w:vMerge w:val="restart"/>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（四）项目组人员实力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shd w:val="clear" w:color="auto" w:fill="auto"/>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8</w:t>
            </w:r>
          </w:p>
        </w:tc>
        <w:tc>
          <w:tcPr>
            <w:tcW w:w="3028" w:type="pct"/>
            <w:shd w:val="clear" w:color="auto" w:fill="auto"/>
            <w:vAlign w:val="center"/>
          </w:tcPr>
          <w:p>
            <w:pPr>
              <w:spacing w:line="360" w:lineRule="auto"/>
              <w:outlineLvl w:val="0"/>
              <w:rPr>
                <w:rFonts w:hint="eastAsia" w:ascii="仿宋" w:hAnsi="仿宋" w:eastAsia="仿宋"/>
                <w:sz w:val="24"/>
                <w:highlight w:val="none"/>
                <w:lang w:eastAsia="zh-CN"/>
              </w:rPr>
            </w:pPr>
            <w:r>
              <w:rPr>
                <w:rFonts w:hint="eastAsia" w:ascii="仿宋" w:hAnsi="仿宋" w:eastAsia="仿宋" w:cs="仿宋_GB2312"/>
                <w:sz w:val="24"/>
                <w:highlight w:val="none"/>
                <w:lang w:eastAsia="zh-CN"/>
              </w:rPr>
              <w:t>驻场服务人员</w:t>
            </w:r>
            <w:r>
              <w:rPr>
                <w:rFonts w:hint="eastAsia" w:ascii="仿宋" w:hAnsi="仿宋" w:eastAsia="仿宋" w:cs="仿宋_GB2312"/>
                <w:sz w:val="24"/>
                <w:highlight w:val="none"/>
                <w:lang w:eastAsia="zh-Hans"/>
              </w:rPr>
              <w:t>具备软件类</w:t>
            </w:r>
            <w:r>
              <w:rPr>
                <w:rFonts w:hint="eastAsia" w:ascii="仿宋" w:hAnsi="仿宋" w:eastAsia="仿宋" w:cs="仿宋_GB2312"/>
                <w:sz w:val="24"/>
                <w:highlight w:val="none"/>
                <w:lang w:eastAsia="zh-CN"/>
              </w:rPr>
              <w:t>或计算机类等</w:t>
            </w:r>
            <w:r>
              <w:rPr>
                <w:rFonts w:hint="eastAsia" w:ascii="仿宋" w:hAnsi="仿宋" w:eastAsia="仿宋" w:cs="仿宋_GB2312"/>
                <w:sz w:val="24"/>
                <w:highlight w:val="none"/>
                <w:lang w:eastAsia="zh-Hans"/>
              </w:rPr>
              <w:t>中级及以上</w:t>
            </w:r>
            <w:r>
              <w:rPr>
                <w:rFonts w:hint="eastAsia" w:ascii="仿宋" w:hAnsi="仿宋" w:eastAsia="仿宋" w:cs="仿宋_GB2312"/>
                <w:sz w:val="24"/>
                <w:highlight w:val="none"/>
                <w:lang w:eastAsia="zh-CN"/>
              </w:rPr>
              <w:t>工程师</w:t>
            </w:r>
            <w:r>
              <w:rPr>
                <w:rFonts w:hint="eastAsia" w:ascii="仿宋" w:hAnsi="仿宋" w:eastAsia="仿宋" w:cs="仿宋_GB2312"/>
                <w:sz w:val="24"/>
                <w:highlight w:val="none"/>
                <w:lang w:eastAsia="zh-Hans"/>
              </w:rPr>
              <w:t>证书的得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w:t>
            </w:r>
            <w:r>
              <w:rPr>
                <w:rFonts w:hint="default" w:ascii="仿宋" w:hAnsi="仿宋" w:eastAsia="仿宋" w:cs="仿宋_GB2312"/>
                <w:sz w:val="24"/>
                <w:szCs w:val="24"/>
                <w:highlight w:val="none"/>
                <w:lang w:val="en-US" w:eastAsia="zh-CN"/>
              </w:rPr>
              <w:t>要求</w:t>
            </w:r>
            <w:r>
              <w:rPr>
                <w:rFonts w:hint="eastAsia" w:ascii="仿宋" w:hAnsi="仿宋" w:eastAsia="仿宋" w:cs="仿宋_GB2312"/>
                <w:sz w:val="24"/>
                <w:szCs w:val="24"/>
                <w:highlight w:val="none"/>
                <w:lang w:val="en-US" w:eastAsia="zh-CN"/>
              </w:rPr>
              <w:t>同时</w:t>
            </w:r>
            <w:r>
              <w:rPr>
                <w:rFonts w:hint="default" w:ascii="仿宋" w:hAnsi="仿宋" w:eastAsia="仿宋" w:cs="仿宋_GB2312"/>
                <w:sz w:val="24"/>
                <w:szCs w:val="24"/>
                <w:highlight w:val="none"/>
                <w:lang w:val="en-US" w:eastAsia="zh-CN"/>
              </w:rPr>
              <w:t>提供社保证明、资质证书</w:t>
            </w:r>
            <w:r>
              <w:rPr>
                <w:rFonts w:hint="eastAsia" w:ascii="仿宋" w:hAnsi="仿宋" w:eastAsia="仿宋" w:cs="仿宋_GB2312"/>
                <w:sz w:val="24"/>
                <w:szCs w:val="24"/>
                <w:highlight w:val="none"/>
                <w:lang w:val="en-US" w:eastAsia="zh-CN"/>
              </w:rPr>
              <w:t>。</w:t>
            </w:r>
          </w:p>
        </w:tc>
        <w:tc>
          <w:tcPr>
            <w:tcW w:w="407" w:type="pct"/>
            <w:shd w:val="clear" w:color="auto" w:fill="auto"/>
            <w:vAlign w:val="center"/>
          </w:tcPr>
          <w:p>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1096" w:type="pct"/>
            <w:vMerge w:val="continue"/>
            <w:shd w:val="clear" w:color="auto" w:fill="auto"/>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3028" w:type="pct"/>
            <w:shd w:val="clear" w:color="auto" w:fill="auto"/>
            <w:vAlign w:val="center"/>
          </w:tcPr>
          <w:p>
            <w:pPr>
              <w:spacing w:line="360" w:lineRule="auto"/>
              <w:outlineLvl w:val="0"/>
              <w:rPr>
                <w:rFonts w:hint="default" w:ascii="仿宋" w:hAnsi="仿宋" w:eastAsia="仿宋" w:cs="Times New Roman"/>
                <w:kern w:val="2"/>
                <w:sz w:val="24"/>
                <w:szCs w:val="24"/>
                <w:highlight w:val="none"/>
                <w:lang w:val="en-US" w:eastAsia="zh-CN" w:bidi="ar-SA"/>
              </w:rPr>
            </w:pPr>
            <w:r>
              <w:rPr>
                <w:rFonts w:hint="eastAsia" w:ascii="仿宋" w:hAnsi="仿宋" w:eastAsia="仿宋"/>
                <w:sz w:val="24"/>
                <w:highlight w:val="none"/>
              </w:rPr>
              <w:t>项目管理分工明确，项目组织结构科学合理</w:t>
            </w:r>
            <w:r>
              <w:rPr>
                <w:rFonts w:hint="eastAsia" w:ascii="仿宋" w:hAnsi="仿宋" w:eastAsia="仿宋"/>
                <w:sz w:val="24"/>
                <w:highlight w:val="none"/>
                <w:lang w:eastAsia="zh-CN"/>
              </w:rPr>
              <w:t>的得</w:t>
            </w:r>
            <w:r>
              <w:rPr>
                <w:rFonts w:hint="eastAsia" w:ascii="仿宋" w:hAnsi="仿宋" w:eastAsia="仿宋"/>
                <w:sz w:val="24"/>
                <w:highlight w:val="none"/>
                <w:lang w:val="en-US" w:eastAsia="zh-CN"/>
              </w:rPr>
              <w:t>3分，基本合理得1分，否则不得分。共3分。</w:t>
            </w:r>
          </w:p>
        </w:tc>
        <w:tc>
          <w:tcPr>
            <w:tcW w:w="407" w:type="pct"/>
            <w:shd w:val="clear" w:color="auto" w:fill="auto"/>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3</w:t>
            </w:r>
          </w:p>
        </w:tc>
        <w:tc>
          <w:tcPr>
            <w:tcW w:w="1096" w:type="pct"/>
            <w:vMerge w:val="continue"/>
            <w:shd w:val="clear" w:color="auto" w:fill="auto"/>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3028" w:type="pct"/>
            <w:shd w:val="clear" w:color="auto" w:fill="auto"/>
            <w:vAlign w:val="center"/>
          </w:tcPr>
          <w:p>
            <w:pPr>
              <w:spacing w:line="360" w:lineRule="auto"/>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zh-CN" w:eastAsia="zh-CN"/>
              </w:rPr>
              <w:t>投标人承诺质保期超出采购文件要求期限（</w:t>
            </w:r>
            <w:r>
              <w:rPr>
                <w:rFonts w:hint="eastAsia" w:ascii="仿宋" w:hAnsi="仿宋" w:eastAsia="仿宋" w:cs="仿宋"/>
                <w:color w:val="000000"/>
                <w:sz w:val="24"/>
                <w:highlight w:val="none"/>
                <w:lang w:val="en-US" w:eastAsia="zh-CN"/>
              </w:rPr>
              <w:t>3年</w:t>
            </w:r>
            <w:r>
              <w:rPr>
                <w:rFonts w:hint="eastAsia" w:ascii="仿宋" w:hAnsi="仿宋" w:eastAsia="仿宋" w:cs="仿宋"/>
                <w:color w:val="000000"/>
                <w:sz w:val="24"/>
                <w:highlight w:val="none"/>
                <w:lang w:val="zh-CN" w:eastAsia="zh-CN"/>
              </w:rPr>
              <w:t>）的基础上，每增加1年得</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lang w:val="zh-CN" w:eastAsia="zh-CN"/>
              </w:rPr>
              <w:t>分，共</w:t>
            </w:r>
            <w:r>
              <w:rPr>
                <w:rFonts w:hint="eastAsia" w:ascii="仿宋" w:hAnsi="仿宋" w:eastAsia="仿宋" w:cs="仿宋"/>
                <w:color w:val="000000"/>
                <w:sz w:val="24"/>
                <w:highlight w:val="none"/>
                <w:lang w:val="en-US" w:eastAsia="zh-CN"/>
              </w:rPr>
              <w:t>4分。</w:t>
            </w:r>
          </w:p>
        </w:tc>
        <w:tc>
          <w:tcPr>
            <w:tcW w:w="407" w:type="pct"/>
            <w:shd w:val="clear" w:color="auto" w:fill="auto"/>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4</w:t>
            </w:r>
          </w:p>
        </w:tc>
        <w:tc>
          <w:tcPr>
            <w:tcW w:w="1096" w:type="pct"/>
            <w:vMerge w:val="restart"/>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（五）售后服务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11</w:t>
            </w:r>
          </w:p>
        </w:tc>
        <w:tc>
          <w:tcPr>
            <w:tcW w:w="3028" w:type="pct"/>
            <w:shd w:val="clear" w:color="auto" w:fill="auto"/>
            <w:vAlign w:val="center"/>
          </w:tcPr>
          <w:p>
            <w:pPr>
              <w:spacing w:line="360" w:lineRule="auto"/>
              <w:outlineLvl w:val="0"/>
              <w:rPr>
                <w:rFonts w:hint="eastAsia" w:ascii="仿宋" w:hAnsi="仿宋" w:eastAsia="仿宋" w:cs="Times New Roman"/>
                <w:kern w:val="2"/>
                <w:sz w:val="24"/>
                <w:szCs w:val="24"/>
                <w:highlight w:val="none"/>
                <w:lang w:val="en-US" w:eastAsia="zh-CN" w:bidi="ar-SA"/>
              </w:rPr>
            </w:pPr>
            <w:r>
              <w:rPr>
                <w:rFonts w:hint="eastAsia" w:ascii="仿宋" w:hAnsi="仿宋" w:eastAsia="仿宋" w:cs="仿宋"/>
                <w:color w:val="000000"/>
                <w:sz w:val="24"/>
                <w:highlight w:val="none"/>
                <w:lang w:eastAsia="zh-CN"/>
              </w:rPr>
              <w:t>投标人承诺：服务期间，乙方在接到使用单位维修及技术服务要求后应在1小时之内做出响应，如果使用单位需要，应在24小时之内派出专业工程师维修人员到达现场维修，若短期无法修复的，应及时提供备用方案。满足得</w:t>
            </w:r>
            <w:r>
              <w:rPr>
                <w:rFonts w:hint="eastAsia" w:ascii="仿宋" w:hAnsi="仿宋" w:eastAsia="仿宋" w:cs="仿宋"/>
                <w:color w:val="000000"/>
                <w:sz w:val="24"/>
                <w:highlight w:val="none"/>
                <w:lang w:val="en-US" w:eastAsia="zh-CN"/>
              </w:rPr>
              <w:t>3分，不满足不得分。共3分。</w:t>
            </w:r>
          </w:p>
        </w:tc>
        <w:tc>
          <w:tcPr>
            <w:tcW w:w="407" w:type="pct"/>
            <w:shd w:val="clear" w:color="auto" w:fill="auto"/>
            <w:vAlign w:val="center"/>
          </w:tcPr>
          <w:p>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3</w:t>
            </w:r>
          </w:p>
        </w:tc>
        <w:tc>
          <w:tcPr>
            <w:tcW w:w="1096" w:type="pct"/>
            <w:vMerge w:val="continue"/>
            <w:shd w:val="clear" w:color="auto" w:fill="auto"/>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12</w:t>
            </w:r>
          </w:p>
        </w:tc>
        <w:tc>
          <w:tcPr>
            <w:tcW w:w="3028" w:type="pct"/>
            <w:shd w:val="clear" w:color="auto" w:fill="auto"/>
            <w:vAlign w:val="center"/>
          </w:tcPr>
          <w:p>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zh-CN" w:eastAsia="zh-CN"/>
              </w:rPr>
              <w:t>投标人提供培训计划包括培训内容、培训时间地点、培训对象、培训师资力量等，根据培训方案内容进行评分，每一项科学合理，利于实际操作的得0.5分，共2分。</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096" w:type="pct"/>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（六）</w:t>
            </w:r>
            <w:r>
              <w:rPr>
                <w:rFonts w:hint="eastAsia" w:ascii="仿宋" w:hAnsi="仿宋" w:eastAsia="仿宋" w:cs="仿宋"/>
                <w:sz w:val="24"/>
                <w:szCs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shd w:val="clear" w:color="auto" w:fill="auto"/>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3028" w:type="pct"/>
            <w:shd w:val="clear" w:color="auto" w:fill="auto"/>
            <w:vAlign w:val="top"/>
          </w:tcPr>
          <w:p>
            <w:pPr>
              <w:spacing w:line="360" w:lineRule="auto"/>
              <w:outlineLvl w:val="0"/>
              <w:rPr>
                <w:rFonts w:hint="eastAsia" w:ascii="仿宋" w:hAnsi="仿宋" w:eastAsia="仿宋" w:cs="仿宋_GB2312"/>
                <w:color w:val="auto"/>
                <w:kern w:val="2"/>
                <w:sz w:val="24"/>
                <w:szCs w:val="24"/>
                <w:highlight w:val="none"/>
                <w:lang w:val="zh-CN" w:eastAsia="zh-CN" w:bidi="ar-SA"/>
              </w:rPr>
            </w:pPr>
            <w:r>
              <w:rPr>
                <w:rFonts w:hint="default" w:ascii="仿宋" w:hAnsi="仿宋" w:eastAsia="仿宋" w:cs="仿宋_GB2312"/>
                <w:color w:val="auto"/>
                <w:sz w:val="24"/>
                <w:highlight w:val="none"/>
                <w:lang w:val="en-US" w:eastAsia="zh-CN"/>
              </w:rPr>
              <w:t>投标人提出的验收方案合理、可行。根据提供的方案内容进行评分，满足采购需求得</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lang w:val="en-US" w:eastAsia="zh-CN"/>
              </w:rPr>
              <w:t>分，否则不得分</w:t>
            </w:r>
            <w:r>
              <w:rPr>
                <w:rFonts w:hint="eastAsia" w:ascii="仿宋" w:hAnsi="仿宋" w:eastAsia="仿宋" w:cs="仿宋_GB2312"/>
                <w:color w:val="auto"/>
                <w:sz w:val="24"/>
                <w:highlight w:val="none"/>
                <w:lang w:val="en-US" w:eastAsia="zh-CN"/>
              </w:rPr>
              <w:t>。共2分。</w:t>
            </w:r>
          </w:p>
        </w:tc>
        <w:tc>
          <w:tcPr>
            <w:tcW w:w="407" w:type="pct"/>
            <w:shd w:val="clear" w:color="auto" w:fill="auto"/>
            <w:vAlign w:val="center"/>
          </w:tcPr>
          <w:p>
            <w:pPr>
              <w:spacing w:line="360" w:lineRule="auto"/>
              <w:ind w:firstLine="120" w:firstLineChars="50"/>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w:t>
            </w:r>
          </w:p>
        </w:tc>
        <w:tc>
          <w:tcPr>
            <w:tcW w:w="1096" w:type="pct"/>
            <w:shd w:val="clear" w:color="auto" w:fill="auto"/>
            <w:vAlign w:val="center"/>
          </w:tcPr>
          <w:p>
            <w:pPr>
              <w:spacing w:line="360" w:lineRule="auto"/>
              <w:ind w:firstLine="120" w:firstLineChars="50"/>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（七）</w:t>
            </w:r>
            <w:r>
              <w:rPr>
                <w:rFonts w:hint="default" w:ascii="仿宋" w:hAnsi="仿宋" w:eastAsia="仿宋" w:cs="仿宋_GB2312"/>
                <w:sz w:val="24"/>
                <w:highlight w:val="none"/>
                <w:lang w:val="en-US" w:eastAsia="zh-CN"/>
              </w:rPr>
              <w:t>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7" w:type="pct"/>
            <w:shd w:val="clear" w:color="auto" w:fill="auto"/>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w:t>
            </w:r>
          </w:p>
        </w:tc>
        <w:tc>
          <w:tcPr>
            <w:tcW w:w="3028" w:type="pct"/>
            <w:shd w:val="clear" w:color="auto" w:fill="auto"/>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highlight w:val="none"/>
                <w:lang w:val="en-US" w:eastAsia="zh-CN"/>
              </w:rPr>
              <w:t>投标人具有ISO9001、ISO27001、ISO20000证书的，提供相关证书每项得1分，否则不得分，共3分。</w:t>
            </w:r>
          </w:p>
        </w:tc>
        <w:tc>
          <w:tcPr>
            <w:tcW w:w="40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096" w:type="pct"/>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7" w:type="pct"/>
            <w:shd w:val="clear" w:color="auto" w:fill="auto"/>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w:t>
            </w:r>
          </w:p>
        </w:tc>
        <w:tc>
          <w:tcPr>
            <w:tcW w:w="3028" w:type="pct"/>
            <w:shd w:val="clear" w:color="auto" w:fill="auto"/>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highlight w:val="none"/>
                <w:lang w:val="en-US" w:eastAsia="zh-CN"/>
              </w:rPr>
              <w:t>投标人自2019年1月1日至开标时间止（以合同签订时间为准）具备</w:t>
            </w:r>
            <w:r>
              <w:rPr>
                <w:rFonts w:hint="eastAsia" w:ascii="仿宋" w:hAnsi="仿宋" w:eastAsia="仿宋" w:cs="仿宋_GB2312"/>
                <w:sz w:val="24"/>
                <w:highlight w:val="none"/>
                <w:lang w:eastAsia="zh-CN"/>
              </w:rPr>
              <w:t>同类</w:t>
            </w:r>
            <w:r>
              <w:rPr>
                <w:rFonts w:hint="eastAsia" w:ascii="仿宋" w:hAnsi="仿宋" w:eastAsia="仿宋" w:cs="仿宋_GB2312"/>
                <w:sz w:val="24"/>
                <w:highlight w:val="none"/>
                <w:lang w:val="en-US" w:eastAsia="zh-CN"/>
              </w:rPr>
              <w:t>项目（会议室建设），提供相关合同</w:t>
            </w:r>
            <w:r>
              <w:rPr>
                <w:rFonts w:hint="eastAsia" w:ascii="仿宋" w:hAnsi="仿宋" w:eastAsia="仿宋" w:cs="仿宋_GB2312"/>
                <w:sz w:val="24"/>
                <w:highlight w:val="none"/>
              </w:rPr>
              <w:t>，每个得1分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最高3分。</w:t>
            </w:r>
          </w:p>
        </w:tc>
        <w:tc>
          <w:tcPr>
            <w:tcW w:w="40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096" w:type="pct"/>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rPr>
              <w:t>）</w:t>
            </w:r>
            <w:r>
              <w:rPr>
                <w:rFonts w:hint="eastAsia" w:ascii="仿宋" w:hAnsi="仿宋" w:eastAsia="仿宋" w:cs="仿宋"/>
                <w:snapToGrid w:val="0"/>
                <w:sz w:val="24"/>
                <w:szCs w:val="24"/>
                <w:highlight w:val="none"/>
              </w:rPr>
              <w:t>成功案例及业绩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467" w:type="pct"/>
            <w:shd w:val="clear" w:color="auto" w:fill="auto"/>
            <w:vAlign w:val="center"/>
          </w:tcPr>
          <w:p>
            <w:pPr>
              <w:spacing w:line="360" w:lineRule="auto"/>
              <w:jc w:val="center"/>
              <w:outlineLvl w:val="0"/>
              <w:rPr>
                <w:rFonts w:hint="default" w:ascii="仿宋" w:hAnsi="仿宋" w:eastAsia="仿宋" w:cs="仿宋"/>
                <w:sz w:val="24"/>
                <w:szCs w:val="24"/>
                <w:highlight w:val="none"/>
                <w:lang w:val="en-US" w:eastAsia="zh-CN"/>
              </w:rPr>
            </w:pPr>
          </w:p>
        </w:tc>
        <w:tc>
          <w:tcPr>
            <w:tcW w:w="3028" w:type="pct"/>
            <w:shd w:val="clear" w:color="auto" w:fill="auto"/>
          </w:tcPr>
          <w:p>
            <w:pPr>
              <w:spacing w:line="360" w:lineRule="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有效投标报价的最低价作为评标基准价，其最低报价为满分；按［投标报价得分=（评标基准价/投标报价）*30］的计算公式计算。</w:t>
            </w:r>
          </w:p>
          <w:p>
            <w:pPr>
              <w:spacing w:line="360" w:lineRule="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评标过程中，不得去掉报价中的最高报价和最低报价。</w:t>
            </w:r>
          </w:p>
          <w:p>
            <w:pPr>
              <w:spacing w:line="360" w:lineRule="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因落实政府采购政策需要进行价格调整的，以调整后的价格计算评标基准价和投标报价。</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c>
          <w:tcPr>
            <w:tcW w:w="1096"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不得以特定金额的业绩作为评审因素，政府采购货物和服务项目业绩分不得高于价格分的10%。</w:t>
      </w:r>
    </w:p>
    <w:p>
      <w:pPr>
        <w:pStyle w:val="24"/>
        <w:spacing w:before="0"/>
        <w:ind w:firstLine="643"/>
        <w:jc w:val="center"/>
        <w:rPr>
          <w:rFonts w:hint="eastAsia" w:ascii="仿宋" w:hAnsi="仿宋" w:eastAsia="仿宋" w:cs="仿宋"/>
          <w:b/>
        </w:rPr>
      </w:pPr>
      <w:r>
        <w:rPr>
          <w:rFonts w:hint="eastAsia" w:ascii="仿宋" w:hAnsi="仿宋" w:eastAsia="仿宋" w:cs="仿宋"/>
          <w:b/>
          <w:sz w:val="32"/>
        </w:rPr>
        <w:t>一、评审方法</w:t>
      </w:r>
    </w:p>
    <w:p>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hint="eastAsia" w:ascii="仿宋" w:hAnsi="仿宋" w:eastAsia="仿宋" w:cs="仿宋"/>
          <w:kern w:val="0"/>
          <w:sz w:val="24"/>
        </w:rPr>
      </w:pPr>
    </w:p>
    <w:p>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24"/>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pPr>
        <w:pStyle w:val="24"/>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24"/>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24"/>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24"/>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pPr>
        <w:pStyle w:val="24"/>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pPr>
        <w:pStyle w:val="24"/>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24"/>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24"/>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pPr>
        <w:pStyle w:val="24"/>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24"/>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24"/>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pPr>
        <w:pStyle w:val="24"/>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pPr>
        <w:pStyle w:val="24"/>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pPr>
        <w:pStyle w:val="24"/>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pPr>
        <w:pStyle w:val="24"/>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24"/>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pPr>
        <w:pStyle w:val="24"/>
        <w:spacing w:before="0"/>
        <w:ind w:firstLine="480"/>
        <w:rPr>
          <w:rFonts w:hint="eastAsia" w:ascii="仿宋" w:hAnsi="仿宋" w:eastAsia="仿宋" w:cs="仿宋"/>
        </w:rPr>
      </w:pPr>
      <w:r>
        <w:rPr>
          <w:rFonts w:hint="eastAsia" w:ascii="仿宋" w:hAnsi="仿宋" w:eastAsia="仿宋" w:cs="仿宋"/>
        </w:rPr>
        <w:t>1.8向采购人、采购机构或者有关部门报告评审中发现的违法行为；</w:t>
      </w:r>
    </w:p>
    <w:p>
      <w:pPr>
        <w:pStyle w:val="24"/>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pPr>
        <w:pStyle w:val="24"/>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24"/>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pPr>
        <w:pStyle w:val="24"/>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24"/>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pPr>
        <w:pStyle w:val="24"/>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pPr>
        <w:pStyle w:val="24"/>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pPr>
        <w:pStyle w:val="24"/>
        <w:spacing w:before="0"/>
        <w:ind w:firstLine="480"/>
        <w:rPr>
          <w:rFonts w:hint="eastAsia" w:ascii="仿宋" w:hAnsi="仿宋" w:eastAsia="仿宋" w:cs="仿宋"/>
        </w:rPr>
      </w:pPr>
      <w:r>
        <w:rPr>
          <w:rFonts w:hint="eastAsia" w:ascii="仿宋" w:hAnsi="仿宋" w:eastAsia="仿宋" w:cs="仿宋"/>
        </w:rPr>
        <w:t>2.6记录、复制或者带走任何评审资料；</w:t>
      </w:r>
    </w:p>
    <w:p>
      <w:pPr>
        <w:pStyle w:val="24"/>
        <w:spacing w:before="0"/>
        <w:ind w:firstLine="480"/>
        <w:rPr>
          <w:rFonts w:hint="eastAsia" w:ascii="仿宋" w:hAnsi="仿宋" w:eastAsia="仿宋" w:cs="仿宋"/>
        </w:rPr>
      </w:pPr>
      <w:r>
        <w:rPr>
          <w:rFonts w:hint="eastAsia" w:ascii="仿宋" w:hAnsi="仿宋" w:eastAsia="仿宋" w:cs="仿宋"/>
        </w:rPr>
        <w:t>2.7其他不遵守评审纪律的行为。</w:t>
      </w:r>
    </w:p>
    <w:p>
      <w:pPr>
        <w:pStyle w:val="24"/>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24"/>
        <w:spacing w:before="0"/>
        <w:ind w:firstLine="0" w:firstLineChars="0"/>
        <w:rPr>
          <w:rFonts w:hint="eastAsia" w:ascii="仿宋" w:hAnsi="仿宋" w:eastAsia="仿宋" w:cs="仿宋"/>
          <w:b/>
        </w:rPr>
      </w:pPr>
    </w:p>
    <w:p>
      <w:pPr>
        <w:pStyle w:val="24"/>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pPr>
        <w:pStyle w:val="24"/>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pPr>
        <w:pStyle w:val="24"/>
        <w:spacing w:before="0"/>
        <w:ind w:firstLine="472" w:firstLineChars="196"/>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2.1《报价一览表》内容与响应文件中响应内容不一致的，以《报价一览表》为准;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2.3单价金额小数点或者百分比有明显错位的，以《报价一览表》的总价为准，并修改单价;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24"/>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2"/>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3.4如以联合体形式参加政府采购活动的，联合体协议不符合磋商文件规定的联合体协议要求的；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3.5响应文件未按磋商文件规定的格式编制的；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3.6响应文件未按磋商文件的澄清、修改的内容编制，又不符合实质性要求的；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3.7响应文件组成漏项，内容不全或内容字迹模糊辨认不清的；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3.8响应文件中法人授权书所载内容与本项目内容有异的；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3.9响应文件未按照磋商文件要求签署、盖章的；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3.10采购人拟采购的产品属于政府强制采购的节能产品品目清单范围的，供应商未按磋商文件要求提供国家确定的认证机构出具的、处于有效期之内的节能产品认证证书的；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3.11响应文件含有采购人不能接受的附加条件的；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3.12响应文件中承诺的响应有效期少于磋商文件中载明的响应有效期的；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3.13供应商所投内容不符合采购需求中实质性要求的；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3.14所提交的最后报价中出现不是唯一的、有选择性的报价的;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3.15最后报价高于本项目采购预算或者最高限价的;</w:t>
      </w:r>
    </w:p>
    <w:p>
      <w:pPr>
        <w:spacing w:line="360" w:lineRule="auto"/>
        <w:ind w:firstLine="480" w:firstLineChars="200"/>
        <w:rPr>
          <w:rFonts w:hint="eastAsia" w:ascii="仿宋" w:hAnsi="仿宋" w:eastAsia="仿宋" w:cs="仿宋"/>
        </w:rPr>
      </w:pPr>
      <w:r>
        <w:rPr>
          <w:rFonts w:hint="eastAsia" w:ascii="仿宋" w:hAnsi="仿宋" w:eastAsia="仿宋" w:cs="仿宋"/>
          <w:sz w:val="24"/>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3.17最后报价填写不完整或字迹不能辨认或有漏项的；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3.18供应商对根据修正原则修正后的最后报价不确认的；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3.19供应商提供虚假材料响应的（包括但不限于以下情节）；</w:t>
      </w:r>
    </w:p>
    <w:p>
      <w:pPr>
        <w:pStyle w:val="25"/>
        <w:numPr>
          <w:ilvl w:val="0"/>
          <w:numId w:val="12"/>
        </w:numPr>
        <w:ind w:firstLineChars="0"/>
        <w:rPr>
          <w:rFonts w:hint="eastAsia" w:ascii="仿宋" w:hAnsi="仿宋" w:eastAsia="仿宋" w:cs="仿宋"/>
        </w:rPr>
      </w:pPr>
      <w:r>
        <w:rPr>
          <w:rFonts w:hint="eastAsia" w:ascii="仿宋" w:hAnsi="仿宋" w:eastAsia="仿宋" w:cs="仿宋"/>
        </w:rPr>
        <w:t>使用伪造、变造的许可证件；</w:t>
      </w:r>
    </w:p>
    <w:p>
      <w:pPr>
        <w:pStyle w:val="25"/>
        <w:numPr>
          <w:ilvl w:val="0"/>
          <w:numId w:val="12"/>
        </w:numPr>
        <w:ind w:firstLineChars="0"/>
        <w:rPr>
          <w:rFonts w:hint="eastAsia" w:ascii="仿宋" w:hAnsi="仿宋" w:eastAsia="仿宋" w:cs="仿宋"/>
        </w:rPr>
      </w:pPr>
      <w:r>
        <w:rPr>
          <w:rFonts w:hint="eastAsia" w:ascii="仿宋" w:hAnsi="仿宋" w:eastAsia="仿宋" w:cs="仿宋"/>
        </w:rPr>
        <w:t>提供虚假的财务状况或者业绩；</w:t>
      </w:r>
    </w:p>
    <w:p>
      <w:pPr>
        <w:pStyle w:val="25"/>
        <w:numPr>
          <w:ilvl w:val="0"/>
          <w:numId w:val="12"/>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pPr>
        <w:pStyle w:val="25"/>
        <w:numPr>
          <w:ilvl w:val="0"/>
          <w:numId w:val="12"/>
        </w:numPr>
        <w:ind w:firstLineChars="0"/>
        <w:rPr>
          <w:rFonts w:hint="eastAsia" w:ascii="仿宋" w:hAnsi="仿宋" w:eastAsia="仿宋" w:cs="仿宋"/>
        </w:rPr>
      </w:pPr>
      <w:r>
        <w:rPr>
          <w:rFonts w:hint="eastAsia" w:ascii="仿宋" w:hAnsi="仿宋" w:eastAsia="仿宋" w:cs="仿宋"/>
        </w:rPr>
        <w:t>提供虚假的信用状况；</w:t>
      </w:r>
    </w:p>
    <w:p>
      <w:pPr>
        <w:pStyle w:val="25"/>
        <w:numPr>
          <w:ilvl w:val="0"/>
          <w:numId w:val="12"/>
        </w:numPr>
        <w:ind w:firstLineChars="0"/>
        <w:rPr>
          <w:rFonts w:hint="eastAsia" w:ascii="仿宋" w:hAnsi="仿宋" w:eastAsia="仿宋" w:cs="仿宋"/>
        </w:rPr>
      </w:pPr>
      <w:r>
        <w:rPr>
          <w:rFonts w:hint="eastAsia" w:ascii="仿宋" w:hAnsi="仿宋" w:eastAsia="仿宋" w:cs="仿宋"/>
        </w:rPr>
        <w:t>其他弄虚作假的行为。</w:t>
      </w:r>
    </w:p>
    <w:p>
      <w:pPr>
        <w:spacing w:line="360" w:lineRule="auto"/>
        <w:ind w:firstLine="480"/>
        <w:rPr>
          <w:rFonts w:hint="eastAsia" w:ascii="仿宋" w:hAnsi="仿宋" w:eastAsia="仿宋" w:cs="仿宋"/>
          <w:sz w:val="24"/>
        </w:rPr>
      </w:pPr>
      <w:r>
        <w:rPr>
          <w:rFonts w:hint="eastAsia" w:ascii="仿宋" w:hAnsi="仿宋" w:eastAsia="仿宋" w:cs="仿宋"/>
          <w:sz w:val="24"/>
        </w:rPr>
        <w:t>3.20供应商有恶意串通、妨碍其他供应商的竞争行为、损害采购人或者其他供应商的合法权益情形的。</w:t>
      </w:r>
    </w:p>
    <w:p>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pPr>
        <w:pStyle w:val="25"/>
        <w:numPr>
          <w:ilvl w:val="0"/>
          <w:numId w:val="13"/>
        </w:numPr>
        <w:ind w:firstLineChars="0"/>
        <w:rPr>
          <w:rFonts w:hint="eastAsia" w:ascii="仿宋" w:hAnsi="仿宋" w:eastAsia="仿宋" w:cs="仿宋"/>
        </w:rPr>
      </w:pPr>
      <w:r>
        <w:rPr>
          <w:rFonts w:hint="eastAsia" w:ascii="仿宋" w:hAnsi="仿宋" w:eastAsia="仿宋" w:cs="仿宋"/>
        </w:rPr>
        <w:t>供应商直接或者间接从采购人或者采购机构处获得其他供应商的相关情况并修改其响应文件；</w:t>
      </w:r>
    </w:p>
    <w:p>
      <w:pPr>
        <w:pStyle w:val="25"/>
        <w:numPr>
          <w:ilvl w:val="0"/>
          <w:numId w:val="13"/>
        </w:numPr>
        <w:ind w:firstLineChars="0"/>
        <w:rPr>
          <w:rFonts w:hint="eastAsia" w:ascii="仿宋" w:hAnsi="仿宋" w:eastAsia="仿宋" w:cs="仿宋"/>
        </w:rPr>
      </w:pPr>
      <w:r>
        <w:rPr>
          <w:rFonts w:hint="eastAsia" w:ascii="仿宋" w:hAnsi="仿宋" w:eastAsia="仿宋" w:cs="仿宋"/>
        </w:rPr>
        <w:t>供应商按照采购人或者采购机构的授意撤换、修改投标文件或者响应文件；</w:t>
      </w:r>
    </w:p>
    <w:p>
      <w:pPr>
        <w:pStyle w:val="25"/>
        <w:numPr>
          <w:ilvl w:val="0"/>
          <w:numId w:val="13"/>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pPr>
        <w:pStyle w:val="25"/>
        <w:numPr>
          <w:ilvl w:val="0"/>
          <w:numId w:val="13"/>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25"/>
        <w:numPr>
          <w:ilvl w:val="0"/>
          <w:numId w:val="13"/>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pPr>
        <w:pStyle w:val="25"/>
        <w:numPr>
          <w:ilvl w:val="0"/>
          <w:numId w:val="13"/>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pPr>
        <w:pStyle w:val="25"/>
        <w:numPr>
          <w:ilvl w:val="0"/>
          <w:numId w:val="13"/>
        </w:numPr>
        <w:ind w:firstLineChars="0"/>
        <w:rPr>
          <w:rFonts w:hint="eastAsia" w:ascii="仿宋" w:hAnsi="仿宋" w:eastAsia="仿宋" w:cs="仿宋"/>
        </w:rPr>
      </w:pPr>
      <w:r>
        <w:rPr>
          <w:rFonts w:hint="eastAsia" w:ascii="仿宋" w:hAnsi="仿宋" w:eastAsia="仿宋" w:cs="仿宋"/>
        </w:rPr>
        <w:t>供应商与采购人或者采购机构之间、供应商相互之间，为谋求特定供应商中标、成交或者排斥其他供应商的其他串通行为。</w:t>
      </w:r>
    </w:p>
    <w:p>
      <w:pPr>
        <w:pStyle w:val="25"/>
        <w:numPr>
          <w:ilvl w:val="0"/>
          <w:numId w:val="13"/>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pPr>
        <w:pStyle w:val="25"/>
        <w:numPr>
          <w:ilvl w:val="0"/>
          <w:numId w:val="13"/>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pPr>
        <w:pStyle w:val="25"/>
        <w:numPr>
          <w:ilvl w:val="0"/>
          <w:numId w:val="13"/>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pPr>
        <w:pStyle w:val="25"/>
        <w:numPr>
          <w:ilvl w:val="0"/>
          <w:numId w:val="13"/>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pPr>
        <w:pStyle w:val="25"/>
        <w:numPr>
          <w:ilvl w:val="0"/>
          <w:numId w:val="13"/>
        </w:numPr>
        <w:ind w:firstLineChars="0"/>
        <w:rPr>
          <w:rFonts w:hint="eastAsia"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3.21供应商仅提交备份响应文件，没有在电子交易平台传输递交响应文件的，响应无效；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3.22法律、法规、规章（适用本市的）及省级以上规范性文件（适用本市的）规定的其他无效情形。</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在采购活动中因重大变故，采购任务取消的，采购机构将终止采购活动，通过电子交易平台通知所有参加采购活动的供应商，并将项目实施情况和采购任务取消原因报送本级财政部门。</w:t>
      </w:r>
    </w:p>
    <w:p>
      <w:pPr>
        <w:numPr>
          <w:ilvl w:val="0"/>
          <w:numId w:val="14"/>
        </w:numPr>
        <w:spacing w:line="360" w:lineRule="auto"/>
        <w:rPr>
          <w:rFonts w:hint="eastAsia" w:ascii="仿宋" w:hAnsi="仿宋" w:eastAsia="仿宋" w:cs="仿宋"/>
          <w:b/>
        </w:rPr>
      </w:pPr>
      <w:r>
        <w:rPr>
          <w:rFonts w:hint="eastAsia" w:ascii="仿宋" w:hAnsi="仿宋" w:eastAsia="仿宋" w:cs="仿宋"/>
          <w:b/>
          <w:sz w:val="24"/>
        </w:rPr>
        <w:t>采购机构有权对磋商小组各成员的评分情况和评审意见进行合理性和合规性审查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24"/>
        <w:spacing w:before="0"/>
        <w:ind w:firstLine="0" w:firstLineChars="0"/>
        <w:rPr>
          <w:rFonts w:hint="eastAsia" w:ascii="仿宋" w:hAnsi="仿宋" w:eastAsia="仿宋" w:cs="仿宋"/>
          <w:b/>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采购机构对评审工作现场进行全过程录音录像，录音录像资料作为采购项目文件随其他文件一并存档。</w:t>
      </w:r>
    </w:p>
    <w:p>
      <w:pPr>
        <w:pStyle w:val="9"/>
        <w:rPr>
          <w:rFonts w:hint="eastAsia" w:ascii="仿宋" w:hAnsi="仿宋" w:eastAsia="仿宋" w:cs="仿宋"/>
          <w:b/>
          <w:bCs/>
          <w:sz w:val="24"/>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pStyle w:val="22"/>
        <w:rPr>
          <w:rFonts w:hint="eastAsia" w:ascii="仿宋" w:hAnsi="仿宋" w:eastAsia="仿宋" w:cs="仿宋"/>
          <w:sz w:val="32"/>
          <w:szCs w:val="32"/>
        </w:rPr>
      </w:pP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  拟签订的合同文本</w:t>
      </w:r>
    </w:p>
    <w:p>
      <w:pPr>
        <w:spacing w:line="360" w:lineRule="auto"/>
        <w:rPr>
          <w:rFonts w:hint="eastAsia" w:ascii="仿宋" w:hAnsi="仿宋" w:eastAsia="仿宋" w:cs="仿宋"/>
          <w:sz w:val="24"/>
        </w:rPr>
      </w:pPr>
    </w:p>
    <w:p>
      <w:pPr>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合同编号：</w:t>
      </w:r>
      <w:r>
        <w:rPr>
          <w:rFonts w:hint="eastAsia" w:ascii="仿宋" w:hAnsi="仿宋" w:eastAsia="仿宋" w:cs="仿宋"/>
          <w:color w:val="000000" w:themeColor="text1"/>
          <w:sz w:val="24"/>
          <w:u w:val="single"/>
          <w14:textFill>
            <w14:solidFill>
              <w14:schemeClr w14:val="tx1"/>
            </w14:solidFill>
          </w14:textFill>
        </w:rPr>
        <w:t xml:space="preserve">           </w:t>
      </w:r>
    </w:p>
    <w:p>
      <w:pPr>
        <w:spacing w:line="48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48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48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48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政府采购合同参考范本</w:t>
      </w:r>
    </w:p>
    <w:p>
      <w:pPr>
        <w:spacing w:line="48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（服务类）</w:t>
      </w:r>
    </w:p>
    <w:p>
      <w:pPr>
        <w:pStyle w:val="26"/>
        <w:rPr>
          <w:rFonts w:hint="eastAsia" w:ascii="仿宋" w:hAnsi="仿宋" w:eastAsia="仿宋" w:cs="仿宋"/>
          <w:color w:val="000000" w:themeColor="text1"/>
          <w:szCs w:val="24"/>
          <w14:textFill>
            <w14:solidFill>
              <w14:schemeClr w14:val="tx1"/>
            </w14:solidFill>
          </w14:textFill>
        </w:rPr>
      </w:pPr>
    </w:p>
    <w:p>
      <w:pPr>
        <w:pStyle w:val="26"/>
        <w:rPr>
          <w:rFonts w:hint="eastAsia" w:ascii="仿宋" w:hAnsi="仿宋" w:eastAsia="仿宋" w:cs="仿宋"/>
          <w:color w:val="000000" w:themeColor="text1"/>
          <w:szCs w:val="24"/>
          <w14:textFill>
            <w14:solidFill>
              <w14:schemeClr w14:val="tx1"/>
            </w14:solidFill>
          </w14:textFill>
        </w:rPr>
      </w:pPr>
    </w:p>
    <w:p>
      <w:pPr>
        <w:pStyle w:val="26"/>
        <w:rPr>
          <w:rFonts w:hint="eastAsia" w:ascii="仿宋" w:hAnsi="仿宋" w:eastAsia="仿宋" w:cs="仿宋"/>
          <w:color w:val="000000" w:themeColor="text1"/>
          <w:szCs w:val="24"/>
          <w14:textFill>
            <w14:solidFill>
              <w14:schemeClr w14:val="tx1"/>
            </w14:solidFill>
          </w14:textFill>
        </w:rPr>
      </w:pPr>
    </w:p>
    <w:p>
      <w:pPr>
        <w:pStyle w:val="26"/>
        <w:ind w:firstLine="482"/>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第一部分 合同书</w:t>
      </w:r>
    </w:p>
    <w:p>
      <w:pPr>
        <w:pStyle w:val="26"/>
        <w:rPr>
          <w:rFonts w:hint="eastAsia" w:ascii="仿宋" w:hAnsi="仿宋" w:eastAsia="仿宋" w:cs="仿宋"/>
          <w:color w:val="000000" w:themeColor="text1"/>
          <w:szCs w:val="24"/>
          <w14:textFill>
            <w14:solidFill>
              <w14:schemeClr w14:val="tx1"/>
            </w14:solidFill>
          </w14:textFill>
        </w:rPr>
      </w:pPr>
    </w:p>
    <w:p>
      <w:pPr>
        <w:pStyle w:val="26"/>
        <w:rPr>
          <w:rFonts w:hint="eastAsia" w:ascii="仿宋" w:hAnsi="仿宋" w:eastAsia="仿宋" w:cs="仿宋"/>
          <w:color w:val="000000" w:themeColor="text1"/>
          <w:szCs w:val="24"/>
          <w14:textFill>
            <w14:solidFill>
              <w14:schemeClr w14:val="tx1"/>
            </w14:solidFill>
          </w14:textFill>
        </w:rPr>
      </w:pP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u w:val="single"/>
          <w14:textFill>
            <w14:solidFill>
              <w14:schemeClr w14:val="tx1"/>
            </w14:solidFill>
          </w14:textFill>
        </w:rPr>
        <w:t xml:space="preserve">                                   </w:t>
      </w:r>
    </w:p>
    <w:p>
      <w:pPr>
        <w:pStyle w:val="27"/>
        <w:spacing w:before="120" w:line="22" w:lineRule="atLeast"/>
        <w:rPr>
          <w:rFonts w:hint="eastAsia" w:ascii="仿宋" w:hAnsi="仿宋" w:eastAsia="仿宋" w:cs="仿宋"/>
          <w:color w:val="000000" w:themeColor="text1"/>
          <w:szCs w:val="24"/>
          <w14:textFill>
            <w14:solidFill>
              <w14:schemeClr w14:val="tx1"/>
            </w14:solidFill>
          </w14:textFill>
        </w:rPr>
      </w:pPr>
    </w:p>
    <w:p>
      <w:pPr>
        <w:pStyle w:val="27"/>
        <w:spacing w:before="120" w:line="22" w:lineRule="atLeast"/>
        <w:rPr>
          <w:rFonts w:hint="eastAsia" w:ascii="仿宋" w:hAnsi="仿宋" w:eastAsia="仿宋" w:cs="仿宋"/>
          <w:color w:val="000000" w:themeColor="text1"/>
          <w:szCs w:val="24"/>
          <w14:textFill>
            <w14:solidFill>
              <w14:schemeClr w14:val="tx1"/>
            </w14:solidFill>
          </w14:textFill>
        </w:rPr>
      </w:pPr>
    </w:p>
    <w:p>
      <w:pPr>
        <w:rPr>
          <w:rFonts w:hint="eastAsia" w:ascii="仿宋" w:hAnsi="仿宋" w:eastAsia="仿宋" w:cs="仿宋"/>
          <w:color w:val="000000" w:themeColor="text1"/>
          <w:sz w:val="24"/>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w:t>
      </w:r>
      <w:r>
        <w:rPr>
          <w:rFonts w:hint="eastAsia" w:ascii="仿宋" w:hAnsi="仿宋" w:eastAsia="仿宋" w:cs="仿宋"/>
          <w:color w:val="000000" w:themeColor="text1"/>
          <w:sz w:val="24"/>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w:t>
      </w:r>
      <w:r>
        <w:rPr>
          <w:rFonts w:hint="eastAsia" w:ascii="仿宋" w:hAnsi="仿宋" w:eastAsia="仿宋" w:cs="仿宋"/>
          <w:color w:val="000000" w:themeColor="text1"/>
          <w:sz w:val="24"/>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w:t>
      </w:r>
      <w:r>
        <w:rPr>
          <w:rFonts w:hint="eastAsia" w:ascii="仿宋" w:hAnsi="仿宋" w:eastAsia="仿宋" w:cs="仿宋"/>
          <w:color w:val="000000" w:themeColor="text1"/>
          <w:sz w:val="24"/>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pPr>
        <w:autoSpaceDE w:val="0"/>
        <w:autoSpaceDN w:val="0"/>
        <w:spacing w:line="600" w:lineRule="exact"/>
        <w:ind w:firstLine="640"/>
        <w:jc w:val="center"/>
        <w:rPr>
          <w:rFonts w:hint="eastAsia" w:ascii="仿宋" w:hAnsi="仿宋" w:eastAsia="仿宋" w:cs="仿宋"/>
          <w:color w:val="000000" w:themeColor="text1"/>
          <w:sz w:val="24"/>
          <w14:textFill>
            <w14:solidFill>
              <w14:schemeClr w14:val="tx1"/>
            </w14:solidFill>
          </w14:textFill>
        </w:rPr>
        <w:sectPr>
          <w:headerReference r:id="rId3" w:type="default"/>
          <w:footerReference r:id="rId4" w:type="default"/>
          <w:pgSz w:w="11907" w:h="16840"/>
          <w:pgMar w:top="680" w:right="1417" w:bottom="471" w:left="1417" w:header="851" w:footer="851" w:gutter="0"/>
          <w:pgNumType w:fmt="decimal"/>
          <w:cols w:space="720" w:num="1"/>
          <w:docGrid w:linePitch="462" w:charSpace="0"/>
        </w:sectPr>
      </w:pP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年</w:t>
      </w: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月</w:t>
      </w: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（采购人名称）   </w:t>
      </w:r>
      <w:r>
        <w:rPr>
          <w:rFonts w:hint="eastAsia" w:ascii="仿宋" w:hAnsi="仿宋" w:eastAsia="仿宋" w:cs="仿宋"/>
          <w:color w:val="000000" w:themeColor="text1"/>
          <w:sz w:val="24"/>
          <w14:textFill>
            <w14:solidFill>
              <w14:schemeClr w14:val="tx1"/>
            </w14:solidFill>
          </w14:textFill>
        </w:rPr>
        <w:t>以</w:t>
      </w:r>
      <w:r>
        <w:rPr>
          <w:rFonts w:hint="eastAsia" w:ascii="仿宋" w:hAnsi="仿宋" w:eastAsia="仿宋" w:cs="仿宋"/>
          <w:color w:val="000000" w:themeColor="text1"/>
          <w:sz w:val="24"/>
          <w:u w:val="single"/>
          <w14:textFill>
            <w14:solidFill>
              <w14:schemeClr w14:val="tx1"/>
            </w14:solidFill>
          </w14:textFill>
        </w:rPr>
        <w:t xml:space="preserve">   （政府采购方式）  </w:t>
      </w:r>
      <w:r>
        <w:rPr>
          <w:rFonts w:hint="eastAsia" w:ascii="仿宋" w:hAnsi="仿宋" w:eastAsia="仿宋" w:cs="仿宋"/>
          <w:color w:val="000000" w:themeColor="text1"/>
          <w:sz w:val="24"/>
          <w14:textFill>
            <w14:solidFill>
              <w14:schemeClr w14:val="tx1"/>
            </w14:solidFill>
          </w14:textFill>
        </w:rPr>
        <w:t>对</w:t>
      </w:r>
      <w:r>
        <w:rPr>
          <w:rFonts w:hint="eastAsia" w:ascii="仿宋" w:hAnsi="仿宋" w:eastAsia="仿宋" w:cs="仿宋"/>
          <w:color w:val="000000" w:themeColor="text1"/>
          <w:sz w:val="24"/>
          <w:u w:val="single"/>
          <w14:textFill>
            <w14:solidFill>
              <w14:schemeClr w14:val="tx1"/>
            </w14:solidFill>
          </w14:textFill>
        </w:rPr>
        <w:t xml:space="preserve">   （同前页项目名称）   </w:t>
      </w:r>
      <w:r>
        <w:rPr>
          <w:rFonts w:hint="eastAsia" w:ascii="仿宋" w:hAnsi="仿宋" w:eastAsia="仿宋" w:cs="仿宋"/>
          <w:color w:val="000000" w:themeColor="text1"/>
          <w:sz w:val="24"/>
          <w14:textFill>
            <w14:solidFill>
              <w14:schemeClr w14:val="tx1"/>
            </w14:solidFill>
          </w14:textFill>
        </w:rPr>
        <w:t>项目进行了采购。经</w:t>
      </w:r>
      <w:r>
        <w:rPr>
          <w:rFonts w:hint="eastAsia" w:ascii="仿宋" w:hAnsi="仿宋" w:eastAsia="仿宋" w:cs="仿宋"/>
          <w:color w:val="000000" w:themeColor="text1"/>
          <w:sz w:val="24"/>
          <w:u w:val="single"/>
          <w14:textFill>
            <w14:solidFill>
              <w14:schemeClr w14:val="tx1"/>
            </w14:solidFill>
          </w14:textFill>
        </w:rPr>
        <w:t xml:space="preserve">   （相关评定主体名称）   </w:t>
      </w:r>
      <w:r>
        <w:rPr>
          <w:rFonts w:hint="eastAsia" w:ascii="仿宋" w:hAnsi="仿宋" w:eastAsia="仿宋" w:cs="仿宋"/>
          <w:color w:val="000000" w:themeColor="text1"/>
          <w:sz w:val="24"/>
          <w14:textFill>
            <w14:solidFill>
              <w14:schemeClr w14:val="tx1"/>
            </w14:solidFill>
          </w14:textFill>
        </w:rPr>
        <w:t>评定，</w:t>
      </w:r>
      <w:r>
        <w:rPr>
          <w:rFonts w:hint="eastAsia" w:ascii="仿宋" w:hAnsi="仿宋" w:eastAsia="仿宋" w:cs="仿宋"/>
          <w:color w:val="000000" w:themeColor="text1"/>
          <w:sz w:val="24"/>
          <w:u w:val="single"/>
          <w14:textFill>
            <w14:solidFill>
              <w14:schemeClr w14:val="tx1"/>
            </w14:solidFill>
          </w14:textFill>
        </w:rPr>
        <w:t xml:space="preserve">   （中标供应商名称） </w:t>
      </w:r>
      <w:r>
        <w:rPr>
          <w:rFonts w:hint="eastAsia" w:ascii="仿宋" w:hAnsi="仿宋" w:eastAsia="仿宋" w:cs="仿宋"/>
          <w:color w:val="000000" w:themeColor="text1"/>
          <w:sz w:val="24"/>
          <w14:textFill>
            <w14:solidFill>
              <w14:schemeClr w14:val="tx1"/>
            </w14:solidFill>
          </w14:textFill>
        </w:rPr>
        <w:t>为该项目中标供应商。现于中标通知书发出之日起</w:t>
      </w:r>
      <w:r>
        <w:rPr>
          <w:rFonts w:hint="eastAsia" w:ascii="仿宋" w:hAnsi="仿宋" w:eastAsia="仿宋" w:cs="仿宋"/>
          <w:color w:val="000000" w:themeColor="text1"/>
          <w:sz w:val="24"/>
          <w:lang w:eastAsia="zh-CN"/>
          <w14:textFill>
            <w14:solidFill>
              <w14:schemeClr w14:val="tx1"/>
            </w14:solidFill>
          </w14:textFill>
        </w:rPr>
        <w:t>十个工作日</w:t>
      </w:r>
      <w:r>
        <w:rPr>
          <w:rFonts w:hint="eastAsia" w:ascii="仿宋" w:hAnsi="仿宋" w:eastAsia="仿宋" w:cs="仿宋"/>
          <w:color w:val="000000" w:themeColor="text1"/>
          <w:sz w:val="24"/>
          <w14:textFill>
            <w14:solidFill>
              <w14:schemeClr w14:val="tx1"/>
            </w14:solidFill>
          </w14:textFill>
        </w:rPr>
        <w:t>内，按照采购文件确定的事项签订本合同。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u w:val="single"/>
          <w14:textFill>
            <w14:solidFill>
              <w14:schemeClr w14:val="tx1"/>
            </w14:solidFill>
          </w14:textFill>
        </w:rPr>
        <w:t xml:space="preserve">   （采购人名称）   </w:t>
      </w:r>
      <w:r>
        <w:rPr>
          <w:rFonts w:hint="eastAsia" w:ascii="仿宋" w:hAnsi="仿宋" w:eastAsia="仿宋" w:cs="仿宋"/>
          <w:color w:val="000000" w:themeColor="text1"/>
          <w:sz w:val="24"/>
          <w:lang w:val="zh-CN"/>
          <w14:textFill>
            <w14:solidFill>
              <w14:schemeClr w14:val="tx1"/>
            </w14:solidFill>
          </w14:textFill>
        </w:rPr>
        <w:t>(以下简称：甲方)和</w:t>
      </w:r>
      <w:r>
        <w:rPr>
          <w:rFonts w:hint="eastAsia" w:ascii="仿宋" w:hAnsi="仿宋" w:eastAsia="仿宋" w:cs="仿宋"/>
          <w:color w:val="000000" w:themeColor="text1"/>
          <w:sz w:val="24"/>
          <w:u w:val="single"/>
          <w14:textFill>
            <w14:solidFill>
              <w14:schemeClr w14:val="tx1"/>
            </w14:solidFill>
          </w14:textFill>
        </w:rPr>
        <w:t xml:space="preserve">   （中标供应商名称）   </w:t>
      </w:r>
      <w:r>
        <w:rPr>
          <w:rFonts w:hint="eastAsia" w:ascii="仿宋" w:hAnsi="仿宋" w:eastAsia="仿宋" w:cs="仿宋"/>
          <w:color w:val="000000" w:themeColor="text1"/>
          <w:sz w:val="24"/>
          <w:lang w:val="zh-CN"/>
          <w14:textFill>
            <w14:solidFill>
              <w14:schemeClr w14:val="tx1"/>
            </w14:solidFill>
          </w14:textFill>
        </w:rPr>
        <w:t>(以下简称：乙方)协商一致，约定以下合同</w:t>
      </w:r>
      <w:r>
        <w:rPr>
          <w:rFonts w:hint="eastAsia" w:ascii="仿宋" w:hAnsi="仿宋" w:eastAsia="仿宋" w:cs="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hint="eastAsia" w:ascii="仿宋" w:hAnsi="仿宋" w:eastAsia="仿宋" w:cs="仿宋"/>
          <w:color w:val="000000" w:themeColor="text1"/>
          <w:sz w:val="24"/>
          <w14:textFill>
            <w14:solidFill>
              <w14:schemeClr w14:val="tx1"/>
            </w14:solidFill>
          </w14:textFill>
        </w:rPr>
      </w:pPr>
      <w:bookmarkStart w:id="53" w:name="_Toc22967"/>
      <w:bookmarkStart w:id="54" w:name="_Toc20421"/>
      <w:bookmarkStart w:id="55" w:name="_Toc28855"/>
      <w:bookmarkStart w:id="56" w:name="_Toc19273"/>
      <w:bookmarkStart w:id="57" w:name="_Toc15367"/>
      <w:r>
        <w:rPr>
          <w:rFonts w:hint="eastAsia" w:ascii="仿宋" w:hAnsi="仿宋" w:eastAsia="仿宋" w:cs="仿宋"/>
          <w:b/>
          <w:color w:val="000000" w:themeColor="text1"/>
          <w:sz w:val="24"/>
          <w14:textFill>
            <w14:solidFill>
              <w14:schemeClr w14:val="tx1"/>
            </w14:solidFill>
          </w14:textFill>
        </w:rPr>
        <w:t>1.1 合同组成部分</w:t>
      </w:r>
      <w:bookmarkEnd w:id="53"/>
      <w:bookmarkEnd w:id="54"/>
      <w:bookmarkEnd w:id="55"/>
      <w:bookmarkEnd w:id="56"/>
      <w:bookmarkEnd w:id="5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 本合同及其补充合同、变更协议；</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 中标通知书；</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 投标文件（含澄清或者说明文件）；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1.1.4 招标文件（含澄清或者修改文件）；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8" w:name="_Toc6311"/>
      <w:bookmarkStart w:id="59" w:name="_Toc18585"/>
      <w:bookmarkStart w:id="60" w:name="_Toc22185"/>
      <w:bookmarkStart w:id="61" w:name="_Toc6773"/>
      <w:bookmarkStart w:id="62" w:name="_Toc2918"/>
      <w:r>
        <w:rPr>
          <w:rFonts w:hint="eastAsia" w:ascii="仿宋" w:hAnsi="仿宋" w:eastAsia="仿宋" w:cs="仿宋"/>
          <w:b/>
          <w:color w:val="000000" w:themeColor="text1"/>
          <w:sz w:val="24"/>
          <w14:textFill>
            <w14:solidFill>
              <w14:schemeClr w14:val="tx1"/>
            </w14:solidFill>
          </w14:textFill>
        </w:rPr>
        <w:t>1.2 标的</w:t>
      </w:r>
      <w:bookmarkEnd w:id="58"/>
      <w:bookmarkEnd w:id="59"/>
      <w:bookmarkEnd w:id="60"/>
      <w:bookmarkEnd w:id="61"/>
      <w:bookmarkEnd w:id="62"/>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 标的名称：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 标的数量：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 标的质量：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63" w:name="_Toc13918"/>
      <w:bookmarkStart w:id="64" w:name="_Toc21124"/>
      <w:bookmarkStart w:id="65" w:name="_Toc4929"/>
      <w:bookmarkStart w:id="66" w:name="_Toc1386"/>
      <w:bookmarkStart w:id="67" w:name="_Toc5635"/>
      <w:r>
        <w:rPr>
          <w:rFonts w:hint="eastAsia" w:ascii="仿宋" w:hAnsi="仿宋" w:eastAsia="仿宋" w:cs="仿宋"/>
          <w:b/>
          <w:color w:val="000000" w:themeColor="text1"/>
          <w:sz w:val="24"/>
          <w14:textFill>
            <w14:solidFill>
              <w14:schemeClr w14:val="tx1"/>
            </w14:solidFill>
          </w14:textFill>
        </w:rPr>
        <w:t>1.3 价款</w:t>
      </w:r>
      <w:bookmarkEnd w:id="63"/>
      <w:bookmarkEnd w:id="64"/>
      <w:bookmarkEnd w:id="65"/>
      <w:bookmarkEnd w:id="66"/>
      <w:bookmarkEnd w:id="6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本合同总价为：￥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元人民币）。</w:t>
      </w:r>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分项名称</w:t>
            </w:r>
          </w:p>
        </w:tc>
        <w:tc>
          <w:tcPr>
            <w:tcW w:w="2552" w:type="dxa"/>
            <w:vAlign w:val="center"/>
          </w:tcPr>
          <w:p>
            <w:pPr>
              <w:pStyle w:val="28"/>
              <w:spacing w:line="5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bl>
    <w:p>
      <w:pPr>
        <w:spacing w:line="560" w:lineRule="exact"/>
        <w:ind w:firstLine="482" w:firstLineChars="200"/>
        <w:rPr>
          <w:rFonts w:hint="eastAsia" w:ascii="仿宋" w:hAnsi="仿宋" w:eastAsia="仿宋" w:cs="仿宋"/>
          <w:b/>
          <w:bCs/>
          <w:color w:val="000000" w:themeColor="text1"/>
          <w:sz w:val="24"/>
          <w14:textFill>
            <w14:solidFill>
              <w14:schemeClr w14:val="tx1"/>
            </w14:solidFill>
          </w14:textFill>
        </w:rPr>
      </w:pPr>
      <w:bookmarkStart w:id="68" w:name="_Toc3654"/>
      <w:bookmarkStart w:id="69" w:name="_Toc30506"/>
      <w:bookmarkStart w:id="70" w:name="_Toc26916"/>
      <w:bookmarkStart w:id="71" w:name="_Toc30158"/>
      <w:bookmarkStart w:id="72" w:name="_Toc14993"/>
      <w:r>
        <w:rPr>
          <w:rFonts w:hint="eastAsia" w:ascii="仿宋" w:hAnsi="仿宋" w:eastAsia="仿宋" w:cs="仿宋"/>
          <w:b/>
          <w:bCs/>
          <w:color w:val="000000" w:themeColor="text1"/>
          <w:sz w:val="24"/>
          <w14:textFill>
            <w14:solidFill>
              <w14:schemeClr w14:val="tx1"/>
            </w14:solidFill>
          </w14:textFill>
        </w:rPr>
        <w:t>1.4 付款方式和发票开具方式</w:t>
      </w:r>
      <w:bookmarkEnd w:id="68"/>
      <w:bookmarkEnd w:id="69"/>
      <w:bookmarkEnd w:id="70"/>
      <w:bookmarkEnd w:id="71"/>
      <w:bookmarkEnd w:id="72"/>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1.4.3甲方迟延支付乙方款项的，向乙方支付逾期</w:t>
      </w:r>
      <w:r>
        <w:rPr>
          <w:rFonts w:hint="eastAsia" w:ascii="仿宋" w:hAnsi="仿宋" w:eastAsia="仿宋" w:cs="仿宋"/>
          <w:color w:val="000000" w:themeColor="text1"/>
          <w:kern w:val="2"/>
          <w:sz w:val="24"/>
          <w:szCs w:val="22"/>
          <w:lang w:val="en-US" w:eastAsia="zh-CN" w:bidi="ar-SA"/>
          <w14:textFill>
            <w14:solidFill>
              <w14:schemeClr w14:val="tx1"/>
            </w14:solidFill>
          </w14:textFill>
        </w:rPr>
        <w:t>利息。双方可以</w:t>
      </w:r>
      <w:r>
        <w:rPr>
          <w:rFonts w:hint="eastAsia" w:ascii="仿宋" w:hAnsi="仿宋" w:eastAsia="仿宋" w:cs="仿宋"/>
          <w:color w:val="000000" w:themeColor="text1"/>
          <w:sz w:val="24"/>
          <w14:textFill>
            <w14:solidFill>
              <w14:schemeClr w14:val="tx1"/>
            </w14:solidFill>
          </w14:textFill>
        </w:rPr>
        <w:t>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1.4.4资金支付的方式、时间和条件详见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outlineLvl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73" w:name="_Toc4760"/>
      <w:bookmarkStart w:id="74" w:name="_Toc31421"/>
      <w:bookmarkStart w:id="75" w:name="_Toc3625"/>
      <w:bookmarkStart w:id="76" w:name="_Toc11108"/>
      <w:bookmarkStart w:id="77" w:name="_Toc8772"/>
      <w:r>
        <w:rPr>
          <w:rFonts w:hint="eastAsia" w:ascii="仿宋" w:hAnsi="仿宋" w:eastAsia="仿宋" w:cs="仿宋"/>
          <w:b/>
          <w:color w:val="000000" w:themeColor="text1"/>
          <w:sz w:val="24"/>
          <w14:textFill>
            <w14:solidFill>
              <w14:schemeClr w14:val="tx1"/>
            </w14:solidFill>
          </w14:textFill>
        </w:rPr>
        <w:t>1.5 履行期限、地点和方式</w:t>
      </w:r>
      <w:bookmarkEnd w:id="73"/>
      <w:bookmarkEnd w:id="74"/>
      <w:bookmarkEnd w:id="75"/>
      <w:bookmarkEnd w:id="76"/>
      <w:bookmarkEnd w:id="77"/>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 履行期限：</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 履行地点：</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 履行方式：</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color w:val="000000" w:themeColor="text1"/>
          <w:sz w:val="24"/>
          <w:u w:val="single"/>
          <w14:textFill>
            <w14:solidFill>
              <w14:schemeClr w14:val="tx1"/>
            </w14:solidFill>
          </w14:textFill>
        </w:rPr>
      </w:pPr>
      <w:bookmarkStart w:id="78" w:name="_Toc8586"/>
      <w:bookmarkStart w:id="79" w:name="_Toc3079"/>
      <w:bookmarkStart w:id="80" w:name="_Toc5698"/>
      <w:bookmarkStart w:id="81" w:name="_Toc24662"/>
      <w:bookmarkStart w:id="82" w:name="_Toc2375"/>
      <w:r>
        <w:rPr>
          <w:rFonts w:hint="eastAsia" w:ascii="仿宋" w:hAnsi="仿宋" w:eastAsia="仿宋" w:cs="仿宋"/>
          <w:b/>
          <w:color w:val="000000" w:themeColor="text1"/>
          <w:sz w:val="24"/>
          <w14:textFill>
            <w14:solidFill>
              <w14:schemeClr w14:val="tx1"/>
            </w14:solidFill>
          </w14:textFill>
        </w:rPr>
        <w:t>1.6 违约责任</w:t>
      </w:r>
      <w:bookmarkEnd w:id="78"/>
      <w:bookmarkEnd w:id="79"/>
      <w:bookmarkEnd w:id="80"/>
      <w:bookmarkEnd w:id="81"/>
      <w:bookmarkEnd w:id="82"/>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000000" w:themeColor="text1"/>
          <w:sz w:val="24"/>
          <w:u w:val="single"/>
          <w14:textFill>
            <w14:solidFill>
              <w14:schemeClr w14:val="tx1"/>
            </w14:solidFill>
          </w14:textFill>
        </w:rPr>
        <w:t xml:space="preserve"> 0.05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u w:val="single"/>
          <w14:textFill>
            <w14:solidFill>
              <w14:schemeClr w14:val="tx1"/>
            </w14:solidFill>
          </w14:textFill>
        </w:rPr>
        <w:t xml:space="preserve"> 0.05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1.6.7违约责任</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83" w:name="_Toc32454"/>
      <w:bookmarkStart w:id="84" w:name="_Toc26807"/>
      <w:bookmarkStart w:id="85" w:name="_Toc30329"/>
      <w:bookmarkStart w:id="86" w:name="_Toc18683"/>
      <w:bookmarkStart w:id="87" w:name="_Toc9497"/>
      <w:r>
        <w:rPr>
          <w:rFonts w:hint="eastAsia" w:ascii="仿宋" w:hAnsi="仿宋" w:eastAsia="仿宋" w:cs="仿宋"/>
          <w:b/>
          <w:color w:val="000000" w:themeColor="text1"/>
          <w:sz w:val="24"/>
          <w14:textFill>
            <w14:solidFill>
              <w14:schemeClr w14:val="tx1"/>
            </w14:solidFill>
          </w14:textFill>
        </w:rPr>
        <w:t>1.7 合同争议的解决</w:t>
      </w:r>
      <w:bookmarkEnd w:id="83"/>
      <w:bookmarkEnd w:id="84"/>
      <w:bookmarkEnd w:id="85"/>
      <w:bookmarkEnd w:id="86"/>
      <w:bookmarkEnd w:id="87"/>
    </w:p>
    <w:p>
      <w:pPr>
        <w:spacing w:line="560" w:lineRule="exact"/>
        <w:ind w:left="-61" w:leftChars="-29" w:right="-420" w:rightChars="-200"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u w:val="single"/>
          <w14:textFill>
            <w14:solidFill>
              <w14:schemeClr w14:val="tx1"/>
            </w14:solidFill>
          </w14:textFill>
        </w:rPr>
        <w:t xml:space="preserve"> 合同专用条款  </w:t>
      </w:r>
      <w:r>
        <w:rPr>
          <w:rFonts w:hint="eastAsia" w:ascii="仿宋" w:hAnsi="仿宋" w:eastAsia="仿宋" w:cs="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 将争议提交</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 向</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人民法院起诉。</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88" w:name="_Toc16417"/>
      <w:bookmarkStart w:id="89" w:name="_Toc23784"/>
      <w:bookmarkStart w:id="90" w:name="_Toc12273"/>
      <w:bookmarkStart w:id="91" w:name="_Toc15827"/>
      <w:bookmarkStart w:id="92" w:name="_Toc26227"/>
      <w:r>
        <w:rPr>
          <w:rFonts w:hint="eastAsia" w:ascii="仿宋" w:hAnsi="仿宋" w:eastAsia="仿宋" w:cs="仿宋"/>
          <w:b/>
          <w:color w:val="000000" w:themeColor="text1"/>
          <w:sz w:val="24"/>
          <w14:textFill>
            <w14:solidFill>
              <w14:schemeClr w14:val="tx1"/>
            </w14:solidFill>
          </w14:textFill>
        </w:rPr>
        <w:t>1.8 合同生效</w:t>
      </w:r>
      <w:bookmarkEnd w:id="88"/>
      <w:bookmarkEnd w:id="89"/>
      <w:bookmarkEnd w:id="90"/>
      <w:bookmarkEnd w:id="91"/>
      <w:bookmarkEnd w:id="92"/>
    </w:p>
    <w:p>
      <w:pPr>
        <w:spacing w:line="560" w:lineRule="exact"/>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本合同自双方当事人盖章或者签字时生效。</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甲方</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b/>
          <w:color w:val="000000" w:themeColor="text1"/>
          <w:sz w:val="24"/>
          <w:lang w:val="zh-CN"/>
          <w14:textFill>
            <w14:solidFill>
              <w14:schemeClr w14:val="tx1"/>
            </w14:solidFill>
          </w14:textFill>
        </w:rPr>
        <w:t xml:space="preserve">      乙方</w:t>
      </w:r>
      <w:r>
        <w:rPr>
          <w:rFonts w:hint="eastAsia" w:ascii="仿宋" w:hAnsi="仿宋" w:eastAsia="仿宋" w:cs="仿宋"/>
          <w:color w:val="000000" w:themeColor="text1"/>
          <w:sz w:val="24"/>
          <w:lang w:val="zh-CN"/>
          <w14:textFill>
            <w14:solidFill>
              <w14:schemeClr w14:val="tx1"/>
            </w14:solidFill>
          </w14:textFill>
        </w:rPr>
        <w:t>：</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住所：                                   住所：</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联系人：                                 联系人：</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邮政编码：                               邮政编码：</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传真:                                    传真:</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电子邮箱：                               电子邮箱：</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开户银行：                               开户银行： </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开户名称：                               开户名称： </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开户账号：</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开户账号：</w:t>
      </w:r>
    </w:p>
    <w:p>
      <w:pPr>
        <w:widowControl/>
        <w:spacing w:line="560" w:lineRule="exact"/>
        <w:jc w:val="left"/>
        <w:rPr>
          <w:rFonts w:hint="eastAsia" w:ascii="仿宋" w:hAnsi="仿宋" w:eastAsia="仿宋" w:cs="仿宋"/>
          <w:b/>
          <w:color w:val="000000" w:themeColor="text1"/>
          <w:sz w:val="24"/>
          <w14:textFill>
            <w14:solidFill>
              <w14:schemeClr w14:val="tx1"/>
            </w14:solidFill>
          </w14:textFill>
        </w:rPr>
      </w:pPr>
    </w:p>
    <w:p>
      <w:pPr>
        <w:pStyle w:val="26"/>
        <w:spacing w:line="560" w:lineRule="exact"/>
        <w:ind w:firstLine="482"/>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93" w:name="_Toc31297"/>
      <w:bookmarkStart w:id="94" w:name="_Toc25079"/>
      <w:bookmarkStart w:id="95" w:name="_Toc19680"/>
      <w:bookmarkStart w:id="96" w:name="_Toc5228"/>
      <w:bookmarkStart w:id="97" w:name="_Toc14021"/>
      <w:r>
        <w:rPr>
          <w:rFonts w:hint="eastAsia" w:ascii="仿宋" w:hAnsi="仿宋" w:eastAsia="仿宋" w:cs="仿宋"/>
          <w:b/>
          <w:color w:val="000000" w:themeColor="text1"/>
          <w:sz w:val="24"/>
          <w14:textFill>
            <w14:solidFill>
              <w14:schemeClr w14:val="tx1"/>
            </w14:solidFill>
          </w14:textFill>
        </w:rPr>
        <w:t>2.1 定义</w:t>
      </w:r>
      <w:bookmarkEnd w:id="93"/>
      <w:bookmarkEnd w:id="94"/>
      <w:bookmarkEnd w:id="95"/>
      <w:bookmarkEnd w:id="96"/>
      <w:bookmarkEnd w:id="9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本合同中的下列词语应按以下内容进行解释：</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2.1.6 “现场”系指合同约定提供服务的地点。</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98" w:name="_Toc31402"/>
      <w:bookmarkStart w:id="99" w:name="_Toc23289"/>
      <w:bookmarkStart w:id="100" w:name="_Toc19539"/>
      <w:bookmarkStart w:id="101" w:name="_Toc3769"/>
      <w:bookmarkStart w:id="102" w:name="_Toc16752"/>
      <w:r>
        <w:rPr>
          <w:rFonts w:hint="eastAsia" w:ascii="仿宋" w:hAnsi="仿宋" w:eastAsia="仿宋" w:cs="仿宋"/>
          <w:b/>
          <w:color w:val="000000" w:themeColor="text1"/>
          <w:sz w:val="24"/>
          <w14:textFill>
            <w14:solidFill>
              <w14:schemeClr w14:val="tx1"/>
            </w14:solidFill>
          </w14:textFill>
        </w:rPr>
        <w:t>2.2 技术规范</w:t>
      </w:r>
      <w:bookmarkEnd w:id="98"/>
      <w:bookmarkEnd w:id="99"/>
      <w:bookmarkEnd w:id="100"/>
      <w:bookmarkEnd w:id="101"/>
      <w:bookmarkEnd w:id="102"/>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03" w:name="_Toc9161"/>
      <w:bookmarkStart w:id="104" w:name="_Toc27945"/>
      <w:bookmarkStart w:id="105" w:name="_Toc12412"/>
      <w:bookmarkStart w:id="106" w:name="_Toc4133"/>
      <w:bookmarkStart w:id="107" w:name="_Toc13673"/>
      <w:r>
        <w:rPr>
          <w:rFonts w:hint="eastAsia" w:ascii="仿宋" w:hAnsi="仿宋" w:eastAsia="仿宋" w:cs="仿宋"/>
          <w:b/>
          <w:color w:val="000000" w:themeColor="text1"/>
          <w:sz w:val="24"/>
          <w14:textFill>
            <w14:solidFill>
              <w14:schemeClr w14:val="tx1"/>
            </w14:solidFill>
          </w14:textFill>
        </w:rPr>
        <w:t>2.3 知识产权</w:t>
      </w:r>
      <w:bookmarkEnd w:id="103"/>
      <w:bookmarkEnd w:id="104"/>
      <w:bookmarkEnd w:id="105"/>
      <w:bookmarkEnd w:id="106"/>
      <w:bookmarkEnd w:id="10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2.4 履约检查和问题反馈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08" w:name="_Toc22011"/>
      <w:bookmarkStart w:id="109" w:name="_Toc32670"/>
      <w:bookmarkStart w:id="110" w:name="_Toc31233"/>
      <w:bookmarkStart w:id="111" w:name="_Toc26555"/>
      <w:bookmarkStart w:id="112" w:name="_Toc15447"/>
      <w:r>
        <w:rPr>
          <w:rFonts w:hint="eastAsia" w:ascii="仿宋" w:hAnsi="仿宋" w:eastAsia="仿宋" w:cs="仿宋"/>
          <w:b/>
          <w:color w:val="000000" w:themeColor="text1"/>
          <w:sz w:val="24"/>
          <w14:textFill>
            <w14:solidFill>
              <w14:schemeClr w14:val="tx1"/>
            </w14:solidFill>
          </w14:textFill>
        </w:rPr>
        <w:t>2.5 结算方式和付款条件</w:t>
      </w:r>
      <w:bookmarkEnd w:id="108"/>
      <w:bookmarkEnd w:id="109"/>
      <w:bookmarkEnd w:id="110"/>
      <w:bookmarkEnd w:id="111"/>
      <w:bookmarkEnd w:id="112"/>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13" w:name="_Toc13154"/>
      <w:bookmarkStart w:id="114" w:name="_Toc13467"/>
      <w:bookmarkStart w:id="115" w:name="_Toc30507"/>
      <w:bookmarkStart w:id="116" w:name="_Toc18990"/>
      <w:bookmarkStart w:id="117" w:name="_Toc16163"/>
      <w:r>
        <w:rPr>
          <w:rFonts w:hint="eastAsia" w:ascii="仿宋" w:hAnsi="仿宋" w:eastAsia="仿宋" w:cs="仿宋"/>
          <w:b/>
          <w:color w:val="000000" w:themeColor="text1"/>
          <w:sz w:val="24"/>
          <w14:textFill>
            <w14:solidFill>
              <w14:schemeClr w14:val="tx1"/>
            </w14:solidFill>
          </w14:textFill>
        </w:rPr>
        <w:t>2.6 技术资料和保密义务</w:t>
      </w:r>
      <w:bookmarkEnd w:id="113"/>
      <w:bookmarkEnd w:id="114"/>
      <w:bookmarkEnd w:id="115"/>
      <w:bookmarkEnd w:id="116"/>
      <w:bookmarkEnd w:id="11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18" w:name="_Toc19069"/>
      <w:r>
        <w:rPr>
          <w:rFonts w:hint="eastAsia" w:ascii="仿宋" w:hAnsi="仿宋" w:eastAsia="仿宋" w:cs="仿宋"/>
          <w:b/>
          <w:color w:val="000000" w:themeColor="text1"/>
          <w:sz w:val="24"/>
          <w14:textFill>
            <w14:solidFill>
              <w14:schemeClr w14:val="tx1"/>
            </w14:solidFill>
          </w14:textFill>
        </w:rPr>
        <w:t>2.7 质量保证</w:t>
      </w:r>
      <w:bookmarkEnd w:id="118"/>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19" w:name="_Toc22267"/>
      <w:r>
        <w:rPr>
          <w:rFonts w:hint="eastAsia" w:ascii="仿宋" w:hAnsi="仿宋" w:eastAsia="仿宋" w:cs="仿宋"/>
          <w:b/>
          <w:color w:val="000000" w:themeColor="text1"/>
          <w:sz w:val="24"/>
          <w14:textFill>
            <w14:solidFill>
              <w14:schemeClr w14:val="tx1"/>
            </w14:solidFill>
          </w14:textFill>
        </w:rPr>
        <w:t>2.8 延迟履行</w:t>
      </w:r>
      <w:bookmarkEnd w:id="119"/>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20" w:name="_Toc10611"/>
      <w:r>
        <w:rPr>
          <w:rFonts w:hint="eastAsia" w:ascii="仿宋" w:hAnsi="仿宋" w:eastAsia="仿宋" w:cs="仿宋"/>
          <w:b/>
          <w:color w:val="000000" w:themeColor="text1"/>
          <w:sz w:val="24"/>
          <w14:textFill>
            <w14:solidFill>
              <w14:schemeClr w14:val="tx1"/>
            </w14:solidFill>
          </w14:textFill>
        </w:rPr>
        <w:t>2.9 合同变更</w:t>
      </w:r>
      <w:bookmarkEnd w:id="120"/>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21" w:name="_Toc10663"/>
      <w:bookmarkStart w:id="122" w:name="_Toc21830"/>
      <w:bookmarkStart w:id="123" w:name="_Toc26689"/>
      <w:bookmarkStart w:id="124" w:name="_Toc23368"/>
      <w:bookmarkStart w:id="125" w:name="_Toc42"/>
      <w:r>
        <w:rPr>
          <w:rFonts w:hint="eastAsia" w:ascii="仿宋" w:hAnsi="仿宋" w:eastAsia="仿宋" w:cs="仿宋"/>
          <w:b/>
          <w:color w:val="000000" w:themeColor="text1"/>
          <w:sz w:val="24"/>
          <w14:textFill>
            <w14:solidFill>
              <w14:schemeClr w14:val="tx1"/>
            </w14:solidFill>
          </w14:textFill>
        </w:rPr>
        <w:t>2.10 合同转让和分包</w:t>
      </w:r>
      <w:bookmarkEnd w:id="121"/>
      <w:bookmarkEnd w:id="122"/>
      <w:bookmarkEnd w:id="123"/>
      <w:bookmarkEnd w:id="124"/>
      <w:bookmarkEnd w:id="125"/>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26" w:name="_Toc32494"/>
      <w:bookmarkStart w:id="127" w:name="_Toc14371"/>
      <w:bookmarkStart w:id="128" w:name="_Toc25571"/>
      <w:bookmarkStart w:id="129" w:name="_Toc4720"/>
      <w:bookmarkStart w:id="130" w:name="_Toc26633"/>
      <w:r>
        <w:rPr>
          <w:rFonts w:hint="eastAsia" w:ascii="仿宋" w:hAnsi="仿宋" w:eastAsia="仿宋" w:cs="仿宋"/>
          <w:b/>
          <w:color w:val="000000" w:themeColor="text1"/>
          <w:sz w:val="24"/>
          <w14:textFill>
            <w14:solidFill>
              <w14:schemeClr w14:val="tx1"/>
            </w14:solidFill>
          </w14:textFill>
        </w:rPr>
        <w:t>2.11 不可抗力</w:t>
      </w:r>
      <w:bookmarkEnd w:id="126"/>
      <w:bookmarkEnd w:id="127"/>
      <w:bookmarkEnd w:id="128"/>
      <w:bookmarkEnd w:id="129"/>
      <w:bookmarkEnd w:id="130"/>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约定时间内以书面形式变更合同；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约定时间内以书面形式通知对方当事人，并在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约定时间内，将有关部门出具的证明文件送达对方当事人。</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31" w:name="_Toc24465"/>
      <w:bookmarkStart w:id="132" w:name="_Toc23854"/>
      <w:bookmarkStart w:id="133" w:name="_Toc25783"/>
      <w:bookmarkStart w:id="134" w:name="_Toc14115"/>
      <w:bookmarkStart w:id="135" w:name="_Toc3638"/>
      <w:r>
        <w:rPr>
          <w:rFonts w:hint="eastAsia" w:ascii="仿宋" w:hAnsi="仿宋" w:eastAsia="仿宋" w:cs="仿宋"/>
          <w:b/>
          <w:color w:val="000000" w:themeColor="text1"/>
          <w:sz w:val="24"/>
          <w14:textFill>
            <w14:solidFill>
              <w14:schemeClr w14:val="tx1"/>
            </w14:solidFill>
          </w14:textFill>
        </w:rPr>
        <w:t>2.12 税费</w:t>
      </w:r>
      <w:bookmarkEnd w:id="131"/>
      <w:bookmarkEnd w:id="132"/>
      <w:bookmarkEnd w:id="133"/>
      <w:bookmarkEnd w:id="134"/>
      <w:bookmarkEnd w:id="135"/>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36" w:name="_Toc25525"/>
      <w:bookmarkStart w:id="137" w:name="_Toc26883"/>
      <w:bookmarkStart w:id="138" w:name="_Toc14814"/>
      <w:bookmarkStart w:id="139" w:name="_Toc30105"/>
      <w:bookmarkStart w:id="140" w:name="_Toc7315"/>
      <w:r>
        <w:rPr>
          <w:rFonts w:hint="eastAsia" w:ascii="仿宋" w:hAnsi="仿宋" w:eastAsia="仿宋" w:cs="仿宋"/>
          <w:b/>
          <w:color w:val="000000" w:themeColor="text1"/>
          <w:sz w:val="24"/>
          <w14:textFill>
            <w14:solidFill>
              <w14:schemeClr w14:val="tx1"/>
            </w14:solidFill>
          </w14:textFill>
        </w:rPr>
        <w:t>2.13 乙方破产</w:t>
      </w:r>
      <w:bookmarkEnd w:id="136"/>
      <w:bookmarkEnd w:id="137"/>
      <w:bookmarkEnd w:id="138"/>
      <w:bookmarkEnd w:id="139"/>
      <w:bookmarkEnd w:id="140"/>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41" w:name="_Toc2016"/>
      <w:bookmarkStart w:id="142" w:name="_Toc1123"/>
      <w:bookmarkStart w:id="143" w:name="_Toc23323"/>
      <w:r>
        <w:rPr>
          <w:rFonts w:hint="eastAsia" w:ascii="仿宋" w:hAnsi="仿宋" w:eastAsia="仿宋" w:cs="仿宋"/>
          <w:b/>
          <w:color w:val="000000" w:themeColor="text1"/>
          <w:sz w:val="24"/>
          <w14:textFill>
            <w14:solidFill>
              <w14:schemeClr w14:val="tx1"/>
            </w14:solidFill>
          </w14:textFill>
        </w:rPr>
        <w:t>2.14 合同中止、终止</w:t>
      </w:r>
      <w:bookmarkEnd w:id="141"/>
      <w:bookmarkEnd w:id="142"/>
      <w:bookmarkEnd w:id="143"/>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44" w:name="_Toc14525"/>
      <w:bookmarkStart w:id="145" w:name="_Toc17363"/>
      <w:bookmarkStart w:id="146" w:name="_Toc1969"/>
      <w:r>
        <w:rPr>
          <w:rFonts w:hint="eastAsia" w:ascii="仿宋" w:hAnsi="仿宋" w:eastAsia="仿宋" w:cs="仿宋"/>
          <w:b/>
          <w:color w:val="000000" w:themeColor="text1"/>
          <w:sz w:val="24"/>
          <w14:textFill>
            <w14:solidFill>
              <w14:schemeClr w14:val="tx1"/>
            </w14:solidFill>
          </w14:textFill>
        </w:rPr>
        <w:t>2.15 检验和验收</w:t>
      </w:r>
      <w:bookmarkEnd w:id="144"/>
      <w:bookmarkEnd w:id="145"/>
      <w:bookmarkEnd w:id="146"/>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2.15.1 乙方按照</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的约定，定期提交服务报告，甲方按照</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i/>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47" w:name="_Toc12666"/>
      <w:bookmarkStart w:id="148" w:name="_Toc9808"/>
      <w:bookmarkStart w:id="149" w:name="_Toc2308"/>
      <w:bookmarkStart w:id="150" w:name="_Toc25198"/>
      <w:bookmarkStart w:id="151" w:name="_Toc31892"/>
      <w:r>
        <w:rPr>
          <w:rFonts w:hint="eastAsia" w:ascii="仿宋" w:hAnsi="仿宋" w:eastAsia="仿宋" w:cs="仿宋"/>
          <w:b/>
          <w:color w:val="000000" w:themeColor="text1"/>
          <w:sz w:val="24"/>
          <w14:textFill>
            <w14:solidFill>
              <w14:schemeClr w14:val="tx1"/>
            </w14:solidFill>
          </w14:textFill>
        </w:rPr>
        <w:t>2.16 通知和送达</w:t>
      </w:r>
      <w:bookmarkEnd w:id="147"/>
      <w:bookmarkEnd w:id="148"/>
      <w:bookmarkEnd w:id="149"/>
      <w:bookmarkEnd w:id="150"/>
      <w:bookmarkEnd w:id="151"/>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152" w:name="_Toc18401"/>
      <w:bookmarkStart w:id="153" w:name="_Toc27674"/>
      <w:r>
        <w:rPr>
          <w:rFonts w:hint="eastAsia"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 xml:space="preserve">.1任何一方因履行合同而以合同第一部分尾部所列明的传真或电子邮件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2"/>
      <w:bookmarkEnd w:id="153"/>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54" w:name="_Toc28906"/>
      <w:bookmarkStart w:id="155" w:name="_Toc5063"/>
      <w:bookmarkStart w:id="156" w:name="_Toc27644"/>
      <w:bookmarkStart w:id="157" w:name="_Toc20808"/>
      <w:bookmarkStart w:id="158" w:name="_Toc12254"/>
      <w:r>
        <w:rPr>
          <w:rFonts w:hint="eastAsia" w:ascii="仿宋" w:hAnsi="仿宋" w:eastAsia="仿宋" w:cs="仿宋"/>
          <w:b/>
          <w:color w:val="000000" w:themeColor="text1"/>
          <w:sz w:val="24"/>
          <w14:textFill>
            <w14:solidFill>
              <w14:schemeClr w14:val="tx1"/>
            </w14:solidFill>
          </w14:textFill>
        </w:rPr>
        <w:t>2.17 合同使用的文字和适用的法律</w:t>
      </w:r>
      <w:bookmarkEnd w:id="154"/>
      <w:bookmarkEnd w:id="155"/>
      <w:bookmarkEnd w:id="156"/>
      <w:bookmarkEnd w:id="157"/>
      <w:bookmarkEnd w:id="158"/>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2.17.1 合同使用汉语书就、变更和解释；</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2.17.2 合同适用中华人民共和国法律。</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59" w:name="_Toc22266"/>
      <w:bookmarkStart w:id="160" w:name="_Toc30096"/>
      <w:bookmarkStart w:id="161" w:name="_Toc27127"/>
      <w:bookmarkStart w:id="162" w:name="_Toc27403"/>
      <w:bookmarkStart w:id="163" w:name="_Toc1492"/>
      <w:r>
        <w:rPr>
          <w:rFonts w:hint="eastAsia" w:ascii="仿宋" w:hAnsi="仿宋" w:eastAsia="仿宋" w:cs="仿宋"/>
          <w:b/>
          <w:color w:val="000000" w:themeColor="text1"/>
          <w:sz w:val="24"/>
          <w14:textFill>
            <w14:solidFill>
              <w14:schemeClr w14:val="tx1"/>
            </w14:solidFill>
          </w14:textFill>
        </w:rPr>
        <w:t>2.18 履约保证金</w:t>
      </w:r>
      <w:bookmarkEnd w:id="159"/>
      <w:bookmarkEnd w:id="160"/>
      <w:bookmarkEnd w:id="161"/>
      <w:bookmarkEnd w:id="162"/>
      <w:bookmarkEnd w:id="163"/>
    </w:p>
    <w:p>
      <w:pPr>
        <w:pStyle w:val="35"/>
        <w:spacing w:before="0" w:beforeAutospacing="0" w:after="0" w:afterAutospacing="0" w:line="360" w:lineRule="auto"/>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2.18.1 采购文件要求乙方提交履约保证金的，乙方应按</w:t>
      </w:r>
      <w:r>
        <w:rPr>
          <w:rFonts w:hint="eastAsia" w:ascii="仿宋" w:hAnsi="仿宋" w:eastAsia="仿宋" w:cs="仿宋"/>
          <w:b/>
          <w:i/>
          <w:color w:val="000000" w:themeColor="text1"/>
          <w:kern w:val="2"/>
          <w:sz w:val="24"/>
          <w:szCs w:val="22"/>
          <w:u w:val="single"/>
          <w:lang w:val="en-US" w:eastAsia="zh-CN" w:bidi="ar-SA"/>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2.18.2  履约保证金在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hint="eastAsia" w:ascii="仿宋" w:hAnsi="仿宋" w:eastAsia="仿宋" w:cs="仿宋"/>
          <w:color w:val="000000" w:themeColor="text1"/>
          <w:sz w:val="24"/>
          <w:u w:val="single"/>
          <w14:textFill>
            <w14:solidFill>
              <w14:schemeClr w14:val="tx1"/>
            </w14:solidFill>
          </w14:textFill>
        </w:rPr>
        <w:t xml:space="preserve"> 5 </w:t>
      </w:r>
      <w:r>
        <w:rPr>
          <w:rFonts w:hint="eastAsia" w:ascii="仿宋" w:hAnsi="仿宋" w:eastAsia="仿宋" w:cs="仿宋"/>
          <w:color w:val="000000" w:themeColor="text1"/>
          <w:sz w:val="24"/>
          <w14:textFill>
            <w14:solidFill>
              <w14:schemeClr w14:val="tx1"/>
            </w14:solidFill>
          </w14:textFill>
        </w:rPr>
        <w:t>个工作日内，按</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u w:val="single"/>
          <w14:textFill>
            <w14:solidFill>
              <w14:schemeClr w14:val="tx1"/>
            </w14:solidFill>
          </w14:textFill>
        </w:rPr>
        <w:t xml:space="preserve">  0.05  </w:t>
      </w:r>
      <w:r>
        <w:rPr>
          <w:rFonts w:hint="eastAsia" w:ascii="仿宋" w:hAnsi="仿宋" w:eastAsia="仿宋" w:cs="仿宋"/>
          <w:color w:val="000000" w:themeColor="text1"/>
          <w:sz w:val="24"/>
          <w14:textFill>
            <w14:solidFill>
              <w14:schemeClr w14:val="tx1"/>
            </w14:solidFill>
          </w14:textFill>
        </w:rPr>
        <w:t>%计算，最高限额为本合同履约保证金的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 xml:space="preserve">%； </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.4 甲方根据杭州市政府采购网公布的供应商履约评价情况减免履约保证金。乙方履约验收评价总分为100分的，甲方免收履约保证金。</w:t>
      </w:r>
    </w:p>
    <w:p>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合同份数按</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规定，每份均具有同等法律效力。</w:t>
      </w:r>
    </w:p>
    <w:p>
      <w:pPr>
        <w:pStyle w:val="26"/>
        <w:spacing w:line="560" w:lineRule="exact"/>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第三部分  ※合同专用条款</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条款号</w:t>
            </w:r>
          </w:p>
        </w:tc>
        <w:tc>
          <w:tcPr>
            <w:tcW w:w="8210" w:type="dxa"/>
            <w:vAlign w:val="center"/>
          </w:tcPr>
          <w:p>
            <w:pPr>
              <w:spacing w:line="5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1.4.4</w:t>
            </w:r>
          </w:p>
        </w:tc>
        <w:tc>
          <w:tcPr>
            <w:tcW w:w="8210" w:type="dxa"/>
            <w:vAlign w:val="center"/>
          </w:tcPr>
          <w:p>
            <w:pPr>
              <w:spacing w:line="560" w:lineRule="exact"/>
              <w:rPr>
                <w:rFonts w:hint="eastAsia"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支付方式：第一期：合同签订后</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lang w:eastAsia="zh-CN"/>
                <w14:textFill>
                  <w14:solidFill>
                    <w14:schemeClr w14:val="tx1"/>
                  </w14:solidFill>
                </w14:textFill>
              </w:rPr>
              <w:t>个工作日内，支付合同总金额的</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0％；</w:t>
            </w:r>
            <w:r>
              <w:rPr>
                <w:rFonts w:hint="eastAsia" w:ascii="仿宋" w:hAnsi="仿宋" w:eastAsia="仿宋" w:cs="仿宋"/>
                <w:color w:val="000000" w:themeColor="text1"/>
                <w:sz w:val="24"/>
                <w:highlight w:val="none"/>
                <w:lang w:eastAsia="zh-CN"/>
                <w14:textFill>
                  <w14:solidFill>
                    <w14:schemeClr w14:val="tx1"/>
                  </w14:solidFill>
                </w14:textFill>
              </w:rPr>
              <w:br w:type="textWrapping"/>
            </w:r>
            <w:r>
              <w:rPr>
                <w:rFonts w:hint="eastAsia" w:ascii="仿宋" w:hAnsi="仿宋" w:eastAsia="仿宋" w:cs="仿宋"/>
                <w:color w:val="000000" w:themeColor="text1"/>
                <w:sz w:val="24"/>
                <w:highlight w:val="none"/>
                <w:lang w:eastAsia="zh-CN"/>
                <w14:textFill>
                  <w14:solidFill>
                    <w14:schemeClr w14:val="tx1"/>
                  </w14:solidFill>
                </w14:textFill>
              </w:rPr>
              <w:t>第二期：项目验收后，根据实际完成数量及中标单价结算剩余款项。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w:t>
            </w:r>
          </w:p>
        </w:tc>
        <w:tc>
          <w:tcPr>
            <w:tcW w:w="8210" w:type="dxa"/>
            <w:vAlign w:val="center"/>
          </w:tcPr>
          <w:p>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履行期限</w:t>
            </w:r>
            <w:r>
              <w:rPr>
                <w:rFonts w:hint="eastAsia" w:ascii="仿宋" w:hAnsi="仿宋" w:eastAsia="仿宋" w:cs="仿宋"/>
                <w:sz w:val="24"/>
                <w:highlight w:val="none"/>
                <w:lang w:eastAsia="zh-CN"/>
              </w:rPr>
              <w:t>：合同签订生效后30天内设备全部到场安装调试完成，正常运行后，通过初验；合同签订生效后45天内，通过终验。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w:t>
            </w:r>
          </w:p>
        </w:tc>
        <w:tc>
          <w:tcPr>
            <w:tcW w:w="8210" w:type="dxa"/>
            <w:vAlign w:val="center"/>
          </w:tcPr>
          <w:p>
            <w:pPr>
              <w:pStyle w:val="5"/>
              <w:numPr>
                <w:ilvl w:val="0"/>
                <w:numId w:val="0"/>
              </w:numPr>
              <w:ind w:leftChars="0"/>
              <w:rPr>
                <w:rFonts w:hint="eastAsia" w:ascii="仿宋" w:hAnsi="仿宋" w:eastAsia="仿宋" w:cs="仿宋"/>
                <w:b w:val="0"/>
                <w:bCs w:val="0"/>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2"/>
                <w:highlight w:val="none"/>
                <w:lang w:val="en-US" w:eastAsia="zh-CN" w:bidi="ar-SA"/>
                <w14:textFill>
                  <w14:solidFill>
                    <w14:schemeClr w14:val="tx1"/>
                  </w14:solidFill>
                </w14:textFill>
              </w:rPr>
              <w:t>履行地点：甲方指定地点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w:t>
            </w:r>
          </w:p>
        </w:tc>
        <w:tc>
          <w:tcPr>
            <w:tcW w:w="8210" w:type="dxa"/>
            <w:vAlign w:val="center"/>
          </w:tcPr>
          <w:p>
            <w:pPr>
              <w:spacing w:line="56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履行方式：</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1.6.7</w:t>
            </w:r>
          </w:p>
        </w:tc>
        <w:tc>
          <w:tcPr>
            <w:tcW w:w="8210" w:type="dxa"/>
            <w:vAlign w:val="center"/>
          </w:tcPr>
          <w:p>
            <w:pPr>
              <w:spacing w:line="560" w:lineRule="exact"/>
              <w:rPr>
                <w:rFonts w:hint="eastAsia" w:ascii="仿宋" w:hAnsi="仿宋" w:eastAsia="仿宋" w:cs="仿宋"/>
                <w:color w:val="000000" w:themeColor="text1"/>
                <w:sz w:val="24"/>
                <w:u w:val="single"/>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tc>
        <w:tc>
          <w:tcPr>
            <w:tcW w:w="8210" w:type="dxa"/>
            <w:vAlign w:val="center"/>
          </w:tcPr>
          <w:p>
            <w:pPr>
              <w:spacing w:line="56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结算方式和付款条件</w:t>
            </w:r>
            <w:r>
              <w:rPr>
                <w:rFonts w:hint="eastAsia" w:ascii="仿宋" w:hAnsi="仿宋" w:eastAsia="仿宋" w:cs="仿宋"/>
                <w:color w:val="000000" w:themeColor="text1"/>
                <w:sz w:val="24"/>
                <w:highlight w:val="none"/>
                <w:lang w:val="en-US" w:eastAsia="zh-CN"/>
                <w14:textFill>
                  <w14:solidFill>
                    <w14:schemeClr w14:val="tx1"/>
                  </w14:solidFill>
                </w14:textFill>
              </w:rPr>
              <w:t>:第一期：合同签订后7个工作日内，支付合同总金额的60％；第二期：项目验收后，根据实际完成数量及中标单价结算剩余款项。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2.15.3</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w:t>
            </w:r>
            <w:r>
              <w:rPr>
                <w:rFonts w:hint="eastAsia" w:ascii="仿宋" w:hAnsi="仿宋" w:eastAsia="仿宋" w:cs="仿宋"/>
                <w:color w:val="000000" w:themeColor="text1"/>
                <w:sz w:val="24"/>
                <w:highlight w:val="none"/>
                <w:lang w:val="en-US" w:eastAsia="zh-CN"/>
                <w14:textFill>
                  <w14:solidFill>
                    <w14:schemeClr w14:val="tx1"/>
                  </w14:solidFill>
                </w14:textFill>
              </w:rPr>
              <w:t>:按杭州市验收管理办法执行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2.18.1</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履约保证金：</w:t>
            </w:r>
            <w:r>
              <w:rPr>
                <w:rFonts w:hint="eastAsia" w:ascii="仿宋" w:hAnsi="仿宋" w:eastAsia="仿宋" w:cs="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2.19</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本合同一式陆份，甲方执肆份、乙方执贰份。</w:t>
            </w:r>
          </w:p>
        </w:tc>
      </w:tr>
    </w:tbl>
    <w:p>
      <w:pPr>
        <w:pStyle w:val="8"/>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6"/>
          <w:szCs w:val="36"/>
          <w:lang w:val="zh-CN"/>
        </w:rPr>
      </w:pPr>
    </w:p>
    <w:p>
      <w:pPr>
        <w:pStyle w:val="9"/>
        <w:ind w:left="0" w:leftChars="0" w:firstLine="0" w:firstLineChars="0"/>
        <w:jc w:val="center"/>
        <w:rPr>
          <w:rFonts w:hint="eastAsia" w:ascii="仿宋" w:hAnsi="仿宋" w:eastAsia="仿宋" w:cs="仿宋"/>
          <w:b/>
          <w:color w:val="000000" w:themeColor="text1"/>
          <w:sz w:val="36"/>
          <w:szCs w:val="20"/>
          <w14:textFill>
            <w14:solidFill>
              <w14:schemeClr w14:val="tx1"/>
            </w14:solidFill>
          </w14:textFill>
        </w:rPr>
      </w:pPr>
    </w:p>
    <w:p>
      <w:pPr>
        <w:pStyle w:val="9"/>
        <w:ind w:left="0" w:leftChars="0" w:firstLine="0" w:firstLineChars="0"/>
        <w:jc w:val="center"/>
        <w:rPr>
          <w:rFonts w:hint="eastAsia" w:ascii="仿宋" w:hAnsi="仿宋" w:eastAsia="仿宋" w:cs="仿宋"/>
          <w:sz w:val="36"/>
          <w:szCs w:val="36"/>
          <w:lang w:val="zh-CN"/>
        </w:rPr>
      </w:pPr>
      <w:r>
        <w:rPr>
          <w:rFonts w:hint="eastAsia" w:ascii="仿宋" w:hAnsi="仿宋" w:eastAsia="仿宋" w:cs="仿宋"/>
          <w:b/>
          <w:color w:val="000000" w:themeColor="text1"/>
          <w:sz w:val="36"/>
          <w:szCs w:val="20"/>
          <w14:textFill>
            <w14:solidFill>
              <w14:schemeClr w14:val="tx1"/>
            </w14:solidFill>
          </w14:textFill>
        </w:rPr>
        <w:t>第</w:t>
      </w:r>
      <w:r>
        <w:rPr>
          <w:rFonts w:hint="eastAsia" w:ascii="仿宋" w:hAnsi="仿宋" w:eastAsia="仿宋" w:cs="仿宋"/>
          <w:b/>
          <w:color w:val="000000" w:themeColor="text1"/>
          <w:sz w:val="36"/>
          <w:szCs w:val="20"/>
          <w:lang w:eastAsia="zh-CN"/>
          <w14:textFill>
            <w14:solidFill>
              <w14:schemeClr w14:val="tx1"/>
            </w14:solidFill>
          </w14:textFill>
        </w:rPr>
        <w:t>七</w:t>
      </w:r>
      <w:r>
        <w:rPr>
          <w:rFonts w:hint="eastAsia" w:ascii="仿宋" w:hAnsi="仿宋" w:eastAsia="仿宋" w:cs="仿宋"/>
          <w:b/>
          <w:color w:val="000000" w:themeColor="text1"/>
          <w:sz w:val="36"/>
          <w:szCs w:val="20"/>
          <w14:textFill>
            <w14:solidFill>
              <w14:schemeClr w14:val="tx1"/>
            </w14:solidFill>
          </w14:textFill>
        </w:rPr>
        <w:t>部分 应提交的有关格式范例</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（2）落实政府采购政策需满足的资格要求………………………………（页码）</w:t>
      </w:r>
    </w:p>
    <w:p>
      <w:pPr>
        <w:adjustRightInd w:val="0"/>
        <w:snapToGrid w:val="0"/>
        <w:spacing w:line="360" w:lineRule="auto"/>
        <w:rPr>
          <w:rFonts w:hint="eastAsia" w:ascii="仿宋" w:hAnsi="仿宋" w:eastAsia="仿宋" w:cs="仿宋"/>
          <w:color w:val="FF0000"/>
          <w:kern w:val="0"/>
          <w:sz w:val="24"/>
          <w:szCs w:val="24"/>
        </w:rPr>
      </w:pPr>
      <w:r>
        <w:rPr>
          <w:rFonts w:hint="eastAsia" w:ascii="仿宋" w:hAnsi="仿宋" w:eastAsia="仿宋" w:cs="仿宋"/>
          <w:color w:val="000000" w:themeColor="text1"/>
          <w:sz w:val="24"/>
          <w14:textFill>
            <w14:solidFill>
              <w14:schemeClr w14:val="tx1"/>
            </w14:solidFill>
          </w14:textFill>
        </w:rPr>
        <w:t>（3）本项目的特定资格要求………………………………………………（页码）</w:t>
      </w:r>
    </w:p>
    <w:p>
      <w:pPr>
        <w:pStyle w:val="8"/>
        <w:rPr>
          <w:rFonts w:hint="eastAsia" w:ascii="仿宋" w:hAnsi="仿宋" w:eastAsia="仿宋" w:cs="仿宋"/>
        </w:rPr>
      </w:pPr>
    </w:p>
    <w:p>
      <w:pPr>
        <w:pStyle w:val="8"/>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rPr>
          <w:rFonts w:hint="eastAsia" w:ascii="仿宋" w:hAnsi="仿宋" w:eastAsia="仿宋" w:cs="仿宋"/>
          <w:b/>
          <w:bCs/>
          <w:sz w:val="24"/>
        </w:rPr>
      </w:pPr>
    </w:p>
    <w:p>
      <w:pPr>
        <w:pStyle w:val="9"/>
        <w:rPr>
          <w:rFonts w:hint="eastAsia" w:ascii="仿宋" w:hAnsi="仿宋" w:eastAsia="仿宋" w:cs="仿宋"/>
        </w:rPr>
      </w:pPr>
    </w:p>
    <w:p>
      <w:pPr>
        <w:pStyle w:val="9"/>
        <w:ind w:left="0" w:leftChars="0" w:firstLine="0" w:firstLineChars="0"/>
        <w:rPr>
          <w:rFonts w:hint="eastAsia" w:ascii="仿宋" w:hAnsi="仿宋" w:eastAsia="仿宋" w:cs="仿宋"/>
          <w:b/>
          <w:bCs/>
          <w:sz w:val="24"/>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项目【招标编号：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】政府采购活动，郑重承诺：</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5、参加政府采购活动前三年内，在经营活动中没有重大违法记录；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响应供应商名称(电子签名)：</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pStyle w:val="5"/>
        <w:numPr>
          <w:ilvl w:val="0"/>
          <w:numId w:val="0"/>
        </w:numPr>
        <w:ind w:leftChars="0"/>
        <w:rPr>
          <w:rFonts w:hint="eastAsia" w:ascii="仿宋" w:hAnsi="仿宋" w:eastAsia="仿宋" w:cs="仿宋"/>
        </w:rPr>
      </w:pPr>
    </w:p>
    <w:p>
      <w:pPr>
        <w:rPr>
          <w:rFonts w:hint="eastAsia" w:ascii="仿宋" w:hAnsi="仿宋" w:eastAsia="仿宋" w:cs="仿宋"/>
          <w:color w:val="000000" w:themeColor="text1"/>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二、落实政府采购政策需满足的资格要求</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公告落实政府采购政策需满足的资格要求选择提供相应的材料；未要求的，无需提供）</w:t>
      </w:r>
    </w:p>
    <w:p>
      <w:pPr>
        <w:snapToGrid w:val="0"/>
        <w:spacing w:before="50" w:after="50"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b/>
          <w:color w:val="000000" w:themeColor="text1"/>
          <w:kern w:val="0"/>
          <w:sz w:val="32"/>
          <w:szCs w:val="32"/>
          <w:lang w:val="zh-CN"/>
          <w14:textFill>
            <w14:solidFill>
              <w14:schemeClr w14:val="tx1"/>
            </w14:solidFill>
          </w14:textFill>
        </w:rPr>
        <w:t>联合协议</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投标。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w:t>
      </w: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C、</w:t>
      </w:r>
      <w:r>
        <w:rPr>
          <w:rFonts w:hint="eastAsia" w:ascii="仿宋" w:hAnsi="仿宋" w:eastAsia="仿宋" w:cs="仿宋"/>
          <w:color w:val="000000" w:themeColor="text1"/>
          <w:sz w:val="24"/>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u w:val="single"/>
          <w:lang w:val="zh-CN"/>
          <w14:textFill>
            <w14:solidFill>
              <w14:schemeClr w14:val="tx1"/>
            </w14:solidFill>
          </w14:textFill>
        </w:rPr>
        <w:t>响应供应商</w:t>
      </w:r>
      <w:r>
        <w:rPr>
          <w:rFonts w:hint="eastAsia" w:ascii="仿宋" w:hAnsi="仿宋" w:eastAsia="仿宋" w:cs="仿宋"/>
          <w:color w:val="000000" w:themeColor="text1"/>
          <w:kern w:val="0"/>
          <w:sz w:val="24"/>
          <w:u w:val="single"/>
          <w14:textFill>
            <w14:solidFill>
              <w14:schemeClr w14:val="tx1"/>
            </w14:solidFill>
          </w14:textFill>
        </w:rPr>
        <w:t>名称）</w:t>
      </w:r>
      <w:r>
        <w:rPr>
          <w:rFonts w:hint="eastAsia" w:ascii="仿宋" w:hAnsi="仿宋" w:eastAsia="仿宋" w:cs="仿宋"/>
          <w:color w:val="000000" w:themeColor="text1"/>
          <w:kern w:val="0"/>
          <w:sz w:val="24"/>
          <w:lang w:val="zh-CN"/>
          <w14:textFill>
            <w14:solidFill>
              <w14:schemeClr w14:val="tx1"/>
            </w14:solidFill>
          </w14:textFill>
        </w:rPr>
        <w:t>若成为</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u w:val="single"/>
          <w:lang w:val="zh-CN"/>
          <w14:textFill>
            <w14:solidFill>
              <w14:schemeClr w14:val="tx1"/>
            </w14:solidFill>
          </w14:textFill>
        </w:rPr>
        <w:t>响应供应商</w:t>
      </w:r>
      <w:r>
        <w:rPr>
          <w:rFonts w:hint="eastAsia" w:ascii="仿宋" w:hAnsi="仿宋" w:eastAsia="仿宋" w:cs="仿宋"/>
          <w:color w:val="000000" w:themeColor="text1"/>
          <w:kern w:val="0"/>
          <w:sz w:val="24"/>
          <w:u w:val="single"/>
          <w14:textFill>
            <w14:solidFill>
              <w14:schemeClr w14:val="tx1"/>
            </w14:solidFill>
          </w14:textFill>
        </w:rPr>
        <w:t>名称）</w:t>
      </w:r>
      <w:r>
        <w:rPr>
          <w:rFonts w:hint="eastAsia" w:ascii="仿宋" w:hAnsi="仿宋" w:eastAsia="仿宋" w:cs="仿宋"/>
          <w:color w:val="000000" w:themeColor="text1"/>
          <w:kern w:val="0"/>
          <w:sz w:val="24"/>
          <w14:textFill>
            <w14:solidFill>
              <w14:schemeClr w14:val="tx1"/>
            </w14:solidFill>
          </w14:textFill>
        </w:rPr>
        <w:t>与</w:t>
      </w:r>
      <w:r>
        <w:rPr>
          <w:rFonts w:hint="eastAsia" w:ascii="仿宋" w:hAnsi="仿宋" w:eastAsia="仿宋" w:cs="仿宋"/>
          <w:color w:val="000000" w:themeColor="text1"/>
          <w:kern w:val="0"/>
          <w:sz w:val="24"/>
          <w:u w:val="single"/>
          <w14:textFill>
            <w14:solidFill>
              <w14:schemeClr w14:val="tx1"/>
            </w14:solidFill>
          </w14:textFill>
        </w:rPr>
        <w:t>（所有分包供应商名称）</w:t>
      </w:r>
      <w:r>
        <w:rPr>
          <w:rFonts w:hint="eastAsia" w:ascii="仿宋" w:hAnsi="仿宋" w:eastAsia="仿宋" w:cs="仿宋"/>
          <w:color w:val="000000" w:themeColor="text1"/>
          <w:kern w:val="0"/>
          <w:sz w:val="24"/>
          <w14:textFill>
            <w14:solidFill>
              <w14:schemeClr w14:val="tx1"/>
            </w14:solidFill>
          </w14:textFill>
        </w:rPr>
        <w:t>达成分包意向协议</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一、分包标的及数量</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u w:val="single"/>
          <w:lang w:val="zh-CN"/>
          <w14:textFill>
            <w14:solidFill>
              <w14:schemeClr w14:val="tx1"/>
            </w14:solidFill>
          </w14:textFill>
        </w:rPr>
        <w:t>响应供应商</w:t>
      </w:r>
      <w:r>
        <w:rPr>
          <w:rFonts w:hint="eastAsia" w:ascii="仿宋" w:hAnsi="仿宋" w:eastAsia="仿宋" w:cs="仿宋"/>
          <w:color w:val="000000" w:themeColor="text1"/>
          <w:kern w:val="0"/>
          <w:sz w:val="24"/>
          <w:u w:val="single"/>
          <w14:textFill>
            <w14:solidFill>
              <w14:schemeClr w14:val="tx1"/>
            </w14:solidFill>
          </w14:textFill>
        </w:rPr>
        <w:t>名称）</w:t>
      </w:r>
      <w:r>
        <w:rPr>
          <w:rFonts w:hint="eastAsia" w:ascii="仿宋" w:hAnsi="仿宋" w:eastAsia="仿宋" w:cs="仿宋"/>
          <w:color w:val="000000" w:themeColor="text1"/>
          <w:kern w:val="0"/>
          <w:sz w:val="24"/>
          <w:lang w:val="zh-CN"/>
          <w14:textFill>
            <w14:solidFill>
              <w14:schemeClr w14:val="tx1"/>
            </w14:solidFill>
          </w14:textFill>
        </w:rPr>
        <w:t>将</w:t>
      </w:r>
      <w:r>
        <w:rPr>
          <w:rFonts w:hint="eastAsia" w:ascii="仿宋" w:hAnsi="仿宋" w:eastAsia="仿宋" w:cs="仿宋"/>
          <w:color w:val="000000" w:themeColor="text1"/>
          <w:u w:val="single"/>
          <w14:textFill>
            <w14:solidFill>
              <w14:schemeClr w14:val="tx1"/>
            </w14:solidFill>
          </w14:textFill>
        </w:rPr>
        <w:t xml:space="preserve">   XX工作内容   </w:t>
      </w:r>
      <w:r>
        <w:rPr>
          <w:rFonts w:hint="eastAsia" w:ascii="仿宋" w:hAnsi="仿宋" w:eastAsia="仿宋" w:cs="仿宋"/>
          <w:color w:val="000000" w:themeColor="text1"/>
          <w:sz w:val="24"/>
          <w14:textFill>
            <w14:solidFill>
              <w14:schemeClr w14:val="tx1"/>
            </w14:solidFill>
          </w14:textFill>
        </w:rPr>
        <w:t>分包给</w:t>
      </w:r>
      <w:r>
        <w:rPr>
          <w:rFonts w:hint="eastAsia" w:ascii="仿宋" w:hAnsi="仿宋" w:eastAsia="仿宋" w:cs="仿宋"/>
          <w:color w:val="000000" w:themeColor="text1"/>
          <w:kern w:val="0"/>
          <w:sz w:val="24"/>
          <w:u w:val="single"/>
          <w14:textFill>
            <w14:solidFill>
              <w14:schemeClr w14:val="tx1"/>
            </w14:solidFill>
          </w14:textFill>
        </w:rPr>
        <w:t>（某分包供应商名称）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（某分包供应商名称），</w:t>
      </w:r>
      <w:r>
        <w:rPr>
          <w:rFonts w:hint="eastAsia" w:ascii="仿宋" w:hAnsi="仿宋" w:eastAsia="仿宋" w:cs="仿宋"/>
          <w:color w:val="000000" w:themeColor="text1"/>
          <w:kern w:val="0"/>
          <w:sz w:val="24"/>
          <w:lang w:val="zh-CN"/>
          <w14:textFill>
            <w14:solidFill>
              <w14:schemeClr w14:val="tx1"/>
            </w14:solidFill>
          </w14:textFill>
        </w:rPr>
        <w:t>具备承</w:t>
      </w:r>
      <w:r>
        <w:rPr>
          <w:rFonts w:hint="eastAsia" w:ascii="仿宋" w:hAnsi="仿宋" w:eastAsia="仿宋" w:cs="仿宋"/>
          <w:color w:val="000000" w:themeColor="text1"/>
          <w:kern w:val="0"/>
          <w:sz w:val="24"/>
          <w14:textFill>
            <w14:solidFill>
              <w14:schemeClr w14:val="tx1"/>
            </w14:solidFill>
          </w14:textFill>
        </w:rPr>
        <w:t>担</w:t>
      </w:r>
      <w:r>
        <w:rPr>
          <w:rFonts w:hint="eastAsia" w:ascii="仿宋" w:hAnsi="仿宋" w:eastAsia="仿宋" w:cs="仿宋"/>
          <w:color w:val="000000" w:themeColor="text1"/>
          <w:kern w:val="0"/>
          <w:sz w:val="24"/>
          <w:u w:val="single"/>
          <w:lang w:val="zh-CN"/>
          <w14:textFill>
            <w14:solidFill>
              <w14:schemeClr w14:val="tx1"/>
            </w14:solidFill>
          </w14:textFill>
        </w:rPr>
        <w:t>XX工作内容</w:t>
      </w:r>
      <w:r>
        <w:rPr>
          <w:rFonts w:hint="eastAsia" w:ascii="仿宋" w:hAnsi="仿宋" w:eastAsia="仿宋" w:cs="仿宋"/>
          <w:color w:val="000000" w:themeColor="text1"/>
          <w:kern w:val="0"/>
          <w:sz w:val="24"/>
          <w:lang w:val="zh-CN"/>
          <w14:textFill>
            <w14:solidFill>
              <w14:schemeClr w14:val="tx1"/>
            </w14:solidFill>
          </w14:textFill>
        </w:rPr>
        <w:t>相应资质条件且不得再次分包；</w:t>
      </w:r>
    </w:p>
    <w:p>
      <w:pPr>
        <w:pStyle w:val="5"/>
        <w:numPr>
          <w:ilvl w:val="0"/>
          <w:numId w:val="0"/>
        </w:numPr>
        <w:ind w:leftChars="41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三、质量</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left="573" w:leftChars="273"/>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五、违约责任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六、争议解决的办法</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                                           响应供应商名称(电子签名)：</w:t>
      </w:r>
    </w:p>
    <w:p>
      <w:pPr>
        <w:snapToGrid w:val="0"/>
        <w:spacing w:line="360" w:lineRule="auto"/>
        <w:ind w:firstLine="5640" w:firstLineChars="235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三、本项目的特定资格要求</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公告本项目的特定资格要求提供相应的材料；未要求的，无需提供）</w:t>
      </w:r>
    </w:p>
    <w:p>
      <w:pPr>
        <w:rPr>
          <w:rFonts w:hint="eastAsia" w:ascii="仿宋" w:hAnsi="仿宋" w:eastAsia="仿宋" w:cs="仿宋"/>
          <w:color w:val="000000" w:themeColor="text1"/>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pPr>
        <w:widowControl/>
        <w:adjustRightInd/>
        <w:jc w:val="center"/>
        <w:rPr>
          <w:rFonts w:hint="eastAsia" w:ascii="仿宋" w:hAnsi="仿宋" w:eastAsia="仿宋" w:cs="仿宋"/>
          <w:sz w:val="36"/>
          <w:szCs w:val="36"/>
          <w:lang w:val="zh-CN"/>
        </w:rPr>
      </w:pPr>
    </w:p>
    <w:p>
      <w:pPr>
        <w:widowControl/>
        <w:adjustRightInd/>
        <w:jc w:val="center"/>
        <w:rPr>
          <w:rFonts w:hint="eastAsia"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商务技术文件部分</w:t>
      </w:r>
    </w:p>
    <w:p>
      <w:pPr>
        <w:spacing w:line="360" w:lineRule="auto"/>
        <w:rPr>
          <w:rFonts w:hint="eastAsia" w:ascii="仿宋" w:hAnsi="仿宋" w:eastAsia="仿宋" w:cs="仿宋"/>
          <w:b/>
          <w:kern w:val="0"/>
          <w:sz w:val="36"/>
          <w:szCs w:val="36"/>
        </w:rPr>
      </w:pPr>
    </w:p>
    <w:p>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（3）联合协议</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（4）分包意向协议</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（5）符合性审查资料</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（7）商务技术偏离表</w:t>
      </w:r>
      <w:r>
        <w:rPr>
          <w:rFonts w:hint="eastAsia" w:ascii="仿宋" w:hAnsi="仿宋" w:eastAsia="仿宋" w:cs="仿宋"/>
          <w:color w:val="000000" w:themeColor="text1"/>
          <w14:textFill>
            <w14:solidFill>
              <w14:schemeClr w14:val="tx1"/>
            </w14:solidFill>
          </w14:textFill>
        </w:rPr>
        <w:t>………………………………………………………………………（页码）</w:t>
      </w:r>
    </w:p>
    <w:p>
      <w:pPr>
        <w:spacing w:line="360" w:lineRule="auto"/>
        <w:ind w:firstLine="480" w:firstLineChars="200"/>
        <w:jc w:val="both"/>
        <w:rPr>
          <w:rFonts w:hint="eastAsia" w:ascii="仿宋" w:hAnsi="仿宋" w:eastAsia="仿宋" w:cs="仿宋"/>
          <w:b/>
          <w:bCs/>
          <w:sz w:val="32"/>
          <w:szCs w:val="32"/>
          <w:lang w:eastAsia="zh-CN"/>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w:t>
      </w:r>
      <w:r>
        <w:rPr>
          <w:rFonts w:hint="eastAsia" w:ascii="仿宋" w:hAnsi="仿宋" w:eastAsia="仿宋" w:cs="仿宋"/>
          <w:b/>
          <w:color w:val="000000" w:themeColor="text1"/>
          <w:kern w:val="0"/>
          <w:sz w:val="32"/>
          <w:szCs w:val="32"/>
          <w:lang w:eastAsia="zh-CN"/>
          <w14:textFill>
            <w14:solidFill>
              <w14:schemeClr w14:val="tx1"/>
            </w14:solidFill>
          </w14:textFill>
        </w:rPr>
        <w:t>响应</w:t>
      </w:r>
      <w:r>
        <w:rPr>
          <w:rFonts w:hint="eastAsia" w:ascii="仿宋" w:hAnsi="仿宋" w:eastAsia="仿宋" w:cs="仿宋"/>
          <w:b/>
          <w:color w:val="000000" w:themeColor="text1"/>
          <w:sz w:val="32"/>
          <w:szCs w:val="32"/>
          <w14:textFill>
            <w14:solidFill>
              <w14:schemeClr w14:val="tx1"/>
            </w14:solidFill>
          </w14:textFill>
        </w:rPr>
        <w:t>函</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w:t>
      </w:r>
      <w:r>
        <w:rPr>
          <w:rFonts w:hint="eastAsia" w:ascii="仿宋" w:hAnsi="仿宋" w:eastAsia="仿宋" w:cs="仿宋"/>
          <w:sz w:val="24"/>
          <w:lang w:eastAsia="zh-CN"/>
        </w:rPr>
        <w:t>采购</w:t>
      </w:r>
      <w:r>
        <w:rPr>
          <w:rFonts w:hint="eastAsia" w:ascii="仿宋" w:hAnsi="仿宋" w:eastAsia="仿宋" w:cs="仿宋"/>
          <w:sz w:val="24"/>
        </w:rPr>
        <w:t>的有关活动，并对此项目进行</w:t>
      </w:r>
      <w:r>
        <w:rPr>
          <w:rFonts w:hint="eastAsia" w:ascii="仿宋" w:hAnsi="仿宋" w:eastAsia="仿宋" w:cs="仿宋"/>
          <w:sz w:val="24"/>
          <w:lang w:eastAsia="zh-CN"/>
        </w:rPr>
        <w:t>响应</w:t>
      </w:r>
      <w:r>
        <w:rPr>
          <w:rFonts w:hint="eastAsia" w:ascii="仿宋" w:hAnsi="仿宋" w:eastAsia="仿宋" w:cs="仿宋"/>
          <w:sz w:val="24"/>
        </w:rPr>
        <w:t>。为此：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w:t>
      </w:r>
      <w:r>
        <w:rPr>
          <w:rFonts w:hint="eastAsia" w:ascii="仿宋" w:hAnsi="仿宋" w:eastAsia="仿宋" w:cs="仿宋"/>
          <w:sz w:val="24"/>
          <w:lang w:eastAsia="zh-CN"/>
        </w:rPr>
        <w:t>响应</w:t>
      </w:r>
      <w:r>
        <w:rPr>
          <w:rFonts w:hint="eastAsia" w:ascii="仿宋" w:hAnsi="仿宋" w:eastAsia="仿宋" w:cs="仿宋"/>
          <w:sz w:val="24"/>
        </w:rPr>
        <w:t>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w:t>
      </w:r>
      <w:r>
        <w:rPr>
          <w:rFonts w:hint="eastAsia" w:ascii="仿宋" w:hAnsi="仿宋" w:eastAsia="仿宋" w:cs="仿宋"/>
          <w:sz w:val="24"/>
          <w:lang w:eastAsia="zh-CN"/>
        </w:rPr>
        <w:t>响应</w:t>
      </w:r>
      <w:r>
        <w:rPr>
          <w:rFonts w:hint="eastAsia" w:ascii="仿宋" w:hAnsi="仿宋" w:eastAsia="仿宋" w:cs="仿宋"/>
          <w:sz w:val="24"/>
        </w:rPr>
        <w:t>文件在</w:t>
      </w:r>
      <w:r>
        <w:rPr>
          <w:rFonts w:hint="eastAsia" w:ascii="仿宋" w:hAnsi="仿宋" w:eastAsia="仿宋" w:cs="仿宋"/>
          <w:sz w:val="24"/>
          <w:lang w:eastAsia="zh-CN"/>
        </w:rPr>
        <w:t>响应</w:t>
      </w:r>
      <w:r>
        <w:rPr>
          <w:rFonts w:hint="eastAsia" w:ascii="仿宋" w:hAnsi="仿宋" w:eastAsia="仿宋" w:cs="仿宋"/>
          <w:sz w:val="24"/>
        </w:rPr>
        <w:t>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w:t>
      </w:r>
      <w:r>
        <w:rPr>
          <w:rFonts w:hint="eastAsia" w:ascii="仿宋" w:hAnsi="仿宋" w:eastAsia="仿宋" w:cs="仿宋"/>
          <w:sz w:val="24"/>
          <w:lang w:eastAsia="zh-CN"/>
        </w:rPr>
        <w:t>响应</w:t>
      </w:r>
      <w:r>
        <w:rPr>
          <w:rFonts w:hint="eastAsia" w:ascii="仿宋" w:hAnsi="仿宋" w:eastAsia="仿宋" w:cs="仿宋"/>
          <w:sz w:val="24"/>
        </w:rPr>
        <w:t>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w:t>
      </w:r>
      <w:r>
        <w:rPr>
          <w:rFonts w:hint="eastAsia" w:ascii="仿宋" w:hAnsi="仿宋" w:eastAsia="仿宋" w:cs="仿宋"/>
          <w:sz w:val="24"/>
          <w:lang w:eastAsia="zh-CN"/>
        </w:rPr>
        <w:t>响应</w:t>
      </w:r>
      <w:r>
        <w:rPr>
          <w:rFonts w:hint="eastAsia" w:ascii="仿宋" w:hAnsi="仿宋" w:eastAsia="仿宋" w:cs="仿宋"/>
          <w:sz w:val="24"/>
        </w:rPr>
        <w:t>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w:t>
      </w:r>
      <w:r>
        <w:rPr>
          <w:rFonts w:hint="eastAsia" w:ascii="仿宋" w:hAnsi="仿宋" w:eastAsia="仿宋" w:cs="仿宋"/>
          <w:sz w:val="24"/>
          <w:lang w:eastAsia="zh-CN"/>
        </w:rPr>
        <w:t>采购</w:t>
      </w:r>
      <w:r>
        <w:rPr>
          <w:rFonts w:hint="eastAsia" w:ascii="仿宋" w:hAnsi="仿宋" w:eastAsia="仿宋" w:cs="仿宋"/>
          <w:sz w:val="24"/>
        </w:rPr>
        <w:t>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4.1在收到</w:t>
      </w:r>
      <w:r>
        <w:rPr>
          <w:rFonts w:hint="eastAsia" w:ascii="仿宋" w:hAnsi="仿宋" w:eastAsia="仿宋" w:cs="仿宋"/>
          <w:sz w:val="24"/>
          <w:lang w:eastAsia="zh-CN"/>
        </w:rPr>
        <w:t>成交</w:t>
      </w:r>
      <w:r>
        <w:rPr>
          <w:rFonts w:hint="eastAsia" w:ascii="仿宋" w:hAnsi="仿宋" w:eastAsia="仿宋" w:cs="仿宋"/>
          <w:sz w:val="24"/>
        </w:rPr>
        <w:t>通知书后，在</w:t>
      </w:r>
      <w:r>
        <w:rPr>
          <w:rFonts w:hint="eastAsia" w:ascii="仿宋" w:hAnsi="仿宋" w:eastAsia="仿宋" w:cs="仿宋"/>
          <w:sz w:val="24"/>
          <w:lang w:eastAsia="zh-CN"/>
        </w:rPr>
        <w:t>成交</w:t>
      </w:r>
      <w:r>
        <w:rPr>
          <w:rFonts w:hint="eastAsia" w:ascii="仿宋" w:hAnsi="仿宋" w:eastAsia="仿宋" w:cs="仿宋"/>
          <w:sz w:val="24"/>
        </w:rPr>
        <w:t xml:space="preserve">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4.3按照</w:t>
      </w:r>
      <w:r>
        <w:rPr>
          <w:rFonts w:hint="eastAsia" w:ascii="仿宋" w:hAnsi="仿宋" w:eastAsia="仿宋" w:cs="仿宋"/>
          <w:sz w:val="24"/>
          <w:lang w:eastAsia="zh-CN"/>
        </w:rPr>
        <w:t>采购</w:t>
      </w:r>
      <w:r>
        <w:rPr>
          <w:rFonts w:hint="eastAsia" w:ascii="仿宋" w:hAnsi="仿宋" w:eastAsia="仿宋" w:cs="仿宋"/>
          <w:sz w:val="24"/>
        </w:rPr>
        <w:t xml:space="preserve">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lang w:eastAsia="zh-CN"/>
        </w:rPr>
        <w:t>响应供应商</w:t>
      </w:r>
      <w:r>
        <w:rPr>
          <w:rFonts w:hint="eastAsia" w:ascii="仿宋" w:hAnsi="仿宋" w:eastAsia="仿宋" w:cs="仿宋"/>
          <w:sz w:val="24"/>
        </w:rPr>
        <w:t xml:space="preserve">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jc w:val="center"/>
        <w:rPr>
          <w:rFonts w:hint="eastAsia" w:ascii="仿宋" w:hAnsi="仿宋" w:eastAsia="仿宋" w:cs="仿宋"/>
          <w:b/>
          <w:color w:val="000000" w:themeColor="text1"/>
          <w:kern w:val="0"/>
          <w:sz w:val="32"/>
          <w:szCs w:val="32"/>
          <w:lang w:val="zh-CN"/>
          <w14:textFill>
            <w14:solidFill>
              <w14:schemeClr w14:val="tx1"/>
            </w14:solidFill>
          </w14:textFill>
        </w:rPr>
      </w:pPr>
    </w:p>
    <w:p>
      <w:pPr>
        <w:jc w:val="center"/>
        <w:rPr>
          <w:rFonts w:hint="eastAsia" w:ascii="仿宋" w:hAnsi="仿宋" w:eastAsia="仿宋" w:cs="仿宋"/>
          <w:b/>
          <w:color w:val="000000" w:themeColor="text1"/>
          <w:kern w:val="0"/>
          <w:sz w:val="32"/>
          <w:szCs w:val="32"/>
          <w:lang w:val="zh-CN"/>
          <w14:textFill>
            <w14:solidFill>
              <w14:schemeClr w14:val="tx1"/>
            </w14:solidFill>
          </w14:textFill>
        </w:rPr>
      </w:pPr>
    </w:p>
    <w:p>
      <w:pPr>
        <w:jc w:val="both"/>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r>
        <w:rPr>
          <w:rFonts w:hint="eastAsia" w:ascii="仿宋" w:hAnsi="仿宋" w:eastAsia="仿宋" w:cs="仿宋"/>
          <w:color w:val="000000" w:themeColor="text1"/>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sz w:val="24"/>
          <w:lang w:eastAsia="zh-CN"/>
        </w:rPr>
        <w:t>响应供应商</w:t>
      </w:r>
      <w:r>
        <w:rPr>
          <w:rFonts w:hint="eastAsia" w:ascii="仿宋" w:hAnsi="仿宋" w:eastAsia="仿宋" w:cs="仿宋"/>
          <w:color w:val="000000" w:themeColor="text1"/>
          <w:kern w:val="0"/>
          <w:sz w:val="24"/>
          <w:lang w:val="zh-CN"/>
          <w14:textFill>
            <w14:solidFill>
              <w14:schemeClr w14:val="tx1"/>
            </w14:solidFill>
          </w14:textFill>
        </w:rPr>
        <w:t>名称(电子签名)：</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r>
        <w:rPr>
          <w:rFonts w:hint="eastAsia" w:ascii="仿宋" w:hAnsi="仿宋" w:eastAsia="仿宋" w:cs="仿宋"/>
          <w:b/>
          <w:color w:val="000000" w:themeColor="text1"/>
          <w:kern w:val="0"/>
          <w:sz w:val="32"/>
          <w:szCs w:val="32"/>
          <w14:textFill>
            <w14:solidFill>
              <w14:schemeClr w14:val="tx1"/>
            </w14:solidFill>
          </w14:textFill>
        </w:rPr>
        <w:t xml:space="preserve"> </w:t>
      </w: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pPr>
        <w:snapToGrid w:val="0"/>
        <w:spacing w:line="360" w:lineRule="auto"/>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pPr>
        <w:pStyle w:val="3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0"/>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pPr>
              <w:pStyle w:val="30"/>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sz w:val="24"/>
          <w:lang w:eastAsia="zh-CN"/>
        </w:rPr>
        <w:t>响应供应商</w:t>
      </w:r>
      <w:r>
        <w:rPr>
          <w:rFonts w:hint="eastAsia" w:ascii="仿宋" w:hAnsi="仿宋" w:eastAsia="仿宋" w:cs="仿宋"/>
          <w:color w:val="000000" w:themeColor="text1"/>
          <w:kern w:val="0"/>
          <w:sz w:val="24"/>
          <w:lang w:val="zh-CN"/>
          <w14:textFill>
            <w14:solidFill>
              <w14:schemeClr w14:val="tx1"/>
            </w14:solidFill>
          </w14:textFill>
        </w:rPr>
        <w:t xml:space="preserve">名称(电子签名)：                              </w:t>
      </w:r>
    </w:p>
    <w:p>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w:t>
      </w:r>
      <w:r>
        <w:rPr>
          <w:rFonts w:hint="eastAsia" w:ascii="仿宋" w:hAnsi="仿宋" w:eastAsia="仿宋" w:cs="仿宋"/>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w:t>
      </w:r>
      <w:r>
        <w:rPr>
          <w:rFonts w:hint="eastAsia" w:ascii="仿宋" w:hAnsi="仿宋" w:eastAsia="仿宋" w:cs="仿宋"/>
          <w:sz w:val="24"/>
          <w:lang w:eastAsia="zh-CN"/>
        </w:rPr>
        <w:t>响应供应商</w:t>
      </w:r>
      <w:r>
        <w:rPr>
          <w:rFonts w:hint="eastAsia" w:ascii="仿宋" w:hAnsi="仿宋" w:eastAsia="仿宋" w:cs="仿宋"/>
          <w:kern w:val="0"/>
          <w:sz w:val="24"/>
          <w:lang w:val="zh-CN"/>
        </w:rPr>
        <w:t>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sz w:val="24"/>
          <w:u w:val="single"/>
          <w:lang w:eastAsia="zh-CN"/>
        </w:rPr>
        <w:t>响应供应商</w:t>
      </w:r>
      <w:r>
        <w:rPr>
          <w:rFonts w:hint="eastAsia" w:ascii="仿宋" w:hAnsi="仿宋" w:eastAsia="仿宋" w:cs="仿宋"/>
          <w:kern w:val="0"/>
          <w:sz w:val="24"/>
          <w:u w:val="single"/>
        </w:rPr>
        <w:t>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w:t>
      </w:r>
      <w:r>
        <w:rPr>
          <w:rFonts w:hint="eastAsia" w:ascii="仿宋" w:hAnsi="仿宋" w:eastAsia="仿宋" w:cs="仿宋"/>
          <w:sz w:val="24"/>
          <w:u w:val="single"/>
          <w:lang w:eastAsia="zh-CN"/>
        </w:rPr>
        <w:t>响应供应商</w:t>
      </w:r>
      <w:r>
        <w:rPr>
          <w:rFonts w:hint="eastAsia" w:ascii="仿宋" w:hAnsi="仿宋" w:eastAsia="仿宋" w:cs="仿宋"/>
          <w:kern w:val="0"/>
          <w:sz w:val="24"/>
          <w:u w:val="single"/>
        </w:rPr>
        <w:t>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sz w:val="24"/>
          <w:u w:val="single"/>
          <w:lang w:eastAsia="zh-CN"/>
        </w:rPr>
        <w:t>响应供应商</w:t>
      </w:r>
      <w:r>
        <w:rPr>
          <w:rFonts w:hint="eastAsia" w:ascii="仿宋" w:hAnsi="仿宋" w:eastAsia="仿宋" w:cs="仿宋"/>
          <w:kern w:val="0"/>
          <w:sz w:val="24"/>
          <w:u w:val="single"/>
        </w:rPr>
        <w:t>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numPr>
          <w:ilvl w:val="0"/>
          <w:numId w:val="0"/>
        </w:numPr>
        <w:ind w:leftChars="411"/>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sz w:val="24"/>
          <w:lang w:eastAsia="zh-CN"/>
        </w:rPr>
        <w:t>响应供应商</w:t>
      </w:r>
      <w:r>
        <w:rPr>
          <w:rFonts w:hint="eastAsia" w:ascii="仿宋" w:hAnsi="仿宋" w:eastAsia="仿宋" w:cs="仿宋"/>
          <w:kern w:val="0"/>
          <w:sz w:val="24"/>
          <w:lang w:val="zh-CN"/>
        </w:rPr>
        <w:t>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五、符合性审查资料</w:t>
      </w:r>
    </w:p>
    <w:p>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响应</w:t>
            </w:r>
            <w:r>
              <w:rPr>
                <w:rFonts w:hint="eastAsia" w:ascii="仿宋" w:hAnsi="仿宋" w:eastAsia="仿宋" w:cs="仿宋"/>
                <w:b/>
                <w:color w:val="000000" w:themeColor="text1"/>
                <w:sz w:val="24"/>
                <w14:textFill>
                  <w14:solidFill>
                    <w14:schemeClr w14:val="tx1"/>
                  </w14:solidFill>
                </w14:textFill>
              </w:rPr>
              <w:t>文件中的</w:t>
            </w:r>
          </w:p>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不存在如下情形：投标文件未按照</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文件要求签署、盖章。</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文件的组成部分</w:t>
            </w:r>
          </w:p>
        </w:tc>
        <w:tc>
          <w:tcPr>
            <w:tcW w:w="1418" w:type="dxa"/>
          </w:tcPr>
          <w:p>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w:t>
            </w: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不存在如下情形：采购人拟采购的产品属于政府强制采购的节能产品品目清单范围的，</w:t>
            </w:r>
            <w:r>
              <w:rPr>
                <w:rFonts w:hint="eastAsia" w:ascii="仿宋" w:hAnsi="仿宋" w:eastAsia="仿宋" w:cs="仿宋"/>
                <w:sz w:val="24"/>
                <w:lang w:eastAsia="zh-CN"/>
              </w:rPr>
              <w:t>响应供应商</w:t>
            </w:r>
            <w:r>
              <w:rPr>
                <w:rFonts w:hint="eastAsia" w:ascii="仿宋" w:hAnsi="仿宋" w:eastAsia="仿宋" w:cs="仿宋"/>
                <w:color w:val="000000" w:themeColor="text1"/>
                <w:sz w:val="24"/>
                <w14:textFill>
                  <w14:solidFill>
                    <w14:schemeClr w14:val="tx1"/>
                  </w14:solidFill>
                </w14:textFill>
              </w:rPr>
              <w:t>未按</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文件要求提供国家确定的认证机构出具的、处于有效期之内的节能产品认证证书。</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tcPr>
          <w:p>
            <w:pPr>
              <w:jc w:val="center"/>
              <w:rPr>
                <w:rFonts w:hint="eastAsia" w:ascii="仿宋" w:hAnsi="仿宋" w:eastAsia="仿宋" w:cs="仿宋"/>
                <w:color w:val="000000" w:themeColor="text1"/>
                <w:sz w:val="24"/>
                <w14:textFill>
                  <w14:solidFill>
                    <w14:schemeClr w14:val="tx1"/>
                  </w14:solidFill>
                </w14:textFill>
              </w:rPr>
            </w:pPr>
          </w:p>
          <w:p>
            <w:pPr>
              <w:jc w:val="center"/>
              <w:rPr>
                <w:rFonts w:hint="eastAsia" w:ascii="仿宋" w:hAnsi="仿宋" w:eastAsia="仿宋" w:cs="仿宋"/>
                <w:color w:val="000000" w:themeColor="text1"/>
                <w:sz w:val="24"/>
                <w14:textFill>
                  <w14:solidFill>
                    <w14:schemeClr w14:val="tx1"/>
                  </w14:solidFill>
                </w14:textFill>
              </w:rPr>
            </w:pPr>
          </w:p>
          <w:p>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w:t>
            </w:r>
          </w:p>
          <w:p>
            <w:pPr>
              <w:pStyle w:val="5"/>
              <w:numPr>
                <w:ilvl w:val="0"/>
                <w:numId w:val="0"/>
              </w:numPr>
              <w:ind w:left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w:t>
            </w:r>
            <w:r>
              <w:rPr>
                <w:rFonts w:hint="eastAsia" w:ascii="仿宋" w:hAnsi="仿宋" w:eastAsia="仿宋" w:cs="仿宋"/>
                <w:b w:val="0"/>
                <w:bCs w:val="0"/>
                <w:color w:val="000000" w:themeColor="text1"/>
                <w:sz w:val="24"/>
                <w:szCs w:val="24"/>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文件中承诺的投标有效期少于</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文件中载明的投标有效期。</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函</w:t>
            </w:r>
          </w:p>
        </w:tc>
        <w:tc>
          <w:tcPr>
            <w:tcW w:w="1418" w:type="dxa"/>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文件不满足</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文件的其它实质性要求。</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除上述三项实质性要求外，</w:t>
            </w:r>
            <w:r>
              <w:rPr>
                <w:rFonts w:hint="eastAsia" w:ascii="仿宋" w:hAnsi="仿宋" w:eastAsia="仿宋" w:cs="仿宋"/>
                <w:color w:val="000000" w:themeColor="text1"/>
                <w:kern w:val="0"/>
                <w:sz w:val="24"/>
                <w:lang w:eastAsia="zh-CN"/>
                <w14:textFill>
                  <w14:solidFill>
                    <w14:schemeClr w14:val="tx1"/>
                  </w14:solidFill>
                </w14:textFill>
              </w:rPr>
              <w:t>采购</w:t>
            </w:r>
            <w:r>
              <w:rPr>
                <w:rFonts w:hint="eastAsia" w:ascii="仿宋" w:hAnsi="仿宋" w:eastAsia="仿宋" w:cs="仿宋"/>
                <w:color w:val="000000" w:themeColor="text1"/>
                <w:kern w:val="0"/>
                <w:sz w:val="24"/>
                <w14:textFill>
                  <w14:solidFill>
                    <w14:schemeClr w14:val="tx1"/>
                  </w14:solidFill>
                </w14:textFill>
              </w:rPr>
              <w:t>文件其它实质性要求相应的材料（“▲” 系指实质性要求条款，</w:t>
            </w:r>
            <w:r>
              <w:rPr>
                <w:rFonts w:hint="eastAsia" w:ascii="仿宋" w:hAnsi="仿宋" w:eastAsia="仿宋" w:cs="仿宋"/>
                <w:color w:val="000000" w:themeColor="text1"/>
                <w:kern w:val="0"/>
                <w:sz w:val="24"/>
                <w:lang w:eastAsia="zh-CN"/>
                <w14:textFill>
                  <w14:solidFill>
                    <w14:schemeClr w14:val="tx1"/>
                  </w14:solidFill>
                </w14:textFill>
              </w:rPr>
              <w:t>采购</w:t>
            </w:r>
            <w:r>
              <w:rPr>
                <w:rFonts w:hint="eastAsia" w:ascii="仿宋" w:hAnsi="仿宋" w:eastAsia="仿宋" w:cs="仿宋"/>
                <w:color w:val="000000" w:themeColor="text1"/>
                <w:kern w:val="0"/>
                <w:sz w:val="24"/>
                <w14:textFill>
                  <w14:solidFill>
                    <w14:schemeClr w14:val="tx1"/>
                  </w14:solidFill>
                </w14:textFill>
              </w:rPr>
              <w:t>文件无其它实质性要求的，无需提供）</w:t>
            </w:r>
          </w:p>
        </w:tc>
        <w:tc>
          <w:tcPr>
            <w:tcW w:w="1418" w:type="dxa"/>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（按招标文件第部分评标办法前附表中“投标文件中评标标准相应的商务技术资料目录”提供资料）</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采购</w:t>
            </w:r>
            <w:r>
              <w:rPr>
                <w:rFonts w:hint="eastAsia" w:ascii="仿宋" w:hAnsi="仿宋" w:eastAsia="仿宋" w:cs="仿宋"/>
                <w:b/>
                <w:bCs/>
                <w:color w:val="000000" w:themeColor="text1"/>
                <w:sz w:val="24"/>
                <w14:textFill>
                  <w14:solidFill>
                    <w14:schemeClr w14:val="tx1"/>
                  </w14:solidFill>
                </w14:textFill>
              </w:rPr>
              <w:t>文件章节及具体内容</w:t>
            </w:r>
          </w:p>
        </w:tc>
        <w:tc>
          <w:tcPr>
            <w:tcW w:w="3546"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响应</w:t>
            </w:r>
            <w:r>
              <w:rPr>
                <w:rFonts w:hint="eastAsia" w:ascii="仿宋" w:hAnsi="仿宋" w:eastAsia="仿宋" w:cs="仿宋"/>
                <w:b/>
                <w:bCs/>
                <w:color w:val="000000" w:themeColor="text1"/>
                <w:sz w:val="24"/>
                <w14:textFill>
                  <w14:solidFill>
                    <w14:schemeClr w14:val="tx1"/>
                  </w14:solidFill>
                </w14:textFill>
              </w:rPr>
              <w:t>文件章节及具体内容</w:t>
            </w:r>
          </w:p>
        </w:tc>
        <w:tc>
          <w:tcPr>
            <w:tcW w:w="1276"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r>
    </w:tbl>
    <w:p>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响应供应商</w:t>
      </w:r>
      <w:r>
        <w:rPr>
          <w:rFonts w:hint="eastAsia" w:ascii="仿宋" w:hAnsi="仿宋" w:eastAsia="仿宋" w:cs="仿宋"/>
          <w:color w:val="000000" w:themeColor="text1"/>
          <w:kern w:val="0"/>
          <w:sz w:val="24"/>
          <w14:textFill>
            <w14:solidFill>
              <w14:schemeClr w14:val="tx1"/>
            </w14:solidFill>
          </w14:textFill>
        </w:rPr>
        <w:t>保证：除商务技术偏离表列出的偏离外，</w:t>
      </w:r>
      <w:r>
        <w:rPr>
          <w:rFonts w:hint="eastAsia" w:ascii="仿宋" w:hAnsi="仿宋" w:eastAsia="仿宋" w:cs="仿宋"/>
          <w:color w:val="000000" w:themeColor="text1"/>
          <w:kern w:val="0"/>
          <w:sz w:val="24"/>
          <w:lang w:eastAsia="zh-CN"/>
          <w14:textFill>
            <w14:solidFill>
              <w14:schemeClr w14:val="tx1"/>
            </w14:solidFill>
          </w14:textFill>
        </w:rPr>
        <w:t>响应供应商</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eastAsia="zh-CN"/>
          <w14:textFill>
            <w14:solidFill>
              <w14:schemeClr w14:val="tx1"/>
            </w14:solidFill>
          </w14:textFill>
        </w:rPr>
        <w:t>采购</w:t>
      </w:r>
      <w:r>
        <w:rPr>
          <w:rFonts w:hint="eastAsia" w:ascii="仿宋" w:hAnsi="仿宋" w:eastAsia="仿宋" w:cs="仿宋"/>
          <w:color w:val="000000" w:themeColor="text1"/>
          <w:kern w:val="0"/>
          <w:sz w:val="24"/>
          <w14:textFill>
            <w14:solidFill>
              <w14:schemeClr w14:val="tx1"/>
            </w14:solidFill>
          </w14:textFill>
        </w:rPr>
        <w:t>文件的全部要求</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八、</w:t>
      </w:r>
      <w:r>
        <w:rPr>
          <w:rFonts w:hint="eastAsia" w:ascii="仿宋" w:hAnsi="仿宋" w:eastAsia="仿宋" w:cs="仿宋"/>
          <w:b/>
          <w:color w:val="000000" w:themeColor="text1"/>
          <w:kern w:val="0"/>
          <w:sz w:val="32"/>
          <w:szCs w:val="32"/>
          <w14:textFill>
            <w14:solidFill>
              <w14:schemeClr w14:val="tx1"/>
            </w14:solidFill>
          </w14:textFill>
        </w:rPr>
        <w:t>响应产品规格配置清单</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31"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21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响应品牌及型号</w:t>
            </w:r>
          </w:p>
        </w:tc>
        <w:tc>
          <w:tcPr>
            <w:tcW w:w="23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规格配置详细说明</w:t>
            </w:r>
          </w:p>
        </w:tc>
        <w:tc>
          <w:tcPr>
            <w:tcW w:w="108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332"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bl>
    <w:p>
      <w:pPr>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kern w:val="0"/>
          <w:sz w:val="24"/>
          <w:szCs w:val="24"/>
        </w:rPr>
        <w:t>注：</w:t>
      </w:r>
      <w:r>
        <w:rPr>
          <w:rFonts w:hint="eastAsia" w:ascii="仿宋" w:hAnsi="仿宋" w:eastAsia="仿宋" w:cs="仿宋"/>
          <w:b/>
          <w:sz w:val="24"/>
          <w:szCs w:val="24"/>
        </w:rPr>
        <w:t>如果本项目涉及硬件设备采购，须在响应文件中提供此配置清单。</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九</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pPr>
        <w:pStyle w:val="5"/>
        <w:numPr>
          <w:ilvl w:val="0"/>
          <w:numId w:val="0"/>
        </w:numPr>
        <w:ind w:leftChars="0"/>
        <w:rPr>
          <w:rFonts w:hint="eastAsia" w:ascii="仿宋" w:hAnsi="仿宋" w:eastAsia="仿宋" w:cs="仿宋"/>
        </w:rPr>
      </w:pPr>
    </w:p>
    <w:p>
      <w:pPr>
        <w:pStyle w:val="8"/>
        <w:rPr>
          <w:rFonts w:hint="eastAsia" w:ascii="仿宋" w:hAnsi="仿宋" w:eastAsia="仿宋" w:cs="仿宋"/>
          <w:b/>
          <w:bCs/>
          <w:sz w:val="24"/>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b/>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（1）开标一览表（报价表）………………………………………………………（页码）</w:t>
      </w:r>
    </w:p>
    <w:p>
      <w:pPr>
        <w:pStyle w:val="8"/>
        <w:rPr>
          <w:rFonts w:hint="eastAsia" w:ascii="仿宋" w:hAnsi="仿宋" w:eastAsia="仿宋" w:cs="仿宋"/>
          <w:b/>
          <w:bCs/>
          <w:sz w:val="24"/>
        </w:rPr>
      </w:pPr>
      <w:r>
        <w:rPr>
          <w:rFonts w:hint="eastAsia" w:ascii="仿宋" w:hAnsi="仿宋" w:eastAsia="仿宋" w:cs="仿宋"/>
          <w:color w:val="000000" w:themeColor="text1"/>
          <w:sz w:val="24"/>
          <w14:textFill>
            <w14:solidFill>
              <w14:schemeClr w14:val="tx1"/>
            </w14:solidFill>
          </w14:textFill>
        </w:rPr>
        <w:t>（2）中小企业声明函………………………………………………………………（页码）</w:t>
      </w: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34"/>
        <w:keepNext w:val="0"/>
        <w:pageBreakBefore w:val="0"/>
        <w:tabs>
          <w:tab w:val="clear" w:pos="720"/>
        </w:tabs>
        <w:snapToGrid w:val="0"/>
        <w:spacing w:before="120" w:after="120"/>
        <w:ind w:firstLine="643"/>
        <w:outlineLvl w:val="9"/>
        <w:rPr>
          <w:rFonts w:hint="eastAsia" w:ascii="仿宋" w:hAnsi="仿宋" w:eastAsia="仿宋" w:cs="仿宋"/>
          <w:b/>
          <w:sz w:val="32"/>
          <w:szCs w:val="32"/>
        </w:rPr>
      </w:pPr>
      <w:bookmarkStart w:id="164" w:name="_Toc465665161"/>
      <w:r>
        <w:rPr>
          <w:rFonts w:hint="eastAsia" w:ascii="仿宋" w:hAnsi="仿宋" w:eastAsia="仿宋" w:cs="仿宋"/>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hint="eastAsia" w:ascii="仿宋" w:hAnsi="仿宋" w:eastAsia="仿宋" w:cs="仿宋"/>
          <w:kern w:val="0"/>
          <w:sz w:val="24"/>
          <w:szCs w:val="24"/>
        </w:rPr>
      </w:pPr>
      <w:bookmarkStart w:id="165" w:name="_Toc86217005"/>
      <w:r>
        <w:rPr>
          <w:rFonts w:hint="eastAsia" w:ascii="仿宋" w:hAnsi="仿宋" w:eastAsia="仿宋" w:cs="仿宋"/>
          <w:sz w:val="24"/>
          <w:szCs w:val="24"/>
        </w:rPr>
        <w:t>XXX（采购人名称）、杭州市公共资源交易中心</w:t>
      </w:r>
      <w:r>
        <w:rPr>
          <w:rFonts w:hint="eastAsia" w:ascii="仿宋" w:hAnsi="仿宋" w:eastAsia="仿宋" w:cs="仿宋"/>
          <w:sz w:val="24"/>
          <w:szCs w:val="24"/>
          <w:lang w:eastAsia="zh-CN"/>
        </w:rPr>
        <w:t>临安分中心</w:t>
      </w:r>
      <w:r>
        <w:rPr>
          <w:rFonts w:hint="eastAsia" w:ascii="仿宋" w:hAnsi="仿宋" w:eastAsia="仿宋" w:cs="仿宋"/>
          <w:kern w:val="0"/>
          <w:sz w:val="24"/>
          <w:szCs w:val="24"/>
          <w:lang w:val="zh-CN"/>
        </w:rPr>
        <w:t>：</w:t>
      </w:r>
    </w:p>
    <w:p>
      <w:pPr>
        <w:adjustRightInd w:val="0"/>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按你方采购文件要求，我们，本响应文件签字方，谨此向你方发出要约如下：如你方接受本响应，我方承诺按照如下投标(开标)一览表的价格完成</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kern w:val="0"/>
          <w:sz w:val="24"/>
          <w:szCs w:val="24"/>
          <w:lang w:val="zh-CN"/>
        </w:rPr>
        <w:t>。</w:t>
      </w:r>
    </w:p>
    <w:p>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86"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632" w:type="pct"/>
          </w:tcPr>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534"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单价</w:t>
            </w:r>
          </w:p>
        </w:tc>
        <w:tc>
          <w:tcPr>
            <w:tcW w:w="68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总价</w:t>
            </w:r>
          </w:p>
        </w:tc>
        <w:tc>
          <w:tcPr>
            <w:tcW w:w="107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服务要求（年限）</w:t>
            </w:r>
          </w:p>
          <w:p>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32"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4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34"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8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32"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4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34"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8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32"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4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34"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8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1、响应供应商需按本表格式填写，不得自行更改。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采购文件中列明的可享受中小企业扶持政策的投标人，请填写中小企业声明函。注：响应供应商提供的中小企业声明函内容不实的，属于提供虚假材料谋取中标、成交，依照《中华人民共和国政府采购法》等国家有关规定追究相应责任。</w:t>
      </w:r>
    </w:p>
    <w:bookmarkEnd w:id="165"/>
    <w:p>
      <w:pPr>
        <w:adjustRightInd w:val="0"/>
        <w:spacing w:line="360" w:lineRule="auto"/>
        <w:jc w:val="both"/>
        <w:outlineLvl w:val="0"/>
        <w:rPr>
          <w:rFonts w:hint="eastAsia" w:ascii="仿宋" w:hAnsi="仿宋" w:eastAsia="仿宋" w:cs="仿宋"/>
          <w:sz w:val="36"/>
          <w:szCs w:val="36"/>
          <w:lang w:val="zh-CN"/>
        </w:rPr>
      </w:pPr>
    </w:p>
    <w:p>
      <w:pPr>
        <w:pStyle w:val="5"/>
        <w:numPr>
          <w:ilvl w:val="0"/>
          <w:numId w:val="0"/>
        </w:numPr>
        <w:ind w:leftChars="0"/>
        <w:rPr>
          <w:rFonts w:hint="eastAsia" w:ascii="仿宋" w:hAnsi="仿宋" w:eastAsia="仿宋" w:cs="仿宋"/>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pStyle w:val="34"/>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eastAsia="zh-CN"/>
          <w14:textFill>
            <w14:solidFill>
              <w14:schemeClr w14:val="tx1"/>
            </w14:solidFill>
          </w14:textFill>
        </w:rPr>
        <w:t>采购</w:t>
      </w:r>
      <w:r>
        <w:rPr>
          <w:rFonts w:hint="eastAsia" w:ascii="仿宋" w:hAnsi="仿宋" w:eastAsia="仿宋" w:cs="仿宋"/>
          <w:b/>
          <w:color w:val="000000" w:themeColor="text1"/>
          <w:sz w:val="24"/>
          <w14:textFill>
            <w14:solidFill>
              <w14:schemeClr w14:val="tx1"/>
            </w14:solidFill>
          </w14:textFill>
        </w:rPr>
        <w:t>公告落实政府采购政策需满足的资格要求为“无”即本项目或标项未预留份额专门面向中小企业时，符合《政府采购促进中小企业发展管理办法》规定的小微企业拟享受价格扣除政策的，需提供中小企业声明函（附件5）。]</w:t>
      </w:r>
    </w:p>
    <w:bookmarkEnd w:id="164"/>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166" w:name="OLE_LINK13"/>
      <w:bookmarkStart w:id="167" w:name="OLE_LINK14"/>
      <w:r>
        <w:rPr>
          <w:rFonts w:hint="eastAsia" w:ascii="仿宋" w:hAnsi="仿宋" w:eastAsia="仿宋" w:cs="仿宋"/>
          <w:b/>
          <w:spacing w:val="6"/>
          <w:sz w:val="32"/>
          <w:szCs w:val="32"/>
        </w:rPr>
        <w:t>残疾人福利性单位声明函</w:t>
      </w:r>
    </w:p>
    <w:bookmarkEnd w:id="166"/>
    <w:bookmarkEnd w:id="167"/>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8"/>
        <w:jc w:val="both"/>
        <w:rPr>
          <w:rFonts w:hint="eastAsia" w:ascii="仿宋" w:hAnsi="仿宋" w:eastAsia="仿宋" w:cs="仿宋"/>
          <w:b/>
          <w:bCs/>
          <w:sz w:val="32"/>
          <w:szCs w:val="32"/>
          <w:lang w:val="en-US" w:eastAsia="zh-CN"/>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附件2：质疑函范本及制作说明</w:t>
      </w: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spacing w:line="360" w:lineRule="auto"/>
        <w:jc w:val="center"/>
        <w:rPr>
          <w:rFonts w:hint="eastAsia" w:ascii="仿宋" w:hAnsi="仿宋" w:eastAsia="仿宋" w:cs="仿宋"/>
          <w:b/>
          <w:bCs/>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附件3：投诉书范本及制作说明</w:t>
      </w:r>
    </w:p>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日,向</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提出质疑，质疑事项为：</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采购人/代理机构</w:t>
      </w:r>
      <w:r>
        <w:rPr>
          <w:rFonts w:hint="eastAsia" w:ascii="仿宋" w:hAnsi="仿宋" w:eastAsia="仿宋" w:cs="仿宋"/>
          <w:color w:val="000000" w:themeColor="text1"/>
          <w:sz w:val="24"/>
          <w14:textFill>
            <w14:solidFill>
              <w14:schemeClr w14:val="tx1"/>
            </w14:solidFill>
          </w14:textFill>
        </w:rPr>
        <w:t>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日,就质疑事项作出了答复/没有在法定期限内作出答复。</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9"/>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XXXX</w:t>
      </w:r>
      <w:r>
        <w:rPr>
          <w:rFonts w:hint="eastAsia" w:ascii="仿宋" w:hAnsi="仿宋" w:eastAsia="仿宋" w:cs="仿宋"/>
          <w:color w:val="000000" w:themeColor="text1"/>
          <w:sz w:val="24"/>
          <w:u w:val="single"/>
          <w:lang w:eastAsia="zh-CN"/>
          <w14:textFill>
            <w14:solidFill>
              <w14:schemeClr w14:val="tx1"/>
            </w14:solidFill>
          </w14:textFill>
        </w:rPr>
        <w:t>（采购人名称）</w:t>
      </w:r>
      <w:r>
        <w:rPr>
          <w:rFonts w:hint="eastAsia" w:ascii="仿宋" w:hAnsi="仿宋" w:eastAsia="仿宋" w:cs="仿宋"/>
          <w:color w:val="000000" w:themeColor="text1"/>
          <w:sz w:val="24"/>
          <w:u w:val="single"/>
          <w14:textFill>
            <w14:solidFill>
              <w14:schemeClr w14:val="tx1"/>
            </w14:solidFill>
          </w14:textFill>
        </w:rPr>
        <w:t xml:space="preserve"> 、杭州市公共资源交易中心</w:t>
      </w:r>
      <w:r>
        <w:rPr>
          <w:rFonts w:hint="eastAsia" w:ascii="仿宋" w:hAnsi="仿宋" w:eastAsia="仿宋" w:cs="仿宋"/>
          <w:color w:val="000000" w:themeColor="text1"/>
          <w:sz w:val="24"/>
          <w:u w:val="single"/>
          <w:lang w:eastAsia="zh-CN"/>
          <w14:textFill>
            <w14:solidFill>
              <w14:schemeClr w14:val="tx1"/>
            </w14:solidFill>
          </w14:textFill>
        </w:rPr>
        <w:t>临安分中心</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你方组织的</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投标活动中作如下说明：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right="480" w:firstLine="4080" w:firstLineChars="17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投标单位（法定名称章）：</w:t>
      </w:r>
    </w:p>
    <w:p>
      <w:pPr>
        <w:ind w:right="1440" w:firstLine="494"/>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14:textFill>
            <w14:solidFill>
              <w14:schemeClr w14:val="tx1"/>
            </w14:solidFill>
          </w14:textFill>
        </w:rPr>
        <w:t>投标单位法定名称章（印模）                投标单位“XX专用章”（印模）</w:t>
      </w: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pStyle w:val="9"/>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r>
        <w:rPr>
          <w:rFonts w:hint="eastAsia" w:ascii="仿宋" w:hAnsi="仿宋" w:eastAsia="仿宋" w:cs="仿宋"/>
          <w:b/>
          <w:color w:val="000000" w:themeColor="text1"/>
          <w:sz w:val="32"/>
          <w:szCs w:val="32"/>
          <w14:textFill>
            <w14:solidFill>
              <w14:schemeClr w14:val="tx1"/>
            </w14:solidFill>
          </w14:textFill>
        </w:rPr>
        <w:t>中小企业声明函</w:t>
      </w:r>
    </w:p>
    <w:p>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中小企业声明函（货物）</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 ，属于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行业 ；制造商为</w:t>
      </w:r>
      <w:r>
        <w:rPr>
          <w:rFonts w:hint="eastAsia" w:ascii="仿宋" w:hAnsi="仿宋" w:eastAsia="仿宋" w:cs="仿宋"/>
          <w:color w:val="000000" w:themeColor="text1"/>
          <w:sz w:val="24"/>
          <w:u w:val="single"/>
          <w14:textFill>
            <w14:solidFill>
              <w14:schemeClr w14:val="tx1"/>
            </w14:solidFill>
          </w14:textFill>
        </w:rPr>
        <w:t xml:space="preserve"> （企业名称）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 ，属于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行业 ；制造商为</w:t>
      </w:r>
      <w:r>
        <w:rPr>
          <w:rFonts w:hint="eastAsia" w:ascii="仿宋" w:hAnsi="仿宋" w:eastAsia="仿宋" w:cs="仿宋"/>
          <w:color w:val="000000" w:themeColor="text1"/>
          <w:sz w:val="24"/>
          <w:u w:val="single"/>
          <w14:textFill>
            <w14:solidFill>
              <w14:schemeClr w14:val="tx1"/>
            </w14:solidFill>
          </w14:textFill>
        </w:rPr>
        <w:t xml:space="preserve"> （企业名称）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中小企业声明函（工程、服务）</w:t>
      </w:r>
    </w:p>
    <w:p>
      <w:pPr>
        <w:spacing w:line="360" w:lineRule="auto"/>
        <w:rPr>
          <w:rFonts w:hint="eastAsia" w:ascii="仿宋" w:hAnsi="仿宋" w:eastAsia="仿宋" w:cs="仿宋"/>
          <w:color w:val="000000" w:themeColor="text1"/>
          <w14:textFill>
            <w14:solidFill>
              <w14:schemeClr w14:val="tx1"/>
            </w14:solidFill>
          </w14:textFill>
        </w:rPr>
      </w:pPr>
    </w:p>
    <w:p>
      <w:pPr>
        <w:spacing w:line="360" w:lineRule="auto"/>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仿宋" w:hAnsi="仿宋" w:eastAsia="仿宋" w:cs="仿宋"/>
          <w:color w:val="000000" w:themeColor="text1"/>
          <w:sz w:val="24"/>
          <w14:textFill>
            <w14:solidFill>
              <w14:schemeClr w14:val="tx1"/>
            </w14:solidFill>
          </w14:textFill>
        </w:rPr>
      </w:pPr>
    </w:p>
    <w:p>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仿宋" w:hAnsi="仿宋" w:eastAsia="仿宋" w:cs="仿宋"/>
          <w:color w:val="000000" w:themeColor="text1"/>
          <w:sz w:val="24"/>
          <w14:textFill>
            <w14:solidFill>
              <w14:schemeClr w14:val="tx1"/>
            </w14:solidFill>
          </w14:textFill>
        </w:rPr>
      </w:pPr>
    </w:p>
    <w:p>
      <w:pPr>
        <w:pStyle w:val="9"/>
        <w:rPr>
          <w:rFonts w:hint="eastAsia" w:ascii="仿宋" w:hAnsi="仿宋" w:eastAsia="仿宋" w:cs="仿宋"/>
          <w:b/>
          <w:bCs/>
          <w:sz w:val="32"/>
          <w:szCs w:val="32"/>
          <w:lang w:val="en-US" w:eastAsia="zh-CN"/>
        </w:rPr>
      </w:pPr>
    </w:p>
    <w:p>
      <w:pPr>
        <w:pStyle w:val="9"/>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1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4"/>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29"/>
        <w:numPr>
          <w:ilvl w:val="0"/>
          <w:numId w:val="0"/>
        </w:numPr>
        <w:jc w:val="both"/>
        <w:rPr>
          <w:rFonts w:hint="eastAsia" w:ascii="仿宋" w:hAnsi="仿宋" w:eastAsia="仿宋" w:cs="仿宋"/>
          <w:b/>
          <w:sz w:val="36"/>
          <w:szCs w:val="36"/>
        </w:rPr>
      </w:pPr>
    </w:p>
    <w:p>
      <w:pPr>
        <w:pStyle w:val="29"/>
        <w:numPr>
          <w:ilvl w:val="0"/>
          <w:numId w:val="0"/>
        </w:numPr>
        <w:jc w:val="both"/>
        <w:rPr>
          <w:rFonts w:hint="eastAsia" w:ascii="仿宋" w:hAnsi="仿宋" w:eastAsia="仿宋" w:cs="仿宋"/>
          <w:b/>
          <w:sz w:val="36"/>
          <w:szCs w:val="36"/>
        </w:rPr>
      </w:pPr>
    </w:p>
    <w:p>
      <w:pPr>
        <w:pStyle w:val="29"/>
        <w:numPr>
          <w:ilvl w:val="0"/>
          <w:numId w:val="0"/>
        </w:numPr>
        <w:jc w:val="both"/>
        <w:rPr>
          <w:rFonts w:hint="eastAsia" w:ascii="仿宋" w:hAnsi="仿宋" w:eastAsia="仿宋" w:cs="仿宋"/>
          <w:b/>
          <w:sz w:val="36"/>
          <w:szCs w:val="36"/>
        </w:rPr>
      </w:pPr>
    </w:p>
    <w:p>
      <w:pPr>
        <w:pStyle w:val="8"/>
        <w:rPr>
          <w:rFonts w:hint="eastAsia" w:ascii="仿宋" w:hAnsi="仿宋" w:eastAsia="仿宋" w:cs="仿宋"/>
          <w:b/>
          <w:bCs/>
          <w:sz w:val="24"/>
        </w:rPr>
      </w:pPr>
    </w:p>
    <w:p>
      <w:pPr>
        <w:rPr>
          <w:rFonts w:hint="eastAsia" w:ascii="仿宋" w:hAnsi="仿宋" w:eastAsia="仿宋" w:cs="仿宋"/>
        </w:rPr>
      </w:pPr>
    </w:p>
    <w:p>
      <w:pPr>
        <w:pStyle w:val="8"/>
        <w:rPr>
          <w:rFonts w:hint="eastAsia" w:ascii="仿宋" w:hAnsi="仿宋" w:eastAsia="仿宋" w:cs="仿宋"/>
          <w:b/>
          <w:bCs/>
          <w:sz w:val="24"/>
        </w:rPr>
      </w:pPr>
    </w:p>
    <w:sectPr>
      <w:headerReference r:id="rId13" w:type="default"/>
      <w:footerReference r:id="rId14" w:type="default"/>
      <w:pgSz w:w="11906" w:h="16838"/>
      <w:pgMar w:top="1247" w:right="1417" w:bottom="1276"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_x0003_...销.">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1"/>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ascii="仿宋_GB2312" w:eastAsia="仿宋_GB2312"/>
        <w:b/>
        <w:i/>
        <w:sz w:val="18"/>
        <w:u w:val="single"/>
      </w:rPr>
    </w:pPr>
    <w:r>
      <w:t></w:t>
    </w:r>
    <w:r>
      <w:rPr>
        <w:rFonts w:hint="eastAsia"/>
      </w:rPr>
      <w:t xml:space="preserve">                                              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r>
      <w:rPr>
        <w:rFonts w:hint="eastAsia"/>
      </w:rPr>
      <w:t xml:space="preserve">    </w:t>
    </w:r>
  </w:p>
  <w:p>
    <w:pPr>
      <w:pStyle w:val="12"/>
    </w:pPr>
    <w:r>
      <w:rPr>
        <w:rFonts w:hint="eastAsia"/>
      </w:rPr>
      <w:t xml:space="preserve">                                                                杭州市</w:t>
    </w:r>
    <w:r>
      <w:rPr>
        <w:rFonts w:hint="eastAsia"/>
        <w:lang w:eastAsia="zh-CN"/>
      </w:rPr>
      <w:t>临安区</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ascii="仿宋_GB2312" w:eastAsia="仿宋_GB2312"/>
        <w:b/>
        <w:i/>
        <w:sz w:val="18"/>
        <w:u w:val="single"/>
      </w:rPr>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lang w:eastAsia="zh-CN"/>
      </w:rPr>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9FBAF"/>
    <w:multiLevelType w:val="singleLevel"/>
    <w:tmpl w:val="C2A9FBAF"/>
    <w:lvl w:ilvl="0" w:tentative="0">
      <w:start w:val="1"/>
      <w:numFmt w:val="decimal"/>
      <w:suff w:val="nothing"/>
      <w:lvlText w:val="%1、"/>
      <w:lvlJc w:val="left"/>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6871632"/>
    <w:multiLevelType w:val="singleLevel"/>
    <w:tmpl w:val="16871632"/>
    <w:lvl w:ilvl="0" w:tentative="0">
      <w:start w:val="1"/>
      <w:numFmt w:val="decimal"/>
      <w:suff w:val="nothing"/>
      <w:lvlText w:val="%1、"/>
      <w:lvlJc w:val="left"/>
    </w:lvl>
  </w:abstractNum>
  <w:abstractNum w:abstractNumId="5">
    <w:nsid w:val="18A87A07"/>
    <w:multiLevelType w:val="singleLevel"/>
    <w:tmpl w:val="18A87A07"/>
    <w:lvl w:ilvl="0" w:tentative="0">
      <w:start w:val="4"/>
      <w:numFmt w:val="chineseCounting"/>
      <w:suff w:val="space"/>
      <w:lvlText w:val="第%1部分"/>
      <w:lvlJc w:val="left"/>
      <w:rPr>
        <w:rFonts w:hint="eastAsia"/>
      </w:rPr>
    </w:lvl>
  </w:abstractNum>
  <w:abstractNum w:abstractNumId="6">
    <w:nsid w:val="1BB35632"/>
    <w:multiLevelType w:val="singleLevel"/>
    <w:tmpl w:val="1BB35632"/>
    <w:lvl w:ilvl="0" w:tentative="0">
      <w:start w:val="6"/>
      <w:numFmt w:val="decimal"/>
      <w:suff w:val="nothing"/>
      <w:lvlText w:val="%1）"/>
      <w:lvlJc w:val="left"/>
    </w:lvl>
  </w:abstractNum>
  <w:abstractNum w:abstractNumId="7">
    <w:nsid w:val="28F96F34"/>
    <w:multiLevelType w:val="singleLevel"/>
    <w:tmpl w:val="28F96F34"/>
    <w:lvl w:ilvl="0" w:tentative="0">
      <w:start w:val="7"/>
      <w:numFmt w:val="decimal"/>
      <w:suff w:val="nothing"/>
      <w:lvlText w:val="%1、"/>
      <w:lvlJc w:val="left"/>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5C41909"/>
    <w:multiLevelType w:val="singleLevel"/>
    <w:tmpl w:val="45C41909"/>
    <w:lvl w:ilvl="0" w:tentative="0">
      <w:start w:val="6"/>
      <w:numFmt w:val="decimal"/>
      <w:suff w:val="nothing"/>
      <w:lvlText w:val="%1、"/>
      <w:lvlJc w:val="left"/>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599C5690"/>
    <w:multiLevelType w:val="singleLevel"/>
    <w:tmpl w:val="599C5690"/>
    <w:lvl w:ilvl="0" w:tentative="0">
      <w:start w:val="6"/>
      <w:numFmt w:val="decimal"/>
      <w:suff w:val="space"/>
      <w:lvlText w:val="%1."/>
      <w:lvlJc w:val="left"/>
    </w:lvl>
  </w:abstractNum>
  <w:abstractNum w:abstractNumId="12">
    <w:nsid w:val="73CC574F"/>
    <w:multiLevelType w:val="singleLevel"/>
    <w:tmpl w:val="73CC574F"/>
    <w:lvl w:ilvl="0" w:tentative="0">
      <w:start w:val="1"/>
      <w:numFmt w:val="decimal"/>
      <w:suff w:val="nothing"/>
      <w:lvlText w:val="%1、"/>
      <w:lvlJc w:val="left"/>
    </w:lvl>
  </w:abstractNum>
  <w:abstractNum w:abstractNumId="13">
    <w:nsid w:val="79CA01B1"/>
    <w:multiLevelType w:val="multilevel"/>
    <w:tmpl w:val="79CA01B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13"/>
  </w:num>
  <w:num w:numId="4">
    <w:abstractNumId w:val="1"/>
  </w:num>
  <w:num w:numId="5">
    <w:abstractNumId w:val="5"/>
  </w:num>
  <w:num w:numId="6">
    <w:abstractNumId w:val="9"/>
  </w:num>
  <w:num w:numId="7">
    <w:abstractNumId w:val="4"/>
  </w:num>
  <w:num w:numId="8">
    <w:abstractNumId w:val="0"/>
  </w:num>
  <w:num w:numId="9">
    <w:abstractNumId w:val="7"/>
  </w:num>
  <w:num w:numId="10">
    <w:abstractNumId w:val="12"/>
  </w:num>
  <w:num w:numId="11">
    <w:abstractNumId w:val="6"/>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359B"/>
    <w:rsid w:val="027044C8"/>
    <w:rsid w:val="027621D9"/>
    <w:rsid w:val="029E4955"/>
    <w:rsid w:val="03D47B12"/>
    <w:rsid w:val="040864E5"/>
    <w:rsid w:val="04347AF9"/>
    <w:rsid w:val="04AB7F74"/>
    <w:rsid w:val="04B6366A"/>
    <w:rsid w:val="05550A9B"/>
    <w:rsid w:val="067963F5"/>
    <w:rsid w:val="06886942"/>
    <w:rsid w:val="06904DEA"/>
    <w:rsid w:val="07451FD4"/>
    <w:rsid w:val="0776399E"/>
    <w:rsid w:val="07B41A88"/>
    <w:rsid w:val="086D745A"/>
    <w:rsid w:val="08C434B0"/>
    <w:rsid w:val="08D33A9F"/>
    <w:rsid w:val="0A1F4BB0"/>
    <w:rsid w:val="0B4B4333"/>
    <w:rsid w:val="0C076B81"/>
    <w:rsid w:val="0DDF5995"/>
    <w:rsid w:val="0E97373C"/>
    <w:rsid w:val="0F836C9E"/>
    <w:rsid w:val="100D04F2"/>
    <w:rsid w:val="101F2A2D"/>
    <w:rsid w:val="11316919"/>
    <w:rsid w:val="113D247F"/>
    <w:rsid w:val="11411066"/>
    <w:rsid w:val="115F3B26"/>
    <w:rsid w:val="11702C50"/>
    <w:rsid w:val="118E59C2"/>
    <w:rsid w:val="11990A39"/>
    <w:rsid w:val="11BC0B47"/>
    <w:rsid w:val="12394BDD"/>
    <w:rsid w:val="13880DDA"/>
    <w:rsid w:val="14D93D23"/>
    <w:rsid w:val="153369BB"/>
    <w:rsid w:val="15CF7130"/>
    <w:rsid w:val="16D4281D"/>
    <w:rsid w:val="173C0908"/>
    <w:rsid w:val="19134070"/>
    <w:rsid w:val="19754FF6"/>
    <w:rsid w:val="19E259C0"/>
    <w:rsid w:val="1A033A08"/>
    <w:rsid w:val="1A46025A"/>
    <w:rsid w:val="1A812E05"/>
    <w:rsid w:val="1A8E727D"/>
    <w:rsid w:val="1A9B19FF"/>
    <w:rsid w:val="1B117317"/>
    <w:rsid w:val="1BBC1395"/>
    <w:rsid w:val="1D2F4054"/>
    <w:rsid w:val="1E2C2394"/>
    <w:rsid w:val="1F1F6C7D"/>
    <w:rsid w:val="20AD1E02"/>
    <w:rsid w:val="20DA0DB3"/>
    <w:rsid w:val="21E709C4"/>
    <w:rsid w:val="22F75F07"/>
    <w:rsid w:val="232A5D5A"/>
    <w:rsid w:val="233932A0"/>
    <w:rsid w:val="23D66E6C"/>
    <w:rsid w:val="240652CF"/>
    <w:rsid w:val="240A60C6"/>
    <w:rsid w:val="26194E18"/>
    <w:rsid w:val="26A11753"/>
    <w:rsid w:val="276F7046"/>
    <w:rsid w:val="27C26E46"/>
    <w:rsid w:val="28B65913"/>
    <w:rsid w:val="28DE47B5"/>
    <w:rsid w:val="293E49EA"/>
    <w:rsid w:val="2A273562"/>
    <w:rsid w:val="31060DFB"/>
    <w:rsid w:val="31905F1B"/>
    <w:rsid w:val="33D6131E"/>
    <w:rsid w:val="33D7183D"/>
    <w:rsid w:val="347B6263"/>
    <w:rsid w:val="34FE4B85"/>
    <w:rsid w:val="352A7933"/>
    <w:rsid w:val="356F1653"/>
    <w:rsid w:val="36C75D72"/>
    <w:rsid w:val="37BC4A18"/>
    <w:rsid w:val="39E11540"/>
    <w:rsid w:val="3A447F25"/>
    <w:rsid w:val="3A8522DD"/>
    <w:rsid w:val="3A8B0E60"/>
    <w:rsid w:val="3B491903"/>
    <w:rsid w:val="3B4E2FAA"/>
    <w:rsid w:val="3B5F75D9"/>
    <w:rsid w:val="3BA36F78"/>
    <w:rsid w:val="3BB52EF0"/>
    <w:rsid w:val="3D493FE5"/>
    <w:rsid w:val="3D845760"/>
    <w:rsid w:val="3E063130"/>
    <w:rsid w:val="3F2E4C92"/>
    <w:rsid w:val="3FEE7609"/>
    <w:rsid w:val="40E260C7"/>
    <w:rsid w:val="42752D1F"/>
    <w:rsid w:val="42915E2D"/>
    <w:rsid w:val="42C0162B"/>
    <w:rsid w:val="436D4AA1"/>
    <w:rsid w:val="437A75DD"/>
    <w:rsid w:val="44D15E9E"/>
    <w:rsid w:val="4516018B"/>
    <w:rsid w:val="45D76BEF"/>
    <w:rsid w:val="47363F7F"/>
    <w:rsid w:val="48550ED3"/>
    <w:rsid w:val="48AD2A17"/>
    <w:rsid w:val="4B7054BF"/>
    <w:rsid w:val="4B911379"/>
    <w:rsid w:val="4BA939C1"/>
    <w:rsid w:val="4BD50C93"/>
    <w:rsid w:val="4BF333FA"/>
    <w:rsid w:val="4C9B4E81"/>
    <w:rsid w:val="4D57474D"/>
    <w:rsid w:val="4D6D5B2D"/>
    <w:rsid w:val="4FF1728A"/>
    <w:rsid w:val="508076A8"/>
    <w:rsid w:val="50D576BA"/>
    <w:rsid w:val="5134227B"/>
    <w:rsid w:val="51FA29B2"/>
    <w:rsid w:val="522541D8"/>
    <w:rsid w:val="52847126"/>
    <w:rsid w:val="53C82878"/>
    <w:rsid w:val="54A210B8"/>
    <w:rsid w:val="557460EC"/>
    <w:rsid w:val="57D171EC"/>
    <w:rsid w:val="593724A5"/>
    <w:rsid w:val="59AF1A83"/>
    <w:rsid w:val="5A280AFB"/>
    <w:rsid w:val="5ACB5B3A"/>
    <w:rsid w:val="5B3348CE"/>
    <w:rsid w:val="5B7D5B22"/>
    <w:rsid w:val="5BCF6110"/>
    <w:rsid w:val="5CD67D7C"/>
    <w:rsid w:val="5DA51043"/>
    <w:rsid w:val="5DC93E2F"/>
    <w:rsid w:val="5E276043"/>
    <w:rsid w:val="5E341A1F"/>
    <w:rsid w:val="5E563462"/>
    <w:rsid w:val="5F562431"/>
    <w:rsid w:val="5F5B16F1"/>
    <w:rsid w:val="5FA97646"/>
    <w:rsid w:val="5FBA126C"/>
    <w:rsid w:val="612C5CAF"/>
    <w:rsid w:val="615753FD"/>
    <w:rsid w:val="66860163"/>
    <w:rsid w:val="66BA6671"/>
    <w:rsid w:val="67225BC1"/>
    <w:rsid w:val="672E26C1"/>
    <w:rsid w:val="674011EB"/>
    <w:rsid w:val="678460BC"/>
    <w:rsid w:val="679C14D1"/>
    <w:rsid w:val="68521ADF"/>
    <w:rsid w:val="685366A7"/>
    <w:rsid w:val="68A15C08"/>
    <w:rsid w:val="68A82F17"/>
    <w:rsid w:val="69CC364D"/>
    <w:rsid w:val="6B534A55"/>
    <w:rsid w:val="6BA92EA1"/>
    <w:rsid w:val="6BBB31E1"/>
    <w:rsid w:val="6C4E1089"/>
    <w:rsid w:val="6D3A5311"/>
    <w:rsid w:val="6D8E04E8"/>
    <w:rsid w:val="6DA25265"/>
    <w:rsid w:val="6F0A351C"/>
    <w:rsid w:val="719A0593"/>
    <w:rsid w:val="71C51A67"/>
    <w:rsid w:val="75445EC8"/>
    <w:rsid w:val="75A719E6"/>
    <w:rsid w:val="75AA43CF"/>
    <w:rsid w:val="76824E9B"/>
    <w:rsid w:val="773B01DD"/>
    <w:rsid w:val="787A086A"/>
    <w:rsid w:val="78DE70A6"/>
    <w:rsid w:val="79652DBA"/>
    <w:rsid w:val="79D33378"/>
    <w:rsid w:val="7A7F1D30"/>
    <w:rsid w:val="7B3A3242"/>
    <w:rsid w:val="7C6736B4"/>
    <w:rsid w:val="7C8761D1"/>
    <w:rsid w:val="7CE2520E"/>
    <w:rsid w:val="7D0D2384"/>
    <w:rsid w:val="7D273B73"/>
    <w:rsid w:val="7F8B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480" w:lineRule="exact"/>
      <w:ind w:firstLine="480" w:firstLineChars="200"/>
    </w:pPr>
    <w:rPr>
      <w:rFonts w:ascii="宋体" w:hAnsi="宋体"/>
      <w:sz w:val="24"/>
    </w:rPr>
  </w:style>
  <w:style w:type="paragraph" w:styleId="3">
    <w:name w:val="Body Text First Indent 2"/>
    <w:basedOn w:val="2"/>
    <w:unhideWhenUsed/>
    <w:qFormat/>
    <w:uiPriority w:val="99"/>
    <w:pPr>
      <w:ind w:firstLine="420" w:firstLineChars="200"/>
    </w:p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next w:val="9"/>
    <w:qFormat/>
    <w:uiPriority w:val="0"/>
    <w:pPr>
      <w:autoSpaceDE w:val="0"/>
      <w:autoSpaceDN w:val="0"/>
      <w:spacing w:line="360" w:lineRule="auto"/>
    </w:pPr>
    <w:rPr>
      <w:rFonts w:ascii="宋体"/>
      <w:sz w:val="24"/>
      <w:szCs w:val="21"/>
      <w:lang w:val="zh-CN"/>
    </w:rPr>
  </w:style>
  <w:style w:type="paragraph" w:styleId="9">
    <w:name w:val="Body Text First Indent"/>
    <w:basedOn w:val="8"/>
    <w:next w:val="1"/>
    <w:qFormat/>
    <w:uiPriority w:val="0"/>
    <w:pPr>
      <w:ind w:firstLine="420"/>
    </w:pPr>
    <w:rPr>
      <w:rFonts w:hAnsi="Times New Roman" w:cs="Times New Roman"/>
      <w:snapToGrid/>
      <w:szCs w:val="20"/>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Indent 3"/>
    <w:basedOn w:val="1"/>
    <w:qFormat/>
    <w:uiPriority w:val="0"/>
    <w:pPr>
      <w:spacing w:line="240" w:lineRule="auto"/>
      <w:ind w:firstLine="0" w:firstLineChars="0"/>
      <w:contextualSpacing/>
    </w:pPr>
    <w:rPr>
      <w:szCs w:val="16"/>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rFonts w:eastAsia="黑体"/>
      <w:bCs/>
    </w:rPr>
  </w:style>
  <w:style w:type="character" w:styleId="20">
    <w:name w:val="page number"/>
    <w:basedOn w:val="18"/>
    <w:qFormat/>
    <w:uiPriority w:val="0"/>
  </w:style>
  <w:style w:type="character" w:styleId="21">
    <w:name w:val="Hyperlink"/>
    <w:qFormat/>
    <w:uiPriority w:val="0"/>
    <w:rPr>
      <w:rFonts w:ascii="Arial" w:hAnsi="Arial" w:eastAsia="黑体" w:cs="Arial"/>
      <w:snapToGrid w:val="0"/>
      <w:color w:val="000000"/>
      <w:kern w:val="0"/>
      <w:sz w:val="18"/>
      <w:szCs w:val="18"/>
      <w:u w:val="none"/>
    </w:rPr>
  </w:style>
  <w:style w:type="paragraph" w:customStyle="1" w:styleId="22">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
    <w:name w:val="正文2"/>
    <w:basedOn w:val="1"/>
    <w:qFormat/>
    <w:uiPriority w:val="0"/>
    <w:pPr>
      <w:spacing w:before="156" w:line="360" w:lineRule="auto"/>
      <w:ind w:firstLine="510" w:firstLineChars="200"/>
    </w:pPr>
    <w:rPr>
      <w:sz w:val="24"/>
      <w:szCs w:val="20"/>
    </w:rPr>
  </w:style>
  <w:style w:type="paragraph" w:styleId="25">
    <w:name w:val="List Paragraph"/>
    <w:basedOn w:val="1"/>
    <w:qFormat/>
    <w:uiPriority w:val="0"/>
    <w:pPr>
      <w:spacing w:line="360" w:lineRule="auto"/>
      <w:ind w:firstLine="200" w:firstLineChars="200"/>
    </w:pPr>
    <w:rPr>
      <w:rFonts w:eastAsia="楷体_GB2312" w:cs="Lucida Sans"/>
      <w:sz w:val="24"/>
    </w:rPr>
  </w:style>
  <w:style w:type="paragraph" w:customStyle="1" w:styleId="26">
    <w:name w:val="正文缩进1"/>
    <w:basedOn w:val="1"/>
    <w:next w:val="2"/>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7">
    <w:name w:val="索引 11"/>
    <w:basedOn w:val="1"/>
    <w:next w:val="1"/>
    <w:qFormat/>
    <w:uiPriority w:val="0"/>
    <w:pPr>
      <w:adjustRightInd/>
      <w:spacing w:line="360" w:lineRule="auto"/>
    </w:pPr>
    <w:rPr>
      <w:rFonts w:ascii="仿宋_GB2312" w:eastAsia="仿宋_GB2312"/>
      <w:sz w:val="24"/>
      <w:szCs w:val="20"/>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Normal]"/>
    <w:qFormat/>
    <w:uiPriority w:val="0"/>
    <w:rPr>
      <w:rFonts w:ascii="宋体" w:hAnsi="宋体" w:eastAsia="宋体" w:cs="Times New Roman"/>
      <w:sz w:val="24"/>
      <w:szCs w:val="22"/>
      <w:lang w:val="zh-CN" w:eastAsia="zh-CN" w:bidi="ar-SA"/>
    </w:rPr>
  </w:style>
  <w:style w:type="paragraph" w:customStyle="1" w:styleId="30">
    <w:name w:val="纯文本_0_0"/>
    <w:basedOn w:val="31"/>
    <w:qFormat/>
    <w:uiPriority w:val="0"/>
    <w:pPr>
      <w:adjustRightInd/>
    </w:pPr>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杨颖</cp:lastModifiedBy>
  <cp:lastPrinted>2021-06-09T00:57:00Z</cp:lastPrinted>
  <dcterms:modified xsi:type="dcterms:W3CDTF">2022-11-15T08:20:49Z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A23837E9BDF24ED181F855B2A6798B43</vt:lpwstr>
  </property>
</Properties>
</file>