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仿宋_GB2312" w:hAnsi="仿宋" w:eastAsia="仿宋_GB2312" w:cs="仿宋_GB2312"/>
          <w:b/>
          <w:sz w:val="24"/>
          <w:szCs w:val="24"/>
        </w:rPr>
      </w:pPr>
    </w:p>
    <w:p>
      <w:pPr>
        <w:adjustRightInd w:val="0"/>
        <w:spacing w:line="360" w:lineRule="auto"/>
        <w:jc w:val="center"/>
        <w:rPr>
          <w:rFonts w:ascii="仿宋_GB2312" w:hAnsi="仿宋" w:eastAsia="仿宋_GB2312" w:cs="仿宋_GB2312"/>
          <w:b/>
          <w:sz w:val="24"/>
          <w:szCs w:val="24"/>
        </w:rPr>
      </w:pPr>
    </w:p>
    <w:p>
      <w:pPr>
        <w:spacing w:line="360" w:lineRule="auto"/>
        <w:jc w:val="center"/>
        <w:rPr>
          <w:rFonts w:ascii="仿宋_GB2312" w:hAnsi="仿宋" w:eastAsia="仿宋_GB2312" w:cs="仿宋_GB2312"/>
          <w:b/>
          <w:sz w:val="44"/>
          <w:szCs w:val="44"/>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spacing w:line="360" w:lineRule="auto"/>
        <w:jc w:val="center"/>
        <w:rPr>
          <w:rFonts w:hint="eastAsia" w:ascii="仿宋_GB2312" w:hAnsi="仿宋" w:eastAsia="仿宋_GB2312" w:cs="仿宋_GB2312"/>
          <w:b w:val="0"/>
          <w:bCs/>
          <w:sz w:val="56"/>
          <w:szCs w:val="56"/>
        </w:rPr>
      </w:pPr>
      <w:r>
        <w:rPr>
          <w:rFonts w:hint="eastAsia" w:ascii="仿宋_GB2312" w:hAnsi="仿宋" w:eastAsia="仿宋_GB2312" w:cs="仿宋_GB2312"/>
          <w:b w:val="0"/>
          <w:bCs/>
          <w:sz w:val="56"/>
          <w:szCs w:val="56"/>
          <w:lang w:eastAsia="zh-CN"/>
        </w:rPr>
        <w:t>杭州市临安区</w:t>
      </w:r>
      <w:r>
        <w:rPr>
          <w:rFonts w:hint="eastAsia" w:ascii="仿宋_GB2312" w:hAnsi="仿宋" w:eastAsia="仿宋_GB2312" w:cs="仿宋_GB2312"/>
          <w:b w:val="0"/>
          <w:bCs/>
          <w:sz w:val="56"/>
          <w:szCs w:val="56"/>
        </w:rPr>
        <w:t>国际商务中心2#、4#楼会议室音视频系统</w:t>
      </w:r>
      <w:r>
        <w:rPr>
          <w:rFonts w:hint="eastAsia" w:ascii="仿宋_GB2312" w:hAnsi="仿宋" w:eastAsia="仿宋_GB2312" w:cs="仿宋_GB2312"/>
          <w:b w:val="0"/>
          <w:bCs/>
          <w:sz w:val="56"/>
          <w:szCs w:val="56"/>
          <w:lang w:eastAsia="zh-CN"/>
        </w:rPr>
        <w:t>重新采购</w:t>
      </w:r>
      <w:r>
        <w:rPr>
          <w:rFonts w:hint="eastAsia" w:ascii="仿宋_GB2312" w:hAnsi="仿宋" w:eastAsia="仿宋_GB2312" w:cs="仿宋_GB2312"/>
          <w:b w:val="0"/>
          <w:bCs/>
          <w:sz w:val="56"/>
          <w:szCs w:val="56"/>
        </w:rPr>
        <w:t>项目</w:t>
      </w:r>
    </w:p>
    <w:p>
      <w:pPr>
        <w:spacing w:line="360" w:lineRule="auto"/>
        <w:jc w:val="center"/>
        <w:rPr>
          <w:rFonts w:ascii="仿宋_GB2312" w:hAnsi="仿宋" w:eastAsia="仿宋_GB2312" w:cs="仿宋_GB2312"/>
          <w:b/>
          <w:sz w:val="72"/>
          <w:szCs w:val="72"/>
        </w:rPr>
      </w:pPr>
      <w:r>
        <w:rPr>
          <w:rFonts w:hint="eastAsia" w:ascii="仿宋_GB2312" w:hAnsi="仿宋" w:eastAsia="仿宋_GB2312" w:cs="仿宋_GB2312"/>
          <w:b/>
          <w:sz w:val="72"/>
          <w:szCs w:val="72"/>
        </w:rPr>
        <w:t>招标文件</w:t>
      </w:r>
    </w:p>
    <w:p>
      <w:pPr>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（电子招投标）</w:t>
      </w:r>
    </w:p>
    <w:p>
      <w:pPr>
        <w:adjustRightInd w:val="0"/>
        <w:spacing w:line="360" w:lineRule="auto"/>
        <w:jc w:val="center"/>
        <w:rPr>
          <w:rFonts w:ascii="仿宋_GB2312" w:hAnsi="仿宋" w:eastAsia="仿宋_GB2312" w:cs="仿宋_GB2312"/>
          <w:b/>
          <w:sz w:val="24"/>
          <w:szCs w:val="24"/>
        </w:rPr>
      </w:pPr>
    </w:p>
    <w:p>
      <w:pPr>
        <w:adjustRightInd w:val="0"/>
        <w:snapToGrid w:val="0"/>
        <w:spacing w:line="360" w:lineRule="auto"/>
        <w:jc w:val="center"/>
        <w:rPr>
          <w:rFonts w:hint="default" w:ascii="仿宋_GB2312" w:hAnsi="仿宋" w:eastAsia="仿宋_GB2312" w:cs="仿宋_GB2312"/>
          <w:sz w:val="30"/>
          <w:szCs w:val="30"/>
          <w:lang w:val="en-US" w:eastAsia="zh-CN"/>
        </w:rPr>
      </w:pPr>
      <w:r>
        <w:rPr>
          <w:rFonts w:hint="eastAsia" w:ascii="仿宋_GB2312" w:hAnsi="仿宋" w:eastAsia="仿宋_GB2312" w:cs="仿宋_GB2312"/>
          <w:sz w:val="30"/>
          <w:szCs w:val="30"/>
        </w:rPr>
        <w:t>编号:</w:t>
      </w:r>
      <w:r>
        <w:rPr>
          <w:rFonts w:hint="eastAsia" w:ascii="仿宋_GB2312" w:hAnsi="仿宋" w:eastAsia="仿宋_GB2312" w:cs="仿宋_GB2312"/>
          <w:sz w:val="30"/>
          <w:szCs w:val="30"/>
          <w:lang w:val="en-US" w:eastAsia="zh-CN"/>
        </w:rPr>
        <w:t>LZC</w:t>
      </w:r>
      <w:r>
        <w:rPr>
          <w:rFonts w:hint="eastAsia" w:ascii="仿宋_GB2312" w:hAnsi="仿宋" w:eastAsia="仿宋_GB2312" w:cs="仿宋_GB2312"/>
          <w:sz w:val="30"/>
          <w:szCs w:val="30"/>
        </w:rPr>
        <w:t>-</w:t>
      </w:r>
      <w:r>
        <w:rPr>
          <w:rFonts w:hint="eastAsia" w:ascii="仿宋_GB2312" w:hAnsi="仿宋" w:eastAsia="仿宋_GB2312" w:cs="仿宋_GB2312"/>
          <w:sz w:val="30"/>
          <w:szCs w:val="30"/>
          <w:lang w:val="en-US" w:eastAsia="zh-CN"/>
        </w:rPr>
        <w:t>GK-</w:t>
      </w:r>
      <w:r>
        <w:rPr>
          <w:rFonts w:hint="eastAsia" w:ascii="仿宋_GB2312" w:hAnsi="仿宋" w:eastAsia="仿宋_GB2312" w:cs="仿宋_GB2312"/>
          <w:sz w:val="30"/>
          <w:szCs w:val="30"/>
        </w:rPr>
        <w:t>2021-</w:t>
      </w:r>
      <w:r>
        <w:rPr>
          <w:rFonts w:hint="eastAsia" w:ascii="仿宋_GB2312" w:hAnsi="仿宋" w:eastAsia="仿宋_GB2312" w:cs="仿宋_GB2312"/>
          <w:sz w:val="30"/>
          <w:szCs w:val="30"/>
          <w:lang w:val="en-US" w:eastAsia="zh-CN"/>
        </w:rPr>
        <w:t>09068-1</w:t>
      </w:r>
    </w:p>
    <w:p>
      <w:pPr>
        <w:spacing w:line="360" w:lineRule="auto"/>
        <w:rPr>
          <w:rFonts w:ascii="仿宋_GB2312" w:hAnsi="仿宋" w:eastAsia="仿宋_GB2312" w:cs="仿宋_GB2312"/>
          <w:sz w:val="28"/>
          <w:szCs w:val="20"/>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sz w:val="24"/>
          <w:szCs w:val="24"/>
        </w:rPr>
      </w:pPr>
    </w:p>
    <w:p>
      <w:pPr>
        <w:adjustRightInd w:val="0"/>
        <w:spacing w:line="360" w:lineRule="auto"/>
        <w:jc w:val="center"/>
        <w:rPr>
          <w:rFonts w:ascii="仿宋_GB2312" w:hAnsi="仿宋" w:eastAsia="仿宋_GB2312" w:cs="仿宋_GB2312"/>
          <w:sz w:val="24"/>
          <w:szCs w:val="24"/>
        </w:rPr>
      </w:pPr>
    </w:p>
    <w:p>
      <w:pPr>
        <w:adjustRightInd w:val="0"/>
        <w:spacing w:line="360" w:lineRule="auto"/>
        <w:jc w:val="center"/>
        <w:rPr>
          <w:rFonts w:ascii="仿宋_GB2312" w:hAnsi="仿宋" w:eastAsia="仿宋_GB2312" w:cs="仿宋_GB2312"/>
          <w:sz w:val="24"/>
          <w:szCs w:val="24"/>
        </w:rPr>
      </w:pPr>
    </w:p>
    <w:p>
      <w:pPr>
        <w:adjustRightInd w:val="0"/>
        <w:spacing w:line="360" w:lineRule="auto"/>
        <w:rPr>
          <w:rFonts w:ascii="仿宋_GB2312" w:hAnsi="仿宋" w:eastAsia="仿宋_GB2312" w:cs="仿宋_GB2312"/>
          <w:sz w:val="32"/>
          <w:szCs w:val="32"/>
        </w:rPr>
      </w:pPr>
      <w:r>
        <w:rPr>
          <w:rFonts w:hint="eastAsia" w:ascii="仿宋_GB2312" w:hAnsi="仿宋" w:eastAsia="仿宋_GB2312" w:cs="仿宋_GB2312"/>
          <w:sz w:val="24"/>
          <w:szCs w:val="24"/>
        </w:rPr>
        <w:t xml:space="preserve">                                      </w:t>
      </w:r>
    </w:p>
    <w:p>
      <w:pPr>
        <w:adjustRightInd w:val="0"/>
        <w:spacing w:line="360" w:lineRule="auto"/>
        <w:jc w:val="center"/>
        <w:rPr>
          <w:rFonts w:hint="eastAsia" w:ascii="仿宋_GB2312" w:hAnsi="仿宋" w:eastAsia="仿宋_GB2312" w:cs="仿宋_GB2312"/>
          <w:bCs/>
          <w:sz w:val="32"/>
          <w:szCs w:val="32"/>
        </w:rPr>
      </w:pPr>
      <w:r>
        <w:rPr>
          <w:rFonts w:hint="eastAsia" w:ascii="仿宋_GB2312" w:hAnsi="仿宋" w:eastAsia="仿宋_GB2312" w:cs="仿宋_GB2312"/>
          <w:bCs/>
          <w:sz w:val="32"/>
          <w:szCs w:val="32"/>
        </w:rPr>
        <w:t>浙江杭州青山湖科技城投资集团有限公司</w:t>
      </w:r>
    </w:p>
    <w:p>
      <w:pPr>
        <w:adjustRightInd w:val="0"/>
        <w:spacing w:line="360" w:lineRule="auto"/>
        <w:jc w:val="center"/>
        <w:rPr>
          <w:rFonts w:hint="eastAsia" w:ascii="仿宋_GB2312" w:hAnsi="仿宋" w:eastAsia="仿宋_GB2312" w:cs="仿宋_GB2312"/>
          <w:bCs/>
          <w:sz w:val="32"/>
          <w:szCs w:val="32"/>
          <w:highlight w:val="yellow"/>
          <w:lang w:val="en-US" w:eastAsia="zh-CN"/>
        </w:rPr>
      </w:pPr>
      <w:r>
        <w:rPr>
          <w:rFonts w:hint="eastAsia" w:ascii="仿宋_GB2312" w:hAnsi="仿宋" w:eastAsia="仿宋_GB2312" w:cs="仿宋_GB2312"/>
          <w:bCs/>
          <w:sz w:val="32"/>
          <w:szCs w:val="32"/>
        </w:rPr>
        <w:t>杭州市公共资源交易中心</w:t>
      </w:r>
      <w:r>
        <w:rPr>
          <w:rFonts w:hint="eastAsia" w:ascii="仿宋_GB2312" w:hAnsi="仿宋" w:eastAsia="仿宋_GB2312" w:cs="仿宋_GB2312"/>
          <w:bCs/>
          <w:sz w:val="32"/>
          <w:szCs w:val="32"/>
          <w:lang w:eastAsia="zh-CN"/>
        </w:rPr>
        <w:t>临安分中心</w:t>
      </w:r>
    </w:p>
    <w:p>
      <w:pPr>
        <w:adjustRightInd w:val="0"/>
        <w:snapToGrid w:val="0"/>
        <w:spacing w:line="360" w:lineRule="auto"/>
        <w:jc w:val="center"/>
        <w:rPr>
          <w:rFonts w:ascii="仿宋_GB2312" w:hAnsi="仿宋" w:eastAsia="仿宋_GB2312" w:cs="仿宋_GB2312"/>
          <w:bCs/>
          <w:sz w:val="32"/>
          <w:szCs w:val="32"/>
        </w:rPr>
      </w:pPr>
      <w:r>
        <w:rPr>
          <w:rFonts w:hint="eastAsia" w:ascii="仿宋_GB2312" w:hAnsi="仿宋" w:eastAsia="仿宋_GB2312" w:cs="仿宋_GB2312"/>
          <w:bCs/>
          <w:sz w:val="32"/>
          <w:szCs w:val="32"/>
        </w:rPr>
        <w:t>二</w:t>
      </w:r>
      <w:r>
        <w:rPr>
          <w:rFonts w:hint="eastAsia" w:ascii="宋体" w:hAnsi="宋体" w:eastAsia="宋体" w:cs="宋体"/>
          <w:bCs/>
          <w:sz w:val="32"/>
          <w:szCs w:val="32"/>
        </w:rPr>
        <w:t>〇</w:t>
      </w:r>
      <w:r>
        <w:rPr>
          <w:rFonts w:hint="eastAsia" w:ascii="仿宋_GB2312" w:hAnsi="仿宋" w:eastAsia="仿宋_GB2312" w:cs="仿宋_GB2312"/>
          <w:bCs/>
          <w:sz w:val="32"/>
          <w:szCs w:val="32"/>
        </w:rPr>
        <w:t>二</w:t>
      </w:r>
      <w:r>
        <w:rPr>
          <w:rFonts w:hint="eastAsia" w:ascii="宋体" w:hAnsi="宋体" w:eastAsia="宋体" w:cs="宋体"/>
          <w:bCs/>
          <w:sz w:val="32"/>
          <w:szCs w:val="32"/>
        </w:rPr>
        <w:t>一</w:t>
      </w:r>
      <w:r>
        <w:rPr>
          <w:rFonts w:hint="eastAsia" w:ascii="仿宋_GB2312" w:hAnsi="仿宋" w:eastAsia="仿宋_GB2312" w:cs="仿宋_GB2312"/>
          <w:bCs/>
          <w:sz w:val="32"/>
          <w:szCs w:val="32"/>
        </w:rPr>
        <w:t>年</w:t>
      </w:r>
      <w:r>
        <w:rPr>
          <w:rFonts w:hint="eastAsia" w:ascii="仿宋_GB2312" w:hAnsi="仿宋" w:eastAsia="仿宋_GB2312" w:cs="仿宋_GB2312"/>
          <w:bCs/>
          <w:sz w:val="32"/>
          <w:szCs w:val="32"/>
          <w:lang w:eastAsia="zh-CN"/>
        </w:rPr>
        <w:t>十一</w:t>
      </w:r>
      <w:r>
        <w:rPr>
          <w:rFonts w:hint="eastAsia" w:ascii="仿宋_GB2312" w:hAnsi="仿宋" w:eastAsia="仿宋_GB2312" w:cs="仿宋_GB2312"/>
          <w:bCs/>
          <w:sz w:val="32"/>
          <w:szCs w:val="32"/>
        </w:rPr>
        <w:t>月</w:t>
      </w:r>
      <w:r>
        <w:rPr>
          <w:rFonts w:hint="eastAsia" w:ascii="仿宋_GB2312" w:hAnsi="仿宋" w:eastAsia="仿宋_GB2312" w:cs="仿宋_GB2312"/>
          <w:bCs/>
          <w:sz w:val="32"/>
          <w:szCs w:val="32"/>
          <w:lang w:eastAsia="zh-CN"/>
        </w:rPr>
        <w:t>二十三</w:t>
      </w:r>
      <w:r>
        <w:rPr>
          <w:rFonts w:hint="eastAsia" w:ascii="仿宋_GB2312" w:hAnsi="仿宋" w:eastAsia="仿宋_GB2312" w:cs="仿宋_GB2312"/>
          <w:bCs/>
          <w:sz w:val="32"/>
          <w:szCs w:val="32"/>
        </w:rPr>
        <w:t>日</w:t>
      </w:r>
    </w:p>
    <w:p>
      <w:pPr>
        <w:adjustRightInd w:val="0"/>
        <w:spacing w:line="360" w:lineRule="auto"/>
        <w:jc w:val="center"/>
        <w:rPr>
          <w:rFonts w:ascii="仿宋_GB2312" w:hAnsi="仿宋" w:eastAsia="仿宋_GB2312" w:cs="仿宋_GB2312"/>
          <w:b/>
          <w:sz w:val="48"/>
          <w:szCs w:val="48"/>
        </w:rPr>
      </w:pPr>
      <w:r>
        <w:rPr>
          <w:rFonts w:hint="eastAsia" w:ascii="仿宋_GB2312" w:hAnsi="仿宋" w:eastAsia="仿宋_GB2312" w:cs="仿宋_GB2312"/>
          <w:sz w:val="24"/>
          <w:szCs w:val="24"/>
        </w:rPr>
        <w:br w:type="page"/>
      </w:r>
      <w:bookmarkStart w:id="0" w:name="_Hlt67893495"/>
      <w:bookmarkEnd w:id="0"/>
      <w:r>
        <w:rPr>
          <w:rFonts w:hint="eastAsia" w:ascii="仿宋_GB2312" w:hAnsi="仿宋" w:eastAsia="仿宋_GB2312" w:cs="仿宋_GB2312"/>
          <w:sz w:val="24"/>
          <w:szCs w:val="24"/>
        </w:rPr>
        <w:t>.</w:t>
      </w:r>
      <w:r>
        <w:rPr>
          <w:rFonts w:hint="eastAsia" w:ascii="仿宋_GB2312" w:hAnsi="仿宋" w:eastAsia="仿宋_GB2312" w:cs="仿宋_GB2312"/>
          <w:b/>
          <w:sz w:val="48"/>
          <w:szCs w:val="48"/>
        </w:rPr>
        <w:t>目  录</w:t>
      </w:r>
    </w:p>
    <w:p>
      <w:pPr>
        <w:adjustRightInd w:val="0"/>
        <w:spacing w:line="360" w:lineRule="auto"/>
        <w:rPr>
          <w:rFonts w:ascii="仿宋_GB2312" w:hAnsi="仿宋" w:eastAsia="仿宋_GB2312" w:cs="仿宋_GB2312"/>
          <w:sz w:val="32"/>
          <w:szCs w:val="32"/>
        </w:rPr>
      </w:pPr>
    </w:p>
    <w:p>
      <w:pPr>
        <w:adjustRightInd w:val="0"/>
        <w:spacing w:line="360" w:lineRule="auto"/>
        <w:rPr>
          <w:rFonts w:ascii="仿宋_GB2312" w:hAnsi="仿宋" w:eastAsia="仿宋_GB2312" w:cs="仿宋_GB2312"/>
          <w:sz w:val="32"/>
          <w:szCs w:val="32"/>
        </w:rPr>
      </w:pP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第一部分      招标公告</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第二部分      投标人须知</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第三部分      采购需求</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第四部分      评标方法及评分标准</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第五部分      拟签订的合同文本</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第六部分      应提交的有关格式范例</w:t>
      </w:r>
    </w:p>
    <w:p>
      <w:pPr>
        <w:adjustRightInd w:val="0"/>
        <w:spacing w:line="360" w:lineRule="auto"/>
        <w:ind w:firstLine="549" w:firstLineChars="229"/>
        <w:rPr>
          <w:rFonts w:ascii="仿宋_GB2312" w:hAnsi="仿宋" w:eastAsia="仿宋_GB2312" w:cs="仿宋_GB2312"/>
          <w:sz w:val="24"/>
          <w:szCs w:val="24"/>
        </w:rPr>
      </w:pPr>
      <w:bookmarkStart w:id="1" w:name="_Hlt91233176"/>
      <w:bookmarkEnd w:id="1"/>
      <w:bookmarkStart w:id="2" w:name="_Toc91899869"/>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bookmarkEnd w:id="2"/>
    <w:p>
      <w:pPr>
        <w:spacing w:line="360" w:lineRule="auto"/>
        <w:jc w:val="center"/>
        <w:outlineLvl w:val="0"/>
        <w:rPr>
          <w:rFonts w:ascii="仿宋_GB2312" w:hAnsi="仿宋" w:eastAsia="仿宋_GB2312" w:cs="仿宋_GB2312"/>
          <w:b/>
          <w:sz w:val="36"/>
          <w:szCs w:val="20"/>
        </w:rPr>
      </w:pPr>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p>
    <w:p>
      <w:pPr>
        <w:spacing w:line="360" w:lineRule="auto"/>
        <w:jc w:val="center"/>
        <w:outlineLvl w:val="0"/>
        <w:rPr>
          <w:rFonts w:ascii="仿宋_GB2312" w:hAnsi="仿宋" w:eastAsia="仿宋_GB2312" w:cs="仿宋_GB2312"/>
          <w:b/>
          <w:sz w:val="36"/>
          <w:szCs w:val="20"/>
        </w:rPr>
      </w:pP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t>第一部分 招标公告</w:t>
      </w:r>
    </w:p>
    <w:p>
      <w:pPr>
        <w:pBdr>
          <w:top w:val="single" w:color="auto" w:sz="4" w:space="1"/>
          <w:left w:val="single" w:color="auto" w:sz="4" w:space="4"/>
          <w:bottom w:val="single" w:color="auto" w:sz="4" w:space="1"/>
          <w:right w:val="single" w:color="auto" w:sz="4" w:space="4"/>
        </w:pBd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项目概况</w:t>
      </w:r>
    </w:p>
    <w:p>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lang w:eastAsia="zh-CN"/>
        </w:rPr>
        <w:t>杭州市临安区</w:t>
      </w:r>
      <w:r>
        <w:rPr>
          <w:rFonts w:hint="eastAsia" w:ascii="仿宋_GB2312" w:hAnsi="仿宋" w:eastAsia="仿宋_GB2312" w:cs="Times New Roman"/>
          <w:sz w:val="24"/>
          <w:szCs w:val="24"/>
          <w:highlight w:val="none"/>
        </w:rPr>
        <w:t>国际商务中心2#、4#楼会议室音视频系统</w:t>
      </w:r>
      <w:r>
        <w:rPr>
          <w:rFonts w:hint="eastAsia" w:ascii="仿宋_GB2312" w:hAnsi="仿宋" w:eastAsia="仿宋_GB2312" w:cs="Times New Roman"/>
          <w:sz w:val="24"/>
          <w:szCs w:val="24"/>
          <w:highlight w:val="none"/>
          <w:lang w:eastAsia="zh-CN"/>
        </w:rPr>
        <w:t>重新采购</w:t>
      </w:r>
      <w:r>
        <w:rPr>
          <w:rFonts w:hint="eastAsia" w:ascii="仿宋_GB2312" w:hAnsi="仿宋" w:eastAsia="仿宋_GB2312" w:cs="Times New Roman"/>
          <w:sz w:val="24"/>
          <w:szCs w:val="24"/>
          <w:highlight w:val="none"/>
        </w:rPr>
        <w:t>项目招标项目的潜在投标人应在政采云平台（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Fonts w:hint="eastAsia" w:ascii="仿宋_GB2312" w:hAnsi="仿宋" w:eastAsia="仿宋_GB2312" w:cs="Times New Roman"/>
          <w:sz w:val="24"/>
          <w:szCs w:val="24"/>
          <w:highlight w:val="none"/>
        </w:rPr>
        <w:t>https://www.zcygov.cn/）获取（下载）招标文件，并于2021年</w:t>
      </w:r>
      <w:r>
        <w:rPr>
          <w:rFonts w:hint="eastAsia" w:ascii="仿宋_GB2312" w:hAnsi="仿宋" w:eastAsia="仿宋_GB2312" w:cs="Times New Roman"/>
          <w:sz w:val="24"/>
          <w:szCs w:val="24"/>
          <w:highlight w:val="none"/>
        </w:rPr>
        <w:fldChar w:fldCharType="end"/>
      </w:r>
      <w:r>
        <w:rPr>
          <w:rFonts w:hint="eastAsia" w:ascii="仿宋_GB2312" w:hAnsi="仿宋" w:eastAsia="仿宋_GB2312" w:cs="Times New Roman"/>
          <w:sz w:val="24"/>
          <w:szCs w:val="24"/>
          <w:highlight w:val="none"/>
          <w:lang w:val="en-US" w:eastAsia="zh-CN"/>
        </w:rPr>
        <w:t>12</w:t>
      </w:r>
      <w:r>
        <w:rPr>
          <w:rFonts w:hint="eastAsia" w:ascii="仿宋_GB2312" w:hAnsi="仿宋" w:eastAsia="仿宋_GB2312" w:cs="Times New Roman"/>
          <w:sz w:val="24"/>
          <w:szCs w:val="24"/>
          <w:highlight w:val="none"/>
        </w:rPr>
        <w:t>月</w:t>
      </w:r>
      <w:r>
        <w:rPr>
          <w:rFonts w:hint="eastAsia" w:ascii="仿宋_GB2312" w:hAnsi="仿宋" w:eastAsia="仿宋_GB2312" w:cs="Times New Roman"/>
          <w:sz w:val="24"/>
          <w:szCs w:val="24"/>
          <w:highlight w:val="none"/>
          <w:lang w:val="en-US" w:eastAsia="zh-CN"/>
        </w:rPr>
        <w:t>30</w:t>
      </w:r>
      <w:r>
        <w:rPr>
          <w:rFonts w:hint="eastAsia" w:ascii="仿宋_GB2312" w:hAnsi="仿宋" w:eastAsia="仿宋_GB2312" w:cs="Times New Roman"/>
          <w:sz w:val="24"/>
          <w:szCs w:val="24"/>
          <w:highlight w:val="none"/>
        </w:rPr>
        <w:t>日</w:t>
      </w:r>
      <w:r>
        <w:rPr>
          <w:rFonts w:hint="eastAsia" w:ascii="仿宋_GB2312" w:hAnsi="仿宋" w:eastAsia="仿宋_GB2312" w:cs="Times New Roman"/>
          <w:sz w:val="24"/>
          <w:szCs w:val="24"/>
          <w:highlight w:val="none"/>
          <w:lang w:val="en-US" w:eastAsia="zh-CN"/>
        </w:rPr>
        <w:t>13</w:t>
      </w:r>
      <w:r>
        <w:rPr>
          <w:rFonts w:hint="eastAsia" w:ascii="仿宋_GB2312" w:hAnsi="仿宋" w:eastAsia="仿宋_GB2312" w:cs="Times New Roman"/>
          <w:sz w:val="24"/>
          <w:szCs w:val="24"/>
          <w:highlight w:val="none"/>
        </w:rPr>
        <w:t>点</w:t>
      </w:r>
      <w:r>
        <w:rPr>
          <w:rFonts w:hint="eastAsia" w:ascii="仿宋_GB2312" w:hAnsi="仿宋" w:eastAsia="仿宋_GB2312" w:cs="Times New Roman"/>
          <w:sz w:val="24"/>
          <w:szCs w:val="24"/>
          <w:highlight w:val="none"/>
          <w:lang w:val="en-US" w:eastAsia="zh-CN"/>
        </w:rPr>
        <w:t>30</w:t>
      </w:r>
      <w:r>
        <w:rPr>
          <w:rFonts w:hint="eastAsia" w:ascii="仿宋_GB2312" w:hAnsi="仿宋" w:eastAsia="仿宋_GB2312" w:cs="Times New Roman"/>
          <w:sz w:val="24"/>
          <w:szCs w:val="24"/>
          <w:highlight w:val="none"/>
        </w:rPr>
        <w:t>分00秒（北</w:t>
      </w:r>
      <w:r>
        <w:rPr>
          <w:rFonts w:hint="eastAsia" w:ascii="仿宋_GB2312" w:hAnsi="仿宋" w:eastAsia="仿宋_GB2312" w:cs="Times New Roman"/>
          <w:sz w:val="24"/>
          <w:szCs w:val="24"/>
        </w:rPr>
        <w:t xml:space="preserve">京时间）前递交（上传）投标文件。 </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一、项目基本情况                                            </w:t>
      </w:r>
    </w:p>
    <w:p>
      <w:pPr>
        <w:adjustRightInd w:val="0"/>
        <w:spacing w:line="360" w:lineRule="auto"/>
        <w:rPr>
          <w:rFonts w:hint="default" w:ascii="仿宋_GB2312" w:hAnsi="仿宋" w:eastAsia="仿宋_GB2312" w:cs="Times New Roman"/>
          <w:b w:val="0"/>
          <w:bCs/>
          <w:sz w:val="24"/>
          <w:szCs w:val="24"/>
          <w:lang w:val="en-US"/>
        </w:rPr>
      </w:pPr>
      <w:r>
        <w:rPr>
          <w:rFonts w:hint="eastAsia" w:ascii="仿宋_GB2312" w:hAnsi="仿宋" w:eastAsia="仿宋_GB2312" w:cs="Times New Roman"/>
          <w:sz w:val="24"/>
          <w:szCs w:val="24"/>
        </w:rPr>
        <w:t xml:space="preserve">    </w:t>
      </w:r>
      <w:r>
        <w:rPr>
          <w:rFonts w:hint="eastAsia" w:ascii="仿宋_GB2312" w:hAnsi="仿宋" w:eastAsia="仿宋_GB2312" w:cs="Times New Roman"/>
          <w:b/>
          <w:sz w:val="24"/>
          <w:szCs w:val="24"/>
        </w:rPr>
        <w:t>项目编号：</w:t>
      </w:r>
      <w:r>
        <w:rPr>
          <w:rFonts w:hint="eastAsia" w:ascii="仿宋_GB2312" w:hAnsi="仿宋" w:eastAsia="仿宋_GB2312" w:cs="Times New Roman"/>
          <w:b w:val="0"/>
          <w:bCs/>
          <w:sz w:val="24"/>
          <w:szCs w:val="24"/>
          <w:lang w:val="en-US" w:eastAsia="zh-CN"/>
        </w:rPr>
        <w:t>LZC</w:t>
      </w:r>
      <w:r>
        <w:rPr>
          <w:rFonts w:hint="eastAsia" w:ascii="仿宋_GB2312" w:hAnsi="仿宋" w:eastAsia="仿宋_GB2312" w:cs="Times New Roman"/>
          <w:b w:val="0"/>
          <w:bCs/>
          <w:sz w:val="24"/>
          <w:szCs w:val="24"/>
        </w:rPr>
        <w:t>-</w:t>
      </w:r>
      <w:r>
        <w:rPr>
          <w:rFonts w:hint="eastAsia" w:ascii="仿宋_GB2312" w:hAnsi="仿宋" w:eastAsia="仿宋_GB2312" w:cs="Times New Roman"/>
          <w:b w:val="0"/>
          <w:bCs/>
          <w:sz w:val="24"/>
          <w:szCs w:val="24"/>
          <w:lang w:val="en-US" w:eastAsia="zh-CN"/>
        </w:rPr>
        <w:t>GK-</w:t>
      </w:r>
      <w:r>
        <w:rPr>
          <w:rFonts w:hint="eastAsia" w:ascii="仿宋_GB2312" w:hAnsi="仿宋" w:eastAsia="仿宋_GB2312" w:cs="Times New Roman"/>
          <w:b w:val="0"/>
          <w:bCs/>
          <w:sz w:val="24"/>
          <w:szCs w:val="24"/>
        </w:rPr>
        <w:t>2021-</w:t>
      </w:r>
      <w:r>
        <w:rPr>
          <w:rFonts w:hint="eastAsia" w:ascii="仿宋_GB2312" w:hAnsi="仿宋" w:eastAsia="仿宋_GB2312" w:cs="Times New Roman"/>
          <w:b w:val="0"/>
          <w:bCs/>
          <w:sz w:val="24"/>
          <w:szCs w:val="24"/>
          <w:lang w:val="en-US" w:eastAsia="zh-CN"/>
        </w:rPr>
        <w:t>09068-1</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w:t>
      </w:r>
      <w:r>
        <w:rPr>
          <w:rFonts w:hint="eastAsia" w:ascii="仿宋_GB2312" w:hAnsi="仿宋" w:eastAsia="仿宋_GB2312" w:cs="Times New Roman"/>
          <w:b/>
          <w:sz w:val="24"/>
          <w:szCs w:val="24"/>
        </w:rPr>
        <w:t xml:space="preserve"> 项目名称：</w:t>
      </w:r>
      <w:r>
        <w:rPr>
          <w:rFonts w:hint="eastAsia" w:ascii="仿宋_GB2312" w:hAnsi="仿宋" w:eastAsia="仿宋_GB2312" w:cs="Times New Roman"/>
          <w:b w:val="0"/>
          <w:bCs/>
          <w:sz w:val="24"/>
          <w:szCs w:val="24"/>
          <w:lang w:eastAsia="zh-CN"/>
        </w:rPr>
        <w:t>杭州市临安区</w:t>
      </w:r>
      <w:r>
        <w:rPr>
          <w:rFonts w:hint="eastAsia" w:ascii="仿宋_GB2312" w:hAnsi="仿宋" w:eastAsia="仿宋_GB2312" w:cs="Times New Roman"/>
          <w:b w:val="0"/>
          <w:bCs/>
          <w:sz w:val="24"/>
          <w:szCs w:val="24"/>
        </w:rPr>
        <w:t>国际商务中心2#、4#楼会议室音视频系统</w:t>
      </w:r>
      <w:r>
        <w:rPr>
          <w:rFonts w:hint="eastAsia" w:ascii="仿宋_GB2312" w:hAnsi="仿宋" w:eastAsia="仿宋_GB2312" w:cs="Times New Roman"/>
          <w:b w:val="0"/>
          <w:bCs/>
          <w:sz w:val="24"/>
          <w:szCs w:val="24"/>
          <w:lang w:eastAsia="zh-CN"/>
        </w:rPr>
        <w:t>重新采购</w:t>
      </w:r>
      <w:r>
        <w:rPr>
          <w:rFonts w:hint="eastAsia" w:ascii="仿宋_GB2312" w:hAnsi="仿宋" w:eastAsia="仿宋_GB2312" w:cs="Times New Roman"/>
          <w:b w:val="0"/>
          <w:bCs/>
          <w:sz w:val="24"/>
          <w:szCs w:val="24"/>
        </w:rPr>
        <w:t>项目</w:t>
      </w:r>
    </w:p>
    <w:p>
      <w:pPr>
        <w:adjustRightInd w:val="0"/>
        <w:spacing w:line="360" w:lineRule="auto"/>
        <w:ind w:firstLine="482" w:firstLineChars="200"/>
        <w:rPr>
          <w:rFonts w:ascii="仿宋_GB2312" w:hAnsi="仿宋" w:eastAsia="仿宋_GB2312" w:cs="仿宋_GB2312"/>
          <w:sz w:val="24"/>
          <w:szCs w:val="24"/>
        </w:rPr>
      </w:pPr>
      <w:r>
        <w:rPr>
          <w:rFonts w:hint="eastAsia" w:ascii="仿宋_GB2312" w:hAnsi="仿宋" w:eastAsia="仿宋_GB2312" w:cs="Times New Roman"/>
          <w:b/>
          <w:sz w:val="24"/>
          <w:szCs w:val="24"/>
        </w:rPr>
        <w:t>预算金额（元）</w:t>
      </w:r>
      <w:r>
        <w:rPr>
          <w:rFonts w:hint="eastAsia" w:ascii="仿宋_GB2312" w:hAnsi="仿宋" w:eastAsia="仿宋_GB2312" w:cs="仿宋_GB2312"/>
          <w:sz w:val="24"/>
          <w:szCs w:val="24"/>
        </w:rPr>
        <w:t>：</w:t>
      </w:r>
      <w:r>
        <w:rPr>
          <w:rFonts w:hint="eastAsia" w:ascii="仿宋_GB2312" w:hAnsi="仿宋" w:eastAsia="仿宋_GB2312" w:cs="仿宋_GB2312"/>
          <w:sz w:val="24"/>
          <w:szCs w:val="24"/>
          <w:lang w:val="en-US" w:eastAsia="zh-CN"/>
        </w:rPr>
        <w:t>7500000</w:t>
      </w:r>
      <w:r>
        <w:rPr>
          <w:rFonts w:hint="eastAsia" w:ascii="仿宋_GB2312" w:hAnsi="仿宋" w:eastAsia="仿宋_GB2312" w:cs="仿宋_GB2312"/>
          <w:sz w:val="24"/>
          <w:szCs w:val="24"/>
        </w:rPr>
        <w:t xml:space="preserve"> </w:t>
      </w:r>
    </w:p>
    <w:p>
      <w:pPr>
        <w:adjustRightInd w:val="0"/>
        <w:spacing w:line="360" w:lineRule="auto"/>
        <w:ind w:firstLine="482" w:firstLineChars="200"/>
        <w:rPr>
          <w:rFonts w:hint="default" w:ascii="仿宋_GB2312" w:hAnsi="仿宋" w:eastAsia="仿宋_GB2312" w:cs="Times New Roman"/>
          <w:sz w:val="24"/>
          <w:szCs w:val="24"/>
          <w:lang w:val="en-US" w:eastAsia="zh-CN"/>
        </w:rPr>
      </w:pPr>
      <w:r>
        <w:rPr>
          <w:rFonts w:hint="eastAsia" w:ascii="仿宋_GB2312" w:hAnsi="仿宋" w:eastAsia="仿宋_GB2312" w:cs="Times New Roman"/>
          <w:b/>
          <w:sz w:val="24"/>
          <w:szCs w:val="24"/>
        </w:rPr>
        <w:t>最高限价（元）：</w:t>
      </w:r>
      <w:r>
        <w:rPr>
          <w:rFonts w:hint="eastAsia" w:ascii="仿宋_GB2312" w:hAnsi="仿宋" w:eastAsia="仿宋_GB2312" w:cs="Times New Roman"/>
          <w:sz w:val="24"/>
          <w:szCs w:val="24"/>
          <w:lang w:val="en-US" w:eastAsia="zh-CN"/>
        </w:rPr>
        <w:t>7500000</w:t>
      </w:r>
    </w:p>
    <w:p>
      <w:pPr>
        <w:spacing w:line="360" w:lineRule="auto"/>
        <w:ind w:firstLine="482" w:firstLineChars="200"/>
        <w:rPr>
          <w:rFonts w:ascii="仿宋_GB2312" w:hAnsi="仿宋" w:eastAsia="仿宋_GB2312" w:cs="仿宋_GB2312"/>
          <w:b w:val="0"/>
          <w:bCs/>
          <w:sz w:val="24"/>
          <w:szCs w:val="24"/>
        </w:rPr>
      </w:pPr>
      <w:r>
        <w:rPr>
          <w:rFonts w:hint="eastAsia" w:ascii="仿宋_GB2312" w:hAnsi="仿宋" w:eastAsia="仿宋_GB2312" w:cs="Times New Roman"/>
          <w:b/>
          <w:sz w:val="24"/>
          <w:szCs w:val="24"/>
        </w:rPr>
        <w:t>采购需求：</w:t>
      </w:r>
      <w:r>
        <w:rPr>
          <w:rFonts w:hint="eastAsia" w:ascii="仿宋_GB2312" w:hAnsi="仿宋" w:eastAsia="仿宋_GB2312" w:cs="Times New Roman"/>
          <w:b w:val="0"/>
          <w:bCs/>
          <w:sz w:val="24"/>
          <w:szCs w:val="24"/>
          <w:lang w:val="en-US" w:eastAsia="zh-CN"/>
        </w:rPr>
        <w:t>本项目位于杭州市临安区科技大道国际商务中心二号楼及四号楼，项目内容主要涉及三个部分：二号楼会议室音视频系统；二号楼档案系统内网专网设备及部分档案系统专用设备；四号楼四层会议中心音视频系统及一层LED屏系统。</w:t>
      </w:r>
    </w:p>
    <w:p>
      <w:pPr>
        <w:spacing w:line="360" w:lineRule="auto"/>
        <w:ind w:firstLine="482" w:firstLineChars="2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备注：无</w:t>
      </w:r>
      <w:r>
        <w:rPr>
          <w:rFonts w:hint="eastAsia" w:ascii="仿宋_GB2312" w:hAnsi="Times New Roman" w:eastAsia="仿宋_GB2312" w:cs="Times New Roman"/>
          <w:sz w:val="24"/>
          <w:szCs w:val="24"/>
        </w:rPr>
        <w:t xml:space="preserve"> </w:t>
      </w:r>
    </w:p>
    <w:p>
      <w:pPr>
        <w:adjustRightInd w:val="0"/>
        <w:spacing w:line="360" w:lineRule="auto"/>
        <w:rPr>
          <w:rFonts w:ascii="仿宋_GB2312" w:hAnsi="Times New Roman" w:eastAsia="仿宋_GB2312" w:cs="Times New Roman"/>
          <w:b w:val="0"/>
          <w:bCs/>
          <w:sz w:val="24"/>
          <w:szCs w:val="24"/>
        </w:rPr>
      </w:pPr>
      <w:r>
        <w:rPr>
          <w:rFonts w:ascii="仿宋_GB2312" w:hAnsi="仿宋" w:eastAsia="仿宋_GB2312" w:cs="Times New Roman"/>
          <w:sz w:val="24"/>
          <w:szCs w:val="24"/>
        </w:rPr>
        <w:t xml:space="preserve">    </w:t>
      </w:r>
      <w:r>
        <w:rPr>
          <w:rFonts w:hint="eastAsia" w:ascii="仿宋_GB2312" w:hAnsi="仿宋" w:eastAsia="仿宋_GB2312" w:cs="Times New Roman"/>
          <w:b/>
          <w:sz w:val="24"/>
          <w:szCs w:val="24"/>
        </w:rPr>
        <w:t>合同履约期限：</w:t>
      </w:r>
      <w:r>
        <w:rPr>
          <w:rFonts w:hint="eastAsia" w:ascii="仿宋_GB2312" w:hAnsi="仿宋" w:eastAsia="仿宋_GB2312" w:cs="Times New Roman"/>
          <w:b w:val="0"/>
          <w:bCs/>
          <w:sz w:val="24"/>
          <w:szCs w:val="24"/>
          <w:lang w:val="en-US" w:eastAsia="zh-CN"/>
        </w:rPr>
        <w:t>中标人应在合同签订后60日历天内供货、安装、调试完成。</w:t>
      </w:r>
      <w:r>
        <w:rPr>
          <w:rFonts w:hint="eastAsia" w:ascii="仿宋_GB2312" w:hAnsi="Times New Roman" w:eastAsia="仿宋_GB2312" w:cs="Times New Roman"/>
          <w:b w:val="0"/>
          <w:bCs/>
          <w:sz w:val="24"/>
          <w:szCs w:val="24"/>
        </w:rPr>
        <w:t xml:space="preserve"> </w:t>
      </w:r>
    </w:p>
    <w:p>
      <w:pPr>
        <w:adjustRightInd w:val="0"/>
        <w:spacing w:line="360" w:lineRule="auto"/>
        <w:ind w:firstLine="480"/>
        <w:rPr>
          <w:rFonts w:ascii="仿宋_GB2312" w:hAnsi="仿宋" w:eastAsia="仿宋_GB2312" w:cs="Times New Roman"/>
          <w:b/>
          <w:sz w:val="24"/>
          <w:szCs w:val="24"/>
        </w:rPr>
      </w:pPr>
      <w:r>
        <w:rPr>
          <w:rFonts w:hint="eastAsia" w:ascii="仿宋_GB2312" w:hAnsi="仿宋" w:eastAsia="仿宋_GB2312" w:cs="Times New Roman"/>
          <w:b/>
          <w:sz w:val="24"/>
          <w:szCs w:val="24"/>
        </w:rPr>
        <w:t>本项</w:t>
      </w:r>
      <w:r>
        <w:rPr>
          <w:rFonts w:hint="eastAsia" w:ascii="仿宋_GB2312" w:hAnsi="仿宋" w:eastAsia="仿宋_GB2312" w:cs="Times New Roman"/>
          <w:b/>
          <w:sz w:val="24"/>
          <w:szCs w:val="24"/>
          <w:highlight w:val="none"/>
        </w:rPr>
        <w:t>目（否）接受联</w:t>
      </w:r>
      <w:r>
        <w:rPr>
          <w:rFonts w:hint="eastAsia" w:ascii="仿宋_GB2312" w:hAnsi="仿宋" w:eastAsia="仿宋_GB2312" w:cs="Times New Roman"/>
          <w:b/>
          <w:sz w:val="24"/>
          <w:szCs w:val="24"/>
        </w:rPr>
        <w:t>合体投标。</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二、申请人的资格要求：</w:t>
      </w:r>
    </w:p>
    <w:p>
      <w:pPr>
        <w:adjustRightInd w:val="0"/>
        <w:spacing w:line="360" w:lineRule="auto"/>
        <w:ind w:firstLine="480" w:firstLineChars="200"/>
        <w:rPr>
          <w:rFonts w:ascii="仿宋_GB2312" w:hAnsi="仿宋" w:eastAsia="仿宋_GB2312" w:cs="Times New Roman"/>
          <w:color w:val="auto"/>
          <w:sz w:val="24"/>
          <w:szCs w:val="24"/>
        </w:rPr>
      </w:pPr>
      <w:r>
        <w:rPr>
          <w:rFonts w:hint="eastAsia" w:ascii="仿宋_GB2312" w:hAnsi="仿宋" w:eastAsia="仿宋_GB2312" w:cs="Times New Roman"/>
          <w:sz w:val="24"/>
          <w:szCs w:val="24"/>
        </w:rPr>
        <w:t>1.满足《中华人民共和国政府采</w:t>
      </w:r>
      <w:r>
        <w:rPr>
          <w:rFonts w:hint="eastAsia" w:ascii="仿宋_GB2312" w:hAnsi="仿宋" w:eastAsia="仿宋_GB2312" w:cs="Times New Roman"/>
          <w:color w:val="auto"/>
          <w:sz w:val="24"/>
          <w:szCs w:val="24"/>
        </w:rPr>
        <w:t>购法》第二十二条规定；</w:t>
      </w:r>
    </w:p>
    <w:p>
      <w:pPr>
        <w:adjustRightIn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Times New Roman"/>
          <w:color w:val="auto"/>
          <w:sz w:val="24"/>
          <w:szCs w:val="24"/>
        </w:rPr>
        <w:t>2.落实政府采购政策需满足的资格要求：无；</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3.本项目的特定资格要求：无 。</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rPr>
        <w:t xml:space="preserve">三、获取招标文件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highlight w:val="none"/>
        </w:rPr>
        <w:t>时间：</w:t>
      </w:r>
      <w:r>
        <w:rPr>
          <w:rFonts w:hint="eastAsia" w:ascii="仿宋_GB2312" w:hAnsi="仿宋" w:eastAsia="仿宋_GB2312" w:cs="Times New Roman"/>
          <w:sz w:val="24"/>
          <w:szCs w:val="24"/>
          <w:highlight w:val="none"/>
        </w:rPr>
        <w:t>/至2021年</w:t>
      </w:r>
      <w:r>
        <w:rPr>
          <w:rFonts w:hint="eastAsia" w:ascii="仿宋_GB2312" w:hAnsi="仿宋" w:eastAsia="仿宋_GB2312" w:cs="Times New Roman"/>
          <w:sz w:val="24"/>
          <w:szCs w:val="24"/>
          <w:highlight w:val="none"/>
          <w:lang w:val="en-US" w:eastAsia="zh-CN"/>
        </w:rPr>
        <w:t>12</w:t>
      </w:r>
      <w:r>
        <w:rPr>
          <w:rFonts w:hint="eastAsia" w:ascii="仿宋_GB2312" w:hAnsi="仿宋" w:eastAsia="仿宋_GB2312" w:cs="Times New Roman"/>
          <w:sz w:val="24"/>
          <w:szCs w:val="24"/>
          <w:highlight w:val="none"/>
        </w:rPr>
        <w:t>月</w:t>
      </w:r>
      <w:r>
        <w:rPr>
          <w:rFonts w:hint="eastAsia" w:ascii="仿宋_GB2312" w:hAnsi="仿宋" w:eastAsia="仿宋_GB2312" w:cs="Times New Roman"/>
          <w:sz w:val="24"/>
          <w:szCs w:val="24"/>
          <w:highlight w:val="none"/>
          <w:lang w:val="en-US" w:eastAsia="zh-CN"/>
        </w:rPr>
        <w:t>30</w:t>
      </w:r>
      <w:r>
        <w:rPr>
          <w:rFonts w:hint="eastAsia" w:ascii="仿宋_GB2312" w:hAnsi="仿宋" w:eastAsia="仿宋_GB2312" w:cs="Times New Roman"/>
          <w:sz w:val="24"/>
          <w:szCs w:val="24"/>
          <w:highlight w:val="none"/>
        </w:rPr>
        <w:t>日 ，每天上午00:00至12:00 ，下午12:00至23:59（北京时间，线上获取法定节假日均</w:t>
      </w:r>
      <w:r>
        <w:rPr>
          <w:rFonts w:hint="eastAsia" w:ascii="仿宋_GB2312" w:hAnsi="仿宋" w:eastAsia="仿宋_GB2312" w:cs="Times New Roman"/>
          <w:sz w:val="24"/>
          <w:szCs w:val="24"/>
        </w:rPr>
        <w:t>可，线下获取文件法定节假日除外）</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地点（网址）：</w:t>
      </w:r>
      <w:r>
        <w:rPr>
          <w:rFonts w:hint="eastAsia" w:ascii="仿宋_GB2312" w:hAnsi="仿宋" w:eastAsia="仿宋_GB2312" w:cs="Times New Roman"/>
          <w:b w:val="0"/>
          <w:bCs/>
          <w:sz w:val="24"/>
          <w:szCs w:val="24"/>
          <w:lang w:eastAsia="zh-CN"/>
        </w:rPr>
        <w:t>浙江政府采购网</w:t>
      </w:r>
      <w:r>
        <w:rPr>
          <w:rFonts w:hint="eastAsia" w:ascii="仿宋_GB2312" w:hAnsi="仿宋" w:eastAsia="仿宋_GB2312" w:cs="Times New Roman"/>
          <w:b w:val="0"/>
          <w:bCs/>
          <w:sz w:val="24"/>
          <w:szCs w:val="24"/>
        </w:rPr>
        <w:t>（</w:t>
      </w:r>
      <w:r>
        <w:rPr>
          <w:rFonts w:hint="eastAsia" w:ascii="仿宋_GB2312" w:hAnsi="仿宋" w:eastAsia="仿宋_GB2312" w:cs="Times New Roman"/>
          <w:sz w:val="24"/>
          <w:szCs w:val="24"/>
        </w:rPr>
        <w:t xml:space="preserve">https://zfcg.czt.zj.gov.cn/）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方式：</w:t>
      </w:r>
      <w:r>
        <w:rPr>
          <w:rFonts w:hint="eastAsia" w:ascii="仿宋_GB2312" w:hAnsi="仿宋" w:eastAsia="仿宋_GB2312" w:cs="Times New Roman"/>
          <w:sz w:val="24"/>
          <w:szCs w:val="24"/>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售价（元）：</w:t>
      </w:r>
      <w:r>
        <w:rPr>
          <w:rFonts w:hint="eastAsia" w:ascii="仿宋_GB2312" w:hAnsi="仿宋" w:eastAsia="仿宋_GB2312" w:cs="Times New Roman"/>
          <w:sz w:val="24"/>
          <w:szCs w:val="24"/>
        </w:rPr>
        <w:t xml:space="preserve">0 </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四、提交投标文件截止时间、开标时间和地点</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rPr>
        <w:t>提交投标文件截止时间：</w:t>
      </w:r>
      <w:r>
        <w:rPr>
          <w:rFonts w:hint="eastAsia" w:ascii="仿宋_GB2312" w:hAnsi="仿宋" w:eastAsia="仿宋_GB2312" w:cs="Times New Roman"/>
          <w:sz w:val="24"/>
          <w:szCs w:val="24"/>
          <w:u w:val="single"/>
        </w:rPr>
        <w:t>2</w:t>
      </w:r>
      <w:r>
        <w:rPr>
          <w:rFonts w:hint="eastAsia" w:ascii="仿宋_GB2312" w:hAnsi="仿宋" w:eastAsia="仿宋_GB2312" w:cs="Times New Roman"/>
          <w:sz w:val="24"/>
          <w:szCs w:val="24"/>
          <w:highlight w:val="none"/>
          <w:u w:val="single"/>
        </w:rPr>
        <w:t>021年</w:t>
      </w:r>
      <w:r>
        <w:rPr>
          <w:rFonts w:hint="eastAsia" w:ascii="仿宋_GB2312" w:hAnsi="仿宋" w:eastAsia="仿宋_GB2312" w:cs="Times New Roman"/>
          <w:sz w:val="24"/>
          <w:szCs w:val="24"/>
          <w:highlight w:val="none"/>
          <w:u w:val="single"/>
          <w:lang w:val="en-US" w:eastAsia="zh-CN"/>
        </w:rPr>
        <w:t>12</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r>
        <w:rPr>
          <w:rFonts w:hint="eastAsia" w:ascii="仿宋_GB2312" w:hAnsi="仿宋" w:eastAsia="仿宋_GB2312" w:cs="Times New Roman"/>
          <w:sz w:val="24"/>
          <w:szCs w:val="24"/>
          <w:highlight w:val="none"/>
        </w:rPr>
        <w:t>（北京时间）</w:t>
      </w:r>
    </w:p>
    <w:p>
      <w:pPr>
        <w:adjustRightInd w:val="0"/>
        <w:spacing w:line="360" w:lineRule="auto"/>
        <w:ind w:firstLine="482" w:firstLineChars="200"/>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投标地点（网址）：</w:t>
      </w:r>
      <w:r>
        <w:rPr>
          <w:rFonts w:hint="eastAsia" w:ascii="仿宋_GB2312" w:hAnsi="仿宋" w:eastAsia="仿宋_GB2312" w:cs="Times New Roman"/>
          <w:sz w:val="24"/>
          <w:szCs w:val="24"/>
          <w:highlight w:val="none"/>
        </w:rPr>
        <w:t xml:space="preserve">政采云平台（https://www.zcygov.cn/）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开标时间：</w:t>
      </w:r>
      <w:r>
        <w:rPr>
          <w:rFonts w:hint="eastAsia" w:ascii="仿宋_GB2312" w:hAnsi="仿宋" w:eastAsia="仿宋_GB2312" w:cs="Times New Roman"/>
          <w:sz w:val="24"/>
          <w:szCs w:val="24"/>
          <w:highlight w:val="none"/>
          <w:u w:val="single"/>
        </w:rPr>
        <w:t>2021年</w:t>
      </w:r>
      <w:r>
        <w:rPr>
          <w:rFonts w:hint="eastAsia" w:ascii="仿宋_GB2312" w:hAnsi="仿宋" w:eastAsia="仿宋_GB2312" w:cs="Times New Roman"/>
          <w:sz w:val="24"/>
          <w:szCs w:val="24"/>
          <w:highlight w:val="none"/>
          <w:u w:val="single"/>
          <w:lang w:val="en-US" w:eastAsia="zh-CN"/>
        </w:rPr>
        <w:t>12</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开标地点（网址）：</w:t>
      </w:r>
      <w:r>
        <w:rPr>
          <w:rFonts w:hint="eastAsia" w:ascii="仿宋_GB2312" w:hAnsi="仿宋" w:eastAsia="仿宋_GB2312" w:cs="Times New Roman"/>
          <w:sz w:val="24"/>
          <w:szCs w:val="24"/>
        </w:rPr>
        <w:t>杭州市公共资源交易中心</w:t>
      </w:r>
      <w:r>
        <w:rPr>
          <w:rFonts w:hint="eastAsia" w:ascii="仿宋_GB2312" w:hAnsi="仿宋" w:eastAsia="仿宋_GB2312" w:cs="Times New Roman"/>
          <w:color w:val="auto"/>
          <w:sz w:val="24"/>
          <w:szCs w:val="24"/>
          <w:lang w:eastAsia="zh-CN"/>
        </w:rPr>
        <w:t>临安分中心</w:t>
      </w:r>
      <w:r>
        <w:rPr>
          <w:rFonts w:hint="eastAsia" w:ascii="仿宋_GB2312" w:hAnsi="仿宋" w:eastAsia="仿宋_GB2312" w:cs="Times New Roman"/>
          <w:color w:val="auto"/>
          <w:sz w:val="24"/>
          <w:szCs w:val="24"/>
          <w:lang w:val="en-US" w:eastAsia="zh-CN"/>
        </w:rPr>
        <w:t>1号</w:t>
      </w:r>
      <w:r>
        <w:rPr>
          <w:rFonts w:hint="eastAsia" w:ascii="仿宋_GB2312" w:hAnsi="仿宋" w:eastAsia="仿宋_GB2312" w:cs="Times New Roman"/>
          <w:color w:val="auto"/>
          <w:sz w:val="24"/>
          <w:szCs w:val="24"/>
        </w:rPr>
        <w:t>开标室[杭州市</w:t>
      </w:r>
      <w:r>
        <w:rPr>
          <w:rFonts w:hint="eastAsia" w:ascii="仿宋_GB2312" w:hAnsi="仿宋" w:eastAsia="仿宋_GB2312" w:cs="Times New Roman"/>
          <w:color w:val="auto"/>
          <w:sz w:val="24"/>
          <w:szCs w:val="24"/>
          <w:lang w:eastAsia="zh-CN"/>
        </w:rPr>
        <w:t>临安区锦北街道科技大道</w:t>
      </w:r>
      <w:r>
        <w:rPr>
          <w:rFonts w:hint="eastAsia" w:ascii="仿宋_GB2312" w:hAnsi="仿宋" w:eastAsia="仿宋_GB2312" w:cs="Times New Roman"/>
          <w:color w:val="auto"/>
          <w:sz w:val="24"/>
          <w:szCs w:val="24"/>
          <w:lang w:val="en-US" w:eastAsia="zh-CN"/>
        </w:rPr>
        <w:t>4398号市民中心B座4楼</w:t>
      </w:r>
      <w:r>
        <w:rPr>
          <w:rFonts w:hint="eastAsia" w:ascii="仿宋_GB2312" w:hAnsi="仿宋" w:eastAsia="仿宋_GB2312" w:cs="Times New Roman"/>
          <w:color w:val="auto"/>
          <w:sz w:val="24"/>
          <w:szCs w:val="24"/>
        </w:rPr>
        <w:t>]， 政采云平台（https://www.zcygov.cn/）</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五、公告期限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自本公告发布之日起5个工作日。</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六、其他补充事宜</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2.其他事项： 2.1落实政府采购政策：包括保护环境、节约能源、促进中小企业发展等。详见招标文件的第二部分总则。为支持和促进中小企业发展，杭州市财政局出台了政府采购信用融资政策，供应商可凭中标合同申请贷款，利率一般为不高于基准利率上浮10%。具体可登录http://220.191.208.230/login.do办理业务。 2.2电子招投标的说明：2.2.1采购人、采购机构将依托政采云平台完成本项目的电子交易活动，平台不接受未按上述方式获取招标文件的供应商进行投标活动； 2.2.2对未按上述方式获取招标文件的供应商对该文件提出的质疑，采购人或采购代理机构将不予处理；2.2.3不提供招标文件纸质版；2.2.4电子招投标：本项目以数据电文形式，依托“政府采购云平台（www.zcygov.cn）”进行招投标活动，不接受纸质投标文件；2.2.5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2.2.6招标文件的获取：使用账号登录或者使用CA登录政采云平台；进入“项目采购”应用，在获取采购文件菜单中选择项目，获取招标文件；2.2.7投标文件的制作：在“政采云电子交易客户端”中完成“填写基本信息”、“导入投标文件”、“标书关联”、“标书检查”、“电子签名”、“生成电子标书”等操作；2.2.8投标文件的传输递交：投标人在投标截止时间前将加密的投标文件上传至政府采购云平台，还可以在投标截止时间前直接提交或者以邮政快递方式递交备份投标文件1份；备份投标文的制作、存储、密封详见招标文件第二部分第15点—“备份投标文件”；2.2.9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2.2.10具体操作指南：详见政采云平台“服务中心-帮助文档-项目采购-操作流程-电子招投标-政府采购项目电子交易管理操作指南-供应商”</w:t>
      </w:r>
      <w:r>
        <w:rPr>
          <w:rFonts w:hint="eastAsia" w:ascii="仿宋_GB2312" w:hAnsi="仿宋" w:eastAsia="仿宋_GB2312" w:cs="仿宋_GB2312"/>
          <w:sz w:val="24"/>
          <w:szCs w:val="24"/>
        </w:rPr>
        <w:t>。</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七、对本次采购提出询问、质疑、投诉，请按以下方式联系</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1.采购人信息</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称：浙江杭州青山湖科技城投资集团有限公司</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址：青山湖科技城星港路1519号</w:t>
      </w:r>
      <w:r>
        <w:rPr>
          <w:rFonts w:hint="eastAsia" w:ascii="仿宋" w:hAnsi="仿宋" w:eastAsia="仿宋" w:cs="仿宋"/>
          <w:sz w:val="24"/>
        </w:rPr>
        <w:t xml:space="preserve"> </w:t>
      </w:r>
    </w:p>
    <w:p>
      <w:pPr>
        <w:adjustRightInd w:val="0"/>
        <w:spacing w:line="360" w:lineRule="auto"/>
        <w:ind w:firstLine="480"/>
        <w:rPr>
          <w:rFonts w:hint="eastAsia" w:ascii="仿宋" w:hAnsi="仿宋" w:eastAsia="仿宋" w:cs="仿宋"/>
          <w:sz w:val="24"/>
          <w:lang w:val="en-US" w:eastAsia="zh-CN"/>
        </w:rPr>
      </w:pPr>
      <w:r>
        <w:rPr>
          <w:rFonts w:ascii="仿宋_GB2312" w:hAnsi="仿宋" w:eastAsia="仿宋_GB2312" w:cs="Times New Roman"/>
          <w:sz w:val="24"/>
          <w:szCs w:val="24"/>
        </w:rPr>
        <w:t>传    真：</w:t>
      </w:r>
      <w:r>
        <w:rPr>
          <w:rFonts w:hint="eastAsia" w:ascii="仿宋" w:hAnsi="仿宋" w:eastAsia="仿宋" w:cs="仿宋"/>
          <w:sz w:val="24"/>
        </w:rPr>
        <w:t xml:space="preserve"> </w:t>
      </w:r>
      <w:r>
        <w:rPr>
          <w:rFonts w:hint="eastAsia" w:ascii="仿宋" w:hAnsi="仿宋" w:eastAsia="仿宋" w:cs="仿宋"/>
          <w:sz w:val="24"/>
          <w:lang w:val="en-US" w:eastAsia="zh-CN"/>
        </w:rPr>
        <w:t>/</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项目联系人（询问）：吴月娣</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项目联系方式（询问）：0571-63811861</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质疑联系人：</w:t>
      </w:r>
      <w:r>
        <w:rPr>
          <w:rFonts w:hint="eastAsia" w:ascii="仿宋_GB2312" w:hAnsi="仿宋" w:eastAsia="仿宋_GB2312" w:cs="Times New Roman"/>
          <w:sz w:val="24"/>
          <w:szCs w:val="24"/>
        </w:rPr>
        <w:t>孙达</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质疑联系方式：</w:t>
      </w:r>
      <w:r>
        <w:rPr>
          <w:rFonts w:hint="eastAsia" w:ascii="仿宋_GB2312" w:hAnsi="仿宋" w:eastAsia="仿宋_GB2312" w:cs="Times New Roman"/>
          <w:sz w:val="24"/>
          <w:szCs w:val="24"/>
        </w:rPr>
        <w:t>0571-63811861</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2.采购代理机构信息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称：杭州市公共资源交易中心</w:t>
      </w:r>
      <w:r>
        <w:rPr>
          <w:rFonts w:hint="eastAsia" w:ascii="仿宋_GB2312" w:hAnsi="仿宋" w:eastAsia="仿宋_GB2312" w:cs="Times New Roman"/>
          <w:sz w:val="24"/>
          <w:szCs w:val="24"/>
          <w:lang w:eastAsia="zh-CN"/>
        </w:rPr>
        <w:t>临安分中心</w:t>
      </w:r>
      <w:r>
        <w:rPr>
          <w:rFonts w:hint="eastAsia" w:ascii="仿宋_GB2312" w:hAnsi="仿宋" w:eastAsia="仿宋_GB2312" w:cs="Times New Roman"/>
          <w:sz w:val="24"/>
          <w:szCs w:val="24"/>
        </w:rPr>
        <w:t xml:space="preserve">             </w:t>
      </w:r>
    </w:p>
    <w:p>
      <w:pPr>
        <w:adjustRightInd w:val="0"/>
        <w:spacing w:line="360" w:lineRule="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rPr>
        <w:t xml:space="preserve">    地    址：</w:t>
      </w:r>
      <w:r>
        <w:rPr>
          <w:rFonts w:hint="eastAsia" w:ascii="仿宋_GB2312" w:hAnsi="仿宋" w:eastAsia="仿宋_GB2312" w:cs="Times New Roman"/>
          <w:sz w:val="24"/>
          <w:szCs w:val="24"/>
          <w:lang w:eastAsia="zh-CN"/>
        </w:rPr>
        <w:t>浙江省杭州市临安区锦北街道科技大道</w:t>
      </w:r>
      <w:r>
        <w:rPr>
          <w:rFonts w:hint="eastAsia" w:ascii="仿宋_GB2312" w:hAnsi="仿宋" w:eastAsia="仿宋_GB2312" w:cs="Times New Roman"/>
          <w:sz w:val="24"/>
          <w:szCs w:val="24"/>
          <w:lang w:val="en-US" w:eastAsia="zh-CN"/>
        </w:rPr>
        <w:t>4398号市民中心4楼</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w:t>
      </w:r>
      <w:r>
        <w:rPr>
          <w:rFonts w:hint="eastAsia" w:ascii="仿宋_GB2312" w:hAnsi="仿宋" w:eastAsia="仿宋_GB2312" w:cs="Times New Roman"/>
          <w:sz w:val="24"/>
          <w:szCs w:val="24"/>
          <w:lang w:val="en-US" w:eastAsia="zh-CN"/>
        </w:rPr>
        <w:t>0571-23616016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项目联系人（询问）：</w:t>
      </w:r>
      <w:r>
        <w:rPr>
          <w:rFonts w:hint="eastAsia" w:ascii="仿宋_GB2312" w:hAnsi="仿宋" w:eastAsia="仿宋_GB2312" w:cs="Times New Roman"/>
          <w:sz w:val="24"/>
          <w:szCs w:val="24"/>
          <w:lang w:eastAsia="zh-CN"/>
        </w:rPr>
        <w:t>杨颖</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项目联系方式（询问）：</w:t>
      </w:r>
      <w:r>
        <w:rPr>
          <w:rFonts w:hint="eastAsia" w:ascii="仿宋_GB2312" w:hAnsi="仿宋" w:eastAsia="仿宋_GB2312" w:cs="Times New Roman"/>
          <w:sz w:val="24"/>
          <w:szCs w:val="24"/>
          <w:lang w:val="en-US" w:eastAsia="zh-CN"/>
        </w:rPr>
        <w:t>0571-23616011</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质疑联系人：</w:t>
      </w:r>
      <w:r>
        <w:rPr>
          <w:rFonts w:hint="eastAsia" w:ascii="仿宋_GB2312" w:hAnsi="仿宋" w:eastAsia="仿宋_GB2312" w:cs="Times New Roman"/>
          <w:sz w:val="24"/>
          <w:szCs w:val="24"/>
          <w:lang w:eastAsia="zh-CN"/>
        </w:rPr>
        <w:t>张晨</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质疑联系方式：0571-</w:t>
      </w:r>
      <w:r>
        <w:rPr>
          <w:rFonts w:hint="eastAsia" w:ascii="仿宋_GB2312" w:hAnsi="仿宋" w:eastAsia="仿宋_GB2312" w:cs="Times New Roman"/>
          <w:sz w:val="24"/>
          <w:szCs w:val="24"/>
          <w:lang w:val="en-US" w:eastAsia="zh-CN"/>
        </w:rPr>
        <w:t>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3.同级政府采购监督管理部门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w:t>
      </w:r>
      <w:r>
        <w:rPr>
          <w:rFonts w:hint="eastAsia" w:ascii="仿宋_GB2312" w:hAnsi="仿宋" w:eastAsia="仿宋_GB2312"/>
          <w:sz w:val="24"/>
        </w:rPr>
        <w:t>浙江杭州青山湖科技城管委会财政局</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    址：</w:t>
      </w:r>
      <w:r>
        <w:rPr>
          <w:rFonts w:hint="eastAsia" w:ascii="仿宋_GB2312" w:hAnsi="仿宋" w:eastAsia="仿宋_GB2312"/>
          <w:sz w:val="24"/>
        </w:rPr>
        <w:t>杭州市临安区大园路岗阳街158号</w:t>
      </w:r>
      <w:r>
        <w:rPr>
          <w:rFonts w:hint="eastAsia" w:ascii="仿宋_GB2312" w:hAnsi="仿宋" w:eastAsia="仿宋_GB2312" w:cs="Times New Roman"/>
          <w:sz w:val="24"/>
          <w:szCs w:val="24"/>
        </w:rPr>
        <w:t xml:space="preserve"> </w:t>
      </w:r>
    </w:p>
    <w:p>
      <w:pPr>
        <w:adjustRightInd w:val="0"/>
        <w:spacing w:line="360" w:lineRule="auto"/>
        <w:ind w:firstLine="240" w:firstLineChars="100"/>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w:t>
      </w:r>
      <w:r>
        <w:rPr>
          <w:rFonts w:hint="eastAsia" w:ascii="仿宋_GB2312" w:hAnsi="仿宋" w:eastAsia="仿宋_GB2312" w:cs="Times New Roman"/>
          <w:sz w:val="24"/>
          <w:szCs w:val="24"/>
          <w:lang w:val="en-US" w:eastAsia="zh-CN"/>
        </w:rPr>
        <w:t>/</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联系人 ：</w:t>
      </w:r>
      <w:r>
        <w:rPr>
          <w:rFonts w:hint="eastAsia" w:ascii="仿宋_GB2312" w:hAnsi="仿宋" w:eastAsia="仿宋_GB2312"/>
          <w:b w:val="0"/>
          <w:bCs w:val="0"/>
          <w:sz w:val="24"/>
        </w:rPr>
        <w:t>周向荣</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监督投诉电话：</w:t>
      </w:r>
      <w:r>
        <w:rPr>
          <w:rFonts w:hint="eastAsia" w:ascii="仿宋_GB2312" w:hAnsi="仿宋" w:eastAsia="仿宋_GB2312"/>
          <w:b w:val="0"/>
          <w:bCs w:val="0"/>
          <w:sz w:val="24"/>
        </w:rPr>
        <w:t>05</w:t>
      </w:r>
      <w:r>
        <w:rPr>
          <w:rFonts w:hint="eastAsia" w:ascii="仿宋_GB2312" w:hAnsi="仿宋" w:eastAsia="仿宋_GB2312"/>
          <w:sz w:val="24"/>
        </w:rPr>
        <w:t>71-58615225</w:t>
      </w:r>
      <w:r>
        <w:rPr>
          <w:rFonts w:hint="eastAsia" w:ascii="仿宋_GB2312" w:hAnsi="仿宋" w:eastAsia="仿宋_GB2312" w:cs="Times New Roman"/>
          <w:sz w:val="24"/>
          <w:szCs w:val="24"/>
        </w:rPr>
        <w:t xml:space="preserve">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 xml:space="preserve">若对项目采购电子交易系统操作有疑问，可登录政采云（https://www.zcygov.cn/），点击右侧咨询小采，获取采小蜜智能服务管家帮助，或拨打政采云服务热线400-881-7190获取热线服务帮助。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CA问题联系电话（人工）：汇信CA 400-888-4636；天谷CA 400-087-8198。</w:t>
      </w:r>
    </w:p>
    <w:p>
      <w:pPr>
        <w:adjustRightInd w:val="0"/>
        <w:spacing w:line="360" w:lineRule="auto"/>
        <w:ind w:firstLine="472" w:firstLineChars="196"/>
        <w:rPr>
          <w:rFonts w:ascii="仿宋_GB2312" w:hAnsi="仿宋" w:eastAsia="仿宋_GB2312" w:cs="仿宋_GB2312"/>
          <w:b/>
          <w:snapToGrid w:val="0"/>
          <w:sz w:val="24"/>
          <w:szCs w:val="24"/>
        </w:rPr>
      </w:pPr>
    </w:p>
    <w:p>
      <w:pPr>
        <w:adjustRightInd w:val="0"/>
        <w:spacing w:line="360" w:lineRule="auto"/>
        <w:ind w:firstLine="200"/>
        <w:jc w:val="center"/>
        <w:rPr>
          <w:rFonts w:ascii="仿宋_GB2312" w:hAnsi="仿宋" w:eastAsia="仿宋_GB2312" w:cs="仿宋_GB2312"/>
          <w:sz w:val="24"/>
          <w:szCs w:val="24"/>
        </w:rPr>
      </w:pPr>
      <w:r>
        <w:rPr>
          <w:rFonts w:hint="eastAsia" w:ascii="仿宋_GB2312" w:hAnsi="仿宋" w:eastAsia="仿宋_GB2312" w:cs="仿宋_GB2312"/>
          <w:sz w:val="24"/>
          <w:szCs w:val="24"/>
        </w:rPr>
        <w:t xml:space="preserve">                    </w:t>
      </w:r>
    </w:p>
    <w:p>
      <w:pPr>
        <w:adjustRightInd w:val="0"/>
        <w:spacing w:line="360" w:lineRule="auto"/>
        <w:ind w:firstLine="200"/>
        <w:jc w:val="center"/>
        <w:rPr>
          <w:rFonts w:ascii="仿宋_GB2312" w:hAnsi="仿宋" w:eastAsia="仿宋_GB2312" w:cs="仿宋_GB2312"/>
          <w:snapToGrid w:val="0"/>
          <w:sz w:val="24"/>
          <w:szCs w:val="24"/>
        </w:rPr>
      </w:pPr>
      <w:r>
        <w:rPr>
          <w:rFonts w:hint="eastAsia" w:ascii="仿宋_GB2312" w:hAnsi="仿宋" w:eastAsia="仿宋_GB2312" w:cs="仿宋_GB2312"/>
          <w:sz w:val="24"/>
          <w:szCs w:val="24"/>
        </w:rPr>
        <w:t xml:space="preserve">                     </w:t>
      </w: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br w:type="page"/>
      </w:r>
      <w:r>
        <w:rPr>
          <w:rFonts w:hint="eastAsia" w:ascii="仿宋_GB2312" w:hAnsi="仿宋" w:eastAsia="仿宋_GB2312" w:cs="仿宋_GB2312"/>
          <w:b/>
          <w:sz w:val="36"/>
          <w:szCs w:val="20"/>
        </w:rPr>
        <w:t>第二部分</w:t>
      </w:r>
      <w:bookmarkEnd w:id="7"/>
      <w:r>
        <w:rPr>
          <w:rFonts w:hint="eastAsia" w:ascii="仿宋_GB2312" w:hAnsi="仿宋" w:eastAsia="仿宋_GB2312" w:cs="仿宋_GB2312"/>
          <w:b/>
          <w:sz w:val="36"/>
          <w:szCs w:val="20"/>
        </w:rPr>
        <w:t xml:space="preserve"> 投标人须知</w:t>
      </w:r>
      <w:bookmarkEnd w:id="8"/>
    </w:p>
    <w:p>
      <w:pPr>
        <w:adjustRightInd w:val="0"/>
        <w:snapToGrid w:val="0"/>
        <w:spacing w:line="360" w:lineRule="auto"/>
        <w:jc w:val="center"/>
        <w:rPr>
          <w:rFonts w:ascii="仿宋_GB2312" w:hAnsi="仿宋" w:eastAsia="仿宋_GB2312" w:cs="仿宋_GB2312"/>
          <w:b/>
          <w:sz w:val="32"/>
          <w:szCs w:val="20"/>
        </w:rPr>
      </w:pPr>
      <w:r>
        <w:rPr>
          <w:rFonts w:hint="eastAsia" w:ascii="仿宋_GB2312" w:hAnsi="仿宋" w:eastAsia="仿宋_GB2312" w:cs="仿宋_GB2312"/>
          <w:b/>
          <w:sz w:val="32"/>
          <w:szCs w:val="20"/>
        </w:rPr>
        <w:t>前附表</w:t>
      </w:r>
    </w:p>
    <w:tbl>
      <w:tblPr>
        <w:tblStyle w:val="62"/>
        <w:tblW w:w="85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left"/>
              <w:rPr>
                <w:rFonts w:ascii="仿宋_GB2312" w:hAnsi="仿宋" w:eastAsia="仿宋_GB2312" w:cs="仿宋_GB2312"/>
                <w:kern w:val="0"/>
                <w:sz w:val="24"/>
                <w:szCs w:val="24"/>
                <w:lang w:val="zh-CN"/>
              </w:rPr>
            </w:pPr>
            <w:r>
              <w:rPr>
                <w:rFonts w:hint="eastAsia" w:ascii="仿宋_GB2312" w:hAnsi="仿宋" w:eastAsia="仿宋_GB2312" w:cs="Times New Roman"/>
                <w:kern w:val="0"/>
                <w:sz w:val="24"/>
                <w:szCs w:val="24"/>
                <w:lang w:val="zh-CN"/>
              </w:rPr>
              <w:t>有关本项目建设所需的费用均计入报价。</w:t>
            </w:r>
            <w:r>
              <w:rPr>
                <w:rFonts w:hint="eastAsia" w:ascii="仿宋_GB2312" w:hAnsi="仿宋" w:eastAsia="仿宋_GB2312" w:cs="Times New Roman"/>
                <w:sz w:val="24"/>
                <w:szCs w:val="24"/>
              </w:rPr>
              <w:t>《投标（开标）一览表》是报价的唯一载体</w:t>
            </w:r>
            <w:r>
              <w:rPr>
                <w:rFonts w:hint="eastAsia" w:ascii="仿宋_GB2312" w:hAnsi="仿宋" w:eastAsia="仿宋_GB2312" w:cs="仿宋_GB2312"/>
                <w:kern w:val="0"/>
                <w:sz w:val="24"/>
                <w:szCs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szCs w:val="24"/>
                <w:lang w:val="zh-CN"/>
              </w:rPr>
              <w:t>。</w:t>
            </w:r>
          </w:p>
          <w:p>
            <w:pPr>
              <w:adjustRightInd w:val="0"/>
              <w:snapToGrid w:val="0"/>
              <w:spacing w:line="360" w:lineRule="auto"/>
              <w:jc w:val="left"/>
              <w:rPr>
                <w:rFonts w:ascii="仿宋_GB2312" w:hAnsi="仿宋" w:eastAsia="仿宋_GB2312" w:cs="仿宋_GB2312"/>
                <w:b/>
                <w:kern w:val="0"/>
                <w:sz w:val="24"/>
                <w:szCs w:val="24"/>
                <w:lang w:val="zh-CN"/>
              </w:rPr>
            </w:pPr>
            <w:r>
              <w:rPr>
                <w:rFonts w:hint="eastAsia" w:ascii="仿宋_GB2312" w:hAnsi="仿宋" w:eastAsia="仿宋_GB2312" w:cs="仿宋_GB2312"/>
                <w:b/>
                <w:kern w:val="0"/>
                <w:sz w:val="24"/>
                <w:szCs w:val="24"/>
                <w:lang w:val="zh-CN"/>
              </w:rPr>
              <w:t>投标报价出现下列情形的，投标无效：</w:t>
            </w:r>
          </w:p>
          <w:p>
            <w:pPr>
              <w:adjustRightInd w:val="0"/>
              <w:snapToGrid w:val="0"/>
              <w:spacing w:line="360" w:lineRule="auto"/>
              <w:jc w:val="left"/>
              <w:rPr>
                <w:rFonts w:ascii="仿宋_GB2312" w:hAnsi="仿宋" w:eastAsia="仿宋_GB2312" w:cs="仿宋_GB2312"/>
                <w:b/>
                <w:kern w:val="0"/>
                <w:sz w:val="24"/>
                <w:szCs w:val="24"/>
                <w:lang w:val="zh-CN"/>
              </w:rPr>
            </w:pPr>
            <w:r>
              <w:rPr>
                <w:rFonts w:hint="eastAsia" w:ascii="仿宋_GB2312" w:hAnsi="仿宋" w:eastAsia="仿宋_GB2312" w:cs="Times New Roman"/>
                <w:b/>
                <w:sz w:val="24"/>
                <w:szCs w:val="24"/>
              </w:rPr>
              <w:t>▲</w:t>
            </w:r>
            <w:r>
              <w:rPr>
                <w:rFonts w:hint="eastAsia" w:ascii="仿宋_GB2312" w:hAnsi="仿宋" w:eastAsia="仿宋_GB2312" w:cs="仿宋_GB2312"/>
                <w:b/>
                <w:kern w:val="0"/>
                <w:sz w:val="24"/>
                <w:szCs w:val="24"/>
                <w:lang w:val="zh-CN"/>
              </w:rPr>
              <w:t>投标文件出现不是唯一的、有选择性投标报价的；</w:t>
            </w:r>
          </w:p>
          <w:p>
            <w:pPr>
              <w:adjustRightInd w:val="0"/>
              <w:snapToGrid w:val="0"/>
              <w:spacing w:line="360" w:lineRule="auto"/>
              <w:jc w:val="left"/>
              <w:rPr>
                <w:rFonts w:ascii="仿宋_GB2312" w:hAnsi="仿宋" w:eastAsia="仿宋_GB2312" w:cs="仿宋_GB2312"/>
                <w:kern w:val="0"/>
                <w:sz w:val="24"/>
                <w:szCs w:val="24"/>
                <w:lang w:val="zh-CN"/>
              </w:rPr>
            </w:pPr>
            <w:r>
              <w:rPr>
                <w:rFonts w:hint="eastAsia" w:ascii="仿宋_GB2312" w:hAnsi="仿宋" w:eastAsia="仿宋_GB2312" w:cs="Times New Roman"/>
                <w:b/>
                <w:sz w:val="24"/>
                <w:szCs w:val="24"/>
              </w:rPr>
              <w:t>▲</w:t>
            </w:r>
            <w:r>
              <w:rPr>
                <w:rFonts w:hint="eastAsia" w:ascii="仿宋_GB2312" w:hAnsi="仿宋" w:eastAsia="仿宋_GB2312" w:cs="仿宋_GB2312"/>
                <w:b/>
                <w:sz w:val="24"/>
                <w:szCs w:val="24"/>
              </w:rPr>
              <w:t>投标报价高于本项目采购预算或者最高限价的;</w:t>
            </w:r>
          </w:p>
          <w:p>
            <w:pPr>
              <w:adjustRightInd w:val="0"/>
              <w:spacing w:line="360" w:lineRule="auto"/>
              <w:rPr>
                <w:rFonts w:ascii="仿宋_GB2312" w:hAnsi="仿宋" w:eastAsia="仿宋_GB2312" w:cs="仿宋_GB2312"/>
                <w:b/>
                <w:sz w:val="24"/>
                <w:szCs w:val="24"/>
              </w:rPr>
            </w:pPr>
            <w:r>
              <w:rPr>
                <w:rFonts w:hint="eastAsia" w:ascii="仿宋_GB2312" w:hAnsi="仿宋" w:eastAsia="仿宋_GB2312" w:cs="Times New Roman"/>
                <w:b/>
                <w:sz w:val="24"/>
                <w:szCs w:val="24"/>
              </w:rPr>
              <w:t>▲</w:t>
            </w:r>
            <w:r>
              <w:rPr>
                <w:rFonts w:hint="eastAsia" w:ascii="仿宋_GB2312" w:hAnsi="仿宋" w:eastAsia="仿宋_GB2312" w:cs="Arial"/>
                <w:b/>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hint="eastAsia" w:ascii="仿宋_GB2312" w:hAnsi="仿宋" w:eastAsia="仿宋_GB2312" w:cs="仿宋_GB2312"/>
                <w:b/>
                <w:sz w:val="24"/>
                <w:szCs w:val="21"/>
              </w:rPr>
              <w:t>;</w:t>
            </w:r>
          </w:p>
          <w:p>
            <w:pPr>
              <w:adjustRightInd w:val="0"/>
              <w:spacing w:line="360" w:lineRule="auto"/>
              <w:rPr>
                <w:rFonts w:ascii="仿宋_GB2312" w:hAnsi="仿宋" w:eastAsia="仿宋_GB2312" w:cs="仿宋_GB2312"/>
                <w:sz w:val="24"/>
                <w:szCs w:val="21"/>
              </w:rPr>
            </w:pPr>
            <w:r>
              <w:rPr>
                <w:rFonts w:hint="eastAsia" w:ascii="仿宋_GB2312" w:hAnsi="仿宋" w:eastAsia="仿宋_GB2312" w:cs="Times New Roman"/>
                <w:b/>
                <w:sz w:val="24"/>
                <w:szCs w:val="24"/>
              </w:rPr>
              <w:t>▲《投标（开标）一览表》填写不完整或字迹不能辨认或有漏项的；</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Arial"/>
                <w:b/>
                <w:kern w:val="0"/>
                <w:sz w:val="24"/>
                <w:szCs w:val="24"/>
              </w:rPr>
              <w:t>▲投标人对根据修正原则修正后的报价不确认的</w:t>
            </w:r>
            <w:r>
              <w:rPr>
                <w:rFonts w:hint="eastAsia" w:ascii="仿宋_GB2312" w:hAnsi="仿宋" w:eastAsia="仿宋_GB2312" w:cs="Times New Roman"/>
                <w:b/>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分包或转包</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（1）采购人不同意分包</w:t>
            </w:r>
          </w:p>
          <w:p>
            <w:pPr>
              <w:adjustRightInd w:val="0"/>
              <w:spacing w:line="360" w:lineRule="auto"/>
              <w:rPr>
                <w:rFonts w:ascii="仿宋_GB2312" w:hAnsi="仿宋" w:eastAsia="仿宋_GB2312" w:cs="仿宋_GB2312"/>
                <w:sz w:val="24"/>
                <w:szCs w:val="24"/>
              </w:rPr>
            </w:pPr>
            <w:r>
              <w:rPr>
                <w:rFonts w:hint="eastAsia" w:ascii="仿宋_GB2312" w:hAnsi="仿宋" w:eastAsia="仿宋_GB2312" w:cs="Times New Roman"/>
                <w:sz w:val="24"/>
                <w:szCs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2" w:hRule="atLeast"/>
          <w:tblHeader/>
        </w:trPr>
        <w:tc>
          <w:tcPr>
            <w:tcW w:w="629" w:type="dxa"/>
            <w:vMerge w:val="restart"/>
            <w:tcBorders>
              <w:top w:val="single" w:color="auto" w:sz="4" w:space="0"/>
              <w:left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（1）资格证明文件：见招标文件第二部分</w:t>
            </w:r>
            <w:r>
              <w:rPr>
                <w:rFonts w:hint="eastAsia" w:ascii="仿宋_GB2312" w:hAnsi="仿宋" w:eastAsia="仿宋_GB2312" w:cs="仿宋_GB2312"/>
                <w:sz w:val="24"/>
                <w:szCs w:val="24"/>
              </w:rPr>
              <w:t>11.1。</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w:t>
            </w:r>
            <w:r>
              <w:rPr>
                <w:rFonts w:hint="eastAsia" w:ascii="仿宋_GB2312" w:hAnsi="仿宋" w:eastAsia="仿宋_GB2312" w:cs="仿宋_GB2312"/>
                <w:b/>
                <w:sz w:val="24"/>
                <w:szCs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2" w:hRule="atLeast"/>
          <w:tblHeader/>
        </w:trPr>
        <w:tc>
          <w:tcPr>
            <w:tcW w:w="629" w:type="dxa"/>
            <w:vMerge w:val="continue"/>
            <w:tcBorders>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p>
        </w:tc>
        <w:tc>
          <w:tcPr>
            <w:tcW w:w="6079" w:type="dxa"/>
            <w:tcBorders>
              <w:top w:val="single" w:color="auto" w:sz="4"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Arial"/>
                <w:snapToGrid w:val="0"/>
                <w:sz w:val="24"/>
                <w:szCs w:val="20"/>
                <w:highlight w:val="none"/>
              </w:rPr>
            </w:pPr>
            <w:r>
              <w:rPr>
                <w:rFonts w:hint="eastAsia" w:ascii="仿宋_GB2312" w:hAnsi="仿宋" w:eastAsia="仿宋_GB2312" w:cs="Times New Roman"/>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b/>
                <w:sz w:val="24"/>
                <w:szCs w:val="24"/>
              </w:rPr>
            </w:pPr>
            <w:r>
              <w:rPr>
                <w:rFonts w:hint="eastAsia" w:ascii="仿宋_GB2312" w:hAnsi="仿宋" w:eastAsia="仿宋_GB2312" w:cs="Arial"/>
                <w:snapToGrid w:val="0"/>
                <w:sz w:val="24"/>
                <w:szCs w:val="21"/>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Cs/>
                <w:sz w:val="24"/>
                <w:szCs w:val="24"/>
              </w:rPr>
            </w:pPr>
            <w:r>
              <w:rPr>
                <w:rFonts w:hint="eastAsia" w:ascii="仿宋_GB2312" w:hAnsi="仿宋" w:eastAsia="仿宋_GB2312" w:cs="仿宋_GB2312"/>
                <w:b/>
                <w:sz w:val="24"/>
                <w:szCs w:val="24"/>
              </w:rPr>
              <w:t>方案讲解演示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仿宋_GB2312"/>
                <w:b/>
                <w:kern w:val="0"/>
                <w:sz w:val="24"/>
                <w:szCs w:val="20"/>
                <w:lang w:val="zh-CN"/>
              </w:rPr>
            </w:pPr>
            <w:r>
              <w:rPr>
                <w:rFonts w:hint="eastAsia" w:ascii="仿宋_GB2312" w:hAnsi="仿宋" w:eastAsia="仿宋_GB2312" w:cs="Arial"/>
                <w:snapToGrid w:val="0"/>
                <w:sz w:val="24"/>
                <w:szCs w:val="21"/>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项目属性</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rPr>
              <w:t>货物类</w:t>
            </w:r>
            <w:r>
              <w:rPr>
                <w:rFonts w:hint="eastAsia" w:ascii="仿宋_GB2312" w:hAnsi="仿宋" w:eastAsia="仿宋_GB2312"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hint="default" w:ascii="仿宋_GB2312" w:hAnsi="仿宋" w:eastAsia="仿宋_GB2312" w:cs="Times New Roman"/>
                <w:color w:val="auto"/>
                <w:sz w:val="24"/>
                <w:szCs w:val="24"/>
                <w:lang w:val="en-US" w:eastAsia="zh-CN"/>
              </w:rPr>
            </w:pPr>
            <w:r>
              <w:rPr>
                <w:rFonts w:hint="eastAsia" w:ascii="仿宋_GB2312" w:hAnsi="仿宋" w:eastAsia="仿宋_GB2312" w:cs="Times New Roman"/>
                <w:color w:val="auto"/>
                <w:sz w:val="24"/>
                <w:szCs w:val="24"/>
              </w:rPr>
              <w:t>采购标的：</w:t>
            </w:r>
            <w:r>
              <w:rPr>
                <w:rFonts w:hint="eastAsia" w:ascii="仿宋_GB2312" w:hAnsi="仿宋" w:eastAsia="仿宋_GB2312" w:cs="Times New Roman"/>
                <w:b/>
                <w:bCs/>
                <w:color w:val="auto"/>
                <w:sz w:val="24"/>
                <w:szCs w:val="24"/>
                <w:u w:val="single"/>
                <w:lang w:eastAsia="zh-CN"/>
              </w:rPr>
              <w:t>详见第六部分 应提交的有关格式范例中报价文件部分清单</w:t>
            </w:r>
            <w:r>
              <w:rPr>
                <w:rFonts w:hint="eastAsia" w:ascii="仿宋_GB2312" w:hAnsi="仿宋" w:eastAsia="仿宋_GB2312" w:cs="Times New Roman"/>
                <w:b/>
                <w:bCs/>
                <w:color w:val="auto"/>
                <w:sz w:val="24"/>
                <w:szCs w:val="24"/>
                <w:u w:val="single"/>
                <w:lang w:val="en-US" w:eastAsia="zh-CN"/>
              </w:rPr>
              <w:t>1-106项；</w:t>
            </w:r>
          </w:p>
          <w:p>
            <w:pPr>
              <w:adjustRightInd w:val="0"/>
              <w:snapToGrid w:val="0"/>
              <w:spacing w:line="360" w:lineRule="auto"/>
              <w:rPr>
                <w:rFonts w:ascii="仿宋_GB2312" w:hAnsi="仿宋" w:eastAsia="仿宋_GB2312" w:cs="Times New Roman"/>
                <w:sz w:val="24"/>
                <w:szCs w:val="24"/>
              </w:rPr>
            </w:pPr>
            <w:r>
              <w:rPr>
                <w:rFonts w:hint="eastAsia" w:ascii="仿宋_GB2312" w:hAnsi="仿宋" w:eastAsia="仿宋_GB2312" w:cs="Times New Roman"/>
                <w:color w:val="auto"/>
                <w:sz w:val="24"/>
                <w:szCs w:val="24"/>
              </w:rPr>
              <w:t>所属行业：</w:t>
            </w:r>
            <w:r>
              <w:rPr>
                <w:rFonts w:hint="eastAsia" w:ascii="仿宋_GB2312" w:hAnsi="仿宋" w:eastAsia="仿宋_GB2312" w:cs="Times New Roman"/>
                <w:b/>
                <w:bCs/>
                <w:color w:val="auto"/>
                <w:sz w:val="24"/>
                <w:szCs w:val="24"/>
                <w:highlight w:val="none"/>
                <w:u w:val="single"/>
                <w:lang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是否适宜中小企业情况</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根据《政府采购促进中小企业发展管理办法》财库〔</w:t>
            </w:r>
            <w:r>
              <w:rPr>
                <w:rFonts w:ascii="仿宋_GB2312" w:hAnsi="仿宋" w:eastAsia="仿宋_GB2312" w:cs="Times New Roman"/>
                <w:sz w:val="24"/>
                <w:szCs w:val="24"/>
              </w:rPr>
              <w:t>2020〕46号</w:t>
            </w:r>
            <w:r>
              <w:rPr>
                <w:rFonts w:hint="eastAsia" w:ascii="仿宋_GB2312" w:hAnsi="仿宋" w:eastAsia="仿宋_GB2312" w:cs="Times New Roman"/>
                <w:sz w:val="24"/>
                <w:szCs w:val="24"/>
                <w:highlight w:val="none"/>
              </w:rPr>
              <w:t>文件的规定，本项目不适宜预留份额专门面向中小企业采购。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p>
        </w:tc>
      </w:tr>
    </w:tbl>
    <w:p>
      <w:pPr>
        <w:adjustRightInd w:val="0"/>
        <w:snapToGrid w:val="0"/>
        <w:spacing w:line="360" w:lineRule="auto"/>
        <w:jc w:val="center"/>
        <w:rPr>
          <w:rFonts w:ascii="仿宋_GB2312" w:hAnsi="仿宋" w:eastAsia="仿宋_GB2312" w:cs="仿宋_GB2312"/>
          <w:b/>
          <w:sz w:val="32"/>
          <w:szCs w:val="20"/>
        </w:rPr>
      </w:pPr>
    </w:p>
    <w:p>
      <w:pPr>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1. 适用范围</w:t>
      </w:r>
    </w:p>
    <w:p>
      <w:pPr>
        <w:adjustRightInd w:val="0"/>
        <w:snapToGrid w:val="0"/>
        <w:spacing w:line="360" w:lineRule="auto"/>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本招标文件适用于该项目的招标、投标、开标、资格审查及信用信息查询、评标、定标、合同、验收等行为（法律、法规另有规定的，从其规定）。</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2.定义</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2.1 “采购人”系指招标公告中载明的本项目的采购人。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2.2 “采购机构”系指招标公告中载明的本项目的采购机构。</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2.3 “投标人”系指是指响应招标、参加投标竞争的法人、其他组织或者自然人。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2.4 “负责人”系指法人企业的法定负责人，或其他组织为法律、行政法规规定代表单位行使职权的主要负责人，或自然人本人。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2.5“电子签名”系指数据电文中以电子形式所含、所附用于识别签名人身份并表明签名人认可其中内容的数据。</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2.6“电子交易平台”是指本项目政府采购活动所依托的政府采购云平台（https://www.zcygov.cn/）。</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2.7 “▲” 系指实质性要求条款，“★”系产品采购项目中单一产品或核心产品。</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3.</w:t>
      </w:r>
      <w:r>
        <w:rPr>
          <w:rFonts w:hint="eastAsia" w:ascii="仿宋_GB2312" w:hAnsi="仿宋" w:eastAsia="仿宋_GB2312" w:cs="Times New Roman"/>
          <w:szCs w:val="24"/>
        </w:rPr>
        <w:t xml:space="preserve"> </w:t>
      </w:r>
      <w:r>
        <w:rPr>
          <w:rFonts w:hint="eastAsia" w:ascii="仿宋_GB2312" w:hAnsi="仿宋" w:eastAsia="仿宋_GB2312" w:cs="Times New Roman"/>
          <w:b/>
          <w:sz w:val="24"/>
          <w:szCs w:val="24"/>
        </w:rPr>
        <w:t>采购项目需要落实的政府采购政策</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3.2 节能环保要求</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adjustRightInd w:val="0"/>
        <w:spacing w:line="360" w:lineRule="auto"/>
        <w:ind w:firstLine="480" w:firstLineChars="200"/>
        <w:rPr>
          <w:rFonts w:ascii="仿宋_GB2312" w:hAnsi="仿宋" w:eastAsia="仿宋_GB2312" w:cs="Times New Roman"/>
          <w:b/>
          <w:sz w:val="24"/>
          <w:szCs w:val="24"/>
        </w:rPr>
      </w:pPr>
      <w:r>
        <w:rPr>
          <w:rFonts w:hint="eastAsia" w:ascii="仿宋_GB2312" w:hAnsi="仿宋" w:eastAsia="仿宋_GB2312" w:cs="Times New Roman"/>
          <w:sz w:val="24"/>
          <w:szCs w:val="24"/>
        </w:rPr>
        <w:t>3.2.2▲</w:t>
      </w:r>
      <w:r>
        <w:rPr>
          <w:rFonts w:hint="eastAsia" w:ascii="仿宋_GB2312" w:hAnsi="仿宋" w:eastAsia="仿宋_GB2312" w:cs="Times New Roman"/>
          <w:b/>
          <w:sz w:val="24"/>
          <w:szCs w:val="24"/>
        </w:rPr>
        <w:t>采购人拟采购的产品属于政府强制采购的节能产品品目清单范围的，投标人未按招标文件要求提供国家确定的认证机构出具的、处于有效期之内的节能产品认证证书，投标无效。</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w:t>
      </w:r>
      <w:r>
        <w:rPr>
          <w:rFonts w:hint="eastAsia" w:ascii="仿宋_GB2312" w:hAnsi="仿宋" w:eastAsia="仿宋_GB2312" w:cs="Times New Roman"/>
          <w:bCs/>
          <w:sz w:val="24"/>
          <w:szCs w:val="24"/>
        </w:rPr>
        <w:t>支持中小企业发展</w:t>
      </w:r>
      <w:r>
        <w:rPr>
          <w:rFonts w:hint="eastAsia" w:ascii="仿宋_GB2312" w:hAnsi="仿宋" w:eastAsia="仿宋_GB2312" w:cs="Times New Roman"/>
          <w:sz w:val="24"/>
          <w:szCs w:val="24"/>
        </w:rPr>
        <w:t>。</w:t>
      </w:r>
    </w:p>
    <w:p>
      <w:pPr>
        <w:adjustRightInd w:val="0"/>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Times New Roman"/>
          <w:color w:val="auto"/>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Times New Roman"/>
          <w:color w:val="auto"/>
          <w:sz w:val="24"/>
          <w:szCs w:val="24"/>
        </w:rPr>
        <w:t>符合中小企业划分标准的个体工商户，在政府采购活动中视同中小企业。</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ascii="仿宋_GB2312" w:hAnsi="Times New Roman" w:eastAsia="仿宋_GB2312" w:cs="Times New Roman"/>
          <w:bCs/>
          <w:color w:val="auto"/>
          <w:sz w:val="24"/>
          <w:szCs w:val="24"/>
        </w:rPr>
        <w:t>3.3.2</w:t>
      </w:r>
      <w:r>
        <w:rPr>
          <w:rFonts w:hint="eastAsia" w:ascii="仿宋_GB2312" w:hAnsi="宋体" w:eastAsia="仿宋_GB2312" w:cs="宋体"/>
          <w:color w:val="auto"/>
          <w:kern w:val="0"/>
          <w:sz w:val="24"/>
          <w:szCs w:val="24"/>
        </w:rPr>
        <w:t>在政府采购活动中，投标人提供的货物、工程或者服务符合下列情形的，享受中小企业扶持政策：</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1）在货物采购项目中，货物由中小企业制造，即货物由中小企业生产且使用该中小企业商号或者注册商标；</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2）在工程采购项目中，工程由中小企业承建，即工程施工单位为中小企业；</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3）在服务采购项目中，服务由中小企业承接，即提供服务的人员为中小企业依照《中华人民共和国劳动合同法》订立劳动合同的从业人员。</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在货物采购项目中，投标人提供的货物既有中小企业制造货物，也有大型企业制造货物的，不享受中小企业扶持政策。</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以联合体形式参加政府采购活动，联合体各方均为中小企业的，联合体视同中小企业。其中，联合体各方均为小微企业的，联合体视同小微企业。</w:t>
      </w:r>
    </w:p>
    <w:p>
      <w:pPr>
        <w:adjustRightInd w:val="0"/>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Times New Roman"/>
          <w:color w:val="auto"/>
          <w:sz w:val="24"/>
          <w:szCs w:val="24"/>
        </w:rPr>
        <w:t>3.3.3</w:t>
      </w:r>
      <w:r>
        <w:rPr>
          <w:rFonts w:hint="eastAsia" w:ascii="仿宋_GB2312" w:hAnsi="仿宋" w:eastAsia="仿宋_GB2312" w:cs="Times New Roman"/>
          <w:color w:val="auto"/>
          <w:sz w:val="24"/>
          <w:szCs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Times New Roman"/>
          <w:color w:val="auto"/>
          <w:sz w:val="24"/>
          <w:szCs w:val="24"/>
        </w:rPr>
        <w:t>10%的扣除，用扣除后的价格参与评审。</w:t>
      </w:r>
    </w:p>
    <w:p>
      <w:pPr>
        <w:adjustRightInd w:val="0"/>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Times New Roman"/>
          <w:color w:val="auto"/>
          <w:sz w:val="24"/>
          <w:szCs w:val="24"/>
        </w:rPr>
        <w:t>3.3.4接受大中型企业与小微企业组成联合体或者允许大中型企业向一家或者多家小微企业分包的</w:t>
      </w:r>
      <w:r>
        <w:rPr>
          <w:rFonts w:hint="eastAsia" w:ascii="仿宋_GB2312" w:hAnsi="仿宋" w:eastAsia="仿宋_GB2312" w:cs="Times New Roman"/>
          <w:color w:val="auto"/>
          <w:sz w:val="24"/>
          <w:szCs w:val="24"/>
        </w:rPr>
        <w:t>政府</w:t>
      </w:r>
      <w:r>
        <w:rPr>
          <w:rFonts w:ascii="仿宋_GB2312" w:hAnsi="仿宋" w:eastAsia="仿宋_GB2312" w:cs="Times New Roman"/>
          <w:color w:val="auto"/>
          <w:sz w:val="24"/>
          <w:szCs w:val="24"/>
        </w:rPr>
        <w:t>采购</w:t>
      </w:r>
      <w:r>
        <w:rPr>
          <w:rFonts w:hint="eastAsia" w:ascii="仿宋_GB2312" w:hAnsi="仿宋" w:eastAsia="仿宋_GB2312" w:cs="Times New Roman"/>
          <w:color w:val="auto"/>
          <w:sz w:val="24"/>
          <w:szCs w:val="24"/>
        </w:rPr>
        <w:t>货物或服务</w:t>
      </w:r>
      <w:r>
        <w:rPr>
          <w:rFonts w:ascii="仿宋_GB2312" w:hAnsi="仿宋" w:eastAsia="仿宋_GB2312" w:cs="Times New Roman"/>
          <w:color w:val="auto"/>
          <w:sz w:val="24"/>
          <w:szCs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color w:val="auto"/>
          <w:sz w:val="24"/>
          <w:szCs w:val="24"/>
        </w:rPr>
        <w:t>3.3.5</w:t>
      </w:r>
      <w:r>
        <w:rPr>
          <w:rFonts w:hint="eastAsia" w:ascii="仿宋_GB2312" w:hAnsi="仿宋" w:eastAsia="仿宋_GB2312" w:cs="Times New Roman"/>
          <w:color w:val="auto"/>
          <w:sz w:val="24"/>
          <w:szCs w:val="24"/>
        </w:rPr>
        <w:t>符合《关于促进残疾人就业政府采购政策的通知》（财库〔</w:t>
      </w:r>
      <w:r>
        <w:rPr>
          <w:rFonts w:ascii="仿宋_GB2312" w:hAnsi="仿宋" w:eastAsia="仿宋_GB2312" w:cs="Times New Roman"/>
          <w:color w:val="auto"/>
          <w:sz w:val="24"/>
          <w:szCs w:val="24"/>
        </w:rPr>
        <w:t>2017〕</w:t>
      </w:r>
      <w:r>
        <w:rPr>
          <w:rFonts w:ascii="仿宋_GB2312" w:hAnsi="仿宋" w:eastAsia="仿宋_GB2312" w:cs="Times New Roman"/>
          <w:sz w:val="24"/>
          <w:szCs w:val="24"/>
        </w:rPr>
        <w:t>141号）规定的条件并提供《残疾人福利性单位声明函》（附件1）的残疾人福利性单位视同小型、微型企业；</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3.3.6</w:t>
      </w:r>
      <w:r>
        <w:rPr>
          <w:rFonts w:hint="eastAsia" w:ascii="仿宋_GB2312" w:hAnsi="仿宋" w:eastAsia="仿宋_GB2312" w:cs="Times New Roman"/>
          <w:sz w:val="24"/>
          <w:szCs w:val="24"/>
        </w:rPr>
        <w:t>符合《关于政府采购支持监狱企业发展有关问题的通知》（财库</w:t>
      </w:r>
      <w:r>
        <w:rPr>
          <w:rFonts w:ascii="仿宋_GB2312" w:hAnsi="仿宋" w:eastAsia="仿宋_GB2312" w:cs="Times New Roman"/>
          <w:sz w:val="24"/>
          <w:szCs w:val="24"/>
        </w:rPr>
        <w:t>[2014]68号）规定的监狱企业并提供由省级以上监狱管理局、戒毒管理局（含新疆生产建设兵团）出具的属于监狱企业证明文件的，视同为小型、微型企业。</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3.3.7</w:t>
      </w:r>
      <w:r>
        <w:rPr>
          <w:rFonts w:hint="eastAsia" w:ascii="仿宋_GB2312" w:hAnsi="仿宋" w:eastAsia="仿宋_GB2312" w:cs="Times New Roman"/>
          <w:sz w:val="24"/>
          <w:szCs w:val="24"/>
        </w:rPr>
        <w:t>可享受</w:t>
      </w:r>
      <w:r>
        <w:rPr>
          <w:rFonts w:hint="eastAsia" w:ascii="仿宋_GB2312" w:hAnsi="宋体" w:eastAsia="仿宋_GB2312" w:cs="宋体"/>
          <w:kern w:val="0"/>
          <w:sz w:val="24"/>
          <w:szCs w:val="24"/>
        </w:rPr>
        <w:t>中小企业扶持政策</w:t>
      </w:r>
      <w:r>
        <w:rPr>
          <w:rFonts w:hint="eastAsia" w:ascii="仿宋_GB2312" w:hAnsi="仿宋" w:eastAsia="仿宋_GB2312" w:cs="Times New Roman"/>
          <w:sz w:val="24"/>
          <w:szCs w:val="24"/>
        </w:rPr>
        <w:t>的投标人应按照招标文件格式要求提供《中小企业声明函》。</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3.3.8</w:t>
      </w:r>
      <w:r>
        <w:rPr>
          <w:rFonts w:hint="eastAsia" w:ascii="仿宋_GB2312" w:hAnsi="仿宋" w:eastAsia="仿宋_GB2312" w:cs="Times New Roman"/>
          <w:sz w:val="24"/>
          <w:szCs w:val="24"/>
        </w:rPr>
        <w:t>中小企业</w:t>
      </w:r>
      <w:r>
        <w:rPr>
          <w:rFonts w:ascii="仿宋_GB2312" w:hAnsi="仿宋" w:eastAsia="仿宋_GB2312" w:cs="Times New Roman"/>
          <w:sz w:val="24"/>
          <w:szCs w:val="24"/>
        </w:rPr>
        <w:t>享受扶持政策获得政府采购合同的，小微企业不得将合同分包给大中型企业，中型企业不得将合同分包给大型企业</w:t>
      </w:r>
      <w:r>
        <w:rPr>
          <w:rFonts w:hint="eastAsia" w:ascii="仿宋_GB2312" w:hAnsi="仿宋" w:eastAsia="仿宋_GB2312" w:cs="Times New Roman"/>
          <w:sz w:val="24"/>
          <w:szCs w:val="24"/>
        </w:rPr>
        <w:t>。</w:t>
      </w:r>
    </w:p>
    <w:p>
      <w:pPr>
        <w:adjustRightInd w:val="0"/>
        <w:spacing w:line="360" w:lineRule="auto"/>
        <w:ind w:firstLine="480" w:firstLineChars="200"/>
        <w:rPr>
          <w:rFonts w:ascii="仿宋_GB2312" w:hAnsi="仿宋" w:eastAsia="仿宋_GB2312" w:cs="Times New Roman"/>
          <w:b/>
          <w:sz w:val="24"/>
          <w:szCs w:val="24"/>
        </w:rPr>
      </w:pPr>
      <w:r>
        <w:rPr>
          <w:rFonts w:hint="eastAsia" w:ascii="仿宋_GB2312" w:hAnsi="仿宋" w:eastAsia="仿宋_GB2312" w:cs="Times New Roman"/>
          <w:sz w:val="24"/>
          <w:szCs w:val="24"/>
        </w:rPr>
        <w:t>3.4</w:t>
      </w: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r>
        <w:rPr>
          <w:rFonts w:hint="eastAsia" w:ascii="仿宋_GB2312" w:hAnsi="仿宋" w:eastAsia="仿宋_GB2312" w:cs="Times New Roman"/>
          <w:sz w:val="24"/>
          <w:szCs w:val="24"/>
        </w:rPr>
        <w:cr/>
      </w:r>
      <w:r>
        <w:rPr>
          <w:rFonts w:hint="eastAsia" w:ascii="仿宋_GB2312" w:hAnsi="仿宋" w:eastAsia="仿宋_GB2312" w:cs="Times New Roman"/>
          <w:b/>
          <w:sz w:val="24"/>
          <w:szCs w:val="24"/>
        </w:rPr>
        <w:t>4. 询问、质疑、投诉</w:t>
      </w:r>
    </w:p>
    <w:p>
      <w:pPr>
        <w:autoSpaceDE w:val="0"/>
        <w:autoSpaceDN w:val="0"/>
        <w:adjustRightInd w:val="0"/>
        <w:spacing w:line="360" w:lineRule="auto"/>
        <w:ind w:firstLine="480" w:firstLineChars="200"/>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4.1供应商询问</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Arial"/>
          <w:snapToGrid w:val="0"/>
          <w:sz w:val="24"/>
          <w:szCs w:val="21"/>
        </w:rPr>
        <w:t>根据采购人与采购机构签订的《杭州市集中采购年度委托协议》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autoSpaceDN w:val="0"/>
        <w:adjustRightInd w:val="0"/>
        <w:spacing w:line="360" w:lineRule="auto"/>
        <w:ind w:firstLine="480" w:firstLineChars="200"/>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4.2供应商质疑</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微软雅黑"/>
          <w:snapToGrid w:val="0"/>
          <w:kern w:val="0"/>
          <w:sz w:val="24"/>
          <w:szCs w:val="21"/>
          <w:lang w:val="zh-CN"/>
        </w:rPr>
        <w:t>4.2</w:t>
      </w:r>
      <w:r>
        <w:rPr>
          <w:rFonts w:hint="eastAsia" w:ascii="仿宋_GB2312" w:hAnsi="仿宋" w:eastAsia="仿宋_GB2312" w:cs="Arial"/>
          <w:snapToGrid w:val="0"/>
          <w:sz w:val="24"/>
          <w:szCs w:val="21"/>
        </w:rPr>
        <w:t>.1提出质疑的供应商应当是参与所质疑项目采购活动的供应商。潜在供应商已依法获取其可质疑的采购文件的，可以对该文件提出质疑。</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微软雅黑"/>
          <w:snapToGrid w:val="0"/>
          <w:kern w:val="0"/>
          <w:sz w:val="24"/>
          <w:szCs w:val="21"/>
          <w:lang w:val="zh-CN"/>
        </w:rPr>
        <w:t>4.2</w:t>
      </w:r>
      <w:r>
        <w:rPr>
          <w:rFonts w:hint="eastAsia" w:ascii="仿宋_GB2312" w:hAnsi="仿宋" w:eastAsia="仿宋_GB2312" w:cs="Arial"/>
          <w:snapToGrid w:val="0"/>
          <w:sz w:val="24"/>
          <w:szCs w:val="21"/>
        </w:rPr>
        <w:t>.2供应商认为采购文件、采购过程和中标结果使自己的权益受到损害的，可以在知道或者应知其权益受到损害之日起七个工作日内，以书面形式向采购人或者采购机构提出质疑，否则，采购人或者采购机构不予受理：</w:t>
      </w:r>
    </w:p>
    <w:p>
      <w:pPr>
        <w:widowControl/>
        <w:adjustRightInd w:val="0"/>
        <w:snapToGrid w:val="0"/>
        <w:spacing w:line="360" w:lineRule="auto"/>
        <w:ind w:firstLine="434" w:firstLineChars="181"/>
        <w:rPr>
          <w:rFonts w:ascii="仿宋_GB2312" w:hAnsi="仿宋" w:eastAsia="仿宋_GB2312"/>
          <w:sz w:val="24"/>
        </w:rPr>
      </w:pPr>
      <w:r>
        <w:rPr>
          <w:rFonts w:hint="eastAsia" w:ascii="仿宋_GB2312" w:hAnsi="仿宋" w:eastAsia="仿宋_GB2312"/>
          <w:sz w:val="24"/>
        </w:rPr>
        <w:t>4.2.2.1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杭州市集中采购年度委托协议》的规定：对采购文件中特定资格条件、采购需求、评分办法提出的质疑，原则上由采购人负责答复；对采购文件中其他内容提出的质疑，原则上由采购机构负责答复。</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Arial"/>
          <w:snapToGrid w:val="0"/>
          <w:sz w:val="24"/>
          <w:szCs w:val="21"/>
        </w:rPr>
        <w:t>4.2.2.2对采购过程提出质疑的，质疑期限为各采购程序环节结束之日起计算。对同一采购程序环节的质疑，供应商须一次性提出。根据采购人与采购机构签订的《杭州市集中采购年度委托协议》的规定：对采购过程中有关现场考察或开标前答疑会事项提出的质疑，原则上由采购人负责答复；对采购过程中其它事项提出的质疑，原则上由采购机构负责答复。</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Arial"/>
          <w:snapToGrid w:val="0"/>
          <w:sz w:val="24"/>
          <w:szCs w:val="21"/>
        </w:rPr>
        <w:t>4.2.2.3对采购结果提出质疑的，质疑期限自采购结果公告期限届满之日起计算。对采购结果提出质疑的，采购机构负责答复。</w:t>
      </w:r>
    </w:p>
    <w:p>
      <w:pPr>
        <w:adjustRightInd w:val="0"/>
        <w:snapToGrid w:val="0"/>
        <w:spacing w:line="360" w:lineRule="auto"/>
        <w:ind w:firstLine="480" w:firstLineChars="200"/>
        <w:contextualSpacing/>
        <w:rPr>
          <w:rFonts w:ascii="仿宋_GB2312" w:hAnsi="仿宋" w:eastAsia="仿宋_GB2312" w:cs="Arial"/>
          <w:snapToGrid w:val="0"/>
          <w:sz w:val="24"/>
          <w:szCs w:val="21"/>
        </w:rPr>
      </w:pPr>
      <w:r>
        <w:rPr>
          <w:rFonts w:hint="eastAsia" w:ascii="仿宋_GB2312" w:hAnsi="仿宋" w:eastAsia="仿宋_GB2312" w:cs="微软雅黑"/>
          <w:snapToGrid w:val="0"/>
          <w:kern w:val="0"/>
          <w:sz w:val="24"/>
          <w:szCs w:val="21"/>
          <w:lang w:val="zh-CN"/>
        </w:rPr>
        <w:t>4.2.3</w:t>
      </w:r>
      <w:r>
        <w:rPr>
          <w:rFonts w:hint="eastAsia" w:ascii="仿宋_GB2312" w:hAnsi="仿宋" w:eastAsia="仿宋_GB2312" w:cs="Arial"/>
          <w:snapToGrid w:val="0"/>
          <w:sz w:val="24"/>
          <w:szCs w:val="21"/>
        </w:rPr>
        <w:t>供应商提出质疑应当提交质疑函和必要的证明材料。质疑函应当包括下列内容：</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4.2.3.1</w:t>
      </w:r>
      <w:r>
        <w:rPr>
          <w:rFonts w:hint="eastAsia" w:ascii="仿宋_GB2312" w:hAnsi="仿宋" w:eastAsia="仿宋_GB2312" w:cs="Arial"/>
          <w:snapToGrid w:val="0"/>
          <w:sz w:val="24"/>
          <w:szCs w:val="21"/>
        </w:rPr>
        <w:t>供应商的姓名或者名称、地址、邮编、联系人及联系电话；</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4.2.3.2</w:t>
      </w:r>
      <w:r>
        <w:rPr>
          <w:rFonts w:hint="eastAsia" w:ascii="仿宋_GB2312" w:hAnsi="仿宋" w:eastAsia="仿宋_GB2312" w:cs="Arial"/>
          <w:snapToGrid w:val="0"/>
          <w:sz w:val="24"/>
          <w:szCs w:val="21"/>
        </w:rPr>
        <w:t>质疑项目的名称、编号；</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4.2.3.3</w:t>
      </w:r>
      <w:r>
        <w:rPr>
          <w:rFonts w:hint="eastAsia" w:ascii="仿宋_GB2312" w:hAnsi="仿宋" w:eastAsia="仿宋_GB2312" w:cs="Arial"/>
          <w:snapToGrid w:val="0"/>
          <w:sz w:val="24"/>
          <w:szCs w:val="21"/>
        </w:rPr>
        <w:t>具体、明确的质疑事项和与质疑事项相关的请求；</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4.2.3.4</w:t>
      </w:r>
      <w:r>
        <w:rPr>
          <w:rFonts w:hint="eastAsia" w:ascii="仿宋_GB2312" w:hAnsi="仿宋" w:eastAsia="仿宋_GB2312" w:cs="Arial"/>
          <w:snapToGrid w:val="0"/>
          <w:sz w:val="24"/>
          <w:szCs w:val="21"/>
        </w:rPr>
        <w:t>事实依据；</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4.2.3.5</w:t>
      </w:r>
      <w:r>
        <w:rPr>
          <w:rFonts w:hint="eastAsia" w:ascii="仿宋_GB2312" w:hAnsi="仿宋" w:eastAsia="仿宋_GB2312" w:cs="Arial"/>
          <w:snapToGrid w:val="0"/>
          <w:sz w:val="24"/>
          <w:szCs w:val="21"/>
        </w:rPr>
        <w:t>必要的法律依据；</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Arial"/>
          <w:snapToGrid w:val="0"/>
          <w:sz w:val="24"/>
          <w:szCs w:val="21"/>
        </w:rPr>
      </w:pPr>
      <w:r>
        <w:rPr>
          <w:rFonts w:hint="eastAsia" w:ascii="仿宋_GB2312" w:hAnsi="仿宋" w:eastAsia="仿宋_GB2312" w:cs="微软雅黑"/>
          <w:kern w:val="0"/>
          <w:sz w:val="24"/>
          <w:szCs w:val="24"/>
          <w:lang w:val="zh-CN"/>
        </w:rPr>
        <w:t>4.2.3.6</w:t>
      </w:r>
      <w:r>
        <w:rPr>
          <w:rFonts w:hint="eastAsia" w:ascii="仿宋_GB2312" w:hAnsi="仿宋" w:eastAsia="仿宋_GB2312" w:cs="Arial"/>
          <w:snapToGrid w:val="0"/>
          <w:sz w:val="24"/>
          <w:szCs w:val="21"/>
        </w:rPr>
        <w:t>提出质疑的日期。</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供应商提交的质疑函需一式三份。供应商为自然人的，应当由本人签字；供应商为法人或者其他组织的，应当由法定代表人、主要负责人，或者其授权代表签字或者盖章，并加盖公章。</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质疑函范本及制作说明详见附件</w:t>
      </w:r>
      <w:r>
        <w:rPr>
          <w:rFonts w:hint="eastAsia" w:ascii="仿宋_GB2312" w:hAnsi="仿宋" w:eastAsia="仿宋_GB2312" w:cs="宋体"/>
          <w:kern w:val="0"/>
          <w:sz w:val="24"/>
          <w:szCs w:val="24"/>
          <w:lang w:val="en-US" w:eastAsia="zh-CN"/>
        </w:rPr>
        <w:t>4</w:t>
      </w:r>
      <w:r>
        <w:rPr>
          <w:rFonts w:hint="eastAsia" w:ascii="仿宋_GB2312" w:hAnsi="仿宋" w:eastAsia="仿宋_GB2312" w:cs="宋体"/>
          <w:kern w:val="0"/>
          <w:sz w:val="24"/>
          <w:szCs w:val="24"/>
        </w:rPr>
        <w:t>。</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微软雅黑"/>
          <w:kern w:val="0"/>
          <w:sz w:val="24"/>
          <w:szCs w:val="24"/>
          <w:lang w:val="zh-CN"/>
        </w:rPr>
        <w:t>4.2</w:t>
      </w:r>
      <w:r>
        <w:rPr>
          <w:rFonts w:hint="eastAsia" w:ascii="仿宋_GB2312" w:hAnsi="仿宋" w:eastAsia="仿宋_GB2312" w:cs="宋体"/>
          <w:kern w:val="0"/>
          <w:sz w:val="24"/>
          <w:szCs w:val="24"/>
        </w:rPr>
        <w:t>.4采购人或者采购机构应当在收到供应商的书面质疑后七个工作日内作出答复，并以书面形式通知质疑供应商和其他与质疑处理结果有利害关系的政府采购当事人，但答复的内容不得涉及商业秘密。</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微软雅黑"/>
          <w:kern w:val="0"/>
          <w:sz w:val="24"/>
          <w:szCs w:val="24"/>
          <w:lang w:val="zh-CN"/>
        </w:rPr>
        <w:t>4.2</w:t>
      </w:r>
      <w:r>
        <w:rPr>
          <w:rFonts w:hint="eastAsia" w:ascii="仿宋_GB2312" w:hAnsi="仿宋" w:eastAsia="仿宋_GB2312" w:cs="宋体"/>
          <w:kern w:val="0"/>
          <w:sz w:val="24"/>
          <w:szCs w:val="24"/>
        </w:rPr>
        <w:t>.5询问或者质疑事项可能影响采购结果的，采购人应当暂停签订合同，已经签订合同的，应当中止履行合同。</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4.3供应商投诉</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4.3.1质疑供应商对采购人、采购机构的答复不满意或者采购人、采购机构未在规定的时间内作出答复的，可以在答复期满后十五个工作日内向同级政府采购监督管理部门提出投诉。</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w:t>
      </w:r>
      <w:r>
        <w:rPr>
          <w:rFonts w:hint="eastAsia" w:ascii="仿宋_GB2312" w:hAnsi="仿宋" w:eastAsia="仿宋_GB2312" w:cs="微软雅黑"/>
          <w:kern w:val="0"/>
          <w:sz w:val="24"/>
          <w:szCs w:val="24"/>
          <w:lang w:val="zh-CN"/>
        </w:rPr>
        <w:t>2</w:t>
      </w:r>
      <w:r>
        <w:rPr>
          <w:rFonts w:hint="eastAsia" w:ascii="仿宋_GB2312" w:hAnsi="仿宋" w:eastAsia="仿宋_GB2312" w:cs="宋体"/>
          <w:kern w:val="0"/>
          <w:sz w:val="24"/>
          <w:szCs w:val="24"/>
        </w:rPr>
        <w:t>供应商投诉的事项不得超出已质疑事项的范围，基于质疑答复内容提出的投诉事项除外。</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4.3.3供应商投诉应当有明确的请求和必要的证明材料。</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4.3.4 以联合体形式参加政府采购活动的，其投诉应当由组成联合体的所有供应商共同提出。</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投诉书范本及制作说明详见附件</w:t>
      </w:r>
      <w:r>
        <w:rPr>
          <w:rFonts w:hint="eastAsia" w:ascii="仿宋_GB2312" w:hAnsi="仿宋" w:eastAsia="仿宋_GB2312" w:cs="宋体"/>
          <w:kern w:val="0"/>
          <w:sz w:val="24"/>
          <w:szCs w:val="24"/>
          <w:lang w:val="en-US" w:eastAsia="zh-CN"/>
        </w:rPr>
        <w:t>5</w:t>
      </w:r>
      <w:r>
        <w:rPr>
          <w:rFonts w:hint="eastAsia" w:ascii="仿宋_GB2312" w:hAnsi="仿宋" w:eastAsia="仿宋_GB2312" w:cs="宋体"/>
          <w:kern w:val="0"/>
          <w:sz w:val="24"/>
          <w:szCs w:val="24"/>
        </w:rPr>
        <w:t>。</w:t>
      </w:r>
    </w:p>
    <w:p>
      <w:pPr>
        <w:adjustRightInd w:val="0"/>
        <w:snapToGrid w:val="0"/>
        <w:spacing w:after="120" w:line="360" w:lineRule="auto"/>
        <w:ind w:firstLine="360" w:firstLineChars="200"/>
        <w:rPr>
          <w:rFonts w:ascii="仿宋_GB2312" w:hAnsi="仿宋" w:eastAsia="仿宋_GB2312" w:cs="仿宋_GB2312"/>
          <w:sz w:val="18"/>
          <w:szCs w:val="18"/>
        </w:rPr>
      </w:pPr>
    </w:p>
    <w:p>
      <w:pPr>
        <w:spacing w:line="360" w:lineRule="auto"/>
        <w:jc w:val="center"/>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5．招标文件的构成</w:t>
      </w:r>
    </w:p>
    <w:p>
      <w:pPr>
        <w:adjustRightIn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5.1 招标文件包括下列文件及附件</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第一部分 招标公告</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第二部分 投标人须知</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第三部分 采购需求</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第四部分 评标方法及评分标准</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第五部分 拟签订的合同文本</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第六部分 应提交的有关格式范例</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5.2与本项目有关的</w:t>
      </w:r>
      <w:r>
        <w:rPr>
          <w:rFonts w:hint="eastAsia" w:ascii="仿宋_GB2312" w:hAnsi="仿宋" w:eastAsia="仿宋_GB2312" w:cs="Times New Roman"/>
          <w:bCs/>
          <w:sz w:val="24"/>
          <w:szCs w:val="24"/>
        </w:rPr>
        <w:t>澄清或者修改的内容为招标文件的组成部分</w:t>
      </w:r>
      <w:r>
        <w:rPr>
          <w:rFonts w:hint="eastAsia" w:ascii="仿宋_GB2312" w:hAnsi="仿宋" w:eastAsia="仿宋_GB2312" w:cs="仿宋_GB2312"/>
          <w:sz w:val="24"/>
          <w:szCs w:val="24"/>
        </w:rPr>
        <w:t>。</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6. 招标文件的澄清、修改</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6.1已获取招标文件的潜在投标人，若有问题需要澄清，应于投标截止时间前，以书面形式向采购机构提出。</w:t>
      </w:r>
    </w:p>
    <w:p>
      <w:pPr>
        <w:adjustRightInd w:val="0"/>
        <w:snapToGrid w:val="0"/>
        <w:spacing w:after="120" w:line="360" w:lineRule="auto"/>
        <w:ind w:firstLine="480" w:firstLineChars="200"/>
        <w:rPr>
          <w:rFonts w:ascii="仿宋_GB2312" w:hAnsi="仿宋" w:eastAsia="仿宋_GB2312"/>
          <w:sz w:val="24"/>
        </w:rPr>
      </w:pPr>
      <w:r>
        <w:rPr>
          <w:rFonts w:hint="eastAsia" w:ascii="仿宋_GB2312" w:hAnsi="仿宋" w:eastAsia="仿宋_GB2312"/>
          <w:sz w:val="24"/>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adjustRightInd w:val="0"/>
        <w:spacing w:line="360" w:lineRule="auto"/>
        <w:ind w:firstLine="482" w:firstLineChars="200"/>
        <w:rPr>
          <w:rFonts w:ascii="仿宋_GB2312" w:hAnsi="仿宋" w:eastAsia="仿宋_GB2312" w:cs="仿宋_GB2312"/>
          <w:b/>
          <w:sz w:val="24"/>
          <w:szCs w:val="21"/>
        </w:rPr>
      </w:pPr>
      <w:r>
        <w:rPr>
          <w:rFonts w:hint="eastAsia" w:ascii="仿宋_GB2312" w:hAnsi="仿宋" w:eastAsia="仿宋_GB2312" w:cs="Times New Roman"/>
          <w:b/>
          <w:sz w:val="24"/>
          <w:szCs w:val="24"/>
        </w:rPr>
        <w:t>▲</w:t>
      </w:r>
      <w:r>
        <w:rPr>
          <w:rFonts w:hint="eastAsia" w:ascii="仿宋_GB2312" w:hAnsi="仿宋" w:eastAsia="仿宋_GB2312" w:cs="仿宋_GB2312"/>
          <w:b/>
          <w:sz w:val="24"/>
          <w:szCs w:val="21"/>
        </w:rPr>
        <w:t>投标文件未按招标文件的澄清、修改的内容编制，又不符合实质性要求的，投标无效。</w:t>
      </w:r>
    </w:p>
    <w:p>
      <w:pPr>
        <w:autoSpaceDE w:val="0"/>
        <w:autoSpaceDN w:val="0"/>
        <w:adjustRightInd w:val="0"/>
        <w:spacing w:line="360" w:lineRule="auto"/>
        <w:rPr>
          <w:rFonts w:ascii="仿宋_GB2312" w:hAnsi="仿宋" w:eastAsia="仿宋_GB2312" w:cs="仿宋_GB2312"/>
          <w:snapToGrid w:val="0"/>
          <w:sz w:val="18"/>
          <w:szCs w:val="18"/>
        </w:rPr>
      </w:pPr>
      <w:r>
        <w:rPr>
          <w:rFonts w:hint="eastAsia" w:ascii="仿宋_GB2312" w:hAnsi="仿宋" w:eastAsia="仿宋_GB2312" w:cs="仿宋_GB2312"/>
          <w:snapToGrid w:val="0"/>
          <w:sz w:val="24"/>
          <w:szCs w:val="24"/>
        </w:rPr>
        <w:t xml:space="preserve">    </w:t>
      </w:r>
    </w:p>
    <w:p>
      <w:pPr>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7. 招标文件的获取</w:t>
      </w:r>
    </w:p>
    <w:p>
      <w:pPr>
        <w:adjustRightInd w:val="0"/>
        <w:spacing w:line="360" w:lineRule="auto"/>
        <w:ind w:firstLine="480" w:firstLineChars="200"/>
        <w:rPr>
          <w:rFonts w:ascii="仿宋_GB2312" w:hAnsi="仿宋" w:eastAsia="仿宋_GB2312" w:cs="仿宋_GB2312"/>
          <w:snapToGrid w:val="0"/>
          <w:kern w:val="28"/>
          <w:sz w:val="24"/>
          <w:szCs w:val="24"/>
        </w:rPr>
      </w:pPr>
      <w:r>
        <w:rPr>
          <w:rFonts w:hint="eastAsia" w:ascii="仿宋_GB2312" w:hAnsi="仿宋" w:eastAsia="仿宋_GB2312" w:cs="仿宋_GB2312"/>
          <w:snapToGrid w:val="0"/>
          <w:kern w:val="28"/>
          <w:sz w:val="24"/>
          <w:szCs w:val="24"/>
        </w:rPr>
        <w:t>详见招标公告中获取招标文件的时间期限、地点、方式及招标文件售价。</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8.开标前答疑会或现场考察</w:t>
      </w:r>
    </w:p>
    <w:p>
      <w:pPr>
        <w:adjustRightInd w:val="0"/>
        <w:spacing w:line="360" w:lineRule="auto"/>
        <w:ind w:firstLine="480" w:firstLineChars="200"/>
        <w:rPr>
          <w:rFonts w:ascii="仿宋_GB2312" w:hAnsi="仿宋" w:eastAsia="仿宋_GB2312" w:cs="Arial"/>
          <w:snapToGrid w:val="0"/>
          <w:sz w:val="24"/>
          <w:szCs w:val="24"/>
        </w:rPr>
      </w:pPr>
      <w:r>
        <w:rPr>
          <w:rFonts w:hint="eastAsia" w:ascii="仿宋_GB2312" w:hAnsi="仿宋" w:eastAsia="仿宋_GB2312" w:cs="Arial"/>
          <w:snapToGrid w:val="0"/>
          <w:sz w:val="24"/>
          <w:szCs w:val="24"/>
        </w:rPr>
        <w:t>采购人组织潜在投标人现场考察或者召开开标前答疑会的，潜在投标人按前附表的规定参加现场考察或者开标前答疑会。</w:t>
      </w:r>
    </w:p>
    <w:p>
      <w:pPr>
        <w:adjustRightInd w:val="0"/>
        <w:spacing w:line="360" w:lineRule="auto"/>
        <w:rPr>
          <w:rFonts w:hint="eastAsia" w:ascii="仿宋_GB2312" w:hAnsi="仿宋_GB2312" w:eastAsia="仿宋_GB2312" w:cs="仿宋_GB2312"/>
          <w:b/>
          <w:snapToGrid w:val="0"/>
          <w:szCs w:val="24"/>
        </w:rPr>
      </w:pPr>
      <w:r>
        <w:rPr>
          <w:rFonts w:hint="eastAsia" w:ascii="仿宋_GB2312" w:hAnsi="仿宋" w:eastAsia="仿宋_GB2312" w:cs="Arial"/>
          <w:b/>
          <w:snapToGrid w:val="0"/>
          <w:kern w:val="28"/>
          <w:sz w:val="24"/>
          <w:szCs w:val="24"/>
        </w:rPr>
        <w:t>9.</w:t>
      </w:r>
      <w:r>
        <w:rPr>
          <w:rFonts w:hint="eastAsia" w:ascii="仿宋_GB2312" w:hAnsi="仿宋_GB2312" w:eastAsia="仿宋_GB2312" w:cs="仿宋_GB2312"/>
          <w:b/>
          <w:snapToGrid w:val="0"/>
          <w:kern w:val="28"/>
          <w:sz w:val="24"/>
          <w:szCs w:val="24"/>
        </w:rPr>
        <w:t>投标保证金</w:t>
      </w:r>
    </w:p>
    <w:p>
      <w:pPr>
        <w:widowControl/>
        <w:adjustRightInd w:val="0"/>
        <w:snapToGrid w:val="0"/>
        <w:spacing w:line="360" w:lineRule="auto"/>
        <w:ind w:firstLine="470" w:firstLineChars="196"/>
        <w:rPr>
          <w:rFonts w:hint="eastAsia"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本项目不需要交纳投标保证金。</w:t>
      </w:r>
    </w:p>
    <w:p>
      <w:pPr>
        <w:adjustRightInd w:val="0"/>
        <w:spacing w:line="360" w:lineRule="auto"/>
        <w:rPr>
          <w:rFonts w:hint="eastAsia"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10. 投标文件的语言</w:t>
      </w:r>
    </w:p>
    <w:p>
      <w:pPr>
        <w:autoSpaceDE w:val="0"/>
        <w:autoSpaceDN w:val="0"/>
        <w:adjustRightIn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rPr>
        <w:t>投标文件及投标人与采购有关的来往通知、函件和文件均应使用中文。</w:t>
      </w:r>
    </w:p>
    <w:p>
      <w:pPr>
        <w:adjustRightInd w:val="0"/>
        <w:spacing w:line="360" w:lineRule="auto"/>
        <w:rPr>
          <w:rFonts w:hint="eastAsia"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11. 投标文件的组成</w:t>
      </w:r>
    </w:p>
    <w:p>
      <w:pPr>
        <w:adjustRightInd w:val="0"/>
        <w:snapToGrid w:val="0"/>
        <w:spacing w:line="360" w:lineRule="auto"/>
        <w:ind w:firstLine="480" w:firstLineChars="200"/>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kern w:val="0"/>
          <w:sz w:val="24"/>
          <w:szCs w:val="24"/>
        </w:rPr>
        <w:t>投标文件应当包括以下主要内容：</w:t>
      </w:r>
      <w:r>
        <w:rPr>
          <w:rFonts w:hint="eastAsia" w:ascii="仿宋_GB2312" w:hAnsi="仿宋_GB2312" w:eastAsia="仿宋_GB2312" w:cs="仿宋_GB2312"/>
          <w:b/>
          <w:snapToGrid w:val="0"/>
          <w:sz w:val="24"/>
          <w:szCs w:val="24"/>
        </w:rPr>
        <w:t>资格文件、报价文件、商务技术文件</w:t>
      </w:r>
      <w:r>
        <w:rPr>
          <w:rFonts w:hint="eastAsia" w:ascii="仿宋_GB2312" w:hAnsi="仿宋_GB2312" w:eastAsia="仿宋_GB2312" w:cs="仿宋_GB2312"/>
          <w:snapToGrid w:val="0"/>
          <w:sz w:val="24"/>
          <w:szCs w:val="24"/>
        </w:rPr>
        <w:t>。投标文件应当对招标文件提出的要求和条件作出明确响应。</w:t>
      </w:r>
    </w:p>
    <w:p>
      <w:pPr>
        <w:adjustRightInd w:val="0"/>
        <w:snapToGrid w:val="0"/>
        <w:spacing w:line="360" w:lineRule="auto"/>
        <w:ind w:firstLine="480" w:firstLineChars="200"/>
        <w:rPr>
          <w:rFonts w:hint="eastAsia" w:ascii="仿宋_GB2312" w:hAnsi="仿宋_GB2312" w:eastAsia="仿宋_GB2312" w:cs="仿宋_GB2312"/>
          <w:b/>
          <w:kern w:val="0"/>
          <w:sz w:val="24"/>
          <w:szCs w:val="24"/>
        </w:rPr>
      </w:pPr>
      <w:r>
        <w:rPr>
          <w:rFonts w:hint="eastAsia" w:ascii="仿宋_GB2312" w:hAnsi="仿宋_GB2312" w:eastAsia="仿宋_GB2312" w:cs="仿宋_GB2312"/>
          <w:sz w:val="24"/>
          <w:szCs w:val="24"/>
        </w:rPr>
        <w:t>11.1</w:t>
      </w:r>
      <w:r>
        <w:rPr>
          <w:rFonts w:hint="eastAsia" w:ascii="仿宋_GB2312" w:hAnsi="仿宋_GB2312" w:eastAsia="仿宋_GB2312" w:cs="仿宋_GB2312"/>
          <w:b/>
          <w:sz w:val="24"/>
          <w:szCs w:val="24"/>
        </w:rPr>
        <w:t>资格文件</w:t>
      </w:r>
      <w:r>
        <w:rPr>
          <w:rFonts w:hint="eastAsia" w:ascii="仿宋_GB2312" w:hAnsi="仿宋_GB2312" w:eastAsia="仿宋_GB2312" w:cs="仿宋_GB2312"/>
          <w:sz w:val="24"/>
          <w:szCs w:val="24"/>
        </w:rPr>
        <w:t>应包括以下内容（均需使用电子签名）：</w:t>
      </w:r>
      <w:r>
        <w:rPr>
          <w:rFonts w:hint="eastAsia" w:ascii="仿宋_GB2312" w:hAnsi="仿宋_GB2312" w:eastAsia="仿宋_GB2312" w:cs="仿宋_GB2312"/>
          <w:kern w:val="0"/>
          <w:sz w:val="24"/>
          <w:szCs w:val="24"/>
        </w:rPr>
        <w:t>证明其符合《中华人民共和国政府采购法》规定的供应商基本条件和采购项目对供应商的特定条件</w:t>
      </w:r>
      <w:r>
        <w:rPr>
          <w:rFonts w:hint="eastAsia" w:ascii="仿宋_GB2312" w:hAnsi="仿宋_GB2312" w:eastAsia="仿宋_GB2312" w:cs="仿宋_GB2312"/>
          <w:sz w:val="24"/>
          <w:szCs w:val="24"/>
        </w:rPr>
        <w:t>（如果项目要求）</w:t>
      </w:r>
      <w:r>
        <w:rPr>
          <w:rFonts w:hint="eastAsia" w:ascii="仿宋_GB2312" w:hAnsi="仿宋_GB2312" w:eastAsia="仿宋_GB2312" w:cs="仿宋_GB2312"/>
          <w:kern w:val="0"/>
          <w:sz w:val="24"/>
          <w:szCs w:val="24"/>
        </w:rPr>
        <w:t>的有关资格证明文件。</w:t>
      </w:r>
      <w:r>
        <w:rPr>
          <w:rFonts w:hint="eastAsia" w:ascii="仿宋_GB2312" w:hAnsi="仿宋_GB2312" w:eastAsia="仿宋_GB2312" w:cs="仿宋_GB2312"/>
          <w:b/>
          <w:kern w:val="0"/>
          <w:sz w:val="24"/>
          <w:szCs w:val="24"/>
        </w:rPr>
        <w:t>（以联合体形式进行政府采购的，参加联合体的供应商均应当提供）</w:t>
      </w:r>
    </w:p>
    <w:p>
      <w:pPr>
        <w:pStyle w:val="33"/>
        <w:spacing w:line="360" w:lineRule="auto"/>
        <w:ind w:firstLine="480" w:firstLineChars="200"/>
        <w:rPr>
          <w:rFonts w:hint="eastAsia" w:ascii="仿宋_GB2312" w:hAnsi="仿宋_GB2312" w:eastAsia="仿宋_GB2312" w:cs="仿宋_GB2312"/>
          <w:color w:val="auto"/>
          <w:sz w:val="24"/>
          <w:lang w:eastAsia="zh-CN"/>
        </w:rPr>
      </w:pPr>
      <w:r>
        <w:rPr>
          <w:rFonts w:hint="eastAsia" w:ascii="仿宋_GB2312" w:hAnsi="仿宋_GB2312" w:eastAsia="仿宋_GB2312" w:cs="仿宋_GB2312"/>
          <w:sz w:val="24"/>
        </w:rPr>
        <w:t>11</w:t>
      </w:r>
      <w:r>
        <w:rPr>
          <w:rFonts w:hint="eastAsia" w:ascii="仿宋_GB2312" w:hAnsi="仿宋_GB2312" w:eastAsia="仿宋_GB2312" w:cs="仿宋_GB2312"/>
          <w:color w:val="auto"/>
          <w:sz w:val="24"/>
        </w:rPr>
        <w:t>.1.1</w:t>
      </w:r>
      <w:r>
        <w:rPr>
          <w:rFonts w:hint="eastAsia" w:ascii="仿宋_GB2312" w:hAnsi="仿宋_GB2312" w:eastAsia="仿宋_GB2312" w:cs="仿宋_GB2312"/>
          <w:snapToGrid w:val="0"/>
          <w:color w:val="auto"/>
          <w:sz w:val="24"/>
          <w:szCs w:val="21"/>
        </w:rPr>
        <w:t>营业执照(或事业法人登记证或其他工商等登记证明材料)复印件（投标人为自然人的，提供</w:t>
      </w:r>
      <w:r>
        <w:rPr>
          <w:rFonts w:hint="eastAsia" w:ascii="仿宋_GB2312" w:hAnsi="仿宋_GB2312" w:eastAsia="仿宋_GB2312" w:cs="仿宋_GB2312"/>
          <w:snapToGrid w:val="0"/>
          <w:color w:val="auto"/>
          <w:kern w:val="0"/>
          <w:sz w:val="24"/>
          <w:szCs w:val="21"/>
        </w:rPr>
        <w:t>自然人的身份证明</w:t>
      </w:r>
      <w:r>
        <w:rPr>
          <w:rFonts w:hint="eastAsia" w:ascii="仿宋_GB2312" w:hAnsi="仿宋_GB2312" w:eastAsia="仿宋_GB2312" w:cs="仿宋_GB2312"/>
          <w:snapToGrid w:val="0"/>
          <w:color w:val="auto"/>
          <w:sz w:val="24"/>
          <w:szCs w:val="21"/>
        </w:rPr>
        <w:t>）复印件；</w:t>
      </w:r>
    </w:p>
    <w:p>
      <w:pPr>
        <w:pStyle w:val="33"/>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w:t>
      </w:r>
      <w:r>
        <w:rPr>
          <w:rFonts w:hint="eastAsia" w:ascii="仿宋_GB2312" w:hAnsi="仿宋_GB2312" w:eastAsia="仿宋_GB2312" w:cs="仿宋_GB2312"/>
          <w:sz w:val="24"/>
        </w:rPr>
        <w:t>产证明材料（在投标文件中提供相关材料），证明其具备实际承担责任的能力和法定的缔结合同能力，可以独立参加政府采购活动，由单位负责人签署相关文件材料；</w:t>
      </w:r>
    </w:p>
    <w:p>
      <w:pPr>
        <w:spacing w:line="360" w:lineRule="auto"/>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rPr>
        <w:t>11.1.2</w:t>
      </w:r>
      <w:r>
        <w:rPr>
          <w:rFonts w:hint="eastAsia" w:ascii="仿宋_GB2312" w:hAnsi="仿宋_GB2312" w:eastAsia="仿宋_GB2312" w:cs="仿宋_GB2312"/>
          <w:sz w:val="24"/>
          <w:lang w:eastAsia="zh-CN"/>
        </w:rPr>
        <w:t>法人</w:t>
      </w:r>
      <w:r>
        <w:rPr>
          <w:rFonts w:hint="eastAsia" w:ascii="仿宋_GB2312" w:hAnsi="仿宋_GB2312" w:eastAsia="仿宋_GB2312" w:cs="仿宋_GB2312"/>
          <w:sz w:val="24"/>
        </w:rPr>
        <w:t>授权书（如法定代表人直接参加投标并对相应文件签字的，只需提供其身份证复印件正反面；如以联合体形式参加政府采购活动的，按招标文件有关格式范例提供联合</w:t>
      </w:r>
      <w:r>
        <w:rPr>
          <w:rFonts w:hint="eastAsia" w:ascii="仿宋_GB2312" w:hAnsi="仿宋_GB2312" w:eastAsia="仿宋_GB2312" w:cs="仿宋_GB2312"/>
          <w:sz w:val="24"/>
          <w:highlight w:val="none"/>
        </w:rPr>
        <w:t>体投标授权书）；▲</w:t>
      </w:r>
      <w:r>
        <w:rPr>
          <w:rFonts w:hint="eastAsia" w:ascii="仿宋_GB2312" w:hAnsi="仿宋_GB2312" w:eastAsia="仿宋_GB2312" w:cs="仿宋_GB2312"/>
          <w:b/>
          <w:sz w:val="24"/>
          <w:highlight w:val="none"/>
        </w:rPr>
        <w:t>投标文件中法人授权书所载内容与本项目内容有异的，投标无效</w:t>
      </w:r>
      <w:r>
        <w:rPr>
          <w:rFonts w:hint="eastAsia" w:ascii="仿宋_GB2312" w:hAnsi="仿宋_GB2312" w:eastAsia="仿宋_GB2312" w:cs="仿宋_GB2312"/>
          <w:b/>
          <w:sz w:val="24"/>
          <w:highlight w:val="none"/>
          <w:lang w:eastAsia="zh-CN"/>
        </w:rPr>
        <w:t>；</w:t>
      </w:r>
    </w:p>
    <w:p>
      <w:pPr>
        <w:pStyle w:val="33"/>
        <w:spacing w:line="360" w:lineRule="auto"/>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11.1.3法定代表人及其授权代表的身份证（复印件）</w:t>
      </w:r>
      <w:r>
        <w:rPr>
          <w:rFonts w:hint="eastAsia" w:ascii="仿宋_GB2312" w:hAnsi="仿宋_GB2312" w:eastAsia="仿宋_GB2312" w:cs="仿宋_GB2312"/>
          <w:sz w:val="24"/>
          <w:highlight w:val="none"/>
          <w:lang w:eastAsia="zh-CN"/>
        </w:rPr>
        <w:t>；</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11.1.4</w:t>
      </w:r>
      <w:r>
        <w:rPr>
          <w:rFonts w:hint="eastAsia" w:ascii="仿宋_GB2312" w:hAnsi="仿宋" w:eastAsia="仿宋_GB2312" w:cs="仿宋_GB2312"/>
          <w:sz w:val="24"/>
        </w:rPr>
        <w:t>符合参与政府采购活动的资格条件并且没有税收缴纳、社会保障等方面的失信记录的承诺函；</w:t>
      </w:r>
    </w:p>
    <w:p>
      <w:pPr>
        <w:pStyle w:val="33"/>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11.1.5具有履行合同所必需的设备和专业技术能力的承诺函；</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11.1.6参加政府采购活动前三年内，在经营活动中没有重大违法记录的声明；</w:t>
      </w:r>
    </w:p>
    <w:p>
      <w:pPr>
        <w:snapToGrid w:val="0"/>
        <w:spacing w:line="360" w:lineRule="auto"/>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11.1.7</w:t>
      </w:r>
      <w:r>
        <w:rPr>
          <w:rFonts w:hint="eastAsia" w:ascii="仿宋_GB2312" w:hAnsi="仿宋_GB2312" w:eastAsia="仿宋_GB2312" w:cs="仿宋_GB2312"/>
          <w:sz w:val="24"/>
          <w:szCs w:val="20"/>
          <w:highlight w:val="none"/>
        </w:rPr>
        <w:t>具有良好商业信誉的声明；</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11.1.8</w:t>
      </w:r>
      <w:r>
        <w:rPr>
          <w:rFonts w:hint="eastAsia" w:ascii="仿宋_GB2312" w:hAnsi="仿宋_GB2312" w:eastAsia="仿宋_GB2312" w:cs="仿宋_GB2312"/>
          <w:sz w:val="24"/>
        </w:rPr>
        <w:t>符合特定资格条件（如果项目要求）的有关证明材料（复印件）；</w:t>
      </w:r>
    </w:p>
    <w:p>
      <w:pPr>
        <w:adjustRightInd w:val="0"/>
        <w:spacing w:line="360" w:lineRule="auto"/>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以联合体形式投标的，提供联合体协议；本项目不接受联合体投标或者投标人不以联合体形式投标的，则不需要提供</w:t>
      </w:r>
      <w:r>
        <w:rPr>
          <w:rFonts w:hint="eastAsia" w:ascii="仿宋_GB2312" w:hAnsi="仿宋_GB2312" w:eastAsia="仿宋_GB2312" w:cs="仿宋_GB2312"/>
          <w:sz w:val="24"/>
          <w:lang w:eastAsia="zh-CN"/>
        </w:rPr>
        <w:t>；</w:t>
      </w:r>
    </w:p>
    <w:p>
      <w:pPr>
        <w:adjustRightInd w:val="0"/>
        <w:spacing w:line="360" w:lineRule="auto"/>
        <w:ind w:firstLine="480" w:firstLineChars="200"/>
        <w:rPr>
          <w:rFonts w:hint="eastAsia" w:ascii="仿宋_GB2312" w:hAnsi="仿宋_GB2312" w:eastAsia="仿宋_GB2312" w:cs="仿宋_GB2312"/>
          <w:sz w:val="24"/>
          <w:szCs w:val="24"/>
          <w:u w:val="single"/>
          <w:lang w:val="zh-CN"/>
        </w:rPr>
      </w:pPr>
      <w:r>
        <w:rPr>
          <w:rFonts w:hint="eastAsia" w:ascii="仿宋_GB2312" w:hAnsi="仿宋_GB2312" w:eastAsia="仿宋_GB2312" w:cs="仿宋_GB2312"/>
          <w:kern w:val="0"/>
          <w:sz w:val="24"/>
          <w:szCs w:val="24"/>
          <w:lang w:val="zh-CN"/>
        </w:rPr>
        <w:t xml:space="preserve">11.2 </w:t>
      </w:r>
      <w:r>
        <w:rPr>
          <w:rFonts w:hint="eastAsia" w:ascii="仿宋_GB2312" w:hAnsi="仿宋_GB2312" w:eastAsia="仿宋_GB2312" w:cs="仿宋_GB2312"/>
          <w:sz w:val="24"/>
          <w:szCs w:val="24"/>
        </w:rPr>
        <w:t>投标人的</w:t>
      </w:r>
      <w:r>
        <w:rPr>
          <w:rFonts w:hint="eastAsia" w:ascii="仿宋_GB2312" w:hAnsi="仿宋_GB2312" w:eastAsia="仿宋_GB2312" w:cs="仿宋_GB2312"/>
          <w:b/>
          <w:sz w:val="24"/>
          <w:szCs w:val="24"/>
        </w:rPr>
        <w:t>报价文件</w:t>
      </w:r>
      <w:r>
        <w:rPr>
          <w:rFonts w:hint="eastAsia" w:ascii="仿宋_GB2312" w:hAnsi="仿宋_GB2312" w:eastAsia="仿宋_GB2312" w:cs="仿宋_GB2312"/>
          <w:sz w:val="24"/>
          <w:szCs w:val="24"/>
        </w:rPr>
        <w:t>应包括以下内容（均需使用电子签名）：</w:t>
      </w:r>
    </w:p>
    <w:p>
      <w:pPr>
        <w:adjustRightInd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11.2.1</w:t>
      </w:r>
      <w:r>
        <w:rPr>
          <w:rFonts w:hint="eastAsia" w:ascii="仿宋_GB2312" w:hAnsi="仿宋_GB2312" w:eastAsia="仿宋_GB2312" w:cs="仿宋_GB2312"/>
          <w:kern w:val="0"/>
          <w:sz w:val="24"/>
          <w:szCs w:val="24"/>
        </w:rPr>
        <w:t>投标响应函</w:t>
      </w:r>
      <w:r>
        <w:rPr>
          <w:rFonts w:hint="eastAsia" w:ascii="仿宋_GB2312" w:hAnsi="仿宋_GB2312" w:eastAsia="仿宋_GB2312" w:cs="仿宋_GB2312"/>
          <w:sz w:val="24"/>
          <w:szCs w:val="24"/>
        </w:rPr>
        <w:t>；</w:t>
      </w:r>
    </w:p>
    <w:p>
      <w:pPr>
        <w:adjustRightInd w:val="0"/>
        <w:snapToGrid w:val="0"/>
        <w:spacing w:line="360" w:lineRule="auto"/>
        <w:ind w:firstLine="480" w:firstLineChars="200"/>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11.2.2投标(开标)一览表；</w:t>
      </w:r>
    </w:p>
    <w:p>
      <w:pPr>
        <w:adjustRightInd w:val="0"/>
        <w:snapToGrid w:val="0"/>
        <w:spacing w:line="360" w:lineRule="auto"/>
        <w:ind w:firstLine="480" w:firstLineChars="200"/>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11.2.3中小企业声明函。</w:t>
      </w:r>
    </w:p>
    <w:p>
      <w:pPr>
        <w:adjustRightInd w:val="0"/>
        <w:spacing w:line="360" w:lineRule="auto"/>
        <w:ind w:firstLine="480" w:firstLineChars="200"/>
        <w:rPr>
          <w:rFonts w:hint="eastAsia" w:ascii="仿宋_GB2312" w:hAnsi="仿宋_GB2312" w:eastAsia="仿宋_GB2312" w:cs="仿宋_GB2312"/>
          <w:snapToGrid w:val="0"/>
          <w:sz w:val="24"/>
          <w:szCs w:val="24"/>
          <w:lang w:val="zh-CN"/>
        </w:rPr>
      </w:pPr>
      <w:r>
        <w:rPr>
          <w:rFonts w:hint="eastAsia" w:ascii="仿宋_GB2312" w:hAnsi="仿宋_GB2312" w:eastAsia="仿宋_GB2312" w:cs="仿宋_GB2312"/>
          <w:snapToGrid w:val="0"/>
          <w:kern w:val="0"/>
          <w:sz w:val="24"/>
          <w:szCs w:val="24"/>
          <w:lang w:val="zh-CN"/>
        </w:rPr>
        <w:t>11.3  投标人的</w:t>
      </w:r>
      <w:r>
        <w:rPr>
          <w:rFonts w:hint="eastAsia" w:ascii="仿宋_GB2312" w:hAnsi="仿宋_GB2312" w:eastAsia="仿宋_GB2312" w:cs="仿宋_GB2312"/>
          <w:b/>
          <w:snapToGrid w:val="0"/>
          <w:sz w:val="24"/>
          <w:szCs w:val="24"/>
        </w:rPr>
        <w:t>商务技术</w:t>
      </w:r>
      <w:r>
        <w:rPr>
          <w:rFonts w:hint="eastAsia" w:ascii="仿宋_GB2312" w:hAnsi="仿宋_GB2312" w:eastAsia="仿宋_GB2312" w:cs="仿宋_GB2312"/>
          <w:b/>
          <w:snapToGrid w:val="0"/>
          <w:kern w:val="0"/>
          <w:sz w:val="24"/>
          <w:szCs w:val="24"/>
          <w:lang w:val="zh-CN"/>
        </w:rPr>
        <w:t>文件应</w:t>
      </w:r>
      <w:r>
        <w:rPr>
          <w:rFonts w:hint="eastAsia" w:ascii="仿宋_GB2312" w:hAnsi="仿宋_GB2312" w:eastAsia="仿宋_GB2312" w:cs="仿宋_GB2312"/>
          <w:snapToGrid w:val="0"/>
          <w:kern w:val="0"/>
          <w:sz w:val="24"/>
          <w:szCs w:val="24"/>
          <w:lang w:val="zh-CN"/>
        </w:rPr>
        <w:t>包括以下内容</w:t>
      </w:r>
      <w:r>
        <w:rPr>
          <w:rFonts w:hint="eastAsia" w:ascii="仿宋_GB2312" w:hAnsi="仿宋_GB2312" w:eastAsia="仿宋_GB2312" w:cs="仿宋_GB2312"/>
          <w:snapToGrid w:val="0"/>
          <w:sz w:val="24"/>
          <w:szCs w:val="24"/>
        </w:rPr>
        <w:t>（均需使用电子签名）</w:t>
      </w:r>
      <w:r>
        <w:rPr>
          <w:rFonts w:hint="eastAsia" w:ascii="仿宋_GB2312" w:hAnsi="仿宋_GB2312" w:eastAsia="仿宋_GB2312" w:cs="仿宋_GB2312"/>
          <w:snapToGrid w:val="0"/>
          <w:kern w:val="0"/>
          <w:sz w:val="24"/>
          <w:szCs w:val="24"/>
          <w:lang w:val="zh-CN"/>
        </w:rPr>
        <w:t>：</w:t>
      </w:r>
      <w:r>
        <w:rPr>
          <w:rFonts w:hint="eastAsia" w:ascii="仿宋_GB2312" w:hAnsi="仿宋_GB2312" w:eastAsia="仿宋_GB2312" w:cs="仿宋_GB2312"/>
          <w:snapToGrid w:val="0"/>
          <w:sz w:val="24"/>
          <w:szCs w:val="24"/>
          <w:lang w:val="zh-CN"/>
        </w:rPr>
        <w:t xml:space="preserve"> </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资信文件：</w:t>
      </w:r>
      <w:r>
        <w:rPr>
          <w:rFonts w:hint="eastAsia" w:ascii="仿宋_GB2312" w:hAnsi="仿宋_GB2312" w:eastAsia="仿宋_GB2312" w:cs="仿宋_GB2312"/>
          <w:kern w:val="0"/>
          <w:sz w:val="24"/>
          <w:szCs w:val="20"/>
        </w:rPr>
        <w:t>见投标须知前附表所述；</w:t>
      </w:r>
    </w:p>
    <w:p>
      <w:pPr>
        <w:pStyle w:val="232"/>
        <w:snapToGrid w:val="0"/>
        <w:spacing w:before="0"/>
        <w:ind w:firstLine="480"/>
        <w:rPr>
          <w:rFonts w:hint="eastAsia" w:ascii="仿宋_GB2312" w:hAnsi="仿宋_GB2312" w:eastAsia="仿宋_GB2312" w:cs="仿宋_GB2312"/>
          <w:kern w:val="0"/>
          <w:lang w:val="zh-CN"/>
        </w:rPr>
      </w:pPr>
      <w:r>
        <w:rPr>
          <w:rFonts w:hint="eastAsia" w:ascii="仿宋_GB2312" w:hAnsi="仿宋_GB2312" w:eastAsia="仿宋_GB2312" w:cs="仿宋_GB2312"/>
          <w:lang w:val="zh-CN"/>
        </w:rPr>
        <w:t>11.3.</w:t>
      </w:r>
      <w:r>
        <w:rPr>
          <w:rFonts w:hint="eastAsia" w:ascii="仿宋_GB2312" w:hAnsi="仿宋_GB2312" w:eastAsia="仿宋_GB2312" w:cs="仿宋_GB2312"/>
          <w:lang w:val="en-US" w:eastAsia="zh-CN"/>
        </w:rPr>
        <w:t>2</w:t>
      </w:r>
      <w:r>
        <w:rPr>
          <w:rFonts w:hint="eastAsia" w:ascii="仿宋_GB2312" w:hAnsi="仿宋_GB2312" w:eastAsia="仿宋_GB2312" w:cs="仿宋_GB2312"/>
          <w:kern w:val="0"/>
        </w:rPr>
        <w:t>投标人的主要业绩证明材料即</w:t>
      </w:r>
      <w:r>
        <w:rPr>
          <w:rFonts w:hint="eastAsia" w:ascii="仿宋_GB2312" w:hAnsi="仿宋_GB2312" w:eastAsia="仿宋_GB2312" w:cs="仿宋_GB2312"/>
          <w:lang w:val="zh-CN"/>
        </w:rPr>
        <w:t>合同</w:t>
      </w:r>
      <w:r>
        <w:rPr>
          <w:rFonts w:hint="eastAsia" w:ascii="仿宋_GB2312" w:hAnsi="仿宋_GB2312" w:eastAsia="仿宋_GB2312" w:cs="仿宋_GB2312"/>
        </w:rPr>
        <w:t>和用户验收报告</w:t>
      </w:r>
      <w:r>
        <w:rPr>
          <w:rFonts w:hint="eastAsia" w:ascii="仿宋_GB2312" w:hAnsi="仿宋_GB2312" w:eastAsia="仿宋_GB2312" w:cs="仿宋_GB2312"/>
          <w:lang w:eastAsia="zh-CN"/>
        </w:rPr>
        <w:t>（如需要）</w:t>
      </w:r>
      <w:r>
        <w:rPr>
          <w:rFonts w:hint="eastAsia" w:ascii="仿宋_GB2312" w:hAnsi="仿宋_GB2312" w:eastAsia="仿宋_GB2312" w:cs="仿宋_GB2312"/>
          <w:szCs w:val="24"/>
        </w:rPr>
        <w:t>（</w:t>
      </w:r>
      <w:r>
        <w:rPr>
          <w:rFonts w:hint="eastAsia" w:ascii="仿宋_GB2312" w:hAnsi="仿宋_GB2312" w:eastAsia="仿宋_GB2312" w:cs="仿宋_GB2312"/>
        </w:rPr>
        <w:t>联合体投标的，联合体各方</w:t>
      </w:r>
      <w:r>
        <w:rPr>
          <w:rFonts w:hint="eastAsia" w:ascii="仿宋_GB2312" w:hAnsi="仿宋_GB2312" w:eastAsia="仿宋_GB2312" w:cs="仿宋_GB2312"/>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_GB2312" w:hAnsi="仿宋_GB2312" w:eastAsia="仿宋_GB2312" w:cs="仿宋_GB2312"/>
          <w:szCs w:val="24"/>
        </w:rPr>
        <w:t>)</w:t>
      </w:r>
      <w:r>
        <w:rPr>
          <w:rFonts w:hint="eastAsia" w:ascii="仿宋_GB2312" w:hAnsi="仿宋_GB2312" w:eastAsia="仿宋_GB2312" w:cs="仿宋_GB2312"/>
          <w:kern w:val="0"/>
        </w:rPr>
        <w:t>；</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kern w:val="0"/>
          <w:sz w:val="24"/>
          <w:lang w:val="zh-CN"/>
        </w:rPr>
        <w:t>投标人认为需要的其他商务文件或说明；</w:t>
      </w:r>
      <w:r>
        <w:rPr>
          <w:rFonts w:hint="eastAsia" w:ascii="仿宋_GB2312" w:hAnsi="仿宋_GB2312" w:eastAsia="仿宋_GB2312" w:cs="仿宋_GB2312"/>
          <w:sz w:val="24"/>
        </w:rPr>
        <w:t xml:space="preserve"> </w:t>
      </w:r>
    </w:p>
    <w:p>
      <w:pPr>
        <w:pStyle w:val="33"/>
        <w:snapToGrid w:val="0"/>
        <w:spacing w:line="360" w:lineRule="auto"/>
        <w:ind w:firstLine="480" w:firstLineChars="200"/>
        <w:rPr>
          <w:rFonts w:hint="eastAsia" w:ascii="仿宋_GB2312" w:hAnsi="仿宋_GB2312" w:eastAsia="仿宋_GB2312" w:cs="仿宋_GB2312"/>
          <w:b/>
          <w:kern w:val="0"/>
          <w:sz w:val="24"/>
          <w:szCs w:val="24"/>
          <w:highlight w:val="yellow"/>
          <w:lang w:val="zh-CN"/>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4</w:t>
      </w:r>
      <w:r>
        <w:rPr>
          <w:rFonts w:hint="eastAsia" w:ascii="仿宋_GB2312" w:hAnsi="仿宋" w:eastAsia="仿宋_GB2312" w:cs="仿宋_GB2312"/>
          <w:sz w:val="24"/>
          <w:lang w:val="zh-CN"/>
        </w:rPr>
        <w:t>投标人应提供针对项目</w:t>
      </w:r>
      <w:r>
        <w:rPr>
          <w:rFonts w:hint="eastAsia" w:ascii="仿宋_GB2312" w:hAnsi="仿宋" w:eastAsia="仿宋_GB2312" w:cs="仿宋_GB2312"/>
          <w:sz w:val="24"/>
          <w:highlight w:val="none"/>
          <w:lang w:val="zh-CN"/>
        </w:rPr>
        <w:t>的完整技术解决方案</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b/>
          <w:sz w:val="24"/>
          <w:szCs w:val="24"/>
          <w:highlight w:val="none"/>
        </w:rPr>
        <w:t>投标人根据项目采购需求、评分标准等提出合理的技术</w:t>
      </w:r>
      <w:r>
        <w:rPr>
          <w:rFonts w:hint="eastAsia" w:ascii="仿宋_GB2312" w:hAnsi="仿宋_GB2312" w:eastAsia="仿宋_GB2312" w:cs="仿宋_GB2312"/>
          <w:b/>
          <w:sz w:val="24"/>
          <w:szCs w:val="24"/>
          <w:highlight w:val="none"/>
          <w:lang w:eastAsia="zh-CN"/>
        </w:rPr>
        <w:t>解决</w:t>
      </w:r>
      <w:r>
        <w:rPr>
          <w:rFonts w:hint="eastAsia" w:ascii="仿宋_GB2312" w:hAnsi="仿宋_GB2312" w:eastAsia="仿宋_GB2312" w:cs="仿宋_GB2312"/>
          <w:b/>
          <w:sz w:val="24"/>
          <w:szCs w:val="24"/>
          <w:highlight w:val="none"/>
        </w:rPr>
        <w:t>方案</w:t>
      </w:r>
      <w:r>
        <w:rPr>
          <w:rFonts w:hint="eastAsia" w:ascii="仿宋_GB2312" w:hAnsi="仿宋_GB2312" w:eastAsia="仿宋_GB2312" w:cs="仿宋_GB2312"/>
          <w:b/>
          <w:kern w:val="0"/>
          <w:sz w:val="24"/>
          <w:szCs w:val="24"/>
          <w:highlight w:val="none"/>
          <w:lang w:val="zh-CN"/>
        </w:rPr>
        <w:t>；</w:t>
      </w:r>
    </w:p>
    <w:p>
      <w:pPr>
        <w:snapToGrid w:val="0"/>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sz w:val="24"/>
          <w:lang w:val="zh-CN"/>
        </w:rPr>
        <w:t>针对本项目的完整技术解决方案和实施方案；详细阐述项目方案的实现思路及关键技术；符合本项目对当前和未来发展的要求；以及对功能设计和实施计划的建议；</w:t>
      </w:r>
    </w:p>
    <w:p>
      <w:pPr>
        <w:pStyle w:val="33"/>
        <w:snapToGrid w:val="0"/>
        <w:spacing w:line="360" w:lineRule="auto"/>
        <w:ind w:firstLine="482" w:firstLineChars="200"/>
        <w:rPr>
          <w:rFonts w:hint="eastAsia" w:ascii="仿宋_GB2312" w:hAnsi="仿宋" w:eastAsia="仿宋_GB2312" w:cs="仿宋_GB2312"/>
          <w:sz w:val="24"/>
        </w:rPr>
      </w:pPr>
      <w:r>
        <w:rPr>
          <w:rFonts w:hint="eastAsia" w:ascii="仿宋_GB2312" w:hAnsi="仿宋" w:eastAsia="仿宋_GB2312" w:cs="仿宋_GB2312"/>
          <w:b/>
          <w:sz w:val="24"/>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w:t>
      </w:r>
      <w:r>
        <w:rPr>
          <w:rFonts w:hint="eastAsia" w:ascii="仿宋_GB2312" w:hAnsi="仿宋" w:eastAsia="仿宋_GB2312" w:cs="仿宋_GB2312"/>
          <w:b/>
          <w:kern w:val="0"/>
          <w:sz w:val="24"/>
          <w:lang w:val="zh-CN"/>
        </w:rPr>
        <w:t>任何含糊不清的</w:t>
      </w:r>
      <w:r>
        <w:rPr>
          <w:rFonts w:hint="eastAsia" w:ascii="仿宋_GB2312" w:hAnsi="仿宋" w:eastAsia="仿宋_GB2312" w:cs="仿宋_GB2312"/>
          <w:b/>
          <w:sz w:val="24"/>
        </w:rPr>
        <w:t>表述导致</w:t>
      </w:r>
      <w:r>
        <w:rPr>
          <w:rFonts w:hint="eastAsia" w:ascii="仿宋_GB2312" w:hAnsi="仿宋" w:eastAsia="仿宋_GB2312" w:cs="仿宋_GB2312"/>
          <w:b/>
          <w:kern w:val="0"/>
          <w:sz w:val="24"/>
          <w:lang w:val="zh-CN"/>
        </w:rPr>
        <w:t>评标委员会技术扣分直至认定为投标无效都将是投标人的责任</w:t>
      </w:r>
      <w:r>
        <w:rPr>
          <w:rFonts w:hint="eastAsia" w:ascii="仿宋_GB2312" w:hAnsi="仿宋" w:eastAsia="仿宋_GB2312" w:cs="仿宋_GB2312"/>
          <w:sz w:val="24"/>
        </w:rPr>
        <w:t>。</w:t>
      </w:r>
    </w:p>
    <w:p>
      <w:pPr>
        <w:pStyle w:val="33"/>
        <w:snapToGrid w:val="0"/>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rPr>
        <w:t>本项目如需采购政府强制采购的节能产品的或</w:t>
      </w:r>
      <w:r>
        <w:rPr>
          <w:rFonts w:hint="eastAsia" w:ascii="仿宋_GB2312" w:hAnsi="仿宋" w:eastAsia="仿宋_GB2312"/>
          <w:sz w:val="24"/>
        </w:rPr>
        <w:t>投标人提供的产品是环境标志产品，</w:t>
      </w:r>
      <w:r>
        <w:rPr>
          <w:rFonts w:hint="eastAsia" w:ascii="仿宋_GB2312" w:hAnsi="仿宋" w:eastAsia="仿宋_GB2312" w:cs="仿宋_GB2312"/>
          <w:sz w:val="24"/>
        </w:rPr>
        <w:t>投标人</w:t>
      </w:r>
      <w:r>
        <w:rPr>
          <w:rFonts w:hint="eastAsia" w:ascii="仿宋_GB2312" w:hAnsi="仿宋" w:eastAsia="仿宋_GB2312" w:cs="仿宋_GB2312"/>
          <w:sz w:val="24"/>
          <w:lang w:eastAsia="zh-CN"/>
        </w:rPr>
        <w:t>需</w:t>
      </w:r>
      <w:r>
        <w:rPr>
          <w:rFonts w:hint="eastAsia" w:ascii="仿宋_GB2312" w:hAnsi="仿宋" w:eastAsia="仿宋_GB2312" w:cs="仿宋_GB2312"/>
          <w:sz w:val="24"/>
        </w:rPr>
        <w:t>提供节能产品、环境标志产品认证证书复印件；</w:t>
      </w:r>
    </w:p>
    <w:p>
      <w:pPr>
        <w:adjustRightInd w:val="0"/>
        <w:snapToGrid w:val="0"/>
        <w:spacing w:line="360" w:lineRule="auto"/>
        <w:ind w:firstLine="480" w:firstLineChars="200"/>
        <w:rPr>
          <w:rFonts w:hint="eastAsia" w:ascii="仿宋_GB2312" w:hAnsi="仿宋" w:eastAsia="仿宋_GB2312" w:cs="仿宋_GB2312"/>
          <w:kern w:val="0"/>
          <w:sz w:val="24"/>
          <w:lang w:val="zh-CN"/>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5</w:t>
      </w:r>
      <w:r>
        <w:rPr>
          <w:rFonts w:hint="eastAsia" w:ascii="仿宋_GB2312" w:hAnsi="仿宋" w:eastAsia="仿宋_GB2312" w:cs="仿宋_GB2312"/>
          <w:sz w:val="24"/>
        </w:rPr>
        <w:t>投标人在投标文件技术偏离说明表中，</w:t>
      </w:r>
      <w:r>
        <w:rPr>
          <w:rFonts w:hint="eastAsia" w:ascii="仿宋_GB2312" w:hAnsi="仿宋" w:eastAsia="仿宋_GB2312" w:cs="仿宋_GB2312"/>
          <w:kern w:val="0"/>
          <w:sz w:val="24"/>
          <w:lang w:val="zh-CN"/>
        </w:rPr>
        <w:t>应对</w:t>
      </w:r>
      <w:r>
        <w:rPr>
          <w:rFonts w:hint="eastAsia" w:ascii="仿宋_GB2312" w:hAnsi="仿宋" w:eastAsia="仿宋_GB2312" w:cs="仿宋_GB2312"/>
          <w:sz w:val="24"/>
        </w:rPr>
        <w:t>采购需求</w:t>
      </w:r>
      <w:r>
        <w:rPr>
          <w:rFonts w:hint="eastAsia" w:ascii="仿宋_GB2312" w:hAnsi="仿宋" w:eastAsia="仿宋_GB2312" w:cs="仿宋_GB2312"/>
          <w:kern w:val="0"/>
          <w:sz w:val="24"/>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adjustRightInd w:val="0"/>
        <w:snapToGrid w:val="0"/>
        <w:spacing w:line="360" w:lineRule="auto"/>
        <w:ind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kern w:val="0"/>
          <w:sz w:val="24"/>
          <w:szCs w:val="24"/>
          <w:highlight w:val="none"/>
          <w:lang w:val="zh-CN"/>
        </w:rPr>
        <w:t>组织实施方案</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b/>
          <w:sz w:val="24"/>
          <w:szCs w:val="24"/>
          <w:highlight w:val="none"/>
        </w:rPr>
        <w:t>投标人根据项目采购需求、评分标准等提出组织实施方案</w:t>
      </w:r>
      <w:r>
        <w:rPr>
          <w:rFonts w:hint="eastAsia" w:ascii="仿宋_GB2312" w:hAnsi="仿宋_GB2312" w:eastAsia="仿宋_GB2312" w:cs="仿宋_GB2312"/>
          <w:b/>
          <w:kern w:val="0"/>
          <w:sz w:val="24"/>
          <w:szCs w:val="24"/>
          <w:highlight w:val="none"/>
          <w:lang w:val="zh-CN"/>
        </w:rPr>
        <w:t>；</w:t>
      </w:r>
    </w:p>
    <w:p>
      <w:pPr>
        <w:adjustRightInd w:val="0"/>
        <w:snapToGrid w:val="0"/>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7</w:t>
      </w:r>
      <w:r>
        <w:rPr>
          <w:rFonts w:hint="eastAsia" w:ascii="仿宋_GB2312" w:hAnsi="仿宋" w:eastAsia="仿宋_GB2312" w:cs="仿宋_GB2312"/>
          <w:kern w:val="0"/>
          <w:sz w:val="24"/>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tabs>
          <w:tab w:val="left" w:pos="0"/>
          <w:tab w:val="left" w:pos="840"/>
        </w:tabs>
        <w:autoSpaceDE w:val="0"/>
        <w:autoSpaceDN w:val="0"/>
        <w:spacing w:line="360" w:lineRule="auto"/>
        <w:ind w:firstLine="360" w:firstLineChars="15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8</w:t>
      </w:r>
      <w:r>
        <w:rPr>
          <w:rFonts w:hint="eastAsia" w:ascii="仿宋_GB2312" w:hAnsi="仿宋" w:eastAsia="仿宋_GB2312" w:cs="仿宋_GB2312"/>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主要内容包括学历、技术职称、工作特长、经验与业绩(包括从事相关项目的经验，对每一个项目有一个简要的描述，该人员参与的时间以及</w:t>
      </w:r>
      <w:r>
        <w:rPr>
          <w:rFonts w:hint="eastAsia" w:ascii="仿宋_GB2312" w:hAnsi="仿宋_GB2312" w:eastAsia="仿宋_GB2312" w:cs="仿宋_GB2312"/>
          <w:sz w:val="24"/>
          <w:lang w:val="zh-CN"/>
        </w:rPr>
        <w:t>在项目中的责任)，资质情况等；</w:t>
      </w:r>
    </w:p>
    <w:p>
      <w:pPr>
        <w:tabs>
          <w:tab w:val="left" w:pos="0"/>
          <w:tab w:val="left" w:pos="840"/>
        </w:tabs>
        <w:autoSpaceDE w:val="0"/>
        <w:autoSpaceDN w:val="0"/>
        <w:spacing w:line="360" w:lineRule="auto"/>
        <w:ind w:firstLine="360" w:firstLineChars="150"/>
        <w:rPr>
          <w:rFonts w:hint="eastAsia" w:ascii="仿宋_GB2312" w:hAnsi="仿宋_GB2312" w:eastAsia="仿宋_GB2312" w:cs="仿宋_GB2312"/>
          <w:sz w:val="24"/>
          <w:lang w:val="zh-CN"/>
        </w:rPr>
      </w:pPr>
      <w:r>
        <w:rPr>
          <w:rFonts w:hint="eastAsia" w:ascii="仿宋_GB2312" w:hAnsi="仿宋_GB2312" w:eastAsia="仿宋_GB2312" w:cs="仿宋_GB2312"/>
          <w:sz w:val="24"/>
          <w:lang w:val="en-US" w:eastAsia="zh-CN"/>
        </w:rPr>
        <w:t>11.3.9</w:t>
      </w:r>
      <w:r>
        <w:rPr>
          <w:rFonts w:hint="eastAsia" w:ascii="仿宋_GB2312" w:hAnsi="仿宋_GB2312" w:eastAsia="仿宋_GB2312" w:cs="仿宋_GB2312"/>
          <w:sz w:val="24"/>
          <w:lang w:val="zh-CN"/>
        </w:rPr>
        <w:t>优惠条件及特殊承诺；</w:t>
      </w:r>
    </w:p>
    <w:p>
      <w:pPr>
        <w:tabs>
          <w:tab w:val="left" w:pos="0"/>
          <w:tab w:val="left" w:pos="840"/>
        </w:tabs>
        <w:autoSpaceDE w:val="0"/>
        <w:autoSpaceDN w:val="0"/>
        <w:spacing w:line="360" w:lineRule="auto"/>
        <w:ind w:firstLine="360" w:firstLineChars="150"/>
        <w:rPr>
          <w:rFonts w:hint="eastAsia" w:ascii="仿宋_GB2312" w:hAnsi="仿宋" w:eastAsia="仿宋_GB2312" w:cs="仿宋_GB2312"/>
          <w:kern w:val="0"/>
          <w:sz w:val="24"/>
          <w:lang w:val="en-US" w:eastAsia="zh-CN"/>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10</w:t>
      </w:r>
      <w:r>
        <w:rPr>
          <w:rFonts w:hint="eastAsia" w:ascii="仿宋_GB2312" w:hAnsi="仿宋" w:eastAsia="仿宋_GB2312" w:cs="仿宋_GB2312"/>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tabs>
          <w:tab w:val="left" w:pos="0"/>
          <w:tab w:val="left" w:pos="840"/>
        </w:tabs>
        <w:autoSpaceDE w:val="0"/>
        <w:autoSpaceDN w:val="0"/>
        <w:spacing w:line="360" w:lineRule="auto"/>
        <w:ind w:firstLine="360" w:firstLineChars="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11.3.</w:t>
      </w:r>
      <w:r>
        <w:rPr>
          <w:rFonts w:hint="eastAsia" w:ascii="仿宋_GB2312" w:hAnsi="仿宋" w:eastAsia="仿宋_GB2312" w:cs="仿宋_GB2312"/>
          <w:kern w:val="0"/>
          <w:sz w:val="24"/>
          <w:lang w:val="en-US" w:eastAsia="zh-CN"/>
        </w:rPr>
        <w:t>11</w:t>
      </w:r>
      <w:r>
        <w:rPr>
          <w:rFonts w:hint="eastAsia" w:ascii="仿宋_GB2312" w:hAnsi="仿宋" w:eastAsia="仿宋_GB2312" w:cs="仿宋_GB2312"/>
          <w:kern w:val="0"/>
          <w:sz w:val="24"/>
          <w:lang w:val="zh-CN"/>
        </w:rPr>
        <w:t>培训计划；（如果有）</w:t>
      </w:r>
    </w:p>
    <w:p>
      <w:pPr>
        <w:tabs>
          <w:tab w:val="left" w:pos="0"/>
          <w:tab w:val="left" w:pos="840"/>
        </w:tabs>
        <w:autoSpaceDE w:val="0"/>
        <w:autoSpaceDN w:val="0"/>
        <w:spacing w:line="360" w:lineRule="auto"/>
        <w:ind w:firstLine="360" w:firstLineChars="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11.3.</w:t>
      </w:r>
      <w:r>
        <w:rPr>
          <w:rFonts w:hint="eastAsia" w:ascii="仿宋_GB2312" w:hAnsi="仿宋" w:eastAsia="仿宋_GB2312" w:cs="仿宋_GB2312"/>
          <w:kern w:val="0"/>
          <w:sz w:val="24"/>
          <w:lang w:val="en-US" w:eastAsia="zh-CN"/>
        </w:rPr>
        <w:t>12</w:t>
      </w:r>
      <w:r>
        <w:rPr>
          <w:rFonts w:hint="eastAsia" w:ascii="仿宋_GB2312" w:hAnsi="仿宋" w:eastAsia="仿宋_GB2312" w:cs="仿宋_GB2312"/>
          <w:kern w:val="0"/>
          <w:sz w:val="24"/>
          <w:lang w:val="zh-CN"/>
        </w:rPr>
        <w:t>投标人认为需要的其他技术文件或说明；</w:t>
      </w:r>
    </w:p>
    <w:p>
      <w:pPr>
        <w:tabs>
          <w:tab w:val="left" w:pos="0"/>
        </w:tabs>
        <w:autoSpaceDE w:val="0"/>
        <w:autoSpaceDN w:val="0"/>
        <w:spacing w:line="360" w:lineRule="auto"/>
        <w:ind w:firstLine="360" w:firstLineChars="150"/>
        <w:rPr>
          <w:rFonts w:hint="eastAsia" w:ascii="仿宋_GB2312" w:hAnsi="仿宋" w:eastAsia="仿宋_GB2312" w:cs="仿宋_GB2312"/>
          <w:kern w:val="0"/>
          <w:sz w:val="24"/>
          <w:lang w:val="zh-CN"/>
        </w:rPr>
      </w:pPr>
      <w:r>
        <w:rPr>
          <w:rFonts w:hint="eastAsia" w:ascii="仿宋_GB2312" w:hAnsi="仿宋" w:eastAsia="仿宋_GB2312" w:cs="仿宋_GB2312"/>
          <w:sz w:val="24"/>
          <w:lang w:val="zh-CN"/>
        </w:rPr>
        <w:t>11.3.1</w:t>
      </w:r>
      <w:r>
        <w:rPr>
          <w:rFonts w:hint="eastAsia" w:ascii="仿宋_GB2312" w:hAnsi="仿宋" w:eastAsia="仿宋_GB2312" w:cs="仿宋_GB2312"/>
          <w:sz w:val="24"/>
          <w:lang w:val="en-US" w:eastAsia="zh-CN"/>
        </w:rPr>
        <w:t>3</w:t>
      </w:r>
      <w:r>
        <w:rPr>
          <w:rFonts w:hint="eastAsia" w:ascii="仿宋_GB2312" w:hAnsi="仿宋" w:eastAsia="仿宋_GB2312" w:cs="仿宋_GB2312"/>
          <w:kern w:val="0"/>
          <w:sz w:val="24"/>
          <w:lang w:val="zh-CN"/>
        </w:rPr>
        <w:t>关于对招标文件商务、合同中有关条款的拒绝声明（如果有）；</w:t>
      </w:r>
    </w:p>
    <w:p>
      <w:pPr>
        <w:tabs>
          <w:tab w:val="left" w:pos="0"/>
        </w:tabs>
        <w:autoSpaceDE w:val="0"/>
        <w:autoSpaceDN w:val="0"/>
        <w:spacing w:line="360" w:lineRule="auto"/>
        <w:ind w:firstLine="360" w:firstLineChars="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11.3.1</w:t>
      </w:r>
      <w:r>
        <w:rPr>
          <w:rFonts w:hint="eastAsia" w:ascii="仿宋_GB2312" w:hAnsi="仿宋" w:eastAsia="仿宋_GB2312" w:cs="仿宋_GB2312"/>
          <w:kern w:val="0"/>
          <w:sz w:val="24"/>
          <w:lang w:val="en-US" w:eastAsia="zh-CN"/>
        </w:rPr>
        <w:t>4</w:t>
      </w:r>
      <w:r>
        <w:rPr>
          <w:rFonts w:hint="eastAsia" w:ascii="仿宋_GB2312" w:hAnsi="仿宋" w:eastAsia="仿宋_GB2312" w:cs="仿宋_GB2312"/>
          <w:kern w:val="0"/>
          <w:sz w:val="24"/>
          <w:lang w:val="zh-CN"/>
        </w:rPr>
        <w:t>廉政承诺书。</w:t>
      </w:r>
    </w:p>
    <w:p>
      <w:pPr>
        <w:adjustRightInd w:val="0"/>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▲投标文件组成漏项，内容不全或内容字迹模糊辨认不清的，投标无效；</w:t>
      </w:r>
    </w:p>
    <w:p>
      <w:pPr>
        <w:adjustRightInd w:val="0"/>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▲投标文件含有采购人不能接受的附加条件的，投标无效；</w:t>
      </w:r>
    </w:p>
    <w:p>
      <w:pPr>
        <w:adjustRightInd w:val="0"/>
        <w:spacing w:line="360" w:lineRule="auto"/>
        <w:ind w:firstLine="482" w:firstLineChars="200"/>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4"/>
        </w:rPr>
        <w:t>▲投标人提供虚假材料投标的，投标无效。</w:t>
      </w:r>
    </w:p>
    <w:p>
      <w:pPr>
        <w:adjustRightInd w:val="0"/>
        <w:snapToGrid w:val="0"/>
        <w:spacing w:after="120" w:line="360" w:lineRule="auto"/>
        <w:outlineLvl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12</w:t>
      </w:r>
      <w:r>
        <w:rPr>
          <w:rFonts w:hint="eastAsia" w:ascii="仿宋_GB2312" w:hAnsi="仿宋_GB2312" w:eastAsia="仿宋_GB2312" w:cs="仿宋_GB2312"/>
          <w:b/>
          <w:kern w:val="0"/>
          <w:sz w:val="24"/>
          <w:szCs w:val="24"/>
          <w:lang w:val="zh-CN"/>
        </w:rPr>
        <w:t xml:space="preserve">. </w:t>
      </w:r>
      <w:r>
        <w:rPr>
          <w:rFonts w:hint="eastAsia" w:ascii="仿宋_GB2312" w:hAnsi="仿宋_GB2312" w:eastAsia="仿宋_GB2312" w:cs="仿宋_GB2312"/>
          <w:b/>
          <w:sz w:val="24"/>
          <w:szCs w:val="24"/>
        </w:rPr>
        <w:t>投标文件的编制</w:t>
      </w:r>
    </w:p>
    <w:p>
      <w:pPr>
        <w:adjustRightInd w:val="0"/>
        <w:spacing w:line="360" w:lineRule="auto"/>
        <w:ind w:firstLine="480" w:firstLineChars="200"/>
        <w:rPr>
          <w:rFonts w:ascii="仿宋_GB2312" w:hAnsi="仿宋" w:eastAsia="仿宋_GB2312" w:cs="仿宋_GB2312"/>
          <w:b/>
          <w:sz w:val="24"/>
          <w:szCs w:val="24"/>
        </w:rPr>
      </w:pPr>
      <w:r>
        <w:rPr>
          <w:rFonts w:hint="eastAsia" w:ascii="仿宋_GB2312" w:hAnsi="仿宋_GB2312" w:eastAsia="仿宋_GB2312" w:cs="仿宋_GB2312"/>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仿宋_GB2312" w:hAnsi="仿宋_GB2312" w:eastAsia="仿宋_GB2312" w:cs="仿宋_GB2312"/>
          <w:b/>
          <w:sz w:val="24"/>
          <w:szCs w:val="24"/>
        </w:rPr>
        <w:t>▲</w:t>
      </w:r>
      <w:r>
        <w:rPr>
          <w:rFonts w:hint="eastAsia" w:ascii="仿宋_GB2312" w:hAnsi="仿宋" w:eastAsia="仿宋_GB2312" w:cs="仿宋_GB2312"/>
          <w:b/>
          <w:sz w:val="24"/>
          <w:szCs w:val="24"/>
        </w:rPr>
        <w:t>投标文件未按规定的格式编制的，投标无效；</w:t>
      </w:r>
    </w:p>
    <w:p>
      <w:pPr>
        <w:adjustRightInd w:val="0"/>
        <w:spacing w:line="360" w:lineRule="auto"/>
        <w:ind w:firstLine="480" w:firstLineChars="20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adjustRightInd w:val="0"/>
        <w:spacing w:line="360" w:lineRule="auto"/>
        <w:ind w:firstLine="480" w:firstLineChars="20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12.3使用“政采云电子交易客户端”需要提前申领CA数字证书，申领流程请自行前往“浙江政府采购网-下载专区-电子交易客户端-CA驱动和申领流程”进行查阅。</w:t>
      </w:r>
    </w:p>
    <w:p>
      <w:pPr>
        <w:adjustRightInd w:val="0"/>
        <w:snapToGri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13.投标文件的签署、盖章</w:t>
      </w:r>
    </w:p>
    <w:p>
      <w:pPr>
        <w:adjustRightInd w:val="0"/>
        <w:snapToGrid w:val="0"/>
        <w:spacing w:after="120" w:line="360" w:lineRule="auto"/>
        <w:ind w:firstLine="480" w:firstLineChars="200"/>
        <w:rPr>
          <w:rFonts w:ascii="仿宋_GB2312" w:hAnsi="仿宋" w:eastAsia="仿宋_GB2312" w:cs="仿宋_GB2312"/>
          <w:b/>
          <w:sz w:val="24"/>
        </w:rPr>
      </w:pPr>
      <w:r>
        <w:rPr>
          <w:rFonts w:hint="eastAsia" w:ascii="仿宋_GB2312" w:hAnsi="仿宋" w:eastAsia="仿宋_GB2312" w:cs="仿宋_GB2312"/>
          <w:sz w:val="24"/>
          <w:szCs w:val="24"/>
        </w:rPr>
        <w:t>13.1投标文件按照招标文件第六部分格式要</w:t>
      </w:r>
      <w:r>
        <w:rPr>
          <w:rFonts w:hint="eastAsia" w:ascii="仿宋_GB2312" w:hAnsi="仿宋" w:eastAsia="仿宋_GB2312" w:cs="仿宋_GB2312"/>
          <w:sz w:val="24"/>
        </w:rPr>
        <w:t>求进行签署、盖章。</w:t>
      </w:r>
      <w:r>
        <w:rPr>
          <w:rFonts w:hint="eastAsia" w:ascii="仿宋" w:hAnsi="仿宋" w:eastAsia="仿宋" w:cs="仿宋"/>
          <w:b/>
          <w:sz w:val="24"/>
        </w:rPr>
        <w:t>▲</w:t>
      </w:r>
      <w:r>
        <w:rPr>
          <w:rFonts w:hint="eastAsia" w:ascii="仿宋_GB2312" w:hAnsi="仿宋" w:eastAsia="仿宋_GB2312" w:cs="仿宋_GB2312"/>
          <w:b/>
          <w:sz w:val="24"/>
        </w:rPr>
        <w:t>投标人的投标文件未按照招标文件要求签署、盖章的，其投标无效</w:t>
      </w:r>
      <w:r>
        <w:rPr>
          <w:rFonts w:hint="eastAsia" w:ascii="仿宋_GB2312" w:hAnsi="仿宋" w:eastAsia="仿宋_GB2312" w:cs="仿宋_GB2312"/>
          <w:sz w:val="24"/>
          <w:szCs w:val="24"/>
        </w:rPr>
        <w:t>。</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rPr>
        <w:t>13.2为确保网上操作合法、有效和安全，投标人应当在投标截止时间前完成在“政府采购云平台”的身份认证，确保在电子投标过程中能够对相关数据电文进行加密和使用电子签名。</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14. 投标文件的提交、补充、修改、撤回</w:t>
      </w:r>
    </w:p>
    <w:p>
      <w:pPr>
        <w:adjustRightInd w:val="0"/>
        <w:spacing w:before="156"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adjustRightIn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14.2电子交易平台收到投标文件，将妥善保存并即时向供应商发出确认回执通知。在投标截止时间前，除供应商补充、修改或者撤回投标文件外，任何单位和个人不得解密或提取投标文件。</w:t>
      </w:r>
    </w:p>
    <w:p>
      <w:pPr>
        <w:adjustRightIn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14.3采购机构可以视情况延长投标文件提交的截止时间。在上述情况下，采购机构与投标人以前在投标截止期方面的全部权利、责任和义务，将适用于延长至新的投标截止期。</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15.备份投标文件</w:t>
      </w:r>
    </w:p>
    <w:p>
      <w:pPr>
        <w:adjustRightInd w:val="0"/>
        <w:spacing w:line="360" w:lineRule="auto"/>
        <w:ind w:firstLine="360" w:firstLineChars="150"/>
        <w:rPr>
          <w:rFonts w:ascii="仿宋_GB2312" w:hAnsi="仿宋" w:eastAsia="仿宋_GB2312" w:cs="仿宋_GB2312"/>
          <w:b/>
          <w:snapToGrid w:val="0"/>
          <w:sz w:val="24"/>
          <w:szCs w:val="24"/>
        </w:rPr>
      </w:pPr>
      <w:r>
        <w:rPr>
          <w:rFonts w:hint="eastAsia" w:ascii="仿宋_GB2312" w:hAnsi="仿宋" w:eastAsia="仿宋_GB2312" w:cs="仿宋_GB2312"/>
          <w:snapToGrid w:val="0"/>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napToGrid w:val="0"/>
          <w:sz w:val="24"/>
          <w:szCs w:val="24"/>
        </w:rPr>
        <w:t>但采购人、采购机构不强制或变相强制投标人提交备份投标文件。</w:t>
      </w:r>
    </w:p>
    <w:p>
      <w:pPr>
        <w:adjustRightInd w:val="0"/>
        <w:spacing w:line="360" w:lineRule="auto"/>
        <w:ind w:firstLine="480" w:firstLineChars="200"/>
        <w:rPr>
          <w:rFonts w:ascii="仿宋_GB2312" w:hAnsi="仿宋" w:eastAsia="仿宋_GB2312" w:cs="仿宋_GB2312"/>
          <w:b/>
          <w:snapToGrid w:val="0"/>
          <w:sz w:val="24"/>
          <w:szCs w:val="24"/>
        </w:rPr>
      </w:pPr>
      <w:r>
        <w:rPr>
          <w:rFonts w:hint="eastAsia" w:ascii="仿宋_GB2312" w:hAnsi="仿宋" w:eastAsia="仿宋_GB2312" w:cs="仿宋_GB2312"/>
          <w:snapToGrid w:val="0"/>
          <w:sz w:val="24"/>
          <w:szCs w:val="24"/>
        </w:rPr>
        <w:t>15.2备份投标文件须在“政采云投标客户端”制作生成，并储存</w:t>
      </w:r>
      <w:r>
        <w:rPr>
          <w:rFonts w:hint="eastAsia" w:ascii="仿宋_GB2312" w:hAnsi="仿宋" w:eastAsia="仿宋_GB2312" w:cs="仿宋_GB2312"/>
          <w:snapToGrid w:val="0"/>
          <w:color w:val="auto"/>
          <w:sz w:val="24"/>
          <w:szCs w:val="24"/>
        </w:rPr>
        <w:t>在不可修改的</w:t>
      </w:r>
      <w:r>
        <w:rPr>
          <w:rFonts w:hint="eastAsia" w:ascii="仿宋_GB2312" w:hAnsi="仿宋" w:eastAsia="仿宋_GB2312" w:cs="Arial"/>
          <w:snapToGrid w:val="0"/>
          <w:color w:val="auto"/>
          <w:sz w:val="24"/>
          <w:szCs w:val="21"/>
        </w:rPr>
        <w:t>电子光盘</w:t>
      </w:r>
      <w:r>
        <w:rPr>
          <w:rFonts w:hint="eastAsia" w:ascii="仿宋_GB2312" w:hAnsi="仿宋" w:eastAsia="仿宋_GB2312" w:cs="仿宋_GB2312"/>
          <w:snapToGrid w:val="0"/>
          <w:color w:val="auto"/>
          <w:sz w:val="24"/>
          <w:szCs w:val="24"/>
        </w:rPr>
        <w:t>中。备份投标文件应当密封包装并在包装上加盖公章并注明投标项目名称，</w:t>
      </w:r>
      <w:r>
        <w:rPr>
          <w:rFonts w:hint="eastAsia" w:ascii="仿宋_GB2312" w:hAnsi="仿宋" w:eastAsia="仿宋_GB2312" w:cs="仿宋_GB2312"/>
          <w:snapToGrid w:val="0"/>
          <w:sz w:val="24"/>
          <w:szCs w:val="24"/>
        </w:rPr>
        <w:t>投标人名称(联合体投标的，包装物封面需注明联合体投标，并注明联合体成员各方的名称和联合体协议中约定的牵头人的名称)</w:t>
      </w:r>
      <w:r>
        <w:rPr>
          <w:rFonts w:hint="eastAsia" w:ascii="仿宋_GB2312" w:hAnsi="仿宋" w:eastAsia="仿宋_GB2312" w:cs="Arial"/>
          <w:b/>
          <w:snapToGrid w:val="0"/>
          <w:sz w:val="24"/>
          <w:szCs w:val="21"/>
        </w:rPr>
        <w:t>▲不符合上述制作、</w:t>
      </w:r>
      <w:r>
        <w:rPr>
          <w:rFonts w:hint="eastAsia" w:ascii="仿宋_GB2312" w:hAnsi="仿宋" w:eastAsia="仿宋_GB2312" w:cs="仿宋_GB2312"/>
          <w:b/>
          <w:snapToGrid w:val="0"/>
          <w:sz w:val="24"/>
          <w:szCs w:val="24"/>
        </w:rPr>
        <w:t>存储、密封规定的备份投标文件将被视为无效或者被拒绝接收。</w:t>
      </w:r>
    </w:p>
    <w:p>
      <w:pPr>
        <w:adjustRightIn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15.3直接提交备份投标文件的，投标人应于投标截止时间前在招标公告中载明的开标地点将备份投标文件提交给采购机构，采购机构将拒绝接受逾期送达的备份投标文件。</w:t>
      </w:r>
    </w:p>
    <w:p>
      <w:pPr>
        <w:adjustRightIn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15.4以邮政快递方式递交备份投标文件的，投标人应先将备份投标文件按要求密封和标记，再进行邮政快递包装后邮寄。备份投标文件须在投标截止时间之前送达杭州市</w:t>
      </w:r>
      <w:r>
        <w:rPr>
          <w:rFonts w:hint="eastAsia" w:ascii="仿宋_GB2312" w:hAnsi="仿宋" w:eastAsia="仿宋_GB2312" w:cs="仿宋_GB2312"/>
          <w:snapToGrid w:val="0"/>
          <w:sz w:val="24"/>
          <w:szCs w:val="24"/>
          <w:lang w:eastAsia="zh-CN"/>
        </w:rPr>
        <w:t>临安区锦北街道科技大道</w:t>
      </w:r>
      <w:r>
        <w:rPr>
          <w:rFonts w:hint="eastAsia" w:ascii="仿宋_GB2312" w:hAnsi="仿宋" w:eastAsia="仿宋_GB2312" w:cs="仿宋_GB2312"/>
          <w:snapToGrid w:val="0"/>
          <w:sz w:val="24"/>
          <w:szCs w:val="24"/>
          <w:lang w:val="en-US" w:eastAsia="zh-CN"/>
        </w:rPr>
        <w:t>4398号市民中心B座B448室</w:t>
      </w:r>
      <w:r>
        <w:rPr>
          <w:rFonts w:hint="eastAsia" w:ascii="仿宋_GB2312" w:hAnsi="仿宋" w:eastAsia="仿宋_GB2312" w:cs="仿宋_GB2312"/>
          <w:snapToGrid w:val="0"/>
          <w:sz w:val="24"/>
          <w:szCs w:val="24"/>
        </w:rPr>
        <w:t>（杭州市公共资源交易中心</w:t>
      </w:r>
      <w:r>
        <w:rPr>
          <w:rFonts w:hint="eastAsia" w:ascii="仿宋_GB2312" w:hAnsi="仿宋" w:eastAsia="仿宋_GB2312" w:cs="仿宋_GB2312"/>
          <w:snapToGrid w:val="0"/>
          <w:sz w:val="24"/>
          <w:szCs w:val="24"/>
          <w:lang w:eastAsia="zh-CN"/>
        </w:rPr>
        <w:t>临安分中心</w:t>
      </w:r>
      <w:r>
        <w:rPr>
          <w:rFonts w:hint="eastAsia" w:ascii="仿宋_GB2312" w:hAnsi="仿宋" w:eastAsia="仿宋_GB2312" w:cs="仿宋_GB2312"/>
          <w:snapToGrid w:val="0"/>
          <w:sz w:val="24"/>
          <w:szCs w:val="24"/>
        </w:rPr>
        <w:t>政府采购</w:t>
      </w:r>
      <w:r>
        <w:rPr>
          <w:rFonts w:hint="eastAsia" w:ascii="仿宋_GB2312" w:hAnsi="仿宋" w:eastAsia="仿宋_GB2312" w:cs="仿宋_GB2312"/>
          <w:snapToGrid w:val="0"/>
          <w:sz w:val="24"/>
          <w:szCs w:val="24"/>
          <w:lang w:eastAsia="zh-CN"/>
        </w:rPr>
        <w:t>科</w:t>
      </w:r>
      <w:r>
        <w:rPr>
          <w:rFonts w:hint="eastAsia" w:ascii="仿宋_GB2312" w:hAnsi="仿宋" w:eastAsia="仿宋_GB2312" w:cs="仿宋_GB2312"/>
          <w:snapToGrid w:val="0"/>
          <w:sz w:val="24"/>
          <w:szCs w:val="24"/>
        </w:rPr>
        <w:t>）；送达时间以签收人签收时间为准（签收人：</w:t>
      </w:r>
      <w:r>
        <w:rPr>
          <w:rFonts w:hint="eastAsia" w:ascii="仿宋_GB2312" w:hAnsi="仿宋" w:eastAsia="仿宋_GB2312" w:cs="仿宋_GB2312"/>
          <w:snapToGrid w:val="0"/>
          <w:sz w:val="24"/>
          <w:szCs w:val="24"/>
          <w:lang w:eastAsia="zh-CN"/>
        </w:rPr>
        <w:t>杨颖</w:t>
      </w:r>
      <w:r>
        <w:rPr>
          <w:rFonts w:hint="eastAsia" w:ascii="仿宋_GB2312" w:hAnsi="仿宋" w:eastAsia="仿宋_GB2312" w:cs="仿宋_GB2312"/>
          <w:snapToGrid w:val="0"/>
          <w:sz w:val="24"/>
          <w:szCs w:val="24"/>
        </w:rPr>
        <w:t>， 联系电话：0571-</w:t>
      </w:r>
      <w:r>
        <w:rPr>
          <w:rFonts w:hint="eastAsia" w:ascii="仿宋_GB2312" w:hAnsi="仿宋" w:eastAsia="仿宋_GB2312" w:cs="仿宋_GB2312"/>
          <w:snapToGrid w:val="0"/>
          <w:sz w:val="24"/>
          <w:szCs w:val="24"/>
          <w:lang w:val="en-US" w:eastAsia="zh-CN"/>
        </w:rPr>
        <w:t>23616011</w:t>
      </w:r>
      <w:r>
        <w:rPr>
          <w:rFonts w:hint="eastAsia" w:ascii="仿宋_GB2312" w:hAnsi="仿宋" w:eastAsia="仿宋_GB2312" w:cs="仿宋_GB2312"/>
          <w:snapToGrid w:val="0"/>
          <w:sz w:val="24"/>
          <w:szCs w:val="24"/>
        </w:rPr>
        <w:t>）。采购机构将拒绝接受逾期送达的备份投标文件。邮寄过程中，电子备份投标文件发生泄露、遗失、损坏或延期送达等情况的，由投标人自行负责。</w:t>
      </w:r>
    </w:p>
    <w:p>
      <w:pPr>
        <w:adjustRightInd w:val="0"/>
        <w:spacing w:line="360" w:lineRule="auto"/>
        <w:ind w:firstLine="361" w:firstLineChars="150"/>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15.5</w:t>
      </w:r>
      <w:r>
        <w:rPr>
          <w:rFonts w:hint="eastAsia" w:ascii="仿宋_GB2312" w:hAnsi="仿宋" w:eastAsia="仿宋_GB2312" w:cs="仿宋_GB2312"/>
          <w:sz w:val="24"/>
          <w:szCs w:val="20"/>
        </w:rPr>
        <w:t>▲</w:t>
      </w:r>
      <w:r>
        <w:rPr>
          <w:rFonts w:hint="eastAsia" w:ascii="仿宋_GB2312" w:hAnsi="仿宋" w:eastAsia="仿宋_GB2312" w:cs="仿宋_GB2312"/>
          <w:b/>
          <w:snapToGrid w:val="0"/>
          <w:sz w:val="24"/>
          <w:szCs w:val="24"/>
        </w:rPr>
        <w:t>投标人仅提交备份投标文件，没有在电子交易平台传输递交投标文件的，投标无效。</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16.投标文件的无效处理</w:t>
      </w:r>
    </w:p>
    <w:p>
      <w:pPr>
        <w:adjustRightInd w:val="0"/>
        <w:spacing w:after="120"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有招标文件第四部分第</w:t>
      </w:r>
      <w:r>
        <w:rPr>
          <w:rFonts w:ascii="仿宋_GB2312" w:hAnsi="仿宋" w:eastAsia="仿宋_GB2312" w:cs="仿宋_GB2312"/>
          <w:snapToGrid w:val="0"/>
          <w:sz w:val="24"/>
          <w:szCs w:val="24"/>
        </w:rPr>
        <w:t>13项规定的情形之一的，投标无效</w:t>
      </w:r>
      <w:r>
        <w:rPr>
          <w:rFonts w:hint="eastAsia" w:ascii="仿宋_GB2312" w:hAnsi="仿宋" w:eastAsia="仿宋_GB2312" w:cs="仿宋_GB2312"/>
          <w:snapToGrid w:val="0"/>
          <w:sz w:val="24"/>
          <w:szCs w:val="24"/>
        </w:rPr>
        <w:t>。</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17.投标有效期</w:t>
      </w:r>
    </w:p>
    <w:p>
      <w:pPr>
        <w:adjustRightInd w:val="0"/>
        <w:spacing w:line="360" w:lineRule="auto"/>
        <w:ind w:firstLine="480" w:firstLineChars="200"/>
        <w:rPr>
          <w:rFonts w:ascii="仿宋_GB2312" w:hAnsi="仿宋" w:eastAsia="仿宋_GB2312" w:cs="仿宋_GB2312"/>
          <w:b/>
          <w:sz w:val="24"/>
          <w:szCs w:val="21"/>
        </w:rPr>
      </w:pPr>
      <w:r>
        <w:rPr>
          <w:rFonts w:hint="eastAsia"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17.2投标文件合格投递后，自投标截止日期起，在投标有效期内有效。</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17.3在原定投标有效期满之前，如果出现特殊情况，采购机构可以以书面形式通知投标人延长投标有效期。投标人同意延长的，不得要求或被允许修改其投标文件，投标人拒绝延长的，其投标无效。</w:t>
      </w:r>
    </w:p>
    <w:p>
      <w:pPr>
        <w:adjustRightInd w:val="0"/>
        <w:spacing w:after="120" w:line="360" w:lineRule="auto"/>
        <w:ind w:firstLine="643" w:firstLineChars="200"/>
        <w:rPr>
          <w:rFonts w:ascii="仿宋_GB2312" w:hAnsi="仿宋" w:eastAsia="仿宋_GB2312" w:cs="仿宋_GB2312"/>
          <w:b/>
          <w:sz w:val="32"/>
        </w:rPr>
      </w:pPr>
    </w:p>
    <w:p>
      <w:pPr>
        <w:adjustRightInd w:val="0"/>
        <w:spacing w:after="120" w:line="360" w:lineRule="auto"/>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autoSpaceDE w:val="0"/>
        <w:autoSpaceDN w:val="0"/>
        <w:adjustRightInd w:val="0"/>
        <w:spacing w:line="360" w:lineRule="auto"/>
        <w:contextualSpacing/>
        <w:rPr>
          <w:rFonts w:ascii="仿宋_GB2312" w:hAnsi="仿宋" w:eastAsia="仿宋_GB2312" w:cs="Times New Roman"/>
          <w:kern w:val="0"/>
          <w:sz w:val="24"/>
          <w:szCs w:val="20"/>
        </w:rPr>
      </w:pPr>
      <w:r>
        <w:rPr>
          <w:rFonts w:hint="eastAsia" w:ascii="仿宋_GB2312" w:hAnsi="仿宋" w:eastAsia="仿宋_GB2312" w:cs="仿宋_GB2312"/>
          <w:b/>
          <w:kern w:val="0"/>
          <w:sz w:val="24"/>
          <w:szCs w:val="24"/>
        </w:rPr>
        <w:t>18.开标</w:t>
      </w:r>
      <w:r>
        <w:rPr>
          <w:rFonts w:hint="eastAsia" w:ascii="仿宋_GB2312" w:hAnsi="仿宋" w:eastAsia="仿宋_GB2312" w:cs="Times New Roman"/>
          <w:kern w:val="0"/>
          <w:sz w:val="24"/>
          <w:szCs w:val="20"/>
        </w:rPr>
        <w:t xml:space="preserve"> </w:t>
      </w:r>
    </w:p>
    <w:p>
      <w:pPr>
        <w:autoSpaceDE w:val="0"/>
        <w:autoSpaceDN w:val="0"/>
        <w:adjustRightInd w:val="0"/>
        <w:spacing w:line="360" w:lineRule="auto"/>
        <w:ind w:firstLine="480" w:firstLineChars="200"/>
        <w:contextualSpacing/>
        <w:rPr>
          <w:rFonts w:ascii="仿宋_GB2312" w:hAnsi="仿宋" w:eastAsia="仿宋_GB2312" w:cs="仿宋_GB2312"/>
          <w:kern w:val="0"/>
          <w:sz w:val="24"/>
          <w:szCs w:val="20"/>
        </w:rPr>
      </w:pPr>
      <w:r>
        <w:rPr>
          <w:rFonts w:hint="eastAsia" w:ascii="仿宋_GB2312" w:hAnsi="仿宋" w:eastAsia="仿宋_GB2312" w:cs="仿宋_GB2312"/>
          <w:kern w:val="0"/>
          <w:sz w:val="24"/>
          <w:szCs w:val="20"/>
        </w:rPr>
        <w:t>18.1采购机构按照招标文件规定的时间通过电子交易平台组织开标，所有投标人均应当准时在线参加。投标人不足3家的，不得开标。</w:t>
      </w:r>
    </w:p>
    <w:p>
      <w:pPr>
        <w:autoSpaceDE w:val="0"/>
        <w:autoSpaceDN w:val="0"/>
        <w:adjustRightInd w:val="0"/>
        <w:spacing w:line="360" w:lineRule="auto"/>
        <w:ind w:firstLine="240" w:firstLineChars="100"/>
        <w:contextualSpacing/>
        <w:rPr>
          <w:rFonts w:ascii="仿宋_GB2312" w:hAnsi="仿宋" w:eastAsia="仿宋_GB2312" w:cs="仿宋_GB2312"/>
          <w:kern w:val="0"/>
          <w:sz w:val="24"/>
          <w:szCs w:val="20"/>
        </w:rPr>
      </w:pPr>
      <w:r>
        <w:rPr>
          <w:rFonts w:hint="eastAsia" w:ascii="仿宋_GB2312" w:hAnsi="仿宋" w:eastAsia="仿宋_GB2312" w:cs="仿宋_GB2312"/>
          <w:kern w:val="0"/>
          <w:sz w:val="24"/>
          <w:szCs w:val="20"/>
        </w:rPr>
        <w:t>　18.2开标时，电子交易平台按开标时间自动提取所有投标文件。采购机构依托电子交易平台发起开始解密指令，投标人按照平台提示和招标文件的规定在半小时内完成在线解密。</w:t>
      </w:r>
    </w:p>
    <w:p>
      <w:pPr>
        <w:autoSpaceDE w:val="0"/>
        <w:autoSpaceDN w:val="0"/>
        <w:adjustRightInd w:val="0"/>
        <w:spacing w:line="360" w:lineRule="auto"/>
        <w:ind w:firstLine="240" w:firstLineChars="100"/>
        <w:contextualSpacing/>
        <w:rPr>
          <w:rFonts w:hint="eastAsia" w:ascii="仿宋_GB2312" w:hAnsi="仿宋_GB2312" w:eastAsia="仿宋_GB2312" w:cs="仿宋_GB2312"/>
          <w:b/>
          <w:kern w:val="0"/>
          <w:sz w:val="24"/>
          <w:szCs w:val="20"/>
        </w:rPr>
      </w:pPr>
      <w:r>
        <w:rPr>
          <w:rFonts w:hint="eastAsia" w:ascii="仿宋_GB2312" w:hAnsi="仿宋_GB2312" w:eastAsia="仿宋_GB2312" w:cs="仿宋_GB2312"/>
          <w:kern w:val="0"/>
          <w:sz w:val="24"/>
          <w:szCs w:val="20"/>
        </w:rPr>
        <w:t>　18.3</w:t>
      </w:r>
      <w:r>
        <w:rPr>
          <w:rFonts w:hint="eastAsia" w:ascii="仿宋_GB2312" w:hAnsi="仿宋_GB2312" w:eastAsia="仿宋_GB2312" w:cs="仿宋_GB2312"/>
          <w:b/>
          <w:kern w:val="0"/>
          <w:sz w:val="24"/>
          <w:szCs w:val="20"/>
        </w:rPr>
        <w:t>投标文件未按时解密，投标人提供了备份投标文件的，以备份投标文件作为依据，否则视为投标文件撤回。投标文件已按时解密的，备份投标文件自动失效。</w:t>
      </w:r>
    </w:p>
    <w:p>
      <w:pPr>
        <w:pStyle w:val="526"/>
        <w:spacing w:before="0" w:line="360" w:lineRule="auto"/>
        <w:ind w:left="0" w:leftChars="0" w:firstLine="480" w:firstLineChars="200"/>
        <w:contextualSpacing/>
        <w:rPr>
          <w:rFonts w:hint="eastAsia" w:ascii="仿宋_GB2312" w:hAnsi="仿宋_GB2312" w:eastAsia="仿宋_GB2312" w:cs="仿宋_GB2312"/>
        </w:rPr>
      </w:pPr>
      <w:r>
        <w:rPr>
          <w:rFonts w:hint="eastAsia" w:ascii="仿宋_GB2312" w:hAnsi="仿宋_GB2312" w:eastAsia="仿宋_GB2312" w:cs="仿宋_GB2312"/>
          <w:b w:val="0"/>
          <w:bCs w:val="0"/>
          <w:sz w:val="24"/>
          <w:szCs w:val="22"/>
          <w:lang w:val="en-US" w:eastAsia="zh-CN"/>
        </w:rPr>
        <w:t>18.4开标记录开启后，请将附件2《政府采购活动现场确认声明书》填写完整发送至邮箱：649656585@qq.com。</w:t>
      </w:r>
    </w:p>
    <w:p>
      <w:pPr>
        <w:widowControl/>
        <w:adjustRightInd w:val="0"/>
        <w:spacing w:before="100" w:beforeAutospacing="1" w:after="240" w:line="360" w:lineRule="auto"/>
        <w:jc w:val="left"/>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19、资格审查</w:t>
      </w:r>
    </w:p>
    <w:p>
      <w:pPr>
        <w:adjustRightInd w:val="0"/>
        <w:spacing w:after="120"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19.1开标后，采购人或采购机构将依法对投标人的资格进行审查。</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Arial"/>
          <w:kern w:val="0"/>
          <w:sz w:val="24"/>
          <w:szCs w:val="24"/>
        </w:rPr>
        <w:t>19.2</w:t>
      </w:r>
      <w:r>
        <w:rPr>
          <w:rFonts w:hint="eastAsia" w:ascii="仿宋_GB2312" w:hAnsi="仿宋" w:eastAsia="仿宋_GB2312" w:cs="仿宋_GB2312"/>
          <w:sz w:val="24"/>
          <w:szCs w:val="24"/>
        </w:rPr>
        <w:t>采购人或采购机构依据法律法规和招标文件的规定，对投标人的基本资格条件、特定资格条件进行审查。</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19.3投标人未按照招标文件要求提供与</w:t>
      </w:r>
      <w:r>
        <w:rPr>
          <w:rFonts w:hint="eastAsia" w:ascii="仿宋_GB2312" w:hAnsi="仿宋" w:eastAsia="仿宋_GB2312" w:cs="仿宋_GB2312"/>
          <w:sz w:val="24"/>
        </w:rPr>
        <w:t>基本资格条件、特定资格条件相应的</w:t>
      </w:r>
      <w:r>
        <w:rPr>
          <w:rFonts w:hint="eastAsia" w:ascii="仿宋_GB2312" w:hAnsi="仿宋" w:eastAsia="仿宋_GB2312" w:cs="Arial"/>
          <w:kern w:val="0"/>
          <w:sz w:val="24"/>
          <w:szCs w:val="24"/>
        </w:rPr>
        <w:t>有效资格证明材料的，视为</w:t>
      </w:r>
      <w:r>
        <w:rPr>
          <w:rFonts w:hint="eastAsia" w:ascii="仿宋_GB2312" w:hAnsi="仿宋" w:eastAsia="仿宋_GB2312" w:cs="仿宋_GB2312"/>
          <w:sz w:val="24"/>
        </w:rPr>
        <w:t>投标人不具备招标文件中规定的资格要求，其投标无效。</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19.</w:t>
      </w:r>
      <w:r>
        <w:rPr>
          <w:rFonts w:hint="eastAsia" w:ascii="仿宋_GB2312" w:hAnsi="仿宋" w:eastAsia="仿宋_GB2312" w:cs="仿宋_GB2312"/>
          <w:sz w:val="24"/>
        </w:rPr>
        <w:t>4对未通过资格审查的投标人，采购人或采购机构告知其未通过的原因。</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19.</w:t>
      </w:r>
      <w:r>
        <w:rPr>
          <w:rFonts w:hint="eastAsia" w:ascii="仿宋_GB2312" w:hAnsi="仿宋" w:eastAsia="仿宋_GB2312" w:cs="仿宋_GB2312"/>
          <w:sz w:val="24"/>
        </w:rPr>
        <w:t>5合格投标人不足3家的，不再评标。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20、信用信息查询</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20.1信用信息查询渠道及截止时间：采购机构将通过“信用中国”网站(www.creditchina.gov.cn)、中国政府采购网(www.ccgp.gov.cn)渠道查询投标人投标截止时间当天的信用记录。</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20.2信用信息查询记录和证据留存的具体方式：现场查询的投标人的信用记录、查询结果经确认后将与采购文件一起存档。</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20.3信用信息的使用规则：经查询列入失信被执行人名单、重大税收违法案件当事人名单、政府采购严重违法失信行为记录名单的投标人将被拒绝参与政府采购活动。</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sz w:val="24"/>
        </w:rPr>
        <w:t>。</w:t>
      </w:r>
    </w:p>
    <w:p>
      <w:pPr>
        <w:adjustRightInd w:val="0"/>
        <w:spacing w:after="120" w:line="360" w:lineRule="auto"/>
        <w:rPr>
          <w:rFonts w:ascii="仿宋_GB2312" w:hAnsi="仿宋" w:eastAsia="仿宋_GB2312" w:cs="Arial"/>
          <w:kern w:val="0"/>
          <w:sz w:val="24"/>
          <w:szCs w:val="24"/>
        </w:rPr>
      </w:pP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adjustRightInd w:val="0"/>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21.</w:t>
      </w:r>
      <w:r>
        <w:rPr>
          <w:rFonts w:hint="eastAsia" w:ascii="仿宋_GB2312" w:hAnsi="仿宋" w:eastAsia="仿宋_GB2312" w:cs="Times New Roman"/>
          <w:szCs w:val="24"/>
        </w:rPr>
        <w:t xml:space="preserve"> </w:t>
      </w:r>
      <w:r>
        <w:rPr>
          <w:rFonts w:hint="eastAsia" w:ascii="仿宋_GB2312" w:hAnsi="仿宋" w:eastAsia="仿宋_GB2312" w:cs="仿宋_GB2312"/>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szCs w:val="24"/>
        </w:rPr>
        <w:t>详见招标文件第四部分“评标方法及评分标准”</w:t>
      </w:r>
    </w:p>
    <w:p>
      <w:pPr>
        <w:adjustRightInd w:val="0"/>
        <w:spacing w:line="360" w:lineRule="auto"/>
        <w:rPr>
          <w:rFonts w:ascii="仿宋_GB2312" w:hAnsi="仿宋" w:eastAsia="仿宋_GB2312" w:cs="仿宋_GB2312"/>
          <w:b/>
          <w:sz w:val="24"/>
          <w:szCs w:val="24"/>
        </w:rPr>
      </w:pP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 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22. 确定中标供应商</w:t>
      </w:r>
    </w:p>
    <w:p>
      <w:pPr>
        <w:adjustRightInd w:val="0"/>
        <w:snapToGrid w:val="0"/>
        <w:spacing w:after="120" w:line="360" w:lineRule="auto"/>
        <w:ind w:firstLine="480" w:firstLineChars="200"/>
        <w:rPr>
          <w:rFonts w:ascii="仿宋_GB2312" w:hAnsi="仿宋" w:eastAsia="仿宋_GB2312" w:cs="仿宋_GB2312"/>
          <w:b/>
          <w:sz w:val="24"/>
          <w:szCs w:val="24"/>
        </w:rPr>
      </w:pPr>
      <w:r>
        <w:rPr>
          <w:rFonts w:hint="eastAsia" w:ascii="仿宋_GB2312" w:hAnsi="仿宋" w:eastAsia="仿宋_GB2312" w:cs="仿宋_GB2312"/>
          <w:sz w:val="24"/>
          <w:szCs w:val="24"/>
        </w:rPr>
        <w:t>采购人将自收到评审报告之日起5个工作日内通过电子交易平台在评审报告推荐的中标候选人中按顺序确定中标供应商。</w:t>
      </w:r>
    </w:p>
    <w:p>
      <w:pPr>
        <w:adjustRightInd w:val="0"/>
        <w:snapToGri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23. 中标通知与中标结果公告</w:t>
      </w:r>
    </w:p>
    <w:p>
      <w:pPr>
        <w:widowControl/>
        <w:shd w:val="clear" w:color="auto" w:fill="FFFFFF"/>
        <w:adjustRightInd w:val="0"/>
        <w:spacing w:line="360" w:lineRule="auto"/>
        <w:ind w:firstLine="480"/>
        <w:jc w:val="left"/>
        <w:rPr>
          <w:rFonts w:ascii="仿宋_GB2312" w:hAnsi="仿宋" w:eastAsia="仿宋_GB2312" w:cs="仿宋_GB2312"/>
          <w:sz w:val="24"/>
          <w:szCs w:val="24"/>
        </w:rPr>
      </w:pPr>
      <w:r>
        <w:rPr>
          <w:rFonts w:hint="eastAsia" w:ascii="仿宋_GB2312" w:hAnsi="仿宋" w:eastAsia="仿宋_GB2312" w:cs="仿宋_GB2312"/>
          <w:sz w:val="24"/>
          <w:szCs w:val="24"/>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hd w:val="clear" w:color="auto" w:fill="FFFFFF"/>
        <w:adjustRightInd w:val="0"/>
        <w:spacing w:line="360" w:lineRule="auto"/>
        <w:ind w:firstLine="480"/>
        <w:jc w:val="left"/>
        <w:rPr>
          <w:rFonts w:ascii="仿宋_GB2312" w:hAnsi="仿宋" w:eastAsia="仿宋_GB2312" w:cs="仿宋_GB2312"/>
          <w:sz w:val="24"/>
          <w:szCs w:val="24"/>
        </w:rPr>
      </w:pPr>
      <w:r>
        <w:rPr>
          <w:rFonts w:hint="eastAsia" w:ascii="仿宋_GB2312" w:hAnsi="仿宋" w:eastAsia="仿宋_GB2312" w:cs="仿宋_GB2312"/>
          <w:sz w:val="24"/>
          <w:szCs w:val="24"/>
        </w:rPr>
        <w:t>23.2中标结果公告内容包括采购人及其委托的采购机构的名称、地址、联系方式，项目名称和项目编号，中标人名称、地址和中标金额，主要中标标的的名称、规格型号、数量、单价、服务要求，中标公告期限以及评审专家名单，评分汇总及明细。</w:t>
      </w:r>
    </w:p>
    <w:p>
      <w:pPr>
        <w:widowControl/>
        <w:shd w:val="clear" w:color="auto" w:fill="FFFFFF"/>
        <w:adjustRightInd w:val="0"/>
        <w:spacing w:line="360" w:lineRule="auto"/>
        <w:ind w:firstLine="480"/>
        <w:jc w:val="left"/>
        <w:rPr>
          <w:rFonts w:ascii="仿宋_GB2312" w:hAnsi="仿宋" w:eastAsia="仿宋_GB2312" w:cs="仿宋_GB2312"/>
          <w:sz w:val="24"/>
          <w:szCs w:val="24"/>
        </w:rPr>
      </w:pPr>
      <w:r>
        <w:rPr>
          <w:rFonts w:hint="eastAsia" w:ascii="仿宋_GB2312" w:hAnsi="仿宋" w:eastAsia="仿宋_GB2312" w:cs="仿宋_GB2312"/>
          <w:sz w:val="24"/>
          <w:szCs w:val="24"/>
        </w:rPr>
        <w:t>23.3公告期限为1个工作日。</w:t>
      </w: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七、合同</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 xml:space="preserve">24. </w:t>
      </w:r>
      <w:r>
        <w:rPr>
          <w:rFonts w:hint="eastAsia" w:ascii="仿宋_GB2312" w:hAnsi="仿宋" w:eastAsia="仿宋_GB2312" w:cs="仿宋_GB2312"/>
          <w:sz w:val="24"/>
          <w:szCs w:val="24"/>
        </w:rPr>
        <w:t>合同主要条款详见第五部分拟签订的合同文本。</w:t>
      </w:r>
    </w:p>
    <w:p>
      <w:pPr>
        <w:adjustRightInd w:val="0"/>
        <w:spacing w:after="120"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25. </w:t>
      </w:r>
      <w:r>
        <w:rPr>
          <w:rFonts w:hint="eastAsia" w:ascii="仿宋_GB2312" w:hAnsi="仿宋" w:eastAsia="仿宋_GB2312" w:cs="仿宋_GB2312"/>
          <w:b/>
          <w:sz w:val="24"/>
          <w:szCs w:val="24"/>
        </w:rPr>
        <w:t>合同的签订</w:t>
      </w:r>
    </w:p>
    <w:p>
      <w:pPr>
        <w:widowControl/>
        <w:shd w:val="clear" w:color="auto" w:fill="FFFFFF"/>
        <w:adjustRightInd w:val="0"/>
        <w:spacing w:line="360" w:lineRule="auto"/>
        <w:ind w:firstLine="480"/>
        <w:jc w:val="left"/>
        <w:rPr>
          <w:rFonts w:ascii="仿宋_GB2312" w:hAnsi="仿宋" w:eastAsia="仿宋_GB2312" w:cs="Arial"/>
          <w:kern w:val="0"/>
          <w:sz w:val="24"/>
          <w:szCs w:val="24"/>
        </w:rPr>
      </w:pPr>
      <w:r>
        <w:rPr>
          <w:rFonts w:hint="eastAsia" w:ascii="仿宋_GB2312" w:hAnsi="仿宋" w:eastAsia="仿宋_GB2312" w:cs="仿宋_GB2312"/>
          <w:sz w:val="24"/>
          <w:szCs w:val="24"/>
        </w:rPr>
        <w:t>25.1</w:t>
      </w:r>
      <w:r>
        <w:rPr>
          <w:rFonts w:hint="eastAsia" w:ascii="仿宋_GB2312" w:hAnsi="仿宋" w:eastAsia="仿宋_GB2312" w:cs="Arial"/>
          <w:kern w:val="0"/>
          <w:sz w:val="24"/>
          <w:szCs w:val="24"/>
        </w:rPr>
        <w:t xml:space="preserve"> 采购人与中标人应当通过电子交易平台在中标通知书发出之日起三十日内，按照招标文件确定的事项签订政府采购合同，并在规定时间内依法发布合同公告。</w:t>
      </w:r>
    </w:p>
    <w:p>
      <w:pPr>
        <w:adjustRightInd w:val="0"/>
        <w:snapToGrid w:val="0"/>
        <w:spacing w:after="120" w:line="360" w:lineRule="auto"/>
        <w:ind w:firstLine="480" w:firstLineChars="200"/>
        <w:rPr>
          <w:rFonts w:ascii="仿宋_GB2312" w:hAnsi="仿宋" w:eastAsia="仿宋_GB2312"/>
          <w:kern w:val="0"/>
          <w:sz w:val="24"/>
        </w:rPr>
      </w:pPr>
      <w:r>
        <w:rPr>
          <w:rFonts w:hint="eastAsia" w:ascii="仿宋_GB2312" w:hAnsi="仿宋" w:eastAsia="仿宋_GB2312" w:cs="仿宋_GB2312"/>
          <w:kern w:val="0"/>
          <w:sz w:val="24"/>
          <w:lang w:val="zh-CN"/>
        </w:rPr>
        <w:t>25.2</w:t>
      </w:r>
      <w:r>
        <w:rPr>
          <w:rFonts w:hint="eastAsia" w:ascii="仿宋_GB2312" w:hAnsi="仿宋" w:eastAsia="仿宋_GB2312"/>
          <w:kern w:val="0"/>
          <w:sz w:val="24"/>
          <w:lang w:val="zh-CN"/>
        </w:rPr>
        <w:t>中标人按规定的日期、时间、地点，由法定代表人或其授权代表与采购人代表签订合同。如中标人为联合体的，由联合体成员各方法定代表人或其授权代表与采购人代表签订合同。</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25.3如签订合同并生效后，供应商无故拒绝或延期，除按照合同条款处理外，列入不良行为记录一次，并给予通报。</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25.4中标供应商拒绝与采购人签订合同的，采购人可以按照评审报告推荐的中标或者成交候选人名单排序，确定下一候选人为中标供应商，也可以重新开展政府采购活动。</w:t>
      </w:r>
    </w:p>
    <w:p>
      <w:pPr>
        <w:adjustRightInd w:val="0"/>
        <w:snapToGrid w:val="0"/>
        <w:spacing w:after="120" w:line="360" w:lineRule="auto"/>
        <w:ind w:firstLine="480" w:firstLineChars="200"/>
        <w:rPr>
          <w:rFonts w:ascii="仿宋_GB2312" w:hAnsi="仿宋" w:eastAsia="仿宋_GB2312" w:cs="仿宋_GB2312"/>
          <w:sz w:val="24"/>
        </w:rPr>
      </w:pPr>
      <w:r>
        <w:rPr>
          <w:rFonts w:ascii="仿宋_GB2312" w:hAnsi="仿宋" w:eastAsia="仿宋_GB2312" w:cs="仿宋_GB2312"/>
          <w:sz w:val="24"/>
        </w:rPr>
        <w:t>25.5采购合同由采购人与中标供应商根据</w:t>
      </w:r>
      <w:r>
        <w:rPr>
          <w:rFonts w:hint="eastAsia" w:ascii="仿宋_GB2312" w:hAnsi="仿宋" w:eastAsia="仿宋_GB2312" w:cs="仿宋_GB2312"/>
          <w:sz w:val="24"/>
        </w:rPr>
        <w:t>招标文件、投标文件等内容通过政府采购电子交易平台在线签订，自动备案。</w:t>
      </w:r>
    </w:p>
    <w:p>
      <w:pPr>
        <w:adjustRightInd w:val="0"/>
        <w:spacing w:after="120"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26. </w:t>
      </w:r>
      <w:r>
        <w:rPr>
          <w:rFonts w:hint="eastAsia" w:ascii="仿宋_GB2312" w:hAnsi="仿宋" w:eastAsia="仿宋_GB2312" w:cs="仿宋_GB2312"/>
          <w:b/>
          <w:sz w:val="24"/>
          <w:szCs w:val="24"/>
        </w:rPr>
        <w:t>履约保证金</w:t>
      </w:r>
    </w:p>
    <w:p>
      <w:pPr>
        <w:tabs>
          <w:tab w:val="left" w:pos="0"/>
        </w:tabs>
        <w:adjustRightInd w:val="0"/>
        <w:spacing w:line="360" w:lineRule="auto"/>
        <w:ind w:firstLine="480"/>
        <w:rPr>
          <w:rFonts w:ascii="仿宋_GB2312" w:hAnsi="仿宋" w:eastAsia="仿宋_GB2312" w:cs="Times New Roman"/>
          <w:sz w:val="24"/>
          <w:szCs w:val="24"/>
        </w:rPr>
      </w:pPr>
      <w:r>
        <w:rPr>
          <w:rFonts w:hint="eastAsia" w:ascii="仿宋_GB2312" w:hAnsi="仿宋" w:eastAsia="仿宋_GB2312" w:cs="Helvetica"/>
          <w:kern w:val="0"/>
          <w:sz w:val="24"/>
          <w:szCs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s="Times New Roman"/>
          <w:sz w:val="24"/>
          <w:szCs w:val="24"/>
        </w:rPr>
        <w:t>。履约保证金的数额不得超过政府采购合同金额的5%。</w:t>
      </w:r>
      <w:r>
        <w:rPr>
          <w:rFonts w:hint="eastAsia" w:ascii="仿宋_GB2312" w:hAnsi="仿宋" w:eastAsia="仿宋_GB2312" w:cs="Times New Roman"/>
          <w:b/>
          <w:sz w:val="24"/>
          <w:szCs w:val="24"/>
        </w:rPr>
        <w:t>采购人不得拒收履约保函。</w:t>
      </w:r>
    </w:p>
    <w:p>
      <w:pPr>
        <w:tabs>
          <w:tab w:val="left" w:pos="0"/>
        </w:tabs>
        <w:adjustRightInd w:val="0"/>
        <w:spacing w:line="360" w:lineRule="auto"/>
        <w:ind w:firstLine="480"/>
        <w:rPr>
          <w:rFonts w:ascii="仿宋_GB2312" w:hAnsi="仿宋" w:eastAsia="仿宋_GB2312" w:cs="Times New Roman"/>
          <w:sz w:val="24"/>
          <w:szCs w:val="24"/>
        </w:rPr>
      </w:pPr>
    </w:p>
    <w:p>
      <w:pPr>
        <w:adjustRightInd w:val="0"/>
        <w:snapToGrid w:val="0"/>
        <w:spacing w:line="360" w:lineRule="auto"/>
        <w:ind w:firstLine="3357" w:firstLineChars="1045"/>
        <w:rPr>
          <w:rFonts w:ascii="仿宋_GB2312" w:hAnsi="仿宋" w:eastAsia="仿宋_GB2312" w:cs="Times New Roman"/>
          <w:b/>
          <w:sz w:val="24"/>
          <w:szCs w:val="24"/>
        </w:rPr>
      </w:pPr>
      <w:r>
        <w:rPr>
          <w:rFonts w:hint="eastAsia" w:ascii="仿宋_GB2312" w:hAnsi="仿宋" w:eastAsia="仿宋_GB2312" w:cs="仿宋_GB2312"/>
          <w:b/>
          <w:sz w:val="32"/>
          <w:szCs w:val="24"/>
        </w:rPr>
        <w:t>八、电子交易活动的中止</w:t>
      </w:r>
    </w:p>
    <w:p>
      <w:pPr>
        <w:adjustRightInd w:val="0"/>
        <w:snapToGrid w:val="0"/>
        <w:spacing w:after="120" w:line="360" w:lineRule="auto"/>
        <w:rPr>
          <w:rFonts w:ascii="仿宋_GB2312" w:hAnsi="仿宋" w:eastAsia="仿宋_GB2312" w:cs="仿宋_GB2312"/>
          <w:sz w:val="24"/>
        </w:rPr>
      </w:pPr>
      <w:r>
        <w:rPr>
          <w:rFonts w:hint="eastAsia" w:ascii="仿宋_GB2312" w:hAnsi="仿宋" w:eastAsia="仿宋_GB2312" w:cs="仿宋_GB2312"/>
          <w:b/>
          <w:sz w:val="24"/>
          <w:szCs w:val="24"/>
        </w:rPr>
        <w:t>27. 电子交易活动的中止。</w:t>
      </w:r>
      <w:r>
        <w:rPr>
          <w:rFonts w:hint="eastAsia" w:ascii="仿宋_GB2312" w:hAnsi="仿宋" w:eastAsia="仿宋_GB2312" w:cs="仿宋_GB2312"/>
          <w:sz w:val="24"/>
        </w:rPr>
        <w:t>采购过程中出现以下情形，导致电子交易平台无法正常运行，或者无法保证电子交易的公平、公正和安全时，采购机构可中止电子交易活动：</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27.1电子交易平台发生故障而无法登录访问的； </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27.2电子交易平台应用或数据库出现错误，不能进行正常操作的；</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27.3电子交易平台发现严重安全漏洞，有潜在泄密危险的；</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27.4病毒发作导致不能进行正常操作的； </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27.5其他无法保证电子交易的公平、公正和安全的情况。</w:t>
      </w:r>
    </w:p>
    <w:p>
      <w:pPr>
        <w:adjustRightInd w:val="0"/>
        <w:snapToGrid w:val="0"/>
        <w:spacing w:after="120" w:line="360" w:lineRule="auto"/>
        <w:rPr>
          <w:rFonts w:ascii="仿宋_GB2312" w:hAnsi="仿宋" w:eastAsia="仿宋_GB2312" w:cs="仿宋_GB2312"/>
          <w:sz w:val="24"/>
        </w:rPr>
      </w:pPr>
      <w:r>
        <w:rPr>
          <w:rFonts w:hint="eastAsia" w:ascii="仿宋_GB2312" w:hAnsi="仿宋" w:eastAsia="仿宋_GB2312" w:cs="仿宋_GB2312"/>
          <w:sz w:val="24"/>
        </w:rPr>
        <w:t xml:space="preserve"> </w:t>
      </w:r>
      <w:r>
        <w:rPr>
          <w:rFonts w:hint="eastAsia" w:ascii="仿宋_GB2312" w:hAnsi="仿宋" w:eastAsia="仿宋_GB2312" w:cs="仿宋_GB2312"/>
          <w:b/>
          <w:sz w:val="24"/>
        </w:rPr>
        <w:t>28.</w:t>
      </w:r>
      <w:r>
        <w:rPr>
          <w:rFonts w:hint="eastAsia" w:ascii="仿宋_GB2312" w:hAnsi="仿宋" w:eastAsia="仿宋_GB2312" w:cs="仿宋_GB2312"/>
          <w:sz w:val="24"/>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adjustRightInd w:val="0"/>
        <w:spacing w:line="360" w:lineRule="auto"/>
        <w:ind w:firstLine="480"/>
        <w:rPr>
          <w:rFonts w:ascii="仿宋_GB2312" w:hAnsi="仿宋" w:eastAsia="仿宋_GB2312" w:cs="Times New Roman"/>
          <w:sz w:val="24"/>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九、验收</w:t>
      </w:r>
    </w:p>
    <w:p>
      <w:pPr>
        <w:adjustRightInd w:val="0"/>
        <w:spacing w:after="120" w:line="360" w:lineRule="auto"/>
        <w:rPr>
          <w:rFonts w:ascii="仿宋_GB2312" w:hAnsi="仿宋" w:eastAsia="仿宋_GB2312" w:cs="仿宋_GB2312"/>
          <w:b/>
          <w:sz w:val="24"/>
          <w:szCs w:val="24"/>
        </w:rPr>
      </w:pPr>
      <w:r>
        <w:rPr>
          <w:rFonts w:ascii="仿宋_GB2312" w:hAnsi="仿宋" w:eastAsia="仿宋_GB2312" w:cs="仿宋_GB2312"/>
          <w:b/>
          <w:sz w:val="24"/>
          <w:szCs w:val="24"/>
        </w:rPr>
        <w:t>29.验收</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pacing w:line="360" w:lineRule="auto"/>
        <w:ind w:firstLine="480"/>
        <w:rPr>
          <w:rFonts w:ascii="仿宋_GB2312" w:hAnsi="仿宋" w:eastAsia="仿宋_GB2312" w:cs="仿宋_GB2312"/>
          <w:sz w:val="18"/>
          <w:szCs w:val="18"/>
        </w:rPr>
      </w:pPr>
      <w:r>
        <w:rPr>
          <w:rFonts w:hint="eastAsia" w:ascii="仿宋_GB2312" w:hAnsi="仿宋" w:eastAsia="仿宋_GB2312" w:cs="Helvetica"/>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9"/>
    <w:p>
      <w:pPr>
        <w:spacing w:line="360" w:lineRule="auto"/>
        <w:jc w:val="center"/>
        <w:rPr>
          <w:rFonts w:ascii="仿宋_GB2312" w:hAnsi="仿宋" w:eastAsia="仿宋_GB2312" w:cs="仿宋_GB2312"/>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0" w:name="_Hlt74729768"/>
      <w:bookmarkEnd w:id="10"/>
      <w:bookmarkStart w:id="11" w:name="_Hlt75236011"/>
      <w:bookmarkEnd w:id="11"/>
      <w:bookmarkStart w:id="12" w:name="_Hlt68403820"/>
      <w:bookmarkEnd w:id="12"/>
      <w:bookmarkStart w:id="13" w:name="_Hlt68073093"/>
      <w:bookmarkEnd w:id="13"/>
      <w:bookmarkStart w:id="14" w:name="_Hlt68057669"/>
      <w:bookmarkEnd w:id="14"/>
      <w:bookmarkStart w:id="15" w:name="_Hlt75236290"/>
      <w:bookmarkEnd w:id="15"/>
      <w:bookmarkStart w:id="16" w:name="_Hlt75236101"/>
      <w:bookmarkEnd w:id="16"/>
      <w:bookmarkStart w:id="17" w:name="_Hlt68072998"/>
      <w:bookmarkEnd w:id="17"/>
      <w:bookmarkStart w:id="18" w:name="_Hlt74730295"/>
      <w:bookmarkEnd w:id="18"/>
      <w:bookmarkStart w:id="19" w:name="_Hlt74707468"/>
      <w:bookmarkEnd w:id="19"/>
      <w:bookmarkStart w:id="20" w:name="_Hlt68072990"/>
      <w:bookmarkEnd w:id="20"/>
      <w:bookmarkStart w:id="21" w:name="_Hlt74714665"/>
      <w:bookmarkEnd w:id="21"/>
      <w:bookmarkStart w:id="22" w:name="第三部分"/>
      <w:bookmarkStart w:id="23" w:name="_Toc164416483"/>
    </w:p>
    <w:bookmarkEnd w:id="22"/>
    <w:bookmarkEnd w:id="23"/>
    <w:p>
      <w:pPr>
        <w:adjustRightInd w:val="0"/>
        <w:spacing w:line="360" w:lineRule="auto"/>
        <w:jc w:val="center"/>
        <w:outlineLvl w:val="0"/>
        <w:rPr>
          <w:rFonts w:ascii="仿宋_GB2312" w:hAnsi="仿宋" w:eastAsia="仿宋_GB2312" w:cs="仿宋_GB2312"/>
          <w:b/>
          <w:sz w:val="36"/>
          <w:szCs w:val="36"/>
        </w:rPr>
      </w:pPr>
      <w:bookmarkStart w:id="24" w:name="第四部分"/>
      <w:r>
        <w:rPr>
          <w:rFonts w:hint="eastAsia" w:ascii="仿宋_GB2312" w:hAnsi="仿宋" w:eastAsia="仿宋_GB2312" w:cs="仿宋_GB2312"/>
          <w:b/>
          <w:sz w:val="36"/>
          <w:szCs w:val="36"/>
        </w:rPr>
        <w:t>第三部分   采购需求</w:t>
      </w:r>
    </w:p>
    <w:p>
      <w:pPr>
        <w:spacing w:before="120" w:beforeLines="50" w:after="120" w:afterLines="50" w:line="360" w:lineRule="auto"/>
        <w:jc w:val="left"/>
        <w:outlineLvl w:val="1"/>
        <w:rPr>
          <w:rFonts w:hint="eastAsia" w:ascii="仿宋_GB2312" w:hAnsi="仿宋_GB2312" w:eastAsia="仿宋_GB2312" w:cs="仿宋_GB2312"/>
          <w:b/>
          <w:bCs/>
          <w:sz w:val="24"/>
        </w:rPr>
      </w:pPr>
      <w:r>
        <w:rPr>
          <w:rFonts w:hint="eastAsia" w:ascii="仿宋_GB2312" w:hAnsi="仿宋_GB2312" w:eastAsia="仿宋_GB2312" w:cs="仿宋_GB2312"/>
          <w:sz w:val="24"/>
        </w:rPr>
        <w:t>属于实质性要求条款的，已用符号“▲”标明，否则属于非实质性要求。</w:t>
      </w:r>
    </w:p>
    <w:p>
      <w:pPr>
        <w:pStyle w:val="607"/>
        <w:ind w:firstLine="0" w:firstLineChars="0"/>
        <w:rPr>
          <w:rFonts w:hint="eastAsia" w:ascii="仿宋_GB2312" w:hAnsi="仿宋_GB2312" w:eastAsia="仿宋_GB2312" w:cs="仿宋_GB2312"/>
          <w:szCs w:val="24"/>
        </w:rPr>
      </w:pPr>
      <w:r>
        <w:rPr>
          <w:rFonts w:hint="eastAsia" w:ascii="仿宋_GB2312" w:hAnsi="仿宋_GB2312" w:eastAsia="仿宋_GB2312" w:cs="仿宋_GB2312"/>
          <w:szCs w:val="24"/>
        </w:rPr>
        <w:t>“★”系产品采购项目中单一产品或核心产品：</w:t>
      </w:r>
      <w:r>
        <w:rPr>
          <w:rFonts w:hint="eastAsia" w:ascii="仿宋_GB2312" w:hAnsi="仿宋_GB2312" w:eastAsia="仿宋_GB2312" w:cs="仿宋_GB2312"/>
          <w:b/>
          <w:bCs/>
          <w:szCs w:val="24"/>
          <w:u w:val="single"/>
          <w:lang w:val="en-US" w:eastAsia="zh-CN"/>
        </w:rPr>
        <w:t>55寸LCD显示单元</w:t>
      </w:r>
      <w:r>
        <w:rPr>
          <w:rFonts w:hint="eastAsia" w:ascii="仿宋_GB2312" w:hAnsi="仿宋_GB2312" w:eastAsia="仿宋_GB2312" w:cs="仿宋_GB2312"/>
          <w:szCs w:val="24"/>
        </w:rPr>
        <w:t>。</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lang w:val="en-US" w:eastAsia="zh-CN"/>
        </w:rPr>
        <w:t>本项目位于杭州市临安区科技大道国际商务中心二号楼及四号楼，项目内容主要涉及三个部分：二号楼会议室音视频系统；二号楼档案系统内网专网设备及</w:t>
      </w:r>
      <w:r>
        <w:rPr>
          <w:rFonts w:hint="eastAsia" w:ascii="仿宋_GB2312" w:hAnsi="仿宋_GB2312" w:eastAsia="仿宋_GB2312" w:cs="仿宋_GB2312"/>
          <w:b w:val="0"/>
          <w:bCs w:val="0"/>
          <w:sz w:val="24"/>
          <w:szCs w:val="24"/>
          <w:highlight w:val="none"/>
          <w:lang w:val="en-US" w:eastAsia="zh-CN"/>
        </w:rPr>
        <w:t>部分档案系统专用设备；四号楼四层会议中心音视频系统及一层LED屏系统。本项目主要为设备安装调试，所有会议系统音视频管线及网络系统管线均已经实施到位。</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功能需求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1、2#楼档案馆档案系统网络设备及档案系统专用设备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主要由档案系统电脑、扫描仪、信息发布屏，档案机，档案自助查阅，专网及内网接入层交换机，核心交换机等设备。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2、2#楼中型会议室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十四层中型会议室面积约104</w:t>
      </w:r>
      <w:r>
        <w:rPr>
          <w:rFonts w:hint="eastAsia" w:ascii="仿宋_GB2312" w:hAnsi="仿宋_GB2312" w:eastAsia="仿宋_GB2312" w:cs="仿宋_GB2312"/>
          <w:b w:val="0"/>
          <w:bCs w:val="0"/>
          <w:sz w:val="24"/>
          <w:szCs w:val="24"/>
          <w:lang w:val="en-US" w:eastAsia="zh-CN"/>
        </w:rPr>
        <w:t>m</w:t>
      </w:r>
      <w:r>
        <w:rPr>
          <w:rFonts w:hint="eastAsia" w:ascii="仿宋_GB2312" w:hAnsi="仿宋_GB2312" w:eastAsia="仿宋_GB2312" w:cs="仿宋_GB2312"/>
          <w:b w:val="0"/>
          <w:bCs w:val="0"/>
          <w:sz w:val="24"/>
          <w:szCs w:val="24"/>
          <w:vertAlign w:val="superscript"/>
          <w:lang w:val="en-US" w:eastAsia="zh-CN"/>
        </w:rPr>
        <w:t>2</w:t>
      </w:r>
      <w:r>
        <w:rPr>
          <w:rFonts w:hint="eastAsia" w:ascii="仿宋_GB2312" w:hAnsi="仿宋_GB2312" w:eastAsia="仿宋_GB2312" w:cs="仿宋_GB2312"/>
          <w:b w:val="0"/>
          <w:bCs w:val="0"/>
          <w:sz w:val="24"/>
          <w:szCs w:val="24"/>
          <w:highlight w:val="none"/>
          <w:lang w:val="en-US" w:eastAsia="zh-CN"/>
        </w:rPr>
        <w:t>，配置55寸3*3的液晶拼接屏系统，会议桌下面配置音频接口，高清接口，网络接口等，在液晶拼接屏下面预留视频会议系统接口。十五层中型会议室面积约86</w:t>
      </w:r>
      <w:r>
        <w:rPr>
          <w:rFonts w:hint="eastAsia" w:ascii="仿宋_GB2312" w:hAnsi="仿宋_GB2312" w:eastAsia="仿宋_GB2312" w:cs="仿宋_GB2312"/>
          <w:b w:val="0"/>
          <w:bCs w:val="0"/>
          <w:sz w:val="24"/>
          <w:szCs w:val="24"/>
          <w:lang w:val="en-US" w:eastAsia="zh-CN"/>
        </w:rPr>
        <w:t>m</w:t>
      </w:r>
      <w:r>
        <w:rPr>
          <w:rFonts w:hint="eastAsia" w:ascii="仿宋_GB2312" w:hAnsi="仿宋_GB2312" w:eastAsia="仿宋_GB2312" w:cs="仿宋_GB2312"/>
          <w:b w:val="0"/>
          <w:bCs w:val="0"/>
          <w:sz w:val="24"/>
          <w:szCs w:val="24"/>
          <w:vertAlign w:val="superscript"/>
          <w:lang w:val="en-US" w:eastAsia="zh-CN"/>
        </w:rPr>
        <w:t>2</w:t>
      </w:r>
      <w:r>
        <w:rPr>
          <w:rFonts w:hint="eastAsia" w:ascii="仿宋_GB2312" w:hAnsi="仿宋_GB2312" w:eastAsia="仿宋_GB2312" w:cs="仿宋_GB2312"/>
          <w:b w:val="0"/>
          <w:bCs w:val="0"/>
          <w:sz w:val="24"/>
          <w:szCs w:val="24"/>
          <w:highlight w:val="none"/>
          <w:lang w:val="en-US" w:eastAsia="zh-CN"/>
        </w:rPr>
        <w:t>。会议桌根据坐席配置手拉手会议话筒，吊顶四个角配置四个音箱，配置46寸3*3的液晶拼接屏系统，会议桌下面配置音频接口，高清接口，网络接口等，在液晶拼接屏下面预留视频会议系统接口。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3、2#楼十五层小型会议室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十五层小会议室面积约40</w:t>
      </w:r>
      <w:r>
        <w:rPr>
          <w:rFonts w:hint="eastAsia" w:ascii="仿宋_GB2312" w:hAnsi="仿宋_GB2312" w:eastAsia="仿宋_GB2312" w:cs="仿宋_GB2312"/>
          <w:b w:val="0"/>
          <w:bCs w:val="0"/>
          <w:sz w:val="24"/>
          <w:szCs w:val="24"/>
          <w:lang w:val="en-US" w:eastAsia="zh-CN"/>
        </w:rPr>
        <w:t>m</w:t>
      </w:r>
      <w:r>
        <w:rPr>
          <w:rFonts w:hint="eastAsia" w:ascii="仿宋_GB2312" w:hAnsi="仿宋_GB2312" w:eastAsia="仿宋_GB2312" w:cs="仿宋_GB2312"/>
          <w:b w:val="0"/>
          <w:bCs w:val="0"/>
          <w:sz w:val="24"/>
          <w:szCs w:val="24"/>
          <w:vertAlign w:val="superscript"/>
          <w:lang w:val="en-US" w:eastAsia="zh-CN"/>
        </w:rPr>
        <w:t>2</w:t>
      </w:r>
      <w:r>
        <w:rPr>
          <w:rFonts w:hint="eastAsia" w:ascii="仿宋_GB2312" w:hAnsi="仿宋_GB2312" w:eastAsia="仿宋_GB2312" w:cs="仿宋_GB2312"/>
          <w:b w:val="0"/>
          <w:bCs w:val="0"/>
          <w:sz w:val="24"/>
          <w:szCs w:val="24"/>
          <w:highlight w:val="none"/>
          <w:lang w:val="en-US" w:eastAsia="zh-CN"/>
        </w:rPr>
        <w:t>，设计一块75寸会议平板，地插预留在靠南面墙区域。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4、4#楼一层LED屏系统及四层会议中心音视频系统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4#楼一层西面大厅设计一块13</w:t>
      </w:r>
      <w:r>
        <w:rPr>
          <w:rFonts w:hint="eastAsia" w:ascii="仿宋_GB2312" w:hAnsi="仿宋_GB2312" w:eastAsia="仿宋_GB2312" w:cs="仿宋_GB2312"/>
          <w:b w:val="0"/>
          <w:bCs w:val="0"/>
          <w:sz w:val="24"/>
          <w:szCs w:val="24"/>
          <w:lang w:val="en-US" w:eastAsia="zh-CN"/>
        </w:rPr>
        <w:t>m</w:t>
      </w:r>
      <w:r>
        <w:rPr>
          <w:rFonts w:hint="eastAsia" w:ascii="仿宋_GB2312" w:hAnsi="仿宋_GB2312" w:eastAsia="仿宋_GB2312" w:cs="仿宋_GB2312"/>
          <w:b w:val="0"/>
          <w:bCs w:val="0"/>
          <w:sz w:val="24"/>
          <w:szCs w:val="24"/>
          <w:vertAlign w:val="superscript"/>
          <w:lang w:val="en-US" w:eastAsia="zh-CN"/>
        </w:rPr>
        <w:t>2</w:t>
      </w:r>
      <w:r>
        <w:rPr>
          <w:rFonts w:hint="eastAsia" w:ascii="仿宋_GB2312" w:hAnsi="仿宋_GB2312" w:eastAsia="仿宋_GB2312" w:cs="仿宋_GB2312"/>
          <w:b w:val="0"/>
          <w:bCs w:val="0"/>
          <w:sz w:val="24"/>
          <w:szCs w:val="24"/>
          <w:highlight w:val="none"/>
          <w:lang w:val="en-US" w:eastAsia="zh-CN"/>
        </w:rPr>
        <w:t>P2.5的LED屏显示系统。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4#楼四层作为一个完整的会议中心，相关会议室之间存在音视频互联互通的需求，每个会议室音视频系统均基于分布式网络系统搭建。另外设计一套会议预约系统。四层会议中心共1个多功能厅，10个会议室，2个接待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多功能厅面积约447</w:t>
      </w:r>
      <w:r>
        <w:rPr>
          <w:rFonts w:hint="eastAsia" w:ascii="仿宋_GB2312" w:hAnsi="仿宋_GB2312" w:eastAsia="仿宋_GB2312" w:cs="仿宋_GB2312"/>
          <w:b w:val="0"/>
          <w:bCs w:val="0"/>
          <w:sz w:val="24"/>
          <w:szCs w:val="24"/>
          <w:lang w:val="en-US" w:eastAsia="zh-CN"/>
        </w:rPr>
        <w:t>m</w:t>
      </w:r>
      <w:r>
        <w:rPr>
          <w:rFonts w:hint="eastAsia" w:ascii="仿宋_GB2312" w:hAnsi="仿宋_GB2312" w:eastAsia="仿宋_GB2312" w:cs="仿宋_GB2312"/>
          <w:b w:val="0"/>
          <w:bCs w:val="0"/>
          <w:sz w:val="24"/>
          <w:szCs w:val="24"/>
          <w:vertAlign w:val="superscript"/>
          <w:lang w:val="en-US" w:eastAsia="zh-CN"/>
        </w:rPr>
        <w:t>2</w:t>
      </w:r>
      <w:r>
        <w:rPr>
          <w:rFonts w:hint="eastAsia" w:ascii="仿宋_GB2312" w:hAnsi="仿宋_GB2312" w:eastAsia="仿宋_GB2312" w:cs="仿宋_GB2312"/>
          <w:b w:val="0"/>
          <w:bCs w:val="0"/>
          <w:sz w:val="24"/>
          <w:szCs w:val="24"/>
          <w:highlight w:val="none"/>
          <w:lang w:val="en-US" w:eastAsia="zh-CN"/>
        </w:rPr>
        <w:t>，该多功能厅设计以会议为主，兼具活动功能的需求。该多功能厅根据面积及定位，设计扩声系统，LED大屏显示系统，重要会议录播系统。该多功能厅扩声系统主要由有线会议话筒，3+1吊装线阵音箱，壁挂补声音箱，活动返听音箱，台唇音箱组成。视频系统由一块P2.5的14</w:t>
      </w:r>
      <w:r>
        <w:rPr>
          <w:rFonts w:hint="eastAsia" w:ascii="仿宋_GB2312" w:hAnsi="仿宋_GB2312" w:eastAsia="仿宋_GB2312" w:cs="仿宋_GB2312"/>
          <w:b w:val="0"/>
          <w:bCs w:val="0"/>
          <w:sz w:val="24"/>
          <w:szCs w:val="24"/>
          <w:lang w:val="en-US" w:eastAsia="zh-CN"/>
        </w:rPr>
        <w:t>m</w:t>
      </w:r>
      <w:r>
        <w:rPr>
          <w:rFonts w:hint="eastAsia" w:ascii="仿宋_GB2312" w:hAnsi="仿宋_GB2312" w:eastAsia="仿宋_GB2312" w:cs="仿宋_GB2312"/>
          <w:b w:val="0"/>
          <w:bCs w:val="0"/>
          <w:sz w:val="24"/>
          <w:szCs w:val="24"/>
          <w:vertAlign w:val="superscript"/>
          <w:lang w:val="en-US" w:eastAsia="zh-CN"/>
        </w:rPr>
        <w:t>2</w:t>
      </w:r>
      <w:r>
        <w:rPr>
          <w:rFonts w:hint="eastAsia" w:ascii="仿宋_GB2312" w:hAnsi="仿宋_GB2312" w:eastAsia="仿宋_GB2312" w:cs="仿宋_GB2312"/>
          <w:b w:val="0"/>
          <w:bCs w:val="0"/>
          <w:sz w:val="24"/>
          <w:szCs w:val="24"/>
          <w:highlight w:val="none"/>
          <w:lang w:val="en-US" w:eastAsia="zh-CN"/>
        </w:rPr>
        <w:t>LED主屏及两块4.6</w:t>
      </w:r>
      <w:r>
        <w:rPr>
          <w:rFonts w:hint="eastAsia" w:ascii="仿宋_GB2312" w:hAnsi="仿宋_GB2312" w:eastAsia="仿宋_GB2312" w:cs="仿宋_GB2312"/>
          <w:b w:val="0"/>
          <w:bCs w:val="0"/>
          <w:sz w:val="24"/>
          <w:szCs w:val="24"/>
          <w:lang w:val="en-US" w:eastAsia="zh-CN"/>
        </w:rPr>
        <w:t>m</w:t>
      </w:r>
      <w:r>
        <w:rPr>
          <w:rFonts w:hint="eastAsia" w:ascii="仿宋_GB2312" w:hAnsi="仿宋_GB2312" w:eastAsia="仿宋_GB2312" w:cs="仿宋_GB2312"/>
          <w:b w:val="0"/>
          <w:bCs w:val="0"/>
          <w:sz w:val="24"/>
          <w:szCs w:val="24"/>
          <w:vertAlign w:val="superscript"/>
          <w:lang w:val="en-US" w:eastAsia="zh-CN"/>
        </w:rPr>
        <w:t>2</w:t>
      </w:r>
      <w:r>
        <w:rPr>
          <w:rFonts w:hint="eastAsia" w:ascii="仿宋_GB2312" w:hAnsi="仿宋_GB2312" w:eastAsia="仿宋_GB2312" w:cs="仿宋_GB2312"/>
          <w:b w:val="0"/>
          <w:bCs w:val="0"/>
          <w:sz w:val="24"/>
          <w:szCs w:val="24"/>
          <w:highlight w:val="none"/>
          <w:lang w:val="en-US" w:eastAsia="zh-CN"/>
        </w:rPr>
        <w:t>的LED副屏组成，另外在台口上沿设计一条电子会议屏。主席台预留音频接口，网络接口，高清接口，视频会议接口等。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4#楼三楼东西两侧会议室面积约200</w:t>
      </w:r>
      <w:r>
        <w:rPr>
          <w:rFonts w:hint="eastAsia" w:ascii="仿宋_GB2312" w:hAnsi="仿宋_GB2312" w:eastAsia="仿宋_GB2312" w:cs="仿宋_GB2312"/>
          <w:b w:val="0"/>
          <w:bCs w:val="0"/>
          <w:sz w:val="24"/>
          <w:szCs w:val="24"/>
          <w:lang w:val="en-US" w:eastAsia="zh-CN"/>
        </w:rPr>
        <w:t>m</w:t>
      </w:r>
      <w:r>
        <w:rPr>
          <w:rFonts w:hint="eastAsia" w:ascii="仿宋_GB2312" w:hAnsi="仿宋_GB2312" w:eastAsia="仿宋_GB2312" w:cs="仿宋_GB2312"/>
          <w:b w:val="0"/>
          <w:bCs w:val="0"/>
          <w:sz w:val="24"/>
          <w:szCs w:val="24"/>
          <w:vertAlign w:val="superscript"/>
          <w:lang w:val="en-US" w:eastAsia="zh-CN"/>
        </w:rPr>
        <w:t>2</w:t>
      </w:r>
      <w:r>
        <w:rPr>
          <w:rFonts w:hint="eastAsia" w:ascii="仿宋_GB2312" w:hAnsi="仿宋_GB2312" w:eastAsia="仿宋_GB2312" w:cs="仿宋_GB2312"/>
          <w:b w:val="0"/>
          <w:bCs w:val="0"/>
          <w:sz w:val="24"/>
          <w:szCs w:val="24"/>
          <w:highlight w:val="none"/>
          <w:lang w:val="en-US" w:eastAsia="zh-CN"/>
        </w:rPr>
        <w:t>，为教室型布置，根据面积及布置设计定位为报告型会议室。设计一套扩声系统及LED屏显示系统。扩声系统为有线会议话筒及六个吊装音箱组成，视频部分在主席台侧安装一块P2.0的LED显示屏。在主席台桌子下预留音频接口，高清接口及网络接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4#楼三楼中区南面两个会议室面积约172</w:t>
      </w:r>
      <w:r>
        <w:rPr>
          <w:rFonts w:hint="eastAsia" w:ascii="仿宋_GB2312" w:hAnsi="仿宋_GB2312" w:eastAsia="仿宋_GB2312" w:cs="仿宋_GB2312"/>
          <w:b w:val="0"/>
          <w:bCs w:val="0"/>
          <w:sz w:val="24"/>
          <w:szCs w:val="24"/>
          <w:lang w:val="en-US" w:eastAsia="zh-CN"/>
        </w:rPr>
        <w:t>m</w:t>
      </w:r>
      <w:r>
        <w:rPr>
          <w:rFonts w:hint="eastAsia" w:ascii="仿宋_GB2312" w:hAnsi="仿宋_GB2312" w:eastAsia="仿宋_GB2312" w:cs="仿宋_GB2312"/>
          <w:b w:val="0"/>
          <w:bCs w:val="0"/>
          <w:sz w:val="24"/>
          <w:szCs w:val="24"/>
          <w:vertAlign w:val="superscript"/>
          <w:lang w:val="en-US" w:eastAsia="zh-CN"/>
        </w:rPr>
        <w:t>2</w:t>
      </w:r>
      <w:r>
        <w:rPr>
          <w:rFonts w:hint="eastAsia" w:ascii="仿宋_GB2312" w:hAnsi="仿宋_GB2312" w:eastAsia="仿宋_GB2312" w:cs="仿宋_GB2312"/>
          <w:b w:val="0"/>
          <w:bCs w:val="0"/>
          <w:sz w:val="24"/>
          <w:szCs w:val="24"/>
          <w:highlight w:val="none"/>
          <w:lang w:val="en-US" w:eastAsia="zh-CN"/>
        </w:rPr>
        <w:t>及153</w:t>
      </w:r>
      <w:r>
        <w:rPr>
          <w:rFonts w:hint="eastAsia" w:ascii="仿宋_GB2312" w:hAnsi="仿宋_GB2312" w:eastAsia="仿宋_GB2312" w:cs="仿宋_GB2312"/>
          <w:b w:val="0"/>
          <w:bCs w:val="0"/>
          <w:sz w:val="24"/>
          <w:szCs w:val="24"/>
          <w:lang w:val="en-US" w:eastAsia="zh-CN"/>
        </w:rPr>
        <w:t>m</w:t>
      </w:r>
      <w:r>
        <w:rPr>
          <w:rFonts w:hint="eastAsia" w:ascii="仿宋_GB2312" w:hAnsi="仿宋_GB2312" w:eastAsia="仿宋_GB2312" w:cs="仿宋_GB2312"/>
          <w:b w:val="0"/>
          <w:bCs w:val="0"/>
          <w:sz w:val="24"/>
          <w:szCs w:val="24"/>
          <w:vertAlign w:val="superscript"/>
          <w:lang w:val="en-US" w:eastAsia="zh-CN"/>
        </w:rPr>
        <w:t>2</w:t>
      </w:r>
      <w:r>
        <w:rPr>
          <w:rFonts w:hint="eastAsia" w:ascii="仿宋_GB2312" w:hAnsi="仿宋_GB2312" w:eastAsia="仿宋_GB2312" w:cs="仿宋_GB2312"/>
          <w:b w:val="0"/>
          <w:bCs w:val="0"/>
          <w:sz w:val="24"/>
          <w:szCs w:val="24"/>
          <w:highlight w:val="none"/>
          <w:lang w:val="en-US" w:eastAsia="zh-CN"/>
        </w:rPr>
        <w:t>。根据面积及考虑整个会议中心的需要，这两个会议室设计定位为无纸化会议室。这两个会议室设计扩声系统，液晶升降屏系统，视频系统。扩声系统每个坐席设计一个会议话筒，吊顶四角设计四个音箱。液晶升降屏系统每个坐席设计一个15.6寸液晶升降屏。视频系统在主席台方向墙上设计一套55寸3*3液晶拼接屏。会议桌下面预留音频接口，高清接口，网络接口等。在会议室前后墙上各预留一个视频会议接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4#楼三楼其余六个会议室面积均在70~80m</w:t>
      </w:r>
      <w:r>
        <w:rPr>
          <w:rFonts w:hint="eastAsia" w:ascii="仿宋_GB2312" w:hAnsi="仿宋_GB2312" w:eastAsia="仿宋_GB2312" w:cs="仿宋_GB2312"/>
          <w:b w:val="0"/>
          <w:bCs w:val="0"/>
          <w:sz w:val="24"/>
          <w:szCs w:val="24"/>
          <w:highlight w:val="none"/>
          <w:vertAlign w:val="superscript"/>
          <w:lang w:val="en-US" w:eastAsia="zh-CN"/>
        </w:rPr>
        <w:t>2</w:t>
      </w:r>
      <w:r>
        <w:rPr>
          <w:rFonts w:hint="eastAsia" w:ascii="仿宋_GB2312" w:hAnsi="仿宋_GB2312" w:eastAsia="仿宋_GB2312" w:cs="仿宋_GB2312"/>
          <w:b w:val="0"/>
          <w:bCs w:val="0"/>
          <w:sz w:val="24"/>
          <w:szCs w:val="24"/>
          <w:highlight w:val="none"/>
          <w:lang w:val="en-US" w:eastAsia="zh-CN"/>
        </w:rPr>
        <w:t>之间，根据面积，这几个会议室均设计一套扩声系统及视频系统。扩声系统除了一个教室型会议室为无线会议话筒外加四个音箱外，其他会议室均根据坐席设计手拉手会议话筒及二个主音箱。视频系统均在主席台侧墙上设计一套55寸3*3液晶拼接屏系统，每个会议桌下面均预留音频接口，高清接口及网络接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4#楼三楼两个接待室均设计一块壁装98寸会议平板。</w:t>
      </w:r>
    </w:p>
    <w:p>
      <w:pP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br w:type="page"/>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招标需求</w:t>
      </w:r>
    </w:p>
    <w:tbl>
      <w:tblPr>
        <w:tblStyle w:val="62"/>
        <w:tblW w:w="5000" w:type="pct"/>
        <w:tblInd w:w="0" w:type="dxa"/>
        <w:shd w:val="clear" w:color="auto" w:fill="auto"/>
        <w:tblLayout w:type="autofit"/>
        <w:tblCellMar>
          <w:top w:w="0" w:type="dxa"/>
          <w:left w:w="0" w:type="dxa"/>
          <w:bottom w:w="0" w:type="dxa"/>
          <w:right w:w="0" w:type="dxa"/>
        </w:tblCellMar>
      </w:tblPr>
      <w:tblGrid>
        <w:gridCol w:w="817"/>
        <w:gridCol w:w="103"/>
        <w:gridCol w:w="6148"/>
        <w:gridCol w:w="15"/>
        <w:gridCol w:w="907"/>
        <w:gridCol w:w="15"/>
        <w:gridCol w:w="1050"/>
        <w:gridCol w:w="15"/>
      </w:tblGrid>
      <w:tr>
        <w:tblPrEx>
          <w:shd w:val="clear" w:color="auto" w:fill="auto"/>
          <w:tblCellMar>
            <w:top w:w="0" w:type="dxa"/>
            <w:left w:w="0" w:type="dxa"/>
            <w:bottom w:w="0" w:type="dxa"/>
            <w:right w:w="0" w:type="dxa"/>
          </w:tblCellMar>
        </w:tblPrEx>
        <w:trPr>
          <w:gridAfter w:val="1"/>
          <w:wAfter w:w="7" w:type="pct"/>
          <w:trHeight w:val="282" w:hRule="atLeast"/>
        </w:trPr>
        <w:tc>
          <w:tcPr>
            <w:tcW w:w="4992" w:type="pct"/>
            <w:gridSpan w:val="7"/>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bookmarkStart w:id="25" w:name="RANGE!A1:D54"/>
            <w:r>
              <w:rPr>
                <w:rFonts w:hint="eastAsia" w:ascii="仿宋_GB2312" w:hAnsi="仿宋_GB2312" w:eastAsia="仿宋_GB2312" w:cs="仿宋_GB2312"/>
                <w:b/>
                <w:i w:val="0"/>
                <w:color w:val="000000"/>
                <w:kern w:val="0"/>
                <w:sz w:val="21"/>
                <w:szCs w:val="21"/>
                <w:u w:val="none"/>
                <w:lang w:val="en-US" w:eastAsia="zh-CN" w:bidi="ar"/>
              </w:rPr>
              <w:t>2号楼音视频系统设备清单</w:t>
            </w:r>
            <w:bookmarkEnd w:id="25"/>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序号</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产品名称</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单位</w:t>
            </w:r>
          </w:p>
        </w:tc>
        <w:tc>
          <w:tcPr>
            <w:tcW w:w="578" w:type="pct"/>
            <w:tcBorders>
              <w:top w:val="nil"/>
              <w:left w:val="nil"/>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数量</w:t>
            </w:r>
          </w:p>
        </w:tc>
      </w:tr>
      <w:tr>
        <w:tblPrEx>
          <w:tblCellMar>
            <w:top w:w="0" w:type="dxa"/>
            <w:left w:w="0" w:type="dxa"/>
            <w:bottom w:w="0" w:type="dxa"/>
            <w:right w:w="0" w:type="dxa"/>
          </w:tblCellMar>
        </w:tblPrEx>
        <w:trPr>
          <w:gridAfter w:val="1"/>
          <w:wAfter w:w="7" w:type="pct"/>
          <w:trHeight w:val="282" w:hRule="atLeast"/>
        </w:trPr>
        <w:tc>
          <w:tcPr>
            <w:tcW w:w="39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一、十四层中型会议室（104平方米）</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xml:space="preserve">拼接显示系统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★55寸LCD显示单元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支架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大屏拼接控制设备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无线投屏盒子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gridAfter w:val="1"/>
          <w:wAfter w:w="7" w:type="pct"/>
          <w:trHeight w:val="282" w:hRule="atLeast"/>
        </w:trPr>
        <w:tc>
          <w:tcPr>
            <w:tcW w:w="39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二、十五层小会议室</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智能交互会议平板</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智能交互会议平板支架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多媒体地插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gridAfter w:val="1"/>
          <w:wAfter w:w="7" w:type="pct"/>
          <w:trHeight w:val="282" w:hRule="atLeast"/>
        </w:trPr>
        <w:tc>
          <w:tcPr>
            <w:tcW w:w="39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三、十五层中型会议室</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xml:space="preserve">(1)扩声系统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会议音箱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专业功放</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12路调音台</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无线手持话筒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手拉手会议主机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手拉手主席单元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手拉手代表单元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手拉手专用线</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条</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多媒体管控平台</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编程软件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电源控制器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8路电源管理器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DI盒子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多媒体地插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路由器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无线控制终端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控制机柜（27U)</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辅材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批</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xml:space="preserve">(2)拼接显示系统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46寸LCD显示单元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支架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大屏拼接控制设备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无线投屏盒子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gridAfter w:val="1"/>
          <w:wAfter w:w="7" w:type="pct"/>
          <w:trHeight w:val="282" w:hRule="atLeast"/>
        </w:trPr>
        <w:tc>
          <w:tcPr>
            <w:tcW w:w="39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四、档案系统设备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分体机双屏电脑</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分体机单屏电脑</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16</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扫描仪</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16</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一体机电脑</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25</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22寸壁挂播控一体机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立式信息发布屏</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7</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档案机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档案自助查阅机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无线取号机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无线叫号器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无线评价器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面板式AP</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24口交换机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光模块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38</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核心交换机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防火墙</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bookmarkStart w:id="26" w:name="RANGE!A1:D280"/>
            <w:r>
              <w:rPr>
                <w:rFonts w:hint="eastAsia" w:ascii="仿宋_GB2312" w:hAnsi="仿宋_GB2312" w:eastAsia="仿宋_GB2312" w:cs="仿宋_GB2312"/>
                <w:b/>
                <w:i w:val="0"/>
                <w:color w:val="000000"/>
                <w:kern w:val="0"/>
                <w:sz w:val="21"/>
                <w:szCs w:val="21"/>
                <w:u w:val="none"/>
                <w:lang w:val="en-US" w:eastAsia="zh-CN" w:bidi="ar"/>
              </w:rPr>
              <w:t>4号楼音视频系统设备清单</w:t>
            </w:r>
            <w:bookmarkEnd w:id="26"/>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序号</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产品名称</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单位</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数量</w:t>
            </w:r>
          </w:p>
        </w:tc>
      </w:tr>
      <w:tr>
        <w:trPr>
          <w:trHeight w:val="282" w:hRule="atLeast"/>
        </w:trPr>
        <w:tc>
          <w:tcPr>
            <w:tcW w:w="3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一、多功能厅</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Style w:val="698"/>
                <w:rFonts w:hint="eastAsia" w:ascii="仿宋_GB2312" w:hAnsi="仿宋_GB2312" w:eastAsia="仿宋_GB2312" w:cs="仿宋_GB2312"/>
                <w:sz w:val="21"/>
                <w:szCs w:val="21"/>
                <w:lang w:val="en-US" w:eastAsia="zh-CN" w:bidi="ar"/>
              </w:rPr>
              <w:t xml:space="preserve">(1)扩声系统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线阵音箱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线阵低音</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线阵功放</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线阵功放</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返听音箱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台唇音箱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辅助音箱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返听功放</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台唇功放</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辅助功放</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无线手持话筒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无线头戴话筒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有线会议话筒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12路自动混音器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数字调音台</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接口箱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有源监听音箱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音箱地插盒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多媒体地插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DI盒子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线阵音箱支架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辅材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项</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Style w:val="699"/>
                <w:rFonts w:hint="eastAsia" w:ascii="仿宋_GB2312" w:hAnsi="仿宋_GB2312" w:eastAsia="仿宋_GB2312" w:cs="仿宋_GB2312"/>
                <w:sz w:val="21"/>
                <w:szCs w:val="21"/>
                <w:lang w:val="en-US" w:eastAsia="zh-CN" w:bidi="ar"/>
              </w:rPr>
              <w:t>控制机柜（32U)</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b/>
                <w:i w:val="0"/>
                <w:color w:val="000000"/>
                <w:sz w:val="21"/>
                <w:szCs w:val="21"/>
                <w:u w:val="none"/>
              </w:rPr>
            </w:pPr>
            <w:r>
              <w:rPr>
                <w:rStyle w:val="933"/>
                <w:rFonts w:hint="eastAsia" w:ascii="仿宋_GB2312" w:hAnsi="仿宋_GB2312" w:eastAsia="仿宋_GB2312" w:cs="仿宋_GB2312"/>
                <w:sz w:val="21"/>
                <w:szCs w:val="21"/>
                <w:lang w:val="en-US" w:eastAsia="zh-CN" w:bidi="ar"/>
              </w:rPr>
              <w:t xml:space="preserve">(2)分布式控制系统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分布式交互管理软件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2路分布式视频输入节点（带音频）</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2路分布式视频输出节点（带音频）</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控制系统主机模块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网络音频系统模块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bidi="ar"/>
              </w:rPr>
              <w:t>DANTE网络扩展箱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多媒体管控平台</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4路HDMI输入板卡</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张</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4路HDMI输出板卡</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张</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电源控制器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8路电源管理器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无线控制终端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24口POE交换机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光模块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路由器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管理电脑</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b/>
                <w:i w:val="0"/>
                <w:color w:val="000000"/>
                <w:sz w:val="21"/>
                <w:szCs w:val="21"/>
                <w:u w:val="none"/>
              </w:rPr>
            </w:pPr>
            <w:r>
              <w:rPr>
                <w:rStyle w:val="933"/>
                <w:rFonts w:hint="eastAsia" w:ascii="仿宋_GB2312" w:hAnsi="仿宋_GB2312" w:eastAsia="仿宋_GB2312" w:cs="仿宋_GB2312"/>
                <w:sz w:val="21"/>
                <w:szCs w:val="21"/>
                <w:lang w:val="en-US" w:eastAsia="zh-CN" w:bidi="ar"/>
              </w:rPr>
              <w:t xml:space="preserve">(3)录播系统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便携式录播主机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视频会议摄像机接口地插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(4)舞台LED显示屏</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室内LED大屏P2.5（中间大屏）</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13.93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室内LED大屏P2.5（侧边大屏）</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9.22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电子会标LED屏</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2.133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LED大屏控制卡</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LED屏异步控制卡</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大屏拼接控制设备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拼接控制软件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室内大屏框架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27.7</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PLC智能控制配电箱（20KW)</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bidi="ar"/>
              </w:rPr>
              <w:t>PLC智能控制配电箱(10KW)</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无线投屏盒子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信息发布盒子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r>
      <w:tr>
        <w:trPr>
          <w:trHeight w:val="282" w:hRule="atLeast"/>
        </w:trPr>
        <w:tc>
          <w:tcPr>
            <w:tcW w:w="3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二、1号会议室（2间）</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(1)扩声会议设备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auto"/>
                <w:kern w:val="0"/>
                <w:sz w:val="21"/>
                <w:szCs w:val="21"/>
                <w:u w:val="none"/>
                <w:lang w:val="en-US" w:eastAsia="zh-CN" w:bidi="ar"/>
              </w:rPr>
              <w:t>会议音箱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bidi="ar"/>
              </w:rPr>
              <w:t>网络功放</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无线手持话筒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无线头戴话筒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有线会议话筒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12路自动混音器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16路调音台</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多媒体地插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音箱支架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kern w:val="0"/>
                <w:sz w:val="21"/>
                <w:szCs w:val="21"/>
                <w:lang w:val="en-US" w:eastAsia="zh-CN" w:bidi="ar"/>
              </w:rPr>
              <w:t>音响面板</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分布式交互管理软件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2路分布式视频输入节点</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2路分布式视频输出节点</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网络音频系统模块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分布式控制扩展终端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bidi="ar"/>
              </w:rPr>
              <w:t>电源控制器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8路电源管理器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无线控制终端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24口POE交换机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光模块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路由器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DI盒子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控制机柜（27U)</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辅材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批</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Style w:val="698"/>
                <w:rFonts w:hint="eastAsia" w:ascii="仿宋_GB2312" w:hAnsi="仿宋_GB2312" w:eastAsia="仿宋_GB2312" w:cs="仿宋_GB2312"/>
                <w:sz w:val="21"/>
                <w:szCs w:val="21"/>
                <w:lang w:val="en-US" w:eastAsia="zh-CN" w:bidi="ar"/>
              </w:rPr>
              <w:t>(2)LED屏显示系统</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698"/>
                <w:rFonts w:hint="eastAsia" w:ascii="仿宋_GB2312" w:hAnsi="仿宋_GB2312" w:eastAsia="仿宋_GB2312" w:cs="仿宋_GB2312"/>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室内LED大屏P2.0</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26.15</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LED大屏控制卡</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室内大屏框架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27.68</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大屏拼接控制设备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PLC智能控制配电箱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无线投屏盒子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信息发布盒子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trHeight w:val="282" w:hRule="atLeast"/>
        </w:trPr>
        <w:tc>
          <w:tcPr>
            <w:tcW w:w="3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三、2号/3号/8号会议室</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b/>
                <w:color w:val="000000"/>
                <w:kern w:val="0"/>
                <w:sz w:val="21"/>
                <w:szCs w:val="21"/>
                <w:lang w:val="en-US" w:eastAsia="zh-CN" w:bidi="ar"/>
              </w:rPr>
              <w:t>(1)扩声系统</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会议音箱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网络功放</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kern w:val="0"/>
                <w:sz w:val="21"/>
                <w:szCs w:val="21"/>
                <w:lang w:val="en-US" w:eastAsia="zh-CN" w:bidi="ar"/>
              </w:rPr>
              <w:t>分布式交互管理软件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2路分布式视频输入节点</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2路分布式视频输出节点</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网络音频系统模块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分布式控制扩展终端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bidi="ar"/>
              </w:rPr>
              <w:t>电源控制器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8路电源管理器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无线控制终端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24口POE交换机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光模块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路由器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无线手持话筒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手拉手会议主机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kern w:val="0"/>
                <w:sz w:val="21"/>
                <w:szCs w:val="21"/>
                <w:lang w:val="en-US" w:eastAsia="zh-CN" w:bidi="ar"/>
              </w:rPr>
              <w:t>手拉手主席单元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手拉手代表单元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手拉手专用线</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条</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DI盒子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多媒体桌插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控制机柜（27U)</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bidi="ar"/>
              </w:rPr>
              <w:t>辅材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批</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Style w:val="698"/>
                <w:rFonts w:hint="eastAsia" w:ascii="仿宋_GB2312" w:hAnsi="仿宋_GB2312" w:eastAsia="仿宋_GB2312" w:cs="仿宋_GB2312"/>
                <w:sz w:val="21"/>
                <w:szCs w:val="21"/>
                <w:lang w:val="en-US" w:eastAsia="zh-CN" w:bidi="ar"/>
              </w:rPr>
              <w:t xml:space="preserve">(2)拼接显示系统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kern w:val="0"/>
                <w:sz w:val="21"/>
                <w:szCs w:val="21"/>
                <w:lang w:val="en-US" w:eastAsia="zh-CN" w:bidi="ar"/>
              </w:rPr>
              <w:t>★55寸LCD显示单元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27</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支架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大屏拼接控制设备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无线投屏盒子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3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四、4号会议室（2间）</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xml:space="preserve">(1)扩声系统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会议音箱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网络功放</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kern w:val="0"/>
                <w:sz w:val="21"/>
                <w:szCs w:val="21"/>
                <w:lang w:val="en-US" w:eastAsia="zh-CN" w:bidi="ar"/>
              </w:rPr>
              <w:t>分布式交互管理软件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2路分布式视频输入节点</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2路分布式视频输出节点</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网络音频系统模块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分布式控制扩展终端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电源控制器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bidi="ar"/>
              </w:rPr>
              <w:t>8路电源管理器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bidi="ar"/>
              </w:rPr>
              <w:t>无线控制终端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kern w:val="0"/>
                <w:sz w:val="21"/>
                <w:szCs w:val="21"/>
                <w:lang w:val="en-US" w:eastAsia="zh-CN" w:bidi="ar"/>
              </w:rPr>
              <w:t>24口POE交换机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光模块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路由器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无线手持话筒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手拉手会议主机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手拉手主席单元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手拉手代表单元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手拉手专用线</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条</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DI盒子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多媒体桌插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控制机柜（27U)</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辅材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批</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Style w:val="698"/>
                <w:rFonts w:hint="eastAsia" w:ascii="仿宋_GB2312" w:hAnsi="仿宋_GB2312" w:eastAsia="仿宋_GB2312" w:cs="仿宋_GB2312"/>
                <w:sz w:val="21"/>
                <w:szCs w:val="21"/>
                <w:lang w:val="en-US" w:eastAsia="zh-CN" w:bidi="ar"/>
              </w:rPr>
              <w:t xml:space="preserve">(2)拼接显示系统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★55寸LCD显示单元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支架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大屏拼接控制设备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无线投屏盒子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3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五、5号会议室</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xml:space="preserve">(1)扩声系统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会议音箱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4</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网络功放</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分布式交互管理软件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bidi="ar"/>
              </w:rPr>
              <w:t>2路分布式视频输入节点</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2路分布式视频输出节点</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网络音频系统模块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分布式控制扩展终端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电源控制器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8路电源管理器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无线控制终端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24口POE交换机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光模块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路由器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无线手持话筒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DI盒子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多媒体桌插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Style w:val="702"/>
                <w:rFonts w:hint="eastAsia" w:ascii="仿宋_GB2312" w:hAnsi="仿宋_GB2312" w:eastAsia="仿宋_GB2312" w:cs="仿宋_GB2312"/>
                <w:sz w:val="21"/>
                <w:szCs w:val="21"/>
                <w:lang w:val="en-US" w:eastAsia="zh-CN" w:bidi="ar"/>
              </w:rPr>
              <w:t>控制机柜（32U)</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辅材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批</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Style w:val="698"/>
                <w:rFonts w:hint="eastAsia" w:ascii="仿宋_GB2312" w:hAnsi="仿宋_GB2312" w:eastAsia="仿宋_GB2312" w:cs="仿宋_GB2312"/>
                <w:sz w:val="21"/>
                <w:szCs w:val="21"/>
                <w:lang w:val="en-US" w:eastAsia="zh-CN" w:bidi="ar"/>
              </w:rPr>
              <w:t xml:space="preserve">(2)无纸化会议系统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15.6寸带话筒无纸化一体机升降机(含话筒)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无纸化会议控制电脑主机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kern w:val="0"/>
                <w:sz w:val="21"/>
                <w:szCs w:val="21"/>
                <w:lang w:val="en-US" w:eastAsia="zh-CN" w:bidi="ar"/>
              </w:rPr>
              <w:t>无纸化后台管理软件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无纸化会议终端客户端软件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手拉手数字会议主机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投影同屏控制器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无纸化流媒体服务器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24口POE交换机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辅材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项</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Style w:val="698"/>
                <w:rFonts w:hint="eastAsia" w:ascii="仿宋_GB2312" w:hAnsi="仿宋_GB2312" w:eastAsia="仿宋_GB2312" w:cs="仿宋_GB2312"/>
                <w:sz w:val="21"/>
                <w:szCs w:val="21"/>
                <w:lang w:val="en-US" w:eastAsia="zh-CN" w:bidi="ar"/>
              </w:rPr>
              <w:t xml:space="preserve">(3)录播系统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便携式录播主机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视频会议摄像机接口地插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Style w:val="698"/>
                <w:rFonts w:hint="eastAsia" w:ascii="仿宋_GB2312" w:hAnsi="仿宋_GB2312" w:eastAsia="仿宋_GB2312" w:cs="仿宋_GB2312"/>
                <w:sz w:val="21"/>
                <w:szCs w:val="21"/>
                <w:lang w:val="en-US" w:eastAsia="zh-CN" w:bidi="ar"/>
              </w:rPr>
              <w:t xml:space="preserve">(4)拼接显示系统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★55寸LCD显示单元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支架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大屏拼接控制设备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无线投屏盒子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3897"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六、6号会议室</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xml:space="preserve">(1)扩声系统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会议音箱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4</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网络功放</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分布式交互管理软件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2路分布式视频输入节点</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2路分布式视频输出节点</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网络音频系统模块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分布式控制扩展终端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电源控制器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8路电源管理器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无线控制终端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24口POE交换机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光模块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路由器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无线手持话筒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DI盒子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多媒体桌插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Style w:val="702"/>
                <w:rFonts w:hint="eastAsia" w:ascii="仿宋_GB2312" w:hAnsi="仿宋_GB2312" w:eastAsia="仿宋_GB2312" w:cs="仿宋_GB2312"/>
                <w:sz w:val="21"/>
                <w:szCs w:val="21"/>
                <w:lang w:val="en-US" w:eastAsia="zh-CN" w:bidi="ar"/>
              </w:rPr>
              <w:t>控制机柜（32U)</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辅材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批</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Style w:val="698"/>
                <w:rFonts w:hint="eastAsia" w:ascii="仿宋_GB2312" w:hAnsi="仿宋_GB2312" w:eastAsia="仿宋_GB2312" w:cs="仿宋_GB2312"/>
                <w:sz w:val="21"/>
                <w:szCs w:val="21"/>
                <w:lang w:val="en-US" w:eastAsia="zh-CN" w:bidi="ar"/>
              </w:rPr>
              <w:t xml:space="preserve">(2)无纸化会议系统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15.6寸带话筒无纸化一体机升降机(含话筒)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28</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无纸化会议控制电脑主机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无纸化后台管理软件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无纸化会议终端客户端软件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28</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手拉手数字会议主机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投影同屏控制器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无纸化流媒体服务器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24口POE交换机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辅材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项</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Style w:val="698"/>
                <w:rFonts w:hint="eastAsia" w:ascii="仿宋_GB2312" w:hAnsi="仿宋_GB2312" w:eastAsia="仿宋_GB2312" w:cs="仿宋_GB2312"/>
                <w:sz w:val="21"/>
                <w:szCs w:val="21"/>
                <w:lang w:val="en-US" w:eastAsia="zh-CN" w:bidi="ar"/>
              </w:rPr>
              <w:t xml:space="preserve">(3)录播系统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便携式录播主机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视频会议摄像机接口地插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Style w:val="698"/>
                <w:rFonts w:hint="eastAsia" w:ascii="仿宋_GB2312" w:hAnsi="仿宋_GB2312" w:eastAsia="仿宋_GB2312" w:cs="仿宋_GB2312"/>
                <w:sz w:val="21"/>
                <w:szCs w:val="21"/>
                <w:lang w:val="en-US" w:eastAsia="zh-CN" w:bidi="ar"/>
              </w:rPr>
              <w:t xml:space="preserve">(4)拼接显示系统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★55寸LCD显示单元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支架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大屏拼接控制设备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无线投屏盒子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3897"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七、7号会议室</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b/>
                <w:color w:val="000000"/>
                <w:kern w:val="0"/>
                <w:sz w:val="21"/>
                <w:szCs w:val="21"/>
                <w:lang w:val="en-US" w:eastAsia="zh-CN" w:bidi="ar"/>
              </w:rPr>
              <w:t>(1)扩声系统</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会议音箱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网络功放</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分布式交互管理软件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2路分布式视频输入节点</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2路分布式视频输出节点</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网络音频系统模块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分布式控制扩展终端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电源控制器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8路电源管理器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无线控制终端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24口POE交换机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光模块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路由器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无线手持话筒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无线会议话筒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DI盒子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多媒体地插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控制机柜（27U)</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辅材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批</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Style w:val="698"/>
                <w:rFonts w:hint="eastAsia" w:ascii="仿宋_GB2312" w:hAnsi="仿宋_GB2312" w:eastAsia="仿宋_GB2312" w:cs="仿宋_GB2312"/>
                <w:sz w:val="21"/>
                <w:szCs w:val="21"/>
                <w:lang w:val="en-US" w:eastAsia="zh-CN" w:bidi="ar"/>
              </w:rPr>
              <w:t xml:space="preserve">(2)拼接显示系统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★55寸LCD显示单元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支架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大屏拼接控制设备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无线投屏盒子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3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八、接待室（2间）</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智能交互会议平板</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智能交互会议平板支架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多媒体地插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w:t>
            </w:r>
          </w:p>
        </w:tc>
      </w:tr>
      <w:tr>
        <w:trPr>
          <w:trHeight w:val="282" w:hRule="atLeast"/>
        </w:trPr>
        <w:tc>
          <w:tcPr>
            <w:tcW w:w="3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九、西区一层办公大厅LED屏</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室内LED大屏P2.5</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LED大屏控制卡</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室内大屏框架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14</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大屏拼接控制设备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PLC智能控制配电箱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信息发布盒子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数据光端机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对</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管理电脑</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3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十、会议系统网络核心设备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核心交换机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光模块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w:t>
            </w:r>
          </w:p>
        </w:tc>
      </w:tr>
      <w:tr>
        <w:trPr>
          <w:trHeight w:val="282" w:hRule="atLeast"/>
        </w:trPr>
        <w:tc>
          <w:tcPr>
            <w:tcW w:w="3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十一、会议预约系统</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信息发布服务器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22寸壁挂播控一体机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嵌入式信息发布系统软件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信息发布客户端授权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会议预定软件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会议预定接口软件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1"/>
          <w:szCs w:val="21"/>
          <w:lang w:val="en-US" w:eastAsia="zh-CN"/>
        </w:rPr>
      </w:pPr>
    </w:p>
    <w:tbl>
      <w:tblPr>
        <w:tblStyle w:val="62"/>
        <w:tblW w:w="5000" w:type="pct"/>
        <w:tblInd w:w="0" w:type="dxa"/>
        <w:shd w:val="clear" w:color="auto" w:fill="auto"/>
        <w:tblLayout w:type="fixed"/>
        <w:tblCellMar>
          <w:top w:w="0" w:type="dxa"/>
          <w:left w:w="0" w:type="dxa"/>
          <w:bottom w:w="0" w:type="dxa"/>
          <w:right w:w="0" w:type="dxa"/>
        </w:tblCellMar>
      </w:tblPr>
      <w:tblGrid>
        <w:gridCol w:w="563"/>
        <w:gridCol w:w="918"/>
        <w:gridCol w:w="6811"/>
        <w:gridCol w:w="395"/>
        <w:gridCol w:w="413"/>
      </w:tblGrid>
      <w:tr>
        <w:tblPrEx>
          <w:shd w:val="clear" w:color="auto" w:fill="auto"/>
          <w:tblCellMar>
            <w:top w:w="0" w:type="dxa"/>
            <w:left w:w="0" w:type="dxa"/>
            <w:bottom w:w="0" w:type="dxa"/>
            <w:right w:w="0" w:type="dxa"/>
          </w:tblCellMar>
        </w:tblPrEx>
        <w:trPr>
          <w:trHeight w:val="300" w:hRule="atLeast"/>
        </w:trPr>
        <w:tc>
          <w:tcPr>
            <w:tcW w:w="5000" w:type="pct"/>
            <w:gridSpan w:val="5"/>
            <w:tcBorders>
              <w:top w:val="nil"/>
              <w:left w:val="nil"/>
              <w:bottom w:val="single" w:color="auto"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b/>
                <w:i w:val="0"/>
                <w:color w:val="000000"/>
                <w:sz w:val="21"/>
                <w:szCs w:val="21"/>
                <w:u w:val="none"/>
              </w:rPr>
            </w:pPr>
            <w:bookmarkStart w:id="27" w:name="RANGE!A1:E120"/>
            <w:r>
              <w:rPr>
                <w:rFonts w:hint="eastAsia" w:ascii="仿宋_GB2312" w:hAnsi="仿宋_GB2312" w:eastAsia="仿宋_GB2312" w:cs="仿宋_GB2312"/>
                <w:b/>
                <w:i w:val="0"/>
                <w:color w:val="000000"/>
                <w:kern w:val="0"/>
                <w:sz w:val="21"/>
                <w:szCs w:val="21"/>
                <w:u w:val="none"/>
                <w:lang w:val="en-US" w:eastAsia="zh-CN" w:bidi="ar"/>
              </w:rPr>
              <w:t>详细技术参数表</w:t>
            </w:r>
            <w:bookmarkEnd w:id="27"/>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序号</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产品名称</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技术参数</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单位</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数量</w:t>
            </w:r>
          </w:p>
        </w:tc>
      </w:tr>
      <w:tr>
        <w:tblPrEx>
          <w:tblCellMar>
            <w:top w:w="0" w:type="dxa"/>
            <w:left w:w="0" w:type="dxa"/>
            <w:bottom w:w="0" w:type="dxa"/>
            <w:right w:w="0" w:type="dxa"/>
          </w:tblCellMar>
        </w:tblPrEx>
        <w:trPr>
          <w:trHeight w:val="282" w:hRule="atLeast"/>
        </w:trPr>
        <w:tc>
          <w:tcPr>
            <w:tcW w:w="4556" w:type="pct"/>
            <w:gridSpan w:val="3"/>
            <w:tcBorders>
              <w:top w:val="single" w:color="auto" w:sz="4" w:space="0"/>
              <w:left w:val="single" w:color="auto" w:sz="8"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一、视频设备</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r>
              <w:rPr>
                <w:rFonts w:hint="eastAsia" w:ascii="仿宋_GB2312" w:hAnsi="仿宋_GB2312" w:eastAsia="仿宋_GB2312" w:cs="仿宋_GB2312"/>
                <w:i w:val="0"/>
                <w:color w:val="000000"/>
                <w:kern w:val="0"/>
                <w:sz w:val="21"/>
                <w:szCs w:val="21"/>
                <w:u w:val="none"/>
                <w:lang w:val="en-US" w:eastAsia="zh-CN" w:bidi="ar"/>
              </w:rPr>
              <w:t>55寸LCD显示单元</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▲1）LCD液晶显示单元；尺寸：55英寸；分辨率：1920x1080；视角：178°(水平)/ 178°(垂直)；响应时间：8ms(G to G)；对比度：4000:1；亮度：600cd/㎡；物理拼缝：1.8mm；（提供具有检测资质的第三方检测机构的检测报告）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2）输入接口：VGA×1，DVI×1，BNC×1，HDMI×1，USB×1；输出接口：VGA×1，HDMI×1，BNC×1；寿命：≥60000 小时；工作温度和湿度：0℃--50℃，10%--90%；</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3）为保护环境要求，液晶拼接屏需满足中国电器电子产品有害物质限制使用的要求。</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b/>
                <w:bCs/>
                <w:sz w:val="21"/>
                <w:szCs w:val="21"/>
                <w:lang w:val="en-US" w:eastAsia="zh-CN"/>
              </w:rPr>
              <w:t>✰</w:t>
            </w:r>
            <w:r>
              <w:rPr>
                <w:rFonts w:hint="eastAsia" w:ascii="仿宋_GB2312" w:hAnsi="仿宋_GB2312" w:eastAsia="仿宋_GB2312" w:cs="仿宋_GB2312"/>
                <w:i w:val="0"/>
                <w:color w:val="000000"/>
                <w:kern w:val="0"/>
                <w:sz w:val="21"/>
                <w:szCs w:val="21"/>
                <w:u w:val="none"/>
                <w:lang w:val="en-US" w:eastAsia="zh-CN" w:bidi="ar"/>
              </w:rPr>
              <w:t>4）液晶显示单元具有色坐标一致性，根据CIE1931标准色度系统，液晶显示单元色坐标误差在±0.001以内，液晶显示单元客户端具备能力集收集、设备工作状态展示功能；液晶显示单元具有帧宽度调节技术，通过调节画面宽度，解决输入信号四周黑边问题。（提供具有检测资质的第三方检测机构的检测报告）</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液晶显示单元的风扇具备良好的散热效果，风扇散热性能≥60%。液晶显示单元连续运行24小时，液晶表面中心温度≤50℃，边缘测试点与中心温差≤10℃。LCD显示单元可在海拔最高45000ft高度，-40到50℃环境中存储72.5小时。</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46寸LCD显示单元</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1）LCD液晶显示单元；尺寸：46英寸；分辨率：1920x1080；视角：178°(水平)/ 178°(垂直)；响应时间：6ms(G to G)；对比度：4500:1；亮度：600cd/㎡；物理拼缝：1.7mm；输入接口：VGA×1，DVI×1，BNC×1，HDMI×1, USB×1；输出接口：VGA×1，DVI×1，BNC×1；</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控制接口：RJ45 for RS-232（输入×1，输出×1）；功耗：≤139W；寿命：≥60000 小时；工作温度和湿度：0℃--50℃，10%--90%(无凝露)；</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液晶显示单元具有色坐标一致性，根据CIE1931标准色度系统，液晶显示单元色坐标误差在±0.001以内，液晶显示单元客户端具备能力集收集、设备工作状态展示功能；液晶显示单元具有帧宽度调节技术，通过调节画面宽度，解决输入信号四周黑边问题。</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液晶显示单元的风扇具备良好的散热效果，风扇散热性能≥60%。液晶显示单元连续运行24小时，液晶表面中心温度≤50℃，边缘测试点与中心温差≤10℃。LCD显示单元可在海拔最高45000ft高度，-40到50℃环境中存储72.5小时。</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55寸屏支架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1.可根据现场尺寸、可能要加的监视器情况定制。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2.支架特点： 美观，可不装修 ；全封闭防尘 ；底座支持19寸机柜（非默认）；支持弧形设计（3-5°）；底座可放置设备</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46寸屏支架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1.可根据现场尺寸、可能要加的监视器情况定制。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2.支架特点： 美观，可不装修 ；全封闭防尘 ；底座支持19寸机柜（非默认）；支持弧形设计（3-5°）；底座可放置设备</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大屏拼接控制设备</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基于FPGA的纯硬件图像处理设备，能够实现多路拼接和多路信号切换显示。具备高处理性能，可以实现4K@60HZ的信号输入和输出，支持多台设备级联实现更大规模的拼接。具备良好的兼容性可以实现LCD、DLP、LED屏幕的对接。适用于商场、会议室、报告厅等拼接应用场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2.支持2路HDMI输入，支持按键切换，支持输入自定义分辨率， 2路输入信号仅支持2选1全屏显示，不支持漫游、开窗、分屏功能。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支持4路HDMI输出，支持输出自定义分辨率。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支持3840 × 2160@60HZ输入。</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3.支持最大4台设备级联，实现16个屏幕拼接，级联情况下仅有第一个设备的2个信号输入口可以使用，不支持通过级联增加输入口。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支持显卡多口融合输入实现超高分信号接入</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4.输入接口：2个HDMI 2.0，支持输入自定义分辨率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4096 × 2160@60 Hz, 4096 × 2160@30 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3840 × 2160@60 Hz, 3840 × 2160@30 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1920 × 1080@60 Hz, 1920 × 1080@50 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1920 × 1200@60 Hz, 1600 × 1200@60 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1680 × 1050@60 Hz, 1280 × 1024@60 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5.输出接口：4个HDMI 2.0</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1920 × 1080@60 Hz, 1920 × 1200@60 Hz,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1080 × 1920@60 Hz, 1200 × 1920@60 Hz, 1280 × 720P@60 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6.音频输出 1路 3.5 mm音频接口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7.网络接口 1个RJ45 10M/100M/1000Mbps自适应以太网接口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8.同步口：1个Sync In同步输入口，1个Sync Out同步输出口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9.级联口： 1个LOOP OUT环通输出口，控制方式 客户端，前面板</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36</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无线投屏盒子</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可搭配监视器、LED全彩、LCD拼接屏、DLP拼接屏、触控一体机等显示类产品无线投屏使用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含1个无线投屏器及1个无线接收盒</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1.无线投屏器：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配置安装：免配置，免安装，自动连接，自动运行</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传输延迟：&lt; 200 ms</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触控回传：支持10点触摸回传（Windows 、 Mac），支持鼠标模式回传 （Windows，Mac），WIFI 类型：2.4G/5G 双频WIFI</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无线速率：&gt; 400 Mbps，频段：2.4G&amp;5.8G</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2.无线接收盒：</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主控： Cortex-A17 ，1.8 Ghz， 2G DDR3，存储空间：8G</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支持分辨率：720P/1080P/2K/4K</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支持比例：4:3,16:9 （特殊比例可手动匹配）</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WIFI 类型：2.4G/5G 双频WIFI</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无线传输协议无线速率： &gt; 200 Mbps *2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无线传输协议： IEEE 802.11  a/g/n/ac  （双AC通道）</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视频解码：Support H263,H.264,H265，VP8，RV，WMV，AVS，MPEG4</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触控支持：USB  HID接口，鼠标，红外触控，电容触控，激光触控</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75寸智能交互会议平板</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1）钉钉智连款，含钉钉无线投屏、钉钉会议预约等应用。显示尺寸：75 inch LED背光源；背光源类型：DLED；像素间距：0.429(H) × 0.429(V) mm；物理分辨率：3840 × 2160；亮度：450 cd/m² (典型值)；色深度：10 bit；对比度：1200:1 (Typ.)；响应时间：8 ms；刷新率：60 Hz；触摸方式：红外触控；触控点：20点；触控响应速度：≤ 10 ms；CPU：4核A73*2+A53*2，主频1.5 GHz；内存：3 GB ；内置存储：32 GB；网卡：内置百兆网卡，支持路由功能；内部喇叭：2个内置16 W音箱；视频输入接口：HDMI IN  2路；VGA IN 1路；音频输入接口：AUDIO IN 1路；LINE IN 1路；视频输出接口：HDMI OUT 1路；音频输出接口：LINE OUT  1路；SPDIF OUT 1路；网络接口：RJ45(百兆网口) 2个；数据传输接口：USB接口 2个前置接口，2个板载接口。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2)投标产品应能长期稳定运行，其中MTBF不低于14万小时，MTTR控制在10min以内;支持与第三方办公OA、会议预约系统联动对接。</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内置播放器，支持全屏以及画中画模式播放、AB点循环、音视频播放、帧列表模式、画面比例及速度切换、支持剪辑开机动画、触控锁、含有播放列表支持切换及历史记录、支持手势调节音量以及亮度；内置搜索引擎，搜索结果可截图插入白板页面</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98寸智能交互会议平板</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LCD液晶类 红外触控智慧屏;显示尺寸：98 inch LED背光源;分辨率：3840 × 2160 @60 Hz;触控方式：红外触控;触控点数：20点;亮度：500 cd/m²;色深：10 bit;对比度：1100：1;响应时间 8 ms</w:t>
            </w:r>
            <w:r>
              <w:rPr>
                <w:rFonts w:hint="eastAsia" w:ascii="仿宋_GB2312" w:hAnsi="仿宋_GB2312" w:eastAsia="仿宋_GB2312" w:cs="仿宋_GB2312"/>
                <w:lang w:eastAsia="zh-CN"/>
              </w:rPr>
              <w:t>，</w:t>
            </w:r>
            <w:r>
              <w:rPr>
                <w:rFonts w:hint="eastAsia" w:ascii="仿宋_GB2312" w:hAnsi="仿宋_GB2312" w:eastAsia="仿宋_GB2312" w:cs="仿宋_GB2312"/>
              </w:rPr>
              <w:t>视频输入接口：HDMI IN *2路，最大4K@60Hz，HDMI OUT*1路，最大4K@60Hz，VGA IN*1路，最大1080P@60Hz;音频输入接口： AUDIO IN*2路，AUDIO OUT*2路;数据传输接口：USB*2个前置接口，2个板载接口，TOUCH-USB*1</w:t>
            </w:r>
            <w:r>
              <w:rPr>
                <w:rFonts w:hint="eastAsia" w:ascii="仿宋_GB2312" w:hAnsi="仿宋_GB2312" w:eastAsia="仿宋_GB2312" w:cs="仿宋_GB2312"/>
                <w:lang w:eastAsia="zh-CN"/>
              </w:rPr>
              <w:t>，</w:t>
            </w:r>
            <w:r>
              <w:rPr>
                <w:rFonts w:hint="eastAsia" w:ascii="仿宋_GB2312" w:hAnsi="仿宋_GB2312" w:eastAsia="仿宋_GB2312" w:cs="仿宋_GB2312"/>
              </w:rPr>
              <w:t>网络接口：RJ45(百兆网口)*2个，内置百兆网卡，支持路由功能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仿宋_GB2312" w:hAnsi="仿宋_GB2312" w:eastAsia="仿宋_GB2312" w:cs="仿宋_GB2312"/>
              </w:rPr>
            </w:pPr>
            <w:r>
              <w:rPr>
                <w:rFonts w:hint="eastAsia" w:ascii="仿宋_GB2312" w:hAnsi="仿宋_GB2312" w:eastAsia="仿宋_GB2312" w:cs="仿宋_GB2312"/>
              </w:rPr>
              <w:t>操作系统：Android 8.0操作系统;CPU ：4核A73*2+A53*2，主频1.5 GHz;内存3 GB，存储32 GB;内置音箱2个16 W音箱</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)投标产品应能长期稳定运行，其中MTBF不低于14万小时，MTTR控制在10min以内;支持与第三方办公OA、会议预约系统联动对接</w:t>
            </w:r>
            <w:r>
              <w:rPr>
                <w:rFonts w:hint="eastAsia" w:ascii="仿宋_GB2312" w:hAnsi="仿宋_GB2312" w:eastAsia="仿宋_GB2312" w:cs="仿宋_GB231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内置播放器，支持全屏以及画中画模式播放、AB点循环、音视频播放、帧列表模式、画面比例及速度切换、支持剪辑开机动画、触控锁、含有播放列表支持切换及历史记录、支持手势调节音量以及亮度；内置搜索引擎，搜索结果可截图插入白板页面；支持单页分屏浏览，支持一个长网页的分屏浏览；支持双页面浏览：支持分屏浏览两个网页；支持随页批注：支持长网页批注时，手势上下滑动网页，单点直接批注手写。</w:t>
            </w:r>
            <w:r>
              <w:rPr>
                <w:rFonts w:hint="eastAsia" w:ascii="仿宋_GB2312" w:hAnsi="仿宋_GB2312" w:eastAsia="仿宋_GB2312" w:cs="仿宋_GB2312"/>
                <w:i w:val="0"/>
                <w:color w:val="000000"/>
                <w:kern w:val="0"/>
                <w:sz w:val="21"/>
                <w:szCs w:val="21"/>
                <w:u w:val="none"/>
                <w:lang w:val="en-US" w:eastAsia="zh-CN" w:bidi="ar"/>
              </w:rPr>
              <w:t>（提供具有检测资质的第三方检测机构的检测报告）</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会议平板支架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1.材质：SPCC冷轧板</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2.升降高度：1010mm~1450mm</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3.适用会议平板尺寸：55/65/75/86/98英寸</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4.适用多种尺寸的会议平板显示器孔距（横向×纵向）</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室内LED大屏P2.5</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仿宋_GB2312" w:hAnsi="仿宋_GB2312" w:eastAsia="仿宋_GB2312" w:cs="仿宋_GB2312"/>
              </w:rPr>
            </w:pPr>
            <w:r>
              <w:rPr>
                <w:rFonts w:hint="eastAsia" w:ascii="仿宋_GB2312" w:hAnsi="仿宋_GB2312" w:eastAsia="仿宋_GB2312" w:cs="仿宋_GB2312"/>
              </w:rPr>
              <w:t>1）小间距LED全彩显示屏；像素间距：2.5mm；封装品牌：国产铜线，完全前维护；屏幕宽高比：8:9，压铸铝材质；像素结构：LED表贴三合一；单元分辨率：192*216，单元尺寸（mm）：480（W）×540（H）×54（D）；寿命：≥10万小时，功能特性：支持任意方向、任意尺寸、任意造型拼接，画面均匀一致，无黑线，实现真正无缝拼接。维护方式：灯板、电源、接收卡可实现正面拆卸，支持完全前维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仿宋_GB2312" w:hAnsi="仿宋_GB2312" w:eastAsia="仿宋_GB2312" w:cs="仿宋_GB2312"/>
              </w:rPr>
            </w:pPr>
            <w:r>
              <w:rPr>
                <w:rFonts w:hint="eastAsia" w:ascii="仿宋_GB2312" w:hAnsi="仿宋_GB2312" w:eastAsia="仿宋_GB2312" w:cs="仿宋_GB2312"/>
              </w:rPr>
              <w:t>2）投标产品需提供权威机构所出具的CCC认证证书、防尘等级IP5X、噪音检测报告、射频电磁场辐射抗扰度检测报告、电源端子传导骚扰电压检测报告。</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仿宋_GB2312" w:hAnsi="仿宋_GB2312" w:eastAsia="仿宋_GB2312" w:cs="仿宋_GB2312"/>
              </w:rPr>
            </w:pPr>
            <w:r>
              <w:rPr>
                <w:rFonts w:hint="eastAsia" w:ascii="仿宋_GB2312" w:hAnsi="仿宋_GB2312" w:eastAsia="仿宋_GB2312" w:cs="仿宋_GB2312"/>
              </w:rPr>
              <w:t>3）投标产品平均无故障工作时间MTBF≥10万小时，故障平均修复时间MTTR不超过15分钟。产品经过抗振、抗冲击、抗碰撞、跌落检测，且产品外观无损坏，能正常工作。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Cs/>
                <w:sz w:val="24"/>
              </w:rPr>
              <w:t>✰</w:t>
            </w:r>
            <w:r>
              <w:rPr>
                <w:rFonts w:hint="eastAsia" w:ascii="仿宋_GB2312" w:hAnsi="仿宋_GB2312" w:eastAsia="仿宋_GB2312" w:cs="仿宋_GB2312"/>
              </w:rPr>
              <w:t>4）投标产品LED像素点间距≤2.5mm;管芯采用表贴三合一黑灯封装。LED整屏像素失控率＜0.000001。</w:t>
            </w:r>
            <w:r>
              <w:rPr>
                <w:rFonts w:hint="eastAsia" w:ascii="仿宋_GB2312" w:hAnsi="仿宋_GB2312" w:eastAsia="仿宋_GB2312" w:cs="仿宋_GB2312"/>
                <w:i w:val="0"/>
                <w:color w:val="000000"/>
                <w:kern w:val="0"/>
                <w:sz w:val="21"/>
                <w:szCs w:val="21"/>
                <w:u w:val="none"/>
                <w:lang w:val="en-US" w:eastAsia="zh-CN" w:bidi="ar"/>
              </w:rPr>
              <w:t>（提供具有检测资质的第三方检测机构的检测报告）</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）投标产品具备20条以上可选择的γ校正曲线，用户可根据要求自行调整。产品可通过控制PC实现联网控制、远程唤醒、关闭等功能。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bCs/>
                <w:sz w:val="24"/>
              </w:rPr>
              <w:t>✰</w:t>
            </w:r>
            <w:r>
              <w:rPr>
                <w:rFonts w:hint="eastAsia" w:ascii="仿宋_GB2312" w:hAnsi="仿宋_GB2312" w:eastAsia="仿宋_GB2312" w:cs="仿宋_GB2312"/>
                <w:lang w:val="en-US" w:eastAsia="zh-CN"/>
              </w:rPr>
              <w:t>6</w:t>
            </w:r>
            <w:r>
              <w:rPr>
                <w:rFonts w:hint="eastAsia" w:ascii="仿宋_GB2312" w:hAnsi="仿宋_GB2312" w:eastAsia="仿宋_GB2312" w:cs="仿宋_GB2312"/>
              </w:rPr>
              <w:t>）LED显示屏具有良好的防护性，可通过盐雾10级检测试验。LED显示屏中心点蓝光辐射能量值对人眼视网膜无危险。</w:t>
            </w:r>
            <w:r>
              <w:rPr>
                <w:rFonts w:hint="eastAsia" w:ascii="仿宋_GB2312" w:hAnsi="仿宋_GB2312" w:eastAsia="仿宋_GB2312" w:cs="仿宋_GB2312"/>
                <w:i w:val="0"/>
                <w:color w:val="000000"/>
                <w:kern w:val="0"/>
                <w:sz w:val="21"/>
                <w:szCs w:val="21"/>
                <w:u w:val="none"/>
                <w:lang w:val="en-US" w:eastAsia="zh-CN" w:bidi="ar"/>
              </w:rPr>
              <w:t>（提供具有检测资质的第三方检测机构的检测报告）</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36.25</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室内LED大屏P2.0</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1.类型：室内模组P2.0 ，LED封装：国产铜线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2.像素间距：2.0mm ，像素密度：250000点/㎡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3.模组分辨率：128×64，模组尺寸（mm）：256（W）×128（H）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4.亮度：800nits ，视角：水平、垂直视角≥120°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5.最大对比度：≥3000:1，色温：3000—10000可调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6.刷新频率：3840Hz，峰值功耗 ≤850W/㎡ 平均功耗≤280W/㎡</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7.LED整屏像素失控率＜0.000001，产品LED像素点间距≤2mm;管芯采用表贴三合一黑灯封装。</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26.15</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电子会标LED屏P4.0</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1.类型：室内双色Φ3.75,LED封装：国产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2.像素间距：4.75mm,像素密度：44321点/㎡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3.亮度：≥500cd/㎡ ,视角：≥120°</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2.133</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LED大屏控制卡</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LED全彩显示屏控制器，配合全彩LED显示屏使用，可实现任意尺寸大屏无缝拼接显示，适用于会议室、演播厅、体育场、机场车站、银行、广告、家庭影院等多种场合。4个千兆网口输出，单个网口最大带载65万个像素点；带载分辨率：2048×1152@60Hz或1920×1200@60Hz；DVI、DP、HDMI多信号输入，支持信源自动检测，无需手动切换信源；16bit处理深度，低亮高灰，真实还原图像色彩；3840Hz高刷新率，纳秒级响应时间，视频画面更细腻流畅；支持屏幕亮度自动调整,自适应环境光亮度（配合多功能卡使用）；图像色温调节，标准、冷、暖三色可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Cs/>
                <w:sz w:val="24"/>
              </w:rPr>
              <w:t>✰</w:t>
            </w:r>
            <w:r>
              <w:rPr>
                <w:rFonts w:hint="eastAsia" w:ascii="仿宋_GB2312" w:hAnsi="仿宋_GB2312" w:eastAsia="仿宋_GB2312" w:cs="仿宋_GB2312"/>
                <w:i w:val="0"/>
                <w:color w:val="000000"/>
                <w:kern w:val="0"/>
                <w:sz w:val="21"/>
                <w:szCs w:val="21"/>
                <w:u w:val="none"/>
                <w:lang w:val="en-US" w:eastAsia="zh-CN" w:bidi="ar"/>
              </w:rPr>
              <w:t>2）投标产品支持1个DVI、1个HDMI、1个DP输入接口，支持4K分辨率信号接入。投标产品支持亮度调节，可以通过客户端、遥控器、PAD及物理按键进行调节，并支持多台设备同时调节。（提供具有检测资质的第三方检测机构的检测报告或公安部检测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3）投标产品支持800*600-4092*2160之间的多种分辨率视频信号自适应接入；产品具备光感扩展接口，配合光感传感器，无需增加额外设备即可实现光感调节功能。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4）投标产品支持屏体各通道逐个延时上电，可通过遥控器进行操作。可通过物理按键、遥控器、客户端方式对屏幕红、绿、蓝、白、条纹逐行扫描进行自检操作。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5）投标产品可通过遥控器的便捷式操作，对图像的对比度、清晰度、饱和度、色温以及图像模式进行调节设置；产品具备文稿模式、护眼模式、影院场景、监控场景、常规场景、商用场景、广电场景。</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LED屏异步控制卡</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1.单/双基色异步接收卡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2.控制点数：8192*128 4096*256 2048*512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3.区域支持的功能：图文/字幕/动画/农历/时间/模拟表盘/正负计时/温度/温湿度/噪声。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4.高度最大带载16行，超过8行时宽度最大带载不超过32列</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拼接控制软件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LED屏配套定制</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室内LED大屏框架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考虑承重，配套定制</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69.38</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PLC智能控制配电箱（20KW)</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1.控制：PLC控制器，网络远程控制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2.输入电压：380V，输出电压：220V</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3.输出回路：双三相回路，6个单相回路</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PLC智能控制配电箱（10KW)</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1.控制：PLC控制器，网络远程控制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2.输入电压：380V，输出电压：220V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3.输出回路：3个单向回路</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数据光端机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10/100/1000Base-T, 1000Base-X, SC</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对</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信息发布盒子</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1.支持4路1080P监控画面直播，支持4K画面播放</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2.CPU：四核，存储参数：内存2G，储存空间：8 GB（EMMC）。</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3.内置TF卡32 GB，网络：有线、无线WIFI</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r>
      <w:tr>
        <w:tblPrEx>
          <w:tblCellMar>
            <w:top w:w="0" w:type="dxa"/>
            <w:left w:w="0" w:type="dxa"/>
            <w:bottom w:w="0" w:type="dxa"/>
            <w:right w:w="0" w:type="dxa"/>
          </w:tblCellMar>
        </w:tblPrEx>
        <w:trPr>
          <w:trHeight w:val="282" w:hRule="atLeast"/>
        </w:trPr>
        <w:tc>
          <w:tcPr>
            <w:tcW w:w="4556" w:type="pct"/>
            <w:gridSpan w:val="3"/>
            <w:tcBorders>
              <w:top w:val="single" w:color="auto" w:sz="4" w:space="0"/>
              <w:left w:val="single" w:color="auto" w:sz="8"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二、音频设备</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会议音箱</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1.360度吊挂设计，采用进口的4寸钕磁铁全频喇叭。                                                                 </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 xml:space="preserve">2.频率范围：80Hz-18KHz；                                                                            </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 xml:space="preserve">3.喇叭音单元：HF 4"*4 DRIVER；                                                       </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 xml:space="preserve">4.最大声压：117dB，额定功率：250W </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26</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会议音箱</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default" w:ascii="仿宋_GB2312" w:hAnsi="仿宋_GB2312" w:eastAsia="仿宋_GB2312" w:cs="仿宋_GB2312"/>
                <w:i w:val="0"/>
                <w:color w:val="auto"/>
                <w:sz w:val="21"/>
                <w:szCs w:val="21"/>
                <w:highlight w:val="none"/>
                <w:u w:val="none"/>
                <w:lang w:val="en-US"/>
              </w:rPr>
            </w:pPr>
            <w:r>
              <w:rPr>
                <w:rFonts w:hint="eastAsia" w:ascii="仿宋_GB2312" w:hAnsi="仿宋_GB2312" w:eastAsia="仿宋_GB2312" w:cs="仿宋_GB2312"/>
                <w:i w:val="0"/>
                <w:color w:val="auto"/>
                <w:kern w:val="0"/>
                <w:sz w:val="21"/>
                <w:szCs w:val="21"/>
                <w:highlight w:val="none"/>
                <w:u w:val="none"/>
                <w:lang w:val="en-US" w:eastAsia="zh-CN" w:bidi="ar"/>
              </w:rPr>
              <w:t>1.频率范围(±3dB)：50Hz-17KHz，低音单元配置LF：10″</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2.高音单元配置HF：1Driver，灵敏度（1w/1m）：不小于95dB</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3.最大声压级：不小于126dB，额定功率：不小于300W</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4.覆盖角度（H×V）：90°（</w:t>
            </w:r>
            <w:r>
              <w:rPr>
                <w:rFonts w:hint="eastAsia" w:ascii="宋体" w:hAnsi="宋体" w:eastAsia="宋体" w:cs="宋体"/>
                <w:i w:val="0"/>
                <w:color w:val="auto"/>
                <w:kern w:val="0"/>
                <w:sz w:val="21"/>
                <w:szCs w:val="21"/>
                <w:highlight w:val="none"/>
                <w:u w:val="none"/>
                <w:lang w:val="en-US" w:eastAsia="zh-CN" w:bidi="ar"/>
              </w:rPr>
              <w:t>±</w:t>
            </w:r>
            <w:r>
              <w:rPr>
                <w:rFonts w:hint="eastAsia" w:ascii="仿宋_GB2312" w:hAnsi="仿宋_GB2312" w:eastAsia="仿宋_GB2312" w:cs="仿宋_GB2312"/>
                <w:i w:val="0"/>
                <w:color w:val="auto"/>
                <w:kern w:val="0"/>
                <w:sz w:val="21"/>
                <w:szCs w:val="21"/>
                <w:highlight w:val="none"/>
                <w:u w:val="none"/>
                <w:lang w:val="en-US" w:eastAsia="zh-CN" w:bidi="ar"/>
              </w:rPr>
              <w:t>10°）×60°（</w:t>
            </w:r>
            <w:r>
              <w:rPr>
                <w:rFonts w:hint="eastAsia" w:ascii="宋体" w:hAnsi="宋体" w:eastAsia="宋体" w:cs="宋体"/>
                <w:i w:val="0"/>
                <w:color w:val="auto"/>
                <w:kern w:val="0"/>
                <w:sz w:val="21"/>
                <w:szCs w:val="21"/>
                <w:highlight w:val="none"/>
                <w:u w:val="none"/>
                <w:lang w:val="en-US" w:eastAsia="zh-CN" w:bidi="ar"/>
              </w:rPr>
              <w:t>±</w:t>
            </w:r>
            <w:r>
              <w:rPr>
                <w:rFonts w:hint="eastAsia" w:ascii="仿宋_GB2312" w:hAnsi="仿宋_GB2312" w:eastAsia="仿宋_GB2312" w:cs="仿宋_GB2312"/>
                <w:i w:val="0"/>
                <w:color w:val="auto"/>
                <w:kern w:val="0"/>
                <w:sz w:val="21"/>
                <w:szCs w:val="21"/>
                <w:highlight w:val="none"/>
                <w:u w:val="none"/>
                <w:lang w:val="en-US" w:eastAsia="zh-CN" w:bidi="ar"/>
              </w:rPr>
              <w:t>10°）</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12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线阵全频音箱</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1.≥8吋(两分频线阵音箱）单元组合:2×8"Low +1.75"Hi</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2.频率响应:80Hz～20KHz (±3dB)</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3.功率(RMS/ peak):MF：350W/700W，HF：75W/150W</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4.灵敏度 (1 W/m):MF：102dB/HF：110dB</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5.最大额定声压:MF:128dB/HF:132dB ( peak@1m)</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6.扩散角(H×V):120°（</w:t>
            </w:r>
            <w:r>
              <w:rPr>
                <w:rFonts w:hint="eastAsia" w:ascii="宋体" w:hAnsi="宋体" w:eastAsia="宋体" w:cs="宋体"/>
                <w:i w:val="0"/>
                <w:color w:val="auto"/>
                <w:kern w:val="0"/>
                <w:sz w:val="21"/>
                <w:szCs w:val="21"/>
                <w:highlight w:val="none"/>
                <w:u w:val="none"/>
                <w:lang w:val="en-US" w:eastAsia="zh-CN" w:bidi="ar"/>
              </w:rPr>
              <w:t>±</w:t>
            </w:r>
            <w:r>
              <w:rPr>
                <w:rFonts w:hint="eastAsia" w:ascii="仿宋_GB2312" w:hAnsi="仿宋_GB2312" w:eastAsia="仿宋_GB2312" w:cs="仿宋_GB2312"/>
                <w:i w:val="0"/>
                <w:color w:val="auto"/>
                <w:kern w:val="0"/>
                <w:sz w:val="21"/>
                <w:szCs w:val="21"/>
                <w:highlight w:val="none"/>
                <w:u w:val="none"/>
                <w:lang w:val="en-US" w:eastAsia="zh-CN" w:bidi="ar"/>
              </w:rPr>
              <w:t>10°）× 20°（</w:t>
            </w:r>
            <w:r>
              <w:rPr>
                <w:rFonts w:hint="eastAsia" w:ascii="宋体" w:hAnsi="宋体" w:eastAsia="宋体" w:cs="宋体"/>
                <w:i w:val="0"/>
                <w:color w:val="auto"/>
                <w:kern w:val="0"/>
                <w:sz w:val="21"/>
                <w:szCs w:val="21"/>
                <w:highlight w:val="none"/>
                <w:u w:val="none"/>
                <w:lang w:val="en-US" w:eastAsia="zh-CN" w:bidi="ar"/>
              </w:rPr>
              <w:t>±</w:t>
            </w:r>
            <w:r>
              <w:rPr>
                <w:rFonts w:hint="eastAsia" w:ascii="仿宋_GB2312" w:hAnsi="仿宋_GB2312" w:eastAsia="仿宋_GB2312" w:cs="仿宋_GB2312"/>
                <w:i w:val="0"/>
                <w:color w:val="auto"/>
                <w:kern w:val="0"/>
                <w:sz w:val="21"/>
                <w:szCs w:val="21"/>
                <w:highlight w:val="none"/>
                <w:u w:val="none"/>
                <w:lang w:val="en-US" w:eastAsia="zh-CN" w:bidi="ar"/>
              </w:rPr>
              <w:t>10°）</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6</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线阵低频音箱</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1.18吋(线阵低音音箱）单元组合:18"Low </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2.频率响应:45Hz～300Hz (±3dB)</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3.功率(RMS/ peak):600W/1200W</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4.灵敏度 (1 W/m):100dB</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 xml:space="preserve">5.最大额定声压:126dB ( peak@1m) </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返听音箱</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 xml:space="preserve">1.专业12寸反听音箱 ，单元配置:LF:1×12,HF:1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2.额定功率：400W，覆盖角度：90*70°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3.最大声压级：132dB ，灵敏度：98dB   </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台唇音箱</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1.频率范围(±3dB)：75Hz-20KHz，低音单元配置LF：8″</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2.高音单元配置HF：1Driver，灵敏度（1w/1m）：94dB</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3.最大声压级：124dB，额定功率：180W</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4.覆盖角度（H×V）：80°（</w:t>
            </w:r>
            <w:r>
              <w:rPr>
                <w:rFonts w:hint="eastAsia" w:ascii="宋体" w:hAnsi="宋体" w:eastAsia="宋体" w:cs="宋体"/>
                <w:i w:val="0"/>
                <w:color w:val="auto"/>
                <w:kern w:val="0"/>
                <w:sz w:val="21"/>
                <w:szCs w:val="21"/>
                <w:highlight w:val="none"/>
                <w:u w:val="none"/>
                <w:lang w:val="en-US" w:eastAsia="zh-CN" w:bidi="ar"/>
              </w:rPr>
              <w:t>±</w:t>
            </w:r>
            <w:r>
              <w:rPr>
                <w:rFonts w:hint="eastAsia" w:ascii="仿宋_GB2312" w:hAnsi="仿宋_GB2312" w:eastAsia="仿宋_GB2312" w:cs="仿宋_GB2312"/>
                <w:i w:val="0"/>
                <w:color w:val="auto"/>
                <w:kern w:val="0"/>
                <w:sz w:val="21"/>
                <w:szCs w:val="21"/>
                <w:highlight w:val="none"/>
                <w:u w:val="none"/>
                <w:lang w:val="en-US" w:eastAsia="zh-CN" w:bidi="ar"/>
              </w:rPr>
              <w:t>10°）×60°（</w:t>
            </w:r>
            <w:r>
              <w:rPr>
                <w:rFonts w:hint="eastAsia" w:ascii="宋体" w:hAnsi="宋体" w:eastAsia="宋体" w:cs="宋体"/>
                <w:i w:val="0"/>
                <w:color w:val="auto"/>
                <w:kern w:val="0"/>
                <w:sz w:val="21"/>
                <w:szCs w:val="21"/>
                <w:highlight w:val="none"/>
                <w:u w:val="none"/>
                <w:lang w:val="en-US" w:eastAsia="zh-CN" w:bidi="ar"/>
              </w:rPr>
              <w:t>±</w:t>
            </w:r>
            <w:r>
              <w:rPr>
                <w:rFonts w:hint="eastAsia" w:ascii="仿宋_GB2312" w:hAnsi="仿宋_GB2312" w:eastAsia="仿宋_GB2312" w:cs="仿宋_GB2312"/>
                <w:i w:val="0"/>
                <w:color w:val="auto"/>
                <w:kern w:val="0"/>
                <w:sz w:val="21"/>
                <w:szCs w:val="21"/>
                <w:highlight w:val="none"/>
                <w:u w:val="none"/>
                <w:lang w:val="en-US" w:eastAsia="zh-CN" w:bidi="ar"/>
              </w:rPr>
              <w:t>10°）</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7</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辅助音箱</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1.频率范围(±3dB)：50Hz-17KHz，低音单元配置LF：10″</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2.高音单元配置HF：1Driver，灵敏度（1w/1m）：不低于95dB</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3.最大声压级：不低于125dB，额定功率：不低于250W</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4.覆盖角度（H×V）：90°（</w:t>
            </w:r>
            <w:r>
              <w:rPr>
                <w:rFonts w:hint="eastAsia" w:ascii="宋体" w:hAnsi="宋体" w:eastAsia="宋体" w:cs="宋体"/>
                <w:i w:val="0"/>
                <w:color w:val="auto"/>
                <w:kern w:val="0"/>
                <w:sz w:val="21"/>
                <w:szCs w:val="21"/>
                <w:highlight w:val="none"/>
                <w:u w:val="none"/>
                <w:lang w:val="en-US" w:eastAsia="zh-CN" w:bidi="ar"/>
              </w:rPr>
              <w:t>±</w:t>
            </w:r>
            <w:r>
              <w:rPr>
                <w:rFonts w:hint="eastAsia" w:ascii="仿宋_GB2312" w:hAnsi="仿宋_GB2312" w:eastAsia="仿宋_GB2312" w:cs="仿宋_GB2312"/>
                <w:i w:val="0"/>
                <w:color w:val="auto"/>
                <w:kern w:val="0"/>
                <w:sz w:val="21"/>
                <w:szCs w:val="21"/>
                <w:highlight w:val="none"/>
                <w:u w:val="none"/>
                <w:lang w:val="en-US" w:eastAsia="zh-CN" w:bidi="ar"/>
              </w:rPr>
              <w:t>10°）×60°（</w:t>
            </w:r>
            <w:r>
              <w:rPr>
                <w:rFonts w:hint="eastAsia" w:ascii="宋体" w:hAnsi="宋体" w:eastAsia="宋体" w:cs="宋体"/>
                <w:i w:val="0"/>
                <w:color w:val="auto"/>
                <w:kern w:val="0"/>
                <w:sz w:val="21"/>
                <w:szCs w:val="21"/>
                <w:highlight w:val="none"/>
                <w:u w:val="none"/>
                <w:lang w:val="en-US" w:eastAsia="zh-CN" w:bidi="ar"/>
              </w:rPr>
              <w:t>±</w:t>
            </w:r>
            <w:r>
              <w:rPr>
                <w:rFonts w:hint="eastAsia" w:ascii="仿宋_GB2312" w:hAnsi="仿宋_GB2312" w:eastAsia="仿宋_GB2312" w:cs="仿宋_GB2312"/>
                <w:i w:val="0"/>
                <w:color w:val="auto"/>
                <w:kern w:val="0"/>
                <w:sz w:val="21"/>
                <w:szCs w:val="21"/>
                <w:highlight w:val="none"/>
                <w:u w:val="none"/>
                <w:lang w:val="en-US" w:eastAsia="zh-CN" w:bidi="ar"/>
              </w:rPr>
              <w:t>10°）</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4</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专业功放</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1.功率输出（8Ω）：400W*2，功率输出（4Ω）：600W*2                                            </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 xml:space="preserve">2.桥接功率（8Ω）：1200W                                 </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 xml:space="preserve">3.信噪比：110dB，灵敏度：0.775v                                                    </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 xml:space="preserve">4.频响： ±0.1dB，20Hz-20KHz                                                               </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5.总谐波失真度：≤0.01% 8Ω额定功率1KHz</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网络功放</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ottom"/>
              <w:rPr>
                <w:rFonts w:hint="eastAsia" w:ascii="仿宋_GB2312" w:hAnsi="仿宋_GB2312" w:eastAsia="仿宋_GB2312" w:cs="仿宋_GB2312"/>
                <w:i w:val="0"/>
                <w:color w:val="auto"/>
                <w:kern w:val="0"/>
                <w:sz w:val="21"/>
                <w:szCs w:val="21"/>
                <w:highlight w:val="darkGray"/>
                <w:u w:val="none"/>
                <w:lang w:val="en-US" w:eastAsia="zh-CN" w:bidi="ar"/>
              </w:rPr>
            </w:pPr>
            <w:r>
              <w:rPr>
                <w:rFonts w:hint="eastAsia" w:ascii="仿宋_GB2312" w:hAnsi="仿宋_GB2312" w:eastAsia="仿宋_GB2312" w:cs="仿宋_GB2312"/>
                <w:lang w:val="en-US" w:eastAsia="zh-CN"/>
              </w:rPr>
              <w:t xml:space="preserve">额定功率：Stereo立体声：2*≥700W/4Ω ，2*≥450W/8Ω,桥接:  ≥900W/8Ω </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2.频率响应 （1W 8Ω)：优于或相当于20 Hz – 20 kHz(±0.5dB)</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3.灵敏度(8Ω 1KHz)：≥0.775V，信号噪声比(额定功率8Ω）：≥95dBA计权，</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4.阻尼系数（1KHZ&amp;8Ω）： ≥2000，转换速度：≥60V/μs</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5.相位响应(1W&amp;8Ω,20Hz-20KHz)：优于或相当于20Hz+4° 优于或相当于20KHz-15°</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 xml:space="preserve">6.功耗(1/8RMS/230V)：≤2.2A，冷却系统：风向从后往前，强制制冷   </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rPr>
              <w:t>✰</w:t>
            </w:r>
            <w:r>
              <w:rPr>
                <w:rFonts w:hint="eastAsia" w:ascii="仿宋_GB2312" w:hAnsi="仿宋_GB2312" w:eastAsia="仿宋_GB2312" w:cs="仿宋_GB2312"/>
                <w:lang w:val="en-US" w:eastAsia="zh-CN"/>
              </w:rPr>
              <w:t>7.DANTE</w:t>
            </w:r>
            <w:r>
              <w:rPr>
                <w:rFonts w:hint="eastAsia" w:ascii="仿宋_GB2312" w:hAnsi="仿宋_GB2312" w:eastAsia="仿宋_GB2312" w:cs="仿宋_GB2312"/>
                <w:color w:val="auto"/>
                <w:lang w:val="en-US" w:eastAsia="zh-CN"/>
              </w:rPr>
              <w:t>网络音频功放，具备两路音频(数字信号)传输，由数字功放至喇叭扩声,两通道音量独立控制</w:t>
            </w:r>
            <w:r>
              <w:rPr>
                <w:rFonts w:hint="eastAsia" w:ascii="仿宋_GB2312" w:hAnsi="仿宋_GB2312" w:eastAsia="仿宋_GB2312" w:cs="仿宋_GB2312"/>
                <w:i w:val="0"/>
                <w:color w:val="auto"/>
                <w:kern w:val="0"/>
                <w:sz w:val="21"/>
                <w:szCs w:val="21"/>
                <w:highlight w:val="none"/>
                <w:u w:val="none"/>
                <w:lang w:val="en-US" w:eastAsia="zh-CN" w:bidi="ar"/>
              </w:rPr>
              <w:t>（提供该网络功放同时具备音频信号接入和网络信号接入功能的相关证明材料，包括但不限于提供具有检测资质的第三方检测机构的检测报告）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ottom"/>
              <w:rPr>
                <w:rFonts w:hint="eastAsia" w:ascii="仿宋_GB2312" w:hAnsi="仿宋_GB2312" w:eastAsia="仿宋_GB2312" w:cs="仿宋_GB2312"/>
                <w:lang w:val="en-US"/>
              </w:rPr>
            </w:pPr>
            <w:r>
              <w:rPr>
                <w:rFonts w:hint="eastAsia" w:ascii="仿宋_GB2312" w:hAnsi="仿宋_GB2312" w:eastAsia="仿宋_GB2312" w:cs="仿宋_GB2312"/>
                <w:color w:val="auto"/>
                <w:lang w:val="en-US" w:eastAsia="zh-CN"/>
              </w:rPr>
              <w:t>8.具有独立的IP地址，可自动获取、可自由设</w:t>
            </w:r>
            <w:r>
              <w:rPr>
                <w:rFonts w:hint="eastAsia" w:ascii="仿宋_GB2312" w:hAnsi="仿宋_GB2312" w:eastAsia="仿宋_GB2312" w:cs="仿宋_GB2312"/>
                <w:lang w:val="en-US" w:eastAsia="zh-CN"/>
              </w:rPr>
              <w:t>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lang w:val="en-US"/>
              </w:rPr>
            </w:pPr>
            <w:r>
              <w:rPr>
                <w:rFonts w:hint="eastAsia" w:ascii="仿宋_GB2312" w:hAnsi="仿宋_GB2312" w:eastAsia="仿宋_GB2312" w:cs="仿宋_GB2312"/>
                <w:i w:val="0"/>
                <w:color w:val="000000"/>
                <w:kern w:val="0"/>
                <w:sz w:val="21"/>
                <w:szCs w:val="21"/>
                <w:u w:val="none"/>
                <w:lang w:val="en-US" w:eastAsia="zh-CN" w:bidi="ar"/>
              </w:rPr>
              <w:t>9.网络功放与多媒体管控平台须为同一品牌。</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线阵功放</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1.额定功率（8Ω／通道）：2x600W，额定功率（4Ω／通道）：2x1050W</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2.额定桥式功率（8Ω）：2100W，频响范围：5Hz～25kHz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3.信噪比：&gt;115dB，阻尼系数：&gt;500（8Ω）(5Hz-1KHz)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4.输入灵敏度：0.77V/26dB/32dB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5.转换速率：29V/uS，工作电压：交流电230V，50/60Hz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6.保护方式：功率保护、温度功率控制、功放输出短路、过载保护。</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线阵功放</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1.额定功率（8Ω／通道）：2x1500W，2.额定功率（4Ω／通道）：2x2700W</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2.额定桥式功率（8Ω）：5400W，频响范围：5Hz～25kHz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3.信噪比：&gt;115dB，阻尼系数：&gt;500（8Ω）(5Hz-1KHz)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4.输入灵敏度：0.77V/26dB/32dB，转换速率：29V/uS</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5.工作电压：交流电230V，50/60Hz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6.保护方式：功率保护、温度功率控制、功放输出短路、过载保护。</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返听功放</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1.额定功率（8Ω／通道）：2x600W，额定功率（4Ω／通道）：2x1050W</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2.额定桥式功率（8Ω）：2100W，频响范围：5Hz～25kHz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3.信噪比：&gt;115dB，阻尼系数：&gt;500（8Ω）(5Hz-1KHz)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4.输入灵敏度：0.77V/26dB/32dB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5.转换速率：29V/uS，工作电压：交流电230V，50/60Hz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6.保护方式：功率保护、温度功率控制、功放输出短路、过载保护。</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台唇功放</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1.立体声功率（8Ω）：300W×2，立体声功率（4Ω）：450W×2</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2.立体声功率（2Ω）：600W×2，桥接功率（8Ω）：900W</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3.桥接功率（4Ω）：1200W，信噪比：110dB</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4.阻尼系数：600:1,8，频率响应：+/-0.1dB,20Hz-20KHz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5.总谐波失真度：≤0.01%，额定功率1KHz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6.灵敏度：0.775V,12，输入增益：≤-75dB</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7.声道分离度：≥-70dB,16.电源消耗功率：1260W</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辅助功放</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1.额定功率（8Ω／通道）：2x600W，额定功率（4Ω／通道）：2x1050W</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2.额定桥式功率（8Ω）：2100W，频响范围：5Hz～25kHz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3.信噪比：&gt;115dB，阻尼系数：&gt;500（8Ω）(5Hz-1KHz)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4.输入灵敏度：0.77V/26dB/32dB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5.转换速率：29V/uS，工作电压：交流电230V，50/60Hz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6.保护方式：功率保护、温度功率控制、功放输出短路、过载保护。</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手拉手会议主机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1.内置DSP数字化处理与传输技术，克服长距离传输衰减问题，传输距离达150米对音质不产生影响；</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2.采用全数字DSP音频处理技术，音频采样频率高达48KHz，频率响应可达20Hz-20KHz，接近CD音质效果；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3.系统采用ID寻址控制方式，可自定义会议单元编号，能有效避免ID地址冲突；</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4.具备2路会议单元输出接口，每路可连接30台多功能会议单元，单台主机支持连接60台会议单元；</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5.具备智能自动保护技术，在会议主机出现非电源故障时可保证会议音频信号不被中断；</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6.系统支持一线式手拉手连接、T型头手拉手连接及环形手拉手连接等多种连接方式；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7.内置DSP数字音频处理模块，能有效保证系统内部信息，最大程度消除干扰、失真、串音等现象；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8.内置自适应反馈抑制（AFC）功能，可有效防止声反馈引起啸叫，保障调整增益时音质不被损伤；</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9.内置环境噪音消除（AEC）功能，可有效消除本地噪声，让现场高质量的音频精准实时传送；</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10.内置数字均衡电路（EQ）功能，可大幅提升会场声压级，保证声音丰满、柔和而富有弹性；</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11.内置自动增益控制（AGC）功能，采用智能电平控制技术保障单元远距离拾音音质不衰减；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12.系统具备先入先出工作模式，发言数量可自定义设置，发言人数可设置为1至6台；</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13.系统可设置为自由讨论模式，所有会议单元可以全部自由开启发言不受数量限制；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14.系统通过PC会议管理软件支持申请发言模式、排队模式、电脑允许模式、发言限时模式；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15.系统具备线路带电“热插拔”功能，让系统运行的安全性及稳定性得到有力的保障；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16.通过面板可控制辅助输入音量、MIC输入音量、会议单元输出音量及主音量的调节；</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17.系统可同时接入8台主席单元，主席单元具有优先权功能，也可关闭其它正在发言的代表单元；</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18.多功能会议主机与PC电脑、可编程中央控制系统采用RS-232连接方式，控制方式安全稳定。</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手拉手主席单元</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1.采用DSP/DDOV数字化处理与传输技术，克服长距离传输衰减问题，线距可达150米；</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2.系统采用8芯DIN带屏蔽线缆或CAT5线缆，可有效避免与防止线路电磁干扰，确保数据永不丢失；</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3.单元为无源设备，由会议主机提供24V电源，低功耗设计，单路可连接30台会议单元；</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4.采用数字强抗干扰技术，确保会场内设备不受手机、蓝牙、无线电、WiFi等信号干扰；</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5.系统具备先入先出工作模式，发言人数可设1至6台，主席单元不受限制；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6.系统具备自由讨论模式，所有会议单元可以全部自由开启发言不受限制；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7.通过PC会议管理软件支持申请发言模式、排队模式、电脑允许模式、发言限时模式；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8.单元之间具备线路带电“热插拔”功能，让系统的安全性得到更大的保障；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9.具有双色指示灯，发言与编号状态显示为红色、VIP单元发言为绿色；</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10.具备智能音频检测功能，当相邻两台单元距离靠近时，音频自动反相衰减保证不出现啸叫；</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11.驻极体超心形指向性麦克风，确保拾音距离及声音质量，拾音距离可达50cm；</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12.系统采用数字音频处理技术，频率响应可达30Hz-20KHz接近CD音质效果。</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手拉手代表单元</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1.采用DSP/DDOV数字化处理与传输技术，克服长距离传输衰减问题，线距可达150米；</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2.系统采用8芯DIN带屏蔽线缆或CAT5线缆，可有效避免与防止线路电磁干扰，确保数据永不丢失；</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3.单元为无源设备，由会议主机提供24V电源，低功耗设计，单路可连接30台会议单元；</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4.系统具备自由讨论模式，所有会议单元可以全部自由开启发言不受限制；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5.通过PC会议管理软件支持申请发言模式、排队模式、电脑允许模式、发言限时模式：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6.单元之间具备线路带电“热插拔”功能，让系统的安全性得到更大的保障；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7.具备智能音频检测功能，当相邻两台单元距离靠近时，音频自动反相衰减保证不出现啸叫；</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8.驻极体超心形指向性麦克风，确保拾音距离及声音质量，拾音距离可达50cm；</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9.系统采用数字音频处理技术，频率响应可达30Hz-20KHz接近CD音质效果；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10.可独立自由调节接听音量的大小；内置2W高保真扬声器。</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58</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手拉手专用线</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用于数字会议主机与会议单元之间的连接，10米长度</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条</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无线手持话筒</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1.设有10个频率组，共160个频道，每个频段多达16个互不干扰频道。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2.高亮度LCD液晶显示，工作状态清晰全面。</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3.轻触式数字音量和静噪控制系统，易于设定和操作。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4.真分集接收技术，音码静噪锁定控制功能。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5.频率范围：518-542MHz  655-679MHz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6.最大频道数：160，频带宽度：24MHz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7.接收灵敏度： &lt;-90dBm for 30dB S/N Ratio，动态范围 &gt;95dB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8.频率响应：50~15000Hz，信噪比：&gt;102dB (A)，失真度：&lt;1% </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无线头戴话筒</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1.使用 UHF640MHz～690MHz 频段；</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2.全新节能模式设置，全自动 EQ 控制功能，自动校正音色全自动开关机模式自动红外线对频系统</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3.双话筒设计，有效开阔使用距离可达 100 米。</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4.本系统内任何一支话筒与任何一台接收机都可对上频</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无线接收机参数</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1)载波频段:UHF640～690MHz，通道数:双通道</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2)接收方式:真分集接收，调制方式:FM</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3)灵敏度:在偏移度等于 25kHz，输入 6dBv 时，S／N&gt;60dB</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4)最大偏移度:±45kHZ，综合 S/N 比:&gt;105dB</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5)综合 T.H.D:&lt;0．7％@1KHz，综合频率响应:45Hz～18kHz±3dB</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6)工作有效距离:100～200 米(空阔地方)</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无线发射器:载波频段:UHF640～690MHZ，频率响应:45HZ～18kHz±3dB </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无线会议话筒</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1.振荡方式: 锁相环频率合成，频率范围：UHF 500MHz～900MHz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2.频率稳定性：±0.001%，调制方式：FM，信噪比：&gt;60dB</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3.失真度:&lt;0.5%@1KHz，灵敏度：1.2/UV @S/N=12dB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发射器参数：</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1)话筒耗电量：100mA，载波频率：UHF 500MHz～900MHz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2)频率稳定度：±0.001%，最大频率偏：±30KH</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3)信噪比：&gt;60dB，邻频干扰比：&gt;80dB，动态范围：≥100dB</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频率响应：40Hz～20KHz，话筒灵敏度：-43±3dB@1KHz </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有线会议话筒</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1)膜片类型：电容式，指向性：单一指向性（心型）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2)频率响应：100-18000Hz，灵敏度：-45dB</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3)讯噪比：&gt;65dB（1KHz，1pa），供电模式：双供电</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最大声压：103dB（1KHz，THD1%）</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12路调音台</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1.最多6个话筒 / 12个线路输入 (4个单声道 + 4个立体声)</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2.2编组母线 + 1立体声母线,2 AUX (包括FX)</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3.“D-PRE”话放，带有倒向晶体管电路。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4.单旋钮压缩器，XLR平衡输出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5.单声道输入通道上的PAD开关, +48V幻象供电</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16路调音台</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1.最多10个话筒 / 16个线路输入 (8个单声道 + 4个立体声)</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2.4编组母线 + 1立体声母线，4 AUX (包括FX)</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3.“D-PRE”话放，带有倒向晶体管电路，单旋钮压缩器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4.高级效果器：SPX，含24组预置效果器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5.24-bit/192kHz 2进/2出 USB音频功能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6.单声道输入通道上的PAD开关，+48V幻象供电，XLR平衡输出</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数字调音台</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1.3组立体声输入，1USB音源输入（LR），1 MIX 主输出（LR）</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2.1 MON 输出，16 MIX BUS，6 MATRIX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3.控制室输出（LR）/ 1耳机输出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4.2通道数字输出，8DCA 编组，6哑音编组，8效果器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5.含MIDI控制接口，XUF 32入32出录音声卡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6.2通道AES50数字网络传输端口，1控制用以太网网络接口和USB接口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7.17路100毫米电动记忆推杆，5寸主屏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8.100个场景存储，可以加接口箱进行扩展到40个通道输入</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12路自动混音器</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1.内置话筒高清远距离动态采样分析电路，话筒高清拾音半径可达6米；</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2.双12路自动混音功能（PA/REC）实现智能高清音频采集；（PA/REC双模式同时工作互不干扰）</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3.12路话筒输入；麦克风最大输入电平：-12dBV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4.每路话筒输入单独增益调整及独立幻象电源开关，PA/REC模式选择</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5.4路线路输入，1路外接处理器断点输入；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6.2路线路扩声输出，2路辅助线路输出，2路专业录音输出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7.信号失真度THD+N：&lt;1% ，信噪比S/N：90dB，频响：60-20000H</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网络音频系统模块</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1.内置高性能40位浮点DSP处理芯片。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bCs/>
                <w:kern w:val="0"/>
                <w:sz w:val="24"/>
                <w:lang w:bidi="ar"/>
              </w:rPr>
              <w:t>✰</w:t>
            </w:r>
            <w:r>
              <w:rPr>
                <w:rFonts w:hint="eastAsia" w:ascii="仿宋_GB2312" w:hAnsi="仿宋_GB2312" w:eastAsia="仿宋_GB2312" w:cs="仿宋_GB2312"/>
                <w:i w:val="0"/>
                <w:color w:val="000000"/>
                <w:kern w:val="0"/>
                <w:sz w:val="21"/>
                <w:szCs w:val="21"/>
                <w:u w:val="none"/>
                <w:lang w:val="en-US" w:eastAsia="zh-CN" w:bidi="ar"/>
              </w:rPr>
              <w:t>2.具有≥4路Dante网络音频输入输出通道，≥8/16路支持MIC输入，话筒/线路自由转换，功能界面需涵盖以下功能：噪声门、反馈抑制、自动混音、压限、延时、场景预设。3.每路MIC输入支持48V幻象供电，可以上位机软件开关控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4.每路通道独立的自适应反馈抑制器，多档调节，内置信号发生器：正弦波信号、粉红噪声、白噪声。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5.每输入/输出通道：具有自动混音和矩阵混音功能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6.每输入/输出通道：具有前级放大、噪声门、压缩器、31段参量均衡、延时器、自动混音台、相位、静音、48dB，斜率高通-低通滤波器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7.每输入/输出通道：具有10段参量均衡、分频器、限幅器、延时器、48dB斜率高通-低通滤波器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8.支持多组场景预设功能，支持手机、平板、安卓、苹果、微软等不同的移动端控制及模式调用。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9.支持Dante网络音频功能扩展，通过网络交换机接入。</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28</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DANTE网络扩展箱</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Dante数字网络音频技术是基于千兆以太网网络传输的无压缩、专业级的数字音频传输技术。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1.4路音频平衡输入4路音频平衡输出;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2.采样频率24bit-44.1k/48k/96k;</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3.MIC-48V/MIC/12dBu/22dBu四档灵敏度可选;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4.总谐波失真：&lt;0.005%，信噪比：&gt;-92dB（-20dBu@1KHz）;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5.动态范围：&gt;92dB（-12dBu@1KHz），底噪：&lt;-92dBu（MIC/48:-81dBu）;</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6.频率响应：20Hz-20KHz@±0.3dB（MIC/48V：20Hz20KHz@±1.5dB）。</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29</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接口箱</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1.16个带MIDAS出色话放输入通道，8个模拟平行XLR输出通道</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2.CAT5电缆的传输距离最高可达100m</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3.双AES50端口，每个可级联三个DL16——不需要拓展器或路由器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4.所有的输入输出信号都能够通过耳机接口进行监听</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5.能与P16-M个人监听系统连接</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6.MIDI输入输出接口提供控制台与舞台MIDI设备之间的连接</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7.可通过USB连接个人PC进行系统升级</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有源监听音箱</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1.频率响应 -10dB 65Hz-22kHz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2.部件 LF 4" 锥面，HF 1.0" 钛金属半球形</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3.分频 2.5kHz，输出功率 :20w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4.大输出电平 (1m; 轴向) 98dB</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多媒体管控平台</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1.多媒体音视频管控中心，集成音频、视频、控制于一体的综合产品。</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2.系统操作与管理通过设备自带的≥7 寸触摸屏（或外接 IPAD 无线控制端）实现一键调用与场景预设，一台设备既可完成多媒体系统的建设，简单便捷，展现智能与 AV 系统的完美结合</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3.具有采用双供电系统，交流支持 90-230V 宽电压供电或者 12V 直流供电，可自动切换供电，保证设备正常工作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4.提供≥3 个网络接口，≥3 个网口可通过内置的交换机进行数据通讯，提供对外接入无线触摸屏等外部设备的网络扩展控制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5.提供 2 个 PoE 使能网口，可直接用于连接外置触摸屏或按键面板等设备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6.完善的 IPv6 协议支持，满足各种复杂的网络使用环境的要求</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7.1GHz 高速处理器，512M 内存，512M Flash 存储空间</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8.≥8 个 RS232/485 端口。≥8 个弱电继电器。≥8 个红外端口。≥4 个 IO端口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9.红外学习功能，支持红外文件导入导出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10.内置高性能 40 位浮点 DSP 处理芯片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11.≥8 路音频输入通道。8 路音频输出通道，传输最大延时低于 0.1 毫秒</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12.≥8 路音频支持 MIC 输入，话筒/线路自由转换，支持 48V 幻象供电</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13.支持 4 路 Dante 网络音频信号输入、4 路 Dante 网络音频信号输出。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15.每路通道独立的自适应反馈抑制器，多档调节，内置信号发生器：正弦波信号、粉红噪声、白噪声。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16.输入/输出通道：具有自动混音和矩阵混音功能。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17.支持 32 组场景预设功能，支持手机、平板等不同的移动端控制及模式调用。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18.≥4.5G 带宽，支持高清输入输出，所有通道支持独立的 EDID 管理。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19.支持≥4 路 HDMI 输入/输出，≥4 路 VGA 输入/输出。</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多媒体管控平台</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▲1.多媒体音视频管控中心，集成了音频、视频、控制于一体的综合产品，输入输出可通过板卡拓展。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bCs/>
                <w:kern w:val="0"/>
                <w:sz w:val="24"/>
                <w:lang w:bidi="ar"/>
              </w:rPr>
              <w:t>✰</w:t>
            </w:r>
            <w:r>
              <w:rPr>
                <w:rFonts w:hint="eastAsia" w:ascii="仿宋_GB2312" w:hAnsi="仿宋_GB2312" w:eastAsia="仿宋_GB2312" w:cs="仿宋_GB2312"/>
                <w:i w:val="0"/>
                <w:color w:val="000000"/>
                <w:kern w:val="0"/>
                <w:sz w:val="21"/>
                <w:szCs w:val="21"/>
                <w:u w:val="none"/>
                <w:lang w:val="en-US" w:eastAsia="zh-CN" w:bidi="ar"/>
              </w:rPr>
              <w:t>2.系统操作与管理通过设备自带的7寸触摸屏（或外接IPAD无线控制端）实现一键调用与场景预设，一台设备既可完成多媒体会议系统的建设，简单便捷，展现智能与AV系统的完美结合。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3.内置.≥8路音频输入输出通道。≥8个RS232/485端口。8个弱电继电器。8个红外端口，4个IO端口。≥支持4路Dante网络音频信号输入、4路Dante网络音频信号输出≥可接输入输出卡数量/输入路数（4块/16路）。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4.具有采用双供电系统，交流支持90-230V宽电压供电或者12V直流供电，可切换供电，保证设备正常工作。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5.≥提供3个网络接口，3个网口可通过内置的交换机进行数据通讯，提供对外接入无线触摸屏等外部设备的网络扩展控制。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6.提供2个PoE使能网口，可直接用于连接外置触摸屏或按键面板等设备。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7.完善的IPv6协议支持，满足各种复杂的网络使用环境的要求。</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8.开放telnet功能。可远程查看设备状态，更改系统设置，辅助调试。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9.1GHz高速处理器，512M内存，512M Flash存储空间。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10.支持30组场景预设功能，支持手机、平板、安卓、苹果、微软等不同的移动端控制及模式调用。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11.支持HDMI，DVI，VGA(RGB)等格式输出。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12.支持4K高清信号和3D视频信号；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13.内置轮循切换功能，通过管理软件能任意设定间隔时间和通道</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13.所投多媒体管控平台产品需通过国家强制性认证（提供相关认证证明）。</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4路HDMI输入板卡</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1.≥4路HDMI-A母接口输入，输入最长距离达≥20M；</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2.支持EDID编辑功能，兼容HDMI1.4的标准，HDCP1.3协议, DVI1.0协议</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3.最大支持分辨率:HDPC: 1920x1200P@60_24bit；HDTV: 1920x1080P@60_36bit</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张</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4路HDMI输出板卡</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1.≥4路HDMI-A母接口输出，输出最长距离达7M；</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2.兼容HDMI1.4的标准，HDCP1，协议, DVI1.0协议；</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3.最大支持分辨率:HDPC: 1920x1200P@60_24bit，HDTV：1920x1080P@60_36bit</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张</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编程软件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 软件支持类C语言编程方式和模仿人类思维中文编程方式；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2.面向对象化的逻辑编程界面，包含项目实施所有设备控制编程，中文窗口化编程界面；</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3.自定义函数和宏指令的运用以及宏指令程序的封装，函数变量包含字符串函数，模拟量函数，数字量函数，精准的时间轴，灵活的if语句运用；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4.根据用户需求定制系统控制功能和触摸屏操作界面，支持双触点及三触点的程序编程界面，多子页操作界面，多页面动画效果等功能。</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36</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电源控制器</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1.可承载≥80A浪涌电流冲击，整机容量≥50A</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2.≥8路电源时序控制，每路延时≤1秒。可通过软件设置延时≤10分钟关闭</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3.每路输出采用万能插座AC220V（10A），适用各种类型插头。</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4.面板配常开电源座，方便临时用电。（面板直通插座可改为受控插座）</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6.MCU控制的智能化设计，具有标准RS232（RS232控制可升级为RS485控制）串口控制功能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7.具有外部电平(5V-24V)控制接口(外部电平控制接口可更改为外部开关控制)，和级联控口。</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37</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8路电源管理器</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1.8路大电流带常开/常闭触点继电器；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2.ITNET总线通讯，任意变换的网络ID设置；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3.单路功率负载1800W，总功率负载8000W</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4.ITNET总线通讯方式，控制方式采用总线或手动控制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5.采用24V DC总线供电，8路继电器模块</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6.继电器触点结构为带一对常开、常闭触点</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38</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DI盒子</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解决系统阻抗匹配问题，解决系统接地而产生的交流声,在平衡传输时,减少外界干扰.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1.输入阻抗：600Ω（交流阻抗），输出阻抗：600Ω（交流阻抗）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2.绝缘电阻：DC1000V 100MΩ，隔离电压：AC50HZ-60HZ OV-1500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3.定损失：＜0.7db（ref 1khz  1V rms）</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39</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多媒体地插</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网口、音频接口，高清接口等国产定制</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40</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多媒体桌插</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网口、音频接口，高清接口等国产定制</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音箱地插盒</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音箱接口国产定制</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线阵音箱支架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线阵田字吊架，配套双8寸线阵音箱使用、保险神</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控制机柜（27U)</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采用加厚优质冷轧钢板制作，全框架结构，可并排连位。采用旋转式散热风口，外形更美观，散热更优，噪音更低。四门带锁可拆式，以便调试安装。</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控制机柜（32U)</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采用加厚优质冷轧钢板制作，全框架结构，可并排连位。采用旋转式散热风口，外形更美观，散热更优，噪音更低。四门带锁可拆式，以便调试安装。</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辅材</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音频连接线，跳线，配件，接插件等</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批</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r>
      <w:tr>
        <w:tblPrEx>
          <w:tblCellMar>
            <w:top w:w="0" w:type="dxa"/>
            <w:left w:w="0" w:type="dxa"/>
            <w:bottom w:w="0" w:type="dxa"/>
            <w:right w:w="0" w:type="dxa"/>
          </w:tblCellMar>
        </w:tblPrEx>
        <w:trPr>
          <w:trHeight w:val="282" w:hRule="atLeast"/>
        </w:trPr>
        <w:tc>
          <w:tcPr>
            <w:tcW w:w="4556" w:type="pct"/>
            <w:gridSpan w:val="3"/>
            <w:tcBorders>
              <w:top w:val="single" w:color="auto" w:sz="4" w:space="0"/>
              <w:left w:val="single" w:color="auto" w:sz="8"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三、录播设备</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便携式录播主机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1.集数据采集、数据处理发布、管理于一体；</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2.可以完全脱离PC的嵌入式录播，只需要鼠标键盘就可以完成导录播。</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3.支持多路视频的画面无缝切换、叠加、拼接等处理功能；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4.支持≥3路SDI及≥1路HDMI信号,≥1路可选（HDMI/DVI/VGA/SDI）信号同时输入</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5.输入模式：HDMI/VGA：640×480@60~1920×1080@60.1080I@50/60.1080P@50/60；</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² HD-SDI：720P@50/60.1080I@50/60.1080P@25/30，3G-SDI：1080P@50/60</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6.编码格式：标准流媒体文件格式MP4，视频H.264，音频AAC、视频格式支持H.264，最高支持支持≥60帧视频录制；适合通用播放器或嵌入式网页播放方式，编码码流：48Kbps~20Mbps可调。</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7.网络接口：≥1个802、3ab 1000Base-T千兆网络接口；≥2个RS-232控制接口，≥1个485接口。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8.内置≥1TB硬盘，用于节目的长时间录制,最大支持≥3TB硬盘。</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9.录制模式≥2种（电影模式、电影加资源模式）。电影模式和资源模式可同时工作。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10.支持双电影模式导播，双导模式支持PGM和PGM2同时单流多画面录像和推流直播。</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11.导播方式支持手动、半自动、全自动模式，三种模式可以任意切换；</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12.手动导播模式支持视频预览、直播输出监视、视频切换、音频调整、录制模式切换等功能；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13.资源模式界面、电影模式界面统一；在菜单里勾选需要录制资源的通道，一键开启电影+资源模式录像就能同时录制PGM和资源录像。</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录播软件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主机配套，实现存储编辑，播放、图像跟踪等各类功能</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视频会议摄像机接口地插</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高清HDMI模块及网络接口模块组合</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282" w:hRule="atLeast"/>
        </w:trPr>
        <w:tc>
          <w:tcPr>
            <w:tcW w:w="4556" w:type="pct"/>
            <w:gridSpan w:val="3"/>
            <w:tcBorders>
              <w:top w:val="single" w:color="auto" w:sz="4" w:space="0"/>
              <w:left w:val="single" w:color="auto" w:sz="8"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四、分布式控制设备</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无线控制终端</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网络类型: WIFI热门功能: WiFi/重力感应/HDMI/3G外挂/U盘外挂 原笔迹手写 可拆卸键盘 人脸识别 蓝牙存储容量: 128GB支持摄像头类型: 双摄像头存储类型: 固态硬盘接口类型: USB 音频输出 闪存卡读取</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2路分布式视频输入节点</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1.分布式输入节点机采用单根网络线传输高清信号，支持1920*1080分辨率，支持千兆网络交换机，传输带宽小，可以达到零延时；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2.接口采用HDMI信号；采用Stratix10GX处理器，处理速度高达17.4GHz。色彩还原度高达99%。</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3.分布式结构，去中心化设计，无需配置服务器，任一节点出现故障，不影响其它节点的正常运行。</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4.信号：支持2路HDMI信号输入采集及编码，支持网络信号（H.265)</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5.网络：1路网口RJ45（10M/100M/1000M以太网自适应）</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6.串口：1路可编程485串口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7.其他接口：3.5音频输入*2</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2路分布式视频输出节点</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1.分布式输出节点机采用单根网络线传输高清信号，支持1920*1080分辨率，支持千兆网络交换机，传输带宽小，可以达到零延时；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2.接口采用HDMI信号；采用Stratix10GX处理器，处理速度高达17.4GHz。色彩还原度高达99%。</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3.分布式结构，去中心化设计，无需配置服务器，任一节点出现故障，不影响其它节点的正常运行。</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4.信号：支持2路HDMI信号输出解码，支持网络信号（H.265)</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5.网络：1路网口RJ45（10M/100M/1000M以太网自适应）</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6.串口：1路可编程485串口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7.其他接口：3.5音频输入*2</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2路分布式视频输入节点（带音频）</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1.分布式输入节点机采用单根网络线传输高清信号，支持1920*1080分辨率，支持千兆网络交换机，传输带宽小，可以达到零延时；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2.接口采用HDMI信号；采用Stratix10GX处理器，处理速度高达17.4GHz。色彩还原度高达99%。</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3.分布式结构，去中心化设计，无需配置服务器，任一节点出现故障，不影响其它节点的正常运行。</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4.信号：支持2路HDMI信号输入采集及编码，支持网络信号（H.265)</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5.网络：1路网口RJ45（10M/100M/1000M以太网自适应）</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6.串口：1路可编程485串口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7.其他接口：3.5音频输入*2</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2路分布式视频输出节点（带音频）</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1.分布式输出节点机采用单根网络线传输高清信号，支持1920*1080分辨率，支持千兆网络交换机，传输带宽小，可以达到零延时；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2.接口采用HDMI信号；采用Stratix10GX处理器，处理速度高达17.4GHz。色彩还原度高达99%。</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3.分布式结构，去中心化设计，无需配置服务器，任一节点出现故障，不影响其它节点的正常运行。</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4.信号：支持2路路HDMI信号输出解码，支持网络信号（H.265)，支持3.5音频网络化解码传输。</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5.网络：1路网口RJ45（10M/100M/1000M以太网自适应）</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6.串口：1路可编程485串口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7.其他接口：3.5音频输入*2</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分布式交互管理软件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1.支持任意18层开窗（可扩展定制达32层开窗），支持16路1080P解码；</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2.支持网络抓取电脑桌面、IP流信息流等；支持网络信号（H.264、H.265)、ONVIF、国标、RTSP流解码，私有协议解码（直接对接SDK）；</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3.支持自定义分割画面； 支持接入多个摄像机信号（H.265），接入数量不限定；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4.视频输出支持2K-4K的分辨率；支持云输入、云输出，理论上不限制输入、输出信号的数量；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5.支持云拼接，拼接画面任意选定，设定任意多个拼接的画面；支持云漫游，开窗的窗口，可以任意漫游到任何大屏的任何位置，并任意大小缩放（提供软件操作截图）；</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6.支持云字幕可自定义字幕的颜色、大小、形状、滚动方向及透明度调节等；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7.支持云预案，显示的画面，可以设置多个显示预案；可任意置换高达7680*4320的任意高清图片到处理器进行底图设置；</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8.支持云回显，上墙的高清信号，可在管理端多画面回显；</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9.全嵌入式、全网络构架、网络堆叠扩容无限制；支持微软系统控制，支持不同的移动控制模式（平板，落地终端）；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bCs/>
                <w:kern w:val="0"/>
                <w:sz w:val="24"/>
                <w:lang w:bidi="ar"/>
              </w:rPr>
              <w:t>✰</w:t>
            </w:r>
            <w:r>
              <w:rPr>
                <w:rFonts w:hint="eastAsia" w:ascii="仿宋_GB2312" w:hAnsi="仿宋_GB2312" w:eastAsia="仿宋_GB2312" w:cs="仿宋_GB2312"/>
                <w:i w:val="0"/>
                <w:color w:val="000000"/>
                <w:kern w:val="0"/>
                <w:sz w:val="21"/>
                <w:szCs w:val="21"/>
                <w:u w:val="none"/>
                <w:lang w:val="en-US" w:eastAsia="zh-CN" w:bidi="ar"/>
              </w:rPr>
              <w:t>10.支持微软系统控制，支持不同的移动控制模式（平板，落地终端），支持视频源和大屏显示画面在控制软件实时显示，支持对音量的管控、对环境管控，如灯光、大屏等设备的控制，可根据情景的需求定制成模式管控，如会议模式、休息模式；多间会议室可在一个软件上进行管控（提供软件操作截图）。</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分布式控制扩展终端</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1.支持4路可自定义协议的串口，根据需要可配置成RS-232、RS-485、RS-422、DMX512协议。</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2.对外接口采用凤凰端子连接。</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3.支持热插拔，内部接口和外部接口可抵抗20KV的静电冲击。</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4.支持4位16进制ID调节，最高容量可达65535、最高数据流量达10M/S</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5.内部供电电压24V，静态功耗0.5W。</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6.可通过TCP/IP与主机通讯，支持有线或无线连接。</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控制系统主机模块</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1.ARM11 CPU，512M 内存，8G Flash闪存； 组合处理能力1.4GHz的多线层多核处理器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2.支持CAN、RF、Ethernet、WIFI 等网络通讯方式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3.对外接口采用间距3.8mm凤凰端子接口，兼容RS232、RS485、DMX512协议，并能兼容全范围的波特率设置， DMX512兼容250K波特率。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4.支持≥8路可自定义协议的串口，根据需要可配置成RS232、RS485、DMX512协议，支持24V供电输出。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5.支持≥8路可自定义的IO输入，输出及红外输出，支持全频段载波的红外调制信号发送。</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6.支持433MHz的RF双向通信，无障碍控制距离：≥80m。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7.分布式控制系统架构，可通过无线或网络扩充，单系统支持≥60000台总线设备扩展，支持语音控制功能，支持系统自动云诊断、云备、云恢复（相关参数需提供国家认可的第三方检测机构的检测报告复印件，报告复印件）。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8.产品通过国家强制性认证（提供控制系统主机3C认证证书）。</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4556" w:type="pct"/>
            <w:gridSpan w:val="3"/>
            <w:tcBorders>
              <w:top w:val="single" w:color="auto" w:sz="4" w:space="0"/>
              <w:left w:val="single" w:color="auto" w:sz="8"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五、网络系统设备</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路由器</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千兆端口，无线传输速率：1200Mbps，无线网络支持频率：2.4G&amp;5G</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24口POE交换机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1、交换容量：交换容量≥330 Gbps（如果有不同值，以官网较小值为准）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2、包转发率：包转发率≥106 Mpps（如果有不同值，以官网较小值为准）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3、端口类型：千兆电口≥24个，万兆SFP+口≥4个</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4、POE功能：支持POE+，POE供电功率≥360W，交换机重启时，对POE下挂PD设备供电不中断。</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5、支持MAC地址≥16K；支持4K个VLAN；基于端口的VLAN，基于MAC的VLAN，基于协议的VLAN；支持协6、议VLAN；支持VLAN内端口隔离；支持Smart link；支持跨设备链路聚合。</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7、IP路由：支持静态路由、RIP、RIPng、OSPF</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8、防雷：支持10KV防雷技术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9、虚拟化：支持智能堆叠，堆叠后逻辑上虚拟为一台设备；支持以太网电口堆叠。</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光模块</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SFP+-10G-单模模块(1310nm,10km,LC)</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60</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会议系统核心交换机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1.总体设备要求：</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1）交换容量≥19Tbps,包转发率≥1400Mpps(若有不同指标，以较低值为准)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2）主控板槽位≥2，业务槽位数≥3;</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3)支持颗粒化电源，可配置电源≥2个;</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4）用户管理支持PPPoE、802.1X、MAC、Portal认证方式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5）路由特性支持支持IPv4/IPv6等价路由、策略路由、路由策略；支持IPv4和IPv6双协议栈</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6）缓存容量支持每端口200ms数据缓存</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2.实配要求：配置双主控、冗余电源模块、万兆光口≥32个；</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面板式AP</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1.PoE供电：满足802.3af/at以太网供电标准;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2.天线类型 内置全向天线,可同时在线的用户数量 ≤256</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3.最大发射功率 2.4G：21dBm（组合功率）,5G：20dBm（组合功率）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4.MIMO:空间流 2×2:2,无线协议 802.11a/b/g/n/ac/ac wave2</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5.最高速率 1.267Gbps</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24口交换机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1.交换容量：交换容量≥330 Gbps</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2.包转发率：包转发率≥106 Mpps</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3.端口类型：千兆电口≥24个，万兆SFP+口≥4个</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4.支持MAC地址≥16K，支持4K个VLAN；基于端口的VLAN，基于MAC的VLAN，基于协议的VLAN；支持协议VLAN；支持VLAN内端口隔离；支持Smart link；支持跨设备链路聚合。</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5.IP路由：支持静态路由、RIP、RIPng、OSPF。</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6.防雷：支持10KV防雷技术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7.虚拟化：支持智能堆叠，堆叠后逻辑上虚拟为一台设备；支持以太网电口堆叠</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档案系统核心交换机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1.总体设备要求：</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1）交换容量≥19Tbps,包转发率≥1400Mpps；</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2）主控板槽位≥2，业务槽位数≥3;</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3)支持颗粒化电源，可配置电源≥2个;</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4）用户管理支持PPPoE、802.1X、MAC、Portal认证方式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5）路由特性支持支持IPv4/IPv6等价路由、策略路由、路由策略；支持IPv4和IPv6双协议栈</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6）缓存容量支持每端口200ms数据缓存</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2.实配要求：配置双主控、冗余电源模块、万兆光口≥32个；</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防火墙</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1.含12*GE电口，12*SFP光口，2*SFP+光口，内置双交流电源，硬盘≥1TB；</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2.设备最大吞吐量≥10 Gbps，最大并发连接数≥4000万，每秒新建连接数≥20万；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3.接口支持配置从属IP地址，每个接口要求支持至少200个从属IP；</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4.支持缓存安卓和iOS文件，文件形式不限于视频、APP、文本文件等，并支持自学习性缓存，设备可自动缓存特定服务器的所有终端应用；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5.支持配置在用户上网时弹出广告页面，支持配置广告跳转链接和广告推送间隔，广告类型支持本地或第三方广告</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6.支持4G接入，并可实现4G连接与有线链路之间互为备份；支持的4G网卡必须包括华为E3372；支持在4G接口上运行IPSec VPN；</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支持支持源NAT、目的NAT、静态NAT、NAT44；支持FTP、H323、PPTP、RTSP、SIP、TFTP等应用协议ALG支持配置基于IPv6地址的安全策略，并在一条策略中可同时启用入侵防御、反病毒、URL过滤、应用识别等安全功能,支持6to4、ISATAP、IPv6手工等IPv6隧道技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8.支持应用识别，内置5000种以上应用特征库，并可识别iOS、安卓等移动互联网软件如微博、微信等特征，并可智能识别P2P和迅雷行为，并支持在线升级和手动升级；</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9.支持IP准入、MAC准入、IP+MAC准入、本地WEB认证、Portal认证、短信认证、免认证、微信认证、混合认证、AD域单点登录和访客二维码认证；</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支持微信认证，可以选择获取IP地址、OpenID或手机号等实名信息，支持与微信公众平台进行认证联动，认证方式包括公众号按钮跳转、公众号回复关键词等方式。认证过程中要求用户必须关注公众号，帮忙企业实现品牌营销；</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11.内置不少于8000条IPS规则库，包含安全漏洞、CGI攻击、缓存溢出、木马后门、网络数据库攻击、蠕虫病毒、间谍软件、欺骗劫持等安全类型；并支持在线升级和手动升级；</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12.至少支持telnet、ssh、ftp、imap、pop3、smtp、mysql、postgresql、mssql、rlogim、vnc等常见协议的弱密码检测功能，支持弱口令、空密码、用户名和密码相同等检测方式，弱口令字典可自定义设置，支持病毒检测引擎，内置病毒库不少于400万条，支持在线升级和手动升级；</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13.支持20余种威胁分类，包括C&amp;C节点、僵尸网络、木马、勒索、钓鱼等；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bCs/>
                <w:kern w:val="0"/>
                <w:sz w:val="24"/>
                <w:lang w:bidi="ar"/>
              </w:rPr>
              <w:t>✰</w:t>
            </w:r>
            <w:r>
              <w:rPr>
                <w:rFonts w:hint="eastAsia" w:ascii="仿宋_GB2312" w:hAnsi="仿宋_GB2312" w:eastAsia="仿宋_GB2312" w:cs="仿宋_GB2312"/>
                <w:i w:val="0"/>
                <w:color w:val="000000"/>
                <w:kern w:val="0"/>
                <w:sz w:val="21"/>
                <w:szCs w:val="21"/>
                <w:u w:val="none"/>
                <w:lang w:val="en-US" w:eastAsia="zh-CN" w:bidi="ar"/>
              </w:rPr>
              <w:t>14.支持实时获取威胁情报，并应用威胁情报对本地资产进行威胁检测，并可对检测到的威胁情报支持单点登陆威胁情报云平台查看该情报详情。</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4556" w:type="pct"/>
            <w:gridSpan w:val="3"/>
            <w:tcBorders>
              <w:top w:val="single" w:color="auto" w:sz="4" w:space="0"/>
              <w:left w:val="single" w:color="auto" w:sz="8"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六、电脑相关设备</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会议系统管理电脑</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CPU:≥4核，主频≥2.4GHZ/8G内存/1T机械硬盘/集显/光驱/24寸显示器*1个</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分体机双屏电脑</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CPU ≥4核，主频≥3.0GHZ/8G内存/1T机械硬盘/集显/光驱/24寸显示器*2个，可以加固态硬盘</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分体机单屏电脑</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CPU ≥4核，主频≥3.0GHZ/8G内存/1T机械硬盘/集显/光驱/24寸显示器*1个，可以加固态硬盘</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一体机电脑</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CPU ≥4核，主频≥1.6GHZ/8G内存/1T机械硬盘/128G固态硬盘/2G独显/无线键鼠/23.8寸</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扫描仪</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最大幅面A3，光学分辨率 ：600dpi以上，扫描范围：最大300×432mm（A3），扫描速度：1秒/张（A3同速，200dpi），3秒/张（初次扫描含预热，A3，200dpi），扫描光源：LED，扫描模式:彩色、灰阶、黑白，色彩位数 ：彩色：48位输入，24位输出，输出格式：支持jpg，多页tiff，多页pdf格式</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r>
      <w:tr>
        <w:tblPrEx>
          <w:tblCellMar>
            <w:top w:w="0" w:type="dxa"/>
            <w:left w:w="0" w:type="dxa"/>
            <w:bottom w:w="0" w:type="dxa"/>
            <w:right w:w="0" w:type="dxa"/>
          </w:tblCellMar>
        </w:tblPrEx>
        <w:trPr>
          <w:trHeight w:val="282" w:hRule="atLeast"/>
        </w:trPr>
        <w:tc>
          <w:tcPr>
            <w:tcW w:w="4556" w:type="pct"/>
            <w:gridSpan w:val="3"/>
            <w:tcBorders>
              <w:top w:val="single" w:color="auto" w:sz="4" w:space="0"/>
              <w:left w:val="single" w:color="auto" w:sz="8"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七、档案系统配套设备</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22寸壁挂播控一体机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1.嵌入式8核A53处理器，超清4K解码芯片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2.内存：1G，闪存：16G 可扩展，USB:2个</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3.网口：10/100/1000M自适应，WIFI：802.11 b/g/n</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4.显示尺寸：22寸，画面比例：16:9</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5.显示材质：IPS面板，背光方式：LED</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6.分辨率：1920×1080，可视角度：178°</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立式信息发布屏</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1.显示参数：64.5 inch，1080×1920@60Hz，≥400cd/m2</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2.操作系统:相关主流操作系统。</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3.CPU：4核，主频1.8 GHz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4.存储参数：内存2G，内置存储：8GB EMMC，SD卡32GB</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5.网络：有线、无线WIFI、3G/4G可选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6.触摸方式：非触摸屏，内置扬声器 x 2</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9.数据传输接口：USB x 2，</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10.功能特性：</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（1）素材类型多样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包括图片、音频、视频、滚动字幕、PDF文档、网页、实时监控画面、叫号、弹图等。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（2)节目编排灵活</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支持多种素材自由排版、分区显示，支持多种播放方式，按日、按周、轮播、自定义等。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(3)终端集中管理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支持终端统一远程管理和控制，支持网络远程下发节目和无网络本地（U盘）节目更新。</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分级管理权限</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支持5级组织管理素材、节目、终端、用户等资源，支持自定义用户，分配多种用户的权限。</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(4)多重安全保障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素材、节目、日程三级审核，防误播误报，终端屏保密码功能。</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无线取号机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1.17寸红外防爆触摸液晶显示屏；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2.爱普生532高速热敏打印机；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3.PC控制主机（工控D525X-R2双核1.8内存2G固态32G硬盘</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4.排队管理控制软件；语音系统</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5.内置功放及音响</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6.无线转接器，触摸式输入信号取票</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无线叫号器</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1.6位液晶显示，21键多功能按键</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2.可直插音频口评价器</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无线评价器</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1.10.1寸，CPU:四核,主频≥1.3G</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2.支持有线无线传输、多媒体及查询信息发布模块</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3.支持多媒体播放功能，支持视频录制。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支持多种格式，音频格式，视频格式，图片格式，文本格式。</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档案自助查询机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1.显示器：21.5寸、屏幕比例：16:9、分辨率：1920*1080、刷新率：60Hz、对比度：1000:1、亮度：350cd/m2、响应时间:4ms。</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2.电容触摸屏：21.5寸16：9、10点触摸、透光率：92％ 以上、分辨率:4096*4096、厚度：4mm、响应速度:&lt;16ms、表面硬度：7级/、操作电压：DC 12V、操作温度：-20℃ ～50℃、操作电流：85mA、通讯控制：USB接口、触摸次数：》6000万次以上、触摸方式：单击、双击、右键、画线、托拽 放大缩小。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3.主机：工控主板；CPU:I5;内存：4G;硬盘：1T固态硬盘；</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4.打印机：HP/惠普P1108黑白激光A4打印机,打印速度18页，打印分辨率1200页，月打印负荷5000页，进纸盘容量为150页纸张。</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档案机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离线语音识别数据化引擎一套</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1.支持离线环境下的本地离线数据化；</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2.离线条件下，接收语音信号，200ms内完成数据化，连续普通话数据化准确率不低于95%。</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支持中文方言识别转写，包括四川话、重庆话、河南话和云南话；</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4.支持行业专业术语和专有名字的识别转写，包括法律、教育、医疗等行业。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二、一体化终端一台</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1.终端采用金属材质，便携式箱体设计，同时内置电源与电池，无需额外携带电源；</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2.终端采用一体化设计，无需配合其他设备或模块即可独立完成离线语音数据化；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3.CPU：≥4核，主</w:t>
            </w:r>
            <w:bookmarkStart w:id="570" w:name="_GoBack"/>
            <w:r>
              <w:rPr>
                <w:rFonts w:hint="eastAsia" w:ascii="仿宋_GB2312" w:hAnsi="仿宋_GB2312" w:eastAsia="仿宋_GB2312" w:cs="仿宋_GB2312"/>
                <w:i w:val="0"/>
                <w:color w:val="000000"/>
                <w:kern w:val="0"/>
                <w:sz w:val="21"/>
                <w:szCs w:val="21"/>
                <w:u w:val="none"/>
                <w:lang w:val="en-US" w:eastAsia="zh-CN" w:bidi="ar"/>
              </w:rPr>
              <w:t>频≥2.5GHZ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4.显卡：显存≥2G,内存：≥30G,硬盘：≥250G，SSD固态；</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5.显示器：屏幕尺寸≥15”，显示比例16:9 ，物理分辨率≥1920*1080；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6.摄像头：内置高清摄像头，分辨率≥720p。</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7.显示输入端口：不少于1个SDI、1个DVI-D、1个HDMI、1个VGA高清视频接口；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8.显示输出端口：不少于1个HDMI高清视频接口；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9.快捷键：内置独立的快捷键，可实现一键开始、暂停和停止数据化；</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三、语音数据化应用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（1）管理应用一套</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1.关键词优化：支持通过文档批量添加中文名词为优化词，在数据化过程中，相同发音的词语可优先识别为优化词，有效提升该优化词的数据化准确率；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2.语气词屏蔽：支持在</w:t>
            </w:r>
            <w:bookmarkEnd w:id="570"/>
            <w:r>
              <w:rPr>
                <w:rFonts w:hint="eastAsia" w:ascii="仿宋_GB2312" w:hAnsi="仿宋_GB2312" w:eastAsia="仿宋_GB2312" w:cs="仿宋_GB2312"/>
                <w:i w:val="0"/>
                <w:color w:val="000000"/>
                <w:kern w:val="0"/>
                <w:sz w:val="21"/>
                <w:szCs w:val="21"/>
                <w:u w:val="none"/>
                <w:lang w:val="en-US" w:eastAsia="zh-CN" w:bidi="ar"/>
              </w:rPr>
              <w:t>语音数据化的过程中自动屏蔽语气词和多余的词汇，以保证数据化结果文字内容的规整；</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3.自动分段：支持在实时语音数据化成文字的过程中，对数据化的文字智能分词分段，便于阅读理解和后续编辑；</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4.符号预测：支持在实时语音数据化成文字的过程中，对数据化的文字智能标点符号预测，便于阅读理解和后续编辑；</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统一入口：产品各功能应用与管理模块具备统一入口，同一操作界面中须同时包含口述档案实时记录、重大活动全貌建档、音、频档案数据化、实时字幕辅助、历史记录、系统设置、关闭系统等功能应用的入口，并能够查看电池电量、系统音量、输入法等系统状态；</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6.导出加密：支持采集的档案数据导出加密；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7.安全设置：支持设置系统密码、导出口令、导出系统日志，且支持系统密码修改，支持导出口令修改和忘记密码查阅密码功能；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8.屏蔽词：支持在语音数据化过程中，不文明用语、敏感词等不适合出现在屏幕上的词汇屏蔽；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（2）基础应用一套</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A.口述征集实时记录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针对口述征集场景中，现场采集时连续语音流进行实时语音数据化识别，实现快速记录存档：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1.声音输入须可选外接麦克风、内置麦克风和蓝牙麦克风；</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2.实时输出文字结果，且无需借助其他终端与设备，即可在一体化终端中对文字结果进行即时编辑，无需等待输出完整文字档案再行整理，有效规避档案信息遗漏；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3.数据化完成后，须同时生成文字档案、对应的音频档案、音频档案著录文件、标准SRT字幕文件，并可通过移动介质导出，其中，SRT字幕文件可直接用于其他视频的编辑与合成；</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4.支持针对音频档案生成著录文件，且支持对著录文件修改。至少应包含时间、声道、声道语种、字幕语种、声道编号、格式、音频比特率、音频编码标准、音频采样率等信息；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5.支持生成口述档案实时记录记录列表，包含创建时间、时长、著录文件和文件大小等信息，且支持下载、删除、编辑记录名称等操作。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须支持基于声纹识别的一键角色区分功能，可通过分析语音转写历史记录中的声纹，一键自动区分转写文稿中的不同讲话人，且对应的讲话人通过不同颜色在转写记录进度条中标识，点击进度条中的颜色能够跳转到对应讲话人的文稿；</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7.为便于区分讲话人角色及后期文稿加工和整理，须支持批量修改和替换讲话人名称。</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B.重大活动全貌建档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对于重大活动中使用PPT演讲、培训等场景，支持学术研讨、工作总结、党政学习、培训后，实时生成音频及文字档案可供存档：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1.支持使用一体化终端直接演示PPT并进行记录，或使用其他设备、并通过视频输入的方式将PPT画面导入一体化终端进行PPT演示并记录；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演说过程中，在PPT中叠加字幕，并可手动选择字幕的开关、字幕的语言（至少应包括单中文、单英文和中英双语）及调整字幕的位置（至少应包括屏幕上方覆盖PPT、屏幕上方不覆盖PPT、屏幕下方覆盖PPT、屏幕下方不覆盖PPT；</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3.具备独立的数据化结果显示界面，且仅在一体化终端中显示，不会显示在外接屏幕中；</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4.活动演讲建档的内容支持声音与数据化结果文字对照功能，点击音频图标播放语音时，对应的文字会出现变色与音频对照</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活动演讲建档内容支持导出至移动存储设备，导出的内容至少须包括活动内容文字稿建档、活动音频档案、活动音频档案著录文件、PPT录屏文件及标准SRT字幕文件，其中，SRT字幕文件可直接用于其他视频的编辑与合成；</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6.持输出字幕的自动分段。字幕字色、背景、字号大小、宽度、LOGO、分辨率、行数等设置。支持字幕内容实时修改上屏。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C.实时字幕辅助</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对于学术研讨、党政学习、会议培训、视频会议、视频档案展播等场景，提供实时中英文字幕辅助展示功能：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1.支持数据化结果连接显示设备投放，进行数据化的中英文结果实时展示，显示设备可实时显示讲话人的所讲述的文字；</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2.支持全屏字幕模式，投屏后，屏幕中仅展示字幕，无其他画面；</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3.支持视频叠加字幕模式，将其他设备的视频信号输入一体化终端，在视频画面中叠加字幕，并输出叠加字幕后的视频，须支持视频档案展播、视频会议字幕叠加等应用；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4.支持输出字幕的自动分段。字幕字色、背景、字号大小、宽度、LOGO、分辨率、行数等设置。支持字幕内容实时修改上屏。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D.版式档案数据化</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支持馆藏档案数字化加工扫描后的图像进行OCR识别。实时生成OCR识别后的文稿文件。支持双层pdf文件合成；</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1.支持上传PDF、JPG、BMP、TIFF格式档案图片进行OCR识别；支持PDF文件单个、多个识别；</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2.支持图片类单个、多个识别，支持图片合并后识别生成双层PDF；</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3.支持对OCR识别后的文件进行文字定位，生成具有坐标位置的双层PDF，同时支持人工对识别结果进行修正，重新生成双层PDF；</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4.支持下载包含识别后的文字文件、双层PDF文件；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E.音、视频档案数据化</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对于声像档案中，音、视频档案文件的转文字需要，通过U盘或其他移动存储介质导入音、视频档案文件即可实现数据化成为文字稿和自动著录：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1.支持音、视频档案文件的快速离线数据化，单个连续音视频档案文件时长最大可支持5个小时，且1个小时的音、视频频文件数据化数据文稿所需时间不超过10分钟；</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2.支持.mp3、.wav、.amr、.m4a、avi、mpeg、wmv、flv等主流音、视频文件格式；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3.支持音、视频档案文件的批量导入与数据化；</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4.数据化结束后，可即时生成音、视频档案文件数据化记录列表，包含音视频档案文件名称、著录文件、音、视频档案文件时长、音视频档案文件大小、数据化剩余时间等信息；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5.如数据化失败，支持一键重新数据化或一键删除等操作；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 音、视频档案数据化结果可在一体化终端中直接进行本地编辑，无需导出后再行编辑；</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7.数据化结果可导出至移动存储设备，至少须包含数据化文字稿、著录文件和标准SRT文件，其中，SRT文件可直接用于其他视频的编辑与合成.</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须支持基于声纹识别的一键角色区分功能，可通过分析录音中的声纹，一键自动区分转写文稿中的不同讲话人，且对应的讲话人通过不同颜色在录音转写进度条中标识，点击进度条中的颜色能够跳转到对应讲话人的文稿；</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9.为便于区分讲话人角色及后期文稿加工和整理，须支持批量修改和替换讲话人名称。</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F.档案自动著录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支持应用生成的音频档案文件和导入的音、视频档案文件自动在本地著录，实时生成著录文件，并对应到相应的档案列表，支持著录内容标记、修改：</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1.各功能自动生成的著录文件，至少应包含时间、声道、声道语种、字幕语种、声道编号、格式、音频比特率、音频编码标准、音频采样率等信息；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2.著录文件支持捆绑导出操作；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3.至少支持口述征集实时记录、重大活动全貌建档、音、视频档案数据化等功能自动著录。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G.记录存档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各功能应用生成的记录存档可自动分类存储在本地，并自动生成对应的记录列表：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1.各功能应用的数据化记录列表，至少应包含记录名称、创建时间、记录时长、记录大小、著录文件等信息；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2.记录支持批量导出、批量删除等操作；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3.支持即时显示本地硬盘剩余存储空间，便于对数据化记录的归档与整理。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(3)功能拓展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A.中英文字幕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支持在语音数据化成为中英文混合文稿的同时，将中文文稿同步翻译成为英文文稿，并通过字幕的方式显示并输出和将英文文稿转化为中文文稿方式并通过字幕的方式显示并输出：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1.至少须支持三种显示模式：数据化转写结果、翻译结果、数据化转写+翻译结果输出并投屏显示模式；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2.字幕翻译：支持中英互译、中文翻译成英文、英文翻译成中文字幕输出支持在纯离线环境下完成。</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四、蓝牙麦克风</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1.定制无线蓝牙麦克风，领夹式设计；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2.支持蓝牙4.1及以下标准协议，连接稳定可靠；</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3.内置2个拾音麦克风，有效拾音距离不小于10米；</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4.内置双麦阵列降噪算法，确保收音质量与文字数据化准确度；</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5.支持一键选择麦克风的收音模式，至少应包括全向收音模式与指向收音模式；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6.麦克风采用一体化设计，无需配置开关、音量调节等实体按键；拿起即可自动开机，并自动与主机连接使用，无需任何开关、蓝牙连接等操作；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7.便携式终端配备麦克风专用充电收纳槽，收纳于终端中即可自动充电，无需单独配备充电。  </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4556" w:type="pct"/>
            <w:gridSpan w:val="3"/>
            <w:tcBorders>
              <w:top w:val="single" w:color="auto" w:sz="4" w:space="0"/>
              <w:left w:val="single" w:color="auto" w:sz="8"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八、无纸化系统</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15.6寸带话筒无纸化一体机升降机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铝框采用一体化弧形背框，内置升降器会议终端；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2、采用15.6寸全贴合超窄边IPS触摸液晶显示屏，触摸屏左右黑边≤5mm;，分辨率1920×1080，液晶显示屏可视角度85/85/85/85(TYP、),支持颜色：262K、72%NTSC,帧频率：60Hz,接口类型：30 pins eDP(Lanes) eDP、3,端子，对比度800：1(Typ、)透射；</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3、主频双核3、3G，内存DDR4 4G，存储容量：128G SSD</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4、触摸显示器升降单程时间小于8秒；一体机升降电机采用缓起缓停变频技术，升降机升降过程中缓起缓停自动变速，达到屏幕缓启缓停，防止冲撞；延长电机使用寿命；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5、支持电动点控摆角及手掰双模式调整屏幕仰角</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6、嵌入电动升降式系统及其液晶屏前后控制仰角、最大转角为35度，转轴采用一体化成型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7、传动升降方式：采用双光轴加齿轮齿条结构，传动齿轮须为铝齿轮，延长寿命。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8、采用五键机械式按纽开关，上升、暂停、下降、前摆角、后摆角，同时电脑开关机按键具有指示灯功能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9、升降话筒咪杆位于升降机左侧，方便与会者在触摸显示屏的时候不与话筒发生干涉；话筒自带捋直扶正功能；升降话筒按纽带光圈带提示灯，方便与会者了解话筒发言状态；</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10、产品通过国家强制性认证提供CCC认证证书(内容须有升降字样）（提供相关认证证书） </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无纸化会议控制电脑主机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1.采用铝合金面板，低噪音低功耗设计，E3工业级高性能处理器、内存≥16G、硬盘≥1T；</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2.自带8.9寸液晶显示屏，自带抽拉式键鼠，鼠标和键盘可隐蔽，方便工程调试及状态监控，含有VGA、AUDIO输出口及多种常用音视频会议接口;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3.支持局域网及外网的连接通讯，支持超强的会议管理功能；支持维护数据库，监测终端,安全涉密性强；系统稳定；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4.无纸化会议后台管理软件采用B/S网络架构，最多同时支持200台终端并发。支持无人值守工作模式，可通过客户端或Web端登陆访问；</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5.支持同一局域网内的PC通过B/S网络架构权限管理无纸化后台；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6.安装在控制主机上，提供无纸化系统会前、会中、会后所有功能的后台操作，系统含会议服务软件、文件管理软件；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7.支持多会议室管理，支持多会议预设，支持会议日程安排；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8.支持客户端访问模式、WEB访问模式，支持管理员登陆、参会人登录，支持参会人会前预览会议资料，支持在线编辑批注会议资料并在线上传更新。支持历史会议资料检索归档；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9.无纸化会议控制电脑主机须通过国家强制性认证（提供无纸化会议控制电脑主机CCC国家强制认证证书）。</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无纸化后台管理软件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1.具有高稳定性和可靠性的CS架构设计；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2.安装在控制主机上，提供无纸化系统会前、会中、会后所有功能的后台操作，系统含会议服务软件、文件管理软件；                                                                            3.支持多会议室管理，支持多会议预设，支持会议日程安排；                                                   4.支持客户端访问模式、WEB访问模式，支持管理员登陆、参会人登录，支持参会人会前预览会议资料，支持在线编辑批注会议资料并在线上传更新。支持历史会议资料检索归档；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5.软件须通过国家版权局审核通过并登记（提供国家计算机软件著作权认证证书）。</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无纸化会议终端客户端软件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1.主讲功能，分别对参会人员签到，会议议题，无纸化会议信号进行统一管理模式。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2.支持Windows、ios、Android、国产操作系统互联互通；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3.支持多管理员和超级管理员，不同管理员创建的会议互相保密。超级管理员有管理所有会议的权限。</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4.具有所有系统一键软关机功能及一键升降功能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5.客户端触摸导航栏位于参会者面对屏幕右侧，方便参会者很直观的找到所需要模块；</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6.参会人员具申请主讲功能；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7.软件须通过国家版权局审核通过并登记（提供国家计算机软件著作权认证证书）。</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手拉手数字会议主机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1、符合IEC60914、GBT15381-94国际标准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2、采用数字技术为核心 ，内置高性能CPU，支持讨论和视像跟踪功能 音频信号采用32bit高速浮点DSP进行处理， 带宽20Hz~20KHz完美清晰音质 高性能开关电源供电，长距离传输对音质不会有任何影响抗干扰电路设计，杜绝一切手机信号的干扰自带2.8寸液晶屏，独立按键操作支持USB录音，高保真WAV格式输出四路话筒连接，每路支持30个单元，可接120个单元，12支主席单元具有S端子和5P接线端子接口，连接标清或高清摄像头，支持SONY VISCA、EVI HD、PELCO P/D、BRC300通讯协议</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3、内置6进2出（RCA接口）视频器，最多可连接6个标清摄像头具有视频切换RS-232通讯接口，可连接高清视频切换器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4、具有报警信号输入接口，当公共广播报警系统启动时，可自动暂停会议，并向与会单元发送报警信息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5、具有中控代码RS-232接口，可连接中控系统</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6、多路音频输入输出接口，可连接扩声或录音设备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7、主机和电脑可以通过TCP/IP网络或者USB本地方式进行连接通讯，使用PC软件对系统进行设置。亦可不需电脑直接在主机上对系统进行设置，支持在线更新代码</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8、具有多种会议模式：、FIFO（先进先出模式）、LIFO（后进先出模式）、FREE（全开放模式）、APPLY（申请模式）、C-ONLY（主席模式）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9、可设置发言数量、自动关闭、限时关闭、声控发言等功能</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投影同屏控制器</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1.输入12VDC 5A，输入接口：RJ45，输出接口：VGA、HDMI、AUDIO。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2.支持接收多台客户端的投影请求显示，遵循先入先出的投影显示模式，支持最多四画面同时显示。                                                                                                   3.支持自适应投影分辨率，支持强制输出分辨率。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4.支持WINDOWS/ISO/安卓操作系统安装</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5.软件须通过国家版权局审核通过并登记（提供国家计算机软件著作权认证证书）。</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无纸化流媒体服务器</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1.支持H.264 Baseline Profile编码；支持H.264 Main Profile编码；支持H.264 High Profile编码；支持CBR / VBR 码率控制；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2.支持多种视频格式输入,包括 SDI/HDMI/DVI/VGA/YPbPR/CVBS/S-Video；</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3.支持高达 1080P的高清视频输入，支持图像参数设置；</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4.WEB 操作界面，中英文配置界面可选；WEB 操作界面权限管理；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5.支持流分辨率设置，支持 GOP 帧率设置；</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6.支持串口控制，支持无人值守工作模式，可通过客户端或Web端登陆访问</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4556" w:type="pct"/>
            <w:gridSpan w:val="3"/>
            <w:tcBorders>
              <w:top w:val="single" w:color="auto" w:sz="4" w:space="0"/>
              <w:left w:val="single" w:color="auto" w:sz="8"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九、会议预约系统</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信息发布服务器</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1、CPU：≥1.6GHZ,内存：4G,硬盘：1T</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2、显卡：专业图像处理显示卡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3、接口：USB×6、串口、VGA视频接口、音频输入/输出接口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4、网口：10/100/1000M自适应×2</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5、操作系统：主流操作系统</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22寸壁挂播控一体机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1、嵌入式8核处理器，超清4K解码芯片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2、内存：1G，闪存：16G 可扩展，网口：10/100/1000M自适应</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3、WIFI：802.11 b/g/n，显示尺寸：22寸</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4、画面比例：16:9，分辨率：1920×1080</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5、可视角度：178°，合金壁挂式框体</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6、支持平板/手机投屏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7、支持HTTP/RTSP/RTMP直播，延时可低于0.2s</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8、支持各类柱形图、条形图、折线图、饼图、雷达图、散点图等各类数据图表形成大数据展示</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嵌入式信息发布系统软件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1)可支持在各主流操作系统上安装，系统基于B/S结构，通过IP地址来管理各个显示终端的显示内容，显示参数、休眠设置等；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 系统功能：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1、系统首页:首页可以查看服务器运行状态、终端状态、任务发布状态等内容，并可进行就常用功能进行快捷导航。</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素材管理模块:对媒体素材进行管理，包括各种格式的图片、视频、音频、文档等素材进行上传、分类、删除等操作;接口素材管理，可定义视频、图片、文字等类型的接口素材，用于显示其他IT系统中获取的实时数据。</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bCs/>
                <w:sz w:val="24"/>
              </w:rPr>
              <w:t>✰</w:t>
            </w:r>
            <w:r>
              <w:rPr>
                <w:rFonts w:hint="eastAsia" w:ascii="仿宋_GB2312" w:hAnsi="仿宋_GB2312" w:eastAsia="仿宋_GB2312" w:cs="仿宋_GB2312"/>
                <w:i w:val="0"/>
                <w:color w:val="000000"/>
                <w:kern w:val="0"/>
                <w:sz w:val="21"/>
                <w:szCs w:val="21"/>
                <w:u w:val="none"/>
                <w:lang w:val="en-US" w:eastAsia="zh-CN" w:bidi="ar"/>
              </w:rPr>
              <w:t>3、数据图表编辑及绑定:可编辑柱形图、条形图、折线图、饼图、雷达图、散点图、地图、表格等各类数据图表（提供官网参数截图及操作界面截图证明），系统自带20多种图表样式。系统支持静态文本、表格文件、HTTP API、数据库连接等数据绑定的方式，自动绑定各IT系统数据，并转化成图表在屏幕上显示。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4、终端管理模块:管理终端、编辑终端名称、分组 、所在地等信息;为终端绑定各类任务，并下发。</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节目管理模块:可编辑节目模板，并添加多媒体内容，支持视频、图片、文字、时间、天气、网页、视频输入、设备输入等各元素自由编辑组合形成节目；可编辑互动节目，为互动节目编辑按钮、菜单及定义按钮事件，从而生成互动触摸节目。</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6、终端管理模块:管理终端、编辑终端名称、分组、所在地等信息;为终端绑定各类任务，并下发。</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终端监控模块:设置终端音量、亮度、开关时段、下载时段、互动时段、密码等内容；设置终端网络连接方式(以太网、WIFI、3G/4G)；进行格式化终端、开关机操作、升级终端软件、监视异常信息、获取终端播放日志、远程截屏监视等操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8、用户管理模块：管理系统用户、角色，并为用户、角色分配各种系统权限；</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9、统计报表管理模块：查看个终端报表、包括播放报告及触摸点击统计等；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10、系统帮助模块：可查看系统快速入门、常见问题、完整使用说明及软件版本；</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11、U盘管理：支持将节目拷贝到U盘进行播放，支持U盘下载任务、更新客户端软件等操作；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12、简易发布：可针对一些用途相对简单的项目设置简易发布模式，一步操作完成信息发布操作；</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信息发布客户端授权</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授权软件</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会议预定软件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一、基础管理：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1、能设置会议室名称、座位数、会议室类型信息；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2、能设置会议室设备信息；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3、能设置用户信息及用户角色；</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4、会议室状况查询：</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5、会议室使用情况查询；</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二、会议预定：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1、支持提交会议预定申请，填写会议时间、主题、与会人员、相关设备需求，并自动通过邮件或短信形式通知相关审核人员；</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2、审核人员可确认审核结果，并自动以邮件或短信形式通知申请人；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支持电子签到及会议自动取消，支持现场临时预订，支持第三方系统接口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三、会议引导</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1、申请通过的会议在会议开始前自动显示会议主题、会议时间、与会人员等信息；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2、如有重大会议时也可发送图片或视频形式进行会议引导；</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504" w:type="pct"/>
            <w:tcBorders>
              <w:top w:val="nil"/>
              <w:left w:val="nil"/>
              <w:bottom w:val="single" w:color="auto"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会议预定接口软件</w:t>
            </w:r>
          </w:p>
        </w:tc>
        <w:tc>
          <w:tcPr>
            <w:tcW w:w="3742" w:type="pct"/>
            <w:tcBorders>
              <w:top w:val="nil"/>
              <w:left w:val="nil"/>
              <w:bottom w:val="single" w:color="auto" w:sz="8"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可对接OA、钉钉、微信、OUTLOOK等接口，实现会议引导</w:t>
            </w:r>
          </w:p>
        </w:tc>
        <w:tc>
          <w:tcPr>
            <w:tcW w:w="217" w:type="pct"/>
            <w:tcBorders>
              <w:top w:val="nil"/>
              <w:left w:val="nil"/>
              <w:bottom w:val="single" w:color="auto"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bl>
    <w:p>
      <w:pPr>
        <w:ind w:firstLine="480" w:firstLineChars="200"/>
        <w:rPr>
          <w:rFonts w:hint="eastAsia" w:ascii="仿宋_GB2312" w:hAnsi="仿宋_GB2312" w:eastAsia="仿宋_GB2312" w:cs="仿宋_GB2312"/>
          <w:sz w:val="24"/>
          <w:szCs w:val="24"/>
          <w:lang w:val="en-US" w:eastAsia="zh-CN"/>
        </w:rPr>
      </w:pP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请投标人在报价前仔细踏勘现场、了解项目现状。本项目为一次性报价，包含包括投标人完成本项目所需的一切费用。具体包括货物报价和标准附件、水电、墙面及地面割槽修补围护（如有）、备品备件、专用工具、运输、装卸、保险、安装调试、检测、验收合格、技术支持、售后服务、围护所需的各种费用及必要的保险费用和各项税金等所有费用的总和，今后不作调整。</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商务需求</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交货时间及地点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 w:val="0"/>
          <w:bCs w:val="0"/>
          <w:sz w:val="24"/>
          <w:szCs w:val="24"/>
          <w:lang w:val="en-US" w:eastAsia="zh-CN"/>
        </w:rPr>
        <w:t>中标人应在合同签订后60日历天内供货、安装、调试完成。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（2）交货地点：采购人指定地点。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（3）中标人提供的中标物品，必须符合本采购文件要求、原包装送达采购单位；如有不符，采购人可以无条件退货，所造成的损失由中标人承担。更换后的零部件质保期按更换日起顺延。</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质保期及售后技术服务要求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保质期：5年。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质量保证期内提供免费上门维护、升级服务，如设备出现故障，供货单位在接到电话后，立即响应，2小时以内到现场处理，12小时内修复，现场不能修复的，必须采取无偿提供采购物品的备用件或整机等措施，保证用户单位的正常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（3）投标人应提供技术支持方案，内容由投标人根据实际选择以下要点：服务机构（维保点）的地址、人员状况、维修能力、联系方式、营业执照、公司资质材料、相关案例等。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（4）完整准确地表述原厂家的标准售后服务承诺（范围、标准及期限等）、投标人可能增加的服务承诺等。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4"/>
          <w:szCs w:val="24"/>
          <w:lang w:val="en-US" w:eastAsia="zh-CN"/>
        </w:rPr>
        <w:t>（5）明示服务承诺可能涉及的前提设定和费用，否则将被认为是无条件和免费的。</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项目实施计划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项目实施的组织工作方案：工作时间进度表、工作程序或步骤、管理和协调方法、送货方案等。</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（1）合同签订后中标供应商支付总价的5%作为履约保证金。（接受保函）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（2）合同签订后，采购人向中标单位支付至合同款的15%进度款。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（3）硬件设备安装调试验收完成后，采购人向中标单位支付至合同款的60%。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（4）软件验收完成后，采购人向中标单位支付至合同款的80%。同时采购人无息退还履约保证金。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（5）质保期满一年，无质量问题，采购人向中标单位支付合同款的10%，质保期满二年，无质量问题，采购人向中标单位支付合同款的5%，剩余5%待保质期满后一次性支付。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注：中标供应商所提供的货物、服务须与投标承诺一致，不得以次充好、偷工减料，若在项目验收中发现有上述情况，将向有关部门举报，根据相关规定进行处理。</w:t>
      </w:r>
    </w:p>
    <w:p>
      <w:pPr>
        <w:widowControl/>
        <w:jc w:val="center"/>
        <w:rPr>
          <w:rFonts w:ascii="仿宋_GB2312" w:hAnsi="仿宋" w:eastAsia="仿宋_GB2312" w:cs="仿宋_GB2312"/>
          <w:b/>
          <w:sz w:val="36"/>
          <w:szCs w:val="36"/>
        </w:rPr>
      </w:pPr>
      <w:r>
        <w:rPr>
          <w:rFonts w:ascii="仿宋_GB2312" w:hAnsi="仿宋" w:eastAsia="仿宋_GB2312" w:cs="仿宋_GB2312"/>
          <w:b/>
          <w:sz w:val="36"/>
          <w:szCs w:val="36"/>
        </w:rPr>
        <w:br w:type="page"/>
      </w:r>
      <w:r>
        <w:rPr>
          <w:rFonts w:hint="eastAsia" w:ascii="仿宋_GB2312" w:hAnsi="仿宋" w:eastAsia="仿宋_GB2312" w:cs="仿宋_GB2312"/>
          <w:b/>
          <w:sz w:val="36"/>
          <w:szCs w:val="36"/>
        </w:rPr>
        <w:t xml:space="preserve">第四部分   </w:t>
      </w:r>
      <w:bookmarkStart w:id="28" w:name="_Toc184314423"/>
      <w:bookmarkEnd w:id="28"/>
      <w:bookmarkStart w:id="29" w:name="_Toc184313264"/>
      <w:bookmarkEnd w:id="29"/>
      <w:bookmarkStart w:id="30" w:name="_Toc184313252"/>
      <w:bookmarkEnd w:id="30"/>
      <w:bookmarkStart w:id="31" w:name="_Toc184308083"/>
      <w:bookmarkEnd w:id="31"/>
      <w:bookmarkStart w:id="32" w:name="_Toc184314424"/>
      <w:bookmarkEnd w:id="32"/>
      <w:bookmarkStart w:id="33" w:name="_Toc184313277"/>
      <w:bookmarkEnd w:id="33"/>
      <w:bookmarkStart w:id="34" w:name="_Toc184310329"/>
      <w:bookmarkEnd w:id="34"/>
      <w:bookmarkStart w:id="35" w:name="_Toc184313290"/>
      <w:bookmarkEnd w:id="35"/>
      <w:bookmarkStart w:id="36" w:name="_Toc184312114"/>
      <w:bookmarkEnd w:id="36"/>
      <w:bookmarkStart w:id="37" w:name="_Toc184312071"/>
      <w:bookmarkEnd w:id="37"/>
      <w:bookmarkStart w:id="38" w:name="_Toc184308079"/>
      <w:bookmarkEnd w:id="38"/>
      <w:bookmarkStart w:id="39" w:name="_Toc184310305"/>
      <w:bookmarkEnd w:id="39"/>
      <w:bookmarkStart w:id="40" w:name="_Toc184314478"/>
      <w:bookmarkEnd w:id="40"/>
      <w:bookmarkStart w:id="41" w:name="_Toc184314426"/>
      <w:bookmarkEnd w:id="41"/>
      <w:bookmarkStart w:id="42" w:name="_Toc184308068"/>
      <w:bookmarkEnd w:id="42"/>
      <w:bookmarkStart w:id="43" w:name="_Toc184314475"/>
      <w:bookmarkEnd w:id="43"/>
      <w:bookmarkStart w:id="44" w:name="_Toc184308039"/>
      <w:bookmarkEnd w:id="44"/>
      <w:bookmarkStart w:id="45" w:name="_Toc184308065"/>
      <w:bookmarkEnd w:id="45"/>
      <w:bookmarkStart w:id="46" w:name="_Toc184308042"/>
      <w:bookmarkEnd w:id="46"/>
      <w:bookmarkStart w:id="47" w:name="_Toc184308089"/>
      <w:bookmarkEnd w:id="47"/>
      <w:bookmarkStart w:id="48" w:name="_Toc184314417"/>
      <w:bookmarkEnd w:id="48"/>
      <w:bookmarkStart w:id="49" w:name="_Toc184313303"/>
      <w:bookmarkEnd w:id="49"/>
      <w:bookmarkStart w:id="50" w:name="_Toc184310321"/>
      <w:bookmarkEnd w:id="50"/>
      <w:bookmarkStart w:id="51" w:name="_Toc184308078"/>
      <w:bookmarkEnd w:id="51"/>
      <w:bookmarkStart w:id="52" w:name="_Toc184308097"/>
      <w:bookmarkEnd w:id="52"/>
      <w:bookmarkStart w:id="53" w:name="_Toc184310272"/>
      <w:bookmarkEnd w:id="53"/>
      <w:bookmarkStart w:id="54" w:name="_Toc184310311"/>
      <w:bookmarkEnd w:id="54"/>
      <w:bookmarkStart w:id="55" w:name="_Toc184310294"/>
      <w:bookmarkEnd w:id="55"/>
      <w:bookmarkStart w:id="56" w:name="_Toc184312074"/>
      <w:bookmarkEnd w:id="56"/>
      <w:bookmarkStart w:id="57" w:name="_Toc184313266"/>
      <w:bookmarkEnd w:id="57"/>
      <w:bookmarkStart w:id="58" w:name="_Toc184313284"/>
      <w:bookmarkEnd w:id="58"/>
      <w:bookmarkStart w:id="59" w:name="_Toc184312076"/>
      <w:bookmarkEnd w:id="59"/>
      <w:bookmarkStart w:id="60" w:name="_Toc184314480"/>
      <w:bookmarkEnd w:id="60"/>
      <w:bookmarkStart w:id="61" w:name="_Toc184310290"/>
      <w:bookmarkEnd w:id="61"/>
      <w:bookmarkStart w:id="62" w:name="_Toc184312102"/>
      <w:bookmarkEnd w:id="62"/>
      <w:bookmarkStart w:id="63" w:name="_Toc184313308"/>
      <w:bookmarkEnd w:id="63"/>
      <w:bookmarkStart w:id="64" w:name="_Toc184314410"/>
      <w:bookmarkEnd w:id="64"/>
      <w:bookmarkStart w:id="65" w:name="_Toc184312104"/>
      <w:bookmarkEnd w:id="65"/>
      <w:bookmarkStart w:id="66" w:name="_Toc184310333"/>
      <w:bookmarkEnd w:id="66"/>
      <w:bookmarkStart w:id="67" w:name="_Toc184310325"/>
      <w:bookmarkEnd w:id="67"/>
      <w:bookmarkStart w:id="68" w:name="_Toc184312081"/>
      <w:bookmarkEnd w:id="68"/>
      <w:bookmarkStart w:id="69" w:name="_Toc184312132"/>
      <w:bookmarkEnd w:id="69"/>
      <w:bookmarkStart w:id="70" w:name="_Toc184314429"/>
      <w:bookmarkEnd w:id="70"/>
      <w:bookmarkStart w:id="71" w:name="_Toc184310296"/>
      <w:bookmarkEnd w:id="71"/>
      <w:bookmarkStart w:id="72" w:name="_Toc184312117"/>
      <w:bookmarkEnd w:id="72"/>
      <w:bookmarkStart w:id="73" w:name="_Toc184312123"/>
      <w:bookmarkEnd w:id="73"/>
      <w:bookmarkStart w:id="74" w:name="_Toc184308093"/>
      <w:bookmarkEnd w:id="74"/>
      <w:bookmarkStart w:id="75" w:name="_Toc184313294"/>
      <w:bookmarkEnd w:id="75"/>
      <w:bookmarkStart w:id="76" w:name="_Toc184313287"/>
      <w:bookmarkEnd w:id="76"/>
      <w:bookmarkStart w:id="77" w:name="_Toc184310276"/>
      <w:bookmarkEnd w:id="77"/>
      <w:bookmarkStart w:id="78" w:name="_Toc184308053"/>
      <w:bookmarkEnd w:id="78"/>
      <w:bookmarkStart w:id="79" w:name="_Toc184310302"/>
      <w:bookmarkEnd w:id="79"/>
      <w:bookmarkStart w:id="80" w:name="_Toc184314463"/>
      <w:bookmarkEnd w:id="80"/>
      <w:bookmarkStart w:id="81" w:name="_Toc184314430"/>
      <w:bookmarkEnd w:id="81"/>
      <w:bookmarkStart w:id="82" w:name="_Toc184308092"/>
      <w:bookmarkEnd w:id="82"/>
      <w:bookmarkStart w:id="83" w:name="_Toc184310312"/>
      <w:bookmarkEnd w:id="83"/>
      <w:bookmarkStart w:id="84" w:name="_Toc184310293"/>
      <w:bookmarkEnd w:id="84"/>
      <w:bookmarkStart w:id="85" w:name="_Toc184313309"/>
      <w:bookmarkEnd w:id="85"/>
      <w:bookmarkStart w:id="86" w:name="_Toc184313274"/>
      <w:bookmarkEnd w:id="86"/>
      <w:bookmarkStart w:id="87" w:name="_Toc184312085"/>
      <w:bookmarkEnd w:id="87"/>
      <w:bookmarkStart w:id="88" w:name="_Toc184313238"/>
      <w:bookmarkEnd w:id="88"/>
      <w:bookmarkStart w:id="89" w:name="_Toc184314455"/>
      <w:bookmarkEnd w:id="89"/>
      <w:bookmarkStart w:id="90" w:name="_Toc184312125"/>
      <w:bookmarkEnd w:id="90"/>
      <w:bookmarkStart w:id="91" w:name="_Toc184310303"/>
      <w:bookmarkEnd w:id="91"/>
      <w:bookmarkStart w:id="92" w:name="_Toc184314474"/>
      <w:bookmarkEnd w:id="92"/>
      <w:bookmarkStart w:id="93" w:name="_Toc184308072"/>
      <w:bookmarkEnd w:id="93"/>
      <w:bookmarkStart w:id="94" w:name="_Toc184308087"/>
      <w:bookmarkEnd w:id="94"/>
      <w:bookmarkStart w:id="95" w:name="_Toc184308056"/>
      <w:bookmarkEnd w:id="95"/>
      <w:bookmarkStart w:id="96" w:name="_Toc184310323"/>
      <w:bookmarkEnd w:id="96"/>
      <w:bookmarkStart w:id="97" w:name="_Toc184308061"/>
      <w:bookmarkEnd w:id="97"/>
      <w:bookmarkStart w:id="98" w:name="_Toc184308055"/>
      <w:bookmarkEnd w:id="98"/>
      <w:bookmarkStart w:id="99" w:name="_Toc184310286"/>
      <w:bookmarkEnd w:id="99"/>
      <w:bookmarkStart w:id="100" w:name="_Toc184314411"/>
      <w:bookmarkEnd w:id="100"/>
      <w:bookmarkStart w:id="101" w:name="_Toc184310310"/>
      <w:bookmarkEnd w:id="101"/>
      <w:bookmarkStart w:id="102" w:name="_Toc184314428"/>
      <w:bookmarkEnd w:id="102"/>
      <w:bookmarkStart w:id="103" w:name="_Toc184313276"/>
      <w:bookmarkEnd w:id="103"/>
      <w:bookmarkStart w:id="104" w:name="_Toc184310326"/>
      <w:bookmarkEnd w:id="104"/>
      <w:bookmarkStart w:id="105" w:name="_Toc184308077"/>
      <w:bookmarkEnd w:id="105"/>
      <w:bookmarkStart w:id="106" w:name="_Toc184312127"/>
      <w:bookmarkEnd w:id="106"/>
      <w:bookmarkStart w:id="107" w:name="_Toc184313271"/>
      <w:bookmarkEnd w:id="107"/>
      <w:bookmarkStart w:id="108" w:name="_Toc184312109"/>
      <w:bookmarkEnd w:id="108"/>
      <w:bookmarkStart w:id="109" w:name="_Toc184313297"/>
      <w:bookmarkEnd w:id="109"/>
      <w:bookmarkStart w:id="110" w:name="_Toc184308101"/>
      <w:bookmarkEnd w:id="110"/>
      <w:bookmarkStart w:id="111" w:name="_Toc184314439"/>
      <w:bookmarkEnd w:id="111"/>
      <w:bookmarkStart w:id="112" w:name="_Toc184314445"/>
      <w:bookmarkEnd w:id="112"/>
      <w:bookmarkStart w:id="113" w:name="_Toc184313269"/>
      <w:bookmarkEnd w:id="113"/>
      <w:bookmarkStart w:id="114" w:name="_Toc184314469"/>
      <w:bookmarkEnd w:id="114"/>
      <w:bookmarkStart w:id="115" w:name="_Toc184313268"/>
      <w:bookmarkEnd w:id="115"/>
      <w:bookmarkStart w:id="116" w:name="_Toc184313272"/>
      <w:bookmarkEnd w:id="116"/>
      <w:bookmarkStart w:id="117" w:name="_Toc184312093"/>
      <w:bookmarkEnd w:id="117"/>
      <w:bookmarkStart w:id="118" w:name="_Toc184312118"/>
      <w:bookmarkEnd w:id="118"/>
      <w:bookmarkStart w:id="119" w:name="_Toc184313246"/>
      <w:bookmarkEnd w:id="119"/>
      <w:bookmarkStart w:id="120" w:name="_Toc184314446"/>
      <w:bookmarkEnd w:id="120"/>
      <w:bookmarkStart w:id="121" w:name="_Toc184314436"/>
      <w:bookmarkEnd w:id="121"/>
      <w:bookmarkStart w:id="122" w:name="_Toc184314421"/>
      <w:bookmarkEnd w:id="122"/>
      <w:bookmarkStart w:id="123" w:name="_Toc184314460"/>
      <w:bookmarkEnd w:id="123"/>
      <w:bookmarkStart w:id="124" w:name="_Toc184313286"/>
      <w:bookmarkEnd w:id="124"/>
      <w:bookmarkStart w:id="125" w:name="_Toc184310331"/>
      <w:bookmarkEnd w:id="125"/>
      <w:bookmarkStart w:id="126" w:name="_Toc184308038"/>
      <w:bookmarkEnd w:id="126"/>
      <w:bookmarkStart w:id="127" w:name="_Toc184313239"/>
      <w:bookmarkEnd w:id="127"/>
      <w:bookmarkStart w:id="128" w:name="_Toc184313285"/>
      <w:bookmarkEnd w:id="128"/>
      <w:bookmarkStart w:id="129" w:name="_Toc184310340"/>
      <w:bookmarkEnd w:id="129"/>
      <w:bookmarkStart w:id="130" w:name="_Toc184313253"/>
      <w:bookmarkEnd w:id="130"/>
      <w:bookmarkStart w:id="131" w:name="_Toc184308071"/>
      <w:bookmarkEnd w:id="131"/>
      <w:bookmarkStart w:id="132" w:name="_Toc184314442"/>
      <w:bookmarkEnd w:id="132"/>
      <w:bookmarkStart w:id="133" w:name="_Toc184308081"/>
      <w:bookmarkEnd w:id="133"/>
      <w:bookmarkStart w:id="134" w:name="_Toc184308098"/>
      <w:bookmarkEnd w:id="134"/>
      <w:bookmarkStart w:id="135" w:name="_Toc184313300"/>
      <w:bookmarkEnd w:id="135"/>
      <w:bookmarkStart w:id="136" w:name="_Toc184313306"/>
      <w:bookmarkEnd w:id="136"/>
      <w:bookmarkStart w:id="137" w:name="_Toc184314443"/>
      <w:bookmarkEnd w:id="137"/>
      <w:bookmarkStart w:id="138" w:name="_Toc184314444"/>
      <w:bookmarkEnd w:id="138"/>
      <w:bookmarkStart w:id="139" w:name="_Toc184308067"/>
      <w:bookmarkEnd w:id="139"/>
      <w:bookmarkStart w:id="140" w:name="_Toc184314425"/>
      <w:bookmarkEnd w:id="140"/>
      <w:bookmarkStart w:id="141" w:name="_Toc184310295"/>
      <w:bookmarkEnd w:id="141"/>
      <w:bookmarkStart w:id="142" w:name="_Toc184308076"/>
      <w:bookmarkEnd w:id="142"/>
      <w:bookmarkStart w:id="143" w:name="_Toc184314477"/>
      <w:bookmarkEnd w:id="143"/>
      <w:bookmarkStart w:id="144" w:name="_Toc184312136"/>
      <w:bookmarkEnd w:id="144"/>
      <w:bookmarkStart w:id="145" w:name="_Toc184308070"/>
      <w:bookmarkEnd w:id="145"/>
      <w:bookmarkStart w:id="146" w:name="_Toc184310334"/>
      <w:bookmarkEnd w:id="146"/>
      <w:bookmarkStart w:id="147" w:name="_Toc184310342"/>
      <w:bookmarkEnd w:id="147"/>
      <w:bookmarkStart w:id="148" w:name="_Toc184310298"/>
      <w:bookmarkEnd w:id="148"/>
      <w:bookmarkStart w:id="149" w:name="_Toc184310304"/>
      <w:bookmarkEnd w:id="149"/>
      <w:bookmarkStart w:id="150" w:name="_Toc184310284"/>
      <w:bookmarkEnd w:id="150"/>
      <w:bookmarkStart w:id="151" w:name="_Toc184313265"/>
      <w:bookmarkEnd w:id="151"/>
      <w:bookmarkStart w:id="152" w:name="_Toc184310341"/>
      <w:bookmarkEnd w:id="152"/>
      <w:bookmarkStart w:id="153" w:name="_Toc184312138"/>
      <w:bookmarkEnd w:id="153"/>
      <w:bookmarkStart w:id="154" w:name="_Toc184312091"/>
      <w:bookmarkEnd w:id="154"/>
      <w:bookmarkStart w:id="155" w:name="_Toc184308050"/>
      <w:bookmarkEnd w:id="155"/>
      <w:bookmarkStart w:id="156" w:name="_Toc184308085"/>
      <w:bookmarkEnd w:id="156"/>
      <w:bookmarkStart w:id="157" w:name="_Toc184312079"/>
      <w:bookmarkEnd w:id="157"/>
      <w:bookmarkStart w:id="158" w:name="_Toc184312103"/>
      <w:bookmarkEnd w:id="158"/>
      <w:bookmarkStart w:id="159" w:name="_Toc184313288"/>
      <w:bookmarkEnd w:id="159"/>
      <w:bookmarkStart w:id="160" w:name="_Toc184313292"/>
      <w:bookmarkEnd w:id="160"/>
      <w:bookmarkStart w:id="161" w:name="_Toc184314434"/>
      <w:bookmarkEnd w:id="161"/>
      <w:bookmarkStart w:id="162" w:name="_Toc184310277"/>
      <w:bookmarkEnd w:id="162"/>
      <w:bookmarkStart w:id="163" w:name="_Toc184308058"/>
      <w:bookmarkEnd w:id="163"/>
      <w:bookmarkStart w:id="164" w:name="_Toc184308094"/>
      <w:bookmarkEnd w:id="164"/>
      <w:bookmarkStart w:id="165" w:name="_Toc184312080"/>
      <w:bookmarkEnd w:id="165"/>
      <w:bookmarkStart w:id="166" w:name="_Toc184312084"/>
      <w:bookmarkEnd w:id="166"/>
      <w:bookmarkStart w:id="167" w:name="_Toc184308045"/>
      <w:bookmarkEnd w:id="167"/>
      <w:bookmarkStart w:id="168" w:name="_Toc184312070"/>
      <w:bookmarkEnd w:id="168"/>
      <w:bookmarkStart w:id="169" w:name="_Toc184308069"/>
      <w:bookmarkEnd w:id="169"/>
      <w:bookmarkStart w:id="170" w:name="_Toc184310316"/>
      <w:bookmarkEnd w:id="170"/>
      <w:bookmarkStart w:id="171" w:name="_Toc184313280"/>
      <w:bookmarkEnd w:id="171"/>
      <w:bookmarkStart w:id="172" w:name="_Toc184312090"/>
      <w:bookmarkEnd w:id="172"/>
      <w:bookmarkStart w:id="173" w:name="_Toc184308088"/>
      <w:bookmarkEnd w:id="173"/>
      <w:bookmarkStart w:id="174" w:name="_Toc184314471"/>
      <w:bookmarkEnd w:id="174"/>
      <w:bookmarkStart w:id="175" w:name="_Toc184312106"/>
      <w:bookmarkEnd w:id="175"/>
      <w:bookmarkStart w:id="176" w:name="_Toc184314450"/>
      <w:bookmarkEnd w:id="176"/>
      <w:bookmarkStart w:id="177" w:name="_Toc184312133"/>
      <w:bookmarkEnd w:id="177"/>
      <w:bookmarkStart w:id="178" w:name="_Toc184308046"/>
      <w:bookmarkEnd w:id="178"/>
      <w:bookmarkStart w:id="179" w:name="_Toc184314476"/>
      <w:bookmarkEnd w:id="179"/>
      <w:bookmarkStart w:id="180" w:name="_Toc184310314"/>
      <w:bookmarkEnd w:id="180"/>
      <w:bookmarkStart w:id="181" w:name="_Toc184308049"/>
      <w:bookmarkEnd w:id="181"/>
      <w:bookmarkStart w:id="182" w:name="_Toc184313281"/>
      <w:bookmarkEnd w:id="182"/>
      <w:bookmarkStart w:id="183" w:name="_Toc184312082"/>
      <w:bookmarkEnd w:id="183"/>
      <w:bookmarkStart w:id="184" w:name="_Toc184313283"/>
      <w:bookmarkEnd w:id="184"/>
      <w:bookmarkStart w:id="185" w:name="_Toc184312116"/>
      <w:bookmarkEnd w:id="185"/>
      <w:bookmarkStart w:id="186" w:name="_Toc184310306"/>
      <w:bookmarkEnd w:id="186"/>
      <w:bookmarkStart w:id="187" w:name="_Toc184313256"/>
      <w:bookmarkEnd w:id="187"/>
      <w:bookmarkStart w:id="188" w:name="_Toc184313270"/>
      <w:bookmarkEnd w:id="188"/>
      <w:bookmarkStart w:id="189" w:name="_Toc184308104"/>
      <w:bookmarkEnd w:id="189"/>
      <w:bookmarkStart w:id="190" w:name="_Toc184313278"/>
      <w:bookmarkEnd w:id="190"/>
      <w:bookmarkStart w:id="191" w:name="_Toc184312110"/>
      <w:bookmarkEnd w:id="191"/>
      <w:bookmarkStart w:id="192" w:name="_Toc184310288"/>
      <w:bookmarkEnd w:id="192"/>
      <w:bookmarkStart w:id="193" w:name="_Toc184314440"/>
      <w:bookmarkEnd w:id="193"/>
      <w:bookmarkStart w:id="194" w:name="_Toc184310273"/>
      <w:bookmarkEnd w:id="194"/>
      <w:bookmarkStart w:id="195" w:name="_Toc184308080"/>
      <w:bookmarkEnd w:id="195"/>
      <w:bookmarkStart w:id="196" w:name="_Toc184308074"/>
      <w:bookmarkEnd w:id="196"/>
      <w:bookmarkStart w:id="197" w:name="_Toc184313296"/>
      <w:bookmarkEnd w:id="197"/>
      <w:bookmarkStart w:id="198" w:name="_Toc184308075"/>
      <w:bookmarkEnd w:id="198"/>
      <w:bookmarkStart w:id="199" w:name="_Toc184310292"/>
      <w:bookmarkEnd w:id="199"/>
      <w:bookmarkStart w:id="200" w:name="_Toc184310327"/>
      <w:bookmarkEnd w:id="200"/>
      <w:bookmarkStart w:id="201" w:name="_Toc184313263"/>
      <w:bookmarkEnd w:id="201"/>
      <w:bookmarkStart w:id="202" w:name="_Toc184310339"/>
      <w:bookmarkEnd w:id="202"/>
      <w:bookmarkStart w:id="203" w:name="_Toc184314448"/>
      <w:bookmarkEnd w:id="203"/>
      <w:bookmarkStart w:id="204" w:name="_Toc184314468"/>
      <w:bookmarkEnd w:id="204"/>
      <w:bookmarkStart w:id="205" w:name="_Toc184312139"/>
      <w:bookmarkEnd w:id="205"/>
      <w:bookmarkStart w:id="206" w:name="_Toc184312119"/>
      <w:bookmarkEnd w:id="206"/>
      <w:bookmarkStart w:id="207" w:name="_Toc184310336"/>
      <w:bookmarkEnd w:id="207"/>
      <w:bookmarkStart w:id="208" w:name="_Toc184308105"/>
      <w:bookmarkEnd w:id="208"/>
      <w:bookmarkStart w:id="209" w:name="_Toc184314427"/>
      <w:bookmarkEnd w:id="209"/>
      <w:bookmarkStart w:id="210" w:name="_Toc184313305"/>
      <w:bookmarkEnd w:id="210"/>
      <w:bookmarkStart w:id="211" w:name="_Toc184313247"/>
      <w:bookmarkEnd w:id="211"/>
      <w:bookmarkStart w:id="212" w:name="_Toc184313275"/>
      <w:bookmarkEnd w:id="212"/>
      <w:bookmarkStart w:id="213" w:name="_Toc184313243"/>
      <w:bookmarkEnd w:id="213"/>
      <w:bookmarkStart w:id="214" w:name="_Toc184312099"/>
      <w:bookmarkEnd w:id="214"/>
      <w:bookmarkStart w:id="215" w:name="_Toc184313301"/>
      <w:bookmarkEnd w:id="215"/>
      <w:bookmarkStart w:id="216" w:name="_Toc184308057"/>
      <w:bookmarkEnd w:id="216"/>
      <w:bookmarkStart w:id="217" w:name="_Toc184313302"/>
      <w:bookmarkEnd w:id="217"/>
      <w:bookmarkStart w:id="218" w:name="_Toc184312134"/>
      <w:bookmarkEnd w:id="218"/>
      <w:bookmarkStart w:id="219" w:name="_Toc184314416"/>
      <w:bookmarkEnd w:id="219"/>
      <w:bookmarkStart w:id="220" w:name="_Toc184312120"/>
      <w:bookmarkEnd w:id="220"/>
      <w:bookmarkStart w:id="221" w:name="_Toc184312131"/>
      <w:bookmarkEnd w:id="221"/>
      <w:bookmarkStart w:id="222" w:name="_Toc184308047"/>
      <w:bookmarkEnd w:id="222"/>
      <w:bookmarkStart w:id="223" w:name="_Toc184312111"/>
      <w:bookmarkEnd w:id="223"/>
      <w:bookmarkStart w:id="224" w:name="_Toc184308100"/>
      <w:bookmarkEnd w:id="224"/>
      <w:bookmarkStart w:id="225" w:name="_Toc184310335"/>
      <w:bookmarkEnd w:id="225"/>
      <w:bookmarkStart w:id="226" w:name="_Toc184312108"/>
      <w:bookmarkEnd w:id="226"/>
      <w:bookmarkStart w:id="227" w:name="_Toc184310320"/>
      <w:bookmarkEnd w:id="227"/>
      <w:bookmarkStart w:id="228" w:name="_Toc184310282"/>
      <w:bookmarkEnd w:id="228"/>
      <w:bookmarkStart w:id="229" w:name="_Toc184308044"/>
      <w:bookmarkEnd w:id="229"/>
      <w:bookmarkStart w:id="230" w:name="_Toc184313245"/>
      <w:bookmarkEnd w:id="230"/>
      <w:bookmarkStart w:id="231" w:name="_Toc184312101"/>
      <w:bookmarkEnd w:id="231"/>
      <w:bookmarkStart w:id="232" w:name="_Toc184312135"/>
      <w:bookmarkEnd w:id="232"/>
      <w:bookmarkStart w:id="233" w:name="_Toc184310281"/>
      <w:bookmarkEnd w:id="233"/>
      <w:bookmarkStart w:id="234" w:name="_Toc184313249"/>
      <w:bookmarkEnd w:id="234"/>
      <w:bookmarkStart w:id="235" w:name="_Toc184308054"/>
      <w:bookmarkEnd w:id="235"/>
      <w:bookmarkStart w:id="236" w:name="_Toc184310318"/>
      <w:bookmarkEnd w:id="236"/>
      <w:bookmarkStart w:id="237" w:name="_Toc184310344"/>
      <w:bookmarkEnd w:id="237"/>
      <w:bookmarkStart w:id="238" w:name="_Toc184310324"/>
      <w:bookmarkEnd w:id="238"/>
      <w:bookmarkStart w:id="239" w:name="_Toc184312067"/>
      <w:bookmarkEnd w:id="239"/>
      <w:bookmarkStart w:id="240" w:name="_Toc184310338"/>
      <w:bookmarkEnd w:id="240"/>
      <w:bookmarkStart w:id="241" w:name="_Toc184310278"/>
      <w:bookmarkEnd w:id="241"/>
      <w:bookmarkStart w:id="242" w:name="_Toc184314447"/>
      <w:bookmarkEnd w:id="242"/>
      <w:bookmarkStart w:id="243" w:name="_Toc184312078"/>
      <w:bookmarkEnd w:id="243"/>
      <w:bookmarkStart w:id="244" w:name="_Toc184313248"/>
      <w:bookmarkEnd w:id="244"/>
      <w:bookmarkStart w:id="245" w:name="_Toc184314459"/>
      <w:bookmarkEnd w:id="245"/>
      <w:bookmarkStart w:id="246" w:name="_Toc184314438"/>
      <w:bookmarkEnd w:id="246"/>
      <w:bookmarkStart w:id="247" w:name="_Toc184310332"/>
      <w:bookmarkEnd w:id="247"/>
      <w:bookmarkStart w:id="248" w:name="_Toc184310328"/>
      <w:bookmarkEnd w:id="248"/>
      <w:bookmarkStart w:id="249" w:name="_Toc184308073"/>
      <w:bookmarkEnd w:id="249"/>
      <w:bookmarkStart w:id="250" w:name="_Toc184314457"/>
      <w:bookmarkEnd w:id="250"/>
      <w:bookmarkStart w:id="251" w:name="_Toc184312088"/>
      <w:bookmarkEnd w:id="251"/>
      <w:bookmarkStart w:id="252" w:name="_Toc184314441"/>
      <w:bookmarkEnd w:id="252"/>
      <w:bookmarkStart w:id="253" w:name="_Toc184308096"/>
      <w:bookmarkEnd w:id="253"/>
      <w:bookmarkStart w:id="254" w:name="_Toc184310337"/>
      <w:bookmarkEnd w:id="254"/>
      <w:bookmarkStart w:id="255" w:name="_Toc184312121"/>
      <w:bookmarkEnd w:id="255"/>
      <w:bookmarkStart w:id="256" w:name="_Toc184310279"/>
      <w:bookmarkEnd w:id="256"/>
      <w:bookmarkStart w:id="257" w:name="_Toc184312086"/>
      <w:bookmarkEnd w:id="257"/>
      <w:bookmarkStart w:id="258" w:name="_Toc184314414"/>
      <w:bookmarkEnd w:id="258"/>
      <w:bookmarkStart w:id="259" w:name="_Toc184310299"/>
      <w:bookmarkEnd w:id="259"/>
      <w:bookmarkStart w:id="260" w:name="_Toc184312115"/>
      <w:bookmarkEnd w:id="260"/>
      <w:bookmarkStart w:id="261" w:name="_Toc184310287"/>
      <w:bookmarkEnd w:id="261"/>
      <w:bookmarkStart w:id="262" w:name="_Toc184310315"/>
      <w:bookmarkEnd w:id="262"/>
      <w:bookmarkStart w:id="263" w:name="_Toc184308048"/>
      <w:bookmarkEnd w:id="263"/>
      <w:bookmarkStart w:id="264" w:name="_Toc184314467"/>
      <w:bookmarkEnd w:id="264"/>
      <w:bookmarkStart w:id="265" w:name="_Toc184308102"/>
      <w:bookmarkEnd w:id="265"/>
      <w:bookmarkStart w:id="266" w:name="_Toc184313240"/>
      <w:bookmarkEnd w:id="266"/>
      <w:bookmarkStart w:id="267" w:name="_Toc184310289"/>
      <w:bookmarkEnd w:id="267"/>
      <w:bookmarkStart w:id="268" w:name="_Toc184312087"/>
      <w:bookmarkEnd w:id="268"/>
      <w:bookmarkStart w:id="269" w:name="_Toc184313299"/>
      <w:bookmarkEnd w:id="269"/>
      <w:bookmarkStart w:id="270" w:name="_Toc184314458"/>
      <w:bookmarkEnd w:id="270"/>
      <w:bookmarkStart w:id="271" w:name="_Toc184310313"/>
      <w:bookmarkEnd w:id="271"/>
      <w:bookmarkStart w:id="272" w:name="_Toc184310291"/>
      <w:bookmarkEnd w:id="272"/>
      <w:bookmarkStart w:id="273" w:name="_Toc184313251"/>
      <w:bookmarkEnd w:id="273"/>
      <w:bookmarkStart w:id="274" w:name="_Toc184314456"/>
      <w:bookmarkEnd w:id="274"/>
      <w:bookmarkStart w:id="275" w:name="_Toc184313257"/>
      <w:bookmarkEnd w:id="275"/>
      <w:bookmarkStart w:id="276" w:name="_Toc184313255"/>
      <w:bookmarkEnd w:id="276"/>
      <w:bookmarkStart w:id="277" w:name="_Toc184308099"/>
      <w:bookmarkEnd w:id="277"/>
      <w:bookmarkStart w:id="278" w:name="_Toc184310300"/>
      <w:bookmarkEnd w:id="278"/>
      <w:bookmarkStart w:id="279" w:name="_Toc184310285"/>
      <w:bookmarkEnd w:id="279"/>
      <w:bookmarkStart w:id="280" w:name="_Toc184313304"/>
      <w:bookmarkEnd w:id="280"/>
      <w:bookmarkStart w:id="281" w:name="_Toc184308037"/>
      <w:bookmarkEnd w:id="281"/>
      <w:bookmarkStart w:id="282" w:name="_Toc184313260"/>
      <w:bookmarkEnd w:id="282"/>
      <w:bookmarkStart w:id="283" w:name="_Toc184312122"/>
      <w:bookmarkEnd w:id="283"/>
      <w:bookmarkStart w:id="284" w:name="_Toc184312126"/>
      <w:bookmarkEnd w:id="284"/>
      <w:bookmarkStart w:id="285" w:name="_Toc184314412"/>
      <w:bookmarkEnd w:id="285"/>
      <w:bookmarkStart w:id="286" w:name="_Toc184312072"/>
      <w:bookmarkEnd w:id="286"/>
      <w:bookmarkStart w:id="287" w:name="_Toc184312113"/>
      <w:bookmarkEnd w:id="287"/>
      <w:bookmarkStart w:id="288" w:name="_Toc184312089"/>
      <w:bookmarkEnd w:id="288"/>
      <w:bookmarkStart w:id="289" w:name="_Toc184314452"/>
      <w:bookmarkEnd w:id="289"/>
      <w:bookmarkStart w:id="290" w:name="_Toc184313244"/>
      <w:bookmarkEnd w:id="290"/>
      <w:bookmarkStart w:id="291" w:name="_Toc184314462"/>
      <w:bookmarkEnd w:id="291"/>
      <w:bookmarkStart w:id="292" w:name="_Toc184312095"/>
      <w:bookmarkEnd w:id="292"/>
      <w:bookmarkStart w:id="293" w:name="_Toc184308043"/>
      <w:bookmarkEnd w:id="293"/>
      <w:bookmarkStart w:id="294" w:name="_Toc184314453"/>
      <w:bookmarkEnd w:id="294"/>
      <w:bookmarkStart w:id="295" w:name="_Toc184313293"/>
      <w:bookmarkEnd w:id="295"/>
      <w:bookmarkStart w:id="296" w:name="_Toc184314465"/>
      <w:bookmarkEnd w:id="296"/>
      <w:bookmarkStart w:id="297" w:name="_Toc184308063"/>
      <w:bookmarkEnd w:id="297"/>
      <w:bookmarkStart w:id="298" w:name="_Toc184313267"/>
      <w:bookmarkEnd w:id="298"/>
      <w:bookmarkStart w:id="299" w:name="_Toc184314415"/>
      <w:bookmarkEnd w:id="299"/>
      <w:bookmarkStart w:id="300" w:name="_Toc184312130"/>
      <w:bookmarkEnd w:id="300"/>
      <w:bookmarkStart w:id="301" w:name="_Toc184308052"/>
      <w:bookmarkEnd w:id="301"/>
      <w:bookmarkStart w:id="302" w:name="_Toc184310280"/>
      <w:bookmarkEnd w:id="302"/>
      <w:bookmarkStart w:id="303" w:name="_Toc184308095"/>
      <w:bookmarkEnd w:id="303"/>
      <w:bookmarkStart w:id="304" w:name="_Toc184314418"/>
      <w:bookmarkEnd w:id="304"/>
      <w:bookmarkStart w:id="305" w:name="_Toc184313250"/>
      <w:bookmarkEnd w:id="305"/>
      <w:bookmarkStart w:id="306" w:name="_Toc184312068"/>
      <w:bookmarkEnd w:id="306"/>
      <w:bookmarkStart w:id="307" w:name="_Toc184314413"/>
      <w:bookmarkEnd w:id="307"/>
      <w:bookmarkStart w:id="308" w:name="_Toc184313242"/>
      <w:bookmarkEnd w:id="308"/>
      <w:bookmarkStart w:id="309" w:name="_Toc184313310"/>
      <w:bookmarkEnd w:id="309"/>
      <w:bookmarkStart w:id="310" w:name="_Toc184308066"/>
      <w:bookmarkEnd w:id="310"/>
      <w:bookmarkStart w:id="311" w:name="_Toc184310322"/>
      <w:bookmarkEnd w:id="311"/>
      <w:bookmarkStart w:id="312" w:name="_Toc184312094"/>
      <w:bookmarkEnd w:id="312"/>
      <w:bookmarkStart w:id="313" w:name="_Toc184314422"/>
      <w:bookmarkEnd w:id="313"/>
      <w:bookmarkStart w:id="314" w:name="_Toc184312083"/>
      <w:bookmarkEnd w:id="314"/>
      <w:bookmarkStart w:id="315" w:name="_Toc184308041"/>
      <w:bookmarkEnd w:id="315"/>
      <w:bookmarkStart w:id="316" w:name="_Toc184310319"/>
      <w:bookmarkEnd w:id="316"/>
      <w:bookmarkStart w:id="317" w:name="_Toc184308106"/>
      <w:bookmarkEnd w:id="317"/>
      <w:bookmarkStart w:id="318" w:name="_Toc184314464"/>
      <w:bookmarkEnd w:id="318"/>
      <w:bookmarkStart w:id="319" w:name="_Toc184313307"/>
      <w:bookmarkEnd w:id="319"/>
      <w:bookmarkStart w:id="320" w:name="_Toc184312097"/>
      <w:bookmarkEnd w:id="320"/>
      <w:bookmarkStart w:id="321" w:name="_Toc184312077"/>
      <w:bookmarkEnd w:id="321"/>
      <w:bookmarkStart w:id="322" w:name="_Toc184310330"/>
      <w:bookmarkEnd w:id="322"/>
      <w:bookmarkStart w:id="323" w:name="_Toc184308064"/>
      <w:bookmarkEnd w:id="323"/>
      <w:bookmarkStart w:id="324" w:name="_Toc184312075"/>
      <w:bookmarkEnd w:id="324"/>
      <w:bookmarkStart w:id="325" w:name="_Toc184310309"/>
      <w:bookmarkEnd w:id="325"/>
      <w:bookmarkStart w:id="326" w:name="_Toc184313273"/>
      <w:bookmarkEnd w:id="326"/>
      <w:bookmarkStart w:id="327" w:name="_Toc184314472"/>
      <w:bookmarkEnd w:id="327"/>
      <w:bookmarkStart w:id="328" w:name="_Toc184308084"/>
      <w:bookmarkEnd w:id="328"/>
      <w:bookmarkStart w:id="329" w:name="_Toc184312105"/>
      <w:bookmarkEnd w:id="329"/>
      <w:bookmarkStart w:id="330" w:name="_Toc184310274"/>
      <w:bookmarkEnd w:id="330"/>
      <w:bookmarkStart w:id="331" w:name="_Toc184310275"/>
      <w:bookmarkEnd w:id="331"/>
      <w:bookmarkStart w:id="332" w:name="_Toc184310307"/>
      <w:bookmarkEnd w:id="332"/>
      <w:bookmarkStart w:id="333" w:name="_Toc184314482"/>
      <w:bookmarkEnd w:id="333"/>
      <w:bookmarkStart w:id="334" w:name="_Toc184310301"/>
      <w:bookmarkEnd w:id="334"/>
      <w:bookmarkStart w:id="335" w:name="_Toc184312128"/>
      <w:bookmarkEnd w:id="335"/>
      <w:bookmarkStart w:id="336" w:name="_Toc184308086"/>
      <w:bookmarkEnd w:id="336"/>
      <w:bookmarkStart w:id="337" w:name="_Toc184308091"/>
      <w:bookmarkEnd w:id="337"/>
      <w:bookmarkStart w:id="338" w:name="_Toc184310308"/>
      <w:bookmarkEnd w:id="338"/>
      <w:bookmarkStart w:id="339" w:name="_Toc184312137"/>
      <w:bookmarkEnd w:id="339"/>
      <w:bookmarkStart w:id="340" w:name="_Toc184312092"/>
      <w:bookmarkEnd w:id="340"/>
      <w:bookmarkStart w:id="341" w:name="_Toc184313291"/>
      <w:bookmarkEnd w:id="341"/>
      <w:bookmarkStart w:id="342" w:name="_Toc184314432"/>
      <w:bookmarkEnd w:id="342"/>
      <w:bookmarkStart w:id="343" w:name="_Toc184310317"/>
      <w:bookmarkEnd w:id="343"/>
      <w:bookmarkStart w:id="344" w:name="_Toc184312129"/>
      <w:bookmarkEnd w:id="344"/>
      <w:bookmarkStart w:id="345" w:name="_Toc184313241"/>
      <w:bookmarkEnd w:id="345"/>
      <w:bookmarkStart w:id="346" w:name="_Toc184312112"/>
      <w:bookmarkEnd w:id="346"/>
      <w:bookmarkStart w:id="347" w:name="_Toc184313262"/>
      <w:bookmarkEnd w:id="347"/>
      <w:bookmarkStart w:id="348" w:name="_Toc184312096"/>
      <w:bookmarkEnd w:id="348"/>
      <w:bookmarkStart w:id="349" w:name="_Toc184314461"/>
      <w:bookmarkEnd w:id="349"/>
      <w:bookmarkStart w:id="350" w:name="_Toc184308103"/>
      <w:bookmarkEnd w:id="350"/>
      <w:bookmarkStart w:id="351" w:name="_Toc184312124"/>
      <w:bookmarkEnd w:id="351"/>
      <w:bookmarkStart w:id="352" w:name="_Toc184310343"/>
      <w:bookmarkEnd w:id="352"/>
      <w:bookmarkStart w:id="353" w:name="_Toc184310297"/>
      <w:bookmarkEnd w:id="353"/>
      <w:bookmarkStart w:id="354" w:name="_Toc184314449"/>
      <w:bookmarkEnd w:id="354"/>
      <w:bookmarkStart w:id="355" w:name="_Toc184313258"/>
      <w:bookmarkEnd w:id="355"/>
      <w:bookmarkStart w:id="356" w:name="_Toc184314433"/>
      <w:bookmarkEnd w:id="356"/>
      <w:bookmarkStart w:id="357" w:name="_Toc184313289"/>
      <w:bookmarkEnd w:id="357"/>
      <w:bookmarkStart w:id="358" w:name="_Toc184314431"/>
      <w:bookmarkEnd w:id="358"/>
      <w:bookmarkStart w:id="359" w:name="_Toc184312069"/>
      <w:bookmarkEnd w:id="359"/>
      <w:bookmarkStart w:id="360" w:name="_Toc184313261"/>
      <w:bookmarkEnd w:id="360"/>
      <w:bookmarkStart w:id="361" w:name="_Toc184308059"/>
      <w:bookmarkEnd w:id="361"/>
      <w:bookmarkStart w:id="362" w:name="_Toc184310283"/>
      <w:bookmarkEnd w:id="362"/>
      <w:bookmarkStart w:id="363" w:name="_Toc184314435"/>
      <w:bookmarkEnd w:id="363"/>
      <w:bookmarkStart w:id="364" w:name="_Toc184308108"/>
      <w:bookmarkEnd w:id="364"/>
      <w:bookmarkStart w:id="365" w:name="_Toc184314454"/>
      <w:bookmarkEnd w:id="365"/>
      <w:bookmarkStart w:id="366" w:name="_Toc184314420"/>
      <w:bookmarkEnd w:id="366"/>
      <w:bookmarkStart w:id="367" w:name="_Toc184314466"/>
      <w:bookmarkEnd w:id="367"/>
      <w:bookmarkStart w:id="368" w:name="_Toc184313298"/>
      <w:bookmarkEnd w:id="368"/>
      <w:bookmarkStart w:id="369" w:name="_Toc184314481"/>
      <w:bookmarkEnd w:id="369"/>
      <w:bookmarkStart w:id="370" w:name="_Toc184314437"/>
      <w:bookmarkEnd w:id="370"/>
      <w:bookmarkStart w:id="371" w:name="_Toc184312100"/>
      <w:bookmarkEnd w:id="371"/>
      <w:bookmarkStart w:id="372" w:name="_Toc184313282"/>
      <w:bookmarkEnd w:id="372"/>
      <w:bookmarkStart w:id="373" w:name="_Toc184314470"/>
      <w:bookmarkEnd w:id="373"/>
      <w:bookmarkStart w:id="374" w:name="_Toc184308036"/>
      <w:bookmarkEnd w:id="374"/>
      <w:bookmarkStart w:id="375" w:name="_Toc184308107"/>
      <w:bookmarkEnd w:id="375"/>
      <w:bookmarkStart w:id="376" w:name="_Toc184308062"/>
      <w:bookmarkEnd w:id="376"/>
      <w:bookmarkStart w:id="377" w:name="_Toc184313279"/>
      <w:bookmarkEnd w:id="377"/>
      <w:bookmarkStart w:id="378" w:name="_Toc184314451"/>
      <w:bookmarkEnd w:id="378"/>
      <w:bookmarkStart w:id="379" w:name="_Toc184312073"/>
      <w:bookmarkEnd w:id="379"/>
      <w:bookmarkStart w:id="380" w:name="_Toc184308051"/>
      <w:bookmarkEnd w:id="380"/>
      <w:bookmarkStart w:id="381" w:name="_Toc184313295"/>
      <w:bookmarkEnd w:id="381"/>
      <w:bookmarkStart w:id="382" w:name="_Toc184308040"/>
      <w:bookmarkEnd w:id="382"/>
      <w:bookmarkStart w:id="383" w:name="_Toc184314473"/>
      <w:bookmarkEnd w:id="383"/>
      <w:bookmarkStart w:id="384" w:name="_Toc184308060"/>
      <w:bookmarkEnd w:id="384"/>
      <w:bookmarkStart w:id="385" w:name="_Toc184313259"/>
      <w:bookmarkEnd w:id="385"/>
      <w:bookmarkStart w:id="386" w:name="_Toc184308082"/>
      <w:bookmarkEnd w:id="386"/>
      <w:bookmarkStart w:id="387" w:name="_Toc184312107"/>
      <w:bookmarkEnd w:id="387"/>
      <w:bookmarkStart w:id="388" w:name="_Toc184312098"/>
      <w:bookmarkEnd w:id="388"/>
      <w:bookmarkStart w:id="389" w:name="_Toc184313254"/>
      <w:bookmarkEnd w:id="389"/>
      <w:bookmarkStart w:id="390" w:name="_Toc184308090"/>
      <w:bookmarkEnd w:id="390"/>
      <w:bookmarkStart w:id="391" w:name="_Toc184314419"/>
      <w:bookmarkEnd w:id="391"/>
      <w:bookmarkStart w:id="392" w:name="_Toc184314479"/>
      <w:bookmarkEnd w:id="392"/>
      <w:r>
        <w:rPr>
          <w:rFonts w:hint="eastAsia" w:ascii="仿宋_GB2312" w:hAnsi="仿宋" w:eastAsia="仿宋_GB2312" w:cs="仿宋_GB2312"/>
          <w:b/>
          <w:sz w:val="36"/>
          <w:szCs w:val="36"/>
        </w:rPr>
        <w:t>评标方法及评分标准</w:t>
      </w:r>
    </w:p>
    <w:p>
      <w:pPr>
        <w:adjustRightInd w:val="0"/>
        <w:snapToGrid w:val="0"/>
        <w:spacing w:line="360" w:lineRule="auto"/>
        <w:ind w:firstLine="3052" w:firstLineChars="950"/>
        <w:rPr>
          <w:rFonts w:ascii="仿宋_GB2312" w:hAnsi="仿宋" w:eastAsia="仿宋_GB2312" w:cs="Times New Roman"/>
          <w:b/>
          <w:sz w:val="28"/>
          <w:szCs w:val="28"/>
        </w:rPr>
      </w:pPr>
      <w:r>
        <w:rPr>
          <w:rFonts w:hint="eastAsia" w:ascii="仿宋_GB2312" w:hAnsi="仿宋" w:eastAsia="仿宋_GB2312" w:cs="仿宋_GB2312"/>
          <w:b/>
          <w:sz w:val="32"/>
          <w:szCs w:val="24"/>
        </w:rPr>
        <w:t>一、评标方法</w:t>
      </w:r>
    </w:p>
    <w:p>
      <w:pPr>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1.综合评分法。</w:t>
      </w:r>
      <w:r>
        <w:rPr>
          <w:rFonts w:hint="eastAsia" w:ascii="仿宋_GB2312" w:hAnsi="仿宋" w:eastAsia="仿宋_GB2312" w:cs="Arial"/>
          <w:kern w:val="0"/>
          <w:sz w:val="24"/>
          <w:szCs w:val="24"/>
        </w:rPr>
        <w:t>综合评分法，是指投标文件满足招标文件全部实质性要求，且按照评审因素的量化指标评审得分最高的投标人为中标候选人的评标方法。</w:t>
      </w:r>
    </w:p>
    <w:p>
      <w:pPr>
        <w:spacing w:line="360" w:lineRule="auto"/>
        <w:rPr>
          <w:rFonts w:ascii="仿宋_GB2312" w:hAnsi="仿宋" w:eastAsia="仿宋_GB2312" w:cs="Arial"/>
          <w:kern w:val="0"/>
          <w:sz w:val="24"/>
          <w:szCs w:val="24"/>
        </w:rPr>
      </w:pPr>
    </w:p>
    <w:p>
      <w:pPr>
        <w:adjustRightInd w:val="0"/>
        <w:snapToGrid w:val="0"/>
        <w:spacing w:line="360" w:lineRule="auto"/>
        <w:ind w:left="120" w:leftChars="57" w:firstLine="422" w:firstLineChars="150"/>
        <w:jc w:val="center"/>
        <w:rPr>
          <w:rFonts w:ascii="仿宋_GB2312" w:hAnsi="仿宋" w:eastAsia="仿宋_GB2312" w:cs="仿宋_GB2312"/>
          <w:b/>
          <w:sz w:val="32"/>
          <w:szCs w:val="24"/>
        </w:rPr>
      </w:pPr>
      <w:r>
        <w:rPr>
          <w:rFonts w:hint="eastAsia" w:ascii="仿宋_GB2312" w:hAnsi="仿宋" w:eastAsia="仿宋_GB2312" w:cs="Times New Roman"/>
          <w:b/>
          <w:sz w:val="28"/>
          <w:szCs w:val="28"/>
        </w:rPr>
        <w:t xml:space="preserve">   </w:t>
      </w:r>
      <w:r>
        <w:rPr>
          <w:rFonts w:hint="eastAsia" w:ascii="仿宋_GB2312" w:hAnsi="仿宋" w:eastAsia="仿宋_GB2312" w:cs="仿宋_GB2312"/>
          <w:b/>
          <w:sz w:val="32"/>
          <w:szCs w:val="24"/>
        </w:rPr>
        <w:t>二、评标委员会的组成</w:t>
      </w:r>
    </w:p>
    <w:p>
      <w:pPr>
        <w:adjustRightInd w:val="0"/>
        <w:snapToGri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2.评标委员会的组成。</w:t>
      </w:r>
      <w:r>
        <w:rPr>
          <w:rFonts w:hint="eastAsia" w:ascii="仿宋_GB2312" w:hAnsi="仿宋" w:eastAsia="仿宋_GB2312" w:cs="Arial"/>
          <w:kern w:val="0"/>
          <w:sz w:val="24"/>
          <w:szCs w:val="24"/>
        </w:rPr>
        <w:t>评标委员会由采购人代表和评审专家组成，成员人数为5人以上单数，其中评审专家不少于成员总数的三分之二。</w:t>
      </w:r>
    </w:p>
    <w:p>
      <w:pPr>
        <w:adjustRightInd w:val="0"/>
        <w:spacing w:line="360" w:lineRule="auto"/>
        <w:rPr>
          <w:rFonts w:ascii="仿宋_GB2312" w:hAnsi="仿宋" w:eastAsia="仿宋_GB2312" w:cs="Arial"/>
          <w:kern w:val="0"/>
          <w:sz w:val="24"/>
        </w:rPr>
      </w:pPr>
      <w:r>
        <w:rPr>
          <w:rFonts w:hint="eastAsia" w:ascii="仿宋_GB2312" w:hAnsi="仿宋" w:eastAsia="仿宋_GB2312" w:cs="Arial"/>
          <w:b/>
          <w:kern w:val="0"/>
          <w:sz w:val="24"/>
        </w:rPr>
        <w:t>3.评</w:t>
      </w:r>
      <w:r>
        <w:rPr>
          <w:rFonts w:hint="eastAsia" w:ascii="仿宋_GB2312" w:hAnsi="仿宋" w:eastAsia="仿宋_GB2312" w:cs="Arial"/>
          <w:b/>
          <w:kern w:val="0"/>
          <w:sz w:val="24"/>
          <w:szCs w:val="24"/>
        </w:rPr>
        <w:t>标委员会的组成人员的回避。</w:t>
      </w:r>
      <w:r>
        <w:rPr>
          <w:rFonts w:hint="eastAsia" w:ascii="仿宋_GB2312" w:hAnsi="仿宋" w:eastAsia="仿宋_GB2312" w:cs="Arial"/>
          <w:kern w:val="0"/>
          <w:sz w:val="24"/>
        </w:rPr>
        <w:t>在政府采购活动中，评标委员会的组成人员与供应商有下列利害关系之一的，应当回避：</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3.1参加采购活动前3年内与供应商存在劳动关系；</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3.2参加采购活动前3年内担任供应商的董事、监事；</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3.3参加采购活动前3年内是供应商的控股股东或者实际控制人；</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3.4与供应商的法定代表人或者负责人有夫妻、直系血亲、三代以内旁系血亲或者近姻亲关系；</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3.5与供应商有其他可能影响政府采购活动公平、公正进行的关系。</w:t>
      </w:r>
    </w:p>
    <w:p>
      <w:pPr>
        <w:adjustRightInd w:val="0"/>
        <w:snapToGrid w:val="0"/>
        <w:spacing w:line="360" w:lineRule="auto"/>
        <w:ind w:left="120" w:leftChars="57" w:firstLine="482" w:firstLineChars="150"/>
        <w:jc w:val="center"/>
        <w:rPr>
          <w:rFonts w:ascii="仿宋_GB2312" w:hAnsi="仿宋" w:eastAsia="仿宋_GB2312" w:cs="Times New Roman"/>
          <w:b/>
          <w:sz w:val="32"/>
          <w:szCs w:val="32"/>
        </w:rPr>
      </w:pPr>
    </w:p>
    <w:p>
      <w:pPr>
        <w:adjustRightInd w:val="0"/>
        <w:snapToGrid w:val="0"/>
        <w:spacing w:line="360" w:lineRule="auto"/>
        <w:ind w:left="120" w:leftChars="57" w:firstLine="482" w:firstLineChars="150"/>
        <w:jc w:val="center"/>
        <w:rPr>
          <w:rFonts w:ascii="仿宋_GB2312" w:hAnsi="仿宋" w:eastAsia="仿宋_GB2312" w:cs="Times New Roman"/>
          <w:b/>
          <w:sz w:val="32"/>
          <w:szCs w:val="32"/>
        </w:rPr>
      </w:pPr>
      <w:r>
        <w:rPr>
          <w:rFonts w:hint="eastAsia" w:ascii="仿宋_GB2312" w:hAnsi="仿宋" w:eastAsia="仿宋_GB2312" w:cs="Times New Roman"/>
          <w:b/>
          <w:sz w:val="32"/>
          <w:szCs w:val="32"/>
        </w:rPr>
        <w:t>　</w:t>
      </w:r>
      <w:r>
        <w:rPr>
          <w:rFonts w:hint="eastAsia" w:ascii="仿宋_GB2312" w:hAnsi="仿宋" w:eastAsia="仿宋_GB2312" w:cs="仿宋_GB2312"/>
          <w:b/>
          <w:sz w:val="32"/>
          <w:szCs w:val="24"/>
        </w:rPr>
        <w:t>　三、评标委员会的职责</w:t>
      </w:r>
    </w:p>
    <w:p>
      <w:pPr>
        <w:adjustRightInd w:val="0"/>
        <w:spacing w:line="360" w:lineRule="auto"/>
        <w:rPr>
          <w:rFonts w:ascii="仿宋_GB2312" w:hAnsi="仿宋" w:eastAsia="仿宋_GB2312" w:cs="Arial"/>
          <w:b/>
          <w:kern w:val="0"/>
          <w:sz w:val="24"/>
          <w:szCs w:val="24"/>
        </w:rPr>
      </w:pPr>
      <w:r>
        <w:rPr>
          <w:rFonts w:hint="eastAsia" w:ascii="仿宋_GB2312" w:hAnsi="仿宋" w:eastAsia="仿宋_GB2312" w:cs="Arial"/>
          <w:b/>
          <w:kern w:val="0"/>
          <w:sz w:val="24"/>
          <w:szCs w:val="24"/>
        </w:rPr>
        <w:t>4.评标委员会负责具体评标事务，并独立履行下列职责：</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4.1审查、评价投标文件是否符合招标文件的商务、技术等实质性要求；</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4.2要求投标人对投标文件有关事项作出澄清或者说明；</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4.3对投标文件进行比较和评价；</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4.4确定中标候选人名单，以及根据采购人委托直接确定中标人；</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4.5向采购人、采购机构或者有关部门报告评标中发现的违法行为；</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4.6法律、法规、规章、招标文件等规定的其它事项。</w:t>
      </w:r>
    </w:p>
    <w:p>
      <w:pPr>
        <w:adjustRightInd w:val="0"/>
        <w:spacing w:line="360" w:lineRule="auto"/>
        <w:rPr>
          <w:rFonts w:ascii="仿宋_GB2312" w:hAnsi="仿宋" w:eastAsia="仿宋_GB2312" w:cs="Arial"/>
          <w:b/>
          <w:kern w:val="0"/>
          <w:sz w:val="24"/>
          <w:szCs w:val="24"/>
        </w:rPr>
      </w:pPr>
      <w:r>
        <w:rPr>
          <w:rFonts w:hint="eastAsia" w:ascii="仿宋_GB2312" w:hAnsi="仿宋" w:eastAsia="仿宋_GB2312" w:cs="Arial"/>
          <w:b/>
          <w:kern w:val="0"/>
          <w:sz w:val="24"/>
          <w:szCs w:val="24"/>
        </w:rPr>
        <w:t>5.评标委员会及其成员不得有下列行为：</w:t>
      </w:r>
    </w:p>
    <w:p>
      <w:pPr>
        <w:adjustRightInd w:val="0"/>
        <w:spacing w:line="360" w:lineRule="auto"/>
        <w:ind w:firstLine="240" w:firstLineChars="100"/>
        <w:rPr>
          <w:rFonts w:ascii="仿宋_GB2312" w:hAnsi="仿宋" w:eastAsia="仿宋_GB2312" w:cs="Arial"/>
          <w:kern w:val="0"/>
          <w:sz w:val="24"/>
        </w:rPr>
      </w:pPr>
      <w:r>
        <w:rPr>
          <w:rFonts w:hint="eastAsia" w:ascii="仿宋_GB2312" w:hAnsi="仿宋" w:eastAsia="仿宋_GB2312" w:cs="Arial"/>
          <w:kern w:val="0"/>
          <w:sz w:val="24"/>
        </w:rPr>
        <w:t>　5.1确定参与评标至评标结束前私自接触投标人；</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5.2接受投标人提出的与投标文件不一致的澄清或者说明，《政府采购货物和服务招标投标管理办法》（财政部令第87号）第五十一条规定的情形除外；</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5.3违反评标纪律发表倾向性意见或者征询采购人的倾向性意见；</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5.4对需要专业判断的主观评审因素协商评分；</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5.5在评标过程中擅离职守，影响评标程序正常进行的；</w:t>
      </w:r>
    </w:p>
    <w:p>
      <w:pPr>
        <w:adjustRightInd w:val="0"/>
        <w:spacing w:line="360" w:lineRule="auto"/>
        <w:ind w:firstLine="240" w:firstLineChars="100"/>
        <w:rPr>
          <w:rFonts w:ascii="仿宋_GB2312" w:hAnsi="仿宋" w:eastAsia="仿宋_GB2312" w:cs="Arial"/>
          <w:kern w:val="0"/>
          <w:sz w:val="24"/>
        </w:rPr>
      </w:pPr>
      <w:r>
        <w:rPr>
          <w:rFonts w:hint="eastAsia" w:ascii="仿宋_GB2312" w:hAnsi="仿宋" w:eastAsia="仿宋_GB2312" w:cs="Arial"/>
          <w:kern w:val="0"/>
          <w:sz w:val="24"/>
        </w:rPr>
        <w:t>5.6记录、复制或者带走任何评标资料；</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5.7其他不遵守评标纪律的行为。</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评标委员会成员有5.1-5.</w:t>
      </w:r>
      <w:r>
        <w:rPr>
          <w:rFonts w:hint="eastAsia" w:ascii="仿宋_GB2312" w:hAnsi="仿宋" w:eastAsia="仿宋_GB2312" w:cs="Arial"/>
          <w:kern w:val="0"/>
          <w:sz w:val="24"/>
          <w:lang w:val="en-US" w:eastAsia="zh-CN"/>
        </w:rPr>
        <w:t>7</w:t>
      </w:r>
      <w:r>
        <w:rPr>
          <w:rFonts w:hint="eastAsia" w:ascii="仿宋_GB2312" w:hAnsi="仿宋" w:eastAsia="仿宋_GB2312" w:cs="Arial"/>
          <w:kern w:val="0"/>
          <w:sz w:val="24"/>
        </w:rPr>
        <w:t>行为之一的，其评审意见无效，并不得获取评审劳务报酬和报销异地评审差旅费。</w:t>
      </w:r>
    </w:p>
    <w:p>
      <w:pPr>
        <w:adjustRightInd w:val="0"/>
        <w:spacing w:line="360" w:lineRule="auto"/>
        <w:rPr>
          <w:rFonts w:ascii="仿宋_GB2312" w:hAnsi="仿宋" w:eastAsia="仿宋_GB2312" w:cs="Arial"/>
          <w:kern w:val="0"/>
          <w:sz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四、评审程序</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 xml:space="preserve">6.符合性审查。 </w:t>
      </w:r>
      <w:r>
        <w:rPr>
          <w:rFonts w:hint="eastAsia" w:ascii="仿宋_GB2312" w:hAnsi="仿宋" w:eastAsia="仿宋_GB2312" w:cs="Arial"/>
          <w:kern w:val="0"/>
          <w:sz w:val="24"/>
          <w:szCs w:val="24"/>
        </w:rPr>
        <w:t>评标委员会应当对符合资格的投标人的投标文件进行符合性审查，以确定其是否满足招标文件的实质性要求。符合投标无效情形的，投标无效。</w:t>
      </w:r>
    </w:p>
    <w:p>
      <w:pPr>
        <w:adjustRightInd w:val="0"/>
        <w:spacing w:line="360" w:lineRule="auto"/>
        <w:rPr>
          <w:rFonts w:hint="eastAsia" w:ascii="仿宋_GB2312" w:hAnsi="仿宋" w:eastAsia="仿宋_GB2312" w:cs="Arial"/>
          <w:b/>
          <w:kern w:val="0"/>
          <w:sz w:val="24"/>
          <w:szCs w:val="24"/>
        </w:rPr>
      </w:pPr>
      <w:r>
        <w:rPr>
          <w:rFonts w:hint="eastAsia" w:ascii="仿宋_GB2312" w:hAnsi="仿宋" w:eastAsia="仿宋_GB2312" w:cs="Arial"/>
          <w:b/>
          <w:kern w:val="0"/>
          <w:sz w:val="24"/>
          <w:szCs w:val="24"/>
        </w:rPr>
        <w:t>7.投标人澄清、说明或者补正。</w:t>
      </w:r>
    </w:p>
    <w:p>
      <w:pPr>
        <w:adjustRightInd w:val="0"/>
        <w:spacing w:line="360" w:lineRule="auto"/>
        <w:rPr>
          <w:rFonts w:hint="eastAsia" w:ascii="仿宋_GB2312" w:hAnsi="仿宋" w:eastAsia="仿宋_GB2312" w:cs="Arial"/>
          <w:kern w:val="0"/>
          <w:sz w:val="24"/>
          <w:szCs w:val="24"/>
        </w:rPr>
      </w:pPr>
      <w:r>
        <w:rPr>
          <w:rFonts w:hint="eastAsia" w:ascii="仿宋_GB2312" w:hAnsi="仿宋" w:eastAsia="仿宋_GB2312" w:cs="Arial"/>
          <w:b/>
          <w:kern w:val="0"/>
          <w:sz w:val="24"/>
          <w:szCs w:val="24"/>
          <w:lang w:val="en-US" w:eastAsia="zh-CN"/>
        </w:rPr>
        <w:t>7.1</w:t>
      </w:r>
      <w:r>
        <w:rPr>
          <w:rFonts w:hint="eastAsia" w:ascii="仿宋_GB2312" w:hAnsi="仿宋" w:eastAsia="仿宋_GB2312" w:cs="Arial"/>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pacing w:line="360" w:lineRule="auto"/>
        <w:rPr>
          <w:rFonts w:hint="default" w:ascii="仿宋_GB2312" w:hAnsi="仿宋" w:eastAsia="仿宋_GB2312" w:cs="Arial"/>
          <w:b/>
          <w:bCs/>
          <w:kern w:val="0"/>
          <w:sz w:val="24"/>
          <w:szCs w:val="24"/>
          <w:lang w:val="en-US" w:eastAsia="zh-CN"/>
        </w:rPr>
      </w:pPr>
      <w:r>
        <w:rPr>
          <w:rFonts w:hint="eastAsia" w:ascii="仿宋_GB2312" w:hAnsi="仿宋" w:eastAsia="仿宋_GB2312" w:cs="Arial"/>
          <w:b/>
          <w:bCs/>
          <w:kern w:val="0"/>
          <w:sz w:val="24"/>
          <w:szCs w:val="24"/>
          <w:lang w:val="en-US" w:eastAsia="zh-CN"/>
        </w:rPr>
        <w:t>7.2投标人在投标文件中无需提供成本测算表，评标委员会认为其最终报价明显低于市场平均价格，存在异常低价的嫌疑时，要求投标供应商进行澄清时，需按附件要求提供成本测算表，按此进行成本的测算及澄清，并附上相应文字说明。</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8. 比较与评价。</w:t>
      </w:r>
      <w:r>
        <w:rPr>
          <w:rFonts w:hint="eastAsia" w:ascii="仿宋_GB2312" w:hAnsi="仿宋" w:eastAsia="仿宋_GB2312" w:cs="Arial"/>
          <w:kern w:val="0"/>
          <w:sz w:val="24"/>
          <w:szCs w:val="24"/>
        </w:rPr>
        <w:t>评标委员会应当按照评标标准，对符合性审查合格的投标文件进行商务和技术评估，综合比较与评价。</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9. 汇总（商务技术得分情况）。</w:t>
      </w:r>
      <w:r>
        <w:rPr>
          <w:rFonts w:hint="eastAsia" w:ascii="仿宋_GB2312" w:hAnsi="仿宋" w:eastAsia="仿宋_GB2312" w:cs="Arial"/>
          <w:kern w:val="0"/>
          <w:sz w:val="24"/>
          <w:szCs w:val="24"/>
        </w:rPr>
        <w:t>评标委员会各成员应当独立对每个投标人的商务和技术文件进行评价，并汇总商务技术得分情况。</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10. 报价审核。</w:t>
      </w:r>
      <w:r>
        <w:rPr>
          <w:rFonts w:hint="eastAsia" w:ascii="仿宋_GB2312" w:hAnsi="仿宋" w:eastAsia="仿宋_GB2312" w:cs="Arial"/>
          <w:kern w:val="0"/>
          <w:sz w:val="24"/>
          <w:szCs w:val="24"/>
        </w:rPr>
        <w:t>对经商务和技术评审符合采购需求的投标人的报价的合理性、准确性等进行审查核实。</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10.1评标委员会认为投标人的报价明显低于其他通过符合性审查投标人的报价，有可能影响产品质量或者不能诚信履约的，应当要求其在合理的时间内提供书面说明，必要时提交相关证明材料。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_GB2312" w:hAnsi="仿宋" w:eastAsia="仿宋_GB2312" w:cs="Arial"/>
          <w:b/>
          <w:bCs/>
          <w:kern w:val="0"/>
          <w:sz w:val="24"/>
          <w:szCs w:val="24"/>
          <w:lang w:val="en-US" w:eastAsia="zh-CN"/>
        </w:rPr>
        <w:t>投标人在投标文件中无需提供成本测算表，评标委员会认为其最终报价明显低于市场平均价格，存在异常低价的嫌疑时，要求投标供应商进行澄清时，需按附件要求提供成本测算表，按此进行成本的测算及澄清，并附上相应文字说明。</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10.2根据财政部发布的《政府采购促进中小企业发展管理办法》规定，</w:t>
      </w:r>
      <w:r>
        <w:rPr>
          <w:rFonts w:ascii="仿宋_GB2312" w:hAnsi="仿宋" w:eastAsia="仿宋_GB2312" w:cs="Arial"/>
          <w:kern w:val="0"/>
          <w:sz w:val="24"/>
          <w:szCs w:val="24"/>
        </w:rPr>
        <w:t>对于经主管预算单位统筹后未预留份额专门面向中小企业采购的采购项目，以及预留份额项目中的非预留部分采购包，</w:t>
      </w:r>
      <w:r>
        <w:rPr>
          <w:rFonts w:hint="eastAsia" w:ascii="仿宋_GB2312" w:hAnsi="仿宋" w:eastAsia="仿宋_GB2312" w:cs="Arial"/>
          <w:kern w:val="0"/>
          <w:sz w:val="24"/>
          <w:szCs w:val="24"/>
        </w:rPr>
        <w:t>对小微企业报价给予一定的扣除，用扣除后的价格参与评审。</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10.3投标价格的修正原则。投标文件报价出现前后不一致的，按照下列规定修正：</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10.3.1投标文件中开标一览表(报价表)内容与投标文件中相应内容不一致的，以开标一览表(报价表)为准;</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10.3.2大写金额和小写金额不一致的，以大写金额为准;</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10.3.3单价金额小数点或者百分比有明显错位的，以开标一览表的总价为准，并修改单价;</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10.3.4总价金额与按单价汇总金额不一致的，以单价金额计算结果为准。</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10.3.5同时出现两种以上不一致的，按照前款规定的顺序修正。修正后的报价按照财政部第87号令 《政府采购货物和服务招标投标管理办法》第五十一条第二款的规定经投标人确认后产生约束力。</w:t>
      </w:r>
    </w:p>
    <w:p>
      <w:pPr>
        <w:adjustRightInd w:val="0"/>
        <w:spacing w:line="360" w:lineRule="auto"/>
        <w:ind w:firstLine="480" w:firstLineChars="200"/>
        <w:rPr>
          <w:rFonts w:ascii="仿宋_GB2312" w:hAnsi="仿宋" w:eastAsia="仿宋_GB2312" w:cs="仿宋_GB2312"/>
          <w:b/>
          <w:bCs/>
          <w:sz w:val="24"/>
          <w:szCs w:val="24"/>
        </w:rPr>
      </w:pPr>
      <w:r>
        <w:rPr>
          <w:rFonts w:hint="eastAsia" w:ascii="仿宋_GB2312" w:hAnsi="仿宋" w:eastAsia="仿宋_GB2312" w:cs="仿宋_GB2312"/>
          <w:bCs/>
          <w:sz w:val="24"/>
          <w:szCs w:val="24"/>
        </w:rPr>
        <w:t>▲</w:t>
      </w:r>
      <w:r>
        <w:rPr>
          <w:rFonts w:hint="eastAsia" w:ascii="仿宋_GB2312" w:hAnsi="仿宋" w:eastAsia="仿宋_GB2312" w:cs="仿宋_GB2312"/>
          <w:b/>
          <w:bCs/>
          <w:sz w:val="24"/>
          <w:szCs w:val="24"/>
        </w:rPr>
        <w:t>投标人对根据修正原则修正后的报价不确认的，投标无效。</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11.汇总得分。</w:t>
      </w:r>
      <w:r>
        <w:rPr>
          <w:rFonts w:hint="eastAsia" w:ascii="仿宋_GB2312" w:hAnsi="仿宋" w:eastAsia="仿宋_GB2312" w:cs="Arial"/>
          <w:kern w:val="0"/>
          <w:sz w:val="24"/>
          <w:szCs w:val="24"/>
        </w:rPr>
        <w:t>评标委员会各成员应当独立对每个投标人的投标文件进行评价，并汇总每个投标人的得分。</w:t>
      </w:r>
    </w:p>
    <w:p>
      <w:pPr>
        <w:adjustRightInd w:val="0"/>
        <w:spacing w:line="360" w:lineRule="auto"/>
        <w:rPr>
          <w:rFonts w:ascii="仿宋_GB2312" w:hAnsi="仿宋" w:eastAsia="仿宋_GB2312" w:cs="Arial"/>
          <w:b/>
          <w:kern w:val="0"/>
          <w:sz w:val="24"/>
          <w:szCs w:val="24"/>
        </w:rPr>
      </w:pPr>
      <w:r>
        <w:rPr>
          <w:rFonts w:hint="eastAsia" w:ascii="仿宋_GB2312" w:hAnsi="仿宋" w:eastAsia="仿宋_GB2312" w:cs="Arial"/>
          <w:b/>
          <w:kern w:val="0"/>
          <w:sz w:val="24"/>
          <w:szCs w:val="24"/>
        </w:rPr>
        <w:t>12.顺序排列与中标候选推荐。</w:t>
      </w:r>
    </w:p>
    <w:p>
      <w:pPr>
        <w:adjustRightInd w:val="0"/>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12.1评标结果按评审后得分由高到低顺序排列。得分相同的，按投标报价由低到高顺序排列。得分且投标报价相同的并列。得分最高的投标人为排名第一的中标候选人。</w:t>
      </w:r>
    </w:p>
    <w:p>
      <w:pPr>
        <w:adjustRightInd w:val="0"/>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val="0"/>
        <w:spacing w:after="120" w:line="360" w:lineRule="auto"/>
        <w:rPr>
          <w:rFonts w:ascii="仿宋_GB2312" w:hAnsi="仿宋" w:eastAsia="仿宋_GB2312" w:cs="仿宋_GB2312"/>
          <w:b/>
          <w:sz w:val="24"/>
          <w:szCs w:val="21"/>
        </w:rPr>
      </w:pPr>
      <w:r>
        <w:rPr>
          <w:rFonts w:hint="eastAsia" w:ascii="仿宋_GB2312" w:hAnsi="仿宋" w:eastAsia="仿宋_GB2312" w:cs="仿宋_GB2312"/>
          <w:b/>
          <w:sz w:val="24"/>
          <w:szCs w:val="21"/>
        </w:rPr>
        <w:t>13.投标无效。有下列情况之一的，投标无效：</w:t>
      </w:r>
    </w:p>
    <w:p>
      <w:pPr>
        <w:adjustRightInd w:val="0"/>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13.1单位负责人为同一人或者存在直接控股、管理关系的不同供应商参加同一合同项下的政府采购活动的（均无效）；</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1"/>
        </w:rPr>
        <w:t>13.2为采购项目提供整体设计、规范编制或者项目管理、监理、检测等服务的供应商再参加该采购项</w:t>
      </w:r>
      <w:r>
        <w:rPr>
          <w:rFonts w:hint="eastAsia" w:ascii="仿宋_GB2312" w:hAnsi="仿宋" w:eastAsia="仿宋_GB2312" w:cs="仿宋_GB2312"/>
          <w:sz w:val="24"/>
          <w:szCs w:val="24"/>
        </w:rPr>
        <w:t xml:space="preserve">目的其他采购活动的； </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13.3</w:t>
      </w:r>
      <w:r>
        <w:rPr>
          <w:rFonts w:hint="eastAsia" w:ascii="仿宋_GB2312" w:hAnsi="仿宋" w:eastAsia="仿宋_GB2312" w:cs="仿宋_GB2312"/>
          <w:sz w:val="24"/>
          <w:szCs w:val="24"/>
        </w:rPr>
        <w:t>投标人不具备招标文件中规定的资格要求的（投标人未提供有效的资格证明文件的，视为投标人不具备招标文件中规定的资格要求）；</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13.4</w:t>
      </w:r>
      <w:r>
        <w:rPr>
          <w:rFonts w:hint="eastAsia" w:ascii="仿宋_GB2312" w:hAnsi="仿宋" w:eastAsia="仿宋_GB2312" w:cs="仿宋_GB2312"/>
          <w:sz w:val="24"/>
          <w:szCs w:val="24"/>
        </w:rPr>
        <w:t>如以联合体形式参加政府采购活动的，联合体协议不符合招标文件规定的联合体协议要求的；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13.5</w:t>
      </w:r>
      <w:r>
        <w:rPr>
          <w:rFonts w:hint="eastAsia" w:ascii="仿宋_GB2312" w:hAnsi="仿宋" w:eastAsia="仿宋_GB2312" w:cs="仿宋_GB2312"/>
          <w:sz w:val="24"/>
          <w:szCs w:val="24"/>
        </w:rPr>
        <w:t>投标文件未按规定的格式编制的；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13.6</w:t>
      </w:r>
      <w:r>
        <w:rPr>
          <w:rFonts w:hint="eastAsia" w:ascii="仿宋_GB2312" w:hAnsi="仿宋" w:eastAsia="仿宋_GB2312" w:cs="仿宋_GB2312"/>
          <w:sz w:val="24"/>
          <w:szCs w:val="24"/>
        </w:rPr>
        <w:t>投标文件未按招标文件的澄清、修改的内容编制，又不符合实质性要求的；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13.7</w:t>
      </w:r>
      <w:r>
        <w:rPr>
          <w:rFonts w:hint="eastAsia" w:ascii="仿宋_GB2312" w:hAnsi="仿宋" w:eastAsia="仿宋_GB2312" w:cs="仿宋_GB2312"/>
          <w:sz w:val="24"/>
          <w:szCs w:val="24"/>
        </w:rPr>
        <w:t>投标文件组成漏项，内容不全或内容字迹模糊辨认不清的；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13.8</w:t>
      </w:r>
      <w:r>
        <w:rPr>
          <w:rFonts w:hint="eastAsia" w:ascii="仿宋_GB2312" w:hAnsi="仿宋" w:eastAsia="仿宋_GB2312" w:cs="仿宋_GB2312"/>
          <w:sz w:val="24"/>
          <w:szCs w:val="24"/>
        </w:rPr>
        <w:t>投标文件中法人授权书所载内容与本项目内容有异的；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13.9</w:t>
      </w:r>
      <w:r>
        <w:rPr>
          <w:rFonts w:hint="eastAsia" w:ascii="仿宋_GB2312" w:hAnsi="仿宋" w:eastAsia="仿宋_GB2312" w:cs="仿宋_GB2312"/>
          <w:sz w:val="24"/>
          <w:szCs w:val="24"/>
        </w:rPr>
        <w:t>投标文件未按照招标文件要求签署、盖章的；</w:t>
      </w:r>
    </w:p>
    <w:p>
      <w:pPr>
        <w:adjustRightInd w:val="0"/>
        <w:spacing w:line="360" w:lineRule="auto"/>
        <w:ind w:firstLine="480" w:firstLineChars="200"/>
        <w:rPr>
          <w:rFonts w:ascii="仿宋_GB2312" w:hAnsi="仿宋" w:eastAsia="仿宋_GB2312" w:cs="Times New Roman"/>
          <w:b/>
          <w:sz w:val="24"/>
          <w:szCs w:val="24"/>
        </w:rPr>
      </w:pPr>
      <w:r>
        <w:rPr>
          <w:rFonts w:hint="eastAsia" w:ascii="仿宋_GB2312" w:hAnsi="仿宋" w:eastAsia="仿宋_GB2312" w:cs="Times New Roman"/>
          <w:sz w:val="24"/>
          <w:szCs w:val="24"/>
        </w:rPr>
        <w:t>13.10</w:t>
      </w:r>
      <w:r>
        <w:rPr>
          <w:rFonts w:hint="eastAsia" w:ascii="仿宋_GB2312" w:hAnsi="仿宋" w:eastAsia="仿宋_GB2312" w:cs="仿宋_GB2312"/>
          <w:sz w:val="24"/>
          <w:szCs w:val="24"/>
        </w:rPr>
        <w:t>采购人拟采购的产品属于政府强制采购的节能产品品目清单范围的，投标人未按招标文件要求提供国家确定的认证机构出具的、处于有效期之内的节能产品认证证书的；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13.11</w:t>
      </w:r>
      <w:r>
        <w:rPr>
          <w:rFonts w:hint="eastAsia" w:ascii="仿宋_GB2312" w:hAnsi="仿宋" w:eastAsia="仿宋_GB2312" w:cs="仿宋_GB2312"/>
          <w:sz w:val="24"/>
          <w:szCs w:val="24"/>
        </w:rPr>
        <w:t>投标文件含有采购人不能接受的附加条件的；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13.12</w:t>
      </w:r>
      <w:r>
        <w:rPr>
          <w:rFonts w:hint="eastAsia" w:ascii="仿宋_GB2312" w:hAnsi="仿宋" w:eastAsia="仿宋_GB2312" w:cs="仿宋_GB2312"/>
          <w:sz w:val="24"/>
          <w:szCs w:val="24"/>
        </w:rPr>
        <w:t>投标文件中承诺的投标有效期少于招标文件中载明的投标有效期的；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13.13</w:t>
      </w:r>
      <w:r>
        <w:rPr>
          <w:rFonts w:hint="eastAsia" w:ascii="仿宋_GB2312" w:hAnsi="仿宋" w:eastAsia="仿宋_GB2312" w:cs="仿宋_GB2312"/>
          <w:sz w:val="24"/>
          <w:szCs w:val="24"/>
        </w:rPr>
        <w:t>投标人所投内容不符合采购需求中实质性要求的；</w:t>
      </w:r>
    </w:p>
    <w:p>
      <w:pPr>
        <w:adjustRightInd w:val="0"/>
        <w:snapToGrid w:val="0"/>
        <w:spacing w:line="360" w:lineRule="auto"/>
        <w:jc w:val="left"/>
        <w:rPr>
          <w:rFonts w:ascii="仿宋_GB2312" w:hAnsi="仿宋" w:eastAsia="仿宋_GB2312" w:cs="仿宋_GB2312"/>
          <w:sz w:val="24"/>
          <w:szCs w:val="24"/>
        </w:rPr>
      </w:pP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13.14</w:t>
      </w:r>
      <w:r>
        <w:rPr>
          <w:rFonts w:hint="eastAsia" w:ascii="仿宋_GB2312" w:hAnsi="仿宋" w:eastAsia="仿宋_GB2312" w:cs="仿宋_GB2312"/>
          <w:sz w:val="24"/>
          <w:szCs w:val="24"/>
        </w:rPr>
        <w:t>投标文件出现不是唯一的、有选择性投标报价的;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13.15</w:t>
      </w:r>
      <w:r>
        <w:rPr>
          <w:rFonts w:hint="eastAsia" w:ascii="仿宋_GB2312" w:hAnsi="仿宋" w:eastAsia="仿宋_GB2312" w:cs="仿宋_GB2312"/>
          <w:sz w:val="24"/>
          <w:szCs w:val="24"/>
        </w:rPr>
        <w:t>投标报价高于本项目采购预算或者最高限价的;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13.16</w:t>
      </w:r>
      <w:r>
        <w:rPr>
          <w:rFonts w:hint="eastAsia" w:ascii="仿宋_GB2312" w:hAnsi="仿宋" w:eastAsia="仿宋_GB2312" w:cs="仿宋_GB2312"/>
          <w:sz w:val="24"/>
          <w:szCs w:val="24"/>
        </w:rPr>
        <w:t>报价明显低于其他通过符合性审查投标人的报价，有可能影响产品质量或者不能诚信履约的，未能按要求提供书面说明或者提交相关证明材料，不能证明其报价合理性的;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13.17</w:t>
      </w:r>
      <w:r>
        <w:rPr>
          <w:rFonts w:hint="eastAsia" w:ascii="仿宋_GB2312" w:hAnsi="仿宋" w:eastAsia="仿宋_GB2312" w:cs="仿宋_GB2312"/>
          <w:sz w:val="24"/>
          <w:szCs w:val="24"/>
        </w:rPr>
        <w:t>《投标（开标）一览表》填写不完整或字迹不能辨认或有漏项的；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13.18</w:t>
      </w:r>
      <w:r>
        <w:rPr>
          <w:rFonts w:hint="eastAsia" w:ascii="仿宋_GB2312" w:hAnsi="仿宋" w:eastAsia="仿宋_GB2312" w:cs="仿宋_GB2312"/>
          <w:sz w:val="24"/>
          <w:szCs w:val="24"/>
        </w:rPr>
        <w:t>投标人对根据修正原则修正后的报价不确认的；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13.19</w:t>
      </w:r>
      <w:r>
        <w:rPr>
          <w:rFonts w:hint="eastAsia" w:ascii="仿宋_GB2312" w:hAnsi="仿宋" w:eastAsia="仿宋_GB2312" w:cs="仿宋_GB2312"/>
          <w:sz w:val="24"/>
          <w:szCs w:val="24"/>
        </w:rPr>
        <w:t>投标人提供虚假材料投标的（包括但不限于以下情节）；</w:t>
      </w:r>
    </w:p>
    <w:p>
      <w:pPr>
        <w:adjustRightInd w:val="0"/>
        <w:spacing w:line="360" w:lineRule="auto"/>
        <w:ind w:firstLine="720" w:firstLineChars="300"/>
        <w:rPr>
          <w:rFonts w:ascii="仿宋_GB2312" w:hAnsi="仿宋" w:eastAsia="仿宋_GB2312" w:cs="仿宋_GB2312"/>
          <w:sz w:val="24"/>
          <w:szCs w:val="24"/>
        </w:rPr>
      </w:pPr>
      <w:r>
        <w:rPr>
          <w:rFonts w:hint="eastAsia" w:ascii="仿宋_GB2312" w:hAnsi="仿宋" w:eastAsia="仿宋_GB2312" w:cs="Times New Roman"/>
          <w:sz w:val="24"/>
          <w:szCs w:val="24"/>
        </w:rPr>
        <w:t>13.19.1</w:t>
      </w:r>
      <w:r>
        <w:rPr>
          <w:rFonts w:hint="eastAsia" w:ascii="仿宋_GB2312" w:hAnsi="仿宋" w:eastAsia="仿宋_GB2312" w:cs="仿宋_GB2312"/>
          <w:sz w:val="24"/>
          <w:szCs w:val="24"/>
        </w:rPr>
        <w:t>使用伪造、变造的许可证件；</w:t>
      </w:r>
      <w:r>
        <w:rPr>
          <w:rFonts w:hint="eastAsia" w:ascii="仿宋_GB2312" w:hAnsi="仿宋" w:eastAsia="仿宋_GB2312" w:cs="仿宋_GB2312"/>
          <w:sz w:val="24"/>
          <w:szCs w:val="24"/>
        </w:rPr>
        <w:br w:type="textWrapping"/>
      </w:r>
      <w:r>
        <w:rPr>
          <w:rFonts w:hint="eastAsia" w:ascii="宋体" w:hAnsi="宋体" w:eastAsia="宋体" w:cs="宋体"/>
          <w:sz w:val="24"/>
          <w:szCs w:val="24"/>
        </w:rPr>
        <w:t>  </w:t>
      </w: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 xml:space="preserve"> 13.19.2</w:t>
      </w:r>
      <w:r>
        <w:rPr>
          <w:rFonts w:hint="eastAsia" w:ascii="仿宋_GB2312" w:hAnsi="仿宋" w:eastAsia="仿宋_GB2312" w:cs="仿宋_GB2312"/>
          <w:sz w:val="24"/>
          <w:szCs w:val="24"/>
        </w:rPr>
        <w:t>提供虚假的财务状况或者业绩；</w:t>
      </w:r>
      <w:r>
        <w:rPr>
          <w:rFonts w:hint="eastAsia" w:ascii="仿宋_GB2312" w:hAnsi="仿宋" w:eastAsia="仿宋_GB2312" w:cs="仿宋_GB2312"/>
          <w:sz w:val="24"/>
          <w:szCs w:val="24"/>
        </w:rPr>
        <w:br w:type="textWrapping"/>
      </w:r>
      <w:r>
        <w:rPr>
          <w:rFonts w:hint="eastAsia" w:ascii="宋体" w:hAnsi="宋体" w:eastAsia="宋体" w:cs="宋体"/>
          <w:sz w:val="24"/>
          <w:szCs w:val="24"/>
        </w:rPr>
        <w:t>  </w:t>
      </w: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 xml:space="preserve"> 13.19.3</w:t>
      </w:r>
      <w:r>
        <w:rPr>
          <w:rFonts w:hint="eastAsia" w:ascii="仿宋_GB2312" w:hAnsi="仿宋" w:eastAsia="仿宋_GB2312" w:cs="仿宋_GB2312"/>
          <w:sz w:val="24"/>
          <w:szCs w:val="24"/>
        </w:rPr>
        <w:t>提供虚假的项目负责人或者主要技术人员简历、劳动关系证明；</w:t>
      </w:r>
      <w:r>
        <w:rPr>
          <w:rFonts w:hint="eastAsia" w:ascii="仿宋_GB2312" w:hAnsi="仿宋" w:eastAsia="仿宋_GB2312" w:cs="仿宋_GB2312"/>
          <w:sz w:val="24"/>
          <w:szCs w:val="24"/>
        </w:rPr>
        <w:br w:type="textWrapping"/>
      </w:r>
      <w:r>
        <w:rPr>
          <w:rFonts w:hint="eastAsia" w:ascii="宋体" w:hAnsi="宋体" w:eastAsia="宋体" w:cs="宋体"/>
          <w:sz w:val="24"/>
          <w:szCs w:val="24"/>
        </w:rPr>
        <w:t>  </w:t>
      </w: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 xml:space="preserve"> 13.19.4</w:t>
      </w:r>
      <w:r>
        <w:rPr>
          <w:rFonts w:hint="eastAsia" w:ascii="仿宋_GB2312" w:hAnsi="仿宋" w:eastAsia="仿宋_GB2312" w:cs="仿宋_GB2312"/>
          <w:sz w:val="24"/>
          <w:szCs w:val="24"/>
        </w:rPr>
        <w:t>提供虚假的信用状况；</w:t>
      </w:r>
      <w:r>
        <w:rPr>
          <w:rFonts w:hint="eastAsia" w:ascii="仿宋_GB2312" w:hAnsi="仿宋" w:eastAsia="仿宋_GB2312" w:cs="仿宋_GB2312"/>
          <w:sz w:val="24"/>
          <w:szCs w:val="24"/>
        </w:rPr>
        <w:br w:type="textWrapping"/>
      </w:r>
      <w:r>
        <w:rPr>
          <w:rFonts w:hint="eastAsia" w:ascii="宋体" w:hAnsi="宋体" w:eastAsia="宋体" w:cs="宋体"/>
          <w:sz w:val="24"/>
          <w:szCs w:val="24"/>
        </w:rPr>
        <w:t> </w:t>
      </w: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 xml:space="preserve"> 13.19.5</w:t>
      </w:r>
      <w:r>
        <w:rPr>
          <w:rFonts w:hint="eastAsia" w:ascii="仿宋_GB2312" w:hAnsi="仿宋" w:eastAsia="仿宋_GB2312" w:cs="仿宋_GB2312"/>
          <w:sz w:val="24"/>
          <w:szCs w:val="24"/>
        </w:rPr>
        <w:t>其他弄虚作假的行为。</w:t>
      </w:r>
      <w:r>
        <w:rPr>
          <w:rFonts w:hint="eastAsia" w:ascii="仿宋_GB2312" w:hAnsi="仿宋" w:eastAsia="仿宋_GB2312" w:cs="仿宋_GB2312"/>
          <w:sz w:val="24"/>
          <w:szCs w:val="24"/>
        </w:rPr>
        <w:br w:type="textWrapping"/>
      </w:r>
      <w:r>
        <w:rPr>
          <w:rFonts w:hint="eastAsia" w:ascii="仿宋_GB2312" w:hAnsi="仿宋" w:eastAsia="仿宋_GB2312" w:cs="Times New Roman"/>
          <w:sz w:val="24"/>
          <w:szCs w:val="24"/>
        </w:rPr>
        <w:t xml:space="preserve">    13.20</w:t>
      </w:r>
      <w:r>
        <w:rPr>
          <w:rFonts w:hint="eastAsia" w:ascii="仿宋_GB2312" w:hAnsi="仿宋" w:eastAsia="仿宋_GB2312" w:cs="仿宋_GB2312"/>
          <w:sz w:val="24"/>
          <w:szCs w:val="24"/>
        </w:rPr>
        <w:t>投标人有恶意串通、妨碍其他投标人的竞争行为、损害采购人或者其他投标人的合法权益情形的；有下列情形之一的，属于或视为恶意串通，其投标无效：</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13.20.1</w:t>
      </w:r>
      <w:r>
        <w:rPr>
          <w:rFonts w:hint="eastAsia" w:ascii="仿宋_GB2312" w:hAnsi="仿宋" w:eastAsia="仿宋_GB2312" w:cs="仿宋_GB2312"/>
          <w:sz w:val="24"/>
          <w:szCs w:val="24"/>
        </w:rPr>
        <w:t>供应商直接或者间接从采购人或者采购机构处获得其他供应商的相关情况并修改其投标文件或者响应文件；</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13.20.2</w:t>
      </w:r>
      <w:r>
        <w:rPr>
          <w:rFonts w:hint="eastAsia" w:ascii="仿宋_GB2312" w:hAnsi="仿宋" w:eastAsia="仿宋_GB2312" w:cs="仿宋_GB2312"/>
          <w:sz w:val="24"/>
          <w:szCs w:val="24"/>
        </w:rPr>
        <w:t>供应商按照采购人或者采购机构的授意撤换、修改投标文件或者响应文件；</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13.20.3</w:t>
      </w:r>
      <w:r>
        <w:rPr>
          <w:rFonts w:hint="eastAsia" w:ascii="仿宋_GB2312" w:hAnsi="仿宋" w:eastAsia="仿宋_GB2312" w:cs="仿宋_GB2312"/>
          <w:sz w:val="24"/>
          <w:szCs w:val="24"/>
        </w:rPr>
        <w:t>供应商之间协商报价、技术方案等投标文件或者响应文件的实质性内容；</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13.20.4</w:t>
      </w:r>
      <w:r>
        <w:rPr>
          <w:rFonts w:hint="eastAsia" w:ascii="仿宋_GB2312" w:hAnsi="仿宋" w:eastAsia="仿宋_GB2312" w:cs="仿宋_GB2312"/>
          <w:sz w:val="24"/>
          <w:szCs w:val="24"/>
        </w:rPr>
        <w:t>属于同一集团、协会、商会等组织成员的供应商按照该组织要求协同参加政府采购活动；</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13.20.5</w:t>
      </w:r>
      <w:r>
        <w:rPr>
          <w:rFonts w:hint="eastAsia" w:ascii="仿宋_GB2312" w:hAnsi="仿宋" w:eastAsia="仿宋_GB2312" w:cs="仿宋_GB2312"/>
          <w:sz w:val="24"/>
          <w:szCs w:val="24"/>
        </w:rPr>
        <w:t>供应商之间事先约定由某一特定供应商中标、成交；</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13.20.6</w:t>
      </w:r>
      <w:r>
        <w:rPr>
          <w:rFonts w:hint="eastAsia" w:ascii="仿宋_GB2312" w:hAnsi="仿宋" w:eastAsia="仿宋_GB2312" w:cs="仿宋_GB2312"/>
          <w:sz w:val="24"/>
          <w:szCs w:val="24"/>
        </w:rPr>
        <w:t>供应商之间商定部分供应商放弃参加政府采购活动或者放弃中标、成交；</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13.20.7</w:t>
      </w:r>
      <w:r>
        <w:rPr>
          <w:rFonts w:hint="eastAsia" w:ascii="仿宋_GB2312" w:hAnsi="仿宋" w:eastAsia="仿宋_GB2312" w:cs="仿宋_GB2312"/>
          <w:sz w:val="24"/>
          <w:szCs w:val="24"/>
        </w:rPr>
        <w:t>供应商与采购人或者采购机构之间、供应商相互之间，为谋求特定供应商中标、成交或者排斥其他供应商的其他串通行为。</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13.20.8</w:t>
      </w:r>
      <w:r>
        <w:rPr>
          <w:rFonts w:hint="eastAsia" w:ascii="仿宋_GB2312" w:hAnsi="仿宋" w:eastAsia="仿宋_GB2312" w:cs="仿宋_GB2312"/>
          <w:sz w:val="24"/>
          <w:szCs w:val="24"/>
        </w:rPr>
        <w:t>不同投标人的投标文件由同一单位或者个人编制；</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13.20.9</w:t>
      </w:r>
      <w:r>
        <w:rPr>
          <w:rFonts w:hint="eastAsia" w:ascii="仿宋_GB2312" w:hAnsi="仿宋" w:eastAsia="仿宋_GB2312" w:cs="仿宋_GB2312"/>
          <w:sz w:val="24"/>
          <w:szCs w:val="24"/>
        </w:rPr>
        <w:t>不同投标人委托同一单位或者个人办理投标事宜；</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13.20.10</w:t>
      </w:r>
      <w:r>
        <w:rPr>
          <w:rFonts w:hint="eastAsia" w:ascii="仿宋_GB2312" w:hAnsi="仿宋" w:eastAsia="仿宋_GB2312" w:cs="仿宋_GB2312"/>
          <w:sz w:val="24"/>
          <w:szCs w:val="24"/>
        </w:rPr>
        <w:t>不同投标人的投标文件载明的项目管理成员或者联系人员为同一人；</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13.20.11</w:t>
      </w:r>
      <w:r>
        <w:rPr>
          <w:rFonts w:hint="eastAsia" w:ascii="仿宋_GB2312" w:hAnsi="仿宋" w:eastAsia="仿宋_GB2312" w:cs="仿宋_GB2312"/>
          <w:sz w:val="24"/>
          <w:szCs w:val="24"/>
        </w:rPr>
        <w:t>不同投标人的投标文件异常一致或者投标报价呈规律性差异；</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13.20.12</w:t>
      </w:r>
      <w:r>
        <w:rPr>
          <w:rFonts w:hint="eastAsia" w:ascii="仿宋_GB2312" w:hAnsi="仿宋" w:eastAsia="仿宋_GB2312" w:cs="仿宋_GB2312"/>
          <w:sz w:val="24"/>
          <w:szCs w:val="24"/>
        </w:rPr>
        <w:t>不同投标人的投标文件相互混装；</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13.21</w:t>
      </w:r>
      <w:r>
        <w:rPr>
          <w:rFonts w:hint="eastAsia" w:ascii="仿宋_GB2312" w:hAnsi="仿宋" w:eastAsia="仿宋_GB2312" w:cs="仿宋_GB2312"/>
          <w:sz w:val="24"/>
          <w:szCs w:val="24"/>
        </w:rPr>
        <w:t>投标人仅提交备份投标文件，没有在电子交易平台传输递交投标文件的，投标无效；</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13.22</w:t>
      </w:r>
      <w:r>
        <w:rPr>
          <w:rFonts w:hint="eastAsia" w:ascii="仿宋_GB2312" w:hAnsi="仿宋" w:eastAsia="仿宋_GB2312" w:cs="仿宋_GB2312"/>
          <w:sz w:val="24"/>
          <w:szCs w:val="24"/>
        </w:rPr>
        <w:t>法律、法规、规章（适用本市的）及省级以上规范性文件（适用本市的）规定的其他无效情形。</w:t>
      </w:r>
    </w:p>
    <w:p>
      <w:pPr>
        <w:adjustRightInd w:val="0"/>
        <w:spacing w:line="360" w:lineRule="auto"/>
        <w:ind w:firstLine="240" w:firstLineChars="100"/>
        <w:rPr>
          <w:rFonts w:ascii="仿宋_GB2312" w:hAnsi="仿宋" w:eastAsia="仿宋_GB2312" w:cs="仿宋_GB2312"/>
          <w:sz w:val="24"/>
          <w:szCs w:val="21"/>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 xml:space="preserve">五、评标报告。 </w:t>
      </w:r>
    </w:p>
    <w:p>
      <w:pPr>
        <w:adjustRightInd w:val="0"/>
        <w:spacing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14. 评标报告与推荐中标候选人。</w:t>
      </w:r>
      <w:r>
        <w:rPr>
          <w:rFonts w:hint="eastAsia" w:ascii="仿宋_GB2312" w:hAnsi="仿宋" w:eastAsia="仿宋_GB2312" w:cs="仿宋_GB2312"/>
          <w:sz w:val="24"/>
          <w:szCs w:val="24"/>
        </w:rPr>
        <w:t>评标委员会根据原始评标记录和评标结果编写评标报告，并通过电子交易平台向采购人、采购机构提交。</w:t>
      </w:r>
    </w:p>
    <w:p>
      <w:pPr>
        <w:widowControl/>
        <w:spacing w:before="100" w:beforeAutospacing="1" w:after="100" w:afterAutospacing="1" w:line="360" w:lineRule="auto"/>
        <w:jc w:val="left"/>
        <w:rPr>
          <w:rFonts w:ascii="仿宋_GB2312" w:hAnsi="仿宋" w:eastAsia="仿宋_GB2312" w:cs="仿宋_GB2312"/>
          <w:sz w:val="24"/>
          <w:szCs w:val="24"/>
        </w:rPr>
      </w:pPr>
      <w:r>
        <w:rPr>
          <w:rFonts w:hint="eastAsia" w:ascii="仿宋_GB2312" w:hAnsi="仿宋" w:eastAsia="仿宋_GB2312" w:cs="仿宋_GB2312"/>
          <w:b/>
          <w:sz w:val="24"/>
          <w:szCs w:val="24"/>
        </w:rPr>
        <w:t>15. 评标争议事项处理。</w:t>
      </w:r>
      <w:r>
        <w:rPr>
          <w:rFonts w:hint="eastAsia" w:ascii="仿宋_GB2312" w:hAnsi="仿宋" w:eastAsia="仿宋_GB2312" w:cs="仿宋_GB2312"/>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pacing w:before="100" w:beforeAutospacing="1" w:after="100" w:afterAutospacing="1" w:line="360" w:lineRule="auto"/>
        <w:jc w:val="left"/>
        <w:rPr>
          <w:rFonts w:ascii="仿宋_GB2312" w:hAnsi="ˎ̥" w:eastAsia="仿宋_GB2312" w:cs="宋体"/>
          <w:kern w:val="0"/>
          <w:sz w:val="24"/>
          <w:szCs w:val="24"/>
        </w:rPr>
      </w:pPr>
      <w:r>
        <w:rPr>
          <w:rFonts w:hint="eastAsia" w:ascii="仿宋_GB2312" w:hAnsi="仿宋" w:eastAsia="仿宋_GB2312" w:cs="仿宋_GB2312"/>
          <w:sz w:val="24"/>
          <w:szCs w:val="24"/>
        </w:rPr>
        <w:t xml:space="preserve">                    </w:t>
      </w:r>
    </w:p>
    <w:p>
      <w:pPr>
        <w:widowControl/>
        <w:spacing w:before="100" w:beforeAutospacing="1" w:after="100" w:afterAutospacing="1" w:line="360" w:lineRule="auto"/>
        <w:jc w:val="center"/>
        <w:rPr>
          <w:rFonts w:ascii="仿宋_GB2312" w:hAnsi="仿宋" w:eastAsia="仿宋_GB2312" w:cs="仿宋_GB2312"/>
          <w:b/>
          <w:sz w:val="32"/>
          <w:szCs w:val="24"/>
        </w:rPr>
      </w:pPr>
      <w:r>
        <w:rPr>
          <w:rFonts w:hint="eastAsia" w:ascii="仿宋_GB2312" w:hAnsi="仿宋" w:eastAsia="仿宋_GB2312" w:cs="仿宋_GB2312"/>
          <w:b/>
          <w:sz w:val="32"/>
          <w:szCs w:val="24"/>
        </w:rPr>
        <w:t>六、 废标</w:t>
      </w:r>
    </w:p>
    <w:p>
      <w:pPr>
        <w:adjustRightInd w:val="0"/>
        <w:snapToGrid w:val="0"/>
        <w:spacing w:after="120"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16.废标。</w:t>
      </w:r>
      <w:r>
        <w:rPr>
          <w:rFonts w:hint="eastAsia" w:ascii="仿宋_GB2312" w:hAnsi="仿宋" w:eastAsia="仿宋_GB2312" w:cs="仿宋_GB2312"/>
          <w:sz w:val="24"/>
          <w:szCs w:val="24"/>
        </w:rPr>
        <w:t>根据《中华人民共和国政府采购法》第三十六条之规定，在采购中，出现下列情形之一的，应予废标：</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16.1符合专业条件的供应商或者对招标文件作实质响应的供应商不足3家的；</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16.2出现影响采购公正的违法、违规行为的；</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16.3投标人的报价均超过了采购预算，采购人不能支付的；</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16.4因重大变故，采购任务取消的。</w:t>
      </w:r>
    </w:p>
    <w:p>
      <w:pPr>
        <w:adjustRightInd w:val="0"/>
        <w:snapToGrid w:val="0"/>
        <w:spacing w:after="120" w:line="360" w:lineRule="auto"/>
        <w:ind w:left="420" w:leftChars="200"/>
        <w:rPr>
          <w:rFonts w:ascii="仿宋_GB2312" w:hAnsi="仿宋" w:eastAsia="仿宋_GB2312" w:cs="仿宋_GB2312"/>
          <w:sz w:val="24"/>
          <w:szCs w:val="24"/>
        </w:rPr>
      </w:pPr>
      <w:r>
        <w:rPr>
          <w:rFonts w:hint="eastAsia" w:ascii="仿宋_GB2312" w:hAnsi="仿宋" w:eastAsia="仿宋_GB2312" w:cs="仿宋_GB2312"/>
          <w:sz w:val="24"/>
          <w:szCs w:val="24"/>
        </w:rPr>
        <w:t>废标后，采购机构应当将废标理由通知所有投标人。</w:t>
      </w:r>
    </w:p>
    <w:p>
      <w:pPr>
        <w:adjustRightInd w:val="0"/>
        <w:snapToGrid w:val="0"/>
        <w:spacing w:after="120" w:line="360" w:lineRule="auto"/>
        <w:ind w:left="420" w:leftChars="200"/>
        <w:rPr>
          <w:rFonts w:ascii="仿宋_GB2312" w:hAnsi="仿宋" w:eastAsia="仿宋_GB2312" w:cs="仿宋_GB231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七、 重新组织采购</w:t>
      </w:r>
    </w:p>
    <w:p>
      <w:pPr>
        <w:adjustRightInd w:val="0"/>
        <w:snapToGrid w:val="0"/>
        <w:spacing w:after="120"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17.修改招标文件，重新组织采购活动。</w:t>
      </w:r>
      <w:r>
        <w:rPr>
          <w:rFonts w:hint="eastAsia" w:ascii="仿宋_GB2312" w:hAnsi="仿宋" w:eastAsia="仿宋_GB2312" w:cs="仿宋_GB2312"/>
          <w:sz w:val="24"/>
          <w:szCs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adjustRightInd w:val="0"/>
        <w:snapToGrid w:val="0"/>
        <w:spacing w:after="120" w:line="360" w:lineRule="auto"/>
        <w:rPr>
          <w:rFonts w:ascii="仿宋_GB2312" w:hAnsi="仿宋" w:eastAsia="仿宋_GB2312" w:cs="仿宋_GB2312"/>
          <w:sz w:val="24"/>
          <w:szCs w:val="24"/>
        </w:rPr>
      </w:pPr>
      <w:r>
        <w:rPr>
          <w:rFonts w:hint="eastAsia" w:ascii="仿宋_GB2312" w:hAnsi="Helvetica" w:eastAsia="仿宋_GB2312" w:cs="Helvetica"/>
          <w:b/>
          <w:kern w:val="0"/>
          <w:sz w:val="24"/>
          <w:szCs w:val="24"/>
        </w:rPr>
        <w:t>18.重新开展采购。</w:t>
      </w:r>
      <w:r>
        <w:rPr>
          <w:rFonts w:hint="eastAsia" w:ascii="仿宋_GB2312" w:hAnsi="仿宋" w:eastAsia="仿宋_GB2312" w:cs="仿宋_GB2312"/>
          <w:sz w:val="24"/>
          <w:szCs w:val="24"/>
        </w:rPr>
        <w:t>有政府采购法第七十一条、第七十二条规定的违法行为之一，影响或者可能影响中标、成交结果的，依照下列规定处理：</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18.1未确定中标或者中标人的，终止本次政府采购活动，重新开展政府采购活动。</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18.2已确定中标或者中标人但尚未签订政府采购合同的，中标或者成交结果无效，从合格的中标或者成交候选人中另行确定中标或者中标人；没有合格的中标或者成交候选人的，重新开展政府采购活动。</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18.3政府采购合同已签订但尚未履行的，撤销合同，从合格的中标或者成交候选人中另行确定中标或者中标人；没有合格的中标或者成交候选人的，重新开展政府采购活动。</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18.4政府采购合同已经履行，给采购人、供应商造成损失的，由责任人承担赔偿责任。</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18.5政府采购当事人有其他违反政府采购法或者本条例规定的行为，经改正后仍然影响或者可能影响中标、成交结果或者依法被认定为中标、成交无效的，依照18.1-18.4规定处理。</w:t>
      </w:r>
    </w:p>
    <w:p>
      <w:pPr>
        <w:adjustRightInd w:val="0"/>
        <w:snapToGrid w:val="0"/>
        <w:spacing w:after="120" w:line="360" w:lineRule="auto"/>
        <w:ind w:left="420" w:leftChars="200"/>
        <w:rPr>
          <w:rFonts w:ascii="仿宋_GB2312" w:hAnsi="仿宋" w:eastAsia="仿宋_GB2312" w:cs="仿宋_GB2312"/>
          <w:szCs w:val="24"/>
        </w:rPr>
      </w:pPr>
    </w:p>
    <w:p>
      <w:pPr>
        <w:adjustRightInd w:val="0"/>
        <w:snapToGrid w:val="0"/>
        <w:spacing w:after="120" w:line="360" w:lineRule="auto"/>
        <w:ind w:left="420" w:leftChars="200"/>
        <w:rPr>
          <w:rFonts w:ascii="仿宋_GB2312" w:hAnsi="仿宋" w:eastAsia="仿宋_GB2312" w:cs="仿宋_GB231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八、评审过程的保密与录像</w:t>
      </w:r>
    </w:p>
    <w:p>
      <w:pPr>
        <w:widowControl/>
        <w:adjustRightInd w:val="0"/>
        <w:spacing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19.保密。</w:t>
      </w:r>
      <w:r>
        <w:rPr>
          <w:rFonts w:hint="eastAsia" w:ascii="仿宋_GB2312" w:hAnsi="仿宋" w:eastAsia="仿宋_GB2312" w:cs="仿宋_GB2312"/>
          <w:sz w:val="24"/>
          <w:szCs w:val="24"/>
        </w:rPr>
        <w:t>评审活动在严格保密的情况下进行。评审过程中凡是与采购响应文件评审和比较、中标中标人推荐等评审有关的情况，以及涉及国家秘密和商业秘密等信息，评审委员会成员、采购人和采购机构工作人员、相关监督人员等与评审有关的人员应当予以保密。</w:t>
      </w:r>
    </w:p>
    <w:p>
      <w:pPr>
        <w:widowControl/>
        <w:adjustRightInd w:val="0"/>
        <w:spacing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20.录音录像。</w:t>
      </w:r>
      <w:r>
        <w:rPr>
          <w:rFonts w:hint="eastAsia" w:ascii="仿宋_GB2312" w:hAnsi="仿宋" w:eastAsia="仿宋_GB2312" w:cs="仿宋_GB2312"/>
          <w:sz w:val="24"/>
          <w:szCs w:val="24"/>
        </w:rPr>
        <w:t>采购机构对评审工作现场进行全过程录音录像，录音录像资料作为采购项目文件随其他文件一并存档。</w:t>
      </w: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九、具体评标标准</w:t>
      </w:r>
    </w:p>
    <w:p>
      <w:pPr>
        <w:autoSpaceDE w:val="0"/>
        <w:autoSpaceDN w:val="0"/>
        <w:adjustRightInd w:val="0"/>
        <w:spacing w:line="460" w:lineRule="exact"/>
        <w:ind w:firstLine="482" w:firstLineChars="200"/>
        <w:rPr>
          <w:rFonts w:ascii="仿宋_GB2312" w:hAnsi="宋体" w:eastAsia="仿宋_GB2312" w:cs="Times New Roman"/>
          <w:sz w:val="24"/>
          <w:szCs w:val="24"/>
        </w:rPr>
      </w:pPr>
      <w:r>
        <w:rPr>
          <w:rFonts w:hint="eastAsia" w:ascii="仿宋_GB2312" w:hAnsi="宋体" w:eastAsia="仿宋_GB2312" w:cs="Times New Roman"/>
          <w:b/>
          <w:sz w:val="24"/>
          <w:szCs w:val="24"/>
        </w:rPr>
        <w:t>一、本项目采用综合评分法</w:t>
      </w:r>
      <w:r>
        <w:rPr>
          <w:rFonts w:hint="eastAsia" w:ascii="仿宋_GB2312" w:hAnsi="宋体" w:eastAsia="仿宋_GB2312" w:cs="Times New Roman"/>
          <w:sz w:val="24"/>
          <w:szCs w:val="24"/>
        </w:rPr>
        <w:t>，评标委员会将对各投标人的投标报价、</w:t>
      </w:r>
      <w:r>
        <w:rPr>
          <w:rFonts w:hint="eastAsia" w:ascii="仿宋_GB2312" w:hAnsi="宋体" w:eastAsia="仿宋_GB2312" w:cs="Times New Roman"/>
          <w:bCs/>
          <w:sz w:val="24"/>
          <w:szCs w:val="24"/>
        </w:rPr>
        <w:t>技术和服务方案</w:t>
      </w:r>
      <w:r>
        <w:rPr>
          <w:rFonts w:hint="eastAsia" w:ascii="仿宋_GB2312" w:hAnsi="宋体" w:eastAsia="仿宋_GB2312" w:cs="Times New Roman"/>
          <w:sz w:val="24"/>
          <w:szCs w:val="24"/>
        </w:rPr>
        <w:t>、投标人提供的资质和业绩情况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_GB2312" w:hAnsi="仿宋" w:eastAsia="仿宋_GB2312" w:cs="仿宋_GB2312"/>
          <w:sz w:val="24"/>
          <w:szCs w:val="21"/>
        </w:rPr>
        <w:t>得分且投标报价相同的并列</w:t>
      </w:r>
      <w:r>
        <w:rPr>
          <w:rFonts w:hint="eastAsia" w:ascii="仿宋_GB2312" w:hAnsi="宋体" w:eastAsia="仿宋_GB2312" w:cs="Times New Roman"/>
          <w:sz w:val="24"/>
          <w:szCs w:val="24"/>
        </w:rPr>
        <w:t xml:space="preserve">，并形成评标意见。 </w:t>
      </w:r>
    </w:p>
    <w:p>
      <w:pPr>
        <w:adjustRightInd w:val="0"/>
        <w:spacing w:line="460" w:lineRule="exact"/>
        <w:ind w:left="105" w:leftChars="50" w:firstLine="427" w:firstLineChars="178"/>
        <w:rPr>
          <w:rFonts w:ascii="仿宋_GB2312" w:hAnsi="宋体" w:eastAsia="仿宋_GB2312" w:cs="Times New Roman"/>
          <w:b/>
          <w:sz w:val="24"/>
          <w:szCs w:val="24"/>
        </w:rPr>
      </w:pPr>
      <w:r>
        <w:rPr>
          <w:rFonts w:hint="eastAsia" w:ascii="仿宋_GB2312" w:hAnsi="宋体" w:eastAsia="仿宋_GB2312" w:cs="Times New Roman"/>
          <w:sz w:val="24"/>
          <w:szCs w:val="24"/>
        </w:rPr>
        <w:t>各投标人的综合得分为：投标价格得分+</w:t>
      </w:r>
      <w:r>
        <w:rPr>
          <w:rFonts w:hint="eastAsia" w:ascii="仿宋_GB2312" w:hAnsi="宋体" w:eastAsia="仿宋_GB2312" w:cs="Times New Roman"/>
          <w:bCs/>
          <w:sz w:val="24"/>
          <w:szCs w:val="24"/>
        </w:rPr>
        <w:t>技术和服务方案</w:t>
      </w:r>
      <w:r>
        <w:rPr>
          <w:rFonts w:hint="eastAsia" w:ascii="仿宋_GB2312" w:hAnsi="宋体" w:eastAsia="仿宋_GB2312" w:cs="Times New Roman"/>
          <w:sz w:val="24"/>
          <w:szCs w:val="24"/>
        </w:rPr>
        <w:t>得分+投标人的资质和业绩情况得分之和，</w:t>
      </w:r>
      <w:r>
        <w:rPr>
          <w:rFonts w:hint="eastAsia" w:ascii="仿宋_GB2312" w:hAnsi="宋体" w:eastAsia="仿宋_GB2312" w:cs="Times New Roman"/>
          <w:b/>
          <w:sz w:val="24"/>
          <w:szCs w:val="24"/>
        </w:rPr>
        <w:t>总和为</w:t>
      </w:r>
      <w:r>
        <w:rPr>
          <w:rFonts w:hint="eastAsia" w:ascii="仿宋_GB2312" w:hAnsi="宋体" w:eastAsia="仿宋_GB2312" w:cs="Times New Roman"/>
          <w:b/>
          <w:sz w:val="24"/>
          <w:szCs w:val="24"/>
          <w:u w:val="single"/>
        </w:rPr>
        <w:t>100</w:t>
      </w:r>
      <w:r>
        <w:rPr>
          <w:rFonts w:hint="eastAsia" w:ascii="仿宋_GB2312" w:hAnsi="宋体" w:eastAsia="仿宋_GB2312" w:cs="Times New Roman"/>
          <w:b/>
          <w:sz w:val="24"/>
          <w:szCs w:val="24"/>
        </w:rPr>
        <w:t>分</w:t>
      </w:r>
      <w:r>
        <w:rPr>
          <w:rFonts w:hint="eastAsia" w:ascii="仿宋_GB2312" w:hAnsi="宋体" w:eastAsia="仿宋_GB2312" w:cs="Times New Roman"/>
          <w:sz w:val="24"/>
          <w:szCs w:val="24"/>
        </w:rPr>
        <w:t>，其中：</w:t>
      </w:r>
      <w:r>
        <w:rPr>
          <w:rFonts w:hint="eastAsia" w:ascii="仿宋_GB2312" w:hAnsi="仿宋" w:eastAsia="仿宋_GB2312" w:cs="Times New Roman"/>
          <w:b/>
          <w:sz w:val="24"/>
          <w:szCs w:val="24"/>
        </w:rPr>
        <w:t>投标价格得分</w:t>
      </w:r>
      <w:r>
        <w:rPr>
          <w:rFonts w:hint="eastAsia" w:ascii="仿宋_GB2312" w:hAnsi="仿宋" w:eastAsia="仿宋_GB2312" w:cs="Times New Roman"/>
          <w:b/>
          <w:sz w:val="24"/>
          <w:szCs w:val="24"/>
          <w:u w:val="single"/>
          <w:lang w:val="en-US" w:eastAsia="zh-CN"/>
        </w:rPr>
        <w:t>30</w:t>
      </w:r>
      <w:r>
        <w:rPr>
          <w:rFonts w:hint="eastAsia" w:ascii="仿宋_GB2312" w:hAnsi="仿宋" w:eastAsia="仿宋_GB2312" w:cs="Times New Roman"/>
          <w:b/>
          <w:sz w:val="24"/>
          <w:szCs w:val="24"/>
        </w:rPr>
        <w:t>分，</w:t>
      </w:r>
      <w:r>
        <w:rPr>
          <w:rFonts w:hint="eastAsia" w:ascii="仿宋_GB2312" w:hAnsi="仿宋" w:eastAsia="仿宋_GB2312" w:cs="Times New Roman"/>
          <w:b/>
          <w:bCs/>
          <w:sz w:val="24"/>
          <w:szCs w:val="24"/>
        </w:rPr>
        <w:t>技术和服务方案得分</w:t>
      </w:r>
      <w:r>
        <w:rPr>
          <w:rFonts w:hint="eastAsia" w:ascii="仿宋_GB2312" w:hAnsi="仿宋" w:eastAsia="仿宋_GB2312" w:cs="Times New Roman"/>
          <w:b/>
          <w:sz w:val="24"/>
          <w:szCs w:val="24"/>
          <w:u w:val="single"/>
          <w:lang w:val="en-US" w:eastAsia="zh-CN"/>
        </w:rPr>
        <w:t>63</w:t>
      </w:r>
      <w:r>
        <w:rPr>
          <w:rFonts w:hint="eastAsia" w:ascii="仿宋_GB2312" w:hAnsi="仿宋" w:eastAsia="仿宋_GB2312" w:cs="Times New Roman"/>
          <w:b/>
          <w:sz w:val="24"/>
          <w:szCs w:val="24"/>
        </w:rPr>
        <w:t>分，投标人的资质和业绩情况得分</w:t>
      </w:r>
      <w:r>
        <w:rPr>
          <w:rFonts w:hint="eastAsia" w:ascii="仿宋_GB2312" w:hAnsi="仿宋" w:eastAsia="仿宋_GB2312" w:cs="Times New Roman"/>
          <w:b/>
          <w:sz w:val="24"/>
          <w:szCs w:val="24"/>
          <w:u w:val="single"/>
          <w:lang w:val="en-US" w:eastAsia="zh-CN"/>
        </w:rPr>
        <w:t>7</w:t>
      </w:r>
      <w:r>
        <w:rPr>
          <w:rFonts w:hint="eastAsia" w:ascii="仿宋_GB2312" w:hAnsi="仿宋" w:eastAsia="仿宋_GB2312" w:cs="Times New Roman"/>
          <w:b/>
          <w:sz w:val="24"/>
          <w:szCs w:val="24"/>
        </w:rPr>
        <w:t>分</w:t>
      </w:r>
      <w:r>
        <w:rPr>
          <w:rFonts w:hint="eastAsia" w:ascii="仿宋_GB2312" w:hAnsi="宋体" w:eastAsia="仿宋_GB2312" w:cs="Times New Roman"/>
          <w:b/>
          <w:sz w:val="24"/>
          <w:szCs w:val="24"/>
        </w:rPr>
        <w:t>。</w:t>
      </w:r>
    </w:p>
    <w:p>
      <w:pPr>
        <w:tabs>
          <w:tab w:val="left" w:pos="0"/>
        </w:tabs>
        <w:adjustRightInd w:val="0"/>
        <w:spacing w:line="460" w:lineRule="exact"/>
        <w:ind w:firstLine="542" w:firstLineChars="225"/>
        <w:rPr>
          <w:rFonts w:ascii="仿宋_GB2312" w:hAnsi="宋体" w:eastAsia="仿宋_GB2312" w:cs="Times New Roman"/>
          <w:sz w:val="24"/>
          <w:szCs w:val="24"/>
        </w:rPr>
      </w:pPr>
      <w:r>
        <w:rPr>
          <w:rFonts w:hint="eastAsia" w:ascii="仿宋_GB2312" w:hAnsi="宋体" w:eastAsia="仿宋_GB2312" w:cs="Times New Roman"/>
          <w:b/>
          <w:sz w:val="24"/>
          <w:szCs w:val="24"/>
        </w:rPr>
        <w:t>各投标人的技术和服务方案、投标人的资质和业绩情况得分为：评标委员会各成员评分的算术平均值。各投标人的投标价格得分按投标价格评分</w:t>
      </w:r>
      <w:r>
        <w:rPr>
          <w:rFonts w:hint="eastAsia" w:ascii="仿宋_GB2312" w:hAnsi="宋体" w:eastAsia="仿宋_GB2312" w:cs="宋体"/>
          <w:b/>
          <w:kern w:val="0"/>
          <w:sz w:val="24"/>
          <w:szCs w:val="24"/>
        </w:rPr>
        <w:t>公式由采购机构计算，</w:t>
      </w:r>
      <w:r>
        <w:rPr>
          <w:rFonts w:hint="eastAsia" w:ascii="仿宋_GB2312" w:hAnsi="宋体" w:eastAsia="仿宋_GB2312" w:cs="Times New Roman"/>
          <w:b/>
          <w:sz w:val="24"/>
          <w:szCs w:val="24"/>
        </w:rPr>
        <w:t>评标委员会审核。</w:t>
      </w:r>
      <w:r>
        <w:rPr>
          <w:rFonts w:hint="eastAsia" w:ascii="仿宋_GB2312" w:hAnsi="宋体" w:eastAsia="仿宋_GB2312" w:cs="Times New Roman"/>
          <w:sz w:val="24"/>
          <w:szCs w:val="24"/>
        </w:rPr>
        <w:t>根据上述评标原则，分值安排如下：</w:t>
      </w:r>
    </w:p>
    <w:p>
      <w:pPr>
        <w:shd w:val="clear"/>
        <w:adjustRightInd w:val="0"/>
        <w:spacing w:line="460" w:lineRule="exact"/>
        <w:ind w:firstLine="482" w:firstLineChars="200"/>
        <w:rPr>
          <w:rFonts w:ascii="仿宋_GB2312" w:hAnsi="宋体" w:eastAsia="仿宋_GB2312" w:cs="Times New Roman"/>
          <w:b/>
          <w:color w:val="auto"/>
          <w:sz w:val="24"/>
          <w:szCs w:val="24"/>
          <w:highlight w:val="none"/>
        </w:rPr>
      </w:pPr>
      <w:r>
        <w:rPr>
          <w:rFonts w:hint="eastAsia" w:ascii="仿宋_GB2312" w:hAnsi="宋体" w:eastAsia="仿宋_GB2312" w:cs="Times New Roman"/>
          <w:b/>
          <w:sz w:val="24"/>
          <w:szCs w:val="24"/>
        </w:rPr>
        <w:t>A、投标价格</w:t>
      </w:r>
      <w:r>
        <w:rPr>
          <w:rFonts w:hint="eastAsia" w:ascii="仿宋_GB2312" w:hAnsi="宋体" w:eastAsia="仿宋_GB2312" w:cs="Times New Roman"/>
          <w:b/>
          <w:color w:val="auto"/>
          <w:sz w:val="24"/>
          <w:szCs w:val="24"/>
          <w:highlight w:val="none"/>
        </w:rPr>
        <w:t>（A=</w:t>
      </w:r>
      <w:r>
        <w:rPr>
          <w:rFonts w:hint="eastAsia" w:ascii="仿宋_GB2312" w:hAnsi="宋体" w:eastAsia="仿宋_GB2312" w:cs="Times New Roman"/>
          <w:b/>
          <w:color w:val="auto"/>
          <w:sz w:val="24"/>
          <w:szCs w:val="24"/>
          <w:highlight w:val="none"/>
          <w:u w:val="single"/>
        </w:rPr>
        <w:t xml:space="preserve"> </w:t>
      </w:r>
      <w:r>
        <w:rPr>
          <w:rFonts w:hint="eastAsia" w:ascii="仿宋_GB2312" w:hAnsi="宋体" w:eastAsia="仿宋_GB2312" w:cs="Times New Roman"/>
          <w:b/>
          <w:color w:val="auto"/>
          <w:sz w:val="24"/>
          <w:szCs w:val="24"/>
          <w:highlight w:val="none"/>
          <w:u w:val="single"/>
          <w:lang w:val="en-US" w:eastAsia="zh-CN"/>
        </w:rPr>
        <w:t>30</w:t>
      </w:r>
      <w:r>
        <w:rPr>
          <w:rFonts w:hint="eastAsia" w:ascii="仿宋_GB2312" w:hAnsi="宋体" w:eastAsia="仿宋_GB2312" w:cs="Times New Roman"/>
          <w:b/>
          <w:color w:val="auto"/>
          <w:sz w:val="24"/>
          <w:szCs w:val="24"/>
          <w:highlight w:val="none"/>
        </w:rPr>
        <w:t>分）：</w:t>
      </w:r>
    </w:p>
    <w:p>
      <w:pPr>
        <w:shd w:val="clear"/>
        <w:adjustRightInd w:val="0"/>
        <w:spacing w:line="360" w:lineRule="auto"/>
        <w:ind w:firstLine="482" w:firstLineChars="200"/>
        <w:rPr>
          <w:rFonts w:ascii="仿宋_GB2312" w:hAnsi="仿宋" w:eastAsia="仿宋_GB2312" w:cs="仿宋_GB2312"/>
          <w:color w:val="auto"/>
          <w:sz w:val="24"/>
          <w:szCs w:val="24"/>
          <w:highlight w:val="none"/>
        </w:rPr>
      </w:pPr>
      <w:r>
        <w:rPr>
          <w:rFonts w:hint="eastAsia" w:ascii="仿宋_GB2312" w:hAnsi="宋体" w:eastAsia="仿宋_GB2312" w:cs="仿宋_GB2312"/>
          <w:b/>
          <w:bCs/>
          <w:color w:val="auto"/>
          <w:sz w:val="24"/>
          <w:szCs w:val="24"/>
          <w:highlight w:val="none"/>
          <w:lang w:val="zh-CN"/>
        </w:rPr>
        <w:t>报价的合理性：</w:t>
      </w:r>
      <w:r>
        <w:rPr>
          <w:rFonts w:hint="eastAsia" w:ascii="仿宋_GB2312" w:hAnsi="宋体" w:eastAsia="仿宋_GB2312" w:cs="Times New Roman"/>
          <w:color w:val="auto"/>
          <w:sz w:val="24"/>
          <w:szCs w:val="24"/>
          <w:highlight w:val="none"/>
        </w:rPr>
        <w:t>评标委员会认为投标人的</w:t>
      </w:r>
      <w:r>
        <w:rPr>
          <w:rFonts w:hint="eastAsia" w:ascii="仿宋_GB2312" w:hAnsi="仿宋" w:eastAsia="仿宋_GB2312" w:cs="仿宋_GB2312"/>
          <w:color w:val="auto"/>
          <w:sz w:val="24"/>
          <w:szCs w:val="24"/>
          <w:highlight w:val="none"/>
        </w:rPr>
        <w:t>报价明显低于其他通过符合性审查投标人的报价，有可能影响产品质量或者不能诚信履约的，应当要求提供其在合理的时间内书面提供书面说明，必要时提交相关证明材料；投标人不能证明其报价合理性的，评标委员会应当将其作为无效投标处理;</w:t>
      </w:r>
    </w:p>
    <w:p>
      <w:pPr>
        <w:shd w:val="clear"/>
        <w:adjustRightInd w:val="0"/>
        <w:spacing w:line="460" w:lineRule="exact"/>
        <w:ind w:firstLine="480" w:firstLineChars="200"/>
        <w:rPr>
          <w:rFonts w:ascii="仿宋_GB2312" w:hAnsi="宋体" w:eastAsia="仿宋_GB2312" w:cs="Times New Roman"/>
          <w:sz w:val="24"/>
          <w:szCs w:val="24"/>
        </w:rPr>
      </w:pPr>
      <w:r>
        <w:rPr>
          <w:rFonts w:hint="eastAsia" w:ascii="仿宋_GB2312" w:hAnsi="宋体" w:eastAsia="仿宋_GB2312" w:cs="仿宋_GB2312"/>
          <w:color w:val="auto"/>
          <w:sz w:val="24"/>
          <w:szCs w:val="24"/>
          <w:highlight w:val="none"/>
          <w:lang w:val="zh-CN"/>
        </w:rPr>
        <w:t>报价分计算方法：根据各投标人的有效投标报价，以满足招标文件要求且有效投标价格的最低的投标报价为评标基准价，其价格分为</w:t>
      </w:r>
      <w:r>
        <w:rPr>
          <w:rFonts w:hint="eastAsia" w:ascii="仿宋_GB2312" w:hAnsi="宋体" w:eastAsia="仿宋_GB2312" w:cs="仿宋_GB2312"/>
          <w:color w:val="auto"/>
          <w:sz w:val="24"/>
          <w:szCs w:val="24"/>
          <w:highlight w:val="none"/>
          <w:u w:val="single"/>
          <w:lang w:val="zh-CN"/>
        </w:rPr>
        <w:t xml:space="preserve"> </w:t>
      </w:r>
      <w:r>
        <w:rPr>
          <w:rFonts w:hint="eastAsia" w:ascii="仿宋_GB2312" w:hAnsi="宋体" w:eastAsia="仿宋_GB2312" w:cs="仿宋_GB2312"/>
          <w:color w:val="auto"/>
          <w:sz w:val="24"/>
          <w:szCs w:val="24"/>
          <w:highlight w:val="none"/>
          <w:u w:val="single"/>
          <w:lang w:val="en-US" w:eastAsia="zh-CN"/>
        </w:rPr>
        <w:t>30</w:t>
      </w:r>
      <w:r>
        <w:rPr>
          <w:rFonts w:hint="eastAsia" w:ascii="仿宋_GB2312" w:hAnsi="宋体" w:eastAsia="仿宋_GB2312" w:cs="仿宋_GB2312"/>
          <w:color w:val="auto"/>
          <w:sz w:val="24"/>
          <w:szCs w:val="24"/>
          <w:highlight w:val="none"/>
          <w:lang w:val="zh-CN"/>
        </w:rPr>
        <w:t>分。其他投</w:t>
      </w:r>
      <w:r>
        <w:rPr>
          <w:rFonts w:hint="eastAsia" w:ascii="仿宋_GB2312" w:hAnsi="宋体" w:eastAsia="仿宋_GB2312" w:cs="仿宋_GB2312"/>
          <w:sz w:val="24"/>
          <w:szCs w:val="24"/>
          <w:lang w:val="zh-CN"/>
        </w:rPr>
        <w:t>标人的价格分统一按照下列公式计算：投标报价得分＝(评标基准价/有效投标报价)</w:t>
      </w:r>
      <w:r>
        <w:rPr>
          <w:rFonts w:hint="eastAsia" w:ascii="仿宋_GB2312" w:hAnsi="宋体" w:eastAsia="仿宋_GB2312" w:cs="Times New Roman"/>
          <w:sz w:val="24"/>
          <w:szCs w:val="24"/>
        </w:rPr>
        <w:t>×</w:t>
      </w:r>
      <w:r>
        <w:rPr>
          <w:rFonts w:hint="eastAsia" w:ascii="仿宋_GB2312" w:hAnsi="宋体" w:eastAsia="仿宋_GB2312" w:cs="仿宋_GB2312"/>
          <w:sz w:val="24"/>
          <w:szCs w:val="24"/>
          <w:lang w:val="zh-CN"/>
        </w:rPr>
        <w:t>价格权值</w:t>
      </w:r>
      <w:r>
        <w:rPr>
          <w:rFonts w:hint="eastAsia" w:ascii="仿宋_GB2312" w:hAnsi="宋体" w:eastAsia="仿宋_GB2312" w:cs="Times New Roman"/>
          <w:sz w:val="24"/>
          <w:szCs w:val="24"/>
        </w:rPr>
        <w:t>×</w:t>
      </w:r>
      <w:r>
        <w:rPr>
          <w:rFonts w:hint="eastAsia" w:ascii="仿宋_GB2312" w:hAnsi="宋体" w:eastAsia="仿宋_GB2312" w:cs="仿宋_GB2312"/>
          <w:sz w:val="24"/>
          <w:szCs w:val="24"/>
          <w:lang w:val="zh-CN"/>
        </w:rPr>
        <w:t>100。</w:t>
      </w:r>
    </w:p>
    <w:p>
      <w:pPr>
        <w:spacing w:line="460" w:lineRule="exact"/>
        <w:ind w:firstLine="482" w:firstLineChars="200"/>
        <w:rPr>
          <w:rFonts w:hint="eastAsia" w:ascii="仿宋_GB2312" w:hAnsi="仿宋_GB2312" w:eastAsia="仿宋_GB2312" w:cs="仿宋_GB2312"/>
          <w:bCs/>
          <w:sz w:val="24"/>
          <w:highlight w:val="none"/>
        </w:rPr>
      </w:pPr>
      <w:r>
        <w:rPr>
          <w:rFonts w:hint="eastAsia" w:ascii="仿宋_GB2312" w:hAnsi="宋体" w:eastAsia="仿宋_GB2312"/>
          <w:b/>
          <w:bCs/>
          <w:sz w:val="24"/>
          <w:highlight w:val="none"/>
        </w:rPr>
        <w:t>B、技术和服务方案（B=</w:t>
      </w:r>
      <w:r>
        <w:rPr>
          <w:rFonts w:hint="eastAsia" w:ascii="仿宋_GB2312" w:hAnsi="宋体" w:eastAsia="仿宋_GB2312"/>
          <w:b/>
          <w:bCs/>
          <w:sz w:val="24"/>
          <w:highlight w:val="none"/>
          <w:u w:val="single"/>
        </w:rPr>
        <w:t>6</w:t>
      </w:r>
      <w:r>
        <w:rPr>
          <w:rFonts w:hint="eastAsia" w:ascii="仿宋_GB2312" w:hAnsi="宋体" w:eastAsia="仿宋_GB2312"/>
          <w:b/>
          <w:bCs/>
          <w:sz w:val="24"/>
          <w:highlight w:val="none"/>
          <w:u w:val="single"/>
          <w:lang w:val="en-US" w:eastAsia="zh-CN"/>
        </w:rPr>
        <w:t>3</w:t>
      </w:r>
      <w:r>
        <w:rPr>
          <w:rFonts w:hint="eastAsia" w:ascii="仿宋_GB2312" w:hAnsi="宋体" w:eastAsia="仿宋_GB2312"/>
          <w:b/>
          <w:bCs/>
          <w:sz w:val="24"/>
          <w:highlight w:val="none"/>
        </w:rPr>
        <w:t>分）：</w:t>
      </w:r>
      <w:r>
        <w:rPr>
          <w:rFonts w:hint="eastAsia" w:ascii="仿宋_GB2312" w:hAnsi="仿宋_GB2312" w:eastAsia="仿宋_GB2312" w:cs="仿宋_GB2312"/>
          <w:bCs/>
          <w:sz w:val="24"/>
          <w:highlight w:val="none"/>
        </w:rPr>
        <w:t>主要包含方案的先进性、科学性和完整性，方案与需求的吻合程度，提供的售后服务方案、维护人员和机构服务优劣程度以及承诺和优惠等方面的因素。评审要点为：</w:t>
      </w:r>
    </w:p>
    <w:p>
      <w:pPr>
        <w:autoSpaceDE w:val="0"/>
        <w:autoSpaceDN w:val="0"/>
        <w:spacing w:line="460" w:lineRule="exact"/>
        <w:ind w:firstLine="482"/>
        <w:rPr>
          <w:rFonts w:hint="eastAsia"/>
          <w:highlight w:val="none"/>
          <w:lang w:val="zh-CN"/>
        </w:rPr>
      </w:pPr>
      <w:r>
        <w:rPr>
          <w:rFonts w:hint="eastAsia" w:ascii="仿宋_GB2312" w:hAnsi="宋体" w:eastAsia="仿宋_GB2312"/>
          <w:b/>
          <w:bCs/>
          <w:sz w:val="24"/>
          <w:highlight w:val="none"/>
        </w:rPr>
        <w:t>（1）所投设备整体技术性能（</w:t>
      </w:r>
      <w:r>
        <w:rPr>
          <w:rFonts w:hint="eastAsia" w:ascii="仿宋_GB2312" w:hAnsi="宋体" w:eastAsia="仿宋_GB2312"/>
          <w:b/>
          <w:bCs/>
          <w:sz w:val="24"/>
          <w:highlight w:val="none"/>
          <w:lang w:val="en-US" w:eastAsia="zh-CN"/>
        </w:rPr>
        <w:t>35</w:t>
      </w:r>
      <w:r>
        <w:rPr>
          <w:rFonts w:hint="eastAsia" w:ascii="仿宋_GB2312" w:hAnsi="宋体" w:eastAsia="仿宋_GB2312"/>
          <w:b/>
          <w:bCs/>
          <w:sz w:val="24"/>
          <w:highlight w:val="none"/>
        </w:rPr>
        <w:t xml:space="preserve"> 分）：</w:t>
      </w:r>
    </w:p>
    <w:p>
      <w:pPr>
        <w:autoSpaceDE w:val="0"/>
        <w:autoSpaceDN w:val="0"/>
        <w:spacing w:line="460" w:lineRule="exact"/>
        <w:ind w:firstLine="482"/>
        <w:rPr>
          <w:rFonts w:hint="eastAsia" w:ascii="仿宋_GB2312" w:hAnsi="宋体" w:eastAsia="仿宋_GB2312" w:cs="仿宋_GB2312"/>
          <w:sz w:val="24"/>
          <w:szCs w:val="24"/>
          <w:highlight w:val="none"/>
          <w:lang w:val="zh-CN"/>
        </w:rPr>
      </w:pPr>
      <w:r>
        <w:rPr>
          <w:rFonts w:hint="eastAsia" w:ascii="仿宋_GB2312" w:hAnsi="宋体" w:eastAsia="仿宋_GB2312"/>
          <w:sz w:val="24"/>
          <w:szCs w:val="24"/>
          <w:highlight w:val="none"/>
        </w:rPr>
        <w:t>●</w:t>
      </w:r>
      <w:r>
        <w:rPr>
          <w:rFonts w:hint="eastAsia" w:ascii="仿宋_GB2312" w:hAnsi="宋体" w:eastAsia="仿宋_GB2312" w:cs="仿宋_GB2312"/>
          <w:sz w:val="24"/>
          <w:szCs w:val="24"/>
          <w:highlight w:val="none"/>
          <w:lang w:val="zh-CN"/>
        </w:rPr>
        <w:t>投标产品的技术指标的吻合程度和偏差情况（包括所投标产品的规格型号、详细配置、主要技术参数、随机软件、证明材料等），满足招标文件技术指标的得基准分</w:t>
      </w:r>
      <w:r>
        <w:rPr>
          <w:rFonts w:hint="eastAsia" w:ascii="仿宋_GB2312" w:hAnsi="宋体" w:eastAsia="仿宋_GB2312" w:cs="仿宋_GB2312"/>
          <w:sz w:val="24"/>
          <w:szCs w:val="24"/>
          <w:highlight w:val="none"/>
          <w:lang w:val="en-US" w:eastAsia="zh-CN"/>
        </w:rPr>
        <w:t>3</w:t>
      </w:r>
      <w:r>
        <w:rPr>
          <w:rFonts w:hint="eastAsia" w:ascii="仿宋_GB2312" w:hAnsi="宋体" w:eastAsia="仿宋_GB2312" w:cs="仿宋_GB2312"/>
          <w:sz w:val="24"/>
          <w:szCs w:val="24"/>
          <w:highlight w:val="none"/>
          <w:lang w:val="zh-CN"/>
        </w:rPr>
        <w:t>0分，</w:t>
      </w:r>
      <w:r>
        <w:rPr>
          <w:rFonts w:hint="eastAsia" w:ascii="仿宋_GB2312" w:hAnsi="宋体" w:eastAsia="仿宋_GB2312"/>
          <w:bCs/>
          <w:sz w:val="24"/>
          <w:szCs w:val="24"/>
          <w:highlight w:val="none"/>
        </w:rPr>
        <w:t>对带✰符号的参数或功能要求负偏离或未响应的每项扣</w:t>
      </w:r>
      <w:r>
        <w:rPr>
          <w:rFonts w:hint="eastAsia" w:ascii="仿宋_GB2312" w:hAnsi="宋体" w:eastAsia="仿宋_GB2312"/>
          <w:bCs/>
          <w:sz w:val="24"/>
          <w:szCs w:val="24"/>
          <w:highlight w:val="none"/>
          <w:lang w:val="en-US" w:eastAsia="zh-CN"/>
        </w:rPr>
        <w:t>2</w:t>
      </w:r>
      <w:r>
        <w:rPr>
          <w:rFonts w:hint="eastAsia" w:ascii="仿宋_GB2312" w:hAnsi="宋体" w:eastAsia="仿宋_GB2312"/>
          <w:bCs/>
          <w:sz w:val="24"/>
          <w:szCs w:val="24"/>
          <w:highlight w:val="none"/>
        </w:rPr>
        <w:t>分，对其他参数或功能要求负偏离或未响应的每项扣</w:t>
      </w:r>
      <w:r>
        <w:rPr>
          <w:rFonts w:hint="eastAsia" w:ascii="仿宋_GB2312" w:hAnsi="宋体" w:eastAsia="仿宋_GB2312" w:cs="仿宋_GB2312"/>
          <w:sz w:val="24"/>
          <w:szCs w:val="24"/>
          <w:highlight w:val="none"/>
          <w:lang w:val="en-US" w:eastAsia="zh-CN"/>
        </w:rPr>
        <w:t>1</w:t>
      </w:r>
      <w:r>
        <w:rPr>
          <w:rFonts w:hint="eastAsia" w:ascii="仿宋_GB2312" w:hAnsi="宋体" w:eastAsia="仿宋_GB2312" w:cs="仿宋_GB2312"/>
          <w:sz w:val="24"/>
          <w:szCs w:val="24"/>
          <w:highlight w:val="none"/>
          <w:lang w:val="zh-CN"/>
        </w:rPr>
        <w:t>分（无实质性意义的负偏离不扣分），</w:t>
      </w:r>
      <w:r>
        <w:rPr>
          <w:rFonts w:hint="eastAsia" w:ascii="仿宋_GB2312" w:hAnsi="宋体" w:eastAsia="仿宋_GB2312" w:cs="仿宋_GB2312"/>
          <w:sz w:val="24"/>
          <w:szCs w:val="24"/>
          <w:highlight w:val="none"/>
          <w:lang w:val="zh-CN" w:eastAsia="zh-CN"/>
        </w:rPr>
        <w:t>基准分全部扣完后</w:t>
      </w:r>
      <w:r>
        <w:rPr>
          <w:rFonts w:hint="eastAsia" w:ascii="仿宋_GB2312" w:hAnsi="宋体" w:eastAsia="仿宋_GB2312" w:cs="仿宋_GB2312"/>
          <w:sz w:val="24"/>
          <w:szCs w:val="24"/>
          <w:highlight w:val="none"/>
          <w:lang w:val="zh-CN"/>
        </w:rPr>
        <w:t>，作无效标处理。带“▲”项为必要性的重要条件，如果不满足，将视为无效标（</w:t>
      </w:r>
      <w:r>
        <w:rPr>
          <w:rFonts w:hint="eastAsia" w:ascii="仿宋_GB2312" w:hAnsi="宋体" w:eastAsia="仿宋_GB2312" w:cs="仿宋_GB2312"/>
          <w:sz w:val="24"/>
          <w:szCs w:val="24"/>
          <w:highlight w:val="none"/>
          <w:lang w:val="en-US" w:eastAsia="zh-CN"/>
        </w:rPr>
        <w:t>30分</w:t>
      </w:r>
      <w:r>
        <w:rPr>
          <w:rFonts w:hint="eastAsia" w:ascii="仿宋_GB2312" w:hAnsi="宋体" w:eastAsia="仿宋_GB2312" w:cs="仿宋_GB2312"/>
          <w:sz w:val="24"/>
          <w:szCs w:val="24"/>
          <w:highlight w:val="none"/>
          <w:lang w:val="zh-CN"/>
        </w:rPr>
        <w:t>）；</w:t>
      </w:r>
    </w:p>
    <w:p>
      <w:pPr>
        <w:autoSpaceDE w:val="0"/>
        <w:autoSpaceDN w:val="0"/>
        <w:spacing w:line="460" w:lineRule="exact"/>
        <w:ind w:firstLine="482"/>
        <w:rPr>
          <w:rFonts w:hint="eastAsia" w:ascii="仿宋_GB2312" w:hAnsi="宋体" w:eastAsia="仿宋_GB2312" w:cs="仿宋_GB2312"/>
          <w:sz w:val="24"/>
          <w:szCs w:val="24"/>
          <w:highlight w:val="none"/>
          <w:lang w:val="zh-CN" w:eastAsia="zh-CN"/>
        </w:rPr>
      </w:pPr>
      <w:r>
        <w:rPr>
          <w:rFonts w:hint="eastAsia" w:ascii="仿宋_GB2312" w:hAnsi="宋体" w:eastAsia="仿宋_GB2312"/>
          <w:sz w:val="24"/>
          <w:szCs w:val="24"/>
          <w:highlight w:val="none"/>
        </w:rPr>
        <w:t>●</w:t>
      </w:r>
      <w:r>
        <w:rPr>
          <w:rFonts w:hint="eastAsia" w:ascii="仿宋_GB2312" w:hAnsi="宋体" w:eastAsia="仿宋_GB2312" w:cs="仿宋_GB2312"/>
          <w:sz w:val="24"/>
          <w:szCs w:val="24"/>
          <w:highlight w:val="none"/>
          <w:lang w:val="zh-CN" w:eastAsia="zh-CN"/>
        </w:rPr>
        <w:t>投标产品是否取得节能产品、环境标志产品认证证书；此项由投标人提供相关证明材料，每个产品加</w:t>
      </w:r>
      <w:r>
        <w:rPr>
          <w:rFonts w:hint="eastAsia" w:ascii="仿宋_GB2312" w:hAnsi="宋体" w:eastAsia="仿宋_GB2312" w:cs="仿宋_GB2312"/>
          <w:sz w:val="24"/>
          <w:szCs w:val="24"/>
          <w:highlight w:val="none"/>
          <w:lang w:val="en-US" w:eastAsia="zh-CN"/>
        </w:rPr>
        <w:t>1</w:t>
      </w:r>
      <w:r>
        <w:rPr>
          <w:rFonts w:hint="eastAsia" w:ascii="仿宋_GB2312" w:hAnsi="宋体" w:eastAsia="仿宋_GB2312" w:cs="仿宋_GB2312"/>
          <w:sz w:val="24"/>
          <w:szCs w:val="24"/>
          <w:highlight w:val="none"/>
          <w:lang w:val="zh-CN" w:eastAsia="zh-CN"/>
        </w:rPr>
        <w:t>分，产品含多证不重复加分，最高为</w:t>
      </w:r>
      <w:r>
        <w:rPr>
          <w:rFonts w:hint="eastAsia" w:ascii="仿宋_GB2312" w:hAnsi="宋体" w:eastAsia="仿宋_GB2312" w:cs="仿宋_GB2312"/>
          <w:sz w:val="24"/>
          <w:szCs w:val="24"/>
          <w:highlight w:val="none"/>
          <w:lang w:val="en-US" w:eastAsia="zh-CN"/>
        </w:rPr>
        <w:t>5</w:t>
      </w:r>
      <w:r>
        <w:rPr>
          <w:rFonts w:hint="eastAsia" w:ascii="仿宋_GB2312" w:hAnsi="宋体" w:eastAsia="仿宋_GB2312" w:cs="仿宋_GB2312"/>
          <w:sz w:val="24"/>
          <w:szCs w:val="24"/>
          <w:highlight w:val="none"/>
          <w:lang w:val="zh-CN" w:eastAsia="zh-CN"/>
        </w:rPr>
        <w:t>分（</w:t>
      </w:r>
      <w:r>
        <w:rPr>
          <w:rFonts w:hint="eastAsia" w:ascii="仿宋_GB2312" w:hAnsi="宋体" w:eastAsia="仿宋_GB2312" w:cs="仿宋_GB2312"/>
          <w:sz w:val="24"/>
          <w:szCs w:val="24"/>
          <w:highlight w:val="none"/>
          <w:lang w:val="en-US" w:eastAsia="zh-CN"/>
        </w:rPr>
        <w:t>5分</w:t>
      </w:r>
      <w:r>
        <w:rPr>
          <w:rFonts w:hint="eastAsia" w:ascii="仿宋_GB2312" w:hAnsi="宋体" w:eastAsia="仿宋_GB2312" w:cs="仿宋_GB2312"/>
          <w:sz w:val="24"/>
          <w:szCs w:val="24"/>
          <w:highlight w:val="none"/>
          <w:lang w:val="zh-CN" w:eastAsia="zh-CN"/>
        </w:rPr>
        <w:t>）。</w:t>
      </w:r>
    </w:p>
    <w:p>
      <w:pPr>
        <w:pStyle w:val="2"/>
        <w:rPr>
          <w:rFonts w:hint="eastAsia" w:ascii="仿宋_GB2312" w:hAnsi="宋体" w:eastAsia="仿宋_GB2312" w:cs="仿宋_GB2312"/>
          <w:b/>
          <w:sz w:val="24"/>
          <w:szCs w:val="24"/>
          <w:highlight w:val="none"/>
          <w:lang w:val="zh-CN"/>
        </w:rPr>
      </w:pPr>
      <w:r>
        <w:rPr>
          <w:rFonts w:hint="eastAsia" w:ascii="仿宋_GB2312" w:hAnsi="宋体" w:eastAsia="仿宋_GB2312" w:cs="仿宋_GB2312"/>
          <w:b/>
          <w:sz w:val="24"/>
          <w:szCs w:val="24"/>
          <w:highlight w:val="none"/>
          <w:lang w:val="zh-CN" w:eastAsia="zh-CN"/>
        </w:rPr>
        <w:t>（</w:t>
      </w:r>
      <w:r>
        <w:rPr>
          <w:rFonts w:hint="eastAsia" w:ascii="仿宋_GB2312" w:hAnsi="宋体" w:eastAsia="仿宋_GB2312" w:cs="仿宋_GB2312"/>
          <w:b/>
          <w:sz w:val="24"/>
          <w:szCs w:val="24"/>
          <w:highlight w:val="none"/>
          <w:lang w:val="en-US" w:eastAsia="zh-CN"/>
        </w:rPr>
        <w:t>2</w:t>
      </w:r>
      <w:r>
        <w:rPr>
          <w:rFonts w:hint="eastAsia" w:ascii="仿宋_GB2312" w:hAnsi="宋体" w:eastAsia="仿宋_GB2312" w:cs="仿宋_GB2312"/>
          <w:b/>
          <w:sz w:val="24"/>
          <w:szCs w:val="24"/>
          <w:highlight w:val="none"/>
          <w:lang w:val="zh-CN" w:eastAsia="zh-CN"/>
        </w:rPr>
        <w:t>）</w:t>
      </w:r>
      <w:r>
        <w:rPr>
          <w:rFonts w:hint="eastAsia" w:ascii="仿宋_GB2312" w:hAnsi="宋体" w:eastAsia="仿宋_GB2312" w:cs="仿宋_GB2312"/>
          <w:b/>
          <w:sz w:val="24"/>
          <w:szCs w:val="24"/>
          <w:highlight w:val="none"/>
          <w:lang w:val="zh-CN"/>
        </w:rPr>
        <w:t>技术方案及人员方案情况（</w:t>
      </w:r>
      <w:r>
        <w:rPr>
          <w:rFonts w:hint="eastAsia" w:ascii="仿宋_GB2312" w:hAnsi="宋体" w:eastAsia="仿宋_GB2312" w:cs="仿宋_GB2312"/>
          <w:b/>
          <w:sz w:val="24"/>
          <w:szCs w:val="24"/>
          <w:highlight w:val="none"/>
          <w:lang w:val="en-US" w:eastAsia="zh-CN"/>
        </w:rPr>
        <w:t>16</w:t>
      </w:r>
      <w:r>
        <w:rPr>
          <w:rFonts w:hint="eastAsia" w:ascii="仿宋_GB2312" w:hAnsi="宋体" w:eastAsia="仿宋_GB2312" w:cs="仿宋_GB2312"/>
          <w:b/>
          <w:sz w:val="24"/>
          <w:szCs w:val="24"/>
          <w:highlight w:val="none"/>
          <w:lang w:val="zh-CN"/>
        </w:rPr>
        <w:t>分）：</w:t>
      </w:r>
    </w:p>
    <w:p>
      <w:pPr>
        <w:pStyle w:val="2"/>
        <w:numPr>
          <w:ilvl w:val="0"/>
          <w:numId w:val="0"/>
        </w:numPr>
        <w:ind w:firstLine="480" w:firstLineChars="200"/>
        <w:rPr>
          <w:rFonts w:hint="default"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kern w:val="2"/>
          <w:sz w:val="24"/>
          <w:szCs w:val="24"/>
          <w:highlight w:val="none"/>
          <w:lang w:val="zh-CN" w:eastAsia="zh-CN" w:bidi="ar-SA"/>
        </w:rPr>
        <w:t>●提供本项目建设思路、原则、特点、技术要求的理解情况，在确保阶段性任务实现的同时，是否统筹考虑了总体目标的实现，综合打分，最高</w:t>
      </w:r>
      <w:r>
        <w:rPr>
          <w:rFonts w:hint="eastAsia" w:ascii="仿宋_GB2312" w:hAnsi="宋体" w:eastAsia="仿宋_GB2312" w:cs="仿宋_GB2312"/>
          <w:color w:val="auto"/>
          <w:kern w:val="2"/>
          <w:sz w:val="24"/>
          <w:szCs w:val="24"/>
          <w:highlight w:val="none"/>
          <w:lang w:val="en-US" w:eastAsia="zh-CN" w:bidi="ar-SA"/>
        </w:rPr>
        <w:t>3分（3分）；</w:t>
      </w:r>
    </w:p>
    <w:p>
      <w:pPr>
        <w:autoSpaceDE w:val="0"/>
        <w:autoSpaceDN w:val="0"/>
        <w:spacing w:line="460" w:lineRule="exact"/>
        <w:ind w:firstLine="482"/>
        <w:rPr>
          <w:rFonts w:hint="eastAsia" w:ascii="仿宋_GB2312" w:hAnsi="宋体" w:eastAsia="仿宋_GB2312" w:cs="仿宋_GB2312"/>
          <w:sz w:val="24"/>
          <w:szCs w:val="24"/>
          <w:highlight w:val="none"/>
          <w:lang w:val="zh-CN"/>
        </w:rPr>
      </w:pPr>
      <w:r>
        <w:rPr>
          <w:rFonts w:hint="eastAsia" w:ascii="仿宋_GB2312" w:hAnsi="宋体" w:eastAsia="仿宋_GB2312" w:cs="仿宋_GB2312"/>
          <w:color w:val="auto"/>
          <w:kern w:val="2"/>
          <w:sz w:val="24"/>
          <w:szCs w:val="24"/>
          <w:highlight w:val="none"/>
          <w:lang w:val="zh-CN" w:eastAsia="zh-CN" w:bidi="ar-SA"/>
        </w:rPr>
        <w:t xml:space="preserve">● </w:t>
      </w:r>
      <w:r>
        <w:rPr>
          <w:rFonts w:hint="eastAsia" w:ascii="仿宋_GB2312" w:hAnsi="宋体" w:eastAsia="仿宋_GB2312" w:cs="仿宋_GB2312"/>
          <w:sz w:val="24"/>
          <w:szCs w:val="24"/>
          <w:highlight w:val="none"/>
          <w:lang w:val="zh-CN"/>
        </w:rPr>
        <w:t>项目实施方案情况：</w:t>
      </w:r>
      <w:r>
        <w:rPr>
          <w:rFonts w:hint="eastAsia" w:ascii="仿宋_GB2312" w:hAnsi="宋体" w:eastAsia="仿宋_GB2312" w:cs="仿宋_GB2312"/>
          <w:color w:val="auto"/>
          <w:kern w:val="2"/>
          <w:sz w:val="24"/>
          <w:szCs w:val="24"/>
          <w:highlight w:val="none"/>
          <w:lang w:val="en-US" w:eastAsia="zh-CN" w:bidi="ar-SA"/>
        </w:rPr>
        <w:t>投标人能否结合本次项目建设要求提供合理、可行的项目实施方案，包括项目管理制度、项目实施计划安排、项目实施管理、项目建设资源配置、质量保障管理方案，依据方案进行综合打分，</w:t>
      </w:r>
      <w:r>
        <w:rPr>
          <w:rFonts w:hint="eastAsia" w:ascii="仿宋_GB2312" w:hAnsi="宋体" w:eastAsia="仿宋_GB2312" w:cs="仿宋_GB2312"/>
          <w:sz w:val="24"/>
          <w:szCs w:val="24"/>
          <w:highlight w:val="none"/>
          <w:lang w:val="zh-CN"/>
        </w:rPr>
        <w:t>方案设计合理，技术先进、稳定、安全，对用户需求理解充分、贴合实际的得</w:t>
      </w:r>
      <w:r>
        <w:rPr>
          <w:rFonts w:hint="eastAsia" w:ascii="仿宋_GB2312" w:hAnsi="宋体" w:eastAsia="仿宋_GB2312" w:cs="仿宋_GB2312"/>
          <w:sz w:val="24"/>
          <w:szCs w:val="24"/>
          <w:highlight w:val="none"/>
          <w:lang w:val="en-US" w:eastAsia="zh-CN"/>
        </w:rPr>
        <w:t>5</w:t>
      </w:r>
      <w:r>
        <w:rPr>
          <w:rFonts w:hint="eastAsia" w:ascii="仿宋_GB2312" w:hAnsi="宋体" w:eastAsia="仿宋_GB2312" w:cs="仿宋_GB2312"/>
          <w:sz w:val="24"/>
          <w:szCs w:val="24"/>
          <w:highlight w:val="none"/>
          <w:lang w:val="zh-CN"/>
        </w:rPr>
        <w:t>分；提供的方案设计不合理，技术落后、不稳定、不安全，对用户需求不理解、不贴合实际的酌情扣分（</w:t>
      </w:r>
      <w:r>
        <w:rPr>
          <w:rFonts w:hint="eastAsia" w:ascii="仿宋_GB2312" w:hAnsi="宋体" w:eastAsia="仿宋_GB2312" w:cs="仿宋_GB2312"/>
          <w:sz w:val="24"/>
          <w:szCs w:val="24"/>
          <w:highlight w:val="none"/>
          <w:lang w:val="en-US" w:eastAsia="zh-CN"/>
        </w:rPr>
        <w:t>5</w:t>
      </w:r>
      <w:r>
        <w:rPr>
          <w:rFonts w:hint="eastAsia" w:ascii="仿宋_GB2312" w:hAnsi="宋体" w:eastAsia="仿宋_GB2312" w:cs="仿宋_GB2312"/>
          <w:sz w:val="24"/>
          <w:szCs w:val="24"/>
          <w:highlight w:val="none"/>
          <w:lang w:val="zh-CN"/>
        </w:rPr>
        <w:t>分）；</w:t>
      </w:r>
    </w:p>
    <w:p>
      <w:pPr>
        <w:autoSpaceDE w:val="0"/>
        <w:autoSpaceDN w:val="0"/>
        <w:spacing w:line="460" w:lineRule="exact"/>
        <w:ind w:firstLine="482"/>
        <w:rPr>
          <w:rFonts w:hint="eastAsia" w:ascii="仿宋_GB2312" w:hAnsi="宋体" w:eastAsia="仿宋_GB2312" w:cs="仿宋_GB2312"/>
          <w:sz w:val="24"/>
          <w:szCs w:val="24"/>
          <w:highlight w:val="none"/>
          <w:lang w:val="zh-CN"/>
        </w:rPr>
      </w:pPr>
      <w:r>
        <w:rPr>
          <w:rFonts w:hint="eastAsia" w:ascii="仿宋_GB2312" w:hAnsi="宋体" w:eastAsia="仿宋_GB2312"/>
          <w:sz w:val="24"/>
          <w:szCs w:val="24"/>
          <w:highlight w:val="none"/>
        </w:rPr>
        <w:t xml:space="preserve">● </w:t>
      </w:r>
      <w:r>
        <w:rPr>
          <w:rFonts w:hint="eastAsia" w:ascii="仿宋_GB2312" w:hAnsi="宋体" w:eastAsia="仿宋_GB2312" w:cs="仿宋_GB2312"/>
          <w:color w:val="auto"/>
          <w:kern w:val="2"/>
          <w:sz w:val="24"/>
          <w:szCs w:val="24"/>
          <w:highlight w:val="none"/>
          <w:lang w:val="zh-CN" w:eastAsia="zh-CN" w:bidi="ar-SA"/>
        </w:rPr>
        <w:t>履约验收方案情况：</w:t>
      </w:r>
      <w:r>
        <w:rPr>
          <w:rFonts w:hint="eastAsia" w:ascii="仿宋_GB2312" w:hAnsi="宋体" w:eastAsia="仿宋_GB2312" w:cs="仿宋_GB2312"/>
          <w:sz w:val="24"/>
          <w:szCs w:val="24"/>
          <w:highlight w:val="none"/>
          <w:lang w:val="zh-CN"/>
        </w:rPr>
        <w:t>投标人提出的功能测试、试运转及项目验收方案及交付时间的合理性、可行性情况等综合打分，最高得</w:t>
      </w:r>
      <w:r>
        <w:rPr>
          <w:rFonts w:hint="eastAsia" w:ascii="仿宋_GB2312" w:hAnsi="宋体" w:eastAsia="仿宋_GB2312" w:cs="仿宋_GB2312"/>
          <w:sz w:val="24"/>
          <w:szCs w:val="24"/>
          <w:highlight w:val="none"/>
          <w:lang w:val="en-US" w:eastAsia="zh-CN"/>
        </w:rPr>
        <w:t>3分</w:t>
      </w:r>
      <w:r>
        <w:rPr>
          <w:rFonts w:hint="eastAsia" w:ascii="仿宋_GB2312" w:hAnsi="宋体" w:eastAsia="仿宋_GB2312" w:cs="仿宋_GB2312"/>
          <w:sz w:val="24"/>
          <w:szCs w:val="24"/>
          <w:highlight w:val="none"/>
          <w:lang w:val="zh-CN"/>
        </w:rPr>
        <w:t>（</w:t>
      </w:r>
      <w:r>
        <w:rPr>
          <w:rFonts w:hint="eastAsia" w:ascii="仿宋_GB2312" w:hAnsi="宋体" w:eastAsia="仿宋_GB2312" w:cs="仿宋_GB2312"/>
          <w:sz w:val="24"/>
          <w:szCs w:val="24"/>
          <w:highlight w:val="none"/>
          <w:lang w:val="en-US" w:eastAsia="zh-CN"/>
        </w:rPr>
        <w:t>3</w:t>
      </w:r>
      <w:r>
        <w:rPr>
          <w:rFonts w:hint="eastAsia" w:ascii="仿宋_GB2312" w:hAnsi="宋体" w:eastAsia="仿宋_GB2312" w:cs="仿宋_GB2312"/>
          <w:sz w:val="24"/>
          <w:szCs w:val="24"/>
          <w:highlight w:val="none"/>
          <w:lang w:val="zh-CN"/>
        </w:rPr>
        <w:t>分）</w:t>
      </w:r>
    </w:p>
    <w:p>
      <w:pPr>
        <w:autoSpaceDE w:val="0"/>
        <w:autoSpaceDN w:val="0"/>
        <w:spacing w:line="460" w:lineRule="exact"/>
        <w:ind w:firstLine="482"/>
        <w:rPr>
          <w:rFonts w:hint="eastAsia" w:ascii="仿宋_GB2312" w:hAnsi="宋体" w:eastAsia="仿宋_GB2312" w:cs="仿宋_GB2312"/>
          <w:sz w:val="24"/>
          <w:szCs w:val="24"/>
          <w:highlight w:val="none"/>
          <w:lang w:val="zh-CN"/>
        </w:rPr>
      </w:pPr>
      <w:r>
        <w:rPr>
          <w:rFonts w:hint="eastAsia" w:ascii="仿宋_GB2312" w:hAnsi="宋体" w:eastAsia="仿宋_GB2312"/>
          <w:sz w:val="24"/>
          <w:szCs w:val="24"/>
          <w:highlight w:val="none"/>
        </w:rPr>
        <w:t xml:space="preserve">● </w:t>
      </w:r>
      <w:r>
        <w:rPr>
          <w:rFonts w:hint="eastAsia" w:ascii="仿宋_GB2312" w:hAnsi="宋体" w:eastAsia="仿宋_GB2312" w:cs="仿宋_GB2312"/>
          <w:sz w:val="24"/>
          <w:szCs w:val="24"/>
          <w:highlight w:val="none"/>
          <w:lang w:val="zh-CN"/>
        </w:rPr>
        <w:t>人员方案情况（</w:t>
      </w:r>
      <w:r>
        <w:rPr>
          <w:rFonts w:hint="eastAsia" w:ascii="仿宋_GB2312" w:hAnsi="宋体" w:eastAsia="仿宋_GB2312" w:cs="仿宋_GB2312"/>
          <w:sz w:val="24"/>
          <w:szCs w:val="24"/>
          <w:highlight w:val="none"/>
          <w:lang w:val="en-US" w:eastAsia="zh-CN"/>
        </w:rPr>
        <w:t>5分</w:t>
      </w:r>
      <w:r>
        <w:rPr>
          <w:rFonts w:hint="eastAsia" w:ascii="仿宋_GB2312" w:hAnsi="宋体" w:eastAsia="仿宋_GB2312" w:cs="仿宋_GB2312"/>
          <w:sz w:val="24"/>
          <w:szCs w:val="24"/>
          <w:highlight w:val="none"/>
          <w:lang w:val="zh-CN"/>
        </w:rPr>
        <w:t>）：</w:t>
      </w:r>
    </w:p>
    <w:p>
      <w:pPr>
        <w:autoSpaceDE w:val="0"/>
        <w:autoSpaceDN w:val="0"/>
        <w:spacing w:line="460" w:lineRule="exact"/>
        <w:ind w:firstLine="482"/>
        <w:rPr>
          <w:rFonts w:hint="eastAsia" w:ascii="仿宋_GB2312" w:hAnsi="仿宋" w:eastAsia="仿宋_GB2312"/>
          <w:bCs/>
          <w:sz w:val="24"/>
          <w:szCs w:val="24"/>
          <w:highlight w:val="none"/>
          <w:lang w:eastAsia="zh-CN"/>
        </w:rPr>
      </w:pPr>
      <w:r>
        <w:rPr>
          <w:rFonts w:hint="eastAsia" w:ascii="仿宋_GB2312" w:hAnsi="宋体" w:eastAsia="仿宋_GB2312" w:cs="仿宋_GB2312"/>
          <w:sz w:val="24"/>
          <w:szCs w:val="24"/>
          <w:highlight w:val="none"/>
          <w:lang w:val="zh-CN"/>
        </w:rPr>
        <w:t>①</w:t>
      </w:r>
      <w:r>
        <w:rPr>
          <w:rFonts w:hint="eastAsia" w:ascii="仿宋_GB2312" w:hAnsi="仿宋" w:eastAsia="仿宋_GB2312"/>
          <w:bCs/>
          <w:sz w:val="24"/>
          <w:szCs w:val="24"/>
          <w:highlight w:val="none"/>
        </w:rPr>
        <w:t>项目负责人具有相关工作经验</w:t>
      </w:r>
      <w:r>
        <w:rPr>
          <w:rFonts w:hint="eastAsia" w:ascii="仿宋_GB2312" w:hAnsi="仿宋" w:eastAsia="仿宋_GB2312"/>
          <w:bCs/>
          <w:sz w:val="24"/>
          <w:szCs w:val="24"/>
          <w:highlight w:val="none"/>
          <w:lang w:val="en-US" w:eastAsia="zh-CN"/>
        </w:rPr>
        <w:t>3</w:t>
      </w:r>
      <w:r>
        <w:rPr>
          <w:rFonts w:hint="eastAsia" w:ascii="仿宋_GB2312" w:hAnsi="仿宋" w:eastAsia="仿宋_GB2312"/>
          <w:bCs/>
          <w:sz w:val="24"/>
          <w:szCs w:val="24"/>
          <w:highlight w:val="none"/>
        </w:rPr>
        <w:t>年及以上，提供项目负责人在投标人处社保缴纳证明、劳动合同</w:t>
      </w:r>
      <w:r>
        <w:rPr>
          <w:rFonts w:hint="eastAsia" w:ascii="仿宋_GB2312" w:hAnsi="仿宋" w:eastAsia="仿宋_GB2312"/>
          <w:bCs/>
          <w:sz w:val="24"/>
          <w:szCs w:val="24"/>
          <w:highlight w:val="none"/>
          <w:lang w:eastAsia="zh-CN"/>
        </w:rPr>
        <w:t>，</w:t>
      </w:r>
      <w:r>
        <w:rPr>
          <w:rFonts w:hint="eastAsia" w:ascii="仿宋_GB2312" w:hAnsi="仿宋" w:eastAsia="仿宋_GB2312"/>
          <w:bCs/>
          <w:sz w:val="24"/>
          <w:szCs w:val="24"/>
          <w:highlight w:val="none"/>
        </w:rPr>
        <w:t>符合得2分，不符合不得分（2分）</w:t>
      </w:r>
      <w:r>
        <w:rPr>
          <w:rFonts w:hint="eastAsia" w:ascii="仿宋_GB2312" w:hAnsi="仿宋" w:eastAsia="仿宋_GB2312"/>
          <w:bCs/>
          <w:sz w:val="24"/>
          <w:szCs w:val="24"/>
          <w:highlight w:val="none"/>
          <w:lang w:eastAsia="zh-CN"/>
        </w:rPr>
        <w:t>；</w:t>
      </w:r>
    </w:p>
    <w:p>
      <w:pPr>
        <w:autoSpaceDE w:val="0"/>
        <w:autoSpaceDN w:val="0"/>
        <w:spacing w:line="460" w:lineRule="exact"/>
        <w:ind w:firstLine="482"/>
        <w:rPr>
          <w:rFonts w:hint="eastAsia" w:ascii="仿宋_GB2312" w:hAnsi="仿宋" w:eastAsia="仿宋_GB2312"/>
          <w:bCs/>
          <w:sz w:val="24"/>
          <w:szCs w:val="24"/>
          <w:highlight w:val="none"/>
        </w:rPr>
      </w:pPr>
      <w:r>
        <w:rPr>
          <w:rFonts w:hint="eastAsia" w:ascii="仿宋_GB2312" w:hAnsi="仿宋" w:eastAsia="仿宋_GB2312"/>
          <w:bCs/>
          <w:sz w:val="24"/>
          <w:szCs w:val="24"/>
          <w:highlight w:val="none"/>
          <w:lang w:eastAsia="zh-CN"/>
        </w:rPr>
        <w:t>②项目组成员（含项目负责人），</w:t>
      </w:r>
      <w:r>
        <w:rPr>
          <w:rFonts w:hint="eastAsia" w:ascii="仿宋_GB2312" w:hAnsi="仿宋" w:eastAsia="仿宋_GB2312"/>
          <w:bCs/>
          <w:sz w:val="24"/>
          <w:szCs w:val="24"/>
          <w:highlight w:val="none"/>
          <w:lang w:val="en-US" w:eastAsia="zh-CN"/>
        </w:rPr>
        <w:t>具有计算机、智能化相关高级及以上技术职称证书，每1人得1分；具有计算机、智能化相关中级技术职称证书，每1人得0.5分。同一人具有多证，不重复计分。提供有效期内的证书复印件和社保证明材料，否则不得分本项最高3分（3分）。</w:t>
      </w:r>
    </w:p>
    <w:p>
      <w:pPr>
        <w:autoSpaceDE w:val="0"/>
        <w:autoSpaceDN w:val="0"/>
        <w:spacing w:line="460" w:lineRule="exact"/>
        <w:ind w:firstLine="482"/>
        <w:rPr>
          <w:rFonts w:hint="eastAsia" w:ascii="仿宋_GB2312" w:hAnsi="宋体" w:eastAsia="仿宋_GB2312" w:cs="仿宋_GB2312"/>
          <w:sz w:val="24"/>
          <w:szCs w:val="24"/>
          <w:highlight w:val="none"/>
          <w:lang w:val="zh-CN"/>
        </w:rPr>
      </w:pPr>
      <w:r>
        <w:rPr>
          <w:rFonts w:hint="eastAsia" w:ascii="仿宋_GB2312" w:hAnsi="宋体" w:eastAsia="仿宋_GB2312"/>
          <w:b/>
          <w:bCs/>
          <w:sz w:val="24"/>
          <w:szCs w:val="24"/>
          <w:highlight w:val="none"/>
        </w:rPr>
        <w:t>（3）</w:t>
      </w:r>
      <w:r>
        <w:rPr>
          <w:rFonts w:hint="eastAsia" w:ascii="仿宋_GB2312" w:hAnsi="宋体" w:eastAsia="仿宋_GB2312" w:cs="仿宋_GB2312"/>
          <w:b/>
          <w:sz w:val="24"/>
          <w:szCs w:val="24"/>
          <w:highlight w:val="none"/>
          <w:lang w:val="zh-CN"/>
        </w:rPr>
        <w:t>售后服务方案（1</w:t>
      </w:r>
      <w:r>
        <w:rPr>
          <w:rFonts w:hint="eastAsia" w:ascii="仿宋_GB2312" w:hAnsi="宋体" w:eastAsia="仿宋_GB2312" w:cs="仿宋_GB2312"/>
          <w:b/>
          <w:sz w:val="24"/>
          <w:szCs w:val="24"/>
          <w:highlight w:val="none"/>
          <w:lang w:val="en-US" w:eastAsia="zh-CN"/>
        </w:rPr>
        <w:t>2</w:t>
      </w:r>
      <w:r>
        <w:rPr>
          <w:rFonts w:hint="eastAsia" w:ascii="仿宋_GB2312" w:hAnsi="宋体" w:eastAsia="仿宋_GB2312" w:cs="仿宋_GB2312"/>
          <w:b/>
          <w:sz w:val="24"/>
          <w:szCs w:val="24"/>
          <w:highlight w:val="none"/>
          <w:lang w:val="zh-CN"/>
        </w:rPr>
        <w:t>分）：</w:t>
      </w:r>
    </w:p>
    <w:p>
      <w:pPr>
        <w:autoSpaceDE w:val="0"/>
        <w:autoSpaceDN w:val="0"/>
        <w:spacing w:line="460" w:lineRule="exact"/>
        <w:ind w:firstLine="482"/>
        <w:rPr>
          <w:rFonts w:hint="eastAsia" w:ascii="仿宋_GB2312" w:hAnsi="宋体" w:eastAsia="仿宋_GB2312" w:cs="仿宋_GB2312"/>
          <w:sz w:val="24"/>
          <w:szCs w:val="24"/>
          <w:highlight w:val="none"/>
          <w:lang w:val="zh-CN"/>
        </w:rPr>
      </w:pPr>
      <w:r>
        <w:rPr>
          <w:rFonts w:hint="eastAsia" w:ascii="仿宋_GB2312" w:hAnsi="宋体" w:eastAsia="仿宋_GB2312"/>
          <w:sz w:val="24"/>
          <w:szCs w:val="24"/>
          <w:highlight w:val="none"/>
        </w:rPr>
        <w:t xml:space="preserve">● </w:t>
      </w:r>
      <w:r>
        <w:rPr>
          <w:rFonts w:hint="eastAsia" w:ascii="仿宋_GB2312" w:hAnsi="宋体" w:eastAsia="仿宋_GB2312" w:cs="仿宋_GB2312"/>
          <w:sz w:val="24"/>
          <w:szCs w:val="24"/>
          <w:highlight w:val="none"/>
          <w:lang w:val="zh-CN"/>
        </w:rPr>
        <w:t>投标人</w:t>
      </w:r>
      <w:r>
        <w:rPr>
          <w:rFonts w:hint="eastAsia" w:ascii="仿宋_GB2312" w:hAnsi="宋体" w:eastAsia="仿宋_GB2312" w:cs="仿宋_GB2312"/>
          <w:sz w:val="24"/>
          <w:szCs w:val="24"/>
          <w:highlight w:val="none"/>
          <w:lang w:val="en-US" w:eastAsia="zh-CN"/>
        </w:rPr>
        <w:t>或投标产品制造商</w:t>
      </w:r>
      <w:r>
        <w:rPr>
          <w:rFonts w:hint="eastAsia" w:ascii="仿宋_GB2312" w:hAnsi="宋体" w:eastAsia="仿宋_GB2312" w:cs="仿宋_GB2312"/>
          <w:sz w:val="24"/>
          <w:szCs w:val="24"/>
          <w:highlight w:val="none"/>
          <w:lang w:val="zh-CN"/>
        </w:rPr>
        <w:t>具有</w:t>
      </w:r>
      <w:r>
        <w:rPr>
          <w:rFonts w:hint="eastAsia" w:ascii="仿宋_GB2312" w:hAnsi="宋体" w:eastAsia="仿宋_GB2312" w:cs="仿宋_GB2312"/>
          <w:sz w:val="24"/>
          <w:szCs w:val="24"/>
          <w:highlight w:val="none"/>
          <w:lang w:val="en-US" w:eastAsia="zh-CN"/>
        </w:rPr>
        <w:t>的</w:t>
      </w:r>
      <w:r>
        <w:rPr>
          <w:rFonts w:hint="eastAsia" w:ascii="仿宋_GB2312" w:hAnsi="宋体" w:eastAsia="仿宋_GB2312" w:cs="仿宋_GB2312"/>
          <w:sz w:val="24"/>
          <w:szCs w:val="24"/>
          <w:highlight w:val="none"/>
          <w:lang w:val="zh-CN"/>
        </w:rPr>
        <w:t>服务能力符合国家标准《商品售后服务评价体系》GB/T27922-2011，提供</w:t>
      </w:r>
      <w:r>
        <w:rPr>
          <w:rFonts w:hint="eastAsia" w:ascii="仿宋_GB2312" w:hAnsi="宋体" w:eastAsia="仿宋_GB2312" w:cs="仿宋_GB2312"/>
          <w:sz w:val="24"/>
          <w:szCs w:val="24"/>
          <w:highlight w:val="none"/>
          <w:lang w:val="en-US" w:eastAsia="zh-CN"/>
        </w:rPr>
        <w:t>相关证书</w:t>
      </w:r>
      <w:r>
        <w:rPr>
          <w:rFonts w:hint="eastAsia" w:ascii="仿宋_GB2312" w:hAnsi="宋体" w:eastAsia="仿宋_GB2312" w:cs="仿宋_GB2312"/>
          <w:sz w:val="24"/>
          <w:szCs w:val="24"/>
          <w:highlight w:val="none"/>
          <w:lang w:val="zh-CN"/>
        </w:rPr>
        <w:t>。满足得</w:t>
      </w:r>
      <w:r>
        <w:rPr>
          <w:rFonts w:hint="eastAsia" w:ascii="仿宋_GB2312" w:hAnsi="宋体" w:eastAsia="仿宋_GB2312" w:cs="仿宋_GB2312"/>
          <w:sz w:val="24"/>
          <w:szCs w:val="24"/>
          <w:highlight w:val="none"/>
          <w:lang w:val="en-US" w:eastAsia="zh-CN"/>
        </w:rPr>
        <w:t>1</w:t>
      </w:r>
      <w:r>
        <w:rPr>
          <w:rFonts w:hint="eastAsia" w:ascii="仿宋_GB2312" w:hAnsi="宋体" w:eastAsia="仿宋_GB2312" w:cs="仿宋_GB2312"/>
          <w:sz w:val="24"/>
          <w:szCs w:val="24"/>
          <w:highlight w:val="none"/>
          <w:lang w:val="zh-CN"/>
        </w:rPr>
        <w:t>分，不满足不得分（</w:t>
      </w:r>
      <w:r>
        <w:rPr>
          <w:rFonts w:hint="eastAsia" w:ascii="仿宋_GB2312" w:hAnsi="宋体" w:eastAsia="仿宋_GB2312" w:cs="仿宋_GB2312"/>
          <w:sz w:val="24"/>
          <w:szCs w:val="24"/>
          <w:highlight w:val="none"/>
          <w:lang w:val="en-US" w:eastAsia="zh-CN"/>
        </w:rPr>
        <w:t>1</w:t>
      </w:r>
      <w:r>
        <w:rPr>
          <w:rFonts w:hint="eastAsia" w:ascii="仿宋_GB2312" w:hAnsi="宋体" w:eastAsia="仿宋_GB2312" w:cs="仿宋_GB2312"/>
          <w:sz w:val="24"/>
          <w:szCs w:val="24"/>
          <w:highlight w:val="none"/>
          <w:lang w:val="zh-CN"/>
        </w:rPr>
        <w:t>分）；</w:t>
      </w:r>
    </w:p>
    <w:p>
      <w:pPr>
        <w:autoSpaceDE w:val="0"/>
        <w:autoSpaceDN w:val="0"/>
        <w:spacing w:line="460" w:lineRule="exact"/>
        <w:ind w:firstLine="482"/>
        <w:rPr>
          <w:rFonts w:hint="eastAsia" w:ascii="仿宋_GB2312" w:hAnsi="宋体" w:eastAsia="仿宋_GB2312" w:cs="仿宋_GB2312"/>
          <w:sz w:val="24"/>
          <w:szCs w:val="24"/>
          <w:highlight w:val="none"/>
          <w:lang w:val="zh-CN" w:eastAsia="zh-CN"/>
        </w:rPr>
      </w:pPr>
      <w:r>
        <w:rPr>
          <w:rFonts w:hint="eastAsia" w:ascii="仿宋_GB2312" w:hAnsi="宋体" w:eastAsia="仿宋_GB2312"/>
          <w:sz w:val="24"/>
          <w:szCs w:val="24"/>
          <w:highlight w:val="none"/>
        </w:rPr>
        <w:t xml:space="preserve">● </w:t>
      </w:r>
      <w:r>
        <w:rPr>
          <w:rFonts w:hint="eastAsia" w:ascii="仿宋_GB2312" w:hAnsi="宋体" w:eastAsia="仿宋_GB2312" w:cs="仿宋_GB2312"/>
          <w:sz w:val="24"/>
          <w:szCs w:val="24"/>
          <w:highlight w:val="none"/>
          <w:lang w:val="zh-CN"/>
        </w:rPr>
        <w:t>投标</w:t>
      </w:r>
      <w:r>
        <w:rPr>
          <w:rFonts w:hint="eastAsia" w:ascii="仿宋_GB2312" w:hAnsi="宋体" w:eastAsia="仿宋_GB2312" w:cs="仿宋_GB2312"/>
          <w:sz w:val="24"/>
          <w:szCs w:val="24"/>
          <w:highlight w:val="none"/>
          <w:lang w:val="zh-CN" w:eastAsia="zh-CN"/>
        </w:rPr>
        <w:t>人提供科学、合理、具体的免费保修及售后服务措施和方案，包括①售后服务措施、②产品质量保证，每一项</w:t>
      </w:r>
      <w:r>
        <w:rPr>
          <w:rFonts w:hint="eastAsia" w:ascii="仿宋_GB2312" w:hAnsi="宋体" w:eastAsia="仿宋_GB2312" w:cs="仿宋_GB2312"/>
          <w:sz w:val="24"/>
          <w:szCs w:val="24"/>
          <w:highlight w:val="none"/>
          <w:lang w:val="en-US" w:eastAsia="zh-CN"/>
        </w:rPr>
        <w:t>1.5</w:t>
      </w:r>
      <w:r>
        <w:rPr>
          <w:rFonts w:hint="eastAsia" w:ascii="仿宋_GB2312" w:hAnsi="宋体" w:eastAsia="仿宋_GB2312" w:cs="仿宋_GB2312"/>
          <w:sz w:val="24"/>
          <w:szCs w:val="24"/>
          <w:highlight w:val="none"/>
          <w:lang w:val="zh-CN" w:eastAsia="zh-CN"/>
        </w:rPr>
        <w:t>分，综合打分，不满足不得分。共3分（</w:t>
      </w:r>
      <w:r>
        <w:rPr>
          <w:rFonts w:hint="eastAsia" w:ascii="仿宋_GB2312" w:hAnsi="宋体" w:eastAsia="仿宋_GB2312" w:cs="仿宋_GB2312"/>
          <w:sz w:val="24"/>
          <w:szCs w:val="24"/>
          <w:highlight w:val="none"/>
          <w:lang w:val="en-US" w:eastAsia="zh-CN"/>
        </w:rPr>
        <w:t>3</w:t>
      </w:r>
      <w:r>
        <w:rPr>
          <w:rFonts w:hint="eastAsia" w:ascii="仿宋_GB2312" w:hAnsi="宋体" w:eastAsia="仿宋_GB2312" w:cs="仿宋_GB2312"/>
          <w:sz w:val="24"/>
          <w:szCs w:val="24"/>
          <w:highlight w:val="none"/>
          <w:lang w:val="zh-CN" w:eastAsia="zh-CN"/>
        </w:rPr>
        <w:t>分）；</w:t>
      </w:r>
    </w:p>
    <w:p>
      <w:pPr>
        <w:autoSpaceDE w:val="0"/>
        <w:autoSpaceDN w:val="0"/>
        <w:spacing w:line="460" w:lineRule="exact"/>
        <w:ind w:firstLine="482"/>
        <w:rPr>
          <w:rFonts w:hint="eastAsia" w:ascii="仿宋_GB2312" w:hAnsi="宋体" w:eastAsia="仿宋_GB2312" w:cs="仿宋_GB2312"/>
          <w:sz w:val="24"/>
          <w:szCs w:val="24"/>
          <w:highlight w:val="none"/>
          <w:lang w:val="en-US" w:eastAsia="zh-CN"/>
        </w:rPr>
      </w:pPr>
      <w:r>
        <w:rPr>
          <w:rFonts w:hint="eastAsia" w:ascii="仿宋_GB2312" w:hAnsi="宋体" w:eastAsia="仿宋_GB2312" w:cs="仿宋_GB2312"/>
          <w:sz w:val="24"/>
          <w:szCs w:val="24"/>
          <w:highlight w:val="none"/>
          <w:lang w:val="en-US" w:eastAsia="zh-CN"/>
        </w:rPr>
        <w:t xml:space="preserve">● </w:t>
      </w:r>
      <w:r>
        <w:rPr>
          <w:rFonts w:hint="eastAsia" w:ascii="仿宋_GB2312" w:hAnsi="宋体" w:eastAsia="仿宋_GB2312" w:cs="仿宋_GB2312"/>
          <w:sz w:val="24"/>
          <w:szCs w:val="24"/>
          <w:highlight w:val="none"/>
          <w:lang w:val="zh-CN" w:eastAsia="zh-CN"/>
        </w:rPr>
        <w:t>投标人承诺</w:t>
      </w:r>
      <w:r>
        <w:rPr>
          <w:rFonts w:hint="eastAsia" w:ascii="仿宋_GB2312" w:hAnsi="宋体" w:eastAsia="仿宋_GB2312" w:cs="仿宋_GB2312"/>
          <w:sz w:val="24"/>
          <w:szCs w:val="24"/>
          <w:highlight w:val="none"/>
          <w:lang w:val="en-US" w:eastAsia="zh-CN"/>
        </w:rPr>
        <w:t>质量保证期内提供上门维护、升级服务，如设备出现故障，供货单位在接到电话后，立即响应，2小时以内到现场处理，12小时内修复，现场不能修复的，必须采取无偿提供采购物品的备用件或整机等措施，保证用户单位的正常使用的得3分（3分）；</w:t>
      </w:r>
    </w:p>
    <w:p>
      <w:pPr>
        <w:autoSpaceDE w:val="0"/>
        <w:autoSpaceDN w:val="0"/>
        <w:spacing w:after="120" w:afterLines="50" w:line="460" w:lineRule="exact"/>
        <w:ind w:firstLine="482"/>
        <w:rPr>
          <w:rFonts w:hint="eastAsia" w:ascii="仿宋_GB2312" w:hAnsi="宋体" w:eastAsia="仿宋_GB2312" w:cs="仿宋_GB2312"/>
          <w:sz w:val="24"/>
          <w:szCs w:val="24"/>
          <w:highlight w:val="none"/>
          <w:lang w:val="zh-CN"/>
        </w:rPr>
      </w:pPr>
      <w:r>
        <w:rPr>
          <w:rFonts w:hint="eastAsia" w:ascii="仿宋_GB2312" w:hAnsi="宋体" w:eastAsia="仿宋_GB2312"/>
          <w:sz w:val="24"/>
          <w:szCs w:val="24"/>
          <w:highlight w:val="none"/>
        </w:rPr>
        <w:t xml:space="preserve">● </w:t>
      </w:r>
      <w:r>
        <w:rPr>
          <w:rFonts w:hint="eastAsia" w:ascii="仿宋_GB2312" w:hAnsi="宋体" w:eastAsia="仿宋_GB2312" w:cs="仿宋_GB2312"/>
          <w:sz w:val="24"/>
          <w:szCs w:val="24"/>
          <w:highlight w:val="none"/>
          <w:lang w:val="zh-CN"/>
        </w:rPr>
        <w:t>投标人承诺质保期超出采购文件要求期限（</w:t>
      </w:r>
      <w:r>
        <w:rPr>
          <w:rFonts w:hint="eastAsia" w:ascii="仿宋_GB2312" w:hAnsi="宋体" w:eastAsia="仿宋_GB2312" w:cs="仿宋_GB2312"/>
          <w:sz w:val="24"/>
          <w:szCs w:val="24"/>
          <w:highlight w:val="none"/>
          <w:lang w:val="en-US" w:eastAsia="zh-CN"/>
        </w:rPr>
        <w:t>5年</w:t>
      </w:r>
      <w:r>
        <w:rPr>
          <w:rFonts w:hint="eastAsia" w:ascii="仿宋_GB2312" w:hAnsi="宋体" w:eastAsia="仿宋_GB2312" w:cs="仿宋_GB2312"/>
          <w:sz w:val="24"/>
          <w:szCs w:val="24"/>
          <w:highlight w:val="none"/>
          <w:lang w:val="zh-CN"/>
        </w:rPr>
        <w:t>）的增加1年</w:t>
      </w:r>
      <w:r>
        <w:rPr>
          <w:rFonts w:hint="eastAsia" w:ascii="仿宋_GB2312" w:hAnsi="宋体" w:eastAsia="仿宋_GB2312" w:cs="仿宋_GB2312"/>
          <w:sz w:val="24"/>
          <w:szCs w:val="24"/>
          <w:highlight w:val="none"/>
          <w:lang w:val="en-US" w:eastAsia="zh-CN"/>
        </w:rPr>
        <w:t>加2</w:t>
      </w:r>
      <w:r>
        <w:rPr>
          <w:rFonts w:hint="eastAsia" w:ascii="仿宋_GB2312" w:hAnsi="宋体" w:eastAsia="仿宋_GB2312" w:cs="仿宋_GB2312"/>
          <w:sz w:val="24"/>
          <w:szCs w:val="24"/>
          <w:highlight w:val="none"/>
          <w:lang w:val="zh-CN"/>
        </w:rPr>
        <w:t>分，最高得</w:t>
      </w:r>
      <w:r>
        <w:rPr>
          <w:rFonts w:hint="eastAsia" w:ascii="仿宋_GB2312" w:hAnsi="宋体" w:eastAsia="仿宋_GB2312" w:cs="仿宋_GB2312"/>
          <w:sz w:val="24"/>
          <w:szCs w:val="24"/>
          <w:highlight w:val="none"/>
          <w:lang w:val="en-US" w:eastAsia="zh-CN"/>
        </w:rPr>
        <w:t>2</w:t>
      </w:r>
      <w:r>
        <w:rPr>
          <w:rFonts w:hint="eastAsia" w:ascii="仿宋_GB2312" w:hAnsi="宋体" w:eastAsia="仿宋_GB2312" w:cs="仿宋_GB2312"/>
          <w:sz w:val="24"/>
          <w:szCs w:val="24"/>
          <w:highlight w:val="none"/>
          <w:lang w:val="zh-CN"/>
        </w:rPr>
        <w:t>分（</w:t>
      </w:r>
      <w:r>
        <w:rPr>
          <w:rFonts w:hint="eastAsia" w:ascii="仿宋_GB2312" w:hAnsi="宋体" w:eastAsia="仿宋_GB2312" w:cs="仿宋_GB2312"/>
          <w:sz w:val="24"/>
          <w:szCs w:val="24"/>
          <w:highlight w:val="none"/>
          <w:lang w:val="en-US" w:eastAsia="zh-CN"/>
        </w:rPr>
        <w:t>2分</w:t>
      </w:r>
      <w:r>
        <w:rPr>
          <w:rFonts w:hint="eastAsia" w:ascii="仿宋_GB2312" w:hAnsi="宋体" w:eastAsia="仿宋_GB2312" w:cs="仿宋_GB2312"/>
          <w:sz w:val="24"/>
          <w:szCs w:val="24"/>
          <w:highlight w:val="none"/>
          <w:lang w:val="zh-CN"/>
        </w:rPr>
        <w:t>）；</w:t>
      </w:r>
    </w:p>
    <w:p>
      <w:pPr>
        <w:autoSpaceDE w:val="0"/>
        <w:autoSpaceDN w:val="0"/>
        <w:spacing w:after="120" w:afterLines="50" w:line="460" w:lineRule="exact"/>
        <w:ind w:firstLine="482"/>
        <w:rPr>
          <w:rFonts w:hint="eastAsia" w:ascii="仿宋_GB2312" w:hAnsi="宋体" w:eastAsia="仿宋_GB2312" w:cs="仿宋_GB2312"/>
          <w:sz w:val="24"/>
          <w:szCs w:val="24"/>
          <w:highlight w:val="none"/>
          <w:lang w:val="zh-CN"/>
        </w:rPr>
      </w:pPr>
      <w:r>
        <w:rPr>
          <w:rFonts w:hint="eastAsia" w:ascii="仿宋_GB2312" w:hAnsi="宋体" w:eastAsia="仿宋_GB2312"/>
          <w:sz w:val="24"/>
          <w:szCs w:val="24"/>
          <w:highlight w:val="none"/>
        </w:rPr>
        <w:t xml:space="preserve">● </w:t>
      </w:r>
      <w:r>
        <w:rPr>
          <w:rFonts w:hint="eastAsia" w:ascii="仿宋_GB2312" w:hAnsi="宋体" w:eastAsia="仿宋_GB2312" w:cs="仿宋_GB2312"/>
          <w:sz w:val="24"/>
          <w:szCs w:val="24"/>
          <w:highlight w:val="none"/>
          <w:lang w:val="en-US" w:eastAsia="zh-CN"/>
        </w:rPr>
        <w:t>人员培训方案：根据投标人培训方案的培训内容完备性和培训计划合理性周全程度等，综合打分，最高得3分（3分）</w:t>
      </w:r>
      <w:r>
        <w:rPr>
          <w:rFonts w:hint="eastAsia" w:ascii="仿宋_GB2312" w:hAnsi="宋体" w:eastAsia="仿宋_GB2312" w:cs="仿宋_GB2312"/>
          <w:sz w:val="24"/>
          <w:szCs w:val="24"/>
          <w:highlight w:val="none"/>
          <w:lang w:val="zh-CN"/>
        </w:rPr>
        <w:t>。</w:t>
      </w:r>
    </w:p>
    <w:p>
      <w:pPr>
        <w:snapToGrid w:val="0"/>
        <w:spacing w:line="360" w:lineRule="auto"/>
        <w:ind w:firstLine="482" w:firstLineChars="20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C、投标人的资信情况（C=</w:t>
      </w:r>
      <w:r>
        <w:rPr>
          <w:rFonts w:hint="eastAsia" w:ascii="仿宋_GB2312" w:hAnsi="仿宋_GB2312" w:eastAsia="仿宋_GB2312" w:cs="仿宋_GB2312"/>
          <w:b/>
          <w:sz w:val="24"/>
          <w:szCs w:val="24"/>
          <w:highlight w:val="none"/>
          <w:u w:val="single"/>
        </w:rPr>
        <w:t xml:space="preserve"> </w:t>
      </w:r>
      <w:r>
        <w:rPr>
          <w:rFonts w:hint="eastAsia" w:ascii="仿宋_GB2312" w:hAnsi="仿宋_GB2312" w:eastAsia="仿宋_GB2312" w:cs="仿宋_GB2312"/>
          <w:b/>
          <w:sz w:val="24"/>
          <w:szCs w:val="24"/>
          <w:highlight w:val="none"/>
          <w:u w:val="single"/>
          <w:lang w:val="en-US" w:eastAsia="zh-CN"/>
        </w:rPr>
        <w:t>7</w:t>
      </w:r>
      <w:r>
        <w:rPr>
          <w:rFonts w:hint="eastAsia" w:ascii="仿宋_GB2312" w:hAnsi="仿宋_GB2312" w:eastAsia="仿宋_GB2312" w:cs="仿宋_GB2312"/>
          <w:b/>
          <w:bCs/>
          <w:sz w:val="24"/>
          <w:szCs w:val="24"/>
          <w:highlight w:val="none"/>
        </w:rPr>
        <w:t>分）：评审要点为：</w:t>
      </w:r>
    </w:p>
    <w:p>
      <w:pPr>
        <w:autoSpaceDE w:val="0"/>
        <w:autoSpaceDN w:val="0"/>
        <w:spacing w:line="460" w:lineRule="exact"/>
        <w:ind w:firstLine="482"/>
        <w:rPr>
          <w:rFonts w:hint="eastAsia"/>
          <w:sz w:val="24"/>
          <w:szCs w:val="24"/>
          <w:highlight w:val="none"/>
          <w:lang w:val="zh-CN"/>
        </w:rPr>
      </w:pPr>
      <w:r>
        <w:rPr>
          <w:rFonts w:hint="eastAsia" w:ascii="仿宋_GB2312" w:hAnsi="宋体" w:eastAsia="仿宋_GB2312"/>
          <w:sz w:val="24"/>
          <w:szCs w:val="24"/>
          <w:highlight w:val="none"/>
        </w:rPr>
        <w:t xml:space="preserve">● </w:t>
      </w:r>
      <w:r>
        <w:rPr>
          <w:rFonts w:hint="eastAsia" w:ascii="仿宋_GB2312" w:hAnsi="宋体" w:eastAsia="仿宋_GB2312" w:cs="仿宋_GB2312"/>
          <w:sz w:val="24"/>
          <w:szCs w:val="24"/>
          <w:highlight w:val="none"/>
          <w:lang w:val="zh-CN"/>
        </w:rPr>
        <w:t>投标人具有ISO9001质量管理体系认证、IS045001职业健康安全管理体系认证、IS014001环境管理体系认证、ISO27001信息安全管理体系认证，每提供一份得0.5分，共计</w:t>
      </w:r>
      <w:r>
        <w:rPr>
          <w:rFonts w:hint="eastAsia" w:ascii="仿宋_GB2312" w:hAnsi="宋体" w:eastAsia="仿宋_GB2312" w:cs="仿宋_GB2312"/>
          <w:sz w:val="24"/>
          <w:szCs w:val="24"/>
          <w:highlight w:val="none"/>
          <w:lang w:val="en-US" w:eastAsia="zh-CN"/>
        </w:rPr>
        <w:t>2</w:t>
      </w:r>
      <w:r>
        <w:rPr>
          <w:rFonts w:hint="eastAsia" w:ascii="仿宋_GB2312" w:hAnsi="宋体" w:eastAsia="仿宋_GB2312" w:cs="仿宋_GB2312"/>
          <w:sz w:val="24"/>
          <w:szCs w:val="24"/>
          <w:highlight w:val="none"/>
          <w:lang w:val="zh-CN"/>
        </w:rPr>
        <w:t>分（</w:t>
      </w:r>
      <w:r>
        <w:rPr>
          <w:rFonts w:hint="eastAsia" w:ascii="仿宋_GB2312" w:hAnsi="宋体" w:eastAsia="仿宋_GB2312" w:cs="仿宋_GB2312"/>
          <w:sz w:val="24"/>
          <w:szCs w:val="24"/>
          <w:highlight w:val="none"/>
          <w:lang w:val="en-US" w:eastAsia="zh-CN"/>
        </w:rPr>
        <w:t>2</w:t>
      </w:r>
      <w:r>
        <w:rPr>
          <w:rFonts w:hint="eastAsia" w:ascii="仿宋_GB2312" w:hAnsi="宋体" w:eastAsia="仿宋_GB2312" w:cs="仿宋_GB2312"/>
          <w:sz w:val="24"/>
          <w:szCs w:val="24"/>
          <w:highlight w:val="none"/>
          <w:lang w:val="zh-CN"/>
        </w:rPr>
        <w:t>分）；</w:t>
      </w:r>
    </w:p>
    <w:p>
      <w:pPr>
        <w:autoSpaceDE w:val="0"/>
        <w:autoSpaceDN w:val="0"/>
        <w:spacing w:line="460" w:lineRule="exact"/>
        <w:ind w:firstLine="482"/>
        <w:rPr>
          <w:rFonts w:hint="default" w:ascii="仿宋_GB2312" w:hAnsi="宋体" w:eastAsia="仿宋_GB2312" w:cs="仿宋_GB2312"/>
          <w:sz w:val="24"/>
          <w:szCs w:val="24"/>
          <w:highlight w:val="none"/>
          <w:lang w:val="en-US"/>
        </w:rPr>
      </w:pPr>
      <w:r>
        <w:rPr>
          <w:rFonts w:hint="eastAsia" w:ascii="仿宋_GB2312" w:hAnsi="宋体" w:eastAsia="仿宋_GB2312"/>
          <w:sz w:val="24"/>
          <w:szCs w:val="24"/>
          <w:highlight w:val="none"/>
        </w:rPr>
        <w:t xml:space="preserve">● </w:t>
      </w:r>
      <w:r>
        <w:rPr>
          <w:rFonts w:hint="eastAsia" w:ascii="仿宋_GB2312" w:hAnsi="宋体" w:eastAsia="仿宋_GB2312" w:cs="仿宋_GB2312"/>
          <w:sz w:val="24"/>
          <w:szCs w:val="24"/>
          <w:highlight w:val="none"/>
          <w:lang w:val="zh-CN"/>
        </w:rPr>
        <w:t>投标人自2018年1月1日至开标时间止提供类似业绩</w:t>
      </w:r>
      <w:r>
        <w:rPr>
          <w:rFonts w:hint="eastAsia" w:ascii="仿宋_GB2312" w:hAnsi="宋体" w:eastAsia="仿宋_GB2312" w:cs="仿宋_GB2312"/>
          <w:sz w:val="24"/>
          <w:szCs w:val="24"/>
          <w:highlight w:val="none"/>
          <w:lang w:val="zh-CN" w:eastAsia="zh-CN"/>
        </w:rPr>
        <w:t>，每个业绩须同时提供</w:t>
      </w:r>
      <w:r>
        <w:rPr>
          <w:rFonts w:hint="eastAsia" w:ascii="仿宋_GB2312" w:hAnsi="宋体" w:eastAsia="仿宋_GB2312" w:cs="仿宋_GB2312"/>
          <w:sz w:val="24"/>
          <w:szCs w:val="24"/>
          <w:highlight w:val="none"/>
          <w:lang w:val="zh-CN"/>
        </w:rPr>
        <w:t>合同</w:t>
      </w:r>
      <w:r>
        <w:rPr>
          <w:rFonts w:hint="eastAsia" w:ascii="仿宋_GB2312" w:hAnsi="宋体" w:eastAsia="仿宋_GB2312" w:cs="仿宋_GB2312"/>
          <w:sz w:val="24"/>
          <w:szCs w:val="24"/>
          <w:highlight w:val="none"/>
          <w:lang w:val="zh-CN" w:eastAsia="zh-CN"/>
        </w:rPr>
        <w:t>和验收报告，每个业绩得</w:t>
      </w:r>
      <w:r>
        <w:rPr>
          <w:rFonts w:hint="eastAsia" w:ascii="仿宋_GB2312" w:hAnsi="宋体" w:eastAsia="仿宋_GB2312" w:cs="仿宋_GB2312"/>
          <w:sz w:val="24"/>
          <w:szCs w:val="24"/>
          <w:highlight w:val="none"/>
          <w:lang w:val="en-US" w:eastAsia="zh-CN"/>
        </w:rPr>
        <w:t>1分，最高5分（5分）。</w:t>
      </w:r>
    </w:p>
    <w:p>
      <w:pPr>
        <w:autoSpaceDE w:val="0"/>
        <w:autoSpaceDN w:val="0"/>
        <w:spacing w:line="460" w:lineRule="exact"/>
        <w:ind w:firstLine="482"/>
        <w:rPr>
          <w:rFonts w:hint="eastAsia" w:ascii="仿宋_GB2312" w:hAnsi="宋体" w:eastAsia="仿宋_GB2312" w:cs="仿宋_GB2312"/>
          <w:sz w:val="24"/>
          <w:szCs w:val="24"/>
          <w:highlight w:val="none"/>
          <w:lang w:val="zh-CN"/>
        </w:rPr>
      </w:pPr>
      <w:r>
        <w:rPr>
          <w:rFonts w:hint="eastAsia" w:ascii="仿宋_GB2312" w:hAnsi="宋体" w:eastAsia="仿宋_GB2312" w:cs="仿宋_GB2312"/>
          <w:sz w:val="24"/>
          <w:szCs w:val="24"/>
          <w:highlight w:val="none"/>
          <w:lang w:val="zh-CN"/>
        </w:rPr>
        <w:t>注：投标文件需提供以上证书复印件或扫描件，证书须在有效期内。否者不得分。</w:t>
      </w:r>
    </w:p>
    <w:p>
      <w:pPr>
        <w:pStyle w:val="33"/>
        <w:spacing w:line="360" w:lineRule="auto"/>
        <w:ind w:firstLine="472" w:firstLineChars="196"/>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综合得分=A+B+C</w:t>
      </w:r>
      <w:r>
        <w:rPr>
          <w:rFonts w:hint="eastAsia" w:ascii="仿宋_GB2312" w:hAnsi="仿宋" w:eastAsia="仿宋_GB2312" w:cs="仿宋_GB2312"/>
          <w:b/>
          <w:sz w:val="24"/>
          <w:szCs w:val="24"/>
        </w:rPr>
        <w:t>，精确到小数点后二位。</w:t>
      </w:r>
    </w:p>
    <w:p>
      <w:pPr>
        <w:adjustRightInd w:val="0"/>
        <w:spacing w:line="360" w:lineRule="auto"/>
        <w:ind w:firstLine="467" w:firstLineChars="194"/>
        <w:rPr>
          <w:rFonts w:ascii="仿宋_GB2312" w:hAnsi="仿宋" w:eastAsia="仿宋_GB2312" w:cs="仿宋_GB2312"/>
          <w:b/>
          <w:sz w:val="24"/>
          <w:szCs w:val="24"/>
        </w:rPr>
      </w:pPr>
    </w:p>
    <w:p>
      <w:pPr>
        <w:pStyle w:val="2"/>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adjustRightInd w:val="0"/>
        <w:spacing w:line="360" w:lineRule="auto"/>
        <w:outlineLvl w:val="0"/>
        <w:rPr>
          <w:rFonts w:hint="eastAsia" w:ascii="仿宋_GB2312" w:hAnsi="仿宋" w:eastAsia="仿宋_GB2312" w:cs="仿宋_GB2312"/>
          <w:b/>
          <w:sz w:val="36"/>
          <w:szCs w:val="36"/>
        </w:rPr>
      </w:pPr>
    </w:p>
    <w:p>
      <w:pPr>
        <w:adjustRightInd w:val="0"/>
        <w:spacing w:line="360" w:lineRule="auto"/>
        <w:ind w:left="720" w:leftChars="343" w:firstLine="1446" w:firstLineChars="4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 拟签订的合同文本</w:t>
      </w:r>
    </w:p>
    <w:bookmarkEnd w:id="24"/>
    <w:p>
      <w:pPr>
        <w:spacing w:line="360" w:lineRule="auto"/>
        <w:rPr>
          <w:rFonts w:ascii="仿宋_GB2312" w:hAnsi="楷体" w:eastAsia="仿宋_GB2312"/>
          <w:sz w:val="24"/>
          <w:u w:val="single"/>
        </w:rPr>
      </w:pPr>
      <w:bookmarkStart w:id="393" w:name="第五部分"/>
      <w:bookmarkStart w:id="394" w:name="_Toc86217003"/>
      <w:r>
        <w:rPr>
          <w:rFonts w:hint="eastAsia" w:ascii="仿宋_GB2312" w:hAnsi="楷体" w:eastAsia="仿宋_GB2312"/>
          <w:sz w:val="24"/>
        </w:rPr>
        <w:t>合同编号：</w:t>
      </w:r>
      <w:r>
        <w:rPr>
          <w:rFonts w:hint="eastAsia" w:ascii="仿宋_GB2312" w:hAnsi="楷体" w:eastAsia="仿宋_GB2312"/>
          <w:sz w:val="24"/>
          <w:u w:val="single"/>
        </w:rPr>
        <w:t xml:space="preserve">           </w:t>
      </w:r>
    </w:p>
    <w:p>
      <w:pPr>
        <w:spacing w:line="360" w:lineRule="auto"/>
        <w:rPr>
          <w:rFonts w:ascii="仿宋_GB2312" w:hAnsi="楷体" w:eastAsia="仿宋_GB2312"/>
          <w:sz w:val="24"/>
          <w:u w:val="single"/>
        </w:rPr>
      </w:pPr>
    </w:p>
    <w:p>
      <w:pPr>
        <w:pStyle w:val="330"/>
        <w:ind w:leftChars="0" w:firstLine="2465" w:firstLineChars="682"/>
        <w:jc w:val="left"/>
        <w:rPr>
          <w:rFonts w:ascii="仿宋_GB2312" w:hAnsi="仿宋_GB2312" w:eastAsia="仿宋_GB2312" w:cs="仿宋_GB2312"/>
          <w:b/>
          <w:sz w:val="36"/>
          <w:szCs w:val="36"/>
        </w:rPr>
      </w:pPr>
      <w:r>
        <w:rPr>
          <w:rFonts w:hint="eastAsia" w:ascii="仿宋_GB2312" w:hAnsi="仿宋_GB2312" w:eastAsia="仿宋_GB2312" w:cs="仿宋_GB2312"/>
          <w:b/>
          <w:sz w:val="36"/>
          <w:szCs w:val="36"/>
        </w:rPr>
        <w:t>政府采购合同书</w:t>
      </w:r>
    </w:p>
    <w:p>
      <w:pPr>
        <w:pStyle w:val="330"/>
        <w:rPr>
          <w:rFonts w:ascii="仿宋_GB2312" w:hAnsi="楷体" w:eastAsia="仿宋_GB2312"/>
          <w:szCs w:val="24"/>
        </w:rPr>
      </w:pPr>
    </w:p>
    <w:p>
      <w:pPr>
        <w:pStyle w:val="330"/>
        <w:rPr>
          <w:rFonts w:ascii="仿宋_GB2312" w:hAnsi="楷体" w:eastAsia="仿宋_GB2312"/>
          <w:szCs w:val="24"/>
        </w:rPr>
      </w:pPr>
    </w:p>
    <w:p>
      <w:pPr>
        <w:spacing w:before="120" w:line="360" w:lineRule="auto"/>
        <w:rPr>
          <w:rFonts w:ascii="仿宋_GB2312" w:hAnsi="楷体"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项目名称：</w:t>
      </w:r>
      <w:r>
        <w:rPr>
          <w:rFonts w:hint="eastAsia" w:ascii="仿宋_GB2312" w:hAnsi="楷体" w:eastAsia="仿宋_GB2312"/>
          <w:sz w:val="24"/>
          <w:u w:val="single"/>
        </w:rPr>
        <w:t xml:space="preserve">                                   </w:t>
      </w:r>
    </w:p>
    <w:p>
      <w:pPr>
        <w:pStyle w:val="648"/>
        <w:spacing w:before="120"/>
        <w:ind w:firstLine="360"/>
        <w:rPr>
          <w:rFonts w:hAnsi="楷体"/>
          <w:szCs w:val="24"/>
        </w:rPr>
      </w:pPr>
    </w:p>
    <w:p>
      <w:pPr>
        <w:spacing w:line="360" w:lineRule="auto"/>
        <w:rPr>
          <w:rFonts w:ascii="仿宋_GB2312"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甲方：</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乙方：</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firstLine="960" w:firstLineChars="400"/>
        <w:rPr>
          <w:rFonts w:ascii="仿宋_GB2312" w:hAnsi="楷体" w:eastAsia="仿宋_GB2312"/>
          <w:sz w:val="24"/>
          <w:u w:val="single"/>
        </w:rPr>
      </w:pPr>
      <w:r>
        <w:rPr>
          <w:rFonts w:hint="eastAsia" w:ascii="仿宋_GB2312" w:hAnsi="楷体" w:eastAsia="仿宋_GB2312"/>
          <w:sz w:val="24"/>
        </w:rPr>
        <w:t>签订地：</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firstLine="960" w:firstLineChars="400"/>
        <w:rPr>
          <w:rFonts w:ascii="仿宋_GB2312" w:hAnsi="楷体" w:eastAsia="仿宋_GB2312"/>
          <w:sz w:val="24"/>
          <w:u w:val="single"/>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pPr>
        <w:widowControl/>
        <w:jc w:val="left"/>
        <w:rPr>
          <w:rFonts w:ascii="仿宋_GB2312" w:hAnsi="仿宋_GB2312" w:eastAsia="仿宋_GB2312" w:cs="仿宋_GB2312"/>
          <w:b/>
          <w:sz w:val="24"/>
        </w:rPr>
      </w:pPr>
      <w:r>
        <w:rPr>
          <w:rFonts w:hint="eastAsia" w:ascii="仿宋_GB2312" w:hAnsi="仿宋_GB2312" w:eastAsia="仿宋_GB2312" w:cs="仿宋_GB2312"/>
          <w:b/>
          <w:sz w:val="24"/>
        </w:rPr>
        <w:br w:type="page"/>
      </w:r>
    </w:p>
    <w:p>
      <w:pPr>
        <w:spacing w:line="360" w:lineRule="auto"/>
        <w:ind w:firstLine="562" w:firstLineChars="200"/>
        <w:jc w:val="center"/>
        <w:rPr>
          <w:rFonts w:ascii="仿宋_GB2312" w:hAnsi="楷体" w:eastAsia="仿宋_GB2312"/>
          <w:b/>
          <w:sz w:val="28"/>
          <w:szCs w:val="28"/>
        </w:rPr>
      </w:pPr>
      <w:r>
        <w:rPr>
          <w:rFonts w:hint="eastAsia" w:ascii="仿宋_GB2312" w:hAnsi="楷体" w:eastAsia="仿宋_GB2312"/>
          <w:b/>
          <w:sz w:val="28"/>
          <w:szCs w:val="28"/>
        </w:rPr>
        <w:t>第一部分 合同书</w:t>
      </w:r>
    </w:p>
    <w:p>
      <w:pPr>
        <w:spacing w:line="360" w:lineRule="auto"/>
        <w:ind w:firstLine="480" w:firstLineChars="200"/>
        <w:rPr>
          <w:rFonts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楷体" w:eastAsia="仿宋_GB2312"/>
          <w:sz w:val="24"/>
          <w:u w:val="single"/>
        </w:rPr>
        <w:t xml:space="preserve">   （采购人名称）   </w:t>
      </w:r>
      <w:r>
        <w:rPr>
          <w:rFonts w:hint="eastAsia" w:ascii="仿宋_GB2312" w:hAnsi="楷体" w:eastAsia="仿宋_GB2312"/>
          <w:sz w:val="24"/>
        </w:rPr>
        <w:t>以</w:t>
      </w:r>
      <w:r>
        <w:rPr>
          <w:rFonts w:hint="eastAsia" w:ascii="仿宋_GB2312" w:hAnsi="楷体" w:eastAsia="仿宋_GB2312"/>
          <w:sz w:val="24"/>
          <w:u w:val="single"/>
        </w:rPr>
        <w:t xml:space="preserve">   （政府采购方式）  </w:t>
      </w:r>
      <w:r>
        <w:rPr>
          <w:rFonts w:hint="eastAsia" w:ascii="仿宋_GB2312" w:hAnsi="楷体" w:eastAsia="仿宋_GB2312"/>
          <w:sz w:val="24"/>
        </w:rPr>
        <w:t>对</w:t>
      </w:r>
      <w:r>
        <w:rPr>
          <w:rFonts w:hint="eastAsia" w:ascii="仿宋_GB2312" w:hAnsi="楷体" w:eastAsia="仿宋_GB2312"/>
          <w:sz w:val="24"/>
          <w:u w:val="single"/>
        </w:rPr>
        <w:t xml:space="preserve">   （同前页项目名称）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（中标供应商名称）</w:t>
      </w:r>
      <w:r>
        <w:rPr>
          <w:rFonts w:hint="eastAsia" w:ascii="仿宋_GB2312" w:hAnsi="楷体" w:eastAsia="仿宋_GB2312"/>
          <w:sz w:val="24"/>
        </w:rPr>
        <w:t>为该项目中标供应商。现于中标通知书发出之日起三十日内，按照采购文件确定的事项签订本合同。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（采购人名称）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（中标供应商名称）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outlineLvl w:val="0"/>
        <w:rPr>
          <w:rFonts w:ascii="仿宋_GB2312" w:hAnsi="楷体" w:eastAsia="仿宋_GB2312"/>
          <w:b/>
          <w:sz w:val="24"/>
        </w:rPr>
      </w:pPr>
      <w:bookmarkStart w:id="395" w:name="_Toc3029"/>
      <w:bookmarkStart w:id="396" w:name="_Toc24059"/>
      <w:bookmarkStart w:id="397" w:name="_Toc2232"/>
      <w:r>
        <w:rPr>
          <w:rFonts w:hint="eastAsia" w:ascii="仿宋_GB2312" w:hAnsi="楷体" w:eastAsia="仿宋_GB2312"/>
          <w:b/>
          <w:sz w:val="24"/>
        </w:rPr>
        <w:t>1.1 合同组成部分</w:t>
      </w:r>
      <w:bookmarkEnd w:id="395"/>
      <w:bookmarkEnd w:id="396"/>
      <w:bookmarkEnd w:id="397"/>
    </w:p>
    <w:p>
      <w:pPr>
        <w:spacing w:line="360" w:lineRule="auto"/>
        <w:ind w:firstLine="480" w:firstLineChars="200"/>
        <w:rPr>
          <w:rFonts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1.1.2 中标通知书；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1.1.3 投标文件（含澄清或者说明文件）；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1.1.4 招标文件（含澄清或者修改文件）；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1.1.5 其他相关采购文件。</w:t>
      </w:r>
    </w:p>
    <w:p>
      <w:pPr>
        <w:spacing w:line="360" w:lineRule="auto"/>
        <w:ind w:firstLine="482" w:firstLineChars="200"/>
        <w:outlineLvl w:val="0"/>
        <w:rPr>
          <w:rFonts w:ascii="仿宋_GB2312" w:hAnsi="楷体" w:eastAsia="仿宋_GB2312"/>
          <w:b/>
          <w:sz w:val="24"/>
        </w:rPr>
      </w:pPr>
      <w:bookmarkStart w:id="398" w:name="_Toc24300"/>
      <w:bookmarkStart w:id="399" w:name="_Toc27126"/>
      <w:bookmarkStart w:id="400" w:name="_Toc21295"/>
      <w:r>
        <w:rPr>
          <w:rFonts w:hint="eastAsia" w:ascii="仿宋_GB2312" w:hAnsi="楷体" w:eastAsia="仿宋_GB2312"/>
          <w:b/>
          <w:sz w:val="24"/>
        </w:rPr>
        <w:t>1.2 标的物</w:t>
      </w:r>
      <w:bookmarkEnd w:id="398"/>
      <w:bookmarkEnd w:id="399"/>
      <w:bookmarkEnd w:id="400"/>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 标的物名称：</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1.2.2 标的物数量：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1.2.3 标的物质量：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01" w:name="_Toc21551"/>
      <w:bookmarkStart w:id="402" w:name="_Toc21631"/>
      <w:bookmarkStart w:id="403" w:name="_Toc23292"/>
      <w:r>
        <w:rPr>
          <w:rFonts w:hint="eastAsia" w:ascii="仿宋_GB2312" w:hAnsi="楷体" w:eastAsia="仿宋_GB2312"/>
          <w:b/>
          <w:sz w:val="24"/>
        </w:rPr>
        <w:t>1.3 价款</w:t>
      </w:r>
      <w:bookmarkEnd w:id="401"/>
      <w:bookmarkEnd w:id="402"/>
      <w:bookmarkEnd w:id="403"/>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360" w:lineRule="auto"/>
              <w:ind w:firstLine="480"/>
              <w:jc w:val="center"/>
              <w:rPr>
                <w:rFonts w:ascii="仿宋_GB2312" w:hAnsi="楷体" w:eastAsia="仿宋_GB2312"/>
                <w:sz w:val="24"/>
                <w:szCs w:val="24"/>
              </w:rPr>
            </w:pPr>
            <w:r>
              <w:rPr>
                <w:rFonts w:hint="eastAsia" w:ascii="仿宋_GB2312" w:hAnsi="楷体" w:eastAsia="仿宋_GB2312"/>
                <w:sz w:val="24"/>
                <w:szCs w:val="24"/>
              </w:rPr>
              <w:t>序号</w:t>
            </w:r>
          </w:p>
        </w:tc>
        <w:tc>
          <w:tcPr>
            <w:tcW w:w="3402" w:type="dxa"/>
            <w:vAlign w:val="center"/>
          </w:tcPr>
          <w:p>
            <w:pPr>
              <w:pStyle w:val="282"/>
              <w:spacing w:line="360" w:lineRule="auto"/>
              <w:ind w:firstLine="480"/>
              <w:jc w:val="center"/>
              <w:rPr>
                <w:rFonts w:ascii="仿宋_GB2312" w:hAnsi="楷体" w:eastAsia="仿宋_GB2312"/>
                <w:sz w:val="24"/>
                <w:szCs w:val="24"/>
              </w:rPr>
            </w:pPr>
            <w:r>
              <w:rPr>
                <w:rFonts w:hint="eastAsia" w:ascii="仿宋_GB2312" w:hAnsi="楷体" w:eastAsia="仿宋_GB2312"/>
                <w:sz w:val="24"/>
                <w:szCs w:val="24"/>
              </w:rPr>
              <w:t>分项名称</w:t>
            </w:r>
          </w:p>
        </w:tc>
        <w:tc>
          <w:tcPr>
            <w:tcW w:w="2552" w:type="dxa"/>
            <w:vAlign w:val="center"/>
          </w:tcPr>
          <w:p>
            <w:pPr>
              <w:pStyle w:val="282"/>
              <w:spacing w:line="360" w:lineRule="auto"/>
              <w:ind w:firstLine="480"/>
              <w:jc w:val="center"/>
              <w:rPr>
                <w:rFonts w:ascii="仿宋_GB2312" w:hAnsi="楷体" w:eastAsia="仿宋_GB2312"/>
                <w:sz w:val="24"/>
                <w:szCs w:val="24"/>
              </w:rPr>
            </w:pPr>
            <w:r>
              <w:rPr>
                <w:rFonts w:hint="eastAsia" w:ascii="仿宋_GB2312" w:hAnsi="楷体" w:eastAsia="仿宋_GB231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360" w:lineRule="auto"/>
              <w:ind w:firstLine="480"/>
              <w:jc w:val="center"/>
              <w:rPr>
                <w:rFonts w:ascii="仿宋_GB2312" w:hAnsi="楷体" w:eastAsia="仿宋_GB2312"/>
                <w:sz w:val="24"/>
                <w:szCs w:val="24"/>
              </w:rPr>
            </w:pPr>
          </w:p>
        </w:tc>
        <w:tc>
          <w:tcPr>
            <w:tcW w:w="3402" w:type="dxa"/>
            <w:vAlign w:val="center"/>
          </w:tcPr>
          <w:p>
            <w:pPr>
              <w:pStyle w:val="282"/>
              <w:spacing w:line="360" w:lineRule="auto"/>
              <w:ind w:firstLine="480"/>
              <w:jc w:val="center"/>
              <w:rPr>
                <w:rFonts w:ascii="仿宋_GB2312" w:hAnsi="楷体" w:eastAsia="仿宋_GB2312"/>
                <w:sz w:val="24"/>
                <w:szCs w:val="24"/>
              </w:rPr>
            </w:pPr>
          </w:p>
        </w:tc>
        <w:tc>
          <w:tcPr>
            <w:tcW w:w="2552" w:type="dxa"/>
            <w:vAlign w:val="center"/>
          </w:tcPr>
          <w:p>
            <w:pPr>
              <w:pStyle w:val="282"/>
              <w:spacing w:line="360" w:lineRule="auto"/>
              <w:ind w:firstLine="48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360" w:lineRule="auto"/>
              <w:ind w:firstLine="480"/>
              <w:jc w:val="center"/>
              <w:rPr>
                <w:rFonts w:ascii="仿宋_GB2312" w:hAnsi="楷体" w:eastAsia="仿宋_GB2312"/>
                <w:sz w:val="24"/>
                <w:szCs w:val="24"/>
              </w:rPr>
            </w:pPr>
          </w:p>
        </w:tc>
        <w:tc>
          <w:tcPr>
            <w:tcW w:w="3402" w:type="dxa"/>
            <w:vAlign w:val="center"/>
          </w:tcPr>
          <w:p>
            <w:pPr>
              <w:pStyle w:val="282"/>
              <w:spacing w:line="360" w:lineRule="auto"/>
              <w:ind w:firstLine="480"/>
              <w:jc w:val="center"/>
              <w:rPr>
                <w:rFonts w:ascii="仿宋_GB2312" w:hAnsi="楷体" w:eastAsia="仿宋_GB2312"/>
                <w:sz w:val="24"/>
                <w:szCs w:val="24"/>
              </w:rPr>
            </w:pPr>
          </w:p>
        </w:tc>
        <w:tc>
          <w:tcPr>
            <w:tcW w:w="2552" w:type="dxa"/>
            <w:vAlign w:val="center"/>
          </w:tcPr>
          <w:p>
            <w:pPr>
              <w:pStyle w:val="282"/>
              <w:spacing w:line="360" w:lineRule="auto"/>
              <w:ind w:firstLine="48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360" w:lineRule="auto"/>
              <w:ind w:firstLine="480"/>
              <w:jc w:val="center"/>
              <w:rPr>
                <w:rFonts w:ascii="仿宋_GB2312" w:hAnsi="楷体" w:eastAsia="仿宋_GB2312"/>
                <w:sz w:val="24"/>
                <w:szCs w:val="24"/>
              </w:rPr>
            </w:pPr>
          </w:p>
        </w:tc>
        <w:tc>
          <w:tcPr>
            <w:tcW w:w="3402" w:type="dxa"/>
            <w:vAlign w:val="center"/>
          </w:tcPr>
          <w:p>
            <w:pPr>
              <w:pStyle w:val="282"/>
              <w:spacing w:line="360" w:lineRule="auto"/>
              <w:ind w:firstLine="480"/>
              <w:jc w:val="center"/>
              <w:rPr>
                <w:rFonts w:ascii="仿宋_GB2312" w:hAnsi="楷体" w:eastAsia="仿宋_GB2312"/>
                <w:sz w:val="24"/>
                <w:szCs w:val="24"/>
              </w:rPr>
            </w:pPr>
          </w:p>
        </w:tc>
        <w:tc>
          <w:tcPr>
            <w:tcW w:w="2552" w:type="dxa"/>
            <w:vAlign w:val="center"/>
          </w:tcPr>
          <w:p>
            <w:pPr>
              <w:pStyle w:val="282"/>
              <w:spacing w:line="360" w:lineRule="auto"/>
              <w:ind w:firstLine="48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82"/>
              <w:spacing w:line="360" w:lineRule="auto"/>
              <w:ind w:firstLine="480"/>
              <w:jc w:val="center"/>
              <w:rPr>
                <w:rFonts w:ascii="仿宋_GB2312" w:hAnsi="楷体" w:eastAsia="仿宋_GB2312"/>
                <w:sz w:val="24"/>
                <w:szCs w:val="24"/>
              </w:rPr>
            </w:pPr>
            <w:r>
              <w:rPr>
                <w:rFonts w:hint="eastAsia" w:ascii="仿宋_GB2312" w:hAnsi="楷体" w:eastAsia="仿宋_GB2312"/>
                <w:sz w:val="24"/>
                <w:szCs w:val="24"/>
              </w:rPr>
              <w:t>总价</w:t>
            </w:r>
          </w:p>
        </w:tc>
        <w:tc>
          <w:tcPr>
            <w:tcW w:w="2552" w:type="dxa"/>
            <w:vAlign w:val="center"/>
          </w:tcPr>
          <w:p>
            <w:pPr>
              <w:pStyle w:val="282"/>
              <w:spacing w:line="360" w:lineRule="auto"/>
              <w:ind w:firstLine="480"/>
              <w:jc w:val="center"/>
              <w:rPr>
                <w:rFonts w:ascii="仿宋_GB2312" w:hAnsi="楷体" w:eastAsia="仿宋_GB2312"/>
                <w:sz w:val="24"/>
                <w:szCs w:val="24"/>
              </w:rPr>
            </w:pPr>
          </w:p>
        </w:tc>
      </w:tr>
    </w:tbl>
    <w:p>
      <w:pPr>
        <w:spacing w:line="360" w:lineRule="auto"/>
        <w:ind w:firstLine="482" w:firstLineChars="200"/>
        <w:outlineLvl w:val="0"/>
        <w:rPr>
          <w:rFonts w:ascii="仿宋_GB2312" w:hAnsi="楷体" w:eastAsia="仿宋_GB2312"/>
          <w:b/>
          <w:sz w:val="24"/>
        </w:rPr>
      </w:pPr>
      <w:bookmarkStart w:id="404" w:name="_Toc22618"/>
      <w:bookmarkStart w:id="405" w:name="_Toc1814"/>
      <w:bookmarkStart w:id="406" w:name="_Toc10340"/>
      <w:r>
        <w:rPr>
          <w:rFonts w:hint="eastAsia" w:ascii="仿宋_GB2312" w:hAnsi="楷体" w:eastAsia="仿宋_GB2312"/>
          <w:b/>
          <w:sz w:val="24"/>
        </w:rPr>
        <w:t>1.4 付款方式和发票开具方式</w:t>
      </w:r>
      <w:bookmarkEnd w:id="404"/>
      <w:bookmarkEnd w:id="405"/>
      <w:bookmarkEnd w:id="406"/>
    </w:p>
    <w:p>
      <w:pPr>
        <w:spacing w:line="360" w:lineRule="auto"/>
        <w:ind w:firstLine="480" w:firstLineChars="200"/>
        <w:rPr>
          <w:rFonts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（分期付款/一次性付款）                     </w:t>
      </w:r>
      <w:r>
        <w:rPr>
          <w:rFonts w:hint="eastAsia" w:ascii="仿宋_GB2312" w:hAnsi="楷体" w:eastAsia="仿宋_GB2312"/>
          <w:sz w:val="24"/>
        </w:rPr>
        <w:t>；</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rPr>
        <w:t>1.4.2 发票开具方式：</w:t>
      </w:r>
      <w:r>
        <w:rPr>
          <w:rFonts w:hint="eastAsia" w:ascii="仿宋_GB2312" w:hAnsi="楷体" w:eastAsia="仿宋_GB2312"/>
          <w:color w:val="auto"/>
          <w:sz w:val="24"/>
          <w:u w:val="single"/>
        </w:rPr>
        <w:t xml:space="preserve">                                            ；</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u w:val="single"/>
        </w:rPr>
        <w:t>1.4.3甲方拒绝或迟延支付中小企业款项，乙方可向有关部门投诉   。</w:t>
      </w:r>
    </w:p>
    <w:p>
      <w:pPr>
        <w:spacing w:line="360" w:lineRule="auto"/>
        <w:ind w:firstLine="482" w:firstLineChars="200"/>
        <w:outlineLvl w:val="0"/>
        <w:rPr>
          <w:rFonts w:ascii="仿宋_GB2312" w:hAnsi="楷体" w:eastAsia="仿宋_GB2312"/>
          <w:b/>
          <w:color w:val="auto"/>
          <w:sz w:val="24"/>
        </w:rPr>
      </w:pPr>
      <w:bookmarkStart w:id="407" w:name="_Toc2846"/>
      <w:bookmarkStart w:id="408" w:name="_Toc32071"/>
      <w:bookmarkStart w:id="409" w:name="_Toc19304"/>
      <w:r>
        <w:rPr>
          <w:rFonts w:hint="eastAsia" w:ascii="仿宋_GB2312" w:hAnsi="楷体" w:eastAsia="仿宋_GB2312"/>
          <w:b/>
          <w:color w:val="auto"/>
          <w:sz w:val="24"/>
        </w:rPr>
        <w:t>1.5 标的物交付期限、地点和方式</w:t>
      </w:r>
      <w:bookmarkEnd w:id="407"/>
      <w:bookmarkEnd w:id="408"/>
      <w:bookmarkEnd w:id="409"/>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10" w:name="_Toc21423"/>
      <w:bookmarkStart w:id="411" w:name="_Toc27250"/>
      <w:bookmarkStart w:id="412" w:name="_Toc19554"/>
      <w:r>
        <w:rPr>
          <w:rFonts w:hint="eastAsia" w:ascii="仿宋_GB2312" w:hAnsi="楷体" w:eastAsia="仿宋_GB2312"/>
          <w:b/>
          <w:sz w:val="24"/>
        </w:rPr>
        <w:t>1.6 违约责任</w:t>
      </w:r>
      <w:bookmarkEnd w:id="410"/>
      <w:bookmarkEnd w:id="411"/>
      <w:bookmarkEnd w:id="412"/>
    </w:p>
    <w:p>
      <w:pPr>
        <w:spacing w:line="360" w:lineRule="auto"/>
        <w:ind w:firstLine="480" w:firstLineChars="200"/>
        <w:rPr>
          <w:rFonts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除不可抗力外，如果乙方没有按照本合同约定的期限、地点和方式交付标的物，那么甲方可要求乙方支付违约金，违约金按每迟延交付标的物一日的应交付而未交付标的物价格的</w:t>
      </w:r>
      <w:r>
        <w:rPr>
          <w:rFonts w:hint="eastAsia" w:ascii="仿宋_GB2312" w:hAnsi="楷体" w:eastAsia="仿宋_GB2312"/>
          <w:sz w:val="24"/>
          <w:u w:val="single"/>
        </w:rPr>
        <w:t xml:space="preserve">    </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%；迟延交付标的物的违约金计算数额达到前述最高限额之日起，甲方有权在要求乙方支付违约金的同时，书面通知乙方解除本合同；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1.6.2 除不可抗力外，如果甲方没有按照本合同约定的付款方式付款，那么乙方可要求甲方支付违约金，违约金按每迟延付款一日的应付而未付款的</w:t>
      </w:r>
      <w:r>
        <w:rPr>
          <w:rFonts w:hint="eastAsia" w:ascii="仿宋_GB2312" w:hAnsi="楷体" w:eastAsia="仿宋_GB2312"/>
          <w:sz w:val="24"/>
          <w:u w:val="single"/>
        </w:rPr>
        <w:t xml:space="preserve">    </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2" w:firstLineChars="200"/>
        <w:outlineLvl w:val="0"/>
        <w:rPr>
          <w:rFonts w:ascii="仿宋_GB2312" w:hAnsi="楷体" w:eastAsia="仿宋_GB2312"/>
          <w:b/>
          <w:sz w:val="24"/>
        </w:rPr>
      </w:pPr>
      <w:bookmarkStart w:id="413" w:name="_Toc16021"/>
      <w:bookmarkStart w:id="414" w:name="_Toc28375"/>
      <w:bookmarkStart w:id="415" w:name="_Toc15583"/>
      <w:r>
        <w:rPr>
          <w:rFonts w:hint="eastAsia" w:ascii="仿宋_GB2312" w:hAnsi="楷体" w:eastAsia="仿宋_GB2312"/>
          <w:b/>
          <w:sz w:val="24"/>
        </w:rPr>
        <w:t>1.7 合同争议的解决</w:t>
      </w:r>
      <w:bookmarkEnd w:id="413"/>
      <w:bookmarkEnd w:id="414"/>
      <w:bookmarkEnd w:id="415"/>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 xml:space="preserve">              </w:t>
      </w:r>
      <w:r>
        <w:rPr>
          <w:rFonts w:hint="eastAsia" w:ascii="仿宋_GB2312" w:hAnsi="楷体" w:eastAsia="仿宋_GB2312"/>
          <w:sz w:val="24"/>
        </w:rPr>
        <w:t>仲裁委员会依申请仲裁时其现行有效的仲裁规则裁决；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（被告住所地、合同履行地、合同签订地、原告住所地、标的物所在地等与争议有实际联系的地点中选出的人民法院名称）    </w:t>
      </w:r>
      <w:r>
        <w:rPr>
          <w:rFonts w:hint="eastAsia" w:ascii="仿宋_GB2312" w:hAnsi="楷体" w:eastAsia="仿宋_GB2312"/>
          <w:sz w:val="24"/>
        </w:rPr>
        <w:t>人民法院起诉。</w:t>
      </w:r>
    </w:p>
    <w:p>
      <w:pPr>
        <w:spacing w:line="360" w:lineRule="auto"/>
        <w:ind w:firstLine="482" w:firstLineChars="200"/>
        <w:outlineLvl w:val="0"/>
        <w:rPr>
          <w:rFonts w:ascii="仿宋_GB2312" w:hAnsi="楷体" w:eastAsia="仿宋_GB2312"/>
          <w:b/>
          <w:sz w:val="24"/>
        </w:rPr>
      </w:pPr>
      <w:bookmarkStart w:id="416" w:name="_Toc11173"/>
      <w:bookmarkStart w:id="417" w:name="_Toc15322"/>
      <w:bookmarkStart w:id="418" w:name="_Toc7245"/>
      <w:r>
        <w:rPr>
          <w:rFonts w:hint="eastAsia" w:ascii="仿宋_GB2312" w:hAnsi="楷体" w:eastAsia="仿宋_GB2312"/>
          <w:b/>
          <w:sz w:val="24"/>
        </w:rPr>
        <w:t>1.8 合同生效</w:t>
      </w:r>
      <w:bookmarkEnd w:id="416"/>
      <w:bookmarkEnd w:id="417"/>
      <w:bookmarkEnd w:id="418"/>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本合同自双方当事人盖章或者签字时生效。</w:t>
      </w:r>
    </w:p>
    <w:p>
      <w:pPr>
        <w:autoSpaceDE w:val="0"/>
        <w:autoSpaceDN w:val="0"/>
        <w:spacing w:line="360" w:lineRule="auto"/>
        <w:rPr>
          <w:rFonts w:ascii="仿宋_GB2312" w:hAnsi="楷体" w:eastAsia="仿宋_GB2312"/>
          <w:sz w:val="24"/>
          <w:lang w:val="zh-CN"/>
        </w:rPr>
      </w:pPr>
    </w:p>
    <w:p>
      <w:pPr>
        <w:autoSpaceDE w:val="0"/>
        <w:autoSpaceDN w:val="0"/>
        <w:spacing w:line="360" w:lineRule="auto"/>
        <w:rPr>
          <w:rFonts w:ascii="仿宋_GB2312" w:hAnsi="楷体" w:eastAsia="仿宋_GB2312"/>
          <w:sz w:val="24"/>
          <w:lang w:val="zh-CN"/>
        </w:rPr>
      </w:pPr>
      <w:r>
        <w:rPr>
          <w:rFonts w:hint="eastAsia" w:ascii="仿宋_GB2312" w:hAnsi="楷体" w:eastAsia="仿宋_GB2312"/>
          <w:b/>
          <w:sz w:val="24"/>
          <w:lang w:val="zh-CN"/>
        </w:rPr>
        <w:t>甲方</w:t>
      </w:r>
      <w:r>
        <w:rPr>
          <w:rFonts w:hint="eastAsia" w:ascii="仿宋_GB2312" w:hAnsi="楷体" w:eastAsia="仿宋_GB2312"/>
          <w:sz w:val="24"/>
          <w:lang w:val="zh-CN"/>
        </w:rPr>
        <w:t xml:space="preserve">：                             </w:t>
      </w:r>
      <w:r>
        <w:rPr>
          <w:rFonts w:hint="eastAsia" w:ascii="仿宋_GB2312" w:hAnsi="楷体" w:eastAsia="仿宋_GB2312"/>
          <w:b/>
          <w:sz w:val="24"/>
          <w:lang w:val="zh-CN"/>
        </w:rPr>
        <w:t xml:space="preserve">      乙方</w:t>
      </w:r>
      <w:r>
        <w:rPr>
          <w:rFonts w:hint="eastAsia" w:ascii="仿宋_GB2312" w:hAnsi="楷体" w:eastAsia="仿宋_GB2312"/>
          <w:sz w:val="24"/>
          <w:lang w:val="zh-CN"/>
        </w:rPr>
        <w:t>：</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autoSpaceDE w:val="0"/>
        <w:autoSpaceDN w:val="0"/>
        <w:spacing w:line="360" w:lineRule="auto"/>
        <w:rPr>
          <w:rFonts w:ascii="仿宋_GB2312" w:hAnsi="楷体" w:eastAsia="仿宋_GB2312"/>
          <w:sz w:val="24"/>
          <w:lang w:val="zh-CN"/>
        </w:rPr>
      </w:pP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住所：                                   住所：</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法定代表人或                             法定代表人</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联系人：                                 联系人：</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约定送达地址：                           约定送达地址：</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邮政编码：                               邮政编码：</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 xml:space="preserve">电话:                                    电话: </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传真:                                    传真:</w:t>
      </w:r>
    </w:p>
    <w:p>
      <w:pPr>
        <w:autoSpaceDE w:val="0"/>
        <w:autoSpaceDN w:val="0"/>
        <w:spacing w:line="360" w:lineRule="auto"/>
        <w:rPr>
          <w:rFonts w:ascii="仿宋_GB2312" w:hAnsi="楷体" w:eastAsia="仿宋_GB2312"/>
          <w:sz w:val="24"/>
        </w:rPr>
      </w:pPr>
      <w:r>
        <w:rPr>
          <w:rFonts w:hint="eastAsia" w:ascii="仿宋_GB2312" w:hAnsi="楷体" w:eastAsia="仿宋_GB2312"/>
          <w:sz w:val="24"/>
          <w:lang w:val="zh-CN"/>
        </w:rPr>
        <w:t>电子邮箱：                               电子邮箱：</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 xml:space="preserve">开户银行：                               开户银行： </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 xml:space="preserve">开户名称：                               开户名称： </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widowControl/>
        <w:jc w:val="left"/>
        <w:rPr>
          <w:rFonts w:ascii="仿宋_GB2312" w:hAnsi="楷体" w:eastAsia="仿宋_GB2312"/>
          <w:b/>
          <w:sz w:val="24"/>
        </w:rPr>
      </w:pPr>
      <w:bookmarkStart w:id="419" w:name="_Toc331685783"/>
      <w:r>
        <w:rPr>
          <w:rFonts w:hint="eastAsia" w:ascii="仿宋_GB2312" w:hAnsi="楷体" w:eastAsia="仿宋_GB2312"/>
          <w:b/>
        </w:rPr>
        <w:br w:type="page"/>
      </w:r>
    </w:p>
    <w:p>
      <w:pPr>
        <w:pStyle w:val="330"/>
        <w:ind w:firstLine="562"/>
        <w:jc w:val="center"/>
        <w:rPr>
          <w:rFonts w:ascii="仿宋_GB2312" w:hAnsi="楷体" w:eastAsia="仿宋_GB2312"/>
          <w:b/>
          <w:sz w:val="28"/>
          <w:szCs w:val="28"/>
        </w:rPr>
      </w:pPr>
      <w:r>
        <w:rPr>
          <w:rFonts w:hint="eastAsia" w:ascii="仿宋_GB2312" w:hAnsi="楷体" w:eastAsia="仿宋_GB2312"/>
          <w:b/>
          <w:sz w:val="28"/>
          <w:szCs w:val="28"/>
        </w:rPr>
        <w:t>第二部分 合同一般条款</w:t>
      </w:r>
      <w:bookmarkEnd w:id="419"/>
    </w:p>
    <w:p>
      <w:pPr>
        <w:spacing w:line="360" w:lineRule="auto"/>
        <w:ind w:firstLine="482" w:firstLineChars="200"/>
        <w:outlineLvl w:val="0"/>
        <w:rPr>
          <w:rFonts w:ascii="仿宋_GB2312" w:hAnsi="楷体" w:eastAsia="仿宋_GB2312"/>
          <w:b/>
          <w:sz w:val="24"/>
        </w:rPr>
      </w:pPr>
      <w:bookmarkStart w:id="420" w:name="_Ref467379225"/>
      <w:bookmarkStart w:id="421" w:name="_Toc28763"/>
      <w:bookmarkStart w:id="422" w:name="_Toc279701240"/>
      <w:bookmarkStart w:id="423" w:name="_Toc487900349"/>
      <w:bookmarkStart w:id="424" w:name="_Ref467379205"/>
      <w:bookmarkStart w:id="425" w:name="_Ref467378463"/>
      <w:bookmarkStart w:id="426" w:name="_Toc19614"/>
      <w:bookmarkStart w:id="427" w:name="_Ref467378499"/>
      <w:bookmarkStart w:id="428" w:name="_Toc259093669"/>
      <w:bookmarkStart w:id="429" w:name="_Ref467379109"/>
      <w:bookmarkStart w:id="430" w:name="_Ref467378404"/>
      <w:bookmarkStart w:id="431" w:name="_Ref467379214"/>
      <w:bookmarkStart w:id="432" w:name="_Ref467379094"/>
      <w:bookmarkStart w:id="433" w:name="_Toc16917"/>
      <w:bookmarkStart w:id="434" w:name="_Ref467379195"/>
      <w:bookmarkStart w:id="435" w:name="_Ref467379101"/>
      <w:r>
        <w:rPr>
          <w:rFonts w:hint="eastAsia" w:ascii="仿宋_GB2312" w:hAnsi="楷体" w:eastAsia="仿宋_GB2312"/>
          <w:b/>
          <w:sz w:val="24"/>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 “合同”系指采购人和中标供应商签订的载明双方当事人所达成的协议，并包括所有的附件、附录和构成合同的其他文件。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2.1.2 “合同价”系指根据合同约定，中标供应商在完全履行合同义务后，采购人应支付给中标供应商的价格。</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仿宋_GB2312" w:hAnsi="楷体" w:eastAsia="仿宋_GB2312"/>
          <w:sz w:val="24"/>
        </w:rPr>
      </w:pPr>
      <w:bookmarkStart w:id="436" w:name="_Ref467378840"/>
      <w:r>
        <w:rPr>
          <w:rFonts w:hint="eastAsia" w:ascii="仿宋_GB2312" w:hAnsi="楷体" w:eastAsia="仿宋_GB2312"/>
          <w:sz w:val="24"/>
        </w:rPr>
        <w:t>2.1.4 “甲方”系指与中标供应商签署合同的采购人</w:t>
      </w:r>
      <w:bookmarkEnd w:id="436"/>
      <w:r>
        <w:rPr>
          <w:rFonts w:hint="eastAsia" w:ascii="仿宋_GB2312" w:hAnsi="楷体" w:eastAsia="仿宋_GB2312"/>
          <w:sz w:val="24"/>
        </w:rPr>
        <w:t>；采购人委托采购机构代表其与乙方签订合同的，采购人的授权委托书作为合同附件。</w:t>
      </w:r>
    </w:p>
    <w:p>
      <w:pPr>
        <w:spacing w:line="360" w:lineRule="auto"/>
        <w:ind w:firstLine="480" w:firstLineChars="200"/>
        <w:rPr>
          <w:rFonts w:ascii="仿宋_GB2312" w:hAnsi="楷体" w:eastAsia="仿宋_GB2312"/>
          <w:sz w:val="24"/>
        </w:rPr>
      </w:pPr>
      <w:bookmarkStart w:id="437" w:name="_Ref467379400"/>
      <w:r>
        <w:rPr>
          <w:rFonts w:hint="eastAsia" w:ascii="仿宋_GB2312" w:hAnsi="楷体" w:eastAsia="仿宋_GB2312"/>
          <w:sz w:val="24"/>
        </w:rPr>
        <w:t>2.1.5 “乙方”系指根据合同约定交付标的物的中标供应商</w:t>
      </w:r>
      <w:bookmarkEnd w:id="437"/>
      <w:r>
        <w:rPr>
          <w:rFonts w:hint="eastAsia" w:ascii="仿宋_GB2312" w:hAnsi="楷体" w:eastAsia="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_GB2312" w:hAnsi="楷体" w:eastAsia="仿宋_GB2312"/>
          <w:sz w:val="24"/>
        </w:rPr>
      </w:pPr>
      <w:bookmarkStart w:id="438" w:name="_Ref467379436"/>
      <w:r>
        <w:rPr>
          <w:rFonts w:hint="eastAsia" w:ascii="仿宋_GB2312" w:hAnsi="楷体" w:eastAsia="仿宋_GB2312"/>
          <w:sz w:val="24"/>
        </w:rPr>
        <w:t>2.1.6 “现场”系指合同约定标的物将要运至或者实施或者安装的地点。</w:t>
      </w:r>
      <w:bookmarkEnd w:id="438"/>
    </w:p>
    <w:p>
      <w:pPr>
        <w:spacing w:line="360" w:lineRule="auto"/>
        <w:ind w:firstLine="482" w:firstLineChars="200"/>
        <w:outlineLvl w:val="0"/>
        <w:rPr>
          <w:rFonts w:ascii="仿宋_GB2312" w:hAnsi="楷体" w:eastAsia="仿宋_GB2312"/>
          <w:b/>
          <w:sz w:val="24"/>
        </w:rPr>
      </w:pPr>
      <w:bookmarkStart w:id="439" w:name="_Toc32504"/>
      <w:bookmarkStart w:id="440" w:name="_Toc487900350"/>
      <w:bookmarkStart w:id="441" w:name="_Toc279701241"/>
      <w:bookmarkStart w:id="442" w:name="_Toc27635"/>
      <w:bookmarkStart w:id="443" w:name="_Toc259093670"/>
      <w:bookmarkStart w:id="444" w:name="_Toc13336"/>
      <w:r>
        <w:rPr>
          <w:rFonts w:hint="eastAsia" w:ascii="仿宋_GB2312" w:hAnsi="楷体" w:eastAsia="仿宋_GB2312"/>
          <w:b/>
          <w:sz w:val="24"/>
        </w:rPr>
        <w:t>2.2 技术规范</w:t>
      </w:r>
      <w:bookmarkEnd w:id="439"/>
      <w:bookmarkEnd w:id="440"/>
      <w:bookmarkEnd w:id="441"/>
      <w:bookmarkEnd w:id="442"/>
      <w:bookmarkEnd w:id="443"/>
      <w:bookmarkEnd w:id="444"/>
    </w:p>
    <w:p>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仿宋_GB2312" w:hAnsi="楷体" w:eastAsia="仿宋_GB2312"/>
          <w:b/>
          <w:sz w:val="24"/>
        </w:rPr>
      </w:pPr>
      <w:bookmarkStart w:id="445" w:name="_Toc27853"/>
      <w:bookmarkStart w:id="446" w:name="_Toc279701242"/>
      <w:bookmarkStart w:id="447" w:name="_Toc31634"/>
      <w:bookmarkStart w:id="448" w:name="_Toc487900351"/>
      <w:bookmarkStart w:id="449" w:name="_Toc259093671"/>
      <w:bookmarkStart w:id="450" w:name="_Toc9829"/>
      <w:r>
        <w:rPr>
          <w:rFonts w:hint="eastAsia" w:ascii="仿宋_GB2312" w:hAnsi="楷体" w:eastAsia="仿宋_GB2312"/>
          <w:b/>
          <w:sz w:val="24"/>
        </w:rPr>
        <w:t>2.3 知识产权</w:t>
      </w:r>
      <w:bookmarkEnd w:id="445"/>
      <w:bookmarkEnd w:id="446"/>
      <w:bookmarkEnd w:id="447"/>
      <w:bookmarkEnd w:id="448"/>
      <w:bookmarkEnd w:id="449"/>
      <w:bookmarkEnd w:id="450"/>
    </w:p>
    <w:p>
      <w:pPr>
        <w:spacing w:line="360" w:lineRule="auto"/>
        <w:ind w:firstLine="480" w:firstLineChars="200"/>
        <w:rPr>
          <w:rFonts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51" w:name="_Toc29149"/>
      <w:bookmarkStart w:id="452" w:name="_Toc11932"/>
      <w:bookmarkStart w:id="453" w:name="_Toc4194"/>
      <w:r>
        <w:rPr>
          <w:rFonts w:hint="eastAsia" w:ascii="仿宋_GB2312" w:hAnsi="楷体" w:eastAsia="仿宋_GB2312"/>
          <w:b/>
          <w:sz w:val="24"/>
        </w:rPr>
        <w:t>2.4 包装和装运</w:t>
      </w:r>
      <w:bookmarkEnd w:id="451"/>
      <w:bookmarkEnd w:id="452"/>
      <w:bookmarkEnd w:id="453"/>
    </w:p>
    <w:p>
      <w:pPr>
        <w:spacing w:line="360" w:lineRule="auto"/>
        <w:ind w:firstLine="480" w:firstLineChars="200"/>
        <w:rPr>
          <w:rFonts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54" w:name="_Ref467378591"/>
      <w:bookmarkStart w:id="455" w:name="_Toc279701245"/>
      <w:bookmarkStart w:id="456" w:name="_Ref467379536"/>
      <w:bookmarkStart w:id="457" w:name="_Ref467379527"/>
      <w:bookmarkStart w:id="458" w:name="_Ref467379542"/>
      <w:bookmarkStart w:id="459" w:name="_Toc259093674"/>
      <w:bookmarkStart w:id="460" w:name="_Toc487900354"/>
      <w:bookmarkStart w:id="461" w:name="_Ref467378541"/>
      <w:bookmarkStart w:id="462" w:name="_Toc30272"/>
      <w:bookmarkStart w:id="463" w:name="_Toc26182"/>
      <w:bookmarkStart w:id="464" w:name="_Toc19074"/>
      <w:r>
        <w:rPr>
          <w:rFonts w:hint="eastAsia" w:ascii="仿宋_GB2312" w:hAnsi="楷体" w:eastAsia="仿宋_GB2312"/>
          <w:b/>
          <w:sz w:val="24"/>
        </w:rPr>
        <w:t>2.</w:t>
      </w:r>
      <w:bookmarkEnd w:id="454"/>
      <w:bookmarkEnd w:id="455"/>
      <w:bookmarkEnd w:id="456"/>
      <w:bookmarkEnd w:id="457"/>
      <w:bookmarkEnd w:id="458"/>
      <w:bookmarkEnd w:id="459"/>
      <w:bookmarkEnd w:id="460"/>
      <w:bookmarkEnd w:id="461"/>
      <w:r>
        <w:rPr>
          <w:rFonts w:hint="eastAsia" w:ascii="仿宋_GB2312" w:hAnsi="楷体" w:eastAsia="仿宋_GB2312"/>
          <w:b/>
          <w:sz w:val="24"/>
        </w:rPr>
        <w:t>5 履约检查和问题反馈</w:t>
      </w:r>
      <w:bookmarkEnd w:id="462"/>
      <w:bookmarkEnd w:id="463"/>
      <w:bookmarkEnd w:id="464"/>
    </w:p>
    <w:p>
      <w:pPr>
        <w:spacing w:line="360" w:lineRule="auto"/>
        <w:ind w:firstLine="480" w:firstLineChars="200"/>
        <w:rPr>
          <w:rFonts w:ascii="仿宋_GB2312" w:hAnsi="楷体" w:eastAsia="仿宋_GB2312"/>
          <w:sz w:val="24"/>
        </w:rPr>
      </w:pPr>
      <w:bookmarkStart w:id="465" w:name="_Ref467379657"/>
      <w:r>
        <w:rPr>
          <w:rFonts w:hint="eastAsia" w:ascii="仿宋_GB2312" w:hAnsi="楷体" w:eastAsia="仿宋_GB2312"/>
          <w:sz w:val="24"/>
        </w:rPr>
        <w:t>2.5.1</w:t>
      </w:r>
      <w:bookmarkEnd w:id="465"/>
      <w:bookmarkStart w:id="466" w:name="_Toc186431854"/>
      <w:bookmarkStart w:id="467" w:name="_Ref467379793"/>
      <w:bookmarkStart w:id="468" w:name="_Toc487900357"/>
      <w:bookmarkStart w:id="469" w:name="_Toc279701247"/>
      <w:bookmarkStart w:id="470" w:name="_Ref467379807"/>
      <w:bookmarkStart w:id="471" w:name="_Toc259093676"/>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466"/>
      <w:bookmarkStart w:id="472" w:name="_Toc186431855"/>
      <w:r>
        <w:rPr>
          <w:rFonts w:hint="eastAsia" w:ascii="仿宋_GB2312" w:hAnsi="楷体" w:eastAsia="仿宋_GB2312"/>
          <w:sz w:val="24"/>
        </w:rPr>
        <w:t>。</w:t>
      </w:r>
    </w:p>
    <w:bookmarkEnd w:id="472"/>
    <w:p>
      <w:pPr>
        <w:spacing w:line="360" w:lineRule="auto"/>
        <w:ind w:firstLine="482" w:firstLineChars="200"/>
        <w:outlineLvl w:val="0"/>
        <w:rPr>
          <w:rFonts w:ascii="仿宋_GB2312" w:hAnsi="楷体" w:eastAsia="仿宋_GB2312"/>
          <w:b/>
          <w:sz w:val="24"/>
        </w:rPr>
      </w:pPr>
      <w:bookmarkStart w:id="473" w:name="_Toc28451"/>
      <w:bookmarkStart w:id="474" w:name="_Toc19219"/>
      <w:bookmarkStart w:id="475" w:name="_Toc7836"/>
      <w:r>
        <w:rPr>
          <w:rFonts w:hint="eastAsia" w:ascii="仿宋_GB2312" w:hAnsi="楷体" w:eastAsia="仿宋_GB2312"/>
          <w:b/>
          <w:sz w:val="24"/>
        </w:rPr>
        <w:t>2.6 结算方式和付款条件</w:t>
      </w:r>
      <w:bookmarkEnd w:id="467"/>
      <w:bookmarkEnd w:id="468"/>
      <w:bookmarkEnd w:id="469"/>
      <w:bookmarkEnd w:id="470"/>
      <w:bookmarkEnd w:id="471"/>
      <w:bookmarkEnd w:id="473"/>
      <w:bookmarkEnd w:id="474"/>
      <w:bookmarkEnd w:id="475"/>
    </w:p>
    <w:p>
      <w:pPr>
        <w:spacing w:line="360" w:lineRule="auto"/>
        <w:ind w:firstLine="480" w:firstLineChars="200"/>
        <w:rPr>
          <w:rFonts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76" w:name="_Ref467379863"/>
      <w:bookmarkStart w:id="477" w:name="_Toc487900358"/>
      <w:bookmarkStart w:id="478" w:name="_Toc279701248"/>
      <w:bookmarkStart w:id="479" w:name="_Toc259093677"/>
      <w:bookmarkStart w:id="480" w:name="_Ref467379923"/>
      <w:bookmarkStart w:id="481" w:name="_Ref467379852"/>
      <w:bookmarkStart w:id="482" w:name="_Toc16110"/>
      <w:bookmarkStart w:id="483" w:name="_Toc774"/>
      <w:bookmarkStart w:id="484" w:name="_Toc3225"/>
      <w:r>
        <w:rPr>
          <w:rFonts w:hint="eastAsia" w:ascii="仿宋_GB2312" w:hAnsi="楷体" w:eastAsia="仿宋_GB2312"/>
          <w:b/>
          <w:sz w:val="24"/>
        </w:rPr>
        <w:t>2.7 技术资料</w:t>
      </w:r>
      <w:bookmarkEnd w:id="476"/>
      <w:bookmarkEnd w:id="477"/>
      <w:bookmarkEnd w:id="478"/>
      <w:bookmarkEnd w:id="479"/>
      <w:bookmarkEnd w:id="480"/>
      <w:bookmarkEnd w:id="481"/>
      <w:r>
        <w:rPr>
          <w:rFonts w:hint="eastAsia" w:ascii="仿宋_GB2312" w:hAnsi="楷体" w:eastAsia="仿宋_GB2312"/>
          <w:b/>
          <w:sz w:val="24"/>
        </w:rPr>
        <w:t>和保密义务</w:t>
      </w:r>
      <w:bookmarkEnd w:id="482"/>
      <w:bookmarkEnd w:id="483"/>
      <w:bookmarkEnd w:id="484"/>
    </w:p>
    <w:p>
      <w:pPr>
        <w:spacing w:line="360" w:lineRule="auto"/>
        <w:ind w:firstLine="480" w:firstLineChars="200"/>
        <w:rPr>
          <w:rFonts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outlineLvl w:val="0"/>
        <w:rPr>
          <w:rFonts w:ascii="仿宋_GB2312" w:hAnsi="楷体" w:eastAsia="仿宋_GB2312"/>
          <w:b/>
          <w:sz w:val="24"/>
        </w:rPr>
      </w:pPr>
      <w:bookmarkStart w:id="485" w:name="_Toc7860"/>
      <w:r>
        <w:rPr>
          <w:rFonts w:hint="eastAsia" w:ascii="仿宋_GB2312" w:hAnsi="楷体" w:eastAsia="仿宋_GB2312"/>
          <w:b/>
          <w:sz w:val="24"/>
        </w:rPr>
        <w:t>2.8 质量保证</w:t>
      </w:r>
      <w:bookmarkEnd w:id="485"/>
    </w:p>
    <w:p>
      <w:pPr>
        <w:spacing w:line="360" w:lineRule="auto"/>
        <w:ind w:firstLine="480" w:firstLineChars="200"/>
        <w:rPr>
          <w:rFonts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_GB2312" w:hAnsi="楷体" w:eastAsia="仿宋_GB2312"/>
          <w:b/>
          <w:sz w:val="24"/>
        </w:rPr>
      </w:pPr>
      <w:bookmarkStart w:id="486" w:name="_Toc17244"/>
      <w:bookmarkStart w:id="487" w:name="_Toc259093681"/>
      <w:bookmarkStart w:id="488" w:name="_Toc487900362"/>
      <w:bookmarkStart w:id="489" w:name="_Toc279701252"/>
      <w:r>
        <w:rPr>
          <w:rFonts w:hint="eastAsia" w:ascii="仿宋_GB2312" w:hAnsi="楷体" w:eastAsia="仿宋_GB2312"/>
          <w:b/>
          <w:sz w:val="24"/>
        </w:rPr>
        <w:t>2.9 标的物的风险负担</w:t>
      </w:r>
      <w:bookmarkEnd w:id="486"/>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90" w:name="_Toc14055"/>
      <w:r>
        <w:rPr>
          <w:rFonts w:hint="eastAsia" w:ascii="仿宋_GB2312" w:hAnsi="楷体" w:eastAsia="仿宋_GB2312"/>
          <w:b/>
          <w:sz w:val="24"/>
        </w:rPr>
        <w:t>2.10 延迟交货</w:t>
      </w:r>
      <w:bookmarkEnd w:id="487"/>
      <w:bookmarkEnd w:id="488"/>
      <w:bookmarkEnd w:id="489"/>
      <w:bookmarkEnd w:id="490"/>
      <w:r>
        <w:rPr>
          <w:rFonts w:hint="eastAsia" w:ascii="仿宋_GB2312" w:hAnsi="楷体" w:eastAsia="仿宋_GB2312"/>
          <w:b/>
          <w:sz w:val="24"/>
        </w:rPr>
        <w:t>/交付</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仿宋_GB2312" w:hAnsi="楷体" w:eastAsia="仿宋_GB2312"/>
          <w:b/>
          <w:sz w:val="24"/>
        </w:rPr>
      </w:pPr>
      <w:bookmarkStart w:id="491" w:name="_Toc7502"/>
      <w:bookmarkStart w:id="492" w:name="_Toc487900364"/>
      <w:bookmarkStart w:id="493" w:name="_Ref467378121"/>
      <w:bookmarkStart w:id="494" w:name="_Toc279701254"/>
      <w:bookmarkStart w:id="495" w:name="_Toc259093683"/>
      <w:r>
        <w:rPr>
          <w:rFonts w:hint="eastAsia" w:ascii="仿宋_GB2312" w:hAnsi="楷体" w:eastAsia="仿宋_GB2312"/>
          <w:b/>
          <w:sz w:val="24"/>
        </w:rPr>
        <w:t>2.11 合同变更</w:t>
      </w:r>
      <w:bookmarkEnd w:id="491"/>
    </w:p>
    <w:p>
      <w:pPr>
        <w:spacing w:line="360" w:lineRule="auto"/>
        <w:ind w:firstLine="480" w:firstLineChars="200"/>
        <w:rPr>
          <w:rFonts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279701259"/>
      <w:bookmarkStart w:id="498" w:name="_Toc487900369"/>
    </w:p>
    <w:p>
      <w:pPr>
        <w:spacing w:line="360" w:lineRule="auto"/>
        <w:ind w:firstLine="482" w:firstLineChars="200"/>
        <w:outlineLvl w:val="0"/>
        <w:rPr>
          <w:rFonts w:ascii="仿宋_GB2312" w:hAnsi="楷体" w:eastAsia="仿宋_GB2312"/>
          <w:b/>
          <w:sz w:val="24"/>
        </w:rPr>
      </w:pPr>
      <w:bookmarkStart w:id="499" w:name="_Toc15237"/>
      <w:bookmarkStart w:id="500" w:name="_Toc22955"/>
      <w:bookmarkStart w:id="501" w:name="_Toc10366"/>
      <w:r>
        <w:rPr>
          <w:rFonts w:hint="eastAsia" w:ascii="仿宋_GB2312" w:hAnsi="楷体" w:eastAsia="仿宋_GB2312"/>
          <w:b/>
          <w:sz w:val="24"/>
        </w:rPr>
        <w:t>2.12 合同转让</w:t>
      </w:r>
      <w:bookmarkEnd w:id="496"/>
      <w:bookmarkEnd w:id="497"/>
      <w:bookmarkEnd w:id="498"/>
      <w:r>
        <w:rPr>
          <w:rFonts w:hint="eastAsia" w:ascii="仿宋_GB2312" w:hAnsi="楷体" w:eastAsia="仿宋_GB2312"/>
          <w:b/>
          <w:sz w:val="24"/>
        </w:rPr>
        <w:t>和分包</w:t>
      </w:r>
      <w:bookmarkEnd w:id="499"/>
      <w:bookmarkEnd w:id="500"/>
      <w:bookmarkEnd w:id="501"/>
    </w:p>
    <w:p>
      <w:pPr>
        <w:spacing w:line="360" w:lineRule="auto"/>
        <w:ind w:firstLine="480" w:firstLineChars="200"/>
        <w:rPr>
          <w:rFonts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outlineLvl w:val="0"/>
        <w:rPr>
          <w:rFonts w:ascii="仿宋_GB2312" w:hAnsi="楷体" w:eastAsia="仿宋_GB2312"/>
          <w:b/>
          <w:sz w:val="24"/>
        </w:rPr>
      </w:pPr>
      <w:bookmarkStart w:id="502" w:name="_Toc13566"/>
      <w:bookmarkStart w:id="503" w:name="_Toc16508"/>
      <w:bookmarkStart w:id="504" w:name="_Toc14066"/>
      <w:r>
        <w:rPr>
          <w:rFonts w:hint="eastAsia" w:ascii="仿宋_GB2312" w:hAnsi="楷体" w:eastAsia="仿宋_GB2312"/>
          <w:b/>
          <w:sz w:val="24"/>
        </w:rPr>
        <w:t>2.13 不可抗力</w:t>
      </w:r>
      <w:bookmarkEnd w:id="502"/>
      <w:bookmarkEnd w:id="503"/>
      <w:bookmarkEnd w:id="504"/>
    </w:p>
    <w:p>
      <w:pPr>
        <w:spacing w:line="360" w:lineRule="auto"/>
        <w:ind w:firstLine="480" w:firstLineChars="200"/>
        <w:rPr>
          <w:rFonts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2.13.3 因不可抗力致使不能实现合同目的的，当事人可以解除合同；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2" w:firstLineChars="200"/>
        <w:outlineLvl w:val="0"/>
        <w:rPr>
          <w:rFonts w:ascii="仿宋_GB2312" w:hAnsi="楷体" w:eastAsia="仿宋_GB2312"/>
          <w:b/>
          <w:sz w:val="24"/>
        </w:rPr>
      </w:pPr>
      <w:bookmarkStart w:id="505" w:name="_Toc6969"/>
      <w:bookmarkStart w:id="506" w:name="_Toc689"/>
      <w:bookmarkStart w:id="507" w:name="_Toc30676"/>
      <w:bookmarkStart w:id="508" w:name="_Toc487900365"/>
      <w:bookmarkStart w:id="509" w:name="_Toc259093684"/>
      <w:bookmarkStart w:id="510" w:name="_Toc279701255"/>
      <w:r>
        <w:rPr>
          <w:rFonts w:hint="eastAsia" w:ascii="仿宋_GB2312" w:hAnsi="楷体" w:eastAsia="仿宋_GB2312"/>
          <w:b/>
          <w:sz w:val="24"/>
        </w:rPr>
        <w:t>2.14 税费</w:t>
      </w:r>
      <w:bookmarkEnd w:id="505"/>
      <w:bookmarkEnd w:id="506"/>
      <w:bookmarkEnd w:id="507"/>
      <w:bookmarkEnd w:id="508"/>
      <w:bookmarkEnd w:id="509"/>
      <w:bookmarkEnd w:id="510"/>
    </w:p>
    <w:p>
      <w:pPr>
        <w:spacing w:line="360" w:lineRule="auto"/>
        <w:ind w:firstLine="480" w:firstLineChars="200"/>
        <w:rPr>
          <w:rFonts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pPr>
        <w:spacing w:line="360" w:lineRule="auto"/>
        <w:ind w:firstLine="482" w:firstLineChars="200"/>
        <w:outlineLvl w:val="0"/>
        <w:rPr>
          <w:rFonts w:ascii="仿宋_GB2312" w:hAnsi="楷体" w:eastAsia="仿宋_GB2312"/>
          <w:b/>
          <w:sz w:val="24"/>
        </w:rPr>
      </w:pPr>
      <w:bookmarkStart w:id="511" w:name="_Toc487900368"/>
      <w:bookmarkStart w:id="512" w:name="_Toc7102"/>
      <w:bookmarkStart w:id="513" w:name="_Toc259093687"/>
      <w:bookmarkStart w:id="514" w:name="_Toc279701258"/>
      <w:bookmarkStart w:id="515" w:name="_Toc16959"/>
      <w:bookmarkStart w:id="516" w:name="_Toc8298"/>
      <w:r>
        <w:rPr>
          <w:rFonts w:hint="eastAsia" w:ascii="仿宋_GB2312" w:hAnsi="楷体" w:eastAsia="仿宋_GB2312"/>
          <w:b/>
          <w:sz w:val="24"/>
        </w:rPr>
        <w:t>2.15 乙方破产</w:t>
      </w:r>
      <w:bookmarkEnd w:id="511"/>
      <w:bookmarkEnd w:id="512"/>
      <w:bookmarkEnd w:id="513"/>
      <w:bookmarkEnd w:id="514"/>
      <w:bookmarkEnd w:id="515"/>
      <w:bookmarkEnd w:id="516"/>
    </w:p>
    <w:p>
      <w:pPr>
        <w:spacing w:line="360" w:lineRule="auto"/>
        <w:ind w:firstLine="480" w:firstLineChars="200"/>
        <w:rPr>
          <w:rFonts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仿宋_GB2312" w:hAnsi="楷体" w:eastAsia="仿宋_GB2312"/>
          <w:b/>
          <w:sz w:val="24"/>
        </w:rPr>
      </w:pPr>
      <w:bookmarkStart w:id="517" w:name="_Toc15387"/>
      <w:bookmarkStart w:id="518" w:name="_Toc6134"/>
      <w:bookmarkStart w:id="519" w:name="_Toc29333"/>
      <w:r>
        <w:rPr>
          <w:rFonts w:hint="eastAsia" w:ascii="仿宋_GB2312" w:hAnsi="楷体" w:eastAsia="仿宋_GB2312"/>
          <w:b/>
          <w:sz w:val="24"/>
        </w:rPr>
        <w:t>2.16 合同中止、终止</w:t>
      </w:r>
      <w:bookmarkEnd w:id="517"/>
      <w:bookmarkEnd w:id="518"/>
      <w:bookmarkEnd w:id="519"/>
    </w:p>
    <w:p>
      <w:pPr>
        <w:spacing w:line="360" w:lineRule="auto"/>
        <w:ind w:firstLine="480" w:firstLineChars="200"/>
        <w:rPr>
          <w:rFonts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sz w:val="24"/>
        </w:rPr>
        <w:t>2.16.2合同继续履行将损害国家利益和社会公共利益的，双方当事人应当中止或者终止合</w:t>
      </w:r>
      <w:r>
        <w:rPr>
          <w:rFonts w:hint="eastAsia" w:ascii="仿宋_GB2312" w:hAnsi="楷体" w:eastAsia="仿宋_GB2312"/>
          <w:color w:val="auto"/>
          <w:sz w:val="24"/>
        </w:rPr>
        <w:t>同。有过错的一方应当承担赔偿责任，双方当事人都有过错的，各自承担相应的责任；</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2.16.3因甲方原因导致变更、中止或终止合同的，甲方应对乙方受到的损失予以赔偿或者补偿。</w:t>
      </w:r>
    </w:p>
    <w:p>
      <w:pPr>
        <w:spacing w:line="360" w:lineRule="auto"/>
        <w:ind w:firstLine="482" w:firstLineChars="200"/>
        <w:outlineLvl w:val="0"/>
        <w:rPr>
          <w:rFonts w:ascii="仿宋_GB2312" w:hAnsi="楷体" w:eastAsia="仿宋_GB2312"/>
          <w:b/>
          <w:sz w:val="24"/>
        </w:rPr>
      </w:pPr>
      <w:bookmarkStart w:id="520" w:name="_Toc1125"/>
      <w:bookmarkStart w:id="521" w:name="_Toc14563"/>
      <w:bookmarkStart w:id="522" w:name="_Toc6596"/>
      <w:r>
        <w:rPr>
          <w:rFonts w:hint="eastAsia" w:ascii="仿宋_GB2312" w:hAnsi="楷体" w:eastAsia="仿宋_GB2312"/>
          <w:b/>
          <w:color w:val="auto"/>
          <w:sz w:val="24"/>
        </w:rPr>
        <w:t xml:space="preserve">2.17 </w:t>
      </w:r>
      <w:r>
        <w:rPr>
          <w:rFonts w:hint="eastAsia" w:ascii="仿宋_GB2312" w:hAnsi="楷体" w:eastAsia="仿宋_GB2312"/>
          <w:b/>
          <w:sz w:val="24"/>
        </w:rPr>
        <w:t>检验和验收</w:t>
      </w:r>
      <w:bookmarkEnd w:id="520"/>
      <w:bookmarkEnd w:id="521"/>
      <w:bookmarkEnd w:id="522"/>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492"/>
    <w:bookmarkEnd w:id="493"/>
    <w:bookmarkEnd w:id="494"/>
    <w:bookmarkEnd w:id="495"/>
    <w:p>
      <w:pPr>
        <w:spacing w:line="360" w:lineRule="auto"/>
        <w:ind w:firstLine="482" w:firstLineChars="200"/>
        <w:outlineLvl w:val="0"/>
        <w:rPr>
          <w:rFonts w:ascii="仿宋_GB2312" w:hAnsi="楷体" w:eastAsia="仿宋_GB2312"/>
          <w:b/>
          <w:sz w:val="24"/>
        </w:rPr>
      </w:pPr>
      <w:bookmarkStart w:id="523" w:name="_Toc279701261"/>
      <w:bookmarkStart w:id="524" w:name="_Toc259093690"/>
      <w:bookmarkStart w:id="525" w:name="_Toc487900371"/>
      <w:bookmarkStart w:id="526" w:name="_Toc25182"/>
      <w:bookmarkStart w:id="527" w:name="_Toc19604"/>
      <w:bookmarkStart w:id="528" w:name="_Toc11284"/>
      <w:r>
        <w:rPr>
          <w:rFonts w:hint="eastAsia" w:ascii="仿宋_GB2312" w:hAnsi="楷体" w:eastAsia="仿宋_GB2312"/>
          <w:b/>
          <w:sz w:val="24"/>
        </w:rPr>
        <w:t>2.18 通知</w:t>
      </w:r>
      <w:bookmarkEnd w:id="523"/>
      <w:bookmarkEnd w:id="524"/>
      <w:bookmarkEnd w:id="525"/>
      <w:r>
        <w:rPr>
          <w:rFonts w:hint="eastAsia" w:ascii="仿宋_GB2312" w:hAnsi="楷体" w:eastAsia="仿宋_GB2312"/>
          <w:b/>
          <w:sz w:val="24"/>
        </w:rPr>
        <w:t>和送达</w:t>
      </w:r>
      <w:bookmarkEnd w:id="526"/>
      <w:bookmarkEnd w:id="527"/>
      <w:bookmarkEnd w:id="528"/>
    </w:p>
    <w:p>
      <w:pPr>
        <w:spacing w:line="360" w:lineRule="auto"/>
        <w:ind w:firstLine="480" w:firstLineChars="200"/>
        <w:rPr>
          <w:rFonts w:ascii="仿宋_GB2312" w:hAnsi="楷体" w:eastAsia="仿宋_GB2312"/>
          <w:color w:val="auto"/>
          <w:sz w:val="24"/>
        </w:rPr>
      </w:pPr>
      <w:bookmarkStart w:id="529" w:name="_Toc6698"/>
      <w:bookmarkStart w:id="530" w:name="_Toc3135"/>
      <w:bookmarkStart w:id="531" w:name="_Toc259093691"/>
      <w:bookmarkStart w:id="532" w:name="_Toc279701262"/>
      <w:bookmarkStart w:id="533" w:name="_Toc487900372"/>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w:t>
      </w:r>
      <w:r>
        <w:rPr>
          <w:rFonts w:hint="eastAsia" w:ascii="仿宋_GB2312" w:hAnsi="楷体" w:eastAsia="仿宋_GB2312"/>
          <w:color w:val="auto"/>
          <w:sz w:val="24"/>
        </w:rPr>
        <w:t>通知、文件、材料，均视为已向对方当事人送达；任何一方变更上述送达方式或者地址的，应于</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个工作日内书面通知对方当事人，在对方当事人收到有关变更通知之前，变更前的约定送达方式或者地址仍视为有效。</w:t>
      </w:r>
      <w:bookmarkEnd w:id="529"/>
      <w:bookmarkEnd w:id="530"/>
    </w:p>
    <w:p>
      <w:pPr>
        <w:spacing w:line="360" w:lineRule="auto"/>
        <w:ind w:firstLine="480" w:firstLineChars="200"/>
        <w:rPr>
          <w:rFonts w:ascii="仿宋_GB2312" w:hAnsi="楷体" w:eastAsia="仿宋_GB2312"/>
          <w:color w:val="auto"/>
          <w:sz w:val="24"/>
        </w:rPr>
      </w:pPr>
      <w:bookmarkStart w:id="534" w:name="_Toc23294"/>
      <w:bookmarkStart w:id="535" w:name="_Toc23128"/>
      <w:r>
        <w:rPr>
          <w:rFonts w:hint="eastAsia" w:ascii="仿宋_GB2312" w:hAnsi="楷体" w:eastAsia="仿宋_GB2312"/>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360" w:lineRule="auto"/>
        <w:ind w:firstLine="482" w:firstLineChars="200"/>
        <w:outlineLvl w:val="0"/>
        <w:rPr>
          <w:rFonts w:ascii="仿宋_GB2312" w:hAnsi="楷体" w:eastAsia="仿宋_GB2312"/>
          <w:b/>
          <w:color w:val="auto"/>
          <w:sz w:val="24"/>
        </w:rPr>
      </w:pPr>
      <w:bookmarkStart w:id="536" w:name="_Toc4355"/>
      <w:bookmarkStart w:id="537" w:name="_Toc30599"/>
      <w:bookmarkStart w:id="538" w:name="_Toc18540"/>
      <w:r>
        <w:rPr>
          <w:rFonts w:hint="eastAsia" w:ascii="仿宋_GB2312" w:hAnsi="楷体" w:eastAsia="仿宋_GB2312"/>
          <w:b/>
          <w:color w:val="auto"/>
          <w:sz w:val="24"/>
        </w:rPr>
        <w:t>2.19 计量单位</w:t>
      </w:r>
      <w:bookmarkEnd w:id="531"/>
      <w:bookmarkEnd w:id="532"/>
      <w:bookmarkEnd w:id="533"/>
      <w:bookmarkEnd w:id="536"/>
      <w:bookmarkEnd w:id="537"/>
      <w:bookmarkEnd w:id="538"/>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除技术规范中另有规定外,合同的计量单位均使用国家法定计量单位。</w:t>
      </w:r>
    </w:p>
    <w:p>
      <w:pPr>
        <w:spacing w:line="360" w:lineRule="auto"/>
        <w:ind w:firstLine="482" w:firstLineChars="200"/>
        <w:outlineLvl w:val="0"/>
        <w:rPr>
          <w:rFonts w:ascii="仿宋_GB2312" w:hAnsi="楷体" w:eastAsia="仿宋_GB2312"/>
          <w:b/>
          <w:color w:val="auto"/>
          <w:sz w:val="24"/>
        </w:rPr>
      </w:pPr>
      <w:bookmarkStart w:id="539" w:name="_Toc18567"/>
      <w:bookmarkStart w:id="540" w:name="_Toc259093692"/>
      <w:bookmarkStart w:id="541" w:name="_Toc10330"/>
      <w:bookmarkStart w:id="542" w:name="_Toc279701263"/>
      <w:bookmarkStart w:id="543" w:name="_Toc487900373"/>
      <w:bookmarkStart w:id="544" w:name="_Toc12773"/>
      <w:r>
        <w:rPr>
          <w:rFonts w:hint="eastAsia" w:ascii="仿宋_GB2312" w:hAnsi="楷体" w:eastAsia="仿宋_GB2312"/>
          <w:b/>
          <w:color w:val="auto"/>
          <w:sz w:val="24"/>
        </w:rPr>
        <w:t>2.20 合同使用的文字和适用的法律</w:t>
      </w:r>
      <w:bookmarkEnd w:id="539"/>
      <w:bookmarkEnd w:id="540"/>
      <w:bookmarkEnd w:id="541"/>
      <w:bookmarkEnd w:id="542"/>
      <w:bookmarkEnd w:id="543"/>
      <w:bookmarkEnd w:id="544"/>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2.20.1 合同使用汉语书就、变更和解释；</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2.20.2 合同适用中华人民共和国法律。</w:t>
      </w:r>
    </w:p>
    <w:p>
      <w:pPr>
        <w:spacing w:line="360" w:lineRule="auto"/>
        <w:ind w:firstLine="482" w:firstLineChars="200"/>
        <w:outlineLvl w:val="0"/>
        <w:rPr>
          <w:rFonts w:ascii="仿宋_GB2312" w:hAnsi="楷体" w:eastAsia="仿宋_GB2312"/>
          <w:b/>
          <w:color w:val="auto"/>
          <w:sz w:val="24"/>
        </w:rPr>
      </w:pPr>
      <w:bookmarkStart w:id="545" w:name="_Toc279701264"/>
      <w:bookmarkStart w:id="546" w:name="_Toc16673"/>
      <w:bookmarkStart w:id="547" w:name="_Toc259093693"/>
      <w:bookmarkStart w:id="548" w:name="_Toc12004"/>
      <w:bookmarkStart w:id="549" w:name="_Toc3148"/>
      <w:bookmarkStart w:id="550" w:name="_Toc487900374"/>
      <w:r>
        <w:rPr>
          <w:rFonts w:hint="eastAsia" w:ascii="仿宋_GB2312" w:hAnsi="楷体" w:eastAsia="仿宋_GB2312"/>
          <w:b/>
          <w:color w:val="auto"/>
          <w:sz w:val="24"/>
        </w:rPr>
        <w:t>2.21 履约保证金</w:t>
      </w:r>
      <w:bookmarkEnd w:id="545"/>
      <w:bookmarkEnd w:id="546"/>
      <w:bookmarkEnd w:id="547"/>
      <w:bookmarkEnd w:id="548"/>
      <w:bookmarkEnd w:id="549"/>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2.21.1 采购文件要求乙方提交履约保证金的，乙方</w:t>
      </w:r>
      <w:r>
        <w:rPr>
          <w:rFonts w:hint="eastAsia" w:ascii="仿宋_GB2312" w:hAnsi="仿宋" w:eastAsia="仿宋_GB2312"/>
          <w:color w:val="auto"/>
          <w:kern w:val="0"/>
          <w:sz w:val="24"/>
          <w:lang w:val="zh-CN"/>
        </w:rPr>
        <w:t>应在合同签订后3个工作日内</w:t>
      </w:r>
      <w:r>
        <w:rPr>
          <w:rFonts w:hint="eastAsia" w:ascii="仿宋_GB2312" w:hAnsi="楷体" w:eastAsia="仿宋_GB2312"/>
          <w:color w:val="auto"/>
          <w:sz w:val="24"/>
        </w:rPr>
        <w:t>，以支票、汇票、本票或者金融机构、担保机构出具的保函等非现金形式，提交合同价</w:t>
      </w:r>
      <w:r>
        <w:rPr>
          <w:rFonts w:hint="eastAsia" w:ascii="仿宋_GB2312" w:hAnsi="楷体" w:eastAsia="仿宋_GB2312"/>
          <w:color w:val="auto"/>
          <w:sz w:val="24"/>
          <w:u w:val="single"/>
        </w:rPr>
        <w:t xml:space="preserve"> </w:t>
      </w:r>
      <w:r>
        <w:rPr>
          <w:rFonts w:hint="eastAsia" w:ascii="仿宋_GB2312" w:hAnsi="楷体" w:eastAsia="仿宋_GB2312"/>
          <w:color w:val="auto"/>
          <w:sz w:val="24"/>
          <w:u w:val="single"/>
          <w:lang w:val="en-US" w:eastAsia="zh-CN"/>
        </w:rPr>
        <w:t xml:space="preserve"> </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%（不超过10%）的履约保证金；</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2.21.2  履约保证金在</w:t>
      </w:r>
      <w:r>
        <w:rPr>
          <w:rFonts w:hint="eastAsia" w:ascii="仿宋_GB2312" w:hAnsi="楷体" w:eastAsia="仿宋_GB2312"/>
          <w:color w:val="auto"/>
          <w:sz w:val="24"/>
          <w:u w:val="single"/>
        </w:rPr>
        <w:t>合同有效期</w:t>
      </w:r>
      <w:r>
        <w:rPr>
          <w:rFonts w:hint="eastAsia" w:ascii="仿宋_GB2312" w:hAnsi="楷体" w:eastAsia="仿宋_GB2312"/>
          <w:color w:val="auto"/>
          <w:sz w:val="24"/>
        </w:rPr>
        <w:t>内或者标的物质量保证期内不予退还或者应完全有效，前述约定期间届满或者标的物质量保证期届满之日起</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个工作日内，甲方应将履约保证金退还乙方；</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50"/>
    <w:p>
      <w:pPr>
        <w:spacing w:line="360" w:lineRule="auto"/>
        <w:ind w:firstLine="482" w:firstLineChars="200"/>
        <w:outlineLvl w:val="0"/>
        <w:rPr>
          <w:rFonts w:ascii="仿宋_GB2312" w:hAnsi="楷体" w:eastAsia="仿宋_GB2312"/>
          <w:b/>
          <w:sz w:val="24"/>
        </w:rPr>
      </w:pPr>
      <w:bookmarkStart w:id="551" w:name="_Toc6885"/>
      <w:bookmarkStart w:id="552" w:name="_Toc14001"/>
      <w:bookmarkStart w:id="553" w:name="_Toc19890"/>
      <w:r>
        <w:rPr>
          <w:rFonts w:hint="eastAsia" w:ascii="仿宋_GB2312" w:hAnsi="楷体" w:eastAsia="仿宋_GB2312"/>
          <w:b/>
          <w:sz w:val="24"/>
        </w:rPr>
        <w:t>2.22 合同份数</w:t>
      </w:r>
      <w:bookmarkEnd w:id="551"/>
      <w:bookmarkEnd w:id="552"/>
      <w:bookmarkEnd w:id="553"/>
    </w:p>
    <w:p>
      <w:pPr>
        <w:spacing w:line="360" w:lineRule="auto"/>
        <w:ind w:firstLine="480" w:firstLineChars="200"/>
        <w:rPr>
          <w:rFonts w:ascii="仿宋_GB2312" w:hAnsi="楷体" w:eastAsia="仿宋_GB2312"/>
          <w:sz w:val="24"/>
        </w:rPr>
      </w:pP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宋体" w:eastAsia="仿宋_GB2312"/>
          <w:sz w:val="24"/>
        </w:rPr>
        <w:t>份，乙方执</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pPr>
        <w:pStyle w:val="330"/>
        <w:jc w:val="center"/>
        <w:rPr>
          <w:rFonts w:ascii="仿宋_GB2312" w:hAnsi="楷体" w:eastAsia="仿宋_GB2312"/>
          <w:b/>
          <w:szCs w:val="24"/>
        </w:rPr>
      </w:pPr>
      <w:r>
        <w:rPr>
          <w:rFonts w:hint="eastAsia" w:ascii="仿宋_GB2312" w:hAnsi="楷体" w:eastAsia="仿宋_GB2312"/>
          <w:szCs w:val="24"/>
        </w:rPr>
        <w:br w:type="page"/>
      </w:r>
      <w:bookmarkStart w:id="554" w:name="_Toc331685784"/>
      <w:r>
        <w:rPr>
          <w:rFonts w:hint="eastAsia" w:ascii="仿宋_GB2312" w:hAnsi="楷体" w:eastAsia="仿宋_GB2312"/>
          <w:b/>
          <w:szCs w:val="24"/>
        </w:rPr>
        <w:t xml:space="preserve">第三部分  </w:t>
      </w:r>
      <w:r>
        <w:rPr>
          <w:rFonts w:hint="eastAsia" w:ascii="仿宋_GB2312" w:hAnsi="仿宋" w:eastAsia="仿宋_GB2312"/>
          <w:b/>
          <w:color w:val="000000"/>
        </w:rPr>
        <w:t>※</w:t>
      </w:r>
      <w:r>
        <w:rPr>
          <w:rFonts w:hint="eastAsia" w:ascii="仿宋_GB2312" w:hAnsi="楷体" w:eastAsia="仿宋_GB2312"/>
          <w:b/>
          <w:szCs w:val="24"/>
        </w:rPr>
        <w:t>合同专用条款</w:t>
      </w:r>
      <w:bookmarkEnd w:id="554"/>
    </w:p>
    <w:p>
      <w:pPr>
        <w:spacing w:line="360" w:lineRule="auto"/>
        <w:ind w:firstLine="480" w:firstLineChars="200"/>
        <w:rPr>
          <w:rFonts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499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65"/>
        <w:gridCol w:w="82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74" w:type="pct"/>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4525" w:type="pct"/>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top w:val="single" w:color="auto" w:sz="6" w:space="0"/>
              <w:left w:val="single" w:color="auto" w:sz="4" w:space="0"/>
              <w:bottom w:val="single" w:color="auto" w:sz="6" w:space="0"/>
              <w:right w:val="single" w:color="auto" w:sz="6" w:space="0"/>
            </w:tcBorders>
            <w:vAlign w:val="center"/>
          </w:tcPr>
          <w:p>
            <w:pPr>
              <w:spacing w:line="360" w:lineRule="auto"/>
              <w:rPr>
                <w:rFonts w:ascii="仿宋_GB2312" w:hAnsi="楷体" w:eastAsia="仿宋_GB2312"/>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top w:val="single" w:color="auto" w:sz="6" w:space="0"/>
              <w:left w:val="single" w:color="auto" w:sz="4" w:space="0"/>
              <w:bottom w:val="single" w:color="auto" w:sz="6" w:space="0"/>
              <w:right w:val="single" w:color="auto" w:sz="6" w:space="0"/>
            </w:tcBorders>
            <w:vAlign w:val="center"/>
          </w:tcPr>
          <w:p>
            <w:pPr>
              <w:spacing w:line="360" w:lineRule="auto"/>
              <w:rPr>
                <w:rFonts w:ascii="仿宋_GB2312" w:hAnsi="楷体" w:eastAsia="仿宋_GB2312"/>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360" w:lineRule="auto"/>
              <w:rPr>
                <w:rFonts w:ascii="仿宋_GB2312" w:hAnsi="楷体" w:eastAsia="仿宋_GB2312"/>
                <w:sz w:val="24"/>
              </w:rPr>
            </w:pPr>
          </w:p>
        </w:tc>
      </w:tr>
    </w:tbl>
    <w:p>
      <w:pPr>
        <w:widowControl/>
        <w:jc w:val="left"/>
        <w:rPr>
          <w:rFonts w:ascii="仿宋_GB2312" w:hAnsi="仿宋_GB2312" w:eastAsia="仿宋_GB2312" w:cs="仿宋_GB2312"/>
          <w:b/>
          <w:sz w:val="24"/>
        </w:rPr>
      </w:pPr>
    </w:p>
    <w:p>
      <w:pPr>
        <w:widowControl/>
        <w:jc w:val="left"/>
        <w:rPr>
          <w:rFonts w:ascii="仿宋_GB2312" w:hAnsi="仿宋_GB2312" w:eastAsia="仿宋_GB2312" w:cs="仿宋_GB2312"/>
          <w:b/>
          <w:sz w:val="24"/>
        </w:rPr>
      </w:pPr>
    </w:p>
    <w:p>
      <w:pPr>
        <w:widowControl/>
        <w:jc w:val="left"/>
        <w:rPr>
          <w:rFonts w:ascii="仿宋_GB2312" w:hAnsi="仿宋_GB2312" w:eastAsia="仿宋_GB2312" w:cs="仿宋_GB2312"/>
          <w:b/>
          <w:sz w:val="36"/>
          <w:szCs w:val="20"/>
        </w:rPr>
      </w:pPr>
      <w:r>
        <w:rPr>
          <w:rFonts w:hint="eastAsia" w:ascii="仿宋_GB2312" w:hAnsi="仿宋_GB2312" w:eastAsia="仿宋_GB2312" w:cs="仿宋_GB2312"/>
          <w:b/>
          <w:sz w:val="36"/>
          <w:szCs w:val="20"/>
        </w:rPr>
        <w:br w:type="page"/>
      </w:r>
    </w:p>
    <w:p>
      <w:pPr>
        <w:widowControl/>
        <w:ind w:firstLine="1446" w:firstLineChars="400"/>
        <w:jc w:val="center"/>
        <w:rPr>
          <w:rFonts w:ascii="仿宋_GB2312" w:hAnsi="仿宋" w:eastAsia="仿宋_GB2312" w:cs="仿宋_GB2312"/>
          <w:b/>
          <w:sz w:val="36"/>
          <w:szCs w:val="20"/>
        </w:rPr>
      </w:pPr>
      <w:r>
        <w:rPr>
          <w:rFonts w:hint="eastAsia" w:ascii="仿宋_GB2312" w:hAnsi="仿宋" w:eastAsia="仿宋_GB2312" w:cs="仿宋_GB2312"/>
          <w:b/>
          <w:sz w:val="36"/>
          <w:szCs w:val="20"/>
        </w:rPr>
        <w:t>第六部分</w:t>
      </w:r>
      <w:bookmarkEnd w:id="393"/>
      <w:r>
        <w:rPr>
          <w:rFonts w:hint="eastAsia" w:ascii="仿宋_GB2312" w:hAnsi="仿宋" w:eastAsia="仿宋_GB2312" w:cs="仿宋_GB2312"/>
          <w:b/>
          <w:sz w:val="36"/>
          <w:szCs w:val="20"/>
        </w:rPr>
        <w:t xml:space="preserve"> </w:t>
      </w:r>
      <w:bookmarkEnd w:id="394"/>
      <w:r>
        <w:rPr>
          <w:rFonts w:hint="eastAsia" w:ascii="仿宋_GB2312" w:hAnsi="仿宋" w:eastAsia="仿宋_GB2312" w:cs="仿宋_GB2312"/>
          <w:b/>
          <w:sz w:val="36"/>
          <w:szCs w:val="20"/>
        </w:rPr>
        <w:t>应提交的有关格式范例</w:t>
      </w:r>
    </w:p>
    <w:p>
      <w:pPr>
        <w:adjustRightInd w:val="0"/>
        <w:spacing w:line="360" w:lineRule="auto"/>
        <w:ind w:firstLine="480" w:firstLineChars="200"/>
        <w:outlineLvl w:val="0"/>
        <w:rPr>
          <w:rFonts w:ascii="仿宋_GB2312" w:hAnsi="仿宋" w:eastAsia="仿宋_GB2312" w:cs="仿宋_GB2312"/>
          <w:sz w:val="24"/>
          <w:szCs w:val="24"/>
        </w:rPr>
      </w:pPr>
      <w:r>
        <w:rPr>
          <w:rFonts w:hint="eastAsia" w:ascii="仿宋_GB2312" w:hAnsi="仿宋" w:eastAsia="仿宋_GB2312" w:cs="仿宋_GB2312"/>
          <w:sz w:val="24"/>
          <w:szCs w:val="24"/>
        </w:rPr>
        <w:t>投标人按照以下格式编制投标文件。</w:t>
      </w:r>
    </w:p>
    <w:p>
      <w:pPr>
        <w:adjustRightInd w:val="0"/>
        <w:spacing w:line="360" w:lineRule="auto"/>
        <w:jc w:val="center"/>
        <w:outlineLvl w:val="0"/>
        <w:rPr>
          <w:rFonts w:ascii="仿宋_GB2312" w:hAnsi="仿宋" w:eastAsia="仿宋_GB2312" w:cs="仿宋_GB2312"/>
          <w:sz w:val="36"/>
          <w:szCs w:val="36"/>
          <w:lang w:val="zh-CN"/>
        </w:rPr>
      </w:pPr>
    </w:p>
    <w:p>
      <w:pPr>
        <w:adjustRightInd w:val="0"/>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sz w:val="36"/>
          <w:szCs w:val="36"/>
          <w:lang w:val="zh-CN"/>
        </w:rPr>
        <w:t xml:space="preserve"> </w:t>
      </w:r>
      <w:r>
        <w:rPr>
          <w:rFonts w:hint="eastAsia" w:ascii="仿宋_GB2312" w:hAnsi="仿宋" w:eastAsia="仿宋_GB2312" w:cs="仿宋_GB2312"/>
          <w:b/>
          <w:kern w:val="0"/>
          <w:sz w:val="36"/>
          <w:szCs w:val="36"/>
        </w:rPr>
        <w:t>资格文件部分</w:t>
      </w:r>
    </w:p>
    <w:p>
      <w:pPr>
        <w:adjustRightInd w:val="0"/>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adjustRightInd w:val="0"/>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（1）</w:t>
      </w:r>
      <w:r>
        <w:rPr>
          <w:rFonts w:hint="eastAsia" w:ascii="仿宋_GB2312" w:hAnsi="仿宋" w:eastAsia="仿宋_GB2312" w:cs="Times New Roman"/>
          <w:sz w:val="24"/>
          <w:szCs w:val="24"/>
        </w:rPr>
        <w:t>营业执照(或事业法人登记证或其他工商等登记证明材料)复印件（投标人为自然人的，须提供</w:t>
      </w:r>
      <w:r>
        <w:rPr>
          <w:rFonts w:hint="eastAsia" w:ascii="仿宋_GB2312" w:hAnsi="仿宋" w:eastAsia="仿宋_GB2312" w:cs="Helvetica"/>
          <w:kern w:val="0"/>
          <w:sz w:val="24"/>
          <w:szCs w:val="24"/>
        </w:rPr>
        <w:t>自然人的身份证明</w:t>
      </w:r>
      <w:r>
        <w:rPr>
          <w:rFonts w:hint="eastAsia" w:ascii="仿宋_GB2312" w:hAnsi="仿宋" w:eastAsia="仿宋_GB2312" w:cs="Times New Roman"/>
          <w:sz w:val="24"/>
          <w:szCs w:val="24"/>
        </w:rPr>
        <w:t>）</w:t>
      </w:r>
      <w:r>
        <w:rPr>
          <w:rFonts w:hint="eastAsia" w:ascii="仿宋_GB2312" w:hAnsi="仿宋" w:eastAsia="仿宋_GB2312" w:cs="仿宋_GB2312"/>
          <w:kern w:val="0"/>
          <w:sz w:val="24"/>
          <w:szCs w:val="24"/>
        </w:rPr>
        <w:t>…………………………………………………（页码）</w:t>
      </w:r>
    </w:p>
    <w:p>
      <w:pPr>
        <w:snapToGrid w:val="0"/>
        <w:spacing w:line="360" w:lineRule="auto"/>
        <w:rPr>
          <w:rFonts w:ascii="仿宋_GB2312" w:hAnsi="仿宋" w:eastAsia="仿宋_GB2312"/>
          <w:sz w:val="24"/>
        </w:rPr>
      </w:pPr>
      <w:r>
        <w:rPr>
          <w:rFonts w:hint="eastAsia" w:ascii="仿宋_GB2312" w:hAnsi="仿宋" w:eastAsia="仿宋_GB2312" w:cs="仿宋_GB2312"/>
          <w:kern w:val="0"/>
          <w:sz w:val="24"/>
        </w:rPr>
        <w:t>（2）授权书 …</w:t>
      </w:r>
      <w:r>
        <w:rPr>
          <w:rFonts w:hint="eastAsia" w:ascii="仿宋_GB2312" w:hAnsi="仿宋" w:eastAsia="仿宋_GB2312"/>
          <w:sz w:val="24"/>
        </w:rPr>
        <w:t>…………………………………………………………………………（页码）</w:t>
      </w:r>
    </w:p>
    <w:p>
      <w:pPr>
        <w:snapToGrid w:val="0"/>
        <w:spacing w:line="360" w:lineRule="auto"/>
        <w:rPr>
          <w:rFonts w:ascii="仿宋_GB2312" w:hAnsi="仿宋" w:eastAsia="仿宋_GB2312"/>
          <w:sz w:val="24"/>
        </w:rPr>
      </w:pPr>
      <w:r>
        <w:rPr>
          <w:rFonts w:hint="eastAsia" w:ascii="仿宋_GB2312" w:hAnsi="仿宋" w:eastAsia="仿宋_GB2312"/>
          <w:sz w:val="24"/>
        </w:rPr>
        <w:t>（3）法定代表人及其授权代表的身份证（复印件）………………………………（页码）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kern w:val="0"/>
          <w:sz w:val="24"/>
        </w:rPr>
        <w:t>（4）符合参与政府采购活动的资格条件并且没有税收缴纳、社会保障等方面的失信记录的承诺函</w:t>
      </w:r>
      <w:r>
        <w:rPr>
          <w:rFonts w:hint="eastAsia" w:ascii="仿宋_GB2312" w:hAnsi="仿宋" w:eastAsia="仿宋_GB2312"/>
          <w:sz w:val="24"/>
        </w:rPr>
        <w:t>……………………………………………………………………………</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（5）具有履行合同所必需的设备和专业技术能力的承诺函………………………（页码）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（6）参加政府采购活动前三年内，在经营活动中没有重大违法记录的声明</w:t>
      </w:r>
      <w:r>
        <w:rPr>
          <w:rFonts w:hint="eastAsia" w:ascii="仿宋_GB2312" w:hAnsi="仿宋" w:eastAsia="仿宋_GB2312" w:cs="仿宋_GB2312"/>
          <w:kern w:val="0"/>
          <w:sz w:val="24"/>
        </w:rPr>
        <w:t xml:space="preserve">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（7）具有良好商业信誉特别声明</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（8）符合特定资格条件（如果项目要求）的有关证明材料（复印件）…………（页码）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9</w:t>
      </w:r>
      <w:r>
        <w:rPr>
          <w:rFonts w:hint="eastAsia" w:ascii="仿宋_GB2312" w:hAnsi="仿宋" w:eastAsia="仿宋_GB2312" w:cs="仿宋_GB2312"/>
          <w:kern w:val="0"/>
          <w:sz w:val="24"/>
        </w:rPr>
        <w:t>）以联合体形式投标的，提供联合体协议；本项目不接受联合体投标或者投标人不以联合体形式投标的，则不需要提供…………………………………………………（页码）</w:t>
      </w:r>
    </w:p>
    <w:p>
      <w:pPr>
        <w:adjustRightInd w:val="0"/>
        <w:spacing w:line="360" w:lineRule="auto"/>
        <w:rPr>
          <w:rFonts w:ascii="仿宋_GB2312" w:hAnsi="仿宋" w:eastAsia="仿宋_GB2312" w:cs="Times New Roman"/>
          <w:sz w:val="24"/>
          <w:szCs w:val="24"/>
        </w:rPr>
      </w:pPr>
    </w:p>
    <w:p>
      <w:pPr>
        <w:pStyle w:val="2"/>
        <w:rPr>
          <w:rFonts w:ascii="仿宋_GB2312" w:hAnsi="仿宋" w:eastAsia="仿宋_GB2312" w:cs="Times New Roman"/>
          <w:sz w:val="24"/>
          <w:szCs w:val="24"/>
        </w:rPr>
      </w:pPr>
    </w:p>
    <w:p>
      <w:pPr>
        <w:pStyle w:val="3"/>
        <w:rPr>
          <w:rFonts w:ascii="仿宋_GB2312" w:hAnsi="仿宋" w:eastAsia="仿宋_GB2312" w:cs="Times New Roman"/>
          <w:sz w:val="24"/>
          <w:szCs w:val="24"/>
        </w:rPr>
      </w:pPr>
    </w:p>
    <w:p>
      <w:pPr>
        <w:pStyle w:val="3"/>
        <w:rPr>
          <w:rFonts w:ascii="仿宋_GB2312" w:hAnsi="仿宋" w:eastAsia="仿宋_GB2312" w:cs="Times New Roman"/>
          <w:sz w:val="24"/>
          <w:szCs w:val="24"/>
        </w:rPr>
      </w:pPr>
    </w:p>
    <w:p>
      <w:pPr>
        <w:pStyle w:val="3"/>
        <w:rPr>
          <w:rFonts w:ascii="仿宋_GB2312" w:hAnsi="仿宋" w:eastAsia="仿宋_GB2312" w:cs="Times New Roman"/>
          <w:sz w:val="24"/>
          <w:szCs w:val="24"/>
        </w:rPr>
      </w:pPr>
    </w:p>
    <w:p>
      <w:pPr>
        <w:pStyle w:val="3"/>
        <w:rPr>
          <w:rFonts w:ascii="仿宋_GB2312" w:hAnsi="仿宋" w:eastAsia="仿宋_GB2312" w:cs="Times New Roman"/>
          <w:sz w:val="24"/>
          <w:szCs w:val="24"/>
        </w:rPr>
      </w:pPr>
    </w:p>
    <w:p>
      <w:pPr>
        <w:pStyle w:val="3"/>
        <w:rPr>
          <w:rFonts w:ascii="仿宋_GB2312" w:hAnsi="仿宋" w:eastAsia="仿宋_GB2312" w:cs="Times New Roman"/>
          <w:sz w:val="24"/>
          <w:szCs w:val="24"/>
        </w:rPr>
      </w:pPr>
    </w:p>
    <w:p>
      <w:pPr>
        <w:pStyle w:val="3"/>
        <w:rPr>
          <w:rFonts w:ascii="仿宋_GB2312" w:hAnsi="仿宋" w:eastAsia="仿宋_GB2312" w:cs="Times New Roman"/>
          <w:sz w:val="24"/>
          <w:szCs w:val="24"/>
        </w:rPr>
      </w:pPr>
    </w:p>
    <w:p>
      <w:pPr>
        <w:adjustRightInd w:val="0"/>
        <w:snapToGrid w:val="0"/>
        <w:spacing w:line="360" w:lineRule="auto"/>
        <w:rPr>
          <w:rFonts w:ascii="仿宋_GB2312" w:hAnsi="仿宋" w:eastAsia="仿宋_GB2312" w:cs="仿宋_GB2312"/>
          <w:b/>
          <w:kern w:val="0"/>
          <w:sz w:val="32"/>
          <w:szCs w:val="32"/>
          <w:lang w:val="zh-CN"/>
        </w:rPr>
      </w:pPr>
    </w:p>
    <w:p>
      <w:pPr>
        <w:adjustRightInd w:val="0"/>
        <w:snapToGrid w:val="0"/>
        <w:spacing w:line="360" w:lineRule="auto"/>
        <w:jc w:val="left"/>
        <w:rPr>
          <w:rFonts w:ascii="仿宋_GB2312" w:hAnsi="仿宋" w:eastAsia="仿宋_GB2312" w:cs="仿宋_GB2312"/>
          <w:b/>
          <w:sz w:val="30"/>
          <w:szCs w:val="30"/>
        </w:rPr>
      </w:pPr>
      <w:r>
        <w:rPr>
          <w:rFonts w:hint="eastAsia" w:ascii="仿宋_GB2312" w:hAnsi="仿宋" w:eastAsia="仿宋_GB2312" w:cs="仿宋_GB2312"/>
          <w:b/>
          <w:kern w:val="0"/>
          <w:sz w:val="32"/>
          <w:szCs w:val="32"/>
          <w:lang w:val="zh-CN"/>
        </w:rPr>
        <w:t>一、</w:t>
      </w:r>
      <w:r>
        <w:rPr>
          <w:rFonts w:hint="eastAsia" w:ascii="仿宋_GB2312" w:hAnsi="仿宋" w:eastAsia="仿宋_GB2312" w:cs="仿宋_GB2312"/>
          <w:b/>
          <w:sz w:val="30"/>
          <w:szCs w:val="30"/>
        </w:rPr>
        <w:t>营业执照或事业法人登记证证明材料（复印件）</w:t>
      </w:r>
    </w:p>
    <w:p>
      <w:pPr>
        <w:adjustRightInd w:val="0"/>
        <w:spacing w:line="360" w:lineRule="auto"/>
        <w:jc w:val="center"/>
        <w:rPr>
          <w:rFonts w:ascii="仿宋_GB2312" w:hAnsi="仿宋" w:eastAsia="仿宋_GB2312" w:cs="仿宋_GB2312"/>
          <w:b/>
          <w:sz w:val="30"/>
          <w:szCs w:val="30"/>
        </w:rPr>
      </w:pPr>
    </w:p>
    <w:p>
      <w:pPr>
        <w:adjustRightInd w:val="0"/>
        <w:snapToGrid w:val="0"/>
        <w:spacing w:line="360" w:lineRule="auto"/>
        <w:ind w:firstLine="576"/>
        <w:jc w:val="center"/>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 xml:space="preserve">               投标人名称(电子签名)：                              </w:t>
      </w:r>
    </w:p>
    <w:p>
      <w:pPr>
        <w:adjustRightInd w:val="0"/>
        <w:spacing w:line="360" w:lineRule="auto"/>
        <w:jc w:val="center"/>
        <w:rPr>
          <w:rFonts w:ascii="仿宋_GB2312" w:hAnsi="仿宋" w:eastAsia="仿宋_GB2312" w:cs="仿宋_GB2312"/>
          <w:b/>
          <w:sz w:val="30"/>
          <w:szCs w:val="30"/>
        </w:rPr>
      </w:pPr>
      <w:r>
        <w:rPr>
          <w:rFonts w:hint="eastAsia" w:ascii="仿宋_GB2312" w:hAnsi="仿宋" w:eastAsia="仿宋_GB2312" w:cs="仿宋_GB2312"/>
          <w:kern w:val="0"/>
          <w:sz w:val="24"/>
          <w:szCs w:val="24"/>
          <w:lang w:val="zh-CN"/>
        </w:rPr>
        <w:t xml:space="preserve">                   日期：  年  月   日</w:t>
      </w:r>
    </w:p>
    <w:p>
      <w:pPr>
        <w:spacing w:line="360" w:lineRule="auto"/>
        <w:jc w:val="center"/>
        <w:rPr>
          <w:rFonts w:ascii="仿宋_GB2312" w:hAnsi="仿宋" w:eastAsia="仿宋_GB2312" w:cs="仿宋_GB2312"/>
          <w:b/>
          <w:sz w:val="30"/>
          <w:szCs w:val="30"/>
        </w:rPr>
      </w:pPr>
    </w:p>
    <w:p>
      <w:pPr>
        <w:pStyle w:val="78"/>
        <w:rPr>
          <w:rFonts w:ascii="仿宋_GB2312" w:hAnsi="仿宋" w:eastAsia="仿宋_GB2312" w:cs="仿宋_GB2312"/>
          <w:b/>
          <w:sz w:val="30"/>
          <w:szCs w:val="30"/>
        </w:rPr>
      </w:pPr>
    </w:p>
    <w:p>
      <w:pPr>
        <w:pStyle w:val="78"/>
        <w:rPr>
          <w:rFonts w:ascii="仿宋_GB2312" w:hAnsi="仿宋" w:eastAsia="仿宋_GB2312" w:cs="仿宋_GB2312"/>
          <w:b/>
          <w:sz w:val="30"/>
          <w:szCs w:val="30"/>
        </w:rPr>
      </w:pPr>
    </w:p>
    <w:p>
      <w:pPr>
        <w:pStyle w:val="78"/>
        <w:rPr>
          <w:rFonts w:ascii="仿宋_GB2312" w:hAnsi="仿宋" w:eastAsia="仿宋_GB2312" w:cs="仿宋_GB2312"/>
          <w:b/>
          <w:sz w:val="30"/>
          <w:szCs w:val="30"/>
        </w:rPr>
      </w:pPr>
    </w:p>
    <w:p>
      <w:pPr>
        <w:snapToGrid w:val="0"/>
        <w:spacing w:line="360" w:lineRule="auto"/>
        <w:ind w:firstLine="2570" w:firstLineChars="800"/>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二、法人授权书</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临安分</w:t>
      </w:r>
      <w:r>
        <w:rPr>
          <w:rFonts w:hint="eastAsia" w:ascii="仿宋_GB2312" w:hAnsi="仿宋" w:eastAsia="仿宋_GB2312" w:cs="仿宋_GB2312"/>
          <w:sz w:val="24"/>
        </w:rPr>
        <w:t>中心</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lang w:val="zh-CN"/>
        </w:rPr>
        <w:t>兹委派我公司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先生/女士(其在本公司的职务是：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)，代表我公司全权处理</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】政府采购投标的一切事项，若中标则全权代表本公司签订相关合同，并负责处理合同履行等事宜。</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本授权书有效期：自   年 月  日起至  年  月  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特此告知。</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w:t>
      </w:r>
      <w:r>
        <w:rPr>
          <w:rFonts w:hint="eastAsia" w:ascii="仿宋_GB2312" w:hAnsi="仿宋" w:eastAsia="仿宋_GB2312" w:cs="仿宋_GB2312"/>
          <w:kern w:val="0"/>
          <w:sz w:val="24"/>
          <w:lang w:val="en-US" w:eastAsia="zh-CN"/>
        </w:rPr>
        <w:t xml:space="preserve">  法定代表人（签章）</w:t>
      </w:r>
      <w:r>
        <w:rPr>
          <w:rFonts w:hint="eastAsia" w:ascii="仿宋_GB2312" w:hAnsi="仿宋" w:eastAsia="仿宋_GB2312" w:cs="仿宋_GB2312"/>
          <w:kern w:val="0"/>
          <w:sz w:val="24"/>
          <w:lang w:val="zh-CN"/>
        </w:rPr>
        <w:t>：</w:t>
      </w:r>
    </w:p>
    <w:p>
      <w:pPr>
        <w:snapToGrid w:val="0"/>
        <w:spacing w:line="360" w:lineRule="auto"/>
        <w:ind w:right="240"/>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签发日期：  年  月   日</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snapToGrid w:val="0"/>
        <w:spacing w:line="360" w:lineRule="auto"/>
        <w:jc w:val="center"/>
        <w:rPr>
          <w:rFonts w:hint="eastAsia"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 xml:space="preserve"> 联合体投标授权书（适用联合体投标）</w:t>
      </w:r>
    </w:p>
    <w:p>
      <w:pPr>
        <w:snapToGrid w:val="0"/>
        <w:spacing w:line="360" w:lineRule="auto"/>
        <w:ind w:firstLine="576"/>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兹委派</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先生/女士(其在该公司的职务是：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先生/女士(其在该公司的职务是：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)；……，代表本联合体全权处理</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】政府采购投标的一切事项，若中标则全权代表本联合体签订相关合同，并负责处理合同履行等事宜。</w:t>
      </w:r>
    </w:p>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本授权书有效期：自   年 月  日起至  年  月  日止。</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 xml:space="preserve">    特此告知。</w:t>
      </w:r>
    </w:p>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单位：            （电子签名）         单位：          （电子签名）</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             日期：    年   月   日</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pPr>
        <w:spacing w:line="360" w:lineRule="auto"/>
        <w:rPr>
          <w:rFonts w:hint="eastAsia" w:ascii="仿宋_GB2312" w:hAnsi="仿宋" w:eastAsia="仿宋_GB2312" w:cs="仿宋_GB2312"/>
          <w:sz w:val="28"/>
          <w:szCs w:val="28"/>
        </w:rPr>
      </w:pPr>
    </w:p>
    <w:p>
      <w:pPr>
        <w:spacing w:line="360" w:lineRule="auto"/>
        <w:rPr>
          <w:rFonts w:hint="eastAsia" w:ascii="仿宋_GB2312" w:hAnsi="仿宋" w:eastAsia="仿宋_GB2312" w:cs="仿宋_GB2312"/>
          <w:sz w:val="28"/>
          <w:szCs w:val="28"/>
        </w:rPr>
      </w:pP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b/>
          <w:bCs/>
          <w:sz w:val="30"/>
          <w:szCs w:val="30"/>
        </w:rPr>
        <w:br w:type="page"/>
      </w:r>
      <w:r>
        <w:rPr>
          <w:rFonts w:hint="eastAsia" w:ascii="仿宋_GB2312" w:hAnsi="仿宋" w:eastAsia="仿宋_GB2312" w:cs="仿宋_GB2312"/>
          <w:b/>
          <w:bCs/>
          <w:sz w:val="30"/>
          <w:szCs w:val="30"/>
        </w:rPr>
        <w:t>三、</w:t>
      </w:r>
      <w:r>
        <w:rPr>
          <w:rFonts w:hint="eastAsia" w:ascii="仿宋_GB2312" w:hAnsi="仿宋" w:eastAsia="仿宋_GB2312" w:cs="仿宋_GB2312"/>
          <w:b/>
          <w:sz w:val="30"/>
          <w:szCs w:val="30"/>
        </w:rPr>
        <w:t>法定代表人及其授权代表的身份证（复印件）</w:t>
      </w:r>
    </w:p>
    <w:p>
      <w:pPr>
        <w:pStyle w:val="646"/>
        <w:spacing w:line="360" w:lineRule="auto"/>
        <w:rPr>
          <w:rFonts w:ascii="仿宋_GB2312" w:hAnsi="仿宋" w:eastAsia="仿宋_GB2312"/>
          <w:bCs/>
          <w:sz w:val="24"/>
        </w:rPr>
      </w:pPr>
      <w:r>
        <w:rPr>
          <w:rFonts w:hint="eastAsia" w:ascii="仿宋_GB2312" w:hAnsi="仿宋" w:eastAsia="仿宋_GB2312"/>
          <w:bCs/>
          <w:sz w:val="24"/>
        </w:rPr>
        <w:t>法定代表人身份证件扫描件：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46"/>
              <w:spacing w:line="360" w:lineRule="auto"/>
              <w:rPr>
                <w:rFonts w:ascii="仿宋_GB2312" w:hAnsi="仿宋" w:eastAsia="仿宋_GB2312"/>
                <w:bCs/>
                <w:sz w:val="24"/>
              </w:rPr>
            </w:pPr>
            <w:r>
              <w:rPr>
                <w:rFonts w:hint="eastAsia" w:ascii="仿宋_GB2312" w:hAnsi="仿宋" w:eastAsia="仿宋_GB2312"/>
                <w:bCs/>
                <w:sz w:val="24"/>
              </w:rPr>
              <w:t>正面：                                 反面：</w:t>
            </w:r>
          </w:p>
          <w:p>
            <w:pPr>
              <w:pStyle w:val="646"/>
              <w:spacing w:line="360" w:lineRule="auto"/>
              <w:rPr>
                <w:rFonts w:ascii="仿宋_GB2312" w:hAnsi="仿宋" w:eastAsia="仿宋_GB2312"/>
                <w:bCs/>
                <w:sz w:val="24"/>
              </w:rPr>
            </w:pPr>
          </w:p>
        </w:tc>
      </w:tr>
    </w:tbl>
    <w:p>
      <w:pPr>
        <w:pStyle w:val="646"/>
        <w:spacing w:line="360" w:lineRule="auto"/>
        <w:rPr>
          <w:rFonts w:ascii="仿宋_GB2312" w:hAnsi="仿宋" w:eastAsia="仿宋_GB2312"/>
          <w:bCs/>
          <w:sz w:val="24"/>
        </w:rPr>
      </w:pPr>
      <w:r>
        <w:rPr>
          <w:rFonts w:hint="eastAsia" w:ascii="仿宋_GB2312" w:hAnsi="仿宋" w:eastAsia="仿宋_GB2312"/>
          <w:bCs/>
          <w:sz w:val="24"/>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46"/>
              <w:spacing w:line="360" w:lineRule="auto"/>
              <w:rPr>
                <w:rFonts w:ascii="仿宋_GB2312" w:hAnsi="仿宋" w:eastAsia="仿宋_GB2312"/>
                <w:bCs/>
                <w:sz w:val="24"/>
              </w:rPr>
            </w:pPr>
            <w:r>
              <w:rPr>
                <w:rFonts w:hint="eastAsia" w:ascii="仿宋_GB2312" w:hAnsi="仿宋" w:eastAsia="仿宋_GB2312"/>
                <w:bCs/>
                <w:sz w:val="24"/>
              </w:rPr>
              <w:t>正面：                                 反面：</w:t>
            </w:r>
          </w:p>
          <w:p>
            <w:pPr>
              <w:pStyle w:val="646"/>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pacing w:line="360" w:lineRule="auto"/>
        <w:jc w:val="center"/>
        <w:rPr>
          <w:rFonts w:hint="default" w:ascii="仿宋_GB2312" w:hAnsi="仿宋" w:eastAsia="仿宋_GB2312" w:cs="仿宋_GB2312"/>
          <w:kern w:val="0"/>
          <w:sz w:val="24"/>
          <w:lang w:val="en-US" w:eastAsia="zh-CN"/>
        </w:rPr>
      </w:pPr>
      <w:r>
        <w:rPr>
          <w:rFonts w:hint="eastAsia" w:ascii="仿宋_GB2312" w:hAnsi="仿宋" w:eastAsia="仿宋_GB2312" w:cs="仿宋_GB2312"/>
          <w:kern w:val="0"/>
          <w:sz w:val="24"/>
          <w:lang w:val="zh-CN"/>
        </w:rPr>
        <w:t xml:space="preserve">                   日期：  年  月</w:t>
      </w:r>
      <w:r>
        <w:rPr>
          <w:rFonts w:hint="eastAsia" w:ascii="仿宋_GB2312" w:hAnsi="仿宋" w:eastAsia="仿宋_GB2312" w:cs="仿宋_GB2312"/>
          <w:kern w:val="0"/>
          <w:sz w:val="24"/>
          <w:lang w:val="en-US" w:eastAsia="zh-CN"/>
        </w:rPr>
        <w:t xml:space="preserve">  日</w:t>
      </w: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sz w:val="30"/>
          <w:szCs w:val="30"/>
        </w:rPr>
        <w:t>四、</w:t>
      </w:r>
      <w:r>
        <w:rPr>
          <w:rFonts w:hint="eastAsia" w:ascii="仿宋_GB2312" w:hAnsi="仿宋" w:eastAsia="仿宋_GB2312" w:cs="仿宋_GB2312"/>
          <w:b/>
          <w:kern w:val="0"/>
          <w:sz w:val="32"/>
          <w:szCs w:val="32"/>
        </w:rPr>
        <w:t>符合参与政府采购活动的资格条件并且没有税收缴纳、社会保障等方面的失信记录的承诺函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临安分中心</w:t>
      </w:r>
      <w:r>
        <w:rPr>
          <w:rFonts w:hint="eastAsia" w:ascii="仿宋_GB2312" w:hAnsi="仿宋" w:eastAsia="仿宋_GB2312" w:cs="仿宋_GB2312"/>
          <w:sz w:val="24"/>
        </w:rPr>
        <w:t>：</w:t>
      </w:r>
    </w:p>
    <w:p>
      <w:pPr>
        <w:spacing w:line="360" w:lineRule="auto"/>
        <w:ind w:firstLine="480" w:firstLineChars="200"/>
        <w:rPr>
          <w:rFonts w:hint="eastAsia" w:ascii="仿宋_GB2312" w:hAnsi="仿宋" w:eastAsia="仿宋_GB2312" w:cs="仿宋_GB2312"/>
          <w:b/>
          <w:sz w:val="30"/>
          <w:szCs w:val="30"/>
          <w:lang w:eastAsia="zh-CN"/>
        </w:rPr>
      </w:pPr>
      <w:r>
        <w:rPr>
          <w:rFonts w:hint="eastAsia" w:ascii="仿宋_GB2312" w:hAnsi="仿宋" w:eastAsia="仿宋_GB2312" w:cs="仿宋_GB2312"/>
          <w:sz w:val="24"/>
        </w:rPr>
        <w:t>我方郑重承诺，我方符合参与</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政府采购活动的资格条件并且没有税收缴纳、社会保障等方面的失信记录</w:t>
      </w:r>
      <w:r>
        <w:rPr>
          <w:rFonts w:hint="eastAsia" w:ascii="仿宋_GB2312" w:hAnsi="仿宋" w:eastAsia="仿宋_GB2312" w:cs="仿宋_GB2312"/>
          <w:sz w:val="24"/>
          <w:lang w:eastAsia="zh-CN"/>
        </w:rPr>
        <w:t>。</w:t>
      </w:r>
    </w:p>
    <w:p>
      <w:pPr>
        <w:spacing w:line="360" w:lineRule="auto"/>
        <w:rPr>
          <w:rFonts w:ascii="仿宋_GB2312" w:hAnsi="仿宋" w:eastAsia="仿宋_GB2312" w:cs="仿宋_GB2312"/>
          <w:b/>
          <w:sz w:val="30"/>
          <w:szCs w:val="30"/>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napToGrid w:val="0"/>
        <w:spacing w:line="360" w:lineRule="auto"/>
        <w:ind w:right="480"/>
        <w:jc w:val="center"/>
        <w:rPr>
          <w:rFonts w:hint="default" w:ascii="仿宋_GB2312" w:hAnsi="仿宋" w:eastAsia="仿宋_GB2312" w:cs="仿宋_GB2312"/>
          <w:kern w:val="0"/>
          <w:sz w:val="24"/>
          <w:lang w:val="en-US" w:eastAsia="zh-CN"/>
        </w:rPr>
      </w:pPr>
      <w:r>
        <w:rPr>
          <w:rFonts w:hint="eastAsia" w:ascii="仿宋_GB2312" w:hAnsi="仿宋" w:eastAsia="仿宋_GB2312" w:cs="仿宋_GB2312"/>
          <w:kern w:val="0"/>
          <w:sz w:val="24"/>
          <w:lang w:val="zh-CN"/>
        </w:rPr>
        <w:t xml:space="preserve">                   日期：  年  月</w:t>
      </w:r>
      <w:r>
        <w:rPr>
          <w:rFonts w:hint="eastAsia" w:ascii="仿宋_GB2312" w:hAnsi="仿宋" w:eastAsia="仿宋_GB2312" w:cs="仿宋_GB2312"/>
          <w:kern w:val="0"/>
          <w:sz w:val="24"/>
          <w:lang w:val="en-US" w:eastAsia="zh-CN"/>
        </w:rPr>
        <w:t xml:space="preserve">  日</w:t>
      </w:r>
    </w:p>
    <w:p>
      <w:pPr>
        <w:snapToGrid w:val="0"/>
        <w:spacing w:line="360" w:lineRule="auto"/>
        <w:ind w:right="480"/>
        <w:jc w:val="center"/>
        <w:rPr>
          <w:rFonts w:hint="default" w:ascii="仿宋_GB2312" w:hAnsi="仿宋" w:eastAsia="仿宋_GB2312" w:cs="仿宋_GB2312"/>
          <w:kern w:val="0"/>
          <w:sz w:val="24"/>
          <w:lang w:val="en-US" w:eastAsia="zh-CN"/>
        </w:rPr>
      </w:pPr>
    </w:p>
    <w:p>
      <w:pPr>
        <w:snapToGrid w:val="0"/>
        <w:spacing w:line="360" w:lineRule="auto"/>
        <w:ind w:right="480"/>
        <w:jc w:val="center"/>
        <w:rPr>
          <w:rFonts w:ascii="仿宋_GB2312" w:hAnsi="仿宋" w:eastAsia="仿宋_GB2312" w:cs="仿宋_GB2312"/>
          <w:b/>
          <w:kern w:val="0"/>
          <w:sz w:val="32"/>
          <w:szCs w:val="32"/>
          <w:lang w:val="zh-CN"/>
        </w:rPr>
      </w:pPr>
    </w:p>
    <w:p>
      <w:pPr>
        <w:pStyle w:val="78"/>
        <w:rPr>
          <w:rFonts w:ascii="仿宋_GB2312" w:hAnsi="仿宋" w:eastAsia="仿宋_GB2312" w:cs="仿宋_GB2312"/>
          <w:b/>
          <w:kern w:val="0"/>
          <w:sz w:val="32"/>
          <w:szCs w:val="32"/>
          <w:lang w:val="zh-CN"/>
        </w:rPr>
      </w:pPr>
    </w:p>
    <w:p>
      <w:pPr>
        <w:pStyle w:val="78"/>
        <w:rPr>
          <w:rFonts w:ascii="仿宋_GB2312" w:hAnsi="仿宋" w:eastAsia="仿宋_GB2312" w:cs="仿宋_GB2312"/>
          <w:b/>
          <w:kern w:val="0"/>
          <w:sz w:val="32"/>
          <w:szCs w:val="32"/>
          <w:lang w:val="zh-CN"/>
        </w:rPr>
      </w:pPr>
    </w:p>
    <w:p>
      <w:pPr>
        <w:pStyle w:val="78"/>
        <w:rPr>
          <w:rFonts w:ascii="仿宋_GB2312" w:hAnsi="仿宋" w:eastAsia="仿宋_GB2312" w:cs="仿宋_GB2312"/>
          <w:b/>
          <w:kern w:val="0"/>
          <w:sz w:val="32"/>
          <w:szCs w:val="32"/>
          <w:lang w:val="zh-CN"/>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五、具有履行合同所必需的设备和专业技术能力的承诺函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我方郑重承诺，我方具有履行</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合同所必需的设备和专业技术能力。如中标，我方将保证合同顺利履行。</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center"/>
        <w:rPr>
          <w:rFonts w:ascii="仿宋_GB2312" w:hAnsi="仿宋" w:eastAsia="仿宋_GB2312" w:cs="仿宋_GB2312"/>
          <w:b/>
          <w:kern w:val="0"/>
          <w:sz w:val="32"/>
          <w:szCs w:val="32"/>
        </w:rPr>
      </w:pPr>
    </w:p>
    <w:p>
      <w:pPr>
        <w:pStyle w:val="78"/>
        <w:rPr>
          <w:rFonts w:ascii="仿宋_GB2312" w:hAnsi="仿宋" w:eastAsia="仿宋_GB2312" w:cs="仿宋_GB2312"/>
          <w:b/>
          <w:kern w:val="0"/>
          <w:sz w:val="32"/>
          <w:szCs w:val="32"/>
        </w:rPr>
      </w:pPr>
    </w:p>
    <w:p>
      <w:pPr>
        <w:pStyle w:val="78"/>
        <w:rPr>
          <w:rFonts w:ascii="仿宋_GB2312" w:hAnsi="仿宋" w:eastAsia="仿宋_GB2312" w:cs="仿宋_GB2312"/>
          <w:b/>
          <w:kern w:val="0"/>
          <w:sz w:val="32"/>
          <w:szCs w:val="32"/>
        </w:rPr>
      </w:pPr>
    </w:p>
    <w:p>
      <w:pPr>
        <w:pStyle w:val="78"/>
        <w:rPr>
          <w:rFonts w:ascii="仿宋_GB2312" w:hAnsi="仿宋" w:eastAsia="仿宋_GB2312" w:cs="仿宋_GB2312"/>
          <w:b/>
          <w:kern w:val="0"/>
          <w:sz w:val="32"/>
          <w:szCs w:val="32"/>
        </w:rPr>
      </w:pPr>
    </w:p>
    <w:p>
      <w:pPr>
        <w:pStyle w:val="78"/>
        <w:rPr>
          <w:rFonts w:ascii="仿宋_GB2312" w:hAnsi="仿宋" w:eastAsia="仿宋_GB2312" w:cs="仿宋_GB2312"/>
          <w:b/>
          <w:kern w:val="0"/>
          <w:sz w:val="32"/>
          <w:szCs w:val="32"/>
        </w:rPr>
      </w:pPr>
    </w:p>
    <w:p>
      <w:pPr>
        <w:spacing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六、参加政府采购活动前三年内，在经营活动中</w:t>
      </w: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没有重大违法记录的声明</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临安分</w:t>
      </w:r>
      <w:r>
        <w:rPr>
          <w:rFonts w:hint="eastAsia" w:ascii="仿宋_GB2312" w:hAnsi="仿宋" w:eastAsia="仿宋_GB2312" w:cs="仿宋_GB2312"/>
          <w:sz w:val="24"/>
        </w:rPr>
        <w:t>中心</w:t>
      </w:r>
      <w:r>
        <w:rPr>
          <w:rFonts w:hint="eastAsia"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kern w:val="0"/>
          <w:sz w:val="24"/>
          <w:lang w:val="zh-CN"/>
        </w:rPr>
        <w:t>我方</w:t>
      </w:r>
      <w:r>
        <w:rPr>
          <w:rFonts w:hint="eastAsia" w:ascii="仿宋_GB2312" w:hAnsi="仿宋" w:eastAsia="仿宋_GB2312" w:cs="仿宋_GB2312"/>
          <w:sz w:val="24"/>
        </w:rPr>
        <w:t>声明投标截止时间前三年，在</w:t>
      </w:r>
      <w:r>
        <w:rPr>
          <w:rFonts w:hint="eastAsia" w:ascii="仿宋_GB2312" w:hAnsi="仿宋" w:eastAsia="仿宋_GB2312" w:cs="仿宋_GB2312"/>
          <w:kern w:val="0"/>
          <w:sz w:val="24"/>
        </w:rPr>
        <w:t>经营活动中</w:t>
      </w:r>
      <w:r>
        <w:rPr>
          <w:rFonts w:hint="eastAsia" w:ascii="仿宋_GB2312" w:hAnsi="仿宋" w:eastAsia="仿宋_GB2312" w:cs="仿宋_GB2312"/>
          <w:sz w:val="24"/>
        </w:rPr>
        <w:t xml:space="preserve">没有重大违法记录。 </w:t>
      </w:r>
    </w:p>
    <w:p>
      <w:pPr>
        <w:spacing w:line="360" w:lineRule="auto"/>
        <w:ind w:firstLine="480" w:firstLineChars="200"/>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932"/>
        <w:numPr>
          <w:ilvl w:val="0"/>
          <w:numId w:val="0"/>
        </w:numPr>
        <w:jc w:val="both"/>
        <w:rPr>
          <w:rFonts w:hint="eastAsia" w:ascii="仿宋" w:hAnsi="仿宋" w:eastAsia="仿宋" w:cs="仿宋_GB2312"/>
          <w:b/>
          <w:sz w:val="36"/>
          <w:szCs w:val="36"/>
        </w:rPr>
      </w:pPr>
    </w:p>
    <w:p>
      <w:pPr>
        <w:snapToGrid w:val="0"/>
        <w:spacing w:line="360" w:lineRule="auto"/>
        <w:ind w:firstLine="1606" w:firstLineChars="500"/>
        <w:rPr>
          <w:rFonts w:hint="eastAsia" w:ascii="仿宋_GB2312" w:hAnsi="仿宋" w:eastAsia="仿宋_GB2312" w:cs="仿宋_GB2312"/>
          <w:b/>
          <w:kern w:val="0"/>
          <w:sz w:val="32"/>
          <w:szCs w:val="32"/>
        </w:rPr>
      </w:pPr>
    </w:p>
    <w:p>
      <w:pPr>
        <w:snapToGrid w:val="0"/>
        <w:spacing w:line="360" w:lineRule="auto"/>
        <w:ind w:firstLine="1606" w:firstLineChars="5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七、具有良好商业信誉特别声明</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r>
        <w:rPr>
          <w:rFonts w:hint="eastAsia" w:ascii="仿宋_GB2312" w:hAnsi="仿宋" w:eastAsia="仿宋_GB2312" w:cs="仿宋_GB2312"/>
          <w:kern w:val="0"/>
          <w:sz w:val="24"/>
          <w:lang w:val="zh-CN"/>
        </w:rPr>
        <w:t>：</w:t>
      </w:r>
    </w:p>
    <w:p>
      <w:pPr>
        <w:snapToGrid w:val="0"/>
        <w:spacing w:line="360" w:lineRule="auto"/>
        <w:ind w:firstLine="480"/>
        <w:rPr>
          <w:rFonts w:ascii="仿宋_GB2312" w:hAnsi="仿宋" w:eastAsia="仿宋_GB2312" w:cs="仿宋_GB2312"/>
          <w:kern w:val="0"/>
          <w:sz w:val="24"/>
          <w:lang w:val="zh-CN"/>
        </w:rPr>
      </w:pPr>
      <w:r>
        <w:rPr>
          <w:rFonts w:hint="eastAsia" w:ascii="仿宋_GB2312" w:hAnsi="仿宋" w:eastAsia="仿宋_GB2312" w:cs="仿宋_GB2312"/>
          <w:sz w:val="24"/>
        </w:rPr>
        <w:t>截至投标截止时间，我方具有良好的商业信誉，不存在下列情形（包括但不限于）。否则，我方将承担在资格审查时不被通过的后果。</w:t>
      </w:r>
    </w:p>
    <w:p>
      <w:pPr>
        <w:pStyle w:val="232"/>
        <w:spacing w:before="0"/>
        <w:ind w:firstLine="495" w:firstLineChars="0"/>
        <w:rPr>
          <w:rFonts w:ascii="仿宋_GB2312" w:hAnsi="仿宋" w:eastAsia="仿宋_GB2312"/>
        </w:rPr>
      </w:pPr>
      <w:r>
        <w:rPr>
          <w:rFonts w:hint="eastAsia" w:ascii="仿宋_GB2312" w:hAnsi="仿宋" w:eastAsia="仿宋_GB2312"/>
        </w:rPr>
        <w:t>1</w:t>
      </w:r>
      <w:r>
        <w:rPr>
          <w:rFonts w:hint="eastAsia" w:ascii="仿宋_GB2312" w:hAnsi="仿宋" w:eastAsia="仿宋_GB2312" w:cs="仿宋_GB2312"/>
          <w:b/>
          <w:szCs w:val="24"/>
        </w:rPr>
        <w:t>、</w:t>
      </w:r>
      <w:r>
        <w:rPr>
          <w:rFonts w:hint="eastAsia" w:ascii="仿宋_GB2312" w:hAnsi="仿宋" w:eastAsia="仿宋_GB2312"/>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ascii="仿宋_GB2312" w:hAnsi="仿宋" w:eastAsia="仿宋_GB2312"/>
          <w:sz w:val="24"/>
        </w:rPr>
      </w:pPr>
    </w:p>
    <w:p>
      <w:pPr>
        <w:snapToGrid w:val="0"/>
        <w:spacing w:line="360" w:lineRule="auto"/>
        <w:ind w:firstLine="4680" w:firstLineChars="19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投标人名称(电子签名)：</w:t>
      </w:r>
    </w:p>
    <w:p>
      <w:pPr>
        <w:snapToGrid w:val="0"/>
        <w:spacing w:line="360" w:lineRule="auto"/>
        <w:rPr>
          <w:rFonts w:ascii="仿宋_GB2312" w:hAnsi="仿宋" w:eastAsia="仿宋_GB2312" w:cs="仿宋_GB2312"/>
          <w:b/>
          <w:sz w:val="32"/>
          <w:szCs w:val="32"/>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78"/>
        <w:rPr>
          <w:rFonts w:ascii="仿宋_GB2312" w:hAnsi="仿宋" w:eastAsia="仿宋_GB2312" w:cs="仿宋_GB2312"/>
          <w:b/>
          <w:sz w:val="32"/>
          <w:szCs w:val="32"/>
        </w:rPr>
      </w:pPr>
    </w:p>
    <w:p>
      <w:pPr>
        <w:pStyle w:val="78"/>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八、特定资格条件要求的资质文件（复印件）</w:t>
      </w:r>
    </w:p>
    <w:p>
      <w:pPr>
        <w:widowControl/>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（由投标人根据招标公告合格的投标人应具备的特定资格要求编制；如果本项目没有设置特定资格条件，则不需要提供）</w:t>
      </w:r>
    </w:p>
    <w:p>
      <w:pPr>
        <w:snapToGrid w:val="0"/>
        <w:spacing w:line="360" w:lineRule="auto"/>
        <w:rPr>
          <w:rFonts w:hint="eastAsia" w:ascii="仿宋_GB2312" w:hAnsi="仿宋" w:eastAsia="仿宋_GB2312" w:cs="仿宋_GB2312"/>
          <w:b/>
          <w:bCs/>
          <w:sz w:val="32"/>
          <w:szCs w:val="32"/>
        </w:rPr>
      </w:pPr>
    </w:p>
    <w:p>
      <w:pPr>
        <w:snapToGrid w:val="0"/>
        <w:spacing w:line="360" w:lineRule="auto"/>
        <w:rPr>
          <w:rFonts w:hint="eastAsia" w:ascii="仿宋_GB2312" w:hAnsi="仿宋" w:eastAsia="仿宋_GB2312" w:cs="仿宋_GB2312"/>
          <w:b/>
          <w:bCs/>
          <w:sz w:val="32"/>
          <w:szCs w:val="32"/>
        </w:rPr>
      </w:pPr>
    </w:p>
    <w:p>
      <w:pPr>
        <w:snapToGrid w:val="0"/>
        <w:spacing w:before="50" w:after="50" w:line="360" w:lineRule="auto"/>
        <w:jc w:val="center"/>
        <w:rPr>
          <w:rFonts w:ascii="仿宋_GB2312" w:hAnsi="仿宋" w:eastAsia="仿宋_GB2312" w:cs="仿宋_GB2312"/>
          <w:b/>
          <w:sz w:val="30"/>
          <w:szCs w:val="30"/>
        </w:rPr>
      </w:pPr>
      <w:r>
        <w:rPr>
          <w:rFonts w:hint="eastAsia" w:ascii="仿宋_GB2312" w:hAnsi="仿宋" w:eastAsia="仿宋_GB2312" w:cs="仿宋_GB2312"/>
          <w:b/>
          <w:sz w:val="32"/>
          <w:szCs w:val="32"/>
        </w:rPr>
        <w:t>九</w:t>
      </w:r>
      <w:r>
        <w:rPr>
          <w:rFonts w:hint="eastAsia" w:ascii="仿宋_GB2312" w:hAnsi="仿宋" w:eastAsia="仿宋_GB2312" w:cs="仿宋_GB2312"/>
          <w:b/>
          <w:sz w:val="30"/>
          <w:szCs w:val="30"/>
        </w:rPr>
        <w:t>、联合体协议</w:t>
      </w:r>
    </w:p>
    <w:p>
      <w:pPr>
        <w:widowControl/>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（以联合体形式投标的，提供联合体协议；本项目不允许联合体投标，或者投标人不以联合体形式投标的，则不需要提供）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甲方：</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乙方：</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各方经协商一致，决定组成一个联合体，以一个投标人的身份就</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】共同投标。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Arial"/>
          <w:sz w:val="24"/>
        </w:rPr>
        <w:t>指定</w:t>
      </w:r>
      <w:r>
        <w:rPr>
          <w:rFonts w:hint="eastAsia" w:ascii="仿宋_GB2312" w:hAnsi="仿宋" w:eastAsia="仿宋_GB2312"/>
          <w:u w:val="single"/>
        </w:rPr>
        <w:t xml:space="preserve">   </w:t>
      </w:r>
      <w:r>
        <w:rPr>
          <w:rFonts w:hint="eastAsia" w:ascii="仿宋_GB2312" w:hAnsi="仿宋" w:eastAsia="仿宋_GB2312" w:cs="Arial"/>
          <w:sz w:val="24"/>
        </w:rPr>
        <w:t>方牵头人，代表所有联合体成员负责投标和合同实施阶段的主办、协调工作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三、本次联合投标中，分工如下：甲方承担的工作和义务为：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；乙方承担的工作和义务为：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甲方单位：    （公章/ 电子签名）    乙方单位：      （公章/ 电子签名）</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                  日期：    年   月   日</w:t>
      </w:r>
    </w:p>
    <w:p>
      <w:pPr>
        <w:adjustRightInd w:val="0"/>
        <w:snapToGrid w:val="0"/>
        <w:spacing w:before="50" w:after="50" w:line="360" w:lineRule="auto"/>
        <w:jc w:val="both"/>
        <w:rPr>
          <w:rFonts w:hint="eastAsia" w:ascii="仿宋_GB2312" w:hAnsi="仿宋" w:eastAsia="仿宋_GB2312" w:cs="仿宋_GB2312"/>
          <w:b/>
          <w:sz w:val="32"/>
          <w:szCs w:val="32"/>
          <w:lang w:eastAsia="zh-CN"/>
        </w:rPr>
      </w:pPr>
    </w:p>
    <w:p>
      <w:pPr>
        <w:adjustRightInd w:val="0"/>
        <w:snapToGrid w:val="0"/>
        <w:spacing w:line="360" w:lineRule="auto"/>
        <w:ind w:firstLine="3614" w:firstLineChars="1000"/>
        <w:rPr>
          <w:rFonts w:ascii="仿宋_GB2312" w:hAnsi="仿宋" w:eastAsia="仿宋_GB2312" w:cs="仿宋_GB2312"/>
          <w:b/>
          <w:kern w:val="0"/>
          <w:sz w:val="36"/>
          <w:szCs w:val="36"/>
        </w:rPr>
      </w:pPr>
    </w:p>
    <w:p>
      <w:pPr>
        <w:adjustRightInd w:val="0"/>
        <w:snapToGrid w:val="0"/>
        <w:spacing w:line="360" w:lineRule="auto"/>
        <w:ind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adjustRightInd w:val="0"/>
        <w:spacing w:line="360" w:lineRule="auto"/>
        <w:jc w:val="center"/>
        <w:outlineLvl w:val="0"/>
        <w:rPr>
          <w:rFonts w:ascii="仿宋_GB2312" w:hAnsi="仿宋" w:eastAsia="仿宋_GB2312" w:cs="仿宋_GB2312"/>
          <w:b/>
          <w:kern w:val="0"/>
          <w:sz w:val="24"/>
          <w:szCs w:val="24"/>
        </w:rPr>
      </w:pPr>
    </w:p>
    <w:p>
      <w:pPr>
        <w:adjustRightInd w:val="0"/>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adjustRightInd w:val="0"/>
        <w:spacing w:line="360" w:lineRule="auto"/>
        <w:outlineLvl w:val="0"/>
        <w:rPr>
          <w:rFonts w:ascii="仿宋_GB2312" w:hAnsi="仿宋" w:eastAsia="仿宋_GB2312" w:cs="仿宋_GB2312"/>
          <w:kern w:val="0"/>
          <w:sz w:val="24"/>
          <w:szCs w:val="24"/>
        </w:rPr>
      </w:pPr>
      <w:r>
        <w:rPr>
          <w:rFonts w:hint="eastAsia" w:ascii="仿宋_GB2312" w:hAnsi="仿宋" w:eastAsia="仿宋_GB2312" w:cs="仿宋_GB2312"/>
          <w:kern w:val="0"/>
          <w:sz w:val="24"/>
          <w:szCs w:val="24"/>
        </w:rPr>
        <w:t>（1）投标响应函……………………………………………………（页码）</w:t>
      </w:r>
    </w:p>
    <w:p>
      <w:pPr>
        <w:adjustRightInd w:val="0"/>
        <w:spacing w:line="360" w:lineRule="auto"/>
        <w:outlineLvl w:val="0"/>
        <w:rPr>
          <w:rFonts w:ascii="仿宋_GB2312" w:hAnsi="仿宋" w:eastAsia="仿宋_GB2312" w:cs="仿宋_GB2312"/>
          <w:kern w:val="0"/>
          <w:sz w:val="24"/>
          <w:szCs w:val="24"/>
        </w:rPr>
      </w:pPr>
      <w:r>
        <w:rPr>
          <w:rFonts w:hint="eastAsia" w:ascii="仿宋_GB2312" w:hAnsi="仿宋" w:eastAsia="仿宋_GB2312" w:cs="仿宋_GB2312"/>
          <w:kern w:val="0"/>
          <w:sz w:val="24"/>
          <w:szCs w:val="24"/>
        </w:rPr>
        <w:t>（2）投标（开标）一览表…………………………………………（页码）</w:t>
      </w:r>
    </w:p>
    <w:p>
      <w:pPr>
        <w:adjustRightInd w:val="0"/>
        <w:spacing w:line="360" w:lineRule="auto"/>
        <w:outlineLvl w:val="0"/>
        <w:rPr>
          <w:rFonts w:ascii="仿宋_GB2312" w:hAnsi="仿宋" w:eastAsia="仿宋_GB2312" w:cs="仿宋_GB2312"/>
          <w:kern w:val="0"/>
          <w:sz w:val="24"/>
          <w:szCs w:val="24"/>
        </w:rPr>
      </w:pPr>
      <w:r>
        <w:rPr>
          <w:rFonts w:hint="eastAsia" w:ascii="仿宋_GB2312" w:hAnsi="仿宋" w:eastAsia="仿宋_GB2312" w:cs="仿宋_GB2312"/>
          <w:kern w:val="0"/>
          <w:sz w:val="24"/>
          <w:szCs w:val="24"/>
        </w:rPr>
        <w:t>（3）中小企业声明函………………………………………………（页码）</w:t>
      </w: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一、投标响应</w:t>
      </w:r>
      <w:r>
        <w:rPr>
          <w:rFonts w:hint="eastAsia" w:ascii="仿宋_GB2312" w:hAnsi="仿宋" w:eastAsia="仿宋_GB2312" w:cs="仿宋_GB2312"/>
          <w:b/>
          <w:sz w:val="32"/>
          <w:szCs w:val="32"/>
        </w:rPr>
        <w:t>函</w:t>
      </w:r>
    </w:p>
    <w:p>
      <w:pPr>
        <w:adjustRightInd w:val="0"/>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XXX（采购人名称）、杭州市公共资源交易中心</w:t>
      </w:r>
      <w:r>
        <w:rPr>
          <w:rFonts w:hint="eastAsia" w:ascii="仿宋_GB2312" w:hAnsi="仿宋" w:eastAsia="仿宋_GB2312" w:cs="仿宋_GB2312"/>
          <w:sz w:val="24"/>
          <w:szCs w:val="24"/>
          <w:lang w:eastAsia="zh-CN"/>
        </w:rPr>
        <w:t>临安分中心</w:t>
      </w:r>
      <w:r>
        <w:rPr>
          <w:rFonts w:hint="eastAsia" w:ascii="仿宋_GB2312" w:hAnsi="仿宋" w:eastAsia="仿宋_GB2312" w:cs="仿宋_GB2312"/>
          <w:sz w:val="24"/>
          <w:szCs w:val="24"/>
        </w:rPr>
        <w:t>：</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sz w:val="24"/>
          <w:szCs w:val="24"/>
        </w:rPr>
        <w:t>(投标人全称)授权</w:t>
      </w: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sz w:val="24"/>
          <w:szCs w:val="24"/>
        </w:rPr>
        <w:t>(全权代表姓名)</w:t>
      </w: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sz w:val="24"/>
          <w:szCs w:val="24"/>
        </w:rPr>
        <w:t>(职务、职称)为全权代表，参加贵方组织的XXXXXX项目【招标编号：XXX】招标的有关活动，并对此项目进行投标。为此：</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1、我方同意在投标人</w:t>
      </w:r>
      <w:r>
        <w:rPr>
          <w:rFonts w:hint="eastAsia" w:ascii="仿宋_GB2312" w:hAnsi="仿宋" w:eastAsia="仿宋_GB2312" w:cs="仿宋_GB2312"/>
          <w:kern w:val="44"/>
          <w:sz w:val="24"/>
          <w:szCs w:val="24"/>
        </w:rPr>
        <w:t>投标人须知</w:t>
      </w:r>
      <w:r>
        <w:rPr>
          <w:rFonts w:hint="eastAsia" w:ascii="仿宋_GB2312" w:hAnsi="仿宋" w:eastAsia="仿宋_GB2312" w:cs="仿宋_GB2312"/>
          <w:sz w:val="24"/>
          <w:szCs w:val="24"/>
        </w:rPr>
        <w:t>规定的开标日期起遵守本投标文件中的承诺且在投标有效期满之前均具有约束力。</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2、我方承诺已经具备《中华人民共和国政府采购法》中规定的参加政府采购活动的供应商应当具备的条件：</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(1)具有独立承担民事责任的能力；</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(2)遵守国家法律、行政法规，具有良好的信誉和商业道德；</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(3)具有履行合同的能力和良好的履行合同记录；</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(4)良好的资金、财务状况；</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(5)产品及生产所需装备符合中国政府规定的相应技术标准和环保标准；</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(6)没有违反政府采购法规、政策的记录；</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(7)没有发生重大经济纠纷和走私犯罪记录。</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3、我方中标后拟在中标后将</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工作分包，分包承担主体是</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，我方承诺分包承担主体具备相应资质条件</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，且不再次分包。（不再将工作进行分包或本项目不允许分包的，下划线处填写“/”。）</w:t>
      </w:r>
    </w:p>
    <w:p>
      <w:pPr>
        <w:adjustRightInd w:val="0"/>
        <w:snapToGrid w:val="0"/>
        <w:spacing w:line="360" w:lineRule="auto"/>
        <w:ind w:firstLine="480" w:firstLineChars="200"/>
        <w:rPr>
          <w:rFonts w:ascii="仿宋_GB2312" w:hAnsi="仿宋" w:eastAsia="仿宋_GB2312" w:cs="仿宋_GB2312"/>
          <w:snapToGrid w:val="0"/>
          <w:sz w:val="24"/>
          <w:szCs w:val="21"/>
        </w:rPr>
      </w:pPr>
      <w:r>
        <w:rPr>
          <w:rFonts w:hint="eastAsia" w:ascii="仿宋_GB2312" w:hAnsi="仿宋" w:eastAsia="仿宋_GB2312" w:cs="仿宋_GB2312"/>
          <w:snapToGrid w:val="0"/>
          <w:sz w:val="24"/>
          <w:szCs w:val="21"/>
        </w:rPr>
        <w:t>4、提供</w:t>
      </w:r>
      <w:r>
        <w:rPr>
          <w:rFonts w:hint="eastAsia" w:ascii="仿宋_GB2312" w:hAnsi="仿宋" w:eastAsia="仿宋_GB2312" w:cs="仿宋_GB2312"/>
          <w:snapToGrid w:val="0"/>
          <w:kern w:val="44"/>
          <w:sz w:val="24"/>
          <w:szCs w:val="21"/>
        </w:rPr>
        <w:t>投标人须知</w:t>
      </w:r>
      <w:r>
        <w:rPr>
          <w:rFonts w:hint="eastAsia" w:ascii="仿宋_GB2312" w:hAnsi="仿宋" w:eastAsia="仿宋_GB2312" w:cs="仿宋_GB2312"/>
          <w:snapToGrid w:val="0"/>
          <w:sz w:val="24"/>
          <w:szCs w:val="21"/>
        </w:rPr>
        <w:t>规定的全部投标文件</w:t>
      </w:r>
      <w:r>
        <w:rPr>
          <w:rFonts w:hint="eastAsia" w:ascii="仿宋_GB2312" w:hAnsi="仿宋" w:eastAsia="仿宋_GB2312" w:cs="仿宋_GB2312"/>
          <w:snapToGrid w:val="0"/>
          <w:kern w:val="44"/>
          <w:sz w:val="24"/>
          <w:szCs w:val="21"/>
        </w:rPr>
        <w:t>。</w:t>
      </w:r>
      <w:r>
        <w:rPr>
          <w:rFonts w:hint="eastAsia" w:ascii="仿宋_GB2312" w:hAnsi="仿宋" w:eastAsia="仿宋_GB2312" w:cs="仿宋_GB2312"/>
          <w:snapToGrid w:val="0"/>
          <w:sz w:val="24"/>
          <w:szCs w:val="21"/>
        </w:rPr>
        <w:t>具体内容为：</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(1)投标(开标)一览表；</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(2)投标</w:t>
      </w:r>
      <w:r>
        <w:rPr>
          <w:rFonts w:hint="eastAsia" w:ascii="仿宋_GB2312" w:hAnsi="仿宋" w:eastAsia="仿宋_GB2312" w:cs="仿宋_GB2312"/>
          <w:kern w:val="0"/>
          <w:sz w:val="24"/>
          <w:szCs w:val="24"/>
          <w:lang w:val="zh-CN"/>
        </w:rPr>
        <w:t>技术文件和</w:t>
      </w:r>
      <w:r>
        <w:rPr>
          <w:rFonts w:hint="eastAsia" w:ascii="仿宋_GB2312" w:hAnsi="仿宋" w:eastAsia="仿宋_GB2312" w:cs="仿宋_GB2312"/>
          <w:sz w:val="24"/>
          <w:szCs w:val="24"/>
          <w:lang w:val="zh-CN"/>
        </w:rPr>
        <w:t>商务文件</w:t>
      </w:r>
      <w:r>
        <w:rPr>
          <w:rFonts w:hint="eastAsia" w:ascii="仿宋_GB2312" w:hAnsi="仿宋" w:eastAsia="仿宋_GB2312" w:cs="仿宋_GB2312"/>
          <w:sz w:val="24"/>
          <w:szCs w:val="24"/>
        </w:rPr>
        <w:t>；</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(3)</w:t>
      </w:r>
      <w:r>
        <w:rPr>
          <w:rFonts w:hint="eastAsia" w:ascii="仿宋_GB2312" w:hAnsi="仿宋" w:eastAsia="仿宋_GB2312" w:cs="仿宋_GB2312"/>
          <w:kern w:val="44"/>
          <w:sz w:val="24"/>
          <w:szCs w:val="24"/>
        </w:rPr>
        <w:t>投标人须知</w:t>
      </w:r>
      <w:r>
        <w:rPr>
          <w:rFonts w:hint="eastAsia" w:ascii="仿宋_GB2312" w:hAnsi="仿宋" w:eastAsia="仿宋_GB2312" w:cs="仿宋_GB2312"/>
          <w:sz w:val="24"/>
          <w:szCs w:val="24"/>
        </w:rPr>
        <w:t>要求投标人提交的全部文件；</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 xml:space="preserve"> (4)按招标文件要求提供和交付的货物和服务的投标报价详见投标(开标)一览表；</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(5)保证忠实地执行双方所签订的合同，并承担合同规定的责任和义务；</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(6)保证遵守招标文件中的其他有关规定。</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5、我方承诺投标有效期从提交投标文件的截止之日起</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天，不少于招标文件中载明的投标有效期（从提交投标文件的截止之日起90天）。</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6、我方完全理解贵方不一定要接受最低价的投标。</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7、我方愿意向贵方提供任何与该项投标有关的数据、情况和技术资料。若贵方需要，我方愿意提供我方作出的一切承诺的证明材料。</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8、我方已详细审核全部招标文件，包括招标文件修改书(如果有)、参考资料及有关附件，确认无误。</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a)提供虚假材料谋取中标、成交的；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b)采取不正当手段诋毁、排挤其他供应商的；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c)与采购人、其它供应商或者采购机构恶意串通的；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d)向采购人、采购机构行贿或者提供其他不正当利益的；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e)在招标采购过程中与采购人进行协商谈判的；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f)拒绝有关部门监督检查或提供虚假情况的。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供应商有前款第a)至e)项情形之一的，中标、成交无效。</w:t>
      </w:r>
    </w:p>
    <w:p>
      <w:pPr>
        <w:adjustRightInd w:val="0"/>
        <w:spacing w:line="360" w:lineRule="auto"/>
        <w:ind w:firstLine="3600" w:firstLineChars="1500"/>
        <w:rPr>
          <w:rFonts w:ascii="仿宋_GB2312" w:hAnsi="仿宋" w:eastAsia="仿宋_GB2312" w:cs="仿宋_GB2312"/>
          <w:sz w:val="24"/>
          <w:szCs w:val="24"/>
        </w:rPr>
      </w:pPr>
      <w:r>
        <w:rPr>
          <w:rFonts w:hint="eastAsia" w:ascii="仿宋_GB2312" w:hAnsi="仿宋" w:eastAsia="仿宋_GB2312" w:cs="仿宋_GB2312"/>
          <w:sz w:val="24"/>
          <w:szCs w:val="24"/>
        </w:rPr>
        <w:t xml:space="preserve">投标人名称（电子签名）：                          </w:t>
      </w:r>
    </w:p>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 xml:space="preserve">     日期：  年   月   日</w:t>
      </w:r>
    </w:p>
    <w:p>
      <w:pPr>
        <w:adjustRightInd w:val="0"/>
        <w:snapToGrid w:val="0"/>
        <w:spacing w:line="360" w:lineRule="auto"/>
        <w:ind w:left="420" w:leftChars="200" w:firstLine="4200" w:firstLineChars="1750"/>
        <w:rPr>
          <w:rFonts w:ascii="仿宋_GB2312" w:hAnsi="仿宋" w:eastAsia="仿宋_GB2312" w:cs="仿宋_GB2312"/>
          <w:kern w:val="0"/>
          <w:sz w:val="24"/>
          <w:szCs w:val="24"/>
          <w:u w:val="single"/>
          <w:lang w:val="zh-CN"/>
        </w:rPr>
      </w:pPr>
    </w:p>
    <w:p>
      <w:pPr>
        <w:adjustRightInd w:val="0"/>
        <w:snapToGrid w:val="0"/>
        <w:spacing w:line="360" w:lineRule="auto"/>
        <w:ind w:left="420" w:leftChars="200"/>
        <w:rPr>
          <w:rFonts w:ascii="仿宋_GB2312" w:hAnsi="仿宋" w:eastAsia="仿宋_GB2312" w:cs="仿宋_GB2312"/>
          <w:kern w:val="0"/>
          <w:sz w:val="24"/>
          <w:szCs w:val="24"/>
        </w:rPr>
      </w:pPr>
      <w:r>
        <w:rPr>
          <w:rFonts w:hint="eastAsia" w:ascii="仿宋_GB2312" w:hAnsi="仿宋" w:eastAsia="仿宋_GB2312" w:cs="仿宋_GB2312"/>
          <w:kern w:val="0"/>
          <w:sz w:val="24"/>
          <w:szCs w:val="24"/>
          <w:lang w:val="zh-CN"/>
        </w:rPr>
        <w:t>联系人：</w:t>
      </w: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kern w:val="0"/>
          <w:sz w:val="24"/>
          <w:szCs w:val="24"/>
          <w:lang w:val="zh-CN"/>
        </w:rPr>
        <w:t xml:space="preserve">联系电话： </w:t>
      </w:r>
      <w:r>
        <w:rPr>
          <w:rFonts w:hint="eastAsia" w:ascii="仿宋_GB2312" w:hAnsi="仿宋" w:eastAsia="仿宋_GB2312" w:cs="仿宋_GB2312"/>
          <w:kern w:val="0"/>
          <w:sz w:val="24"/>
          <w:szCs w:val="24"/>
          <w:u w:val="single"/>
          <w:lang w:val="zh-CN"/>
        </w:rPr>
        <w:t xml:space="preserve">                </w:t>
      </w:r>
    </w:p>
    <w:p>
      <w:pPr>
        <w:adjustRightInd w:val="0"/>
        <w:snapToGrid w:val="0"/>
        <w:spacing w:line="360" w:lineRule="auto"/>
        <w:ind w:left="420" w:leftChars="200"/>
        <w:rPr>
          <w:rFonts w:ascii="仿宋_GB2312" w:hAnsi="仿宋" w:eastAsia="仿宋_GB2312" w:cs="仿宋_GB2312"/>
          <w:kern w:val="0"/>
          <w:sz w:val="24"/>
          <w:szCs w:val="24"/>
        </w:rPr>
      </w:pPr>
      <w:r>
        <w:rPr>
          <w:rFonts w:hint="eastAsia" w:ascii="仿宋_GB2312" w:hAnsi="仿宋" w:eastAsia="仿宋_GB2312" w:cs="仿宋_GB2312"/>
          <w:kern w:val="0"/>
          <w:sz w:val="24"/>
          <w:szCs w:val="24"/>
          <w:lang w:val="zh-CN"/>
        </w:rPr>
        <w:t>联系地址：</w:t>
      </w:r>
      <w:r>
        <w:rPr>
          <w:rFonts w:hint="eastAsia" w:ascii="仿宋_GB2312" w:hAnsi="仿宋" w:eastAsia="仿宋_GB2312" w:cs="仿宋_GB2312"/>
          <w:kern w:val="0"/>
          <w:sz w:val="24"/>
          <w:szCs w:val="24"/>
          <w:u w:val="single"/>
          <w:lang w:val="zh-CN"/>
        </w:rPr>
        <w:t xml:space="preserve">                                                    </w:t>
      </w:r>
    </w:p>
    <w:p>
      <w:pPr>
        <w:adjustRightInd w:val="0"/>
        <w:snapToGrid w:val="0"/>
        <w:spacing w:line="360" w:lineRule="auto"/>
        <w:ind w:left="420" w:leftChars="200"/>
        <w:rPr>
          <w:rFonts w:ascii="仿宋_GB2312" w:hAnsi="仿宋" w:eastAsia="仿宋_GB2312" w:cs="仿宋_GB2312"/>
          <w:kern w:val="0"/>
          <w:sz w:val="24"/>
          <w:szCs w:val="24"/>
        </w:rPr>
      </w:pPr>
      <w:r>
        <w:rPr>
          <w:rFonts w:hint="eastAsia" w:ascii="仿宋_GB2312" w:hAnsi="仿宋" w:eastAsia="仿宋_GB2312" w:cs="仿宋_GB2312"/>
          <w:kern w:val="0"/>
          <w:sz w:val="24"/>
          <w:szCs w:val="24"/>
          <w:lang w:val="zh-CN"/>
        </w:rPr>
        <w:t>邮政编码：</w:t>
      </w: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kern w:val="0"/>
          <w:sz w:val="24"/>
          <w:szCs w:val="24"/>
          <w:lang w:val="zh-CN"/>
        </w:rPr>
        <w:t>传真号码：</w:t>
      </w:r>
      <w:r>
        <w:rPr>
          <w:rFonts w:hint="eastAsia" w:ascii="仿宋_GB2312" w:hAnsi="仿宋" w:eastAsia="仿宋_GB2312" w:cs="仿宋_GB2312"/>
          <w:kern w:val="0"/>
          <w:sz w:val="24"/>
          <w:szCs w:val="24"/>
          <w:u w:val="single"/>
          <w:lang w:val="zh-CN"/>
        </w:rPr>
        <w:t xml:space="preserve">                     </w:t>
      </w:r>
    </w:p>
    <w:p>
      <w:pPr>
        <w:adjustRightInd w:val="0"/>
        <w:snapToGrid w:val="0"/>
        <w:spacing w:line="360" w:lineRule="auto"/>
        <w:rPr>
          <w:rFonts w:ascii="仿宋_GB2312" w:hAnsi="仿宋" w:eastAsia="仿宋_GB2312" w:cs="仿宋_GB2312"/>
          <w:sz w:val="24"/>
          <w:szCs w:val="24"/>
        </w:rPr>
      </w:pPr>
      <w:r>
        <w:rPr>
          <w:rFonts w:hint="eastAsia" w:ascii="仿宋_GB2312" w:hAnsi="仿宋" w:eastAsia="仿宋_GB2312" w:cs="仿宋_GB2312"/>
          <w:b/>
          <w:kern w:val="0"/>
          <w:sz w:val="24"/>
          <w:szCs w:val="24"/>
          <w:lang w:val="zh-CN"/>
        </w:rPr>
        <w:t>注：未按照本投标响应函要求填报的将被视为非实质性响应投标，从而可能导致该投标被拒绝。</w:t>
      </w:r>
    </w:p>
    <w:p>
      <w:pPr>
        <w:adjustRightInd w:val="0"/>
        <w:snapToGrid w:val="0"/>
        <w:spacing w:before="120" w:after="120" w:line="360" w:lineRule="auto"/>
        <w:ind w:firstLine="643"/>
        <w:jc w:val="center"/>
        <w:rPr>
          <w:rFonts w:ascii="仿宋_GB2312" w:hAnsi="仿宋" w:eastAsia="仿宋_GB2312" w:cs="仿宋_GB2312"/>
          <w:b/>
          <w:sz w:val="32"/>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pPr>
        <w:adjustRightInd w:val="0"/>
        <w:snapToGrid w:val="0"/>
        <w:spacing w:before="120" w:after="120" w:line="360" w:lineRule="auto"/>
        <w:ind w:firstLine="643"/>
        <w:jc w:val="center"/>
        <w:rPr>
          <w:rFonts w:ascii="仿宋_GB2312" w:hAnsi="仿宋" w:eastAsia="仿宋_GB2312" w:cs="仿宋_GB2312"/>
          <w:b/>
          <w:sz w:val="32"/>
          <w:szCs w:val="32"/>
        </w:rPr>
      </w:pPr>
      <w:r>
        <w:rPr>
          <w:rFonts w:hint="eastAsia" w:ascii="仿宋_GB2312" w:hAnsi="仿宋" w:eastAsia="仿宋_GB2312" w:cs="仿宋_GB2312"/>
          <w:b/>
          <w:sz w:val="32"/>
          <w:szCs w:val="32"/>
        </w:rPr>
        <w:t>二、投标(开标)一览表</w:t>
      </w:r>
    </w:p>
    <w:p>
      <w:pPr>
        <w:adjustRightInd w:val="0"/>
        <w:snapToGrid w:val="0"/>
        <w:spacing w:line="360" w:lineRule="auto"/>
        <w:rPr>
          <w:rFonts w:ascii="仿宋_GB2312" w:hAnsi="仿宋" w:eastAsia="仿宋_GB2312" w:cs="仿宋_GB2312"/>
          <w:kern w:val="0"/>
          <w:sz w:val="24"/>
          <w:szCs w:val="24"/>
        </w:rPr>
      </w:pPr>
      <w:bookmarkStart w:id="555" w:name="_Toc86217005"/>
      <w:r>
        <w:rPr>
          <w:rFonts w:hint="eastAsia" w:ascii="仿宋_GB2312" w:hAnsi="仿宋" w:eastAsia="仿宋_GB2312" w:cs="仿宋_GB2312"/>
          <w:sz w:val="24"/>
          <w:szCs w:val="24"/>
        </w:rPr>
        <w:t>XXX（采购人名称）、杭州市公共资源交易中心</w:t>
      </w:r>
      <w:r>
        <w:rPr>
          <w:rFonts w:hint="eastAsia" w:ascii="仿宋_GB2312" w:hAnsi="仿宋" w:eastAsia="仿宋_GB2312" w:cs="仿宋_GB2312"/>
          <w:sz w:val="24"/>
          <w:szCs w:val="24"/>
          <w:lang w:eastAsia="zh-CN"/>
        </w:rPr>
        <w:t>临安分中心</w:t>
      </w:r>
      <w:r>
        <w:rPr>
          <w:rFonts w:hint="eastAsia" w:ascii="仿宋_GB2312" w:hAnsi="仿宋" w:eastAsia="仿宋_GB2312" w:cs="仿宋_GB2312"/>
          <w:kern w:val="0"/>
          <w:sz w:val="24"/>
          <w:szCs w:val="24"/>
          <w:lang w:val="zh-CN"/>
        </w:rPr>
        <w:t>：</w:t>
      </w:r>
    </w:p>
    <w:p>
      <w:pPr>
        <w:adjustRightInd w:val="0"/>
        <w:snapToGrid w:val="0"/>
        <w:spacing w:line="360" w:lineRule="auto"/>
        <w:ind w:firstLine="482"/>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sz w:val="24"/>
          <w:szCs w:val="24"/>
        </w:rPr>
        <w:t>XXXXXX项目</w:t>
      </w:r>
      <w:r>
        <w:rPr>
          <w:rFonts w:hint="eastAsia" w:ascii="仿宋_GB2312" w:hAnsi="仿宋" w:eastAsia="仿宋_GB2312" w:cs="仿宋_GB2312"/>
          <w:kern w:val="0"/>
          <w:sz w:val="24"/>
          <w:szCs w:val="24"/>
          <w:lang w:val="zh-CN"/>
        </w:rPr>
        <w:t>【招标编号：</w:t>
      </w:r>
      <w:r>
        <w:rPr>
          <w:rFonts w:hint="eastAsia" w:ascii="仿宋_GB2312" w:hAnsi="仿宋" w:eastAsia="仿宋_GB2312" w:cs="仿宋_GB2312"/>
          <w:sz w:val="24"/>
          <w:szCs w:val="24"/>
        </w:rPr>
        <w:t>XXX】的实施</w:t>
      </w:r>
      <w:r>
        <w:rPr>
          <w:rFonts w:hint="eastAsia" w:ascii="仿宋_GB2312" w:hAnsi="仿宋" w:eastAsia="仿宋_GB2312" w:cs="仿宋_GB2312"/>
          <w:kern w:val="0"/>
          <w:sz w:val="24"/>
          <w:szCs w:val="24"/>
          <w:lang w:val="zh-CN"/>
        </w:rPr>
        <w:t>。</w:t>
      </w:r>
    </w:p>
    <w:p>
      <w:pPr>
        <w:adjustRightInd w:val="0"/>
        <w:spacing w:line="360" w:lineRule="auto"/>
        <w:jc w:val="center"/>
        <w:rPr>
          <w:rFonts w:ascii="仿宋_GB2312" w:hAnsi="仿宋" w:eastAsia="仿宋_GB2312" w:cs="仿宋_GB2312"/>
          <w:b/>
          <w:kern w:val="0"/>
          <w:sz w:val="24"/>
          <w:szCs w:val="24"/>
          <w:lang w:val="zh-CN"/>
        </w:rPr>
      </w:pPr>
      <w:r>
        <w:rPr>
          <w:rFonts w:hint="eastAsia" w:ascii="仿宋_GB2312" w:hAnsi="仿宋" w:eastAsia="仿宋_GB2312" w:cs="仿宋_GB2312"/>
          <w:b/>
          <w:kern w:val="0"/>
          <w:sz w:val="24"/>
          <w:szCs w:val="24"/>
          <w:lang w:val="zh-CN"/>
        </w:rPr>
        <w:t>投标(开标)一览表(单位均为人民币元)</w:t>
      </w:r>
    </w:p>
    <w:tbl>
      <w:tblPr>
        <w:tblStyle w:val="62"/>
        <w:tblW w:w="53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414"/>
        <w:gridCol w:w="1559"/>
        <w:gridCol w:w="1155"/>
        <w:gridCol w:w="1192"/>
        <w:gridCol w:w="907"/>
        <w:gridCol w:w="786"/>
        <w:gridCol w:w="774"/>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359"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序号</w:t>
            </w:r>
          </w:p>
        </w:tc>
        <w:tc>
          <w:tcPr>
            <w:tcW w:w="714"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名称</w:t>
            </w:r>
          </w:p>
        </w:tc>
        <w:tc>
          <w:tcPr>
            <w:tcW w:w="787" w:type="pct"/>
            <w:vAlign w:val="center"/>
          </w:tcPr>
          <w:p>
            <w:pPr>
              <w:adjustRightInd w:val="0"/>
              <w:spacing w:line="360" w:lineRule="auto"/>
              <w:jc w:val="center"/>
              <w:rPr>
                <w:rFonts w:hint="eastAsia" w:ascii="仿宋_GB2312" w:hAnsi="仿宋" w:eastAsia="仿宋_GB2312" w:cs="Times New Roman"/>
                <w:b/>
                <w:sz w:val="24"/>
                <w:szCs w:val="24"/>
                <w:lang w:eastAsia="zh-CN"/>
              </w:rPr>
            </w:pPr>
            <w:r>
              <w:rPr>
                <w:rFonts w:hint="eastAsia" w:ascii="仿宋_GB2312" w:hAnsi="仿宋" w:eastAsia="仿宋_GB2312" w:cs="Times New Roman"/>
                <w:b/>
                <w:sz w:val="24"/>
                <w:szCs w:val="24"/>
                <w:lang w:eastAsia="zh-CN"/>
              </w:rPr>
              <w:t>制造商名称</w:t>
            </w:r>
          </w:p>
        </w:tc>
        <w:tc>
          <w:tcPr>
            <w:tcW w:w="583"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品牌</w:t>
            </w:r>
          </w:p>
        </w:tc>
        <w:tc>
          <w:tcPr>
            <w:tcW w:w="601"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规格型号</w:t>
            </w:r>
          </w:p>
        </w:tc>
        <w:tc>
          <w:tcPr>
            <w:tcW w:w="458"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数量</w:t>
            </w:r>
          </w:p>
        </w:tc>
        <w:tc>
          <w:tcPr>
            <w:tcW w:w="397"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单价</w:t>
            </w:r>
          </w:p>
        </w:tc>
        <w:tc>
          <w:tcPr>
            <w:tcW w:w="391"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总价</w:t>
            </w:r>
          </w:p>
        </w:tc>
        <w:tc>
          <w:tcPr>
            <w:tcW w:w="706" w:type="pct"/>
            <w:vAlign w:val="center"/>
          </w:tcPr>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w:t>
            </w:r>
          </w:p>
        </w:tc>
        <w:tc>
          <w:tcPr>
            <w:tcW w:w="714" w:type="pct"/>
            <w:vAlign w:val="center"/>
          </w:tcPr>
          <w:p>
            <w:pPr>
              <w:adjustRightInd w:val="0"/>
              <w:snapToGrid w:val="0"/>
              <w:spacing w:line="360" w:lineRule="auto"/>
              <w:jc w:val="center"/>
              <w:rPr>
                <w:rFonts w:ascii="仿宋_GB2312" w:hAnsi="仿宋" w:eastAsia="仿宋_GB2312" w:cs="仿宋_GB2312"/>
                <w:sz w:val="24"/>
                <w:szCs w:val="24"/>
              </w:rPr>
            </w:pP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restart"/>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2</w:t>
            </w:r>
          </w:p>
        </w:tc>
        <w:tc>
          <w:tcPr>
            <w:tcW w:w="714" w:type="pct"/>
            <w:vAlign w:val="center"/>
          </w:tcPr>
          <w:p>
            <w:pPr>
              <w:adjustRightInd w:val="0"/>
              <w:snapToGrid w:val="0"/>
              <w:spacing w:line="360" w:lineRule="auto"/>
              <w:jc w:val="center"/>
              <w:rPr>
                <w:rFonts w:ascii="仿宋_GB2312" w:hAnsi="仿宋" w:eastAsia="仿宋_GB2312" w:cs="仿宋_GB2312"/>
                <w:sz w:val="24"/>
                <w:szCs w:val="24"/>
              </w:rPr>
            </w:pP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3</w:t>
            </w:r>
          </w:p>
        </w:tc>
        <w:tc>
          <w:tcPr>
            <w:tcW w:w="714" w:type="pct"/>
            <w:vAlign w:val="center"/>
          </w:tcPr>
          <w:p>
            <w:pPr>
              <w:adjustRightInd w:val="0"/>
              <w:snapToGrid w:val="0"/>
              <w:spacing w:line="360" w:lineRule="auto"/>
              <w:jc w:val="center"/>
              <w:rPr>
                <w:rFonts w:ascii="仿宋_GB2312" w:hAnsi="宋体" w:eastAsia="仿宋_GB2312" w:cs="Times New Roman"/>
                <w:b/>
                <w:sz w:val="24"/>
                <w:szCs w:val="24"/>
              </w:rPr>
            </w:pP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4</w:t>
            </w:r>
          </w:p>
        </w:tc>
        <w:tc>
          <w:tcPr>
            <w:tcW w:w="714" w:type="pct"/>
            <w:vAlign w:val="center"/>
          </w:tcPr>
          <w:p>
            <w:pPr>
              <w:adjustRightInd w:val="0"/>
              <w:snapToGrid w:val="0"/>
              <w:spacing w:line="360" w:lineRule="auto"/>
              <w:jc w:val="center"/>
              <w:rPr>
                <w:rFonts w:ascii="仿宋_GB2312" w:hAnsi="宋体" w:eastAsia="仿宋_GB2312" w:cs="Times New Roman"/>
                <w:b/>
                <w:sz w:val="24"/>
                <w:szCs w:val="24"/>
              </w:rPr>
            </w:pP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5</w:t>
            </w:r>
          </w:p>
        </w:tc>
        <w:tc>
          <w:tcPr>
            <w:tcW w:w="714" w:type="pct"/>
            <w:vAlign w:val="center"/>
          </w:tcPr>
          <w:p>
            <w:pPr>
              <w:adjustRightInd w:val="0"/>
              <w:snapToGrid w:val="0"/>
              <w:spacing w:line="360" w:lineRule="auto"/>
              <w:jc w:val="center"/>
              <w:rPr>
                <w:rFonts w:ascii="仿宋_GB2312" w:hAnsi="仿宋" w:eastAsia="仿宋_GB2312" w:cs="仿宋_GB2312"/>
                <w:sz w:val="24"/>
                <w:szCs w:val="24"/>
              </w:rPr>
            </w:pP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6</w:t>
            </w:r>
          </w:p>
        </w:tc>
        <w:tc>
          <w:tcPr>
            <w:tcW w:w="714" w:type="pct"/>
            <w:vAlign w:val="center"/>
          </w:tcPr>
          <w:p>
            <w:pPr>
              <w:adjustRightInd w:val="0"/>
              <w:snapToGrid w:val="0"/>
              <w:spacing w:line="360" w:lineRule="auto"/>
              <w:jc w:val="center"/>
              <w:rPr>
                <w:rFonts w:ascii="仿宋_GB2312" w:hAnsi="仿宋" w:eastAsia="仿宋_GB2312" w:cs="仿宋_GB2312"/>
                <w:sz w:val="24"/>
                <w:szCs w:val="24"/>
              </w:rPr>
            </w:pP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7</w:t>
            </w:r>
          </w:p>
        </w:tc>
        <w:tc>
          <w:tcPr>
            <w:tcW w:w="714" w:type="pct"/>
            <w:vAlign w:val="center"/>
          </w:tcPr>
          <w:p>
            <w:pPr>
              <w:adjustRightInd w:val="0"/>
              <w:snapToGrid w:val="0"/>
              <w:spacing w:line="360" w:lineRule="auto"/>
              <w:jc w:val="center"/>
              <w:rPr>
                <w:rFonts w:ascii="仿宋_GB2312" w:hAnsi="宋体" w:eastAsia="仿宋_GB2312" w:cs="Times New Roman"/>
                <w:b/>
                <w:sz w:val="24"/>
                <w:szCs w:val="24"/>
              </w:rPr>
            </w:pP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8</w:t>
            </w:r>
          </w:p>
        </w:tc>
        <w:tc>
          <w:tcPr>
            <w:tcW w:w="714" w:type="pct"/>
            <w:vAlign w:val="center"/>
          </w:tcPr>
          <w:p>
            <w:pPr>
              <w:adjustRightInd w:val="0"/>
              <w:snapToGrid w:val="0"/>
              <w:spacing w:line="360" w:lineRule="auto"/>
              <w:jc w:val="center"/>
              <w:rPr>
                <w:rFonts w:ascii="仿宋_GB2312" w:hAnsi="Times New Roman" w:eastAsia="仿宋_GB2312" w:cs="Times New Roman"/>
                <w:sz w:val="24"/>
                <w:szCs w:val="24"/>
              </w:rPr>
            </w:pP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9</w:t>
            </w:r>
          </w:p>
        </w:tc>
        <w:tc>
          <w:tcPr>
            <w:tcW w:w="714" w:type="pct"/>
            <w:vAlign w:val="center"/>
          </w:tcPr>
          <w:p>
            <w:pPr>
              <w:adjustRightInd w:val="0"/>
              <w:snapToGrid w:val="0"/>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w:t>
            </w: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59" w:type="pct"/>
            <w:vAlign w:val="center"/>
          </w:tcPr>
          <w:p>
            <w:pPr>
              <w:adjustRightInd w:val="0"/>
              <w:spacing w:line="360" w:lineRule="auto"/>
              <w:jc w:val="center"/>
              <w:rPr>
                <w:rFonts w:hint="eastAsia" w:ascii="仿宋_GB2312" w:hAnsi="仿宋" w:eastAsia="仿宋_GB2312" w:cs="仿宋_GB2312"/>
                <w:b/>
                <w:sz w:val="24"/>
                <w:szCs w:val="24"/>
              </w:rPr>
            </w:pPr>
          </w:p>
        </w:tc>
        <w:tc>
          <w:tcPr>
            <w:tcW w:w="2686" w:type="pct"/>
            <w:gridSpan w:val="4"/>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投标报价（小写）</w:t>
            </w:r>
          </w:p>
        </w:tc>
        <w:tc>
          <w:tcPr>
            <w:tcW w:w="1954" w:type="pct"/>
            <w:gridSpan w:val="4"/>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59" w:type="pct"/>
            <w:vAlign w:val="center"/>
          </w:tcPr>
          <w:p>
            <w:pPr>
              <w:adjustRightInd w:val="0"/>
              <w:spacing w:line="360" w:lineRule="auto"/>
              <w:jc w:val="center"/>
              <w:rPr>
                <w:rFonts w:hint="eastAsia" w:ascii="仿宋_GB2312" w:hAnsi="仿宋" w:eastAsia="仿宋_GB2312" w:cs="仿宋_GB2312"/>
                <w:b/>
                <w:sz w:val="24"/>
                <w:szCs w:val="24"/>
              </w:rPr>
            </w:pPr>
          </w:p>
        </w:tc>
        <w:tc>
          <w:tcPr>
            <w:tcW w:w="2686" w:type="pct"/>
            <w:gridSpan w:val="4"/>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投标报价（大写）</w:t>
            </w:r>
          </w:p>
        </w:tc>
        <w:tc>
          <w:tcPr>
            <w:tcW w:w="1954" w:type="pct"/>
            <w:gridSpan w:val="4"/>
            <w:vAlign w:val="center"/>
          </w:tcPr>
          <w:p>
            <w:pPr>
              <w:adjustRightInd w:val="0"/>
              <w:spacing w:line="360" w:lineRule="auto"/>
              <w:jc w:val="center"/>
              <w:rPr>
                <w:rFonts w:ascii="仿宋_GB2312" w:hAnsi="仿宋" w:eastAsia="仿宋_GB2312" w:cs="仿宋_GB2312"/>
                <w:sz w:val="24"/>
                <w:szCs w:val="24"/>
              </w:rPr>
            </w:pPr>
          </w:p>
        </w:tc>
      </w:tr>
    </w:tbl>
    <w:p>
      <w:pPr>
        <w:adjustRightInd w:val="0"/>
        <w:snapToGrid w:val="0"/>
        <w:spacing w:line="360" w:lineRule="auto"/>
        <w:ind w:left="480"/>
        <w:rPr>
          <w:rFonts w:ascii="仿宋_GB2312" w:hAnsi="仿宋" w:eastAsia="仿宋_GB2312" w:cs="仿宋_GB2312"/>
          <w:b/>
          <w:kern w:val="0"/>
          <w:sz w:val="24"/>
          <w:szCs w:val="24"/>
          <w:lang w:val="zh-CN"/>
        </w:rPr>
      </w:pPr>
      <w:r>
        <w:rPr>
          <w:rFonts w:hint="eastAsia" w:ascii="仿宋_GB2312" w:hAnsi="仿宋" w:eastAsia="仿宋_GB2312" w:cs="仿宋_GB2312"/>
          <w:b/>
          <w:kern w:val="0"/>
          <w:sz w:val="24"/>
          <w:szCs w:val="24"/>
          <w:lang w:val="zh-CN"/>
        </w:rPr>
        <w:t>注：</w:t>
      </w:r>
    </w:p>
    <w:p>
      <w:pPr>
        <w:adjustRightInd w:val="0"/>
        <w:spacing w:line="360" w:lineRule="auto"/>
        <w:ind w:left="-2" w:leftChars="-1" w:firstLine="480" w:firstLineChars="20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1、投标人需按本表格式填写，不得自行更改。</w:t>
      </w:r>
    </w:p>
    <w:p>
      <w:pPr>
        <w:adjustRightInd w:val="0"/>
        <w:snapToGrid w:val="0"/>
        <w:spacing w:line="360" w:lineRule="auto"/>
        <w:ind w:left="48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2、有关本项目实施所涉及的一切费用（详见前附表）均计入报价。</w:t>
      </w:r>
      <w:r>
        <w:rPr>
          <w:rFonts w:hint="eastAsia" w:ascii="仿宋_GB2312" w:hAnsi="仿宋" w:eastAsia="仿宋_GB2312" w:cs="Arial"/>
          <w:b/>
          <w:snapToGrid w:val="0"/>
          <w:color w:val="auto"/>
          <w:sz w:val="24"/>
          <w:szCs w:val="21"/>
        </w:rPr>
        <w:t>▲</w:t>
      </w:r>
      <w:r>
        <w:rPr>
          <w:rFonts w:hint="eastAsia" w:ascii="仿宋_GB2312" w:hAnsi="仿宋" w:eastAsia="仿宋_GB2312" w:cs="仿宋_GB2312"/>
          <w:b/>
          <w:kern w:val="0"/>
          <w:sz w:val="24"/>
          <w:szCs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szCs w:val="24"/>
          <w:lang w:val="zh-CN"/>
        </w:rPr>
        <w:t>，</w:t>
      </w:r>
      <w:r>
        <w:rPr>
          <w:rFonts w:hint="eastAsia" w:ascii="仿宋_GB2312" w:hAnsi="仿宋" w:eastAsia="仿宋_GB2312" w:cs="仿宋_GB2312"/>
          <w:b/>
          <w:kern w:val="0"/>
          <w:sz w:val="24"/>
          <w:szCs w:val="24"/>
          <w:lang w:val="zh-CN"/>
        </w:rPr>
        <w:t>各项明细费用请按实填写（不得出现“0元”“免费赠送”等形式的无偿报价）。</w:t>
      </w:r>
    </w:p>
    <w:p>
      <w:pPr>
        <w:adjustRightInd w:val="0"/>
        <w:snapToGrid w:val="0"/>
        <w:spacing w:line="360" w:lineRule="auto"/>
        <w:ind w:firstLine="480" w:firstLineChars="200"/>
        <w:jc w:val="left"/>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en-US" w:eastAsia="zh-CN"/>
        </w:rPr>
        <w:t>3</w:t>
      </w:r>
      <w:r>
        <w:rPr>
          <w:rFonts w:hint="eastAsia" w:ascii="仿宋_GB2312" w:hAnsi="仿宋" w:eastAsia="仿宋_GB2312" w:cs="仿宋_GB2312"/>
          <w:kern w:val="0"/>
          <w:sz w:val="24"/>
          <w:szCs w:val="24"/>
          <w:lang w:val="zh-CN"/>
        </w:rPr>
        <w:t>、特别提示：采购机构将对项目名称和项目编号，中标供应商名称、地址和中标金额，主要中标标的的名称、规格型号、数量、单价、服务要求等予以公示。</w:t>
      </w:r>
    </w:p>
    <w:p>
      <w:pPr>
        <w:adjustRightInd w:val="0"/>
        <w:spacing w:line="360" w:lineRule="auto"/>
        <w:ind w:firstLine="480" w:firstLineChars="200"/>
        <w:rPr>
          <w:rFonts w:ascii="仿宋_GB2312" w:hAnsi="仿宋" w:eastAsia="仿宋_GB2312" w:cs="仿宋_GB2312"/>
          <w:kern w:val="0"/>
          <w:sz w:val="24"/>
          <w:szCs w:val="24"/>
          <w:u w:val="single"/>
          <w:lang w:val="zh-CN"/>
        </w:rPr>
      </w:pPr>
      <w:r>
        <w:rPr>
          <w:rFonts w:hint="eastAsia" w:ascii="仿宋_GB2312" w:hAnsi="仿宋" w:eastAsia="仿宋_GB2312" w:cs="仿宋_GB2312"/>
          <w:kern w:val="0"/>
          <w:sz w:val="24"/>
          <w:lang w:val="en-US" w:eastAsia="zh-CN"/>
        </w:rPr>
        <w:t>4</w:t>
      </w:r>
      <w:r>
        <w:rPr>
          <w:rFonts w:ascii="仿宋_GB2312" w:hAnsi="仿宋" w:eastAsia="仿宋_GB2312" w:cs="仿宋_GB2312"/>
          <w:kern w:val="0"/>
          <w:sz w:val="24"/>
          <w:lang w:val="zh-CN"/>
        </w:rPr>
        <w:t>、</w:t>
      </w:r>
      <w:r>
        <w:rPr>
          <w:rFonts w:hint="eastAsia" w:ascii="仿宋_GB2312" w:hAnsi="仿宋" w:eastAsia="仿宋_GB2312" w:cs="仿宋_GB2312"/>
          <w:kern w:val="0"/>
          <w:sz w:val="24"/>
          <w:szCs w:val="24"/>
          <w:lang w:val="zh-CN"/>
        </w:rPr>
        <w:t>符合招标文件中列明的可享受中小企业扶持政策的投标人，请填写中小企业声明函。注：投标人</w:t>
      </w:r>
      <w:r>
        <w:rPr>
          <w:rFonts w:ascii="仿宋_GB2312" w:hAnsi="仿宋" w:eastAsia="仿宋_GB2312" w:cs="仿宋_GB2312"/>
          <w:kern w:val="0"/>
          <w:sz w:val="24"/>
          <w:szCs w:val="24"/>
          <w:lang w:val="zh-CN"/>
        </w:rPr>
        <w:t>提供</w:t>
      </w:r>
      <w:r>
        <w:rPr>
          <w:rFonts w:hint="eastAsia" w:ascii="仿宋_GB2312" w:hAnsi="仿宋" w:eastAsia="仿宋_GB2312" w:cs="仿宋_GB2312"/>
          <w:kern w:val="0"/>
          <w:sz w:val="24"/>
          <w:szCs w:val="24"/>
          <w:lang w:val="zh-CN"/>
        </w:rPr>
        <w:t>的中小企业</w:t>
      </w:r>
      <w:r>
        <w:rPr>
          <w:rFonts w:ascii="仿宋_GB2312" w:hAnsi="仿宋" w:eastAsia="仿宋_GB2312" w:cs="仿宋_GB2312"/>
          <w:kern w:val="0"/>
          <w:sz w:val="24"/>
          <w:szCs w:val="24"/>
          <w:lang w:val="zh-CN"/>
        </w:rPr>
        <w:t>声明函内容不实的，属于提供虚假材料谋取中标、成交，依照《中华人民共和国政府采购法》等国家有关规定追究相应责任。</w:t>
      </w:r>
    </w:p>
    <w:p>
      <w:pPr>
        <w:adjustRightInd w:val="0"/>
        <w:snapToGrid w:val="0"/>
        <w:spacing w:line="360" w:lineRule="auto"/>
        <w:ind w:firstLine="482" w:firstLineChars="200"/>
        <w:jc w:val="right"/>
        <w:rPr>
          <w:rFonts w:ascii="仿宋_GB2312" w:hAnsi="仿宋" w:eastAsia="仿宋_GB2312" w:cs="Times New Roman"/>
          <w:b/>
          <w:kern w:val="0"/>
          <w:sz w:val="24"/>
          <w:szCs w:val="24"/>
        </w:rPr>
      </w:pPr>
    </w:p>
    <w:p>
      <w:pPr>
        <w:adjustRightInd w:val="0"/>
        <w:spacing w:line="360" w:lineRule="auto"/>
        <w:ind w:right="960"/>
        <w:jc w:val="both"/>
        <w:rPr>
          <w:rFonts w:hint="eastAsia" w:ascii="仿宋_GB2312" w:hAnsi="仿宋" w:eastAsia="仿宋_GB2312" w:cs="仿宋_GB2312"/>
          <w:sz w:val="24"/>
          <w:szCs w:val="24"/>
          <w:lang w:eastAsia="zh-CN"/>
        </w:rPr>
      </w:pPr>
    </w:p>
    <w:p>
      <w:pPr>
        <w:adjustRightInd w:val="0"/>
        <w:spacing w:line="360" w:lineRule="auto"/>
        <w:ind w:right="960"/>
        <w:jc w:val="both"/>
        <w:rPr>
          <w:rFonts w:hint="eastAsia" w:ascii="仿宋_GB2312" w:hAnsi="仿宋" w:eastAsia="仿宋_GB2312" w:cs="仿宋_GB2312"/>
          <w:sz w:val="24"/>
          <w:szCs w:val="24"/>
          <w:lang w:eastAsia="zh-CN"/>
        </w:rPr>
      </w:pPr>
    </w:p>
    <w:p>
      <w:pPr>
        <w:adjustRightInd w:val="0"/>
        <w:spacing w:line="360" w:lineRule="auto"/>
        <w:ind w:right="960"/>
        <w:jc w:val="both"/>
        <w:rPr>
          <w:rFonts w:hint="eastAsia" w:ascii="仿宋_GB2312" w:hAnsi="仿宋" w:eastAsia="仿宋_GB2312" w:cs="仿宋_GB2312"/>
          <w:sz w:val="24"/>
          <w:szCs w:val="24"/>
          <w:lang w:eastAsia="zh-CN"/>
        </w:rPr>
      </w:pPr>
    </w:p>
    <w:p>
      <w:pPr>
        <w:adjustRightInd w:val="0"/>
        <w:spacing w:line="360" w:lineRule="auto"/>
        <w:ind w:right="960"/>
        <w:jc w:val="right"/>
        <w:rPr>
          <w:rFonts w:ascii="仿宋_GB2312" w:hAnsi="仿宋" w:eastAsia="仿宋_GB2312" w:cs="仿宋_GB2312"/>
          <w:sz w:val="24"/>
          <w:szCs w:val="24"/>
        </w:rPr>
      </w:pPr>
      <w:r>
        <w:rPr>
          <w:rFonts w:hint="eastAsia" w:ascii="仿宋_GB2312" w:hAnsi="仿宋" w:eastAsia="仿宋_GB2312" w:cs="仿宋_GB2312"/>
          <w:sz w:val="24"/>
          <w:szCs w:val="24"/>
          <w:lang w:eastAsia="zh-CN"/>
        </w:rPr>
        <w:t>投标</w:t>
      </w:r>
      <w:r>
        <w:rPr>
          <w:rFonts w:hint="eastAsia" w:ascii="仿宋_GB2312" w:hAnsi="仿宋" w:eastAsia="仿宋_GB2312" w:cs="仿宋_GB2312"/>
          <w:sz w:val="24"/>
          <w:szCs w:val="24"/>
        </w:rPr>
        <w:t>人名称（电子签名）：</w:t>
      </w:r>
    </w:p>
    <w:p>
      <w:pPr>
        <w:adjustRightInd w:val="0"/>
        <w:spacing w:line="360" w:lineRule="auto"/>
        <w:ind w:right="480"/>
        <w:jc w:val="center"/>
        <w:rPr>
          <w:rFonts w:ascii="仿宋_GB2312" w:hAnsi="仿宋" w:eastAsia="仿宋_GB2312" w:cs="仿宋_GB2312"/>
          <w:sz w:val="36"/>
          <w:szCs w:val="36"/>
          <w:lang w:val="zh-CN"/>
        </w:rPr>
        <w:sectPr>
          <w:pgSz w:w="11906" w:h="16838"/>
          <w:pgMar w:top="1276" w:right="1418" w:bottom="1247" w:left="1418" w:header="851" w:footer="992" w:gutter="0"/>
          <w:cols w:space="720" w:num="1"/>
          <w:titlePg/>
          <w:docGrid w:linePitch="312" w:charSpace="0"/>
        </w:sectPr>
      </w:pP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 xml:space="preserve">日期：  年   月  </w:t>
      </w:r>
      <w:bookmarkEnd w:id="555"/>
    </w:p>
    <w:p>
      <w:pPr>
        <w:pStyle w:val="625"/>
        <w:keepNext w:val="0"/>
        <w:pageBreakBefore w:val="0"/>
        <w:tabs>
          <w:tab w:val="clear" w:pos="720"/>
        </w:tabs>
        <w:snapToGrid w:val="0"/>
        <w:spacing w:before="120" w:after="120"/>
        <w:jc w:val="center"/>
        <w:outlineLvl w:val="9"/>
        <w:rPr>
          <w:rFonts w:hint="eastAsia" w:ascii="仿宋_GB2312" w:hAnsi="仿宋" w:eastAsia="仿宋_GB2312" w:cs="仿宋_GB2312"/>
          <w:kern w:val="2"/>
          <w:sz w:val="32"/>
          <w:szCs w:val="32"/>
          <w:lang w:eastAsia="zh-CN"/>
        </w:rPr>
      </w:pPr>
      <w:r>
        <w:rPr>
          <w:rFonts w:hint="eastAsia" w:ascii="仿宋_GB2312" w:hAnsi="仿宋" w:eastAsia="仿宋_GB2312" w:cs="仿宋_GB2312"/>
          <w:kern w:val="2"/>
          <w:sz w:val="32"/>
          <w:szCs w:val="32"/>
          <w:lang w:eastAsia="zh-CN"/>
        </w:rPr>
        <w:t>三、</w:t>
      </w:r>
      <w:r>
        <w:rPr>
          <w:rFonts w:hint="eastAsia" w:ascii="仿宋_GB2312" w:hAnsi="仿宋" w:eastAsia="仿宋_GB2312" w:cs="仿宋_GB2312"/>
          <w:kern w:val="2"/>
          <w:sz w:val="32"/>
          <w:szCs w:val="32"/>
        </w:rPr>
        <w:t>中小企业声明函</w:t>
      </w:r>
    </w:p>
    <w:p>
      <w:pPr>
        <w:spacing w:line="360" w:lineRule="auto"/>
        <w:ind w:firstLine="600" w:firstLineChars="2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w:t>
      </w:r>
      <w:r>
        <w:rPr>
          <w:rFonts w:hint="eastAsia" w:ascii="仿宋_GB2312" w:hAnsi="宋体" w:eastAsia="仿宋_GB2312"/>
          <w:sz w:val="24"/>
          <w:lang w:eastAsia="zh-CN"/>
        </w:rPr>
        <w:t>制造商</w:t>
      </w:r>
      <w:r>
        <w:rPr>
          <w:rFonts w:hint="eastAsia" w:ascii="仿宋_GB2312" w:hAnsi="宋体" w:eastAsia="仿宋_GB2312"/>
          <w:sz w:val="24"/>
        </w:rPr>
        <w:t xml:space="preserve">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w:t>
      </w:r>
      <w:r>
        <w:rPr>
          <w:rFonts w:hint="eastAsia" w:ascii="仿宋_GB2312" w:hAnsi="宋体" w:eastAsia="仿宋_GB2312"/>
          <w:sz w:val="24"/>
          <w:lang w:eastAsia="zh-CN"/>
        </w:rPr>
        <w:t>，</w:t>
      </w:r>
      <w:r>
        <w:rPr>
          <w:rFonts w:hint="eastAsia" w:ascii="仿宋_GB2312" w:hAnsi="宋体" w:eastAsia="仿宋_GB2312"/>
          <w:sz w:val="24"/>
        </w:rPr>
        <w:t>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 xml:space="preserve">（标的名称） </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w:t>
      </w:r>
      <w:r>
        <w:rPr>
          <w:rFonts w:hint="eastAsia" w:ascii="仿宋_GB2312" w:hAnsi="宋体" w:eastAsia="仿宋_GB2312"/>
          <w:sz w:val="24"/>
          <w:lang w:eastAsia="zh-CN"/>
        </w:rPr>
        <w:t>制造商</w:t>
      </w:r>
      <w:r>
        <w:rPr>
          <w:rFonts w:hint="eastAsia" w:ascii="仿宋_GB2312" w:hAnsi="宋体" w:eastAsia="仿宋_GB2312"/>
          <w:sz w:val="24"/>
        </w:rPr>
        <w:t xml:space="preserve">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 xml:space="preserve">万元，属于 </w:t>
      </w:r>
      <w:r>
        <w:rPr>
          <w:rFonts w:hint="eastAsia" w:ascii="仿宋_GB2312" w:hAnsi="宋体" w:eastAsia="仿宋_GB2312"/>
          <w:sz w:val="24"/>
          <w:u w:val="single"/>
        </w:rPr>
        <w:t>（中型企业、小型企业、微型企业）</w:t>
      </w:r>
      <w:r>
        <w:rPr>
          <w:rFonts w:hint="eastAsia" w:ascii="仿宋_GB2312" w:hAnsi="宋体" w:eastAsia="仿宋_GB2312"/>
          <w:sz w:val="24"/>
        </w:rPr>
        <w:t xml:space="preserve"> ；</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04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 xml:space="preserve">名称（ </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5160" w:firstLineChars="21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仿宋" w:eastAsia="仿宋_GB2312" w:cs="仿宋_GB2312"/>
          <w:sz w:val="24"/>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36"/>
          <w:szCs w:val="36"/>
        </w:rPr>
      </w:pPr>
      <w:r>
        <w:rPr>
          <w:rFonts w:hint="eastAsia" w:ascii="仿宋_GB2312" w:hAnsi="仿宋" w:eastAsia="仿宋_GB2312" w:cs="仿宋_GB2312"/>
          <w:sz w:val="24"/>
        </w:rPr>
        <w:t xml:space="preserve">  </w:t>
      </w:r>
      <w:r>
        <w:rPr>
          <w:rFonts w:hint="eastAsia" w:ascii="仿宋_GB2312" w:hAnsi="仿宋" w:eastAsia="仿宋_GB2312" w:cs="仿宋_GB2312"/>
          <w:sz w:val="22"/>
          <w:szCs w:val="21"/>
        </w:rPr>
        <w:t xml:space="preserve"> </w:t>
      </w:r>
      <w:r>
        <w:rPr>
          <w:rFonts w:hint="eastAsia" w:ascii="仿宋_GB2312" w:hAnsi="仿宋" w:eastAsia="仿宋_GB2312" w:cs="仿宋_GB2312"/>
          <w:sz w:val="24"/>
          <w:szCs w:val="22"/>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djustRightInd w:val="0"/>
        <w:spacing w:line="360" w:lineRule="auto"/>
        <w:ind w:right="420" w:firstLine="480" w:firstLineChars="200"/>
        <w:rPr>
          <w:rFonts w:hint="eastAsia" w:ascii="仿宋_GB2312" w:hAnsi="仿宋" w:eastAsia="仿宋_GB2312" w:cs="仿宋_GB2312"/>
          <w:sz w:val="24"/>
          <w:szCs w:val="24"/>
        </w:rPr>
      </w:pPr>
      <w:r>
        <w:rPr>
          <w:rFonts w:hint="eastAsia" w:ascii="仿宋_GB2312" w:hAnsi="仿宋" w:eastAsia="仿宋_GB2312" w:cs="仿宋_GB2312"/>
          <w:sz w:val="24"/>
          <w:szCs w:val="24"/>
        </w:rPr>
        <w:t>投标人应当对其出具的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如投标人对相关制造商信息了解不充分，或者不能确定相关信息真实、准确的，不建议出具《中小企业声明函》。</w:t>
      </w:r>
    </w:p>
    <w:p>
      <w:pPr>
        <w:pStyle w:val="78"/>
        <w:rPr>
          <w:rFonts w:hint="eastAsia" w:eastAsia="仿宋_GB2312"/>
          <w:b/>
          <w:bCs/>
          <w:sz w:val="24"/>
          <w:szCs w:val="24"/>
          <w:lang w:eastAsia="zh-CN"/>
        </w:rPr>
      </w:pPr>
      <w:r>
        <w:rPr>
          <w:rFonts w:hint="eastAsia"/>
          <w:b/>
          <w:bCs/>
          <w:sz w:val="24"/>
          <w:szCs w:val="24"/>
          <w:lang w:eastAsia="zh-CN"/>
        </w:rPr>
        <w:t>采购标的：见下表：所属行业：工业</w:t>
      </w:r>
    </w:p>
    <w:tbl>
      <w:tblPr>
        <w:tblStyle w:val="6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4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55寸LCD显示单元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55寸屏支架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大屏拼接控制设备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无线投屏盒子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智能交互会议平板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智能交互会议平板支架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多媒体地插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会议音箱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专业功放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12路调音台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无线手持话筒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手拉手会议主机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手拉手主席单元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手拉手代表单元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手拉手专用线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多媒体管控平台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编程软件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电源控制器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8路电源管理器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DI盒子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路由器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无线控制终端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控制机柜（27U)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46寸LCD显示单元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46寸屏支架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分体机双屏电脑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分体机单屏电脑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扫描仪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一体机电脑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22寸壁挂播控一体机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立式信息发布屏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档案自助查阅机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无线取号机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无线叫号器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无线评价器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面板式AP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核心交换机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线阵音箱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线阵低音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线阵功放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返听音箱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台唇音箱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辅助音箱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返听功放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台唇功放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辅助功放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无线头戴话筒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有线会议话筒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12路自动混音器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数字调音台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接口箱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有源监听音箱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音箱地插盒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线阵音箱支架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控制机柜（32U)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分布式交互管理软件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2路分布式视频输入节点（带音频）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2路分布式视频输出节点（带音频）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控制系统主机模块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DANTE网络扩展箱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4路HDMI输入板卡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4路HDMI输出板卡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24口POE交换机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管理电脑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便携式录播主机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视频会议摄像机接口地插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室内LED大屏P2.5（中间大屏）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室内LED大屏P2.5（侧边大屏）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电子会标LED屏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LED大屏控制卡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LED屏异步控制卡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拼接控制软件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室内大屏框架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PLC智能控制配电箱（20KW)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PLC智能控制配电箱(10KW)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信息发布盒子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网络功放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16路调音台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音响面板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2路分布式视频输入节点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2路分布式视频输出节点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分布式控制扩展终端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室内LED大屏P2.0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PLC智能控制配电箱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多媒体桌插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15.6寸带话筒无纸化一体机升降机(含话筒)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无纸化会议控制电脑主机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无纸化后台管理软件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无纸化会议终端客户端软件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手拉手数字会议主机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投影同屏控制器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无纸化流媒体服务器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无线会议话筒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室内LED大屏P2.5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数据光端机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信息发布服务器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嵌入式信息发布系统软件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信息发布客户端授权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会议预定软件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会议预定接口软件</w:t>
            </w:r>
          </w:p>
        </w:tc>
      </w:tr>
    </w:tbl>
    <w:p>
      <w:pPr>
        <w:pStyle w:val="78"/>
        <w:rPr>
          <w:sz w:val="24"/>
          <w:szCs w:val="24"/>
        </w:rPr>
        <w:sectPr>
          <w:pgSz w:w="11906" w:h="16838"/>
          <w:pgMar w:top="1247" w:right="1418" w:bottom="1276"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1</w:t>
      </w:r>
      <w:r>
        <w:rPr>
          <w:rFonts w:hint="eastAsia" w:ascii="仿宋_GB2312" w:hAnsi="仿宋_GB2312" w:eastAsia="仿宋_GB2312" w:cs="仿宋_GB2312"/>
        </w:rPr>
        <w:t>）资信文件复印件（如果要求提供）…………………………</w:t>
      </w:r>
      <w:r>
        <w:rPr>
          <w:rFonts w:hint="eastAsia" w:ascii="仿宋_GB2312" w:hAnsi="仿宋_GB2312" w:eastAsia="仿宋_GB2312" w:cs="仿宋_GB2312"/>
          <w:lang w:val="zh-CN"/>
        </w:rPr>
        <w:t>…</w:t>
      </w:r>
      <w:r>
        <w:rPr>
          <w:rFonts w:hint="eastAsia" w:ascii="仿宋_GB2312" w:hAnsi="仿宋_GB2312" w:eastAsia="仿宋_GB2312" w:cs="仿宋_GB2312"/>
        </w:rPr>
        <w:t>… （页码）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2</w:t>
      </w:r>
      <w:r>
        <w:rPr>
          <w:rFonts w:hint="eastAsia" w:ascii="仿宋_GB2312" w:hAnsi="仿宋_GB2312" w:eastAsia="仿宋_GB2312" w:cs="仿宋_GB2312"/>
        </w:rPr>
        <w:t>）</w:t>
      </w:r>
      <w:r>
        <w:rPr>
          <w:rFonts w:hint="eastAsia" w:ascii="仿宋_GB2312" w:hAnsi="仿宋_GB2312" w:eastAsia="仿宋_GB2312" w:cs="仿宋_GB2312"/>
          <w:lang w:val="zh-CN"/>
        </w:rPr>
        <w:t>主要业绩证明… ……………………………………………………</w:t>
      </w:r>
      <w:r>
        <w:rPr>
          <w:rFonts w:hint="eastAsia" w:ascii="仿宋_GB2312" w:hAnsi="仿宋_GB2312" w:eastAsia="仿宋_GB2312" w:cs="仿宋_GB2312"/>
        </w:rPr>
        <w:t>（页码）</w:t>
      </w:r>
    </w:p>
    <w:p>
      <w:pPr>
        <w:pStyle w:val="436"/>
        <w:spacing w:line="360" w:lineRule="auto"/>
        <w:rPr>
          <w:rFonts w:hint="eastAsia" w:ascii="仿宋_GB2312" w:hAnsi="仿宋_GB2312" w:eastAsia="仿宋_GB2312" w:cs="仿宋_GB2312"/>
        </w:rPr>
      </w:pPr>
      <w:bookmarkStart w:id="556" w:name="OLE_LINK6"/>
      <w:bookmarkStart w:id="557" w:name="OLE_LINK7"/>
      <w:bookmarkStart w:id="558" w:name="OLE_LINK5"/>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）其他商务文件或说明</w:t>
      </w:r>
      <w:r>
        <w:rPr>
          <w:rFonts w:hint="eastAsia" w:ascii="仿宋_GB2312" w:hAnsi="仿宋_GB2312" w:eastAsia="仿宋_GB2312" w:cs="仿宋_GB2312"/>
          <w:lang w:val="zh-CN"/>
        </w:rPr>
        <w:t xml:space="preserve">……………………………………………… </w:t>
      </w:r>
      <w:r>
        <w:rPr>
          <w:rFonts w:hint="eastAsia" w:ascii="仿宋_GB2312" w:hAnsi="仿宋_GB2312" w:eastAsia="仿宋_GB2312" w:cs="仿宋_GB2312"/>
        </w:rPr>
        <w:t>（页码）</w:t>
      </w:r>
      <w:bookmarkEnd w:id="556"/>
      <w:bookmarkEnd w:id="557"/>
    </w:p>
    <w:bookmarkEnd w:id="558"/>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4</w:t>
      </w:r>
      <w:r>
        <w:rPr>
          <w:rFonts w:hint="eastAsia" w:ascii="仿宋_GB2312" w:hAnsi="仿宋_GB2312" w:eastAsia="仿宋_GB2312" w:cs="仿宋_GB2312"/>
        </w:rPr>
        <w:t>）</w:t>
      </w:r>
      <w:r>
        <w:rPr>
          <w:rFonts w:hint="eastAsia" w:ascii="仿宋_GB2312" w:hAnsi="仿宋" w:eastAsia="仿宋_GB2312" w:cs="仿宋_GB2312"/>
          <w:kern w:val="0"/>
          <w:sz w:val="24"/>
        </w:rPr>
        <w:t>技术解决方案</w:t>
      </w:r>
      <w:r>
        <w:rPr>
          <w:rFonts w:hint="eastAsia" w:ascii="仿宋_GB2312" w:hAnsi="仿宋_GB2312" w:eastAsia="仿宋_GB2312" w:cs="仿宋_GB2312"/>
        </w:rPr>
        <w:t>………………………………………………………（页码）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5</w:t>
      </w:r>
      <w:r>
        <w:rPr>
          <w:rFonts w:hint="eastAsia" w:ascii="仿宋_GB2312" w:hAnsi="仿宋_GB2312" w:eastAsia="仿宋_GB2312" w:cs="仿宋_GB2312"/>
        </w:rPr>
        <w:t>）</w:t>
      </w:r>
      <w:r>
        <w:rPr>
          <w:rFonts w:hint="eastAsia" w:ascii="仿宋_GB2312" w:hAnsi="仿宋" w:eastAsia="仿宋_GB2312" w:cs="仿宋_GB2312"/>
          <w:kern w:val="0"/>
          <w:sz w:val="24"/>
        </w:rPr>
        <w:t>技术偏离说明表</w:t>
      </w:r>
      <w:r>
        <w:rPr>
          <w:rFonts w:hint="eastAsia" w:ascii="仿宋_GB2312" w:hAnsi="仿宋_GB2312" w:eastAsia="仿宋_GB2312" w:cs="仿宋_GB2312"/>
        </w:rPr>
        <w:t>……………………………………………………（页码）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6</w:t>
      </w:r>
      <w:r>
        <w:rPr>
          <w:rFonts w:hint="eastAsia" w:ascii="仿宋_GB2312" w:hAnsi="仿宋_GB2312" w:eastAsia="仿宋_GB2312" w:cs="仿宋_GB2312"/>
        </w:rPr>
        <w:t>）组织实施方案………………………………………………………（页码）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7</w:t>
      </w:r>
      <w:r>
        <w:rPr>
          <w:rFonts w:hint="eastAsia" w:ascii="仿宋_GB2312" w:hAnsi="仿宋_GB2312" w:eastAsia="仿宋_GB2312" w:cs="仿宋_GB2312"/>
        </w:rPr>
        <w:t>）</w:t>
      </w:r>
      <w:r>
        <w:rPr>
          <w:rFonts w:hint="eastAsia" w:ascii="仿宋_GB2312" w:hAnsi="仿宋" w:eastAsia="仿宋_GB2312" w:cs="仿宋_GB2312"/>
          <w:kern w:val="0"/>
          <w:sz w:val="24"/>
        </w:rPr>
        <w:t>售后服务方案</w:t>
      </w:r>
      <w:r>
        <w:rPr>
          <w:rFonts w:hint="eastAsia" w:ascii="仿宋_GB2312" w:hAnsi="仿宋_GB2312" w:eastAsia="仿宋_GB2312" w:cs="仿宋_GB2312"/>
        </w:rPr>
        <w:t xml:space="preserve"> ………………………………………………………（页码）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8</w:t>
      </w:r>
      <w:r>
        <w:rPr>
          <w:rFonts w:hint="eastAsia" w:ascii="仿宋_GB2312" w:hAnsi="仿宋_GB2312" w:eastAsia="仿宋_GB2312" w:cs="仿宋_GB2312"/>
        </w:rPr>
        <w:t>）</w:t>
      </w:r>
      <w:r>
        <w:rPr>
          <w:rFonts w:hint="eastAsia" w:ascii="仿宋_GB2312" w:hAnsi="仿宋" w:eastAsia="仿宋_GB2312" w:cs="仿宋_GB2312"/>
          <w:kern w:val="0"/>
          <w:sz w:val="24"/>
        </w:rPr>
        <w:t>项目小组人员名单</w:t>
      </w:r>
      <w:r>
        <w:rPr>
          <w:rFonts w:hint="eastAsia" w:ascii="仿宋_GB2312" w:hAnsi="仿宋_GB2312" w:eastAsia="仿宋_GB2312" w:cs="仿宋_GB2312"/>
        </w:rPr>
        <w:t xml:space="preserve">  ………………………………………………（页码）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hAnsi="仿宋_GB2312" w:cs="仿宋_GB2312"/>
          <w:lang w:val="en-US" w:eastAsia="zh-CN"/>
        </w:rPr>
        <w:t>9</w:t>
      </w:r>
      <w:r>
        <w:rPr>
          <w:rFonts w:hint="eastAsia" w:ascii="仿宋_GB2312" w:hAnsi="仿宋_GB2312" w:eastAsia="仿宋_GB2312" w:cs="仿宋_GB2312"/>
        </w:rPr>
        <w:t>）</w:t>
      </w:r>
      <w:r>
        <w:rPr>
          <w:rFonts w:hint="eastAsia" w:ascii="仿宋_GB2312" w:hAnsi="仿宋" w:eastAsia="仿宋_GB2312" w:cs="仿宋_GB2312"/>
          <w:kern w:val="0"/>
          <w:sz w:val="24"/>
          <w:lang w:val="zh-CN"/>
        </w:rPr>
        <w:t>优惠条件及特殊承诺</w:t>
      </w:r>
      <w:r>
        <w:rPr>
          <w:rFonts w:hint="eastAsia" w:ascii="仿宋_GB2312" w:hAnsi="仿宋_GB2312" w:eastAsia="仿宋_GB2312" w:cs="仿宋_GB2312"/>
          <w:lang w:val="zh-CN"/>
        </w:rPr>
        <w:t>………………………………</w:t>
      </w:r>
      <w:r>
        <w:rPr>
          <w:rFonts w:hint="eastAsia" w:ascii="仿宋_GB2312" w:hAnsi="仿宋_GB2312" w:eastAsia="仿宋_GB2312" w:cs="仿宋_GB2312"/>
        </w:rPr>
        <w:t>……………</w:t>
      </w:r>
      <w:r>
        <w:rPr>
          <w:rFonts w:hint="eastAsia" w:ascii="仿宋_GB2312" w:hAnsi="仿宋_GB2312" w:eastAsia="仿宋_GB2312" w:cs="仿宋_GB2312"/>
          <w:lang w:val="zh-CN"/>
        </w:rPr>
        <w:t>…</w:t>
      </w:r>
      <w:r>
        <w:rPr>
          <w:rFonts w:hint="eastAsia" w:ascii="仿宋_GB2312" w:hAnsi="仿宋_GB2312" w:eastAsia="仿宋_GB2312" w:cs="仿宋_GB2312"/>
        </w:rPr>
        <w:t>（页码）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（1</w:t>
      </w:r>
      <w:r>
        <w:rPr>
          <w:rFonts w:hint="eastAsia" w:hAnsi="仿宋_GB2312" w:cs="仿宋_GB2312"/>
          <w:lang w:val="en-US" w:eastAsia="zh-CN"/>
        </w:rPr>
        <w:t>0</w:t>
      </w:r>
      <w:r>
        <w:rPr>
          <w:rFonts w:hint="eastAsia" w:ascii="仿宋_GB2312" w:hAnsi="仿宋_GB2312" w:eastAsia="仿宋_GB2312" w:cs="仿宋_GB2312"/>
        </w:rPr>
        <w:t>）</w:t>
      </w:r>
      <w:r>
        <w:rPr>
          <w:rFonts w:hint="eastAsia" w:ascii="仿宋_GB2312" w:hAnsi="仿宋" w:eastAsia="仿宋_GB2312" w:cs="仿宋_GB2312"/>
          <w:kern w:val="0"/>
          <w:sz w:val="24"/>
          <w:lang w:val="zh-CN"/>
        </w:rPr>
        <w:t>备品备件及供选择的配套零部件清单</w:t>
      </w:r>
      <w:r>
        <w:rPr>
          <w:rFonts w:hint="eastAsia" w:ascii="仿宋_GB2312" w:hAnsi="仿宋_GB2312" w:eastAsia="仿宋_GB2312" w:cs="仿宋_GB2312"/>
          <w:lang w:val="zh-CN"/>
        </w:rPr>
        <w:t>…</w:t>
      </w:r>
      <w:r>
        <w:rPr>
          <w:rFonts w:hint="eastAsia" w:ascii="仿宋_GB2312" w:hAnsi="仿宋_GB2312" w:eastAsia="仿宋_GB2312" w:cs="仿宋_GB2312"/>
        </w:rPr>
        <w:t>……</w:t>
      </w:r>
      <w:r>
        <w:rPr>
          <w:rFonts w:hint="eastAsia" w:ascii="仿宋_GB2312" w:hAnsi="仿宋_GB2312" w:eastAsia="仿宋_GB2312" w:cs="仿宋_GB2312"/>
          <w:lang w:val="zh-CN"/>
        </w:rPr>
        <w:t>…</w:t>
      </w:r>
      <w:r>
        <w:rPr>
          <w:rFonts w:hint="eastAsia" w:ascii="仿宋_GB2312" w:hAnsi="仿宋_GB2312" w:eastAsia="仿宋_GB2312" w:cs="仿宋_GB2312"/>
        </w:rPr>
        <w:t>…………</w:t>
      </w:r>
      <w:r>
        <w:rPr>
          <w:rFonts w:hint="eastAsia" w:ascii="仿宋_GB2312" w:hAnsi="仿宋_GB2312" w:eastAsia="仿宋_GB2312" w:cs="仿宋_GB2312"/>
          <w:lang w:val="zh-CN"/>
        </w:rPr>
        <w:t>……</w:t>
      </w:r>
      <w:r>
        <w:rPr>
          <w:rFonts w:hint="eastAsia" w:ascii="仿宋_GB2312" w:hAnsi="仿宋_GB2312" w:eastAsia="仿宋_GB2312" w:cs="仿宋_GB2312"/>
        </w:rPr>
        <w:t>（页码）</w:t>
      </w:r>
    </w:p>
    <w:p>
      <w:pPr>
        <w:pStyle w:val="436"/>
        <w:spacing w:line="360" w:lineRule="auto"/>
        <w:rPr>
          <w:rFonts w:hint="eastAsia" w:ascii="仿宋_GB2312" w:hAnsi="仿宋" w:eastAsia="仿宋_GB2312" w:cs="仿宋_GB2312"/>
          <w:kern w:val="0"/>
          <w:sz w:val="24"/>
        </w:rPr>
      </w:pPr>
      <w:r>
        <w:rPr>
          <w:rFonts w:hint="eastAsia" w:cs="仿宋_GB2312"/>
          <w:kern w:val="0"/>
          <w:sz w:val="24"/>
          <w:lang w:val="zh-CN"/>
        </w:rPr>
        <w:t>（</w:t>
      </w:r>
      <w:r>
        <w:rPr>
          <w:rFonts w:hint="eastAsia" w:cs="仿宋_GB2312"/>
          <w:kern w:val="0"/>
          <w:sz w:val="24"/>
          <w:lang w:val="en-US" w:eastAsia="zh-CN"/>
        </w:rPr>
        <w:t>11</w:t>
      </w:r>
      <w:r>
        <w:rPr>
          <w:rFonts w:hint="eastAsia" w:cs="仿宋_GB2312"/>
          <w:kern w:val="0"/>
          <w:sz w:val="24"/>
          <w:lang w:val="zh-CN"/>
        </w:rPr>
        <w:t>）</w:t>
      </w:r>
      <w:r>
        <w:rPr>
          <w:rFonts w:hint="eastAsia" w:ascii="仿宋_GB2312" w:hAnsi="仿宋" w:eastAsia="仿宋_GB2312" w:cs="仿宋_GB2312"/>
          <w:kern w:val="0"/>
          <w:sz w:val="24"/>
          <w:lang w:val="zh-CN"/>
        </w:rPr>
        <w:t>培训计划…………………………………………………………</w:t>
      </w:r>
      <w:r>
        <w:rPr>
          <w:rFonts w:hint="eastAsia" w:ascii="仿宋_GB2312" w:hAnsi="仿宋" w:eastAsia="仿宋_GB2312" w:cs="仿宋_GB2312"/>
          <w:kern w:val="0"/>
          <w:sz w:val="24"/>
        </w:rPr>
        <w:t>（页码）</w:t>
      </w:r>
    </w:p>
    <w:p>
      <w:pPr>
        <w:pStyle w:val="436"/>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lang w:val="en-US" w:eastAsia="zh-CN"/>
        </w:rPr>
        <w:t>12</w:t>
      </w:r>
      <w:r>
        <w:rPr>
          <w:rFonts w:hint="eastAsia" w:ascii="仿宋_GB2312" w:hAnsi="仿宋" w:eastAsia="仿宋_GB2312" w:cs="仿宋_GB2312"/>
          <w:kern w:val="0"/>
          <w:sz w:val="24"/>
          <w:lang w:val="zh-CN"/>
        </w:rPr>
        <w:t>）认为需要的其他技术文件或说明………………………………</w:t>
      </w:r>
      <w:r>
        <w:rPr>
          <w:rFonts w:hint="eastAsia" w:ascii="仿宋_GB2312" w:hAnsi="仿宋" w:eastAsia="仿宋_GB2312" w:cs="仿宋_GB2312"/>
          <w:kern w:val="0"/>
          <w:sz w:val="24"/>
        </w:rPr>
        <w:t>（页码）</w:t>
      </w:r>
    </w:p>
    <w:p>
      <w:pPr>
        <w:pStyle w:val="436"/>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lang w:val="en-US" w:eastAsia="zh-CN"/>
        </w:rPr>
        <w:t>13</w:t>
      </w:r>
      <w:r>
        <w:rPr>
          <w:rFonts w:hint="eastAsia" w:ascii="仿宋_GB2312" w:hAnsi="仿宋" w:eastAsia="仿宋_GB2312" w:cs="仿宋_GB2312"/>
          <w:kern w:val="0"/>
          <w:sz w:val="24"/>
          <w:lang w:val="zh-CN"/>
        </w:rPr>
        <w:t>）关于对招标文件中商务、合同有关条款的拒绝声明……………</w:t>
      </w:r>
      <w:r>
        <w:rPr>
          <w:rFonts w:hint="eastAsia" w:ascii="仿宋_GB2312" w:hAnsi="仿宋" w:eastAsia="仿宋_GB2312" w:cs="仿宋_GB2312"/>
          <w:kern w:val="0"/>
          <w:sz w:val="24"/>
        </w:rPr>
        <w:t>（页码）</w:t>
      </w:r>
    </w:p>
    <w:p>
      <w:pPr>
        <w:pStyle w:val="436"/>
        <w:spacing w:line="360" w:lineRule="auto"/>
        <w:rPr>
          <w:rFonts w:hint="eastAsia" w:ascii="仿宋_GB2312" w:hAnsi="仿宋" w:eastAsia="仿宋_GB2312" w:cs="仿宋_GB2312"/>
          <w:kern w:val="0"/>
          <w:sz w:val="24"/>
          <w:lang w:val="zh-CN" w:eastAsia="zh-CN"/>
        </w:rPr>
      </w:pPr>
      <w:r>
        <w:rPr>
          <w:rFonts w:hint="eastAsia" w:ascii="仿宋_GB2312" w:hAnsi="仿宋" w:eastAsia="仿宋_GB2312" w:cs="仿宋_GB2312"/>
          <w:kern w:val="0"/>
          <w:sz w:val="24"/>
          <w:lang w:val="zh-CN" w:eastAsia="zh-CN"/>
        </w:rPr>
        <w:t>（</w:t>
      </w:r>
      <w:r>
        <w:rPr>
          <w:rFonts w:hint="eastAsia" w:ascii="仿宋_GB2312" w:hAnsi="仿宋" w:eastAsia="仿宋_GB2312" w:cs="仿宋_GB2312"/>
          <w:kern w:val="0"/>
          <w:sz w:val="24"/>
          <w:lang w:val="en-US" w:eastAsia="zh-CN"/>
        </w:rPr>
        <w:t>14</w:t>
      </w:r>
      <w:r>
        <w:rPr>
          <w:rFonts w:hint="eastAsia" w:ascii="仿宋_GB2312" w:hAnsi="仿宋" w:eastAsia="仿宋_GB2312" w:cs="仿宋_GB2312"/>
          <w:kern w:val="0"/>
          <w:sz w:val="24"/>
          <w:lang w:val="zh-CN" w:eastAsia="zh-CN"/>
        </w:rPr>
        <w:t>）廉政承诺书</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（页码）</w:t>
      </w:r>
    </w:p>
    <w:p>
      <w:pPr>
        <w:pStyle w:val="436"/>
        <w:spacing w:line="360" w:lineRule="auto"/>
        <w:rPr>
          <w:rFonts w:hint="eastAsia" w:ascii="仿宋_GB2312" w:hAnsi="仿宋" w:eastAsia="仿宋_GB2312" w:cs="仿宋_GB2312"/>
          <w:kern w:val="0"/>
          <w:sz w:val="24"/>
          <w:lang w:val="zh-CN"/>
        </w:rPr>
      </w:pPr>
    </w:p>
    <w:p>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注：以上目录是基本格式要求，各投标人可根据自身情况进一步细化。</w:t>
      </w: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pStyle w:val="78"/>
        <w:rPr>
          <w:rFonts w:hint="eastAsia" w:ascii="仿宋" w:hAnsi="仿宋" w:eastAsia="仿宋" w:cs="仿宋"/>
          <w:b/>
          <w:sz w:val="32"/>
          <w:szCs w:val="32"/>
          <w:lang w:eastAsia="zh-CN"/>
        </w:rPr>
      </w:pPr>
    </w:p>
    <w:p>
      <w:pPr>
        <w:pStyle w:val="78"/>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both"/>
        <w:rPr>
          <w:rFonts w:hint="eastAsia" w:ascii="仿宋" w:hAnsi="仿宋" w:eastAsia="仿宋" w:cs="仿宋"/>
          <w:b/>
          <w:sz w:val="32"/>
          <w:szCs w:val="32"/>
          <w:lang w:eastAsia="zh-CN"/>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、资信文件复印件（如果要求提供）</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（由投标人根据采购需求及招标文件要求编制）</w:t>
      </w:r>
    </w:p>
    <w:p>
      <w:pPr>
        <w:spacing w:line="360" w:lineRule="auto"/>
        <w:jc w:val="center"/>
        <w:rPr>
          <w:rFonts w:hint="eastAsia" w:ascii="仿宋_GB2312" w:hAnsi="仿宋_GB2312" w:eastAsia="仿宋_GB2312" w:cs="仿宋_GB2312"/>
          <w:b/>
          <w:bCs/>
          <w:sz w:val="32"/>
          <w:szCs w:val="32"/>
        </w:rPr>
      </w:pPr>
    </w:p>
    <w:p>
      <w:pPr>
        <w:snapToGrid w:val="0"/>
        <w:spacing w:line="360" w:lineRule="auto"/>
        <w:ind w:firstLine="576"/>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投标人名称(</w:t>
      </w:r>
      <w:r>
        <w:rPr>
          <w:rFonts w:hint="eastAsia" w:ascii="仿宋_GB2312" w:hAnsi="仿宋_GB2312" w:eastAsia="仿宋_GB2312" w:cs="仿宋_GB2312"/>
          <w:sz w:val="24"/>
        </w:rPr>
        <w:t>电子签名</w:t>
      </w:r>
      <w:r>
        <w:rPr>
          <w:rFonts w:hint="eastAsia" w:ascii="仿宋_GB2312" w:hAnsi="仿宋_GB2312" w:eastAsia="仿宋_GB2312" w:cs="仿宋_GB2312"/>
          <w:kern w:val="0"/>
          <w:sz w:val="24"/>
          <w:lang w:val="zh-CN"/>
        </w:rPr>
        <w:t xml:space="preserve">)：                              </w:t>
      </w:r>
    </w:p>
    <w:p>
      <w:pPr>
        <w:spacing w:line="360" w:lineRule="auto"/>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kern w:val="0"/>
          <w:sz w:val="24"/>
          <w:lang w:val="zh-CN"/>
        </w:rPr>
        <w:t xml:space="preserve">                   日期：  年  月</w:t>
      </w:r>
      <w:r>
        <w:rPr>
          <w:rFonts w:hint="eastAsia" w:ascii="仿宋_GB2312" w:hAnsi="仿宋_GB2312" w:eastAsia="仿宋_GB2312" w:cs="仿宋_GB2312"/>
          <w:kern w:val="0"/>
          <w:sz w:val="24"/>
          <w:lang w:val="en-US" w:eastAsia="zh-CN"/>
        </w:rPr>
        <w:t xml:space="preserve">  日</w:t>
      </w: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w:t>
      </w:r>
      <w:r>
        <w:rPr>
          <w:rFonts w:hint="eastAsia" w:ascii="仿宋_GB2312" w:hAnsi="仿宋_GB2312" w:eastAsia="仿宋_GB2312" w:cs="仿宋_GB2312"/>
          <w:b/>
          <w:kern w:val="0"/>
          <w:sz w:val="32"/>
          <w:szCs w:val="32"/>
          <w:lang w:val="zh-CN"/>
        </w:rPr>
        <w:t>主要业绩证明</w:t>
      </w:r>
    </w:p>
    <w:p>
      <w:pPr>
        <w:autoSpaceDE w:val="0"/>
        <w:autoSpaceDN w:val="0"/>
        <w:spacing w:line="360" w:lineRule="auto"/>
        <w:ind w:firstLine="120"/>
        <w:rPr>
          <w:rFonts w:ascii="仿宋_GB2312" w:hAnsi="仿宋" w:eastAsia="仿宋_GB2312" w:cs="仿宋_GB2312"/>
          <w:b/>
          <w:sz w:val="24"/>
        </w:rPr>
      </w:pPr>
      <w:r>
        <w:rPr>
          <w:rFonts w:hint="eastAsia" w:ascii="仿宋_GB2312" w:hAnsi="仿宋" w:eastAsia="仿宋_GB2312" w:cs="仿宋_GB2312"/>
          <w:b/>
          <w:sz w:val="24"/>
        </w:rPr>
        <w:t>附表 :相关项目建设业绩一览表</w:t>
      </w:r>
    </w:p>
    <w:tbl>
      <w:tblPr>
        <w:tblStyle w:val="62"/>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投资</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b/>
          <w:sz w:val="24"/>
        </w:rPr>
        <w:t>注：投标人可按上述的格式自行编制，须随表提交相应的合同复印件和用户单位验收证明并注明所在投标人商务技术文件页码。</w:t>
      </w:r>
    </w:p>
    <w:p>
      <w:pPr>
        <w:autoSpaceDE w:val="0"/>
        <w:autoSpaceDN w:val="0"/>
        <w:spacing w:line="360" w:lineRule="auto"/>
        <w:ind w:firstLine="4560" w:firstLineChars="1900"/>
        <w:rPr>
          <w:rFonts w:ascii="仿宋_GB2312" w:hAnsi="仿宋" w:eastAsia="仿宋_GB2312" w:cs="仿宋_GB2312"/>
          <w:kern w:val="0"/>
          <w:sz w:val="24"/>
        </w:rPr>
      </w:pPr>
    </w:p>
    <w:p>
      <w:pPr>
        <w:autoSpaceDE w:val="0"/>
        <w:autoSpaceDN w:val="0"/>
        <w:spacing w:line="360" w:lineRule="auto"/>
        <w:ind w:firstLine="4560" w:firstLineChars="1900"/>
        <w:rPr>
          <w:rFonts w:ascii="仿宋_GB2312" w:hAnsi="仿宋" w:eastAsia="仿宋_GB2312" w:cs="仿宋_GB2312"/>
          <w:kern w:val="0"/>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日期：  年  月   日</w:t>
      </w:r>
    </w:p>
    <w:p>
      <w:pPr>
        <w:pStyle w:val="932"/>
        <w:numPr>
          <w:ilvl w:val="0"/>
          <w:numId w:val="0"/>
        </w:numPr>
        <w:jc w:val="both"/>
        <w:rPr>
          <w:rFonts w:hint="eastAsia" w:ascii="仿宋_GB2312" w:hAnsi="仿宋_GB2312" w:eastAsia="仿宋_GB2312" w:cs="仿宋_GB2312"/>
          <w:b/>
          <w:sz w:val="36"/>
          <w:szCs w:val="36"/>
        </w:rPr>
      </w:pP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w:t>
      </w:r>
      <w:bookmarkStart w:id="559" w:name="OLE_LINK17"/>
      <w:bookmarkStart w:id="560" w:name="OLE_LINK16"/>
      <w:r>
        <w:rPr>
          <w:rFonts w:hint="eastAsia" w:ascii="仿宋_GB2312" w:hAnsi="仿宋_GB2312" w:eastAsia="仿宋_GB2312" w:cs="仿宋_GB2312"/>
          <w:b/>
          <w:bCs/>
          <w:sz w:val="32"/>
          <w:szCs w:val="32"/>
        </w:rPr>
        <w:t>其他商务文件或说明</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w:t>
      </w:r>
      <w:bookmarkStart w:id="561" w:name="OLE_LINK11"/>
      <w:bookmarkStart w:id="562" w:name="OLE_LINK10"/>
      <w:r>
        <w:rPr>
          <w:rFonts w:hint="eastAsia" w:ascii="仿宋_GB2312" w:hAnsi="仿宋_GB2312" w:eastAsia="仿宋_GB2312" w:cs="仿宋_GB2312"/>
          <w:sz w:val="24"/>
        </w:rPr>
        <w:t>其他商务文件或说明由投标人根据采购需求自行编制</w:t>
      </w:r>
      <w:bookmarkEnd w:id="561"/>
      <w:bookmarkEnd w:id="562"/>
      <w:r>
        <w:rPr>
          <w:rFonts w:hint="eastAsia" w:ascii="仿宋_GB2312" w:hAnsi="仿宋_GB2312" w:eastAsia="仿宋_GB2312" w:cs="仿宋_GB2312"/>
          <w:sz w:val="24"/>
        </w:rPr>
        <w:t>）</w:t>
      </w:r>
    </w:p>
    <w:bookmarkEnd w:id="559"/>
    <w:bookmarkEnd w:id="560"/>
    <w:p>
      <w:pPr>
        <w:spacing w:line="360" w:lineRule="auto"/>
        <w:jc w:val="center"/>
        <w:rPr>
          <w:rFonts w:hint="eastAsia" w:ascii="仿宋_GB2312" w:hAnsi="仿宋_GB2312" w:eastAsia="仿宋_GB2312" w:cs="仿宋_GB2312"/>
          <w:sz w:val="24"/>
        </w:rPr>
      </w:pPr>
    </w:p>
    <w:p>
      <w:pPr>
        <w:autoSpaceDE w:val="0"/>
        <w:autoSpaceDN w:val="0"/>
        <w:spacing w:line="360" w:lineRule="auto"/>
        <w:ind w:firstLine="4800" w:firstLineChars="20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w:t>
      </w:r>
      <w:r>
        <w:rPr>
          <w:rFonts w:hint="eastAsia" w:ascii="仿宋_GB2312" w:hAnsi="仿宋_GB2312" w:eastAsia="仿宋_GB2312" w:cs="仿宋_GB2312"/>
          <w:sz w:val="24"/>
        </w:rPr>
        <w:t>电子签名</w:t>
      </w:r>
      <w:r>
        <w:rPr>
          <w:rFonts w:hint="eastAsia" w:ascii="仿宋_GB2312" w:hAnsi="仿宋_GB2312" w:eastAsia="仿宋_GB2312" w:cs="仿宋_GB2312"/>
          <w:kern w:val="0"/>
          <w:sz w:val="24"/>
          <w:lang w:val="zh-CN"/>
        </w:rPr>
        <w:t xml:space="preserve">）：      </w:t>
      </w:r>
    </w:p>
    <w:p>
      <w:pPr>
        <w:autoSpaceDE w:val="0"/>
        <w:autoSpaceDN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autoSpaceDE w:val="0"/>
        <w:autoSpaceDN w:val="0"/>
        <w:spacing w:line="360" w:lineRule="auto"/>
        <w:rPr>
          <w:rFonts w:hint="eastAsia" w:ascii="仿宋_GB2312" w:hAnsi="仿宋_GB2312" w:eastAsia="仿宋_GB2312" w:cs="仿宋_GB2312"/>
          <w:kern w:val="0"/>
          <w:sz w:val="24"/>
          <w:lang w:val="zh-CN"/>
        </w:rPr>
      </w:pPr>
    </w:p>
    <w:p>
      <w:pPr>
        <w:autoSpaceDE w:val="0"/>
        <w:autoSpaceDN w:val="0"/>
        <w:spacing w:line="360" w:lineRule="auto"/>
        <w:rPr>
          <w:rFonts w:hint="eastAsia" w:ascii="仿宋_GB2312" w:hAnsi="仿宋_GB2312" w:eastAsia="仿宋_GB2312" w:cs="仿宋_GB2312"/>
          <w:kern w:val="0"/>
          <w:sz w:val="24"/>
          <w:lang w:val="zh-CN"/>
        </w:rPr>
      </w:pPr>
    </w:p>
    <w:p>
      <w:pPr>
        <w:spacing w:line="360" w:lineRule="auto"/>
        <w:jc w:val="center"/>
        <w:rPr>
          <w:rFonts w:ascii="仿宋_GB2312" w:hAnsi="仿宋" w:eastAsia="仿宋_GB2312" w:cs="仿宋_GB2312"/>
          <w:b/>
          <w:bCs/>
          <w:sz w:val="32"/>
          <w:szCs w:val="32"/>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bCs/>
          <w:sz w:val="32"/>
          <w:szCs w:val="32"/>
        </w:rPr>
        <w:t>、</w:t>
      </w:r>
      <w:r>
        <w:rPr>
          <w:rFonts w:hint="eastAsia" w:ascii="仿宋_GB2312" w:hAnsi="仿宋" w:eastAsia="仿宋_GB2312" w:cs="仿宋_GB2312"/>
          <w:b/>
          <w:bCs/>
          <w:sz w:val="32"/>
          <w:szCs w:val="32"/>
        </w:rPr>
        <w:t>技术解决方案</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snapToGrid w:val="0"/>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（一）投标产品规格配置清单</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trPr>
        <w:tc>
          <w:tcPr>
            <w:tcW w:w="73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531"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设备名称</w:t>
            </w:r>
          </w:p>
        </w:tc>
        <w:tc>
          <w:tcPr>
            <w:tcW w:w="216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投标品牌及型号</w:t>
            </w:r>
          </w:p>
        </w:tc>
        <w:tc>
          <w:tcPr>
            <w:tcW w:w="234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规格配置详细说明</w:t>
            </w:r>
          </w:p>
        </w:tc>
        <w:tc>
          <w:tcPr>
            <w:tcW w:w="108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数量</w:t>
            </w:r>
          </w:p>
        </w:tc>
        <w:tc>
          <w:tcPr>
            <w:tcW w:w="133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kern w:val="0"/>
          <w:sz w:val="28"/>
          <w:szCs w:val="28"/>
        </w:rPr>
      </w:pPr>
      <w:r>
        <w:rPr>
          <w:rFonts w:hint="eastAsia" w:ascii="仿宋_GB2312" w:hAnsi="仿宋" w:eastAsia="仿宋_GB2312" w:cs="仿宋_GB2312"/>
          <w:b/>
          <w:sz w:val="24"/>
        </w:rPr>
        <w:t>注：如果本项目涉及硬件设备采购，须在技术文件中提供此配置清单</w:t>
      </w:r>
      <w:r>
        <w:rPr>
          <w:rFonts w:hint="eastAsia" w:ascii="仿宋_GB2312" w:hAnsi="仿宋" w:eastAsia="仿宋_GB2312" w:cs="仿宋_GB2312"/>
          <w:b/>
          <w:sz w:val="28"/>
          <w:szCs w:val="28"/>
        </w:rPr>
        <w:t>。</w:t>
      </w:r>
    </w:p>
    <w:p>
      <w:pPr>
        <w:spacing w:line="360" w:lineRule="auto"/>
        <w:ind w:firstLine="1333" w:firstLineChars="400"/>
        <w:jc w:val="left"/>
        <w:rPr>
          <w:rFonts w:ascii="仿宋_GB2312" w:hAnsi="仿宋" w:eastAsia="仿宋_GB2312"/>
          <w:b/>
          <w:spacing w:val="6"/>
          <w:sz w:val="32"/>
          <w:szCs w:val="32"/>
        </w:rPr>
      </w:pPr>
      <w:r>
        <w:rPr>
          <w:rFonts w:hint="eastAsia" w:ascii="仿宋_GB2312" w:hAnsi="仿宋" w:eastAsia="仿宋_GB2312"/>
          <w:b/>
          <w:spacing w:val="6"/>
          <w:sz w:val="32"/>
          <w:szCs w:val="32"/>
        </w:rPr>
        <w:t>（二）节能产品认证证书复印件（电子签名）</w:t>
      </w:r>
    </w:p>
    <w:p>
      <w:pPr>
        <w:spacing w:line="360" w:lineRule="auto"/>
        <w:ind w:firstLine="1333" w:firstLineChars="400"/>
        <w:jc w:val="left"/>
        <w:rPr>
          <w:rFonts w:ascii="仿宋_GB2312" w:hAnsi="仿宋" w:eastAsia="仿宋_GB2312"/>
          <w:b/>
          <w:spacing w:val="6"/>
          <w:sz w:val="32"/>
          <w:szCs w:val="32"/>
        </w:rPr>
      </w:pPr>
    </w:p>
    <w:p>
      <w:pPr>
        <w:spacing w:line="360" w:lineRule="auto"/>
        <w:rPr>
          <w:rFonts w:ascii="仿宋_GB2312" w:hAnsi="仿宋" w:eastAsia="仿宋_GB2312"/>
          <w:b/>
          <w:bCs/>
          <w:sz w:val="24"/>
        </w:rPr>
      </w:pPr>
      <w:r>
        <w:rPr>
          <w:rFonts w:hint="eastAsia" w:ascii="仿宋_GB2312" w:hAnsi="仿宋" w:eastAsia="仿宋_GB2312"/>
          <w:b/>
          <w:bCs/>
          <w:sz w:val="24"/>
        </w:rPr>
        <w:t xml:space="preserve"> </w:t>
      </w:r>
    </w:p>
    <w:p>
      <w:pPr>
        <w:spacing w:line="360" w:lineRule="auto"/>
        <w:ind w:firstLine="1000" w:firstLineChars="300"/>
        <w:jc w:val="left"/>
        <w:rPr>
          <w:rFonts w:ascii="仿宋_GB2312" w:hAnsi="仿宋" w:eastAsia="仿宋_GB2312"/>
          <w:b/>
          <w:spacing w:val="6"/>
          <w:sz w:val="32"/>
          <w:szCs w:val="32"/>
        </w:rPr>
      </w:pPr>
      <w:r>
        <w:rPr>
          <w:rFonts w:hint="eastAsia" w:ascii="仿宋_GB2312" w:hAnsi="仿宋" w:eastAsia="仿宋_GB2312"/>
          <w:b/>
          <w:spacing w:val="6"/>
          <w:sz w:val="32"/>
          <w:szCs w:val="32"/>
        </w:rPr>
        <w:t>（三）环境标志产品认证证书复印件（电子签名）</w:t>
      </w: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r>
        <w:rPr>
          <w:rFonts w:hint="eastAsia" w:ascii="仿宋_GB2312" w:hAnsi="仿宋" w:eastAsia="仿宋_GB2312"/>
          <w:kern w:val="0"/>
          <w:sz w:val="24"/>
        </w:rPr>
        <w:t xml:space="preserve">供应商名称（电子签名）：                       </w:t>
      </w:r>
    </w:p>
    <w:p>
      <w:pPr>
        <w:autoSpaceDE w:val="0"/>
        <w:autoSpaceDN w:val="0"/>
        <w:spacing w:line="360" w:lineRule="auto"/>
        <w:rPr>
          <w:rFonts w:ascii="仿宋_GB2312" w:hAnsi="仿宋" w:eastAsia="仿宋_GB2312"/>
          <w:kern w:val="0"/>
          <w:sz w:val="24"/>
        </w:rPr>
      </w:pPr>
      <w:r>
        <w:rPr>
          <w:rFonts w:hint="eastAsia" w:ascii="仿宋_GB2312" w:hAnsi="仿宋" w:eastAsia="仿宋_GB2312"/>
          <w:kern w:val="0"/>
          <w:sz w:val="24"/>
        </w:rPr>
        <w:t xml:space="preserve">                                      日期：   年  月   日</w:t>
      </w:r>
    </w:p>
    <w:p>
      <w:pPr>
        <w:pStyle w:val="932"/>
        <w:numPr>
          <w:ilvl w:val="0"/>
          <w:numId w:val="0"/>
        </w:numPr>
        <w:jc w:val="both"/>
        <w:rPr>
          <w:rFonts w:hint="eastAsia" w:ascii="仿宋_GB2312" w:hAnsi="仿宋_GB2312" w:eastAsia="仿宋_GB2312" w:cs="仿宋_GB2312"/>
          <w:b/>
          <w:sz w:val="36"/>
          <w:szCs w:val="36"/>
        </w:rPr>
      </w:pP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、技术和服务偏离说明表</w:t>
      </w:r>
    </w:p>
    <w:p>
      <w:pPr>
        <w:spacing w:line="360" w:lineRule="auto"/>
        <w:jc w:val="center"/>
        <w:rPr>
          <w:rFonts w:hint="eastAsia" w:ascii="仿宋_GB2312" w:hAnsi="仿宋_GB2312" w:eastAsia="仿宋_GB2312" w:cs="仿宋_GB2312"/>
          <w:b/>
          <w:bCs/>
          <w:sz w:val="18"/>
          <w:szCs w:val="18"/>
        </w:rPr>
      </w:pP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r>
    </w:tbl>
    <w:p>
      <w:pPr>
        <w:autoSpaceDE w:val="0"/>
        <w:autoSpaceDN w:val="0"/>
        <w:spacing w:line="360" w:lineRule="auto"/>
        <w:ind w:firstLine="5040" w:firstLineChars="2100"/>
        <w:rPr>
          <w:rFonts w:hint="eastAsia" w:ascii="仿宋_GB2312" w:hAnsi="仿宋_GB2312" w:eastAsia="仿宋_GB2312" w:cs="仿宋_GB2312"/>
          <w:kern w:val="0"/>
          <w:sz w:val="24"/>
          <w:lang w:val="zh-CN"/>
        </w:rPr>
      </w:pPr>
    </w:p>
    <w:p>
      <w:pPr>
        <w:autoSpaceDE w:val="0"/>
        <w:autoSpaceDN w:val="0"/>
        <w:spacing w:line="360" w:lineRule="auto"/>
        <w:ind w:firstLine="5040" w:firstLineChars="21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投标人名称（电子签名）：      </w:t>
      </w:r>
    </w:p>
    <w:p>
      <w:pPr>
        <w:autoSpaceDE w:val="0"/>
        <w:autoSpaceDN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pStyle w:val="932"/>
        <w:numPr>
          <w:ilvl w:val="0"/>
          <w:numId w:val="0"/>
        </w:numPr>
        <w:jc w:val="both"/>
        <w:rPr>
          <w:rFonts w:hint="eastAsia" w:ascii="仿宋_GB2312" w:hAnsi="仿宋_GB2312" w:eastAsia="仿宋_GB2312" w:cs="仿宋_GB2312"/>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tabs>
          <w:tab w:val="left" w:pos="2790"/>
          <w:tab w:val="left" w:pos="4230"/>
        </w:tabs>
        <w:autoSpaceDE w:val="0"/>
        <w:autoSpaceDN w:val="0"/>
        <w:spacing w:line="360" w:lineRule="auto"/>
        <w:ind w:right="1400"/>
        <w:jc w:val="center"/>
        <w:outlineLvl w:val="1"/>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六、组织实施方案</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（由投标人根据采购需求及招标文件要求编制）</w:t>
      </w:r>
    </w:p>
    <w:p>
      <w:pPr>
        <w:tabs>
          <w:tab w:val="left" w:pos="2790"/>
          <w:tab w:val="left" w:pos="4230"/>
        </w:tabs>
        <w:autoSpaceDE w:val="0"/>
        <w:autoSpaceDN w:val="0"/>
        <w:spacing w:line="360" w:lineRule="auto"/>
        <w:ind w:right="1400"/>
        <w:outlineLvl w:val="1"/>
        <w:rPr>
          <w:rFonts w:hint="eastAsia" w:ascii="仿宋" w:hAnsi="仿宋" w:eastAsia="仿宋" w:cs="仿宋"/>
          <w:b/>
          <w:bCs/>
          <w:kern w:val="0"/>
          <w:sz w:val="24"/>
          <w:lang w:val="zh-CN"/>
        </w:rPr>
      </w:pPr>
    </w:p>
    <w:p>
      <w:pPr>
        <w:autoSpaceDE w:val="0"/>
        <w:autoSpaceDN w:val="0"/>
        <w:spacing w:line="360" w:lineRule="auto"/>
        <w:rPr>
          <w:rFonts w:hint="eastAsia" w:ascii="仿宋" w:hAnsi="仿宋" w:eastAsia="仿宋" w:cs="仿宋"/>
          <w:kern w:val="0"/>
          <w:sz w:val="24"/>
        </w:rPr>
      </w:pPr>
    </w:p>
    <w:p>
      <w:pPr>
        <w:autoSpaceDE w:val="0"/>
        <w:autoSpaceDN w:val="0"/>
        <w:spacing w:line="360" w:lineRule="auto"/>
        <w:ind w:firstLine="5400" w:firstLineChars="2250"/>
        <w:rPr>
          <w:rFonts w:hint="eastAsia" w:ascii="仿宋" w:hAnsi="仿宋" w:eastAsia="仿宋" w:cs="仿宋"/>
          <w:kern w:val="0"/>
          <w:sz w:val="24"/>
        </w:rPr>
      </w:pPr>
    </w:p>
    <w:p>
      <w:pPr>
        <w:autoSpaceDE w:val="0"/>
        <w:autoSpaceDN w:val="0"/>
        <w:spacing w:line="360" w:lineRule="auto"/>
        <w:ind w:firstLine="5400" w:firstLineChars="2250"/>
        <w:rPr>
          <w:rFonts w:hint="eastAsia" w:ascii="仿宋" w:hAnsi="仿宋" w:eastAsia="仿宋" w:cs="仿宋"/>
          <w:kern w:val="0"/>
          <w:sz w:val="24"/>
        </w:rPr>
      </w:pPr>
    </w:p>
    <w:p>
      <w:pPr>
        <w:autoSpaceDE w:val="0"/>
        <w:autoSpaceDN w:val="0"/>
        <w:spacing w:line="360" w:lineRule="auto"/>
        <w:ind w:firstLine="5040" w:firstLineChars="2100"/>
        <w:rPr>
          <w:rFonts w:hint="eastAsia" w:ascii="仿宋" w:hAnsi="仿宋" w:eastAsia="仿宋" w:cs="仿宋"/>
          <w:kern w:val="0"/>
          <w:sz w:val="24"/>
        </w:rPr>
      </w:pPr>
      <w:r>
        <w:rPr>
          <w:rFonts w:hint="eastAsia" w:ascii="仿宋" w:hAnsi="仿宋" w:eastAsia="仿宋" w:cs="仿宋"/>
          <w:kern w:val="0"/>
          <w:sz w:val="24"/>
        </w:rPr>
        <w:t>投标人名称（电子签名）：</w:t>
      </w:r>
    </w:p>
    <w:p>
      <w:pPr>
        <w:autoSpaceDE w:val="0"/>
        <w:autoSpaceDN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日期：  年  月   日</w:t>
      </w:r>
    </w:p>
    <w:p>
      <w:pPr>
        <w:pStyle w:val="932"/>
        <w:numPr>
          <w:ilvl w:val="0"/>
          <w:numId w:val="0"/>
        </w:numPr>
        <w:jc w:val="both"/>
        <w:rPr>
          <w:rFonts w:hint="eastAsia" w:ascii="仿宋" w:hAnsi="仿宋" w:eastAsia="仿宋" w:cs="仿宋"/>
          <w:b/>
          <w:sz w:val="36"/>
          <w:szCs w:val="36"/>
        </w:rPr>
      </w:pPr>
    </w:p>
    <w:p>
      <w:pPr>
        <w:spacing w:line="360" w:lineRule="auto"/>
        <w:jc w:val="center"/>
        <w:rPr>
          <w:rFonts w:ascii="仿宋_GB2312" w:hAnsi="仿宋" w:eastAsia="仿宋_GB2312" w:cs="仿宋_GB2312"/>
          <w:b/>
          <w:bCs/>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w:t>
      </w:r>
      <w:r>
        <w:rPr>
          <w:rFonts w:hint="eastAsia" w:ascii="仿宋_GB2312" w:hAnsi="仿宋" w:eastAsia="仿宋_GB2312" w:cs="仿宋_GB2312"/>
          <w:b/>
          <w:bCs/>
          <w:sz w:val="32"/>
          <w:szCs w:val="32"/>
        </w:rPr>
        <w:t>售后服务方案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2340"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服务技术人员数量</w:t>
            </w:r>
          </w:p>
        </w:tc>
        <w:tc>
          <w:tcPr>
            <w:tcW w:w="1260"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sz w:val="24"/>
              </w:rPr>
            </w:pPr>
          </w:p>
        </w:tc>
        <w:tc>
          <w:tcPr>
            <w:tcW w:w="2340" w:type="dxa"/>
          </w:tcPr>
          <w:p>
            <w:pPr>
              <w:autoSpaceDE w:val="0"/>
              <w:autoSpaceDN w:val="0"/>
              <w:spacing w:line="360" w:lineRule="auto"/>
              <w:jc w:val="center"/>
              <w:rPr>
                <w:rFonts w:ascii="仿宋_GB2312" w:hAnsi="仿宋" w:eastAsia="仿宋_GB2312" w:cs="仿宋_GB2312"/>
                <w:sz w:val="24"/>
              </w:rPr>
            </w:pPr>
          </w:p>
        </w:tc>
        <w:tc>
          <w:tcPr>
            <w:tcW w:w="1095" w:type="dxa"/>
          </w:tcPr>
          <w:p>
            <w:pPr>
              <w:autoSpaceDE w:val="0"/>
              <w:autoSpaceDN w:val="0"/>
              <w:spacing w:line="360" w:lineRule="auto"/>
              <w:jc w:val="center"/>
              <w:rPr>
                <w:rFonts w:ascii="仿宋_GB2312" w:hAnsi="仿宋" w:eastAsia="仿宋_GB2312" w:cs="仿宋_GB2312"/>
                <w:sz w:val="24"/>
              </w:rPr>
            </w:pPr>
          </w:p>
        </w:tc>
        <w:tc>
          <w:tcPr>
            <w:tcW w:w="1245" w:type="dxa"/>
          </w:tcPr>
          <w:p>
            <w:pPr>
              <w:autoSpaceDE w:val="0"/>
              <w:autoSpaceDN w:val="0"/>
              <w:spacing w:line="360" w:lineRule="auto"/>
              <w:jc w:val="center"/>
              <w:rPr>
                <w:rFonts w:ascii="仿宋_GB2312" w:hAnsi="仿宋" w:eastAsia="仿宋_GB2312" w:cs="仿宋_GB2312"/>
                <w:sz w:val="24"/>
              </w:rPr>
            </w:pPr>
          </w:p>
        </w:tc>
        <w:tc>
          <w:tcPr>
            <w:tcW w:w="1980" w:type="dxa"/>
          </w:tcPr>
          <w:p>
            <w:pPr>
              <w:autoSpaceDE w:val="0"/>
              <w:autoSpaceDN w:val="0"/>
              <w:spacing w:line="360" w:lineRule="auto"/>
              <w:jc w:val="center"/>
              <w:rPr>
                <w:rFonts w:ascii="仿宋_GB2312" w:hAnsi="仿宋" w:eastAsia="仿宋_GB2312" w:cs="仿宋_GB2312"/>
                <w:sz w:val="24"/>
              </w:rPr>
            </w:pPr>
          </w:p>
        </w:tc>
        <w:tc>
          <w:tcPr>
            <w:tcW w:w="1260" w:type="dxa"/>
          </w:tcPr>
          <w:p>
            <w:pPr>
              <w:autoSpaceDE w:val="0"/>
              <w:autoSpaceDN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sz w:val="24"/>
              </w:rPr>
            </w:pPr>
          </w:p>
        </w:tc>
        <w:tc>
          <w:tcPr>
            <w:tcW w:w="2340" w:type="dxa"/>
          </w:tcPr>
          <w:p>
            <w:pPr>
              <w:autoSpaceDE w:val="0"/>
              <w:autoSpaceDN w:val="0"/>
              <w:spacing w:line="360" w:lineRule="auto"/>
              <w:jc w:val="center"/>
              <w:rPr>
                <w:rFonts w:ascii="仿宋_GB2312" w:hAnsi="仿宋" w:eastAsia="仿宋_GB2312" w:cs="仿宋_GB2312"/>
                <w:sz w:val="24"/>
              </w:rPr>
            </w:pPr>
          </w:p>
        </w:tc>
        <w:tc>
          <w:tcPr>
            <w:tcW w:w="1095" w:type="dxa"/>
          </w:tcPr>
          <w:p>
            <w:pPr>
              <w:autoSpaceDE w:val="0"/>
              <w:autoSpaceDN w:val="0"/>
              <w:spacing w:line="360" w:lineRule="auto"/>
              <w:jc w:val="center"/>
              <w:rPr>
                <w:rFonts w:ascii="仿宋_GB2312" w:hAnsi="仿宋" w:eastAsia="仿宋_GB2312" w:cs="仿宋_GB2312"/>
                <w:sz w:val="24"/>
              </w:rPr>
            </w:pPr>
          </w:p>
        </w:tc>
        <w:tc>
          <w:tcPr>
            <w:tcW w:w="1245" w:type="dxa"/>
          </w:tcPr>
          <w:p>
            <w:pPr>
              <w:autoSpaceDE w:val="0"/>
              <w:autoSpaceDN w:val="0"/>
              <w:spacing w:line="360" w:lineRule="auto"/>
              <w:jc w:val="center"/>
              <w:rPr>
                <w:rFonts w:ascii="仿宋_GB2312" w:hAnsi="仿宋" w:eastAsia="仿宋_GB2312" w:cs="仿宋_GB2312"/>
                <w:sz w:val="24"/>
              </w:rPr>
            </w:pPr>
          </w:p>
        </w:tc>
        <w:tc>
          <w:tcPr>
            <w:tcW w:w="1980" w:type="dxa"/>
          </w:tcPr>
          <w:p>
            <w:pPr>
              <w:autoSpaceDE w:val="0"/>
              <w:autoSpaceDN w:val="0"/>
              <w:spacing w:line="360" w:lineRule="auto"/>
              <w:jc w:val="center"/>
              <w:rPr>
                <w:rFonts w:ascii="仿宋_GB2312" w:hAnsi="仿宋" w:eastAsia="仿宋_GB2312" w:cs="仿宋_GB2312"/>
                <w:sz w:val="24"/>
              </w:rPr>
            </w:pPr>
          </w:p>
        </w:tc>
        <w:tc>
          <w:tcPr>
            <w:tcW w:w="1260" w:type="dxa"/>
          </w:tcPr>
          <w:p>
            <w:pPr>
              <w:autoSpaceDE w:val="0"/>
              <w:autoSpaceDN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sz w:val="24"/>
              </w:rPr>
            </w:pPr>
          </w:p>
        </w:tc>
        <w:tc>
          <w:tcPr>
            <w:tcW w:w="2340" w:type="dxa"/>
          </w:tcPr>
          <w:p>
            <w:pPr>
              <w:autoSpaceDE w:val="0"/>
              <w:autoSpaceDN w:val="0"/>
              <w:spacing w:line="360" w:lineRule="auto"/>
              <w:jc w:val="center"/>
              <w:rPr>
                <w:rFonts w:ascii="仿宋_GB2312" w:hAnsi="仿宋" w:eastAsia="仿宋_GB2312" w:cs="仿宋_GB2312"/>
                <w:sz w:val="24"/>
              </w:rPr>
            </w:pPr>
          </w:p>
        </w:tc>
        <w:tc>
          <w:tcPr>
            <w:tcW w:w="1095" w:type="dxa"/>
          </w:tcPr>
          <w:p>
            <w:pPr>
              <w:autoSpaceDE w:val="0"/>
              <w:autoSpaceDN w:val="0"/>
              <w:spacing w:line="360" w:lineRule="auto"/>
              <w:jc w:val="center"/>
              <w:rPr>
                <w:rFonts w:ascii="仿宋_GB2312" w:hAnsi="仿宋" w:eastAsia="仿宋_GB2312" w:cs="仿宋_GB2312"/>
                <w:sz w:val="24"/>
              </w:rPr>
            </w:pPr>
          </w:p>
        </w:tc>
        <w:tc>
          <w:tcPr>
            <w:tcW w:w="1245" w:type="dxa"/>
          </w:tcPr>
          <w:p>
            <w:pPr>
              <w:autoSpaceDE w:val="0"/>
              <w:autoSpaceDN w:val="0"/>
              <w:spacing w:line="360" w:lineRule="auto"/>
              <w:jc w:val="center"/>
              <w:rPr>
                <w:rFonts w:ascii="仿宋_GB2312" w:hAnsi="仿宋" w:eastAsia="仿宋_GB2312" w:cs="仿宋_GB2312"/>
                <w:sz w:val="24"/>
              </w:rPr>
            </w:pPr>
          </w:p>
        </w:tc>
        <w:tc>
          <w:tcPr>
            <w:tcW w:w="1980" w:type="dxa"/>
          </w:tcPr>
          <w:p>
            <w:pPr>
              <w:autoSpaceDE w:val="0"/>
              <w:autoSpaceDN w:val="0"/>
              <w:spacing w:line="360" w:lineRule="auto"/>
              <w:jc w:val="center"/>
              <w:rPr>
                <w:rFonts w:ascii="仿宋_GB2312" w:hAnsi="仿宋" w:eastAsia="仿宋_GB2312" w:cs="仿宋_GB2312"/>
                <w:sz w:val="24"/>
              </w:rPr>
            </w:pPr>
          </w:p>
        </w:tc>
        <w:tc>
          <w:tcPr>
            <w:tcW w:w="1260" w:type="dxa"/>
          </w:tcPr>
          <w:p>
            <w:pPr>
              <w:autoSpaceDE w:val="0"/>
              <w:autoSpaceDN w:val="0"/>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注：关于项目涉及的所有售后服务机构均在本表注明，包括投标人本单位和符合条件的第三方服务机构；</w:t>
      </w:r>
    </w:p>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62"/>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到达现场时间</w:t>
            </w:r>
          </w:p>
        </w:tc>
      </w:tr>
      <w:tr>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autoSpaceDE w:val="0"/>
        <w:autoSpaceDN w:val="0"/>
        <w:adjustRightInd w:val="0"/>
        <w:spacing w:line="360" w:lineRule="auto"/>
        <w:rPr>
          <w:rFonts w:ascii="仿宋_GB2312" w:hAnsi="仿宋" w:eastAsia="仿宋_GB2312" w:cs="仿宋_GB2312"/>
          <w:b/>
          <w:bCs/>
          <w:sz w:val="24"/>
          <w:szCs w:val="24"/>
        </w:rPr>
      </w:pPr>
    </w:p>
    <w:p>
      <w:pPr>
        <w:pStyle w:val="932"/>
        <w:numPr>
          <w:ilvl w:val="0"/>
          <w:numId w:val="0"/>
        </w:numPr>
        <w:jc w:val="both"/>
        <w:rPr>
          <w:rFonts w:hint="eastAsia" w:ascii="仿宋" w:hAnsi="仿宋" w:eastAsia="仿宋" w:cs="仿宋"/>
          <w:b/>
          <w:sz w:val="36"/>
          <w:szCs w:val="36"/>
        </w:rPr>
      </w:pPr>
    </w:p>
    <w:p>
      <w:pPr>
        <w:spacing w:line="360" w:lineRule="auto"/>
        <w:jc w:val="both"/>
        <w:rPr>
          <w:rFonts w:hint="eastAsia" w:ascii="仿宋" w:hAnsi="仿宋" w:eastAsia="仿宋" w:cs="仿宋"/>
          <w:b/>
          <w:bCs/>
          <w:sz w:val="32"/>
          <w:szCs w:val="32"/>
          <w:lang w:eastAsia="zh-CN"/>
        </w:rPr>
      </w:pPr>
    </w:p>
    <w:p>
      <w:pPr>
        <w:spacing w:line="360" w:lineRule="auto"/>
        <w:jc w:val="center"/>
        <w:rPr>
          <w:rFonts w:ascii="仿宋_GB2312" w:hAnsi="仿宋" w:eastAsia="仿宋_GB2312" w:cs="仿宋_GB2312"/>
          <w:b/>
          <w:bCs/>
          <w:sz w:val="32"/>
          <w:szCs w:val="32"/>
        </w:rPr>
      </w:pPr>
      <w:r>
        <w:rPr>
          <w:rFonts w:hint="eastAsia" w:ascii="仿宋" w:hAnsi="仿宋" w:eastAsia="仿宋" w:cs="仿宋"/>
          <w:b/>
          <w:bCs/>
          <w:sz w:val="32"/>
          <w:szCs w:val="32"/>
          <w:lang w:eastAsia="zh-CN"/>
        </w:rPr>
        <w:t>八</w:t>
      </w:r>
      <w:r>
        <w:rPr>
          <w:rFonts w:hint="eastAsia" w:ascii="仿宋" w:hAnsi="仿宋" w:eastAsia="仿宋" w:cs="仿宋"/>
          <w:b/>
          <w:bCs/>
          <w:sz w:val="32"/>
          <w:szCs w:val="32"/>
        </w:rPr>
        <w:t>、</w:t>
      </w:r>
      <w:r>
        <w:rPr>
          <w:rFonts w:hint="eastAsia" w:ascii="仿宋_GB2312" w:hAnsi="仿宋" w:eastAsia="仿宋_GB2312" w:cs="仿宋_GB2312"/>
          <w:b/>
          <w:bCs/>
          <w:sz w:val="32"/>
          <w:szCs w:val="32"/>
        </w:rPr>
        <w:t>项目小组人员名单</w:t>
      </w:r>
    </w:p>
    <w:p>
      <w:pPr>
        <w:spacing w:line="360" w:lineRule="auto"/>
        <w:jc w:val="center"/>
        <w:rPr>
          <w:rFonts w:ascii="仿宋_GB2312" w:hAnsi="仿宋" w:eastAsia="仿宋_GB2312" w:cs="仿宋_GB2312"/>
          <w:b/>
          <w:bCs/>
          <w:sz w:val="24"/>
        </w:rPr>
      </w:pPr>
      <w:r>
        <w:rPr>
          <w:rFonts w:hint="eastAsia" w:ascii="仿宋_GB2312" w:hAnsi="仿宋" w:eastAsia="仿宋_GB2312" w:cs="仿宋_GB2312"/>
          <w:sz w:val="24"/>
        </w:rPr>
        <w:t>（由投标人根据采购需求及招标文件要求编制）</w:t>
      </w:r>
    </w:p>
    <w:p>
      <w:pPr>
        <w:keepNext/>
        <w:autoSpaceDE w:val="0"/>
        <w:autoSpaceDN w:val="0"/>
        <w:spacing w:line="360" w:lineRule="auto"/>
        <w:ind w:firstLine="477"/>
        <w:rPr>
          <w:rFonts w:ascii="仿宋_GB2312" w:hAnsi="仿宋" w:eastAsia="仿宋_GB2312" w:cs="仿宋_GB2312"/>
          <w:b/>
          <w:sz w:val="24"/>
        </w:rPr>
      </w:pPr>
      <w:r>
        <w:rPr>
          <w:rFonts w:hint="eastAsia" w:ascii="仿宋_GB2312" w:hAnsi="仿宋" w:eastAsia="仿宋_GB2312" w:cs="仿宋_GB2312"/>
          <w:b/>
          <w:sz w:val="24"/>
        </w:rPr>
        <w:t>附表A:本项目的项目经理</w:t>
      </w:r>
      <w:r>
        <w:rPr>
          <w:rFonts w:hint="eastAsia" w:ascii="仿宋_GB2312" w:hAnsi="仿宋" w:eastAsia="仿宋_GB2312" w:cs="仿宋_GB2312"/>
          <w:b/>
          <w:sz w:val="24"/>
          <w:lang w:eastAsia="zh-CN"/>
        </w:rPr>
        <w:t>（或项目负责人）</w:t>
      </w:r>
      <w:r>
        <w:rPr>
          <w:rFonts w:hint="eastAsia" w:ascii="仿宋_GB2312" w:hAnsi="仿宋" w:eastAsia="仿宋_GB2312" w:cs="仿宋_GB2312"/>
          <w:b/>
          <w:sz w:val="24"/>
        </w:rPr>
        <w:t>情况表</w:t>
      </w:r>
    </w:p>
    <w:tbl>
      <w:tblPr>
        <w:tblStyle w:val="62"/>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投标截止时间前三年业绩及承担的主要工作情况，曾担任项目经理的项目应列明细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62"/>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注：投标人可按上述的格式自行编制，须随表提交相应的证书复印件并注明所在投标技术文件页码。</w:t>
      </w:r>
    </w:p>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附表C:本项目的项目经理和小组人员交纳社保记录情况表</w:t>
      </w:r>
      <w:r>
        <w:rPr>
          <w:rFonts w:hint="eastAsia" w:ascii="仿宋_GB2312" w:hAnsi="仿宋" w:eastAsia="仿宋_GB2312" w:cs="仿宋_GB2312"/>
          <w:sz w:val="24"/>
        </w:rPr>
        <w:t>（以社保局缴纳凭证作附件）</w:t>
      </w: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both"/>
        <w:rPr>
          <w:rFonts w:hint="eastAsia" w:ascii="仿宋" w:hAnsi="仿宋" w:eastAsia="仿宋" w:cs="仿宋"/>
          <w:b/>
          <w:bCs/>
          <w:sz w:val="32"/>
          <w:szCs w:val="32"/>
          <w:lang w:eastAsia="zh-CN"/>
        </w:rPr>
      </w:pPr>
    </w:p>
    <w:p>
      <w:pPr>
        <w:spacing w:line="360" w:lineRule="auto"/>
        <w:jc w:val="center"/>
        <w:rPr>
          <w:rFonts w:ascii="仿宋_GB2312" w:hAnsi="仿宋" w:eastAsia="仿宋_GB2312" w:cs="仿宋_GB2312"/>
          <w:b/>
          <w:kern w:val="0"/>
          <w:sz w:val="32"/>
          <w:szCs w:val="32"/>
          <w:lang w:val="zh-CN"/>
        </w:rPr>
      </w:pPr>
      <w:r>
        <w:rPr>
          <w:rFonts w:hint="eastAsia" w:ascii="仿宋" w:hAnsi="仿宋" w:eastAsia="仿宋" w:cs="仿宋"/>
          <w:b/>
          <w:bCs/>
          <w:sz w:val="32"/>
          <w:szCs w:val="32"/>
          <w:lang w:eastAsia="zh-CN"/>
        </w:rPr>
        <w:t>九</w:t>
      </w:r>
      <w:r>
        <w:rPr>
          <w:rFonts w:hint="eastAsia" w:ascii="仿宋" w:hAnsi="仿宋" w:eastAsia="仿宋" w:cs="仿宋"/>
          <w:b/>
          <w:bCs/>
          <w:sz w:val="32"/>
          <w:szCs w:val="32"/>
        </w:rPr>
        <w:t>、</w:t>
      </w:r>
      <w:r>
        <w:rPr>
          <w:rFonts w:hint="eastAsia" w:ascii="仿宋_GB2312" w:hAnsi="仿宋" w:eastAsia="仿宋_GB2312" w:cs="仿宋_GB2312"/>
          <w:b/>
          <w:kern w:val="0"/>
          <w:sz w:val="32"/>
          <w:szCs w:val="32"/>
          <w:lang w:val="zh-CN"/>
        </w:rPr>
        <w:t>优惠条件及特殊承诺</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18"/>
          <w:szCs w:val="18"/>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autoSpaceDE w:val="0"/>
        <w:autoSpaceDN w:val="0"/>
        <w:adjustRightInd w:val="0"/>
        <w:spacing w:line="360" w:lineRule="auto"/>
        <w:rPr>
          <w:rFonts w:ascii="仿宋_GB2312" w:hAnsi="仿宋" w:eastAsia="仿宋_GB2312" w:cs="仿宋_GB2312"/>
          <w:b/>
          <w:bCs/>
          <w:sz w:val="18"/>
          <w:szCs w:val="18"/>
        </w:rPr>
      </w:pPr>
    </w:p>
    <w:p>
      <w:pPr>
        <w:autoSpaceDE w:val="0"/>
        <w:autoSpaceDN w:val="0"/>
        <w:spacing w:line="360" w:lineRule="auto"/>
        <w:rPr>
          <w:rFonts w:hint="eastAsia" w:ascii="仿宋" w:hAnsi="仿宋" w:eastAsia="仿宋" w:cs="仿宋"/>
          <w:b/>
          <w:bCs/>
          <w:sz w:val="18"/>
          <w:szCs w:val="18"/>
        </w:rPr>
      </w:pPr>
    </w:p>
    <w:p>
      <w:pPr>
        <w:spacing w:line="360" w:lineRule="auto"/>
        <w:jc w:val="both"/>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ascii="仿宋_GB2312" w:hAnsi="仿宋" w:eastAsia="仿宋_GB2312" w:cs="仿宋_GB2312"/>
          <w:b/>
          <w:kern w:val="0"/>
          <w:sz w:val="32"/>
          <w:szCs w:val="32"/>
          <w:lang w:val="zh-CN"/>
        </w:rPr>
      </w:pPr>
      <w:r>
        <w:rPr>
          <w:rFonts w:hint="eastAsia" w:ascii="仿宋" w:hAnsi="仿宋" w:eastAsia="仿宋" w:cs="仿宋"/>
          <w:b/>
          <w:bCs/>
          <w:sz w:val="32"/>
          <w:szCs w:val="32"/>
        </w:rPr>
        <w:t>十、</w:t>
      </w:r>
      <w:r>
        <w:rPr>
          <w:rFonts w:hint="eastAsia" w:ascii="仿宋_GB2312" w:hAnsi="仿宋" w:eastAsia="仿宋_GB2312" w:cs="仿宋_GB2312"/>
          <w:b/>
          <w:kern w:val="0"/>
          <w:sz w:val="32"/>
          <w:szCs w:val="32"/>
          <w:lang w:val="zh-CN"/>
        </w:rPr>
        <w:t>备品备件及供选择的配套零部件清单</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autoSpaceDE w:val="0"/>
        <w:autoSpaceDN w:val="0"/>
        <w:spacing w:line="360" w:lineRule="auto"/>
        <w:ind w:firstLine="4440" w:firstLineChars="1850"/>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ascii="仿宋_GB2312" w:hAnsi="仿宋" w:eastAsia="仿宋_GB2312" w:cs="仿宋_GB2312"/>
          <w:b/>
          <w:kern w:val="0"/>
          <w:sz w:val="32"/>
          <w:szCs w:val="32"/>
          <w:lang w:val="zh-CN"/>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w:t>
      </w:r>
      <w:r>
        <w:rPr>
          <w:rFonts w:hint="eastAsia" w:ascii="仿宋_GB2312" w:hAnsi="仿宋" w:eastAsia="仿宋_GB2312" w:cs="仿宋_GB2312"/>
          <w:b/>
          <w:kern w:val="0"/>
          <w:sz w:val="32"/>
          <w:szCs w:val="32"/>
          <w:lang w:val="zh-CN"/>
        </w:rPr>
        <w:t>培训计划</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keepNext/>
        <w:autoSpaceDE w:val="0"/>
        <w:autoSpaceDN w:val="0"/>
        <w:spacing w:line="360" w:lineRule="auto"/>
        <w:ind w:firstLine="477"/>
        <w:jc w:val="left"/>
        <w:rPr>
          <w:rFonts w:ascii="仿宋_GB2312" w:hAnsi="仿宋" w:eastAsia="仿宋_GB2312" w:cs="仿宋_GB2312"/>
          <w:b/>
          <w:sz w:val="24"/>
        </w:rPr>
      </w:pPr>
      <w:r>
        <w:rPr>
          <w:rFonts w:hint="eastAsia" w:ascii="仿宋_GB2312" w:hAnsi="仿宋" w:eastAsia="仿宋_GB2312" w:cs="仿宋_GB2312"/>
          <w:b/>
          <w:sz w:val="24"/>
        </w:rPr>
        <w:t>附表: 培训日程及费用</w:t>
      </w:r>
    </w:p>
    <w:tbl>
      <w:tblPr>
        <w:tblStyle w:val="62"/>
        <w:tblW w:w="4997"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20" w:type="dxa"/>
          <w:bottom w:w="0" w:type="dxa"/>
          <w:right w:w="120" w:type="dxa"/>
        </w:tblCellMar>
      </w:tblPr>
      <w:tblGrid>
        <w:gridCol w:w="2224"/>
        <w:gridCol w:w="1542"/>
        <w:gridCol w:w="1143"/>
        <w:gridCol w:w="1172"/>
        <w:gridCol w:w="1226"/>
        <w:gridCol w:w="177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20" w:type="dxa"/>
            <w:bottom w:w="0" w:type="dxa"/>
            <w:right w:w="120" w:type="dxa"/>
          </w:tblCellMar>
        </w:tblPrEx>
        <w:trPr>
          <w:trHeight w:val="764" w:hRule="atLeast"/>
        </w:trPr>
        <w:tc>
          <w:tcPr>
            <w:tcW w:w="1224" w:type="pct"/>
            <w:tcBorders>
              <w:bottom w:val="nil"/>
              <w:right w:val="nil"/>
            </w:tcBorders>
            <w:shd w:val="pct10" w:color="auto" w:fill="auto"/>
            <w:vAlign w:val="center"/>
          </w:tcPr>
          <w:p>
            <w:pPr>
              <w:tabs>
                <w:tab w:val="center" w:pos="1690"/>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课程名称</w:t>
            </w:r>
          </w:p>
        </w:tc>
        <w:tc>
          <w:tcPr>
            <w:tcW w:w="849" w:type="pct"/>
            <w:tcBorders>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提供的资料</w:t>
            </w:r>
          </w:p>
        </w:tc>
        <w:tc>
          <w:tcPr>
            <w:tcW w:w="629" w:type="pct"/>
            <w:tcBorders>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持续时间</w:t>
            </w:r>
          </w:p>
        </w:tc>
        <w:tc>
          <w:tcPr>
            <w:tcW w:w="645" w:type="pct"/>
            <w:tcBorders>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授课教师</w:t>
            </w:r>
          </w:p>
        </w:tc>
        <w:tc>
          <w:tcPr>
            <w:tcW w:w="675" w:type="pct"/>
            <w:tcBorders>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培训对象</w:t>
            </w:r>
          </w:p>
        </w:tc>
        <w:tc>
          <w:tcPr>
            <w:tcW w:w="975" w:type="pct"/>
            <w:tcBorders>
              <w:left w:val="single" w:color="auto" w:sz="6" w:space="0"/>
              <w:bottom w:val="nil"/>
            </w:tcBorders>
            <w:shd w:val="pct10" w:color="auto" w:fill="auto"/>
            <w:vAlign w:val="center"/>
          </w:tcPr>
          <w:p>
            <w:pPr>
              <w:tabs>
                <w:tab w:val="center" w:pos="520"/>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培训地点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20" w:type="dxa"/>
            <w:bottom w:w="0" w:type="dxa"/>
            <w:right w:w="120" w:type="dxa"/>
          </w:tblCellMar>
        </w:tblPrEx>
        <w:trPr>
          <w:trHeight w:val="281" w:hRule="atLeast"/>
        </w:trPr>
        <w:tc>
          <w:tcPr>
            <w:tcW w:w="1224" w:type="pct"/>
            <w:tcBorders>
              <w:top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849" w:type="pct"/>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629" w:type="pct"/>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645" w:type="pct"/>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675" w:type="pct"/>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975" w:type="pct"/>
            <w:tcBorders>
              <w:top w:val="single" w:color="auto" w:sz="6" w:space="0"/>
              <w:left w:val="single" w:color="auto" w:sz="6" w:space="0"/>
              <w:bottom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20" w:type="dxa"/>
            <w:bottom w:w="0" w:type="dxa"/>
            <w:right w:w="120" w:type="dxa"/>
          </w:tblCellMar>
        </w:tblPrEx>
        <w:trPr>
          <w:trHeight w:val="273" w:hRule="atLeast"/>
        </w:trPr>
        <w:tc>
          <w:tcPr>
            <w:tcW w:w="1224" w:type="pct"/>
            <w:tcBorders>
              <w:top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849" w:type="pct"/>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629" w:type="pct"/>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645" w:type="pct"/>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675" w:type="pct"/>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975" w:type="pct"/>
            <w:tcBorders>
              <w:top w:val="single" w:color="auto" w:sz="6" w:space="0"/>
              <w:left w:val="single" w:color="auto" w:sz="6" w:space="0"/>
              <w:bottom w:val="nil"/>
            </w:tcBorders>
          </w:tcPr>
          <w:p>
            <w:pPr>
              <w:tabs>
                <w:tab w:val="left" w:pos="7"/>
              </w:tabs>
              <w:suppressAutoHyphens/>
              <w:autoSpaceDE w:val="0"/>
              <w:autoSpaceDN w:val="0"/>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20" w:type="dxa"/>
            <w:bottom w:w="0" w:type="dxa"/>
            <w:right w:w="120" w:type="dxa"/>
          </w:tblCellMar>
        </w:tblPrEx>
        <w:trPr>
          <w:trHeight w:val="110" w:hRule="atLeast"/>
        </w:trPr>
        <w:tc>
          <w:tcPr>
            <w:tcW w:w="1224" w:type="pct"/>
            <w:tcBorders>
              <w:top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hAnsi="仿宋" w:eastAsia="仿宋_GB2312" w:cs="仿宋_GB2312"/>
                <w:sz w:val="24"/>
              </w:rPr>
            </w:pPr>
          </w:p>
        </w:tc>
        <w:tc>
          <w:tcPr>
            <w:tcW w:w="849" w:type="pct"/>
            <w:tcBorders>
              <w:top w:val="single" w:color="auto" w:sz="6" w:space="0"/>
              <w:left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629" w:type="pct"/>
            <w:tcBorders>
              <w:top w:val="single" w:color="auto" w:sz="6" w:space="0"/>
              <w:left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645" w:type="pct"/>
            <w:tcBorders>
              <w:top w:val="single" w:color="auto" w:sz="6" w:space="0"/>
              <w:left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675" w:type="pct"/>
            <w:tcBorders>
              <w:top w:val="single" w:color="auto" w:sz="6" w:space="0"/>
              <w:left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975" w:type="pct"/>
            <w:tcBorders>
              <w:top w:val="single" w:color="auto" w:sz="6" w:space="0"/>
              <w:left w:val="single" w:color="auto" w:sz="6" w:space="0"/>
            </w:tcBorders>
          </w:tcPr>
          <w:p>
            <w:pPr>
              <w:tabs>
                <w:tab w:val="left" w:pos="7"/>
              </w:tabs>
              <w:suppressAutoHyphens/>
              <w:autoSpaceDE w:val="0"/>
              <w:autoSpaceDN w:val="0"/>
              <w:spacing w:line="360" w:lineRule="auto"/>
              <w:rPr>
                <w:rFonts w:ascii="仿宋_GB2312" w:hAnsi="仿宋" w:eastAsia="仿宋_GB2312" w:cs="仿宋_GB2312"/>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注解:A</w:t>
      </w:r>
      <w:r>
        <w:rPr>
          <w:rFonts w:hint="eastAsia" w:ascii="仿宋_GB2312" w:hAnsi="仿宋" w:eastAsia="仿宋_GB2312" w:cs="仿宋_GB2312"/>
          <w:sz w:val="24"/>
        </w:rPr>
        <w:tab/>
      </w:r>
      <w:r>
        <w:rPr>
          <w:rFonts w:hint="eastAsia" w:ascii="仿宋_GB2312" w:hAnsi="仿宋" w:eastAsia="仿宋_GB2312" w:cs="仿宋_GB2312"/>
          <w:sz w:val="24"/>
        </w:rPr>
        <w:t>课程清单按时间顺序排列，并提供以下详细资料：</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课程概要</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课程目的</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教学方式</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先决条件</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教材目录</w:t>
      </w:r>
    </w:p>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B  按照附表A提供授课教师的简历</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autoSpaceDE w:val="0"/>
        <w:autoSpaceDN w:val="0"/>
        <w:spacing w:line="360" w:lineRule="auto"/>
        <w:ind w:firstLine="120"/>
        <w:rPr>
          <w:rFonts w:ascii="仿宋_GB2312" w:hAnsi="仿宋" w:eastAsia="仿宋_GB2312" w:cs="仿宋_GB2312"/>
          <w:sz w:val="24"/>
        </w:rPr>
      </w:pPr>
    </w:p>
    <w:p>
      <w:pPr>
        <w:pStyle w:val="78"/>
        <w:rPr>
          <w:rFonts w:ascii="仿宋_GB2312" w:hAnsi="仿宋" w:eastAsia="仿宋_GB2312" w:cs="仿宋_GB2312"/>
          <w:sz w:val="24"/>
        </w:rPr>
      </w:pPr>
    </w:p>
    <w:p>
      <w:pPr>
        <w:pStyle w:val="78"/>
        <w:rPr>
          <w:rFonts w:ascii="仿宋_GB2312" w:hAnsi="仿宋" w:eastAsia="仿宋_GB2312" w:cs="仿宋_GB2312"/>
          <w:sz w:val="24"/>
        </w:rPr>
      </w:pPr>
    </w:p>
    <w:p>
      <w:pPr>
        <w:spacing w:line="360" w:lineRule="auto"/>
        <w:jc w:val="center"/>
        <w:rPr>
          <w:rFonts w:ascii="仿宋_GB2312" w:hAnsi="仿宋" w:eastAsia="仿宋_GB2312" w:cs="仿宋_GB2312"/>
          <w:b/>
          <w:bCs/>
          <w:sz w:val="32"/>
          <w:szCs w:val="32"/>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w:t>
      </w:r>
      <w:r>
        <w:rPr>
          <w:rFonts w:hint="eastAsia" w:ascii="仿宋_GB2312" w:hAnsi="仿宋" w:eastAsia="仿宋_GB2312" w:cs="仿宋_GB2312"/>
          <w:b/>
          <w:bCs/>
          <w:sz w:val="32"/>
          <w:szCs w:val="32"/>
        </w:rPr>
        <w:t>认为需要的其他技术文件或说明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pStyle w:val="78"/>
        <w:rPr>
          <w:rFonts w:hint="eastAsia" w:ascii="仿宋_GB2312" w:hAnsi="仿宋" w:eastAsia="仿宋_GB2312" w:cs="仿宋_GB2312"/>
          <w:kern w:val="0"/>
          <w:sz w:val="24"/>
          <w:lang w:val="zh-CN"/>
        </w:rPr>
      </w:pPr>
    </w:p>
    <w:p>
      <w:pPr>
        <w:pStyle w:val="78"/>
        <w:rPr>
          <w:rFonts w:hint="eastAsia" w:ascii="仿宋_GB2312" w:hAnsi="仿宋" w:eastAsia="仿宋_GB2312" w:cs="仿宋_GB2312"/>
          <w:kern w:val="0"/>
          <w:sz w:val="24"/>
          <w:lang w:val="zh-CN"/>
        </w:rPr>
      </w:pPr>
    </w:p>
    <w:p>
      <w:pPr>
        <w:spacing w:line="360" w:lineRule="auto"/>
        <w:jc w:val="center"/>
        <w:rPr>
          <w:rFonts w:ascii="仿宋_GB2312" w:hAnsi="仿宋" w:eastAsia="仿宋_GB2312" w:cs="仿宋_GB2312"/>
          <w:b/>
          <w:kern w:val="0"/>
          <w:sz w:val="30"/>
          <w:szCs w:val="30"/>
          <w:lang w:val="zh-CN"/>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_GB2312" w:hAnsi="仿宋" w:eastAsia="仿宋_GB2312" w:cs="仿宋_GB2312"/>
          <w:b/>
          <w:bCs/>
          <w:sz w:val="30"/>
          <w:szCs w:val="30"/>
        </w:rPr>
        <w:t>关于</w:t>
      </w:r>
      <w:r>
        <w:rPr>
          <w:rFonts w:hint="eastAsia" w:ascii="仿宋_GB2312" w:hAnsi="仿宋" w:eastAsia="仿宋_GB2312" w:cs="仿宋_GB2312"/>
          <w:b/>
          <w:kern w:val="0"/>
          <w:sz w:val="30"/>
          <w:szCs w:val="30"/>
          <w:lang w:val="zh-CN"/>
        </w:rPr>
        <w:t>对招标文件中有关商务、合同条款的拒绝声明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rPr>
          <w:rFonts w:ascii="仿宋_GB2312" w:hAnsi="仿宋" w:eastAsia="仿宋_GB2312" w:cs="仿宋_GB2312"/>
          <w:sz w:val="24"/>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投标人名称（电子签名）：      </w:t>
      </w:r>
    </w:p>
    <w:p>
      <w:pPr>
        <w:autoSpaceDE w:val="0"/>
        <w:autoSpaceDN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 xml:space="preserve">                日期：  年  月   日</w:t>
      </w:r>
    </w:p>
    <w:p>
      <w:pPr>
        <w:tabs>
          <w:tab w:val="left" w:pos="0"/>
        </w:tabs>
        <w:autoSpaceDE w:val="0"/>
        <w:autoSpaceDN w:val="0"/>
        <w:spacing w:line="360" w:lineRule="auto"/>
        <w:ind w:firstLine="2570" w:firstLineChars="800"/>
        <w:rPr>
          <w:rFonts w:hint="eastAsia" w:ascii="仿宋" w:hAnsi="仿宋" w:eastAsia="仿宋" w:cs="仿宋"/>
          <w:b/>
          <w:bCs/>
          <w:sz w:val="32"/>
          <w:szCs w:val="32"/>
        </w:rPr>
      </w:pPr>
    </w:p>
    <w:p>
      <w:pPr>
        <w:tabs>
          <w:tab w:val="left" w:pos="0"/>
        </w:tabs>
        <w:autoSpaceDE w:val="0"/>
        <w:autoSpaceDN w:val="0"/>
        <w:spacing w:line="360" w:lineRule="auto"/>
        <w:ind w:firstLine="2570" w:firstLineChars="800"/>
        <w:rPr>
          <w:rFonts w:hint="eastAsia" w:ascii="仿宋" w:hAnsi="仿宋" w:eastAsia="仿宋" w:cs="仿宋"/>
          <w:b/>
          <w:bCs/>
          <w:sz w:val="32"/>
          <w:szCs w:val="32"/>
        </w:rPr>
      </w:pPr>
    </w:p>
    <w:p>
      <w:pPr>
        <w:tabs>
          <w:tab w:val="left" w:pos="0"/>
        </w:tabs>
        <w:autoSpaceDE w:val="0"/>
        <w:autoSpaceDN w:val="0"/>
        <w:spacing w:line="360" w:lineRule="auto"/>
        <w:ind w:firstLine="2570" w:firstLineChars="800"/>
        <w:rPr>
          <w:rFonts w:hint="eastAsia" w:ascii="仿宋" w:hAnsi="仿宋" w:eastAsia="仿宋" w:cs="仿宋"/>
          <w:b/>
          <w:bCs/>
          <w:sz w:val="32"/>
          <w:szCs w:val="32"/>
        </w:rPr>
      </w:pPr>
    </w:p>
    <w:p>
      <w:pPr>
        <w:tabs>
          <w:tab w:val="left" w:pos="0"/>
        </w:tabs>
        <w:autoSpaceDE w:val="0"/>
        <w:autoSpaceDN w:val="0"/>
        <w:spacing w:line="360" w:lineRule="auto"/>
        <w:jc w:val="center"/>
        <w:rPr>
          <w:rFonts w:hint="eastAsia" w:ascii="仿宋" w:hAnsi="仿宋" w:eastAsia="仿宋" w:cs="仿宋"/>
          <w:b/>
          <w:bCs/>
          <w:sz w:val="32"/>
          <w:szCs w:val="32"/>
        </w:rPr>
      </w:pPr>
    </w:p>
    <w:p>
      <w:pPr>
        <w:tabs>
          <w:tab w:val="left" w:pos="0"/>
        </w:tabs>
        <w:autoSpaceDE w:val="0"/>
        <w:autoSpaceDN w:val="0"/>
        <w:spacing w:line="360" w:lineRule="auto"/>
        <w:jc w:val="center"/>
        <w:rPr>
          <w:rFonts w:ascii="仿宋_GB2312" w:hAnsi="仿宋" w:eastAsia="仿宋_GB2312" w:cs="仿宋_GB2312"/>
          <w:b/>
          <w:bCs/>
          <w:sz w:val="30"/>
          <w:szCs w:val="30"/>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w:t>
      </w:r>
      <w:r>
        <w:rPr>
          <w:rFonts w:hint="eastAsia" w:ascii="仿宋_GB2312" w:hAnsi="仿宋" w:eastAsia="仿宋_GB2312" w:cs="仿宋_GB2312"/>
          <w:b/>
          <w:bCs/>
          <w:sz w:val="30"/>
          <w:szCs w:val="30"/>
        </w:rPr>
        <w:t>廉政承诺书</w:t>
      </w:r>
    </w:p>
    <w:p>
      <w:pPr>
        <w:autoSpaceDE w:val="0"/>
        <w:autoSpaceDN w:val="0"/>
        <w:spacing w:line="360" w:lineRule="auto"/>
        <w:jc w:val="left"/>
        <w:rPr>
          <w:rFonts w:ascii="仿宋_GB2312" w:hAnsi="仿宋_GB2312" w:eastAsia="仿宋_GB2312" w:cs="仿宋_GB2312"/>
          <w:kern w:val="0"/>
          <w:sz w:val="24"/>
          <w:szCs w:val="24"/>
          <w:lang w:val="zh-CN"/>
        </w:rPr>
      </w:pPr>
      <w:r>
        <w:rPr>
          <w:rFonts w:hint="eastAsia" w:ascii="仿宋_GB2312" w:hAnsi="仿宋_GB2312" w:eastAsia="仿宋_GB2312" w:cs="仿宋_GB2312"/>
          <w:sz w:val="24"/>
        </w:rPr>
        <w:t>（</w:t>
      </w:r>
      <w:r>
        <w:rPr>
          <w:rFonts w:hint="eastAsia" w:ascii="仿宋_GB2312" w:hAnsi="仿宋_GB2312" w:eastAsia="仿宋_GB2312" w:cs="仿宋_GB2312"/>
          <w:sz w:val="24"/>
          <w:u w:val="single"/>
        </w:rPr>
        <w:t>单位名称</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 xml:space="preserve">）：                </w:t>
      </w:r>
    </w:p>
    <w:p>
      <w:pPr>
        <w:spacing w:line="360" w:lineRule="auto"/>
        <w:ind w:left="5280" w:hanging="5280" w:hangingChars="2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法定代表人或其授权代表（签字）：                                                                                                                                                                   </w:t>
      </w:r>
    </w:p>
    <w:p>
      <w:pPr>
        <w:spacing w:line="360" w:lineRule="auto"/>
        <w:ind w:left="4620" w:leftChars="2200"/>
        <w:rPr>
          <w:rFonts w:ascii="Times New Roman" w:hAnsi="Times New Roman" w:eastAsia="宋体" w:cs="Times New Roman"/>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pStyle w:val="78"/>
        <w:rPr>
          <w:lang w:val="zh-CN"/>
        </w:rPr>
      </w:pPr>
    </w:p>
    <w:p>
      <w:pPr>
        <w:pStyle w:val="4"/>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rPr>
      </w:pPr>
      <w:bookmarkStart w:id="563" w:name="_Toc465665161"/>
      <w:r>
        <w:rPr>
          <w:rFonts w:hint="eastAsia" w:ascii="仿宋" w:hAnsi="仿宋" w:eastAsia="仿宋" w:cs="仿宋"/>
        </w:rPr>
        <w:t>附件</w:t>
      </w:r>
      <w:bookmarkEnd w:id="563"/>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64" w:name="OLE_LINK14"/>
      <w:bookmarkStart w:id="565" w:name="OLE_LINK13"/>
      <w:r>
        <w:rPr>
          <w:rFonts w:hint="eastAsia" w:ascii="仿宋" w:hAnsi="仿宋" w:eastAsia="仿宋" w:cs="仿宋"/>
          <w:b/>
          <w:spacing w:val="6"/>
          <w:sz w:val="32"/>
          <w:szCs w:val="32"/>
        </w:rPr>
        <w:t>残疾人福利性单位声明函</w:t>
      </w:r>
    </w:p>
    <w:bookmarkEnd w:id="564"/>
    <w:bookmarkEnd w:id="565"/>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pStyle w:val="24"/>
        <w:jc w:val="both"/>
        <w:rPr>
          <w:rFonts w:hint="eastAsia" w:ascii="仿宋" w:hAnsi="仿宋" w:eastAsia="仿宋" w:cs="仿宋"/>
          <w:b/>
          <w:bCs/>
          <w:sz w:val="32"/>
          <w:szCs w:val="32"/>
          <w:lang w:val="en-US" w:eastAsia="zh-CN"/>
        </w:rPr>
      </w:pPr>
    </w:p>
    <w:p>
      <w:pPr>
        <w:pStyle w:val="24"/>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附件2（开标记录开启后，请将此附件填写完整发送至邮箱：649656585@qq.com）：</w:t>
      </w:r>
    </w:p>
    <w:p>
      <w:pPr>
        <w:pStyle w:val="24"/>
        <w:jc w:val="center"/>
        <w:rPr>
          <w:rFonts w:hint="eastAsia" w:ascii="仿宋" w:hAnsi="仿宋" w:eastAsia="仿宋" w:cs="仿宋"/>
          <w:b/>
          <w:bCs/>
          <w:sz w:val="32"/>
          <w:szCs w:val="32"/>
        </w:rPr>
      </w:pPr>
      <w:r>
        <w:rPr>
          <w:rFonts w:hint="eastAsia" w:ascii="仿宋" w:hAnsi="仿宋" w:eastAsia="仿宋" w:cs="仿宋"/>
          <w:b/>
          <w:bCs/>
          <w:sz w:val="32"/>
          <w:szCs w:val="32"/>
        </w:rPr>
        <w:t>政府采购活动现场确认声明书</w:t>
      </w:r>
    </w:p>
    <w:p>
      <w:pPr>
        <w:pStyle w:val="24"/>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杭州市公共资源交易中心临安分中心</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pStyle w:val="24"/>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本人 ____________（授权代表姓名），经由______________________________（单位） ____________ （法定代表人姓名）合法授权参加</w:t>
      </w:r>
      <w:r>
        <w:rPr>
          <w:rFonts w:hint="eastAsia" w:ascii="仿宋" w:hAnsi="仿宋" w:eastAsia="仿宋" w:cs="仿宋"/>
          <w:sz w:val="24"/>
          <w:szCs w:val="24"/>
          <w:lang w:eastAsia="zh-CN"/>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（编号：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）政府采购活动</w:t>
      </w:r>
      <w:r>
        <w:rPr>
          <w:rFonts w:hint="eastAsia" w:ascii="仿宋" w:hAnsi="仿宋" w:eastAsia="仿宋" w:cs="仿宋"/>
          <w:sz w:val="24"/>
          <w:szCs w:val="24"/>
          <w:lang w:eastAsia="zh-CN"/>
        </w:rPr>
        <w:t>。</w:t>
      </w:r>
      <w:r>
        <w:rPr>
          <w:rFonts w:hint="eastAsia" w:ascii="仿宋" w:hAnsi="仿宋" w:eastAsia="仿宋" w:cs="仿宋"/>
          <w:sz w:val="24"/>
          <w:szCs w:val="24"/>
        </w:rPr>
        <w:t xml:space="preserve">经与本单位法人代表（负责人）联系确认，现就有关公平竞争事项郑重声明如下: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一、</w:t>
      </w:r>
      <w:r>
        <w:rPr>
          <w:rFonts w:hint="eastAsia" w:ascii="仿宋" w:hAnsi="仿宋" w:eastAsia="仿宋" w:cs="仿宋"/>
          <w:sz w:val="24"/>
          <w:szCs w:val="24"/>
        </w:rPr>
        <w:t>本单位与采购人之间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sym w:font="Wingdings 2" w:char="00A3"/>
      </w:r>
      <w:r>
        <w:rPr>
          <w:rFonts w:hint="eastAsia" w:ascii="仿宋" w:hAnsi="仿宋" w:eastAsia="仿宋" w:cs="仿宋"/>
          <w:sz w:val="24"/>
          <w:szCs w:val="24"/>
        </w:rPr>
        <w:t>不存在利害关系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sym w:font="Wingdings 2" w:char="00A3"/>
      </w:r>
      <w:r>
        <w:rPr>
          <w:rFonts w:hint="eastAsia" w:ascii="仿宋" w:hAnsi="仿宋" w:eastAsia="仿宋" w:cs="仿宋"/>
          <w:sz w:val="24"/>
          <w:szCs w:val="24"/>
        </w:rPr>
        <w:t>存在下列利害关系:</w:t>
      </w:r>
    </w:p>
    <w:p>
      <w:pPr>
        <w:pStyle w:val="24"/>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exact"/>
        <w:ind w:left="12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投资关系 B．行政隶属关系 C．业务指导关系</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120" w:leftChars="0"/>
        <w:textAlignment w:val="auto"/>
        <w:rPr>
          <w:rFonts w:hint="eastAsia" w:ascii="仿宋" w:hAnsi="仿宋" w:eastAsia="仿宋" w:cs="仿宋"/>
          <w:sz w:val="24"/>
          <w:szCs w:val="24"/>
        </w:rPr>
      </w:pPr>
      <w:r>
        <w:rPr>
          <w:rFonts w:hint="eastAsia" w:ascii="仿宋" w:hAnsi="仿宋" w:eastAsia="仿宋" w:cs="仿宋"/>
          <w:sz w:val="24"/>
          <w:szCs w:val="24"/>
        </w:rPr>
        <w:t>D．其他可能影响采购公正的利害关系（如有，请如实说明）。</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二、现己清楚知道参加本项目采购活动的其他所有供应商名称，本单位</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与其他所有供应商之间均不存在利害关系</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 xml:space="preserve">与______________（供应商名称）之间存在下列利害关系: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A．法定代表人或负责人或实际控制人是同一人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B．法定代表人或负责人或实际控制人是夫妻关系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C．法定代表人或负责人或实际控制人是直系血亲关系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D．法定代表人或负责人或实际控制人存在三代以内旁系血亲关系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E．法定代表人或负责人或实际控制人存在近姻亲关系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F．法定代表人或负责人或实际控制人存在股份控制或实际控制关系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G．存在共同直接或间接投资设立子公司、联营企业和合营企业情况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H．存在分级代理或代销关系、同一生产制造商关系、管理关系、重要业务（占主营业务收入 50 ％以上）或重要财务 往来关系（如融资）等其他实质性控制关系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I．其他利害关系情况 ________________________________________。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三、现己清楚知道并严格遵守政府采购法律法规。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四、我发现 ____________________供应商之间存在或可能存在上述第二条第 ____________项利害关系。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5760" w:firstLineChars="2400"/>
        <w:textAlignment w:val="auto"/>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kern w:val="0"/>
          <w:sz w:val="24"/>
          <w:lang w:val="zh-CN"/>
        </w:rPr>
        <w:t>名称（签章）：</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5760" w:firstLineChars="2400"/>
        <w:textAlignment w:val="auto"/>
        <w:rPr>
          <w:rFonts w:hint="eastAsia" w:ascii="仿宋" w:hAnsi="仿宋" w:eastAsia="仿宋" w:cs="仿宋"/>
          <w:sz w:val="24"/>
          <w:szCs w:val="24"/>
        </w:rPr>
      </w:pPr>
      <w:r>
        <w:rPr>
          <w:rFonts w:hint="eastAsia" w:ascii="仿宋" w:hAnsi="仿宋" w:eastAsia="仿宋" w:cs="仿宋"/>
          <w:sz w:val="24"/>
          <w:szCs w:val="24"/>
        </w:rPr>
        <w:t>供应商代表</w:t>
      </w:r>
      <w:r>
        <w:rPr>
          <w:rFonts w:hint="eastAsia" w:ascii="仿宋" w:hAnsi="仿宋" w:eastAsia="仿宋" w:cs="仿宋"/>
          <w:sz w:val="24"/>
          <w:szCs w:val="24"/>
          <w:lang w:val="en-US" w:eastAsia="zh-CN"/>
        </w:rPr>
        <w:t>(</w:t>
      </w:r>
      <w:r>
        <w:rPr>
          <w:rFonts w:hint="eastAsia" w:ascii="仿宋" w:hAnsi="仿宋" w:eastAsia="仿宋" w:cs="仿宋"/>
          <w:sz w:val="24"/>
          <w:szCs w:val="24"/>
        </w:rPr>
        <w:t>签名</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5760" w:firstLineChars="2400"/>
        <w:textAlignment w:val="auto"/>
        <w:rPr>
          <w:rFonts w:hint="eastAsia" w:ascii="仿宋" w:hAnsi="仿宋" w:eastAsia="仿宋" w:cs="仿宋"/>
          <w:b/>
          <w:spacing w:val="6"/>
          <w:sz w:val="32"/>
          <w:szCs w:val="32"/>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bCs/>
          <w:sz w:val="32"/>
          <w:szCs w:val="32"/>
          <w:lang w:val="en-US" w:eastAsia="zh-CN"/>
        </w:rPr>
      </w:pPr>
    </w:p>
    <w:p>
      <w:pPr>
        <w:spacing w:line="360" w:lineRule="auto"/>
        <w:jc w:val="left"/>
        <w:rPr>
          <w:rFonts w:hint="eastAsia" w:ascii="仿宋" w:hAnsi="仿宋" w:eastAsia="仿宋" w:cs="仿宋"/>
          <w:b/>
          <w:bCs/>
          <w:sz w:val="32"/>
          <w:szCs w:val="32"/>
          <w:lang w:val="en-US" w:eastAsia="zh-CN"/>
        </w:rPr>
      </w:pPr>
    </w:p>
    <w:p>
      <w:pPr>
        <w:spacing w:line="360" w:lineRule="auto"/>
        <w:jc w:val="left"/>
        <w:rPr>
          <w:rFonts w:asciiTheme="minorEastAsia" w:hAnsiTheme="minorEastAsia" w:eastAsiaTheme="minorEastAsia" w:cstheme="minorEastAsia"/>
          <w:b/>
          <w:color w:val="auto"/>
          <w:sz w:val="36"/>
          <w:szCs w:val="36"/>
        </w:rPr>
      </w:pPr>
      <w:r>
        <w:rPr>
          <w:rFonts w:hint="eastAsia" w:ascii="仿宋" w:hAnsi="仿宋" w:eastAsia="仿宋" w:cs="仿宋"/>
          <w:b/>
          <w:bCs/>
          <w:snapToGrid w:val="0"/>
          <w:kern w:val="2"/>
          <w:sz w:val="32"/>
          <w:szCs w:val="32"/>
          <w:lang w:val="en-US" w:eastAsia="zh-CN" w:bidi="ar-SA"/>
        </w:rPr>
        <w:t>附件3：成本测算表</w:t>
      </w:r>
    </w:p>
    <w:p>
      <w:pPr>
        <w:pStyle w:val="33"/>
        <w:spacing w:beforeLines="100" w:beforeAutospacing="0" w:afterLines="50" w:afterAutospacing="0" w:line="240" w:lineRule="auto"/>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30"/>
          <w:szCs w:val="30"/>
        </w:rPr>
        <w:t>1、</w:t>
      </w:r>
      <w:r>
        <w:rPr>
          <w:rFonts w:hint="eastAsia" w:ascii="仿宋_GB2312" w:hAnsi="仿宋_GB2312" w:eastAsia="仿宋_GB2312" w:cs="仿宋_GB2312"/>
          <w:b/>
          <w:color w:val="auto"/>
          <w:sz w:val="36"/>
          <w:szCs w:val="36"/>
        </w:rPr>
        <w:t>制造商投标主要产品成本测算表</w:t>
      </w:r>
    </w:p>
    <w:p>
      <w:pPr>
        <w:pStyle w:val="33"/>
        <w:spacing w:beforeLines="100" w:beforeAutospacing="0" w:afterLines="50" w:afterAutospacing="0"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金额单位：元</w:t>
      </w:r>
    </w:p>
    <w:tbl>
      <w:tblPr>
        <w:tblStyle w:val="6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
        <w:gridCol w:w="2771"/>
        <w:gridCol w:w="5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制造商生产主要产品</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一、产品生产成本</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1、直接材料</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2、辅助材料</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3、燃料（动能）</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4、工人工资</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5、工资附加</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6、制造费用</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二、管理费用</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1工资、福利费用</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2、保险费用</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3、办公费用</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4、其他应交税费</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三、财务费用</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四、销售费用</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五、运输费用</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六、销售税金</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主要产品生产成本合计</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1529" w:type="pct"/>
            <w:vAlign w:val="center"/>
          </w:tcPr>
          <w:p>
            <w:pPr>
              <w:pStyle w:val="2"/>
              <w:spacing w:before="0" w:beforeAutospacing="0" w:after="0" w:afterAutospacing="0" w:line="240" w:lineRule="auto"/>
              <w:ind w:firstLine="0"/>
              <w:rPr>
                <w:rFonts w:hint="eastAsia" w:ascii="仿宋_GB2312" w:hAnsi="仿宋_GB2312" w:eastAsia="仿宋_GB2312" w:cs="仿宋_GB2312"/>
                <w:b/>
                <w:color w:val="auto"/>
                <w:szCs w:val="24"/>
              </w:rPr>
            </w:pPr>
            <w:r>
              <w:rPr>
                <w:rFonts w:hint="eastAsia" w:ascii="仿宋_GB2312" w:hAnsi="仿宋_GB2312" w:eastAsia="仿宋_GB2312" w:cs="仿宋_GB2312"/>
                <w:b/>
                <w:color w:val="auto"/>
                <w:szCs w:val="24"/>
              </w:rPr>
              <w:t>备注说明</w:t>
            </w:r>
          </w:p>
        </w:tc>
        <w:tc>
          <w:tcPr>
            <w:tcW w:w="2969" w:type="pct"/>
          </w:tcPr>
          <w:p>
            <w:pPr>
              <w:pStyle w:val="33"/>
              <w:spacing w:line="240" w:lineRule="auto"/>
              <w:rPr>
                <w:rFonts w:hint="eastAsia" w:ascii="仿宋_GB2312" w:hAnsi="仿宋_GB2312" w:eastAsia="仿宋_GB2312" w:cs="仿宋_GB2312"/>
                <w:color w:val="auto"/>
                <w:sz w:val="24"/>
                <w:szCs w:val="24"/>
              </w:rPr>
            </w:pPr>
          </w:p>
        </w:tc>
      </w:tr>
    </w:tbl>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说明：1、供应商为制造商的，请填此表。</w:t>
      </w:r>
    </w:p>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2、表中第19项产品生产成本合计＝8项+14至18项。</w:t>
      </w:r>
    </w:p>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3、供应商可结合企业实际对表内项目进行适当调整，但要求能真实、准确地反映产品生产成本。</w:t>
      </w:r>
    </w:p>
    <w:p>
      <w:pPr>
        <w:pStyle w:val="33"/>
        <w:spacing w:line="240" w:lineRule="auto"/>
        <w:rPr>
          <w:rFonts w:hint="eastAsia" w:ascii="仿宋_GB2312" w:hAnsi="仿宋_GB2312" w:eastAsia="仿宋_GB2312" w:cs="仿宋_GB2312"/>
          <w:color w:val="auto"/>
          <w:sz w:val="24"/>
          <w:szCs w:val="24"/>
        </w:rPr>
      </w:pPr>
    </w:p>
    <w:p>
      <w:pPr>
        <w:adjustRightInd w:val="0"/>
        <w:spacing w:before="0" w:beforeAutospacing="0" w:after="0" w:afterAutospacing="0" w:line="240" w:lineRule="auto"/>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制造商名称（盖章）：</w:t>
      </w:r>
    </w:p>
    <w:p>
      <w:pPr>
        <w:adjustRightInd w:val="0"/>
        <w:spacing w:before="0" w:beforeAutospacing="0" w:after="0" w:afterAutospacing="0" w:line="240" w:lineRule="auto"/>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法定代表人或授权代表（签字）：</w:t>
      </w:r>
    </w:p>
    <w:p>
      <w:pPr>
        <w:adjustRightInd w:val="0"/>
        <w:spacing w:before="0" w:beforeAutospacing="0" w:after="0" w:afterAutospacing="0" w:line="240" w:lineRule="auto"/>
        <w:ind w:firstLine="480" w:firstLineChars="200"/>
        <w:jc w:val="center"/>
        <w:rPr>
          <w:rFonts w:hint="eastAsia" w:ascii="仿宋_GB2312" w:hAnsi="仿宋_GB2312" w:eastAsia="仿宋_GB2312" w:cs="仿宋_GB2312"/>
          <w:color w:val="auto"/>
          <w:sz w:val="24"/>
        </w:rPr>
        <w:sectPr>
          <w:pgSz w:w="11906" w:h="16838"/>
          <w:pgMar w:top="1440" w:right="1531" w:bottom="1440" w:left="1531" w:header="851" w:footer="992" w:gutter="0"/>
          <w:cols w:space="720" w:num="1"/>
          <w:docGrid w:type="lines" w:linePitch="312" w:charSpace="0"/>
        </w:sectPr>
      </w:pPr>
      <w:r>
        <w:rPr>
          <w:rFonts w:hint="eastAsia" w:ascii="仿宋_GB2312" w:hAnsi="仿宋_GB2312" w:eastAsia="仿宋_GB2312" w:cs="仿宋_GB2312"/>
          <w:color w:val="auto"/>
          <w:sz w:val="24"/>
        </w:rPr>
        <w:t xml:space="preserve">         投标日期：</w:t>
      </w:r>
    </w:p>
    <w:p>
      <w:pPr>
        <w:pStyle w:val="33"/>
        <w:spacing w:line="240" w:lineRule="auto"/>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36"/>
          <w:szCs w:val="36"/>
        </w:rPr>
        <w:t>2、代理商投标主要产品成本测算表</w:t>
      </w:r>
    </w:p>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金额单位：元</w:t>
      </w:r>
    </w:p>
    <w:tbl>
      <w:tblPr>
        <w:tblStyle w:val="6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3"/>
        <w:gridCol w:w="3064"/>
        <w:gridCol w:w="4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供应商代理主要产品</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一、进货成本</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1、商品进价</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2、运输费用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3、税金</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4、保险</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5、仓储费用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6、维保费用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二、管理费用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1工资、福利费用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2、保险费用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3、办公费用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4、其他应交税费</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三、财务费用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四、销售费用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五、运输费用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六、销售税金</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1747"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主要产品代理成本合计</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1747" w:type="pct"/>
            <w:vAlign w:val="center"/>
          </w:tcPr>
          <w:p>
            <w:pPr>
              <w:pStyle w:val="2"/>
              <w:spacing w:before="0" w:beforeAutospacing="0" w:after="0" w:afterAutospacing="0" w:line="240" w:lineRule="auto"/>
              <w:ind w:firstLine="0"/>
              <w:rPr>
                <w:rFonts w:hint="eastAsia" w:ascii="仿宋_GB2312" w:hAnsi="仿宋_GB2312" w:eastAsia="仿宋_GB2312" w:cs="仿宋_GB2312"/>
                <w:b/>
                <w:color w:val="auto"/>
                <w:szCs w:val="24"/>
              </w:rPr>
            </w:pPr>
            <w:r>
              <w:rPr>
                <w:rFonts w:hint="eastAsia" w:ascii="仿宋_GB2312" w:hAnsi="仿宋_GB2312" w:eastAsia="仿宋_GB2312" w:cs="仿宋_GB2312"/>
                <w:b/>
                <w:color w:val="auto"/>
                <w:szCs w:val="24"/>
              </w:rPr>
              <w:t>备注说明</w:t>
            </w:r>
          </w:p>
        </w:tc>
        <w:tc>
          <w:tcPr>
            <w:tcW w:w="2627" w:type="pct"/>
          </w:tcPr>
          <w:p>
            <w:pPr>
              <w:pStyle w:val="33"/>
              <w:spacing w:line="240" w:lineRule="auto"/>
              <w:rPr>
                <w:rFonts w:hint="eastAsia" w:ascii="仿宋_GB2312" w:hAnsi="仿宋_GB2312" w:eastAsia="仿宋_GB2312" w:cs="仿宋_GB2312"/>
                <w:color w:val="auto"/>
                <w:sz w:val="24"/>
                <w:szCs w:val="24"/>
              </w:rPr>
            </w:pPr>
          </w:p>
        </w:tc>
      </w:tr>
    </w:tbl>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说明：</w:t>
      </w:r>
    </w:p>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1、供应商为代理商的，请填此表。</w:t>
      </w:r>
    </w:p>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2、表中第19项产品生产成本合计＝8项+14至18项。</w:t>
      </w:r>
    </w:p>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3、供应商可结合企业实际对表内项目进行适当调整，但要求能真实、准确地反映产品生产成本。</w:t>
      </w:r>
    </w:p>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4、专家小组认为有必要的，可要求代理商提供进货凭据或与制造商的意向合同。</w:t>
      </w:r>
    </w:p>
    <w:p>
      <w:pPr>
        <w:spacing w:beforeLines="50" w:beforeAutospacing="0" w:afterLines="50" w:afterAutospacing="0" w:line="240" w:lineRule="auto"/>
        <w:ind w:firstLine="480" w:firstLineChars="200"/>
        <w:rPr>
          <w:rFonts w:hint="eastAsia" w:ascii="仿宋_GB2312" w:hAnsi="仿宋_GB2312" w:eastAsia="仿宋_GB2312" w:cs="仿宋_GB2312"/>
          <w:color w:val="auto"/>
          <w:sz w:val="24"/>
        </w:rPr>
      </w:pPr>
    </w:p>
    <w:p>
      <w:pPr>
        <w:adjustRightInd w:val="0"/>
        <w:spacing w:before="0" w:beforeAutospacing="0" w:afterLines="50" w:afterAutospacing="0" w:line="240" w:lineRule="auto"/>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供应商名称（盖章）：</w:t>
      </w:r>
    </w:p>
    <w:p>
      <w:pPr>
        <w:adjustRightInd w:val="0"/>
        <w:spacing w:before="0" w:beforeAutospacing="0" w:afterLines="50" w:afterAutospacing="0" w:line="240" w:lineRule="auto"/>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法定代表人或授权代表（签字）：</w:t>
      </w:r>
    </w:p>
    <w:p>
      <w:pPr>
        <w:spacing w:beforeLines="50" w:beforeAutospacing="0" w:afterLines="50" w:afterAutospacing="0" w:line="240" w:lineRule="auto"/>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投标日期：</w:t>
      </w:r>
    </w:p>
    <w:p>
      <w:pPr>
        <w:spacing w:beforeLines="50" w:beforeAutospacing="0" w:afterLines="50" w:afterAutospacing="0" w:line="240" w:lineRule="auto"/>
        <w:ind w:firstLine="480" w:firstLineChars="200"/>
        <w:rPr>
          <w:rFonts w:hint="eastAsia" w:ascii="仿宋_GB2312" w:hAnsi="仿宋_GB2312" w:eastAsia="仿宋_GB2312" w:cs="仿宋_GB2312"/>
          <w:color w:val="auto"/>
          <w:sz w:val="24"/>
        </w:rPr>
      </w:pPr>
    </w:p>
    <w:p>
      <w:pPr>
        <w:spacing w:beforeLines="50" w:beforeAutospacing="0" w:afterLines="50" w:afterAutospacing="0" w:line="240" w:lineRule="auto"/>
        <w:rPr>
          <w:rFonts w:hint="eastAsia" w:ascii="仿宋_GB2312" w:hAnsi="仿宋_GB2312" w:eastAsia="仿宋_GB2312" w:cs="仿宋_GB2312"/>
          <w:color w:val="auto"/>
          <w:sz w:val="24"/>
        </w:rPr>
      </w:pPr>
    </w:p>
    <w:p>
      <w:pPr>
        <w:pStyle w:val="78"/>
        <w:rPr>
          <w:rFonts w:hint="eastAsia" w:ascii="仿宋_GB2312" w:hAnsi="仿宋_GB2312" w:eastAsia="仿宋_GB2312" w:cs="仿宋_GB2312"/>
          <w:color w:val="auto"/>
          <w:sz w:val="24"/>
        </w:rPr>
      </w:pPr>
    </w:p>
    <w:p>
      <w:pPr>
        <w:pStyle w:val="78"/>
        <w:rPr>
          <w:rFonts w:hint="eastAsia" w:ascii="仿宋_GB2312" w:hAnsi="仿宋_GB2312" w:eastAsia="仿宋_GB2312" w:cs="仿宋_GB2312"/>
          <w:color w:val="auto"/>
          <w:sz w:val="24"/>
        </w:rPr>
      </w:pPr>
    </w:p>
    <w:p>
      <w:pPr>
        <w:pStyle w:val="78"/>
        <w:rPr>
          <w:rFonts w:hint="eastAsia" w:ascii="仿宋_GB2312" w:hAnsi="仿宋_GB2312" w:eastAsia="仿宋_GB2312" w:cs="仿宋_GB2312"/>
          <w:color w:val="auto"/>
          <w:sz w:val="24"/>
        </w:rPr>
      </w:pPr>
    </w:p>
    <w:p>
      <w:pPr>
        <w:pStyle w:val="78"/>
        <w:rPr>
          <w:rFonts w:hint="eastAsia" w:ascii="仿宋_GB2312" w:hAnsi="仿宋_GB2312" w:eastAsia="仿宋_GB2312" w:cs="仿宋_GB2312"/>
          <w:color w:val="auto"/>
          <w:sz w:val="24"/>
        </w:rPr>
      </w:pPr>
    </w:p>
    <w:p>
      <w:pPr>
        <w:pStyle w:val="78"/>
        <w:rPr>
          <w:rFonts w:hint="eastAsia" w:ascii="仿宋_GB2312" w:hAnsi="仿宋_GB2312" w:eastAsia="仿宋_GB2312" w:cs="仿宋_GB2312"/>
          <w:color w:val="auto"/>
          <w:sz w:val="24"/>
        </w:rPr>
      </w:pPr>
    </w:p>
    <w:p>
      <w:pPr>
        <w:spacing w:beforeLines="50" w:beforeAutospacing="0" w:afterLines="50" w:afterAutospacing="0" w:line="240" w:lineRule="auto"/>
        <w:ind w:firstLine="723" w:firstLineChars="200"/>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36"/>
          <w:szCs w:val="36"/>
        </w:rPr>
        <w:t>3.投标主要产品成本汇总表</w:t>
      </w:r>
    </w:p>
    <w:p>
      <w:pPr>
        <w:spacing w:beforeLines="50" w:beforeAutospacing="0" w:afterLines="50" w:afterAutospacing="0" w:line="24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项目名称                                             品目编号/品目名称</w:t>
      </w:r>
    </w:p>
    <w:tbl>
      <w:tblPr>
        <w:tblStyle w:val="6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2"/>
        <w:gridCol w:w="2768"/>
        <w:gridCol w:w="1674"/>
        <w:gridCol w:w="1110"/>
        <w:gridCol w:w="1411"/>
        <w:gridCol w:w="1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trPr>
        <w:tc>
          <w:tcPr>
            <w:tcW w:w="423" w:type="pct"/>
            <w:vAlign w:val="center"/>
          </w:tcPr>
          <w:p>
            <w:pPr>
              <w:spacing w:beforeLines="50" w:beforeAutospacing="0" w:afterLines="50" w:afterAutospacing="0" w:line="240" w:lineRule="auto"/>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序号</w:t>
            </w:r>
          </w:p>
        </w:tc>
        <w:tc>
          <w:tcPr>
            <w:tcW w:w="1579" w:type="pct"/>
            <w:vAlign w:val="center"/>
          </w:tcPr>
          <w:p>
            <w:pPr>
              <w:spacing w:beforeLines="50" w:beforeAutospacing="0" w:afterLines="50" w:afterAutospacing="0" w:line="240" w:lineRule="auto"/>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主要产品名称</w:t>
            </w:r>
          </w:p>
        </w:tc>
        <w:tc>
          <w:tcPr>
            <w:tcW w:w="955" w:type="pct"/>
            <w:vAlign w:val="center"/>
          </w:tcPr>
          <w:p>
            <w:pPr>
              <w:spacing w:beforeLines="50" w:beforeAutospacing="0" w:afterLines="50" w:afterAutospacing="0" w:line="240" w:lineRule="auto"/>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制造商名称</w:t>
            </w:r>
          </w:p>
        </w:tc>
        <w:tc>
          <w:tcPr>
            <w:tcW w:w="633" w:type="pct"/>
            <w:vAlign w:val="center"/>
          </w:tcPr>
          <w:p>
            <w:pPr>
              <w:spacing w:beforeLines="50" w:beforeAutospacing="0" w:afterLines="50" w:afterAutospacing="0" w:line="240" w:lineRule="auto"/>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数量</w:t>
            </w:r>
          </w:p>
        </w:tc>
        <w:tc>
          <w:tcPr>
            <w:tcW w:w="805" w:type="pct"/>
            <w:tcBorders>
              <w:right w:val="single" w:color="auto" w:sz="4" w:space="0"/>
            </w:tcBorders>
            <w:vAlign w:val="center"/>
          </w:tcPr>
          <w:p>
            <w:pPr>
              <w:spacing w:beforeLines="50" w:beforeAutospacing="0" w:afterLines="50" w:afterAutospacing="0" w:line="240" w:lineRule="auto"/>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成本总计（元）</w:t>
            </w:r>
          </w:p>
        </w:tc>
        <w:tc>
          <w:tcPr>
            <w:tcW w:w="603" w:type="pct"/>
            <w:tcBorders>
              <w:left w:val="single" w:color="auto" w:sz="4" w:space="0"/>
            </w:tcBorders>
            <w:vAlign w:val="center"/>
          </w:tcPr>
          <w:p>
            <w:pPr>
              <w:pStyle w:val="2"/>
              <w:spacing w:before="0" w:beforeAutospacing="0" w:after="0" w:afterAutospacing="0" w:line="240" w:lineRule="auto"/>
              <w:ind w:left="0" w:leftChars="0" w:firstLine="0" w:firstLineChars="0"/>
              <w:jc w:val="center"/>
              <w:rPr>
                <w:rFonts w:hint="eastAsia" w:ascii="仿宋_GB2312" w:hAnsi="仿宋_GB2312" w:eastAsia="仿宋_GB2312" w:cs="仿宋_GB2312"/>
                <w:b/>
                <w:color w:val="auto"/>
                <w:szCs w:val="24"/>
              </w:rPr>
            </w:pPr>
            <w:r>
              <w:rPr>
                <w:rFonts w:hint="eastAsia" w:ascii="仿宋_GB2312" w:hAnsi="仿宋_GB2312" w:eastAsia="仿宋_GB2312" w:cs="仿宋_GB2312"/>
                <w:b/>
                <w:color w:val="auto"/>
                <w:szCs w:val="24"/>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1579"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955"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3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80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03"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1579"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955"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3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80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03"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1579"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955"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3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80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03"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1579"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955"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3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80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03"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1579"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955"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3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80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03"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1579"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955"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3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80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03"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r>
    </w:tbl>
    <w:p>
      <w:pPr>
        <w:spacing w:beforeLines="50" w:beforeAutospacing="0" w:afterLines="50" w:afterAutospacing="0" w:line="240" w:lineRule="auto"/>
        <w:ind w:firstLine="480" w:firstLineChars="200"/>
        <w:rPr>
          <w:rFonts w:hint="eastAsia" w:ascii="仿宋_GB2312" w:hAnsi="仿宋_GB2312" w:eastAsia="仿宋_GB2312" w:cs="仿宋_GB2312"/>
          <w:color w:val="auto"/>
          <w:sz w:val="24"/>
        </w:rPr>
      </w:pPr>
    </w:p>
    <w:p>
      <w:pPr>
        <w:spacing w:beforeLines="50" w:beforeAutospacing="0" w:afterLines="50" w:afterAutospacing="0" w:line="240" w:lineRule="auto"/>
        <w:ind w:firstLine="480" w:firstLineChars="200"/>
        <w:rPr>
          <w:rFonts w:hint="eastAsia" w:ascii="仿宋_GB2312" w:hAnsi="仿宋_GB2312" w:eastAsia="仿宋_GB2312" w:cs="仿宋_GB2312"/>
          <w:color w:val="auto"/>
          <w:sz w:val="24"/>
        </w:rPr>
      </w:pPr>
    </w:p>
    <w:p>
      <w:pPr>
        <w:adjustRightInd w:val="0"/>
        <w:spacing w:beforeLines="50" w:beforeAutospacing="0" w:afterLines="50" w:afterAutospacing="0" w:line="240" w:lineRule="auto"/>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供应商名称（盖章）：</w:t>
      </w:r>
    </w:p>
    <w:p>
      <w:pPr>
        <w:adjustRightInd w:val="0"/>
        <w:spacing w:beforeLines="50" w:beforeAutospacing="0" w:afterLines="50" w:afterAutospacing="0" w:line="240" w:lineRule="auto"/>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法定代表人或授权代表（签字）：</w:t>
      </w:r>
    </w:p>
    <w:p>
      <w:pPr>
        <w:spacing w:beforeLines="50" w:beforeAutospacing="0" w:afterLines="50" w:afterAutospacing="0" w:line="240" w:lineRule="auto"/>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投标日期：</w:t>
      </w:r>
    </w:p>
    <w:p>
      <w:pPr>
        <w:pStyle w:val="78"/>
        <w:rPr>
          <w:rFonts w:hint="eastAsia" w:ascii="仿宋_GB2312" w:hAnsi="仿宋_GB2312" w:eastAsia="仿宋_GB2312" w:cs="仿宋_GB231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5</w:t>
      </w:r>
      <w:r>
        <w:rPr>
          <w:rFonts w:hint="eastAsia" w:ascii="仿宋" w:hAnsi="仿宋" w:eastAsia="仿宋" w:cs="仿宋"/>
          <w:b/>
          <w:spacing w:val="6"/>
          <w:sz w:val="32"/>
          <w:szCs w:val="32"/>
        </w:rPr>
        <w:t>：投诉书范本及制作说明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b/>
          <w:spacing w:val="6"/>
          <w:sz w:val="32"/>
          <w:szCs w:val="32"/>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r>
        <w:rPr>
          <w:rFonts w:hint="eastAsia" w:ascii="仿宋" w:hAnsi="仿宋" w:eastAsia="仿宋" w:cs="仿宋"/>
          <w:sz w:val="24"/>
          <w:lang w:eastAsia="zh-CN"/>
        </w:rPr>
        <w:t>。</w:t>
      </w:r>
    </w:p>
    <w:p>
      <w:pPr>
        <w:jc w:val="left"/>
        <w:rPr>
          <w:rFonts w:hint="eastAsia" w:ascii="仿宋" w:hAnsi="仿宋" w:eastAsia="仿宋" w:cs="仿宋"/>
          <w:b/>
          <w:spacing w:val="6"/>
          <w:sz w:val="32"/>
          <w:szCs w:val="32"/>
        </w:rPr>
      </w:pPr>
    </w:p>
    <w:p>
      <w:pPr>
        <w:jc w:val="left"/>
        <w:rPr>
          <w:rFonts w:hint="eastAsia" w:ascii="仿宋" w:hAnsi="仿宋" w:eastAsia="仿宋" w:cs="仿宋"/>
          <w:sz w:val="28"/>
          <w:szCs w:val="28"/>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6</w:t>
      </w:r>
      <w:r>
        <w:rPr>
          <w:rFonts w:hint="eastAsia" w:ascii="仿宋" w:hAnsi="仿宋" w:eastAsia="仿宋" w:cs="仿宋"/>
          <w:sz w:val="28"/>
          <w:szCs w:val="28"/>
          <w:lang w:eastAsia="zh-CN"/>
        </w:rPr>
        <w:t>：</w:t>
      </w:r>
    </w:p>
    <w:p>
      <w:pPr>
        <w:jc w:val="center"/>
        <w:rPr>
          <w:rFonts w:hint="eastAsia"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hint="eastAsia" w:ascii="仿宋" w:hAnsi="仿宋" w:eastAsia="仿宋" w:cs="仿宋"/>
          <w:sz w:val="44"/>
          <w:szCs w:val="44"/>
        </w:rPr>
      </w:pPr>
    </w:p>
    <w:tbl>
      <w:tblPr>
        <w:tblStyle w:val="62"/>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58"/>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24"/>
        <w:rPr>
          <w:rFonts w:hint="eastAsia" w:ascii="仿宋" w:hAnsi="仿宋" w:eastAsia="仿宋" w:cs="仿宋"/>
          <w:b/>
          <w:bCs/>
          <w:sz w:val="24"/>
        </w:rPr>
      </w:pPr>
    </w:p>
    <w:p/>
    <w:sectPr>
      <w:headerReference r:id="rId15" w:type="first"/>
      <w:footerReference r:id="rId18" w:type="first"/>
      <w:headerReference r:id="rId14" w:type="default"/>
      <w:footerReference r:id="rId16" w:type="default"/>
      <w:footerReference r:id="rId17" w:type="even"/>
      <w:pgSz w:w="11906" w:h="16838"/>
      <w:pgMar w:top="1440" w:right="1797" w:bottom="1440" w:left="1559"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Segoe Print"/>
    <w:panose1 w:val="020B0502020202020204"/>
    <w:charset w:val="00"/>
    <w:family w:val="swiss"/>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Trebuchet MS">
    <w:panose1 w:val="020B0603020202020204"/>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end"/>
    </w:r>
  </w:p>
  <w:p>
    <w:pPr>
      <w:pStyle w:val="39"/>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end"/>
    </w:r>
  </w:p>
  <w:p>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566" w:name="_Toc164085800"/>
    <w:bookmarkStart w:id="567" w:name="_Toc91899912"/>
    <w:bookmarkStart w:id="568" w:name="_Toc131845147"/>
    <w:bookmarkStart w:id="569" w:name="_Toc36110187"/>
    <w:r>
      <w:rPr>
        <w:rFonts w:hint="eastAsia" w:ascii="仿宋_GB2312" w:eastAsia="仿宋_GB2312"/>
        <w:kern w:val="0"/>
        <w:szCs w:val="21"/>
      </w:rPr>
      <w:t xml:space="preserve"> 页</w:t>
    </w:r>
    <w:bookmarkEnd w:id="566"/>
    <w:bookmarkEnd w:id="567"/>
    <w:bookmarkEnd w:id="568"/>
    <w:bookmarkEnd w:id="56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杭州市</w:t>
    </w:r>
    <w:r>
      <w:rPr>
        <w:rFonts w:hint="eastAsia"/>
        <w:lang w:eastAsia="zh-CN"/>
      </w:rPr>
      <w:t>临安区</w:t>
    </w:r>
    <w:r>
      <w:rPr>
        <w:rFonts w:hint="eastAsia"/>
      </w:rPr>
      <w:t>政府采购公开招标文件</w:t>
    </w:r>
  </w:p>
  <w:p>
    <w:pPr>
      <w:pStyle w:val="59"/>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杭州市临安区政府采购公开招标文件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lang w:val="en-US" w:eastAsia="zh-CN"/>
      </w:rPr>
      <w:t xml:space="preserve">                                      </w:t>
    </w:r>
    <w:r>
      <w:t>杭州市</w:t>
    </w:r>
    <w:r>
      <w:rPr>
        <w:rFonts w:hint="eastAsia"/>
        <w:lang w:eastAsia="zh-CN"/>
      </w:rPr>
      <w:t>临安区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lang w:val="en-US" w:eastAsia="zh-CN"/>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iCs/>
        <w:u w:val="single"/>
      </w:rPr>
    </w:pPr>
    <w:r>
      <w:rPr>
        <w:rFonts w:hint="eastAsia"/>
      </w:rPr>
      <w:t xml:space="preserve">                                                            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625B4"/>
    <w:multiLevelType w:val="singleLevel"/>
    <w:tmpl w:val="8A3625B4"/>
    <w:lvl w:ilvl="0" w:tentative="0">
      <w:start w:val="3"/>
      <w:numFmt w:val="decimal"/>
      <w:lvlText w:val="%1."/>
      <w:lvlJc w:val="left"/>
      <w:pPr>
        <w:tabs>
          <w:tab w:val="left" w:pos="312"/>
        </w:tabs>
      </w:pPr>
    </w:lvl>
  </w:abstractNum>
  <w:abstractNum w:abstractNumId="1">
    <w:nsid w:val="E1109291"/>
    <w:multiLevelType w:val="singleLevel"/>
    <w:tmpl w:val="E1109291"/>
    <w:lvl w:ilvl="0" w:tentative="0">
      <w:start w:val="1"/>
      <w:numFmt w:val="chineseCounting"/>
      <w:suff w:val="nothing"/>
      <w:lvlText w:val="%1、"/>
      <w:lvlJc w:val="left"/>
      <w:rPr>
        <w:rFonts w:hint="eastAsia"/>
      </w:rPr>
    </w:lvl>
  </w:abstractNum>
  <w:abstractNum w:abstractNumId="2">
    <w:nsid w:val="EE7A7B8F"/>
    <w:multiLevelType w:val="singleLevel"/>
    <w:tmpl w:val="EE7A7B8F"/>
    <w:lvl w:ilvl="0" w:tentative="0">
      <w:start w:val="1"/>
      <w:numFmt w:val="decimal"/>
      <w:suff w:val="nothing"/>
      <w:lvlText w:val="%1、"/>
      <w:lvlJc w:val="left"/>
    </w:lvl>
  </w:abstractNum>
  <w:abstractNum w:abstractNumId="3">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57"/>
      <w:lvlText w:val=""/>
      <w:lvlJc w:val="left"/>
      <w:pPr>
        <w:tabs>
          <w:tab w:val="left" w:pos="1260"/>
        </w:tabs>
        <w:ind w:left="1260" w:hanging="420"/>
      </w:pPr>
      <w:rPr>
        <w:rFonts w:hint="default" w:ascii="Wingdings" w:hAnsi="Wingdings"/>
      </w:rPr>
    </w:lvl>
    <w:lvl w:ilvl="2" w:tentative="0">
      <w:start w:val="1"/>
      <w:numFmt w:val="bullet"/>
      <w:pStyle w:val="338"/>
      <w:lvlText w:val=""/>
      <w:lvlJc w:val="left"/>
      <w:pPr>
        <w:tabs>
          <w:tab w:val="left" w:pos="1680"/>
        </w:tabs>
        <w:ind w:left="1680" w:hanging="420"/>
      </w:pPr>
      <w:rPr>
        <w:rFonts w:hint="default" w:ascii="Wingdings" w:hAnsi="Wingdings"/>
      </w:rPr>
    </w:lvl>
    <w:lvl w:ilvl="3" w:tentative="0">
      <w:start w:val="1"/>
      <w:numFmt w:val="bullet"/>
      <w:pStyle w:val="355"/>
      <w:lvlText w:val=""/>
      <w:lvlJc w:val="left"/>
      <w:pPr>
        <w:tabs>
          <w:tab w:val="left" w:pos="2100"/>
        </w:tabs>
        <w:ind w:left="2100" w:hanging="420"/>
      </w:pPr>
      <w:rPr>
        <w:rFonts w:hint="default" w:ascii="Wingdings" w:hAnsi="Wingdings"/>
      </w:rPr>
    </w:lvl>
    <w:lvl w:ilvl="4" w:tentative="0">
      <w:start w:val="1"/>
      <w:numFmt w:val="bullet"/>
      <w:pStyle w:val="422"/>
      <w:lvlText w:val=""/>
      <w:lvlJc w:val="left"/>
      <w:pPr>
        <w:tabs>
          <w:tab w:val="left" w:pos="2520"/>
        </w:tabs>
        <w:ind w:left="2520" w:hanging="420"/>
      </w:pPr>
      <w:rPr>
        <w:rFonts w:hint="default" w:ascii="Wingdings" w:hAnsi="Wingdings"/>
      </w:rPr>
    </w:lvl>
    <w:lvl w:ilvl="5" w:tentative="0">
      <w:start w:val="1"/>
      <w:numFmt w:val="bullet"/>
      <w:pStyle w:val="490"/>
      <w:lvlText w:val=""/>
      <w:lvlJc w:val="left"/>
      <w:pPr>
        <w:tabs>
          <w:tab w:val="left" w:pos="2940"/>
        </w:tabs>
        <w:ind w:left="2940" w:hanging="420"/>
      </w:pPr>
      <w:rPr>
        <w:rFonts w:hint="default" w:ascii="Wingdings" w:hAnsi="Wingdings"/>
      </w:rPr>
    </w:lvl>
    <w:lvl w:ilvl="6" w:tentative="0">
      <w:start w:val="1"/>
      <w:numFmt w:val="bullet"/>
      <w:pStyle w:val="489"/>
      <w:lvlText w:val=""/>
      <w:lvlJc w:val="left"/>
      <w:pPr>
        <w:tabs>
          <w:tab w:val="left" w:pos="3360"/>
        </w:tabs>
        <w:ind w:left="3360" w:hanging="420"/>
      </w:pPr>
      <w:rPr>
        <w:rFonts w:hint="default" w:ascii="Wingdings" w:hAnsi="Wingdings"/>
      </w:rPr>
    </w:lvl>
    <w:lvl w:ilvl="7" w:tentative="0">
      <w:start w:val="1"/>
      <w:numFmt w:val="bullet"/>
      <w:pStyle w:val="567"/>
      <w:lvlText w:val=""/>
      <w:lvlJc w:val="left"/>
      <w:pPr>
        <w:tabs>
          <w:tab w:val="left" w:pos="3780"/>
        </w:tabs>
        <w:ind w:left="3780" w:hanging="420"/>
      </w:pPr>
      <w:rPr>
        <w:rFonts w:hint="default" w:ascii="Wingdings" w:hAnsi="Wingdings"/>
      </w:rPr>
    </w:lvl>
    <w:lvl w:ilvl="8" w:tentative="0">
      <w:start w:val="1"/>
      <w:numFmt w:val="bullet"/>
      <w:pStyle w:val="562"/>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11F3D51"/>
    <w:multiLevelType w:val="multilevel"/>
    <w:tmpl w:val="011F3D51"/>
    <w:lvl w:ilvl="0" w:tentative="0">
      <w:start w:val="1"/>
      <w:numFmt w:val="decimal"/>
      <w:pStyle w:val="855"/>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56"/>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7">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8">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9">
    <w:nsid w:val="150C8106"/>
    <w:multiLevelType w:val="singleLevel"/>
    <w:tmpl w:val="150C8106"/>
    <w:lvl w:ilvl="0" w:tentative="0">
      <w:start w:val="1"/>
      <w:numFmt w:val="chineseCounting"/>
      <w:suff w:val="nothing"/>
      <w:lvlText w:val="%1、"/>
      <w:lvlJc w:val="left"/>
      <w:rPr>
        <w:rFonts w:hint="eastAsia"/>
      </w:rPr>
    </w:lvl>
  </w:abstractNum>
  <w:abstractNum w:abstractNumId="10">
    <w:nsid w:val="4C54DD79"/>
    <w:multiLevelType w:val="singleLevel"/>
    <w:tmpl w:val="4C54DD79"/>
    <w:lvl w:ilvl="0" w:tentative="0">
      <w:start w:val="1"/>
      <w:numFmt w:val="decimal"/>
      <w:suff w:val="nothing"/>
      <w:lvlText w:val="%1、"/>
      <w:lvlJc w:val="left"/>
    </w:lvl>
  </w:abstractNum>
  <w:abstractNum w:abstractNumId="11">
    <w:nsid w:val="578B3BD2"/>
    <w:multiLevelType w:val="multilevel"/>
    <w:tmpl w:val="578B3BD2"/>
    <w:lvl w:ilvl="0" w:tentative="0">
      <w:start w:val="1"/>
      <w:numFmt w:val="decimal"/>
      <w:pStyle w:val="500"/>
      <w:lvlText w:val="%1"/>
      <w:lvlJc w:val="left"/>
      <w:pPr>
        <w:tabs>
          <w:tab w:val="left" w:pos="480"/>
        </w:tabs>
        <w:ind w:left="480" w:hanging="480"/>
      </w:pPr>
      <w:rPr>
        <w:rFonts w:hint="eastAsia"/>
        <w:sz w:val="44"/>
        <w:szCs w:val="44"/>
      </w:rPr>
    </w:lvl>
    <w:lvl w:ilvl="1" w:tentative="0">
      <w:start w:val="1"/>
      <w:numFmt w:val="decimal"/>
      <w:pStyle w:val="47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44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73596DCC"/>
    <w:multiLevelType w:val="multilevel"/>
    <w:tmpl w:val="73596DCC"/>
    <w:lvl w:ilvl="0" w:tentative="0">
      <w:start w:val="1"/>
      <w:numFmt w:val="bullet"/>
      <w:pStyle w:val="50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E265E1C"/>
    <w:multiLevelType w:val="multilevel"/>
    <w:tmpl w:val="7E265E1C"/>
    <w:lvl w:ilvl="0" w:tentative="0">
      <w:start w:val="1"/>
      <w:numFmt w:val="decimal"/>
      <w:pStyle w:val="23"/>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5"/>
  </w:num>
  <w:num w:numId="3">
    <w:abstractNumId w:val="3"/>
  </w:num>
  <w:num w:numId="4">
    <w:abstractNumId w:val="13"/>
  </w:num>
  <w:num w:numId="5">
    <w:abstractNumId w:val="4"/>
  </w:num>
  <w:num w:numId="6">
    <w:abstractNumId w:val="11"/>
  </w:num>
  <w:num w:numId="7">
    <w:abstractNumId w:val="12"/>
  </w:num>
  <w:num w:numId="8">
    <w:abstractNumId w:val="6"/>
  </w:num>
  <w:num w:numId="9">
    <w:abstractNumId w:val="9"/>
  </w:num>
  <w:num w:numId="10">
    <w:abstractNumId w:val="1"/>
  </w:num>
  <w:num w:numId="11">
    <w:abstractNumId w:val="0"/>
  </w:num>
  <w:num w:numId="12">
    <w:abstractNumId w:val="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EF"/>
    <w:rsid w:val="00020634"/>
    <w:rsid w:val="00020EC1"/>
    <w:rsid w:val="0003731D"/>
    <w:rsid w:val="00045876"/>
    <w:rsid w:val="00072C7E"/>
    <w:rsid w:val="000B0316"/>
    <w:rsid w:val="000B53B1"/>
    <w:rsid w:val="000E1692"/>
    <w:rsid w:val="000E3A61"/>
    <w:rsid w:val="00102220"/>
    <w:rsid w:val="0010623D"/>
    <w:rsid w:val="0011663C"/>
    <w:rsid w:val="001229B1"/>
    <w:rsid w:val="00143FA2"/>
    <w:rsid w:val="00161E21"/>
    <w:rsid w:val="00162C0E"/>
    <w:rsid w:val="00167F6C"/>
    <w:rsid w:val="001A43CF"/>
    <w:rsid w:val="001A44FB"/>
    <w:rsid w:val="001E0E40"/>
    <w:rsid w:val="00207095"/>
    <w:rsid w:val="00207314"/>
    <w:rsid w:val="002B2032"/>
    <w:rsid w:val="002B3FCC"/>
    <w:rsid w:val="002E250C"/>
    <w:rsid w:val="002F0A08"/>
    <w:rsid w:val="002F6EC9"/>
    <w:rsid w:val="00310C13"/>
    <w:rsid w:val="0032472B"/>
    <w:rsid w:val="00325AA3"/>
    <w:rsid w:val="003279D7"/>
    <w:rsid w:val="003372DA"/>
    <w:rsid w:val="00346EED"/>
    <w:rsid w:val="00352258"/>
    <w:rsid w:val="003922BC"/>
    <w:rsid w:val="003A03CE"/>
    <w:rsid w:val="003A0F73"/>
    <w:rsid w:val="003C1335"/>
    <w:rsid w:val="003E311E"/>
    <w:rsid w:val="003F2ACF"/>
    <w:rsid w:val="003F2B8F"/>
    <w:rsid w:val="003F557D"/>
    <w:rsid w:val="00414F37"/>
    <w:rsid w:val="0042469D"/>
    <w:rsid w:val="00490852"/>
    <w:rsid w:val="00490AEE"/>
    <w:rsid w:val="004C0766"/>
    <w:rsid w:val="004D0481"/>
    <w:rsid w:val="004F5101"/>
    <w:rsid w:val="0052255A"/>
    <w:rsid w:val="00522E01"/>
    <w:rsid w:val="0056477B"/>
    <w:rsid w:val="00565456"/>
    <w:rsid w:val="00573E3A"/>
    <w:rsid w:val="005B3C47"/>
    <w:rsid w:val="005B5F29"/>
    <w:rsid w:val="005E6794"/>
    <w:rsid w:val="005E6CE4"/>
    <w:rsid w:val="00622F41"/>
    <w:rsid w:val="00624E24"/>
    <w:rsid w:val="0063681B"/>
    <w:rsid w:val="00647E1D"/>
    <w:rsid w:val="0065762E"/>
    <w:rsid w:val="00670298"/>
    <w:rsid w:val="00685852"/>
    <w:rsid w:val="006B67CC"/>
    <w:rsid w:val="006C08B9"/>
    <w:rsid w:val="006C39B4"/>
    <w:rsid w:val="006F26D1"/>
    <w:rsid w:val="00702BCA"/>
    <w:rsid w:val="00744240"/>
    <w:rsid w:val="0076144F"/>
    <w:rsid w:val="0079321A"/>
    <w:rsid w:val="007B0629"/>
    <w:rsid w:val="007F0EC2"/>
    <w:rsid w:val="00857A81"/>
    <w:rsid w:val="00881948"/>
    <w:rsid w:val="00890318"/>
    <w:rsid w:val="008A6A36"/>
    <w:rsid w:val="008B065D"/>
    <w:rsid w:val="008B5B2E"/>
    <w:rsid w:val="008C076D"/>
    <w:rsid w:val="008C2C27"/>
    <w:rsid w:val="008D62AA"/>
    <w:rsid w:val="008E3831"/>
    <w:rsid w:val="008F5F00"/>
    <w:rsid w:val="008F7746"/>
    <w:rsid w:val="00903598"/>
    <w:rsid w:val="009159E1"/>
    <w:rsid w:val="00944988"/>
    <w:rsid w:val="00950759"/>
    <w:rsid w:val="0098477C"/>
    <w:rsid w:val="00985A01"/>
    <w:rsid w:val="009A75CA"/>
    <w:rsid w:val="00A0686D"/>
    <w:rsid w:val="00A30BFF"/>
    <w:rsid w:val="00A42626"/>
    <w:rsid w:val="00A526B5"/>
    <w:rsid w:val="00A733EC"/>
    <w:rsid w:val="00A80C6D"/>
    <w:rsid w:val="00A9660E"/>
    <w:rsid w:val="00A977E7"/>
    <w:rsid w:val="00AA16B3"/>
    <w:rsid w:val="00AB5897"/>
    <w:rsid w:val="00AB5D3F"/>
    <w:rsid w:val="00AE1891"/>
    <w:rsid w:val="00B32D57"/>
    <w:rsid w:val="00B4085B"/>
    <w:rsid w:val="00B90203"/>
    <w:rsid w:val="00B91770"/>
    <w:rsid w:val="00BD6EBF"/>
    <w:rsid w:val="00BE05FA"/>
    <w:rsid w:val="00BF5A06"/>
    <w:rsid w:val="00C02021"/>
    <w:rsid w:val="00C24A83"/>
    <w:rsid w:val="00C32BD3"/>
    <w:rsid w:val="00C45F5B"/>
    <w:rsid w:val="00C65388"/>
    <w:rsid w:val="00C838EB"/>
    <w:rsid w:val="00C97395"/>
    <w:rsid w:val="00CA75A7"/>
    <w:rsid w:val="00CD7167"/>
    <w:rsid w:val="00D0563A"/>
    <w:rsid w:val="00D40716"/>
    <w:rsid w:val="00D66B84"/>
    <w:rsid w:val="00E100FC"/>
    <w:rsid w:val="00E16B3F"/>
    <w:rsid w:val="00E35242"/>
    <w:rsid w:val="00E65483"/>
    <w:rsid w:val="00E76867"/>
    <w:rsid w:val="00E92229"/>
    <w:rsid w:val="00EB1EEF"/>
    <w:rsid w:val="00EC0CDF"/>
    <w:rsid w:val="00EC32EE"/>
    <w:rsid w:val="00ED0284"/>
    <w:rsid w:val="00ED4D92"/>
    <w:rsid w:val="00EF24DA"/>
    <w:rsid w:val="00F04523"/>
    <w:rsid w:val="00F113F3"/>
    <w:rsid w:val="00F30F6F"/>
    <w:rsid w:val="00F705EA"/>
    <w:rsid w:val="00F8759F"/>
    <w:rsid w:val="00FA0965"/>
    <w:rsid w:val="00FA3D06"/>
    <w:rsid w:val="00FB6C18"/>
    <w:rsid w:val="03010BE2"/>
    <w:rsid w:val="04930CCD"/>
    <w:rsid w:val="04AD1233"/>
    <w:rsid w:val="0534223B"/>
    <w:rsid w:val="061D6415"/>
    <w:rsid w:val="08E02C1D"/>
    <w:rsid w:val="094B511D"/>
    <w:rsid w:val="0A090B1E"/>
    <w:rsid w:val="0B962139"/>
    <w:rsid w:val="0BEF3062"/>
    <w:rsid w:val="0CC15827"/>
    <w:rsid w:val="0D0053A3"/>
    <w:rsid w:val="0D234B8B"/>
    <w:rsid w:val="0E0639F0"/>
    <w:rsid w:val="10B4324F"/>
    <w:rsid w:val="139A1ED3"/>
    <w:rsid w:val="15F07094"/>
    <w:rsid w:val="17EE0F95"/>
    <w:rsid w:val="18087CB7"/>
    <w:rsid w:val="184B2178"/>
    <w:rsid w:val="189623A9"/>
    <w:rsid w:val="1C72147C"/>
    <w:rsid w:val="1DD42D71"/>
    <w:rsid w:val="1E28236A"/>
    <w:rsid w:val="1F0A3878"/>
    <w:rsid w:val="1F574A5F"/>
    <w:rsid w:val="20F5288B"/>
    <w:rsid w:val="235C28BF"/>
    <w:rsid w:val="236F4C74"/>
    <w:rsid w:val="23990220"/>
    <w:rsid w:val="24DA7D36"/>
    <w:rsid w:val="25091656"/>
    <w:rsid w:val="25F22B38"/>
    <w:rsid w:val="26116FE6"/>
    <w:rsid w:val="28037EAF"/>
    <w:rsid w:val="28861541"/>
    <w:rsid w:val="288B4CF0"/>
    <w:rsid w:val="2931278A"/>
    <w:rsid w:val="29337492"/>
    <w:rsid w:val="29493640"/>
    <w:rsid w:val="29F37328"/>
    <w:rsid w:val="2A581951"/>
    <w:rsid w:val="2B1B1882"/>
    <w:rsid w:val="2B2E72E7"/>
    <w:rsid w:val="2B9C55E1"/>
    <w:rsid w:val="2C097464"/>
    <w:rsid w:val="2C8C58CC"/>
    <w:rsid w:val="2CDB6F3C"/>
    <w:rsid w:val="2DB008B6"/>
    <w:rsid w:val="2DD31B43"/>
    <w:rsid w:val="2E5840E6"/>
    <w:rsid w:val="2E833715"/>
    <w:rsid w:val="2F486F0F"/>
    <w:rsid w:val="2F8E6CEE"/>
    <w:rsid w:val="2FCC3349"/>
    <w:rsid w:val="3082405C"/>
    <w:rsid w:val="31A025B3"/>
    <w:rsid w:val="33E87591"/>
    <w:rsid w:val="343A1163"/>
    <w:rsid w:val="34F801C2"/>
    <w:rsid w:val="37370ACC"/>
    <w:rsid w:val="385C4A6C"/>
    <w:rsid w:val="38950B0D"/>
    <w:rsid w:val="38AA4650"/>
    <w:rsid w:val="39103069"/>
    <w:rsid w:val="39AD45A7"/>
    <w:rsid w:val="3B125890"/>
    <w:rsid w:val="3B431335"/>
    <w:rsid w:val="3C3E672F"/>
    <w:rsid w:val="3C7C78E2"/>
    <w:rsid w:val="3C922EF8"/>
    <w:rsid w:val="3D022ADB"/>
    <w:rsid w:val="3D505C29"/>
    <w:rsid w:val="40F54F9A"/>
    <w:rsid w:val="41290A94"/>
    <w:rsid w:val="41977BAA"/>
    <w:rsid w:val="41DA1AF4"/>
    <w:rsid w:val="43C22DAA"/>
    <w:rsid w:val="44E96FFD"/>
    <w:rsid w:val="45333510"/>
    <w:rsid w:val="45821A21"/>
    <w:rsid w:val="466670F3"/>
    <w:rsid w:val="469408CC"/>
    <w:rsid w:val="47443960"/>
    <w:rsid w:val="479A5621"/>
    <w:rsid w:val="47D454DA"/>
    <w:rsid w:val="490F3BDA"/>
    <w:rsid w:val="4AB113A5"/>
    <w:rsid w:val="4D5A1A3B"/>
    <w:rsid w:val="4D611758"/>
    <w:rsid w:val="4F28613F"/>
    <w:rsid w:val="4F7419C4"/>
    <w:rsid w:val="50E0418D"/>
    <w:rsid w:val="5111612F"/>
    <w:rsid w:val="51A21A7A"/>
    <w:rsid w:val="51AB4CDB"/>
    <w:rsid w:val="52307328"/>
    <w:rsid w:val="529354FB"/>
    <w:rsid w:val="53FC15E1"/>
    <w:rsid w:val="542455FB"/>
    <w:rsid w:val="550C3FFE"/>
    <w:rsid w:val="55134D06"/>
    <w:rsid w:val="55AE3BCF"/>
    <w:rsid w:val="568C5730"/>
    <w:rsid w:val="580A6DE4"/>
    <w:rsid w:val="585A61BF"/>
    <w:rsid w:val="595B1B53"/>
    <w:rsid w:val="5A7E75F4"/>
    <w:rsid w:val="5AB07846"/>
    <w:rsid w:val="5AEC25E8"/>
    <w:rsid w:val="5DC874A2"/>
    <w:rsid w:val="5DFF3F0E"/>
    <w:rsid w:val="5E9D0571"/>
    <w:rsid w:val="5F8E104F"/>
    <w:rsid w:val="5FFE21B8"/>
    <w:rsid w:val="60041071"/>
    <w:rsid w:val="603B1A91"/>
    <w:rsid w:val="60671434"/>
    <w:rsid w:val="607A6DD9"/>
    <w:rsid w:val="60C14490"/>
    <w:rsid w:val="6175443E"/>
    <w:rsid w:val="623B7906"/>
    <w:rsid w:val="63A8413D"/>
    <w:rsid w:val="652F1697"/>
    <w:rsid w:val="653D1E2C"/>
    <w:rsid w:val="65C565B3"/>
    <w:rsid w:val="66BB4A50"/>
    <w:rsid w:val="6A065420"/>
    <w:rsid w:val="6A370FF1"/>
    <w:rsid w:val="6A531ED1"/>
    <w:rsid w:val="6C345328"/>
    <w:rsid w:val="6C4A3BEA"/>
    <w:rsid w:val="6D146C24"/>
    <w:rsid w:val="6D911A0B"/>
    <w:rsid w:val="6ED77983"/>
    <w:rsid w:val="6FDA2517"/>
    <w:rsid w:val="705457BE"/>
    <w:rsid w:val="70F607C4"/>
    <w:rsid w:val="7124112B"/>
    <w:rsid w:val="717532C3"/>
    <w:rsid w:val="71D7171B"/>
    <w:rsid w:val="722F7C72"/>
    <w:rsid w:val="72580E4D"/>
    <w:rsid w:val="751B5B3E"/>
    <w:rsid w:val="75534F89"/>
    <w:rsid w:val="75AE1161"/>
    <w:rsid w:val="76AF23D8"/>
    <w:rsid w:val="76B51D65"/>
    <w:rsid w:val="76FA3C39"/>
    <w:rsid w:val="7B583A24"/>
    <w:rsid w:val="7B6843F2"/>
    <w:rsid w:val="7C8169B2"/>
    <w:rsid w:val="7CFC153F"/>
    <w:rsid w:val="7D0C031E"/>
    <w:rsid w:val="7E00497E"/>
    <w:rsid w:val="7F205479"/>
    <w:rsid w:val="7F6E5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81"/>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5">
    <w:name w:val="heading 2"/>
    <w:basedOn w:val="1"/>
    <w:next w:val="1"/>
    <w:link w:val="82"/>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6">
    <w:name w:val="heading 3"/>
    <w:basedOn w:val="1"/>
    <w:next w:val="1"/>
    <w:link w:val="83"/>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link w:val="84"/>
    <w:qFormat/>
    <w:uiPriority w:val="0"/>
    <w:pPr>
      <w:keepNext/>
      <w:keepLines/>
      <w:numPr>
        <w:ilvl w:val="3"/>
        <w:numId w:val="1"/>
      </w:numPr>
      <w:adjustRightInd w:val="0"/>
      <w:spacing w:before="280" w:after="290" w:line="376" w:lineRule="auto"/>
      <w:outlineLvl w:val="3"/>
    </w:pPr>
    <w:rPr>
      <w:rFonts w:ascii="Arial" w:hAnsi="Arial" w:eastAsia="黑体" w:cs="Times New Roman"/>
      <w:b/>
      <w:bCs/>
      <w:sz w:val="28"/>
      <w:szCs w:val="28"/>
      <w:lang w:val="zh-CN"/>
    </w:rPr>
  </w:style>
  <w:style w:type="paragraph" w:styleId="8">
    <w:name w:val="heading 5"/>
    <w:basedOn w:val="1"/>
    <w:next w:val="1"/>
    <w:link w:val="85"/>
    <w:qFormat/>
    <w:uiPriority w:val="0"/>
    <w:pPr>
      <w:keepNext/>
      <w:keepLines/>
      <w:numPr>
        <w:ilvl w:val="4"/>
        <w:numId w:val="1"/>
      </w:numPr>
      <w:adjustRightInd w:val="0"/>
      <w:spacing w:before="280" w:after="290" w:line="376" w:lineRule="auto"/>
      <w:outlineLvl w:val="4"/>
    </w:pPr>
    <w:rPr>
      <w:rFonts w:ascii="Times New Roman" w:hAnsi="Times New Roman" w:eastAsia="宋体" w:cs="Times New Roman"/>
      <w:b/>
      <w:bCs/>
      <w:sz w:val="28"/>
      <w:szCs w:val="28"/>
      <w:lang w:val="zh-CN"/>
    </w:rPr>
  </w:style>
  <w:style w:type="paragraph" w:styleId="9">
    <w:name w:val="heading 6"/>
    <w:basedOn w:val="1"/>
    <w:next w:val="1"/>
    <w:link w:val="86"/>
    <w:qFormat/>
    <w:uiPriority w:val="0"/>
    <w:pPr>
      <w:keepNext/>
      <w:keepLines/>
      <w:numPr>
        <w:ilvl w:val="5"/>
        <w:numId w:val="1"/>
      </w:numPr>
      <w:adjustRightInd w:val="0"/>
      <w:spacing w:before="240" w:after="64" w:line="320" w:lineRule="auto"/>
      <w:outlineLvl w:val="5"/>
    </w:pPr>
    <w:rPr>
      <w:rFonts w:ascii="Arial" w:hAnsi="Arial" w:eastAsia="黑体" w:cs="Times New Roman"/>
      <w:b/>
      <w:bCs/>
      <w:sz w:val="24"/>
      <w:szCs w:val="24"/>
      <w:lang w:val="zh-CN"/>
    </w:rPr>
  </w:style>
  <w:style w:type="paragraph" w:styleId="10">
    <w:name w:val="heading 7"/>
    <w:basedOn w:val="1"/>
    <w:next w:val="1"/>
    <w:link w:val="87"/>
    <w:qFormat/>
    <w:uiPriority w:val="0"/>
    <w:pPr>
      <w:keepNext/>
      <w:keepLines/>
      <w:numPr>
        <w:ilvl w:val="6"/>
        <w:numId w:val="1"/>
      </w:numPr>
      <w:adjustRightInd w:val="0"/>
      <w:spacing w:before="240" w:after="64" w:line="320" w:lineRule="auto"/>
      <w:outlineLvl w:val="6"/>
    </w:pPr>
    <w:rPr>
      <w:rFonts w:ascii="Times New Roman" w:hAnsi="Times New Roman" w:eastAsia="宋体" w:cs="Times New Roman"/>
      <w:b/>
      <w:bCs/>
      <w:sz w:val="24"/>
      <w:szCs w:val="24"/>
      <w:lang w:val="zh-CN"/>
    </w:rPr>
  </w:style>
  <w:style w:type="paragraph" w:styleId="11">
    <w:name w:val="heading 8"/>
    <w:basedOn w:val="1"/>
    <w:next w:val="1"/>
    <w:link w:val="88"/>
    <w:qFormat/>
    <w:uiPriority w:val="0"/>
    <w:pPr>
      <w:keepNext/>
      <w:keepLines/>
      <w:numPr>
        <w:ilvl w:val="7"/>
        <w:numId w:val="1"/>
      </w:numPr>
      <w:adjustRightInd w:val="0"/>
      <w:spacing w:before="240" w:after="64" w:line="320" w:lineRule="auto"/>
      <w:outlineLvl w:val="7"/>
    </w:pPr>
    <w:rPr>
      <w:rFonts w:ascii="Arial" w:hAnsi="Arial" w:eastAsia="黑体" w:cs="Times New Roman"/>
      <w:sz w:val="24"/>
      <w:szCs w:val="24"/>
      <w:lang w:val="zh-CN"/>
    </w:rPr>
  </w:style>
  <w:style w:type="paragraph" w:styleId="12">
    <w:name w:val="heading 9"/>
    <w:basedOn w:val="1"/>
    <w:next w:val="1"/>
    <w:link w:val="89"/>
    <w:qFormat/>
    <w:uiPriority w:val="0"/>
    <w:pPr>
      <w:keepNext/>
      <w:keepLines/>
      <w:numPr>
        <w:ilvl w:val="8"/>
        <w:numId w:val="1"/>
      </w:numPr>
      <w:adjustRightInd w:val="0"/>
      <w:spacing w:before="240" w:after="64" w:line="320" w:lineRule="auto"/>
      <w:outlineLvl w:val="8"/>
    </w:pPr>
    <w:rPr>
      <w:rFonts w:ascii="Arial" w:hAnsi="Arial" w:eastAsia="黑体" w:cs="Times New Roman"/>
      <w:szCs w:val="21"/>
      <w:lang w:val="zh-CN"/>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87"/>
    <w:unhideWhenUsed/>
    <w:qFormat/>
    <w:uiPriority w:val="0"/>
    <w:pPr>
      <w:adjustRightInd w:val="0"/>
      <w:spacing w:after="120"/>
      <w:ind w:left="420" w:leftChars="200"/>
    </w:pPr>
    <w:rPr>
      <w:rFonts w:ascii="Times New Roman" w:hAnsi="Times New Roman" w:eastAsia="宋体" w:cs="Times New Roman"/>
      <w:szCs w:val="24"/>
    </w:rPr>
  </w:style>
  <w:style w:type="paragraph" w:styleId="3">
    <w:name w:val="Normal Indent"/>
    <w:basedOn w:val="1"/>
    <w:link w:val="254"/>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13">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4">
    <w:name w:val="List Number 2"/>
    <w:basedOn w:val="1"/>
    <w:qFormat/>
    <w:uiPriority w:val="0"/>
    <w:pPr>
      <w:widowControl/>
      <w:tabs>
        <w:tab w:val="left" w:pos="1697"/>
      </w:tabs>
      <w:spacing w:after="156" w:afterLines="50"/>
      <w:ind w:left="1697" w:hanging="420"/>
      <w:jc w:val="left"/>
    </w:pPr>
    <w:rPr>
      <w:rFonts w:ascii="Times New Roman" w:hAnsi="Times New Roman" w:eastAsia="宋体" w:cs="Times New Roman"/>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6">
    <w:name w:val="List Number"/>
    <w:basedOn w:val="1"/>
    <w:qFormat/>
    <w:uiPriority w:val="0"/>
    <w:pPr>
      <w:widowControl/>
      <w:tabs>
        <w:tab w:val="left" w:pos="390"/>
        <w:tab w:val="left" w:pos="454"/>
      </w:tabs>
      <w:spacing w:after="156" w:afterLines="50"/>
      <w:ind w:left="454" w:hanging="284"/>
      <w:jc w:val="left"/>
    </w:pPr>
    <w:rPr>
      <w:rFonts w:ascii="Times New Roman" w:hAnsi="Times New Roman" w:eastAsia="宋体" w:cs="Times New Roman"/>
      <w:kern w:val="0"/>
      <w:sz w:val="24"/>
      <w:szCs w:val="20"/>
    </w:rPr>
  </w:style>
  <w:style w:type="paragraph" w:styleId="17">
    <w:name w:val="caption"/>
    <w:basedOn w:val="1"/>
    <w:next w:val="1"/>
    <w:link w:val="785"/>
    <w:qFormat/>
    <w:uiPriority w:val="0"/>
    <w:pPr>
      <w:adjustRightInd w:val="0"/>
    </w:pPr>
    <w:rPr>
      <w:rFonts w:ascii="Times New Roman" w:hAnsi="Times New Roman" w:eastAsia="宋体" w:cs="Times New Roman"/>
      <w:b/>
      <w:sz w:val="28"/>
      <w:szCs w:val="20"/>
      <w:lang w:val="zh-CN"/>
    </w:rPr>
  </w:style>
  <w:style w:type="paragraph" w:styleId="18">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19">
    <w:name w:val="Document Map"/>
    <w:basedOn w:val="1"/>
    <w:link w:val="294"/>
    <w:qFormat/>
    <w:uiPriority w:val="0"/>
    <w:pPr>
      <w:shd w:val="clear" w:color="auto" w:fill="000080"/>
      <w:adjustRightInd w:val="0"/>
    </w:pPr>
    <w:rPr>
      <w:rFonts w:ascii="Times New Roman" w:hAnsi="Times New Roman" w:eastAsia="宋体" w:cs="Times New Roman"/>
      <w:szCs w:val="24"/>
      <w:lang w:val="zh-CN"/>
    </w:rPr>
  </w:style>
  <w:style w:type="paragraph" w:styleId="20">
    <w:name w:val="annotation text"/>
    <w:basedOn w:val="1"/>
    <w:link w:val="289"/>
    <w:unhideWhenUsed/>
    <w:qFormat/>
    <w:uiPriority w:val="99"/>
    <w:pPr>
      <w:adjustRightInd w:val="0"/>
      <w:jc w:val="left"/>
    </w:pPr>
    <w:rPr>
      <w:rFonts w:ascii="Times New Roman" w:hAnsi="Times New Roman" w:eastAsia="宋体" w:cs="Times New Roman"/>
      <w:szCs w:val="24"/>
    </w:rPr>
  </w:style>
  <w:style w:type="paragraph" w:styleId="21">
    <w:name w:val="Salutation"/>
    <w:basedOn w:val="1"/>
    <w:next w:val="1"/>
    <w:link w:val="92"/>
    <w:qFormat/>
    <w:uiPriority w:val="0"/>
    <w:pPr>
      <w:adjustRightInd w:val="0"/>
    </w:pPr>
    <w:rPr>
      <w:rFonts w:ascii="仿宋_GB2312" w:eastAsia="仿宋_GB2312"/>
      <w:sz w:val="28"/>
    </w:rPr>
  </w:style>
  <w:style w:type="paragraph" w:styleId="22">
    <w:name w:val="Body Text 3"/>
    <w:basedOn w:val="1"/>
    <w:link w:val="93"/>
    <w:qFormat/>
    <w:uiPriority w:val="0"/>
    <w:pPr>
      <w:adjustRightInd w:val="0"/>
      <w:jc w:val="center"/>
    </w:pPr>
  </w:style>
  <w:style w:type="paragraph" w:styleId="23">
    <w:name w:val="List Bullet 3"/>
    <w:basedOn w:val="1"/>
    <w:unhideWhenUsed/>
    <w:qFormat/>
    <w:uiPriority w:val="0"/>
    <w:pPr>
      <w:numPr>
        <w:ilvl w:val="0"/>
        <w:numId w:val="4"/>
      </w:numPr>
      <w:adjustRightInd w:val="0"/>
      <w:snapToGrid w:val="0"/>
      <w:spacing w:line="360" w:lineRule="auto"/>
      <w:ind w:right="238"/>
      <w:contextualSpacing/>
    </w:pPr>
    <w:rPr>
      <w:rFonts w:ascii="Times New Roman" w:hAnsi="Times New Roman" w:eastAsia="宋体" w:cs="Times New Roman"/>
      <w:sz w:val="24"/>
      <w:szCs w:val="24"/>
    </w:rPr>
  </w:style>
  <w:style w:type="paragraph" w:styleId="24">
    <w:name w:val="Body Text"/>
    <w:basedOn w:val="1"/>
    <w:next w:val="25"/>
    <w:link w:val="153"/>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25">
    <w:name w:val="Body Text First Indent"/>
    <w:basedOn w:val="24"/>
    <w:link w:val="109"/>
    <w:qFormat/>
    <w:uiPriority w:val="0"/>
    <w:pPr>
      <w:ind w:firstLine="420"/>
    </w:pPr>
    <w:rPr>
      <w:rFonts w:hAnsiTheme="minorHAnsi" w:eastAsiaTheme="minorEastAsia" w:cstheme="minorBidi"/>
      <w:snapToGrid/>
      <w:szCs w:val="22"/>
    </w:rPr>
  </w:style>
  <w:style w:type="paragraph" w:styleId="26">
    <w:name w:val="List Number 3"/>
    <w:basedOn w:val="1"/>
    <w:qFormat/>
    <w:uiPriority w:val="0"/>
    <w:pPr>
      <w:widowControl/>
      <w:tabs>
        <w:tab w:val="left" w:pos="360"/>
        <w:tab w:val="left" w:pos="482"/>
      </w:tabs>
      <w:spacing w:after="156" w:afterLines="50"/>
      <w:ind w:left="482" w:hanging="340"/>
      <w:jc w:val="left"/>
    </w:pPr>
    <w:rPr>
      <w:rFonts w:ascii="Times New Roman" w:hAnsi="Times New Roman" w:eastAsia="宋体" w:cs="Times New Roman"/>
      <w:kern w:val="0"/>
      <w:sz w:val="24"/>
      <w:szCs w:val="20"/>
    </w:rPr>
  </w:style>
  <w:style w:type="paragraph" w:styleId="27">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8">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29">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0">
    <w:name w:val="HTML Address"/>
    <w:basedOn w:val="1"/>
    <w:link w:val="96"/>
    <w:qFormat/>
    <w:uiPriority w:val="0"/>
    <w:pPr>
      <w:widowControl/>
      <w:ind w:firstLine="200" w:firstLineChars="200"/>
      <w:jc w:val="left"/>
    </w:pPr>
    <w:rPr>
      <w:rFonts w:ascii="宋体" w:hAnsi="宋体"/>
      <w:i/>
      <w:iCs/>
      <w:sz w:val="24"/>
      <w:szCs w:val="24"/>
    </w:rPr>
  </w:style>
  <w:style w:type="paragraph" w:styleId="31">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2">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3">
    <w:name w:val="Plain Text"/>
    <w:basedOn w:val="1"/>
    <w:link w:val="97"/>
    <w:qFormat/>
    <w:uiPriority w:val="0"/>
    <w:pPr>
      <w:adjustRightInd w:val="0"/>
    </w:pPr>
    <w:rPr>
      <w:rFonts w:ascii="宋体" w:hAnsi="Courier New" w:eastAsia="宋体" w:cs="Arial"/>
      <w:snapToGrid w:val="0"/>
      <w:szCs w:val="21"/>
    </w:rPr>
  </w:style>
  <w:style w:type="paragraph" w:styleId="34">
    <w:name w:val="List Number 4"/>
    <w:basedOn w:val="1"/>
    <w:qFormat/>
    <w:uiPriority w:val="0"/>
    <w:pPr>
      <w:numPr>
        <w:ilvl w:val="0"/>
        <w:numId w:val="5"/>
      </w:numPr>
      <w:autoSpaceDE w:val="0"/>
      <w:autoSpaceDN w:val="0"/>
      <w:adjustRightInd w:val="0"/>
      <w:spacing w:line="360" w:lineRule="atLeast"/>
    </w:pPr>
    <w:rPr>
      <w:rFonts w:ascii="Times New Roman" w:hAnsi="Times New Roman" w:eastAsia="宋体" w:cs="Times New Roman"/>
      <w:kern w:val="0"/>
      <w:sz w:val="24"/>
      <w:szCs w:val="24"/>
    </w:rPr>
  </w:style>
  <w:style w:type="paragraph" w:styleId="35">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6">
    <w:name w:val="Date"/>
    <w:basedOn w:val="1"/>
    <w:next w:val="1"/>
    <w:link w:val="98"/>
    <w:qFormat/>
    <w:uiPriority w:val="0"/>
    <w:pPr>
      <w:adjustRightInd w:val="0"/>
      <w:ind w:left="100" w:leftChars="2500"/>
    </w:pPr>
    <w:rPr>
      <w:rFonts w:ascii="宋体"/>
      <w:sz w:val="24"/>
      <w:szCs w:val="21"/>
      <w:lang w:val="zh-CN"/>
    </w:rPr>
  </w:style>
  <w:style w:type="paragraph" w:styleId="37">
    <w:name w:val="Body Text Indent 2"/>
    <w:basedOn w:val="1"/>
    <w:link w:val="99"/>
    <w:qFormat/>
    <w:uiPriority w:val="0"/>
    <w:pPr>
      <w:adjustRightInd w:val="0"/>
      <w:spacing w:line="360" w:lineRule="auto"/>
      <w:ind w:firstLine="601"/>
      <w:textAlignment w:val="baseline"/>
    </w:pPr>
    <w:rPr>
      <w:rFonts w:ascii="宋体"/>
      <w:sz w:val="28"/>
    </w:rPr>
  </w:style>
  <w:style w:type="paragraph" w:styleId="38">
    <w:name w:val="Balloon Text"/>
    <w:basedOn w:val="1"/>
    <w:link w:val="100"/>
    <w:qFormat/>
    <w:uiPriority w:val="0"/>
    <w:pPr>
      <w:adjustRightInd w:val="0"/>
    </w:pPr>
    <w:rPr>
      <w:sz w:val="18"/>
      <w:szCs w:val="18"/>
    </w:rPr>
  </w:style>
  <w:style w:type="paragraph" w:styleId="39">
    <w:name w:val="footer"/>
    <w:basedOn w:val="1"/>
    <w:link w:val="80"/>
    <w:unhideWhenUsed/>
    <w:qFormat/>
    <w:uiPriority w:val="0"/>
    <w:pPr>
      <w:tabs>
        <w:tab w:val="center" w:pos="4153"/>
        <w:tab w:val="right" w:pos="8306"/>
      </w:tabs>
      <w:snapToGrid w:val="0"/>
      <w:jc w:val="left"/>
    </w:pPr>
    <w:rPr>
      <w:sz w:val="18"/>
      <w:szCs w:val="18"/>
    </w:rPr>
  </w:style>
  <w:style w:type="paragraph" w:styleId="40">
    <w:name w:val="header"/>
    <w:basedOn w:val="1"/>
    <w:link w:val="79"/>
    <w:unhideWhenUsed/>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1"/>
    <w:qFormat/>
    <w:uiPriority w:val="0"/>
    <w:pPr>
      <w:adjustRightInd w:val="0"/>
      <w:spacing w:after="600" w:line="312" w:lineRule="atLeast"/>
      <w:jc w:val="center"/>
      <w:textAlignment w:val="baseline"/>
    </w:pPr>
    <w:rPr>
      <w:rFonts w:eastAsia="仿宋_GB2312"/>
      <w:sz w:val="24"/>
    </w:rPr>
  </w:style>
  <w:style w:type="paragraph" w:styleId="42">
    <w:name w:val="toc 1"/>
    <w:basedOn w:val="1"/>
    <w:next w:val="1"/>
    <w:qFormat/>
    <w:uiPriority w:val="0"/>
    <w:pPr>
      <w:adjustRightInd w:val="0"/>
    </w:pPr>
    <w:rPr>
      <w:rFonts w:ascii="Times New Roman" w:hAnsi="Times New Roman" w:eastAsia="宋体" w:cs="Times New Roman"/>
      <w:szCs w:val="24"/>
    </w:rPr>
  </w:style>
  <w:style w:type="paragraph" w:styleId="43">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4">
    <w:name w:val="index heading"/>
    <w:basedOn w:val="1"/>
    <w:next w:val="45"/>
    <w:qFormat/>
    <w:uiPriority w:val="0"/>
    <w:pPr>
      <w:ind w:firstLine="200" w:firstLineChars="200"/>
    </w:pPr>
    <w:rPr>
      <w:rFonts w:ascii="Times New Roman" w:hAnsi="Times New Roman" w:eastAsia="宋体" w:cs="Times New Roman"/>
      <w:szCs w:val="24"/>
    </w:rPr>
  </w:style>
  <w:style w:type="paragraph" w:styleId="45">
    <w:name w:val="index 1"/>
    <w:basedOn w:val="1"/>
    <w:next w:val="1"/>
    <w:unhideWhenUsed/>
    <w:qFormat/>
    <w:uiPriority w:val="0"/>
  </w:style>
  <w:style w:type="paragraph" w:styleId="46">
    <w:name w:val="Subtitle"/>
    <w:link w:val="102"/>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7">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8">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49">
    <w:name w:val="footnote text"/>
    <w:basedOn w:val="3"/>
    <w:link w:val="103"/>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0">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1">
    <w:name w:val="List 5"/>
    <w:basedOn w:val="1"/>
    <w:qFormat/>
    <w:uiPriority w:val="0"/>
    <w:pPr>
      <w:ind w:left="100" w:leftChars="800" w:hanging="200" w:hangingChars="200"/>
    </w:pPr>
    <w:rPr>
      <w:rFonts w:ascii="Times New Roman" w:hAnsi="Times New Roman" w:eastAsia="宋体" w:cs="Times New Roman"/>
      <w:szCs w:val="24"/>
    </w:rPr>
  </w:style>
  <w:style w:type="paragraph" w:styleId="52">
    <w:name w:val="Body Text Indent 3"/>
    <w:basedOn w:val="1"/>
    <w:link w:val="104"/>
    <w:qFormat/>
    <w:uiPriority w:val="0"/>
    <w:pPr>
      <w:adjustRightInd w:val="0"/>
      <w:spacing w:line="360" w:lineRule="auto"/>
      <w:ind w:firstLine="420"/>
    </w:pPr>
    <w:rPr>
      <w:sz w:val="24"/>
    </w:rPr>
  </w:style>
  <w:style w:type="paragraph" w:styleId="53">
    <w:name w:val="toc 2"/>
    <w:basedOn w:val="1"/>
    <w:next w:val="1"/>
    <w:qFormat/>
    <w:uiPriority w:val="0"/>
    <w:pPr>
      <w:adjustRightInd w:val="0"/>
      <w:ind w:left="420" w:leftChars="200"/>
    </w:pPr>
    <w:rPr>
      <w:rFonts w:ascii="Times New Roman" w:hAnsi="Times New Roman" w:eastAsia="宋体" w:cs="Times New Roman"/>
      <w:szCs w:val="24"/>
    </w:rPr>
  </w:style>
  <w:style w:type="paragraph" w:styleId="54">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5">
    <w:name w:val="Body Text 2"/>
    <w:basedOn w:val="1"/>
    <w:link w:val="279"/>
    <w:qFormat/>
    <w:uiPriority w:val="0"/>
    <w:pPr>
      <w:adjustRightInd w:val="0"/>
      <w:spacing w:after="120" w:line="480" w:lineRule="auto"/>
    </w:pPr>
    <w:rPr>
      <w:rFonts w:ascii="Times New Roman" w:hAnsi="Times New Roman" w:eastAsia="宋体" w:cs="Times New Roman"/>
      <w:szCs w:val="24"/>
      <w:lang w:val="zh-CN"/>
    </w:rPr>
  </w:style>
  <w:style w:type="paragraph" w:styleId="56">
    <w:name w:val="List 4"/>
    <w:basedOn w:val="1"/>
    <w:semiHidden/>
    <w:unhideWhenUsed/>
    <w:qFormat/>
    <w:uiPriority w:val="0"/>
    <w:pPr>
      <w:ind w:left="100" w:leftChars="600" w:hanging="200" w:hangingChars="200"/>
    </w:pPr>
    <w:rPr>
      <w:rFonts w:ascii="Times New Roman" w:hAnsi="Times New Roman" w:eastAsia="宋体" w:cs="Times New Roman"/>
      <w:sz w:val="28"/>
      <w:szCs w:val="24"/>
    </w:rPr>
  </w:style>
  <w:style w:type="paragraph" w:styleId="57">
    <w:name w:val="HTML Preformatted"/>
    <w:basedOn w:val="1"/>
    <w:link w:val="1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rPr>
  </w:style>
  <w:style w:type="paragraph" w:styleId="58">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59">
    <w:name w:val="Title"/>
    <w:basedOn w:val="1"/>
    <w:link w:val="295"/>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60">
    <w:name w:val="annotation subject"/>
    <w:basedOn w:val="20"/>
    <w:next w:val="20"/>
    <w:link w:val="290"/>
    <w:qFormat/>
    <w:uiPriority w:val="0"/>
    <w:rPr>
      <w:b/>
      <w:bCs/>
      <w:lang w:val="zh-CN"/>
    </w:rPr>
  </w:style>
  <w:style w:type="paragraph" w:styleId="61">
    <w:name w:val="Body Text First Indent 2"/>
    <w:basedOn w:val="2"/>
    <w:link w:val="110"/>
    <w:qFormat/>
    <w:uiPriority w:val="0"/>
    <w:pPr>
      <w:adjustRightInd/>
      <w:ind w:firstLine="210" w:firstLineChars="200"/>
    </w:pPr>
    <w:rPr>
      <w:rFonts w:ascii="宋体" w:hAnsi="宋体" w:eastAsiaTheme="minorEastAsia" w:cstheme="minorBidi"/>
    </w:rPr>
  </w:style>
  <w:style w:type="table" w:styleId="63">
    <w:name w:val="Table Grid"/>
    <w:basedOn w:val="6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page number"/>
    <w:basedOn w:val="69"/>
    <w:qFormat/>
    <w:uiPriority w:val="0"/>
    <w:rPr>
      <w:rFonts w:ascii="Arial" w:hAnsi="Arial" w:eastAsia="黑体" w:cs="Arial"/>
      <w:snapToGrid w:val="0"/>
      <w:kern w:val="0"/>
      <w:szCs w:val="21"/>
    </w:rPr>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0"/>
    <w:rPr>
      <w:color w:val="CC0033"/>
    </w:rPr>
  </w:style>
  <w:style w:type="character" w:styleId="74">
    <w:name w:val="line number"/>
    <w:basedOn w:val="69"/>
    <w:qFormat/>
    <w:uiPriority w:val="0"/>
    <w:rPr>
      <w:rFonts w:ascii="Arial" w:hAnsi="Arial" w:eastAsia="黑体" w:cs="Arial"/>
      <w:snapToGrid w:val="0"/>
      <w:kern w:val="0"/>
      <w:szCs w:val="21"/>
    </w:rPr>
  </w:style>
  <w:style w:type="character" w:styleId="75">
    <w:name w:val="Hyperlink"/>
    <w:qFormat/>
    <w:uiPriority w:val="0"/>
    <w:rPr>
      <w:rFonts w:ascii="Arial" w:hAnsi="Arial" w:eastAsia="黑体" w:cs="Arial"/>
      <w:snapToGrid w:val="0"/>
      <w:color w:val="000000"/>
      <w:kern w:val="0"/>
      <w:sz w:val="18"/>
      <w:szCs w:val="18"/>
      <w:u w:val="none"/>
    </w:rPr>
  </w:style>
  <w:style w:type="character" w:styleId="76">
    <w:name w:val="HTML Code"/>
    <w:qFormat/>
    <w:uiPriority w:val="0"/>
    <w:rPr>
      <w:rFonts w:ascii="黑体" w:hAnsi="Courier New" w:eastAsia="黑体" w:cs="楷体_GB2312"/>
      <w:sz w:val="20"/>
      <w:szCs w:val="20"/>
    </w:rPr>
  </w:style>
  <w:style w:type="character" w:styleId="77">
    <w:name w:val="annotation reference"/>
    <w:qFormat/>
    <w:uiPriority w:val="0"/>
    <w:rPr>
      <w:sz w:val="21"/>
      <w:szCs w:val="21"/>
    </w:rPr>
  </w:style>
  <w:style w:type="paragraph" w:customStyle="1" w:styleId="78">
    <w:name w:val="Default"/>
    <w:link w:val="833"/>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character" w:customStyle="1" w:styleId="79">
    <w:name w:val="页眉 Char"/>
    <w:basedOn w:val="69"/>
    <w:link w:val="40"/>
    <w:qFormat/>
    <w:uiPriority w:val="0"/>
    <w:rPr>
      <w:sz w:val="18"/>
      <w:szCs w:val="18"/>
    </w:rPr>
  </w:style>
  <w:style w:type="character" w:customStyle="1" w:styleId="80">
    <w:name w:val="页脚 Char"/>
    <w:basedOn w:val="69"/>
    <w:link w:val="39"/>
    <w:qFormat/>
    <w:uiPriority w:val="0"/>
    <w:rPr>
      <w:sz w:val="18"/>
      <w:szCs w:val="18"/>
    </w:rPr>
  </w:style>
  <w:style w:type="character" w:customStyle="1" w:styleId="81">
    <w:name w:val="标题 1 Char"/>
    <w:basedOn w:val="69"/>
    <w:link w:val="4"/>
    <w:qFormat/>
    <w:uiPriority w:val="0"/>
    <w:rPr>
      <w:rFonts w:ascii="Times New Roman" w:hAnsi="Times New Roman" w:eastAsia="宋体" w:cs="Times New Roman"/>
      <w:b/>
      <w:bCs/>
      <w:kern w:val="44"/>
      <w:sz w:val="44"/>
      <w:szCs w:val="44"/>
      <w:lang w:val="zh-CN"/>
    </w:rPr>
  </w:style>
  <w:style w:type="character" w:customStyle="1" w:styleId="82">
    <w:name w:val="标题 2 Char"/>
    <w:basedOn w:val="69"/>
    <w:link w:val="5"/>
    <w:qFormat/>
    <w:uiPriority w:val="0"/>
    <w:rPr>
      <w:rFonts w:ascii="仿宋_GB2312" w:hAnsi="仿宋" w:eastAsia="仿宋_GB2312" w:cs="Times New Roman"/>
      <w:b/>
      <w:bCs/>
      <w:sz w:val="32"/>
      <w:szCs w:val="32"/>
      <w:lang w:val="zh-CN"/>
    </w:rPr>
  </w:style>
  <w:style w:type="character" w:customStyle="1" w:styleId="83">
    <w:name w:val="标题 3 Char"/>
    <w:basedOn w:val="69"/>
    <w:link w:val="6"/>
    <w:qFormat/>
    <w:uiPriority w:val="0"/>
    <w:rPr>
      <w:rFonts w:ascii="Times New Roman" w:hAnsi="Times New Roman" w:eastAsia="宋体" w:cs="Times New Roman"/>
      <w:b/>
      <w:bCs/>
      <w:sz w:val="32"/>
      <w:szCs w:val="32"/>
    </w:rPr>
  </w:style>
  <w:style w:type="character" w:customStyle="1" w:styleId="84">
    <w:name w:val="标题 4 Char"/>
    <w:basedOn w:val="69"/>
    <w:link w:val="7"/>
    <w:qFormat/>
    <w:uiPriority w:val="0"/>
    <w:rPr>
      <w:rFonts w:ascii="Arial" w:hAnsi="Arial" w:eastAsia="黑体" w:cs="Times New Roman"/>
      <w:b/>
      <w:bCs/>
      <w:sz w:val="28"/>
      <w:szCs w:val="28"/>
      <w:lang w:val="zh-CN"/>
    </w:rPr>
  </w:style>
  <w:style w:type="character" w:customStyle="1" w:styleId="85">
    <w:name w:val="标题 5 Char"/>
    <w:basedOn w:val="69"/>
    <w:link w:val="8"/>
    <w:qFormat/>
    <w:uiPriority w:val="0"/>
    <w:rPr>
      <w:rFonts w:ascii="Times New Roman" w:hAnsi="Times New Roman" w:eastAsia="宋体" w:cs="Times New Roman"/>
      <w:b/>
      <w:bCs/>
      <w:sz w:val="28"/>
      <w:szCs w:val="28"/>
      <w:lang w:val="zh-CN"/>
    </w:rPr>
  </w:style>
  <w:style w:type="character" w:customStyle="1" w:styleId="86">
    <w:name w:val="标题 6 Char"/>
    <w:basedOn w:val="69"/>
    <w:link w:val="9"/>
    <w:qFormat/>
    <w:uiPriority w:val="0"/>
    <w:rPr>
      <w:rFonts w:ascii="Arial" w:hAnsi="Arial" w:eastAsia="黑体" w:cs="Times New Roman"/>
      <w:b/>
      <w:bCs/>
      <w:sz w:val="24"/>
      <w:szCs w:val="24"/>
      <w:lang w:val="zh-CN"/>
    </w:rPr>
  </w:style>
  <w:style w:type="character" w:customStyle="1" w:styleId="87">
    <w:name w:val="标题 7 Char"/>
    <w:basedOn w:val="69"/>
    <w:link w:val="10"/>
    <w:qFormat/>
    <w:uiPriority w:val="0"/>
    <w:rPr>
      <w:rFonts w:ascii="Times New Roman" w:hAnsi="Times New Roman" w:eastAsia="宋体" w:cs="Times New Roman"/>
      <w:b/>
      <w:bCs/>
      <w:sz w:val="24"/>
      <w:szCs w:val="24"/>
      <w:lang w:val="zh-CN"/>
    </w:rPr>
  </w:style>
  <w:style w:type="character" w:customStyle="1" w:styleId="88">
    <w:name w:val="标题 8 Char"/>
    <w:basedOn w:val="69"/>
    <w:link w:val="11"/>
    <w:qFormat/>
    <w:uiPriority w:val="0"/>
    <w:rPr>
      <w:rFonts w:ascii="Arial" w:hAnsi="Arial" w:eastAsia="黑体" w:cs="Times New Roman"/>
      <w:sz w:val="24"/>
      <w:szCs w:val="24"/>
      <w:lang w:val="zh-CN"/>
    </w:rPr>
  </w:style>
  <w:style w:type="character" w:customStyle="1" w:styleId="89">
    <w:name w:val="标题 9 Char"/>
    <w:basedOn w:val="69"/>
    <w:link w:val="12"/>
    <w:qFormat/>
    <w:uiPriority w:val="0"/>
    <w:rPr>
      <w:rFonts w:ascii="Arial" w:hAnsi="Arial" w:eastAsia="黑体" w:cs="Times New Roman"/>
      <w:szCs w:val="21"/>
      <w:lang w:val="zh-CN"/>
    </w:rPr>
  </w:style>
  <w:style w:type="character" w:customStyle="1" w:styleId="90">
    <w:name w:val="文档结构图 Char"/>
    <w:basedOn w:val="69"/>
    <w:qFormat/>
    <w:uiPriority w:val="0"/>
    <w:rPr>
      <w:rFonts w:ascii="宋体" w:eastAsia="宋体"/>
      <w:sz w:val="18"/>
      <w:szCs w:val="18"/>
    </w:rPr>
  </w:style>
  <w:style w:type="character" w:customStyle="1" w:styleId="91">
    <w:name w:val="批注文字 Char"/>
    <w:basedOn w:val="69"/>
    <w:qFormat/>
    <w:uiPriority w:val="99"/>
  </w:style>
  <w:style w:type="character" w:customStyle="1" w:styleId="92">
    <w:name w:val="称呼 Char"/>
    <w:basedOn w:val="69"/>
    <w:link w:val="21"/>
    <w:qFormat/>
    <w:uiPriority w:val="0"/>
    <w:rPr>
      <w:rFonts w:ascii="仿宋_GB2312" w:eastAsia="仿宋_GB2312"/>
      <w:sz w:val="28"/>
    </w:rPr>
  </w:style>
  <w:style w:type="character" w:customStyle="1" w:styleId="93">
    <w:name w:val="正文文本 3 Char"/>
    <w:basedOn w:val="69"/>
    <w:link w:val="22"/>
    <w:qFormat/>
    <w:uiPriority w:val="0"/>
  </w:style>
  <w:style w:type="character" w:customStyle="1" w:styleId="94">
    <w:name w:val="正文文本 Char"/>
    <w:basedOn w:val="69"/>
    <w:qFormat/>
    <w:uiPriority w:val="0"/>
  </w:style>
  <w:style w:type="character" w:customStyle="1" w:styleId="95">
    <w:name w:val="正文文本缩进 Char"/>
    <w:basedOn w:val="69"/>
    <w:qFormat/>
    <w:uiPriority w:val="0"/>
  </w:style>
  <w:style w:type="character" w:customStyle="1" w:styleId="96">
    <w:name w:val="HTML 地址 Char"/>
    <w:basedOn w:val="69"/>
    <w:link w:val="30"/>
    <w:qFormat/>
    <w:uiPriority w:val="0"/>
    <w:rPr>
      <w:rFonts w:ascii="宋体" w:hAnsi="宋体"/>
      <w:i/>
      <w:iCs/>
      <w:sz w:val="24"/>
      <w:szCs w:val="24"/>
    </w:rPr>
  </w:style>
  <w:style w:type="character" w:customStyle="1" w:styleId="97">
    <w:name w:val="纯文本 Char"/>
    <w:basedOn w:val="69"/>
    <w:link w:val="33"/>
    <w:qFormat/>
    <w:uiPriority w:val="0"/>
    <w:rPr>
      <w:rFonts w:ascii="宋体" w:hAnsi="Courier New" w:eastAsia="宋体" w:cs="Arial"/>
      <w:snapToGrid w:val="0"/>
      <w:szCs w:val="21"/>
    </w:rPr>
  </w:style>
  <w:style w:type="character" w:customStyle="1" w:styleId="98">
    <w:name w:val="日期 Char"/>
    <w:basedOn w:val="69"/>
    <w:link w:val="36"/>
    <w:qFormat/>
    <w:uiPriority w:val="0"/>
    <w:rPr>
      <w:rFonts w:ascii="宋体"/>
      <w:sz w:val="24"/>
      <w:szCs w:val="21"/>
      <w:lang w:val="zh-CN"/>
    </w:rPr>
  </w:style>
  <w:style w:type="character" w:customStyle="1" w:styleId="99">
    <w:name w:val="正文文本缩进 2 Char"/>
    <w:basedOn w:val="69"/>
    <w:link w:val="37"/>
    <w:qFormat/>
    <w:uiPriority w:val="0"/>
    <w:rPr>
      <w:rFonts w:ascii="宋体"/>
      <w:sz w:val="28"/>
    </w:rPr>
  </w:style>
  <w:style w:type="character" w:customStyle="1" w:styleId="100">
    <w:name w:val="批注框文本 Char"/>
    <w:basedOn w:val="69"/>
    <w:link w:val="38"/>
    <w:qFormat/>
    <w:uiPriority w:val="0"/>
    <w:rPr>
      <w:sz w:val="18"/>
      <w:szCs w:val="18"/>
    </w:rPr>
  </w:style>
  <w:style w:type="character" w:customStyle="1" w:styleId="101">
    <w:name w:val="签名 Char"/>
    <w:basedOn w:val="69"/>
    <w:link w:val="41"/>
    <w:qFormat/>
    <w:uiPriority w:val="0"/>
    <w:rPr>
      <w:rFonts w:eastAsia="仿宋_GB2312"/>
      <w:sz w:val="24"/>
    </w:rPr>
  </w:style>
  <w:style w:type="character" w:customStyle="1" w:styleId="102">
    <w:name w:val="副标题 Char"/>
    <w:basedOn w:val="69"/>
    <w:link w:val="46"/>
    <w:qFormat/>
    <w:uiPriority w:val="0"/>
    <w:rPr>
      <w:rFonts w:ascii="Arial" w:hAnsi="Arial" w:eastAsia="隶书"/>
      <w:b/>
      <w:bCs/>
      <w:kern w:val="28"/>
      <w:sz w:val="44"/>
      <w:szCs w:val="32"/>
    </w:rPr>
  </w:style>
  <w:style w:type="character" w:customStyle="1" w:styleId="103">
    <w:name w:val="脚注文本 Char"/>
    <w:basedOn w:val="69"/>
    <w:link w:val="49"/>
    <w:qFormat/>
    <w:uiPriority w:val="0"/>
    <w:rPr>
      <w:color w:val="0000FF"/>
    </w:rPr>
  </w:style>
  <w:style w:type="character" w:customStyle="1" w:styleId="104">
    <w:name w:val="正文文本缩进 3 Char"/>
    <w:basedOn w:val="69"/>
    <w:link w:val="52"/>
    <w:qFormat/>
    <w:uiPriority w:val="0"/>
    <w:rPr>
      <w:sz w:val="24"/>
    </w:rPr>
  </w:style>
  <w:style w:type="character" w:customStyle="1" w:styleId="105">
    <w:name w:val="正文文本 2 Char"/>
    <w:basedOn w:val="69"/>
    <w:qFormat/>
    <w:uiPriority w:val="0"/>
  </w:style>
  <w:style w:type="character" w:customStyle="1" w:styleId="106">
    <w:name w:val="HTML 预设格式 Char"/>
    <w:basedOn w:val="69"/>
    <w:link w:val="57"/>
    <w:qFormat/>
    <w:uiPriority w:val="0"/>
    <w:rPr>
      <w:rFonts w:ascii="黑体" w:hAnsi="Courier New" w:eastAsia="黑体"/>
    </w:rPr>
  </w:style>
  <w:style w:type="character" w:customStyle="1" w:styleId="107">
    <w:name w:val="标题 Char"/>
    <w:basedOn w:val="69"/>
    <w:qFormat/>
    <w:uiPriority w:val="0"/>
    <w:rPr>
      <w:rFonts w:eastAsia="宋体" w:asciiTheme="majorHAnsi" w:hAnsiTheme="majorHAnsi" w:cstheme="majorBidi"/>
      <w:b/>
      <w:bCs/>
      <w:sz w:val="32"/>
      <w:szCs w:val="32"/>
    </w:rPr>
  </w:style>
  <w:style w:type="character" w:customStyle="1" w:styleId="108">
    <w:name w:val="批注主题 Char"/>
    <w:basedOn w:val="91"/>
    <w:qFormat/>
    <w:uiPriority w:val="0"/>
    <w:rPr>
      <w:b/>
      <w:bCs/>
    </w:rPr>
  </w:style>
  <w:style w:type="character" w:customStyle="1" w:styleId="109">
    <w:name w:val="正文首行缩进 Char"/>
    <w:basedOn w:val="94"/>
    <w:link w:val="25"/>
    <w:qFormat/>
    <w:uiPriority w:val="0"/>
    <w:rPr>
      <w:rFonts w:ascii="宋体"/>
      <w:sz w:val="24"/>
      <w:lang w:val="zh-CN"/>
    </w:rPr>
  </w:style>
  <w:style w:type="character" w:customStyle="1" w:styleId="110">
    <w:name w:val="正文首行缩进 2 Char"/>
    <w:basedOn w:val="95"/>
    <w:link w:val="61"/>
    <w:qFormat/>
    <w:uiPriority w:val="0"/>
    <w:rPr>
      <w:rFonts w:ascii="宋体" w:hAnsi="宋体"/>
      <w:szCs w:val="24"/>
    </w:rPr>
  </w:style>
  <w:style w:type="character" w:customStyle="1" w:styleId="111">
    <w:name w:val="solutionfonts"/>
    <w:qFormat/>
    <w:uiPriority w:val="0"/>
  </w:style>
  <w:style w:type="character" w:customStyle="1" w:styleId="112">
    <w:name w:val="Font Style82"/>
    <w:qFormat/>
    <w:uiPriority w:val="99"/>
    <w:rPr>
      <w:rFonts w:ascii="宋体" w:eastAsia="宋体" w:cs="宋体"/>
      <w:color w:val="000000"/>
      <w:sz w:val="14"/>
      <w:szCs w:val="14"/>
    </w:rPr>
  </w:style>
  <w:style w:type="character" w:customStyle="1" w:styleId="113">
    <w:name w:val="此正文 Char"/>
    <w:link w:val="114"/>
    <w:qFormat/>
    <w:uiPriority w:val="0"/>
    <w:rPr>
      <w:sz w:val="24"/>
      <w:szCs w:val="24"/>
    </w:rPr>
  </w:style>
  <w:style w:type="paragraph" w:customStyle="1" w:styleId="114">
    <w:name w:val="此正文"/>
    <w:basedOn w:val="1"/>
    <w:link w:val="113"/>
    <w:qFormat/>
    <w:uiPriority w:val="0"/>
    <w:pPr>
      <w:spacing w:line="360" w:lineRule="auto"/>
      <w:ind w:firstLine="200" w:firstLineChars="200"/>
    </w:pPr>
    <w:rPr>
      <w:sz w:val="24"/>
      <w:szCs w:val="24"/>
    </w:rPr>
  </w:style>
  <w:style w:type="character" w:customStyle="1" w:styleId="115">
    <w:name w:val="Char Char10"/>
    <w:semiHidden/>
    <w:qFormat/>
    <w:uiPriority w:val="0"/>
    <w:rPr>
      <w:rFonts w:ascii="宋体" w:hAnsi="宋体"/>
      <w:kern w:val="2"/>
      <w:sz w:val="21"/>
      <w:szCs w:val="24"/>
      <w:lang w:val="en-US" w:eastAsia="zh-CN"/>
    </w:rPr>
  </w:style>
  <w:style w:type="character" w:customStyle="1" w:styleId="116">
    <w:name w:val="h Char Char"/>
    <w:qFormat/>
    <w:uiPriority w:val="0"/>
    <w:rPr>
      <w:rFonts w:eastAsia="宋体"/>
      <w:kern w:val="2"/>
      <w:sz w:val="18"/>
      <w:lang w:val="en-US" w:eastAsia="zh-CN" w:bidi="ar-SA"/>
    </w:rPr>
  </w:style>
  <w:style w:type="character" w:customStyle="1" w:styleId="117">
    <w:name w:val="Bold"/>
    <w:qFormat/>
    <w:uiPriority w:val="0"/>
    <w:rPr>
      <w:rFonts w:ascii="Arial" w:hAnsi="Arial" w:eastAsia="黑体" w:cs="Times New Roman"/>
      <w:b/>
      <w:kern w:val="2"/>
      <w:sz w:val="32"/>
      <w:szCs w:val="32"/>
      <w:lang w:val="en-US" w:eastAsia="zh-CN" w:bidi="ar-SA"/>
    </w:rPr>
  </w:style>
  <w:style w:type="character" w:customStyle="1" w:styleId="118">
    <w:name w:val="Ò³Ã¼ Char Char"/>
    <w:qFormat/>
    <w:uiPriority w:val="0"/>
    <w:rPr>
      <w:rFonts w:eastAsia="宋体"/>
      <w:kern w:val="2"/>
      <w:sz w:val="18"/>
      <w:lang w:val="en-US" w:eastAsia="zh-CN" w:bidi="ar-SA"/>
    </w:rPr>
  </w:style>
  <w:style w:type="character" w:customStyle="1" w:styleId="119">
    <w:name w:val="标准正文格式 Char"/>
    <w:qFormat/>
    <w:uiPriority w:val="0"/>
    <w:rPr>
      <w:rFonts w:ascii="宋体" w:eastAsia="仿宋_GB2312" w:cs="宋体"/>
      <w:color w:val="000000"/>
      <w:sz w:val="24"/>
      <w:lang w:val="en-US" w:eastAsia="zh-CN" w:bidi="ar-SA"/>
    </w:rPr>
  </w:style>
  <w:style w:type="character" w:customStyle="1" w:styleId="120">
    <w:name w:val="Char Char8"/>
    <w:qFormat/>
    <w:uiPriority w:val="0"/>
    <w:rPr>
      <w:rFonts w:eastAsia="宋体"/>
      <w:b/>
      <w:sz w:val="24"/>
      <w:lang w:val="en-GB" w:eastAsia="zh-CN"/>
    </w:rPr>
  </w:style>
  <w:style w:type="character" w:customStyle="1" w:styleId="121">
    <w:name w:val="No Spacing Char"/>
    <w:link w:val="122"/>
    <w:qFormat/>
    <w:uiPriority w:val="1"/>
    <w:rPr>
      <w:rFonts w:ascii="Calibri" w:hAnsi="Calibri"/>
      <w:sz w:val="22"/>
    </w:rPr>
  </w:style>
  <w:style w:type="paragraph" w:customStyle="1" w:styleId="122">
    <w:name w:val="无间隔1"/>
    <w:link w:val="121"/>
    <w:qFormat/>
    <w:uiPriority w:val="1"/>
    <w:rPr>
      <w:rFonts w:ascii="Calibri" w:hAnsi="Calibri" w:eastAsiaTheme="minorEastAsia" w:cstheme="minorBidi"/>
      <w:kern w:val="2"/>
      <w:sz w:val="22"/>
      <w:szCs w:val="22"/>
      <w:lang w:val="en-US" w:eastAsia="zh-CN" w:bidi="ar-SA"/>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highlight1"/>
    <w:qFormat/>
    <w:uiPriority w:val="0"/>
    <w:rPr>
      <w:rFonts w:ascii="仿宋_GB2312" w:eastAsia="微软雅黑"/>
      <w:b/>
      <w:kern w:val="2"/>
      <w:sz w:val="23"/>
      <w:szCs w:val="23"/>
      <w:lang w:val="en-US" w:eastAsia="zh-CN" w:bidi="ar-SA"/>
    </w:rPr>
  </w:style>
  <w:style w:type="character" w:customStyle="1" w:styleId="125">
    <w:name w:val="ca-131"/>
    <w:qFormat/>
    <w:uiPriority w:val="0"/>
    <w:rPr>
      <w:rFonts w:hint="eastAsia" w:ascii="仿宋_GB2312" w:eastAsia="仿宋_GB2312"/>
      <w:b/>
      <w:bCs/>
      <w:color w:val="000000"/>
      <w:spacing w:val="-20"/>
      <w:sz w:val="24"/>
      <w:szCs w:val="24"/>
    </w:rPr>
  </w:style>
  <w:style w:type="character" w:customStyle="1" w:styleId="126">
    <w:name w:val="h3 Char"/>
    <w:qFormat/>
    <w:uiPriority w:val="0"/>
    <w:rPr>
      <w:rFonts w:eastAsia="宋体"/>
      <w:b/>
      <w:kern w:val="2"/>
      <w:sz w:val="32"/>
      <w:lang w:val="en-US" w:eastAsia="zh-CN" w:bidi="ar-SA"/>
    </w:rPr>
  </w:style>
  <w:style w:type="character" w:customStyle="1" w:styleId="127">
    <w:name w:val="Char Char12"/>
    <w:qFormat/>
    <w:uiPriority w:val="0"/>
    <w:rPr>
      <w:rFonts w:ascii="仿宋_GB2312" w:eastAsia="仿宋_GB2312"/>
      <w:b/>
      <w:bCs/>
      <w:kern w:val="2"/>
      <w:sz w:val="24"/>
      <w:szCs w:val="24"/>
      <w:lang w:val="zh-CN" w:eastAsia="zh-CN" w:bidi="ar-SA"/>
    </w:rPr>
  </w:style>
  <w:style w:type="character" w:customStyle="1" w:styleId="128">
    <w:name w:val="Comment Text Char"/>
    <w:qFormat/>
    <w:locked/>
    <w:uiPriority w:val="0"/>
    <w:rPr>
      <w:rFonts w:ascii="宋体" w:hAnsi="宋体" w:eastAsia="宋体"/>
      <w:kern w:val="2"/>
      <w:sz w:val="24"/>
      <w:lang w:val="en-US" w:eastAsia="zh-CN" w:bidi="ar-SA"/>
    </w:rPr>
  </w:style>
  <w:style w:type="character" w:customStyle="1" w:styleId="129">
    <w:name w:val="仿宋正文 Char"/>
    <w:link w:val="130"/>
    <w:qFormat/>
    <w:uiPriority w:val="0"/>
    <w:rPr>
      <w:rFonts w:ascii="仿宋_GB2312" w:eastAsia="仿宋_GB2312"/>
      <w:sz w:val="24"/>
    </w:rPr>
  </w:style>
  <w:style w:type="paragraph" w:customStyle="1" w:styleId="130">
    <w:name w:val="仿宋正文"/>
    <w:basedOn w:val="1"/>
    <w:link w:val="129"/>
    <w:qFormat/>
    <w:uiPriority w:val="0"/>
    <w:pPr>
      <w:spacing w:line="360" w:lineRule="auto"/>
      <w:ind w:firstLine="480" w:firstLineChars="200"/>
    </w:pPr>
    <w:rPr>
      <w:rFonts w:ascii="仿宋_GB2312" w:eastAsia="仿宋_GB2312"/>
      <w:sz w:val="24"/>
    </w:rPr>
  </w:style>
  <w:style w:type="character" w:customStyle="1" w:styleId="131">
    <w:name w:val="style91"/>
    <w:qFormat/>
    <w:uiPriority w:val="0"/>
    <w:rPr>
      <w:color w:val="333333"/>
    </w:rPr>
  </w:style>
  <w:style w:type="character" w:customStyle="1" w:styleId="132">
    <w:name w:val="Char Char4"/>
    <w:qFormat/>
    <w:uiPriority w:val="0"/>
    <w:rPr>
      <w:rFonts w:eastAsia="宋体"/>
      <w:b/>
      <w:sz w:val="24"/>
      <w:lang w:val="en-GB" w:eastAsia="zh-CN" w:bidi="ar-SA"/>
    </w:rPr>
  </w:style>
  <w:style w:type="character" w:customStyle="1" w:styleId="133">
    <w:name w:val="Char Char2"/>
    <w:qFormat/>
    <w:uiPriority w:val="0"/>
    <w:rPr>
      <w:rFonts w:eastAsia="宋体"/>
      <w:b/>
      <w:bCs/>
      <w:kern w:val="2"/>
      <w:sz w:val="21"/>
      <w:szCs w:val="24"/>
      <w:lang w:val="en-US" w:eastAsia="zh-CN" w:bidi="ar-SA"/>
    </w:rPr>
  </w:style>
  <w:style w:type="character" w:customStyle="1" w:styleId="134">
    <w:name w:val="正文 项目2 Char"/>
    <w:basedOn w:val="135"/>
    <w:qFormat/>
    <w:uiPriority w:val="0"/>
    <w:rPr>
      <w:rFonts w:ascii="仿宋_GB2312" w:hAnsi="仿宋_GB2312" w:eastAsia="仿宋_GB2312"/>
      <w:kern w:val="2"/>
      <w:sz w:val="24"/>
      <w:lang w:bidi="ar-SA"/>
    </w:rPr>
  </w:style>
  <w:style w:type="character" w:customStyle="1" w:styleId="135">
    <w:name w:val="正文 项目 Char"/>
    <w:qFormat/>
    <w:uiPriority w:val="0"/>
    <w:rPr>
      <w:rFonts w:ascii="仿宋_GB2312" w:hAnsi="仿宋_GB2312" w:eastAsia="仿宋_GB2312"/>
      <w:kern w:val="2"/>
      <w:sz w:val="24"/>
      <w:lang w:bidi="ar-SA"/>
    </w:rPr>
  </w:style>
  <w:style w:type="character" w:customStyle="1" w:styleId="136">
    <w:name w:val="页眉 Char1"/>
    <w:qFormat/>
    <w:uiPriority w:val="0"/>
    <w:rPr>
      <w:rFonts w:eastAsia="宋体"/>
      <w:kern w:val="2"/>
      <w:sz w:val="18"/>
      <w:szCs w:val="18"/>
      <w:lang w:val="en-US" w:eastAsia="zh-CN" w:bidi="ar-SA"/>
    </w:rPr>
  </w:style>
  <w:style w:type="character" w:customStyle="1" w:styleId="137">
    <w:name w:val="正文文本缩进 Char1"/>
    <w:qFormat/>
    <w:uiPriority w:val="0"/>
    <w:rPr>
      <w:rFonts w:ascii="宋体" w:hAnsi="宋体"/>
      <w:kern w:val="2"/>
      <w:sz w:val="24"/>
      <w:szCs w:val="24"/>
    </w:rPr>
  </w:style>
  <w:style w:type="character" w:customStyle="1" w:styleId="138">
    <w:name w:val="big1"/>
    <w:qFormat/>
    <w:uiPriority w:val="0"/>
    <w:rPr>
      <w:rFonts w:hint="eastAsia" w:ascii="宋体" w:hAnsi="宋体" w:eastAsia="宋体"/>
      <w:color w:val="333333"/>
      <w:sz w:val="22"/>
      <w:szCs w:val="22"/>
    </w:rPr>
  </w:style>
  <w:style w:type="character" w:customStyle="1" w:styleId="139">
    <w:name w:val="h Char Char1"/>
    <w:qFormat/>
    <w:uiPriority w:val="0"/>
    <w:rPr>
      <w:rFonts w:eastAsia="宋体"/>
      <w:kern w:val="2"/>
      <w:sz w:val="18"/>
      <w:szCs w:val="18"/>
      <w:lang w:val="en-US" w:eastAsia="zh-CN" w:bidi="ar-SA"/>
    </w:rPr>
  </w:style>
  <w:style w:type="character" w:customStyle="1" w:styleId="140">
    <w:name w:val="样式8 Char"/>
    <w:qFormat/>
    <w:uiPriority w:val="0"/>
    <w:rPr>
      <w:rFonts w:ascii="仿宋_GB2312" w:hAnsi="宋体" w:eastAsia="仿宋_GB2312"/>
      <w:b/>
      <w:bCs/>
      <w:kern w:val="2"/>
      <w:sz w:val="24"/>
      <w:szCs w:val="24"/>
    </w:rPr>
  </w:style>
  <w:style w:type="character" w:customStyle="1" w:styleId="141">
    <w:name w:val="页脚 Char1"/>
    <w:qFormat/>
    <w:uiPriority w:val="0"/>
    <w:rPr>
      <w:rFonts w:eastAsia="宋体"/>
      <w:kern w:val="2"/>
      <w:sz w:val="18"/>
      <w:szCs w:val="18"/>
      <w:lang w:val="en-US" w:eastAsia="zh-CN" w:bidi="ar-SA"/>
    </w:rPr>
  </w:style>
  <w:style w:type="character" w:customStyle="1" w:styleId="142">
    <w:name w:val="myp11"/>
    <w:qFormat/>
    <w:uiPriority w:val="0"/>
    <w:rPr>
      <w:rFonts w:ascii="仿宋_GB2312" w:eastAsia="微软雅黑"/>
      <w:b/>
      <w:kern w:val="2"/>
      <w:sz w:val="32"/>
      <w:szCs w:val="32"/>
      <w:lang w:val="en-US" w:eastAsia="zh-CN" w:bidi="ar-SA"/>
    </w:rPr>
  </w:style>
  <w:style w:type="character" w:customStyle="1" w:styleId="143">
    <w:name w:val="tw4winTerm"/>
    <w:qFormat/>
    <w:uiPriority w:val="0"/>
    <w:rPr>
      <w:color w:val="0000FF"/>
    </w:rPr>
  </w:style>
  <w:style w:type="character" w:customStyle="1" w:styleId="144">
    <w:name w:val="标题 2 Char Char"/>
    <w:qFormat/>
    <w:uiPriority w:val="0"/>
    <w:rPr>
      <w:rFonts w:ascii="楷体_GB2312" w:hAnsi="Arial" w:eastAsia="楷体_GB2312"/>
      <w:b/>
      <w:bCs/>
      <w:kern w:val="2"/>
      <w:sz w:val="24"/>
      <w:szCs w:val="32"/>
      <w:lang w:val="en-US" w:eastAsia="zh-CN" w:bidi="ar-SA"/>
    </w:rPr>
  </w:style>
  <w:style w:type="character" w:customStyle="1" w:styleId="145">
    <w:name w:val="hei16b1"/>
    <w:qFormat/>
    <w:uiPriority w:val="0"/>
    <w:rPr>
      <w:rFonts w:hint="default" w:ascii="Arial" w:hAnsi="Arial" w:cs="Arial"/>
      <w:b/>
      <w:bCs/>
      <w:color w:val="000000"/>
      <w:sz w:val="24"/>
      <w:szCs w:val="24"/>
    </w:rPr>
  </w:style>
  <w:style w:type="character" w:customStyle="1" w:styleId="146">
    <w:name w:val="Heading 7 Char"/>
    <w:qFormat/>
    <w:locked/>
    <w:uiPriority w:val="0"/>
    <w:rPr>
      <w:rFonts w:ascii="宋体" w:hAnsi="宋体" w:eastAsia="宋体"/>
      <w:b/>
      <w:bCs/>
      <w:kern w:val="2"/>
      <w:sz w:val="24"/>
      <w:szCs w:val="24"/>
      <w:lang w:val="en-US" w:eastAsia="zh-CN" w:bidi="ar-SA"/>
    </w:rPr>
  </w:style>
  <w:style w:type="character" w:customStyle="1" w:styleId="147">
    <w:name w:val="Char Char6"/>
    <w:qFormat/>
    <w:uiPriority w:val="0"/>
    <w:rPr>
      <w:rFonts w:eastAsia="宋体"/>
      <w:kern w:val="2"/>
      <w:sz w:val="21"/>
      <w:szCs w:val="24"/>
      <w:lang w:val="en-US" w:eastAsia="zh-CN" w:bidi="ar-SA"/>
    </w:rPr>
  </w:style>
  <w:style w:type="character" w:customStyle="1" w:styleId="148">
    <w:name w:val="哈哈正文 Char"/>
    <w:link w:val="149"/>
    <w:qFormat/>
    <w:uiPriority w:val="0"/>
    <w:rPr>
      <w:rFonts w:ascii="宋体" w:hAnsi="宋体" w:eastAsia="宋体"/>
      <w:sz w:val="24"/>
    </w:rPr>
  </w:style>
  <w:style w:type="paragraph" w:customStyle="1" w:styleId="149">
    <w:name w:val="哈哈正文"/>
    <w:basedOn w:val="1"/>
    <w:link w:val="148"/>
    <w:qFormat/>
    <w:uiPriority w:val="0"/>
    <w:pPr>
      <w:spacing w:line="360" w:lineRule="auto"/>
      <w:ind w:firstLine="200" w:firstLineChars="200"/>
    </w:pPr>
    <w:rPr>
      <w:rFonts w:ascii="宋体" w:hAnsi="宋体" w:eastAsia="宋体"/>
      <w:sz w:val="24"/>
    </w:rPr>
  </w:style>
  <w:style w:type="character" w:customStyle="1" w:styleId="150">
    <w:name w:val="pt141"/>
    <w:qFormat/>
    <w:uiPriority w:val="0"/>
    <w:rPr>
      <w:color w:val="330066"/>
      <w:sz w:val="22"/>
      <w:szCs w:val="22"/>
    </w:rPr>
  </w:style>
  <w:style w:type="character" w:customStyle="1" w:styleId="151">
    <w:name w:val="普通文字 Char3"/>
    <w:qFormat/>
    <w:uiPriority w:val="0"/>
    <w:rPr>
      <w:rFonts w:ascii="宋体" w:hAnsi="Courier New" w:eastAsia="宋体"/>
      <w:kern w:val="2"/>
      <w:sz w:val="21"/>
      <w:lang w:val="en-US" w:eastAsia="zh-CN" w:bidi="ar-SA"/>
    </w:rPr>
  </w:style>
  <w:style w:type="character" w:customStyle="1" w:styleId="152">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53">
    <w:name w:val="正文文本 Char1"/>
    <w:link w:val="24"/>
    <w:qFormat/>
    <w:uiPriority w:val="0"/>
    <w:rPr>
      <w:rFonts w:ascii="宋体" w:hAnsi="Arial" w:eastAsia="宋体" w:cs="Arial"/>
      <w:snapToGrid w:val="0"/>
      <w:sz w:val="24"/>
      <w:szCs w:val="21"/>
      <w:lang w:val="zh-CN"/>
    </w:rPr>
  </w:style>
  <w:style w:type="character" w:customStyle="1" w:styleId="154">
    <w:name w:val="正文2 Char"/>
    <w:qFormat/>
    <w:uiPriority w:val="0"/>
    <w:rPr>
      <w:rFonts w:eastAsia="宋体"/>
      <w:kern w:val="2"/>
      <w:sz w:val="24"/>
      <w:lang w:val="en-US" w:eastAsia="zh-CN" w:bidi="ar-SA"/>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ader Char"/>
    <w:qFormat/>
    <w:locked/>
    <w:uiPriority w:val="0"/>
    <w:rPr>
      <w:rFonts w:eastAsia="宋体"/>
      <w:kern w:val="2"/>
      <w:sz w:val="18"/>
      <w:szCs w:val="18"/>
      <w:lang w:val="en-US" w:eastAsia="zh-CN" w:bidi="ar-SA"/>
    </w:rPr>
  </w:style>
  <w:style w:type="character" w:customStyle="1" w:styleId="157">
    <w:name w:val="Footer-Even Char1"/>
    <w:qFormat/>
    <w:uiPriority w:val="0"/>
    <w:rPr>
      <w:rFonts w:eastAsia="宋体"/>
      <w:kern w:val="2"/>
      <w:sz w:val="18"/>
      <w:szCs w:val="18"/>
      <w:lang w:val="en-US" w:eastAsia="zh-CN" w:bidi="ar-SA"/>
    </w:rPr>
  </w:style>
  <w:style w:type="character" w:customStyle="1" w:styleId="158">
    <w:name w:val="unnamed31"/>
    <w:qFormat/>
    <w:uiPriority w:val="0"/>
    <w:rPr>
      <w:rFonts w:ascii="Tahoma" w:hAnsi="Tahoma" w:eastAsia="宋体"/>
      <w:b/>
      <w:kern w:val="2"/>
      <w:sz w:val="24"/>
      <w:szCs w:val="32"/>
      <w:u w:val="none"/>
      <w:lang w:val="en-US" w:eastAsia="zh-CN" w:bidi="ar-SA"/>
    </w:rPr>
  </w:style>
  <w:style w:type="character" w:customStyle="1" w:styleId="159">
    <w:name w:val="纯文本 Char Char Char"/>
    <w:qFormat/>
    <w:uiPriority w:val="0"/>
    <w:rPr>
      <w:rFonts w:ascii="宋体" w:hAnsi="Courier New" w:eastAsia="宋体"/>
      <w:kern w:val="2"/>
      <w:sz w:val="21"/>
      <w:lang w:val="en-US" w:eastAsia="zh-CN" w:bidi="ar-SA"/>
    </w:rPr>
  </w:style>
  <w:style w:type="character" w:customStyle="1" w:styleId="160">
    <w:name w:val="Body Text(ch) Char Char"/>
    <w:qFormat/>
    <w:uiPriority w:val="0"/>
    <w:rPr>
      <w:rFonts w:ascii="宋体"/>
      <w:kern w:val="2"/>
      <w:sz w:val="24"/>
      <w:szCs w:val="21"/>
      <w:lang w:val="zh-CN"/>
    </w:rPr>
  </w:style>
  <w:style w:type="character" w:customStyle="1" w:styleId="161">
    <w:name w:val="插图说明 Char"/>
    <w:qFormat/>
    <w:uiPriority w:val="0"/>
    <w:rPr>
      <w:rFonts w:eastAsia="黑体"/>
      <w:sz w:val="24"/>
      <w:lang w:val="en-US" w:eastAsia="zh-CN"/>
    </w:rPr>
  </w:style>
  <w:style w:type="character" w:customStyle="1" w:styleId="162">
    <w:name w:val="tw4winExternal"/>
    <w:qFormat/>
    <w:uiPriority w:val="0"/>
    <w:rPr>
      <w:rFonts w:ascii="Courier New" w:hAnsi="Courier New" w:cs="Courier New"/>
      <w:color w:val="808080"/>
      <w:lang w:val="en-US" w:eastAsia="zh-CN"/>
    </w:rPr>
  </w:style>
  <w:style w:type="character" w:customStyle="1" w:styleId="163">
    <w:name w:val="font21"/>
    <w:qFormat/>
    <w:uiPriority w:val="0"/>
    <w:rPr>
      <w:rFonts w:hint="eastAsia" w:ascii="宋体" w:hAnsi="宋体" w:eastAsia="宋体"/>
      <w:kern w:val="2"/>
      <w:sz w:val="28"/>
      <w:szCs w:val="28"/>
      <w:lang w:val="en-US" w:eastAsia="zh-CN" w:bidi="ar-SA"/>
    </w:rPr>
  </w:style>
  <w:style w:type="character" w:customStyle="1" w:styleId="164">
    <w:name w:val="标书正文格式 Char"/>
    <w:qFormat/>
    <w:uiPriority w:val="0"/>
    <w:rPr>
      <w:rFonts w:eastAsia="楷体_GB2312"/>
      <w:kern w:val="2"/>
      <w:sz w:val="24"/>
      <w:szCs w:val="24"/>
      <w:lang w:bidi="ar-SA"/>
    </w:rPr>
  </w:style>
  <w:style w:type="character" w:customStyle="1" w:styleId="165">
    <w:name w:val="javascript"/>
    <w:qFormat/>
    <w:uiPriority w:val="0"/>
  </w:style>
  <w:style w:type="character" w:customStyle="1" w:styleId="166">
    <w:name w:val="Balloon Text Char"/>
    <w:qFormat/>
    <w:locked/>
    <w:uiPriority w:val="0"/>
    <w:rPr>
      <w:rFonts w:eastAsia="宋体"/>
      <w:kern w:val="2"/>
      <w:sz w:val="18"/>
      <w:szCs w:val="18"/>
      <w:lang w:val="en-US" w:eastAsia="zh-CN" w:bidi="ar-SA"/>
    </w:rPr>
  </w:style>
  <w:style w:type="character" w:customStyle="1" w:styleId="167">
    <w:name w:val="Char Char5"/>
    <w:qFormat/>
    <w:uiPriority w:val="0"/>
    <w:rPr>
      <w:rFonts w:ascii="宋体" w:hAnsi="Courier New" w:eastAsia="宋体"/>
      <w:kern w:val="2"/>
      <w:sz w:val="21"/>
      <w:lang w:val="en-US" w:eastAsia="zh-CN"/>
    </w:rPr>
  </w:style>
  <w:style w:type="character" w:customStyle="1" w:styleId="168">
    <w:name w:val="Char Char"/>
    <w:qFormat/>
    <w:uiPriority w:val="0"/>
    <w:rPr>
      <w:rFonts w:ascii="宋体" w:hAnsi="Courier New" w:eastAsia="宋体"/>
      <w:kern w:val="2"/>
      <w:sz w:val="21"/>
      <w:lang w:val="en-US" w:eastAsia="zh-CN" w:bidi="ar-SA"/>
    </w:rPr>
  </w:style>
  <w:style w:type="character" w:customStyle="1" w:styleId="169">
    <w:name w:val="mdeck"/>
    <w:qFormat/>
    <w:uiPriority w:val="0"/>
    <w:rPr>
      <w:rFonts w:ascii="仿宋_GB2312" w:eastAsia="微软雅黑"/>
      <w:b/>
      <w:kern w:val="2"/>
      <w:sz w:val="32"/>
      <w:szCs w:val="32"/>
      <w:lang w:val="en-US" w:eastAsia="zh-CN" w:bidi="ar-SA"/>
    </w:rPr>
  </w:style>
  <w:style w:type="character" w:customStyle="1" w:styleId="170">
    <w:name w:val="content"/>
    <w:qFormat/>
    <w:uiPriority w:val="0"/>
  </w:style>
  <w:style w:type="character" w:customStyle="1" w:styleId="171">
    <w:name w:val="Char Char3"/>
    <w:qFormat/>
    <w:uiPriority w:val="0"/>
    <w:rPr>
      <w:rFonts w:eastAsia="宋体"/>
      <w:kern w:val="2"/>
      <w:sz w:val="21"/>
      <w:szCs w:val="24"/>
      <w:lang w:val="en-US" w:eastAsia="zh-CN" w:bidi="ar-SA"/>
    </w:rPr>
  </w:style>
  <w:style w:type="character" w:customStyle="1" w:styleId="172">
    <w:name w:val="Char Char811"/>
    <w:qFormat/>
    <w:uiPriority w:val="0"/>
    <w:rPr>
      <w:rFonts w:eastAsia="宋体"/>
      <w:b/>
      <w:sz w:val="24"/>
      <w:lang w:val="en-GB" w:eastAsia="zh-CN"/>
    </w:rPr>
  </w:style>
  <w:style w:type="character" w:customStyle="1" w:styleId="173">
    <w:name w:val="b11_01b Char"/>
    <w:link w:val="174"/>
    <w:qFormat/>
    <w:uiPriority w:val="0"/>
    <w:rPr>
      <w:rFonts w:ascii="Verdana" w:hAnsi="Verdana"/>
      <w:b/>
      <w:bCs/>
      <w:color w:val="4A82CA"/>
      <w:sz w:val="17"/>
      <w:szCs w:val="17"/>
    </w:rPr>
  </w:style>
  <w:style w:type="paragraph" w:customStyle="1" w:styleId="174">
    <w:name w:val="b11_01b"/>
    <w:basedOn w:val="1"/>
    <w:next w:val="1"/>
    <w:link w:val="173"/>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5">
    <w:name w:val="标题4-dyf Char"/>
    <w:link w:val="176"/>
    <w:qFormat/>
    <w:uiPriority w:val="0"/>
    <w:rPr>
      <w:rFonts w:ascii="Cambria" w:hAnsi="Cambria"/>
      <w:b/>
      <w:bCs/>
      <w:color w:val="000000"/>
      <w:szCs w:val="21"/>
    </w:rPr>
  </w:style>
  <w:style w:type="paragraph" w:customStyle="1" w:styleId="176">
    <w:name w:val="标题4-dyf"/>
    <w:basedOn w:val="7"/>
    <w:link w:val="175"/>
    <w:qFormat/>
    <w:uiPriority w:val="0"/>
    <w:pPr>
      <w:numPr>
        <w:numId w:val="0"/>
      </w:num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177">
    <w:name w:val="标题 3 Char2"/>
    <w:qFormat/>
    <w:uiPriority w:val="0"/>
    <w:rPr>
      <w:rFonts w:eastAsia="宋体"/>
      <w:b/>
      <w:bCs/>
      <w:kern w:val="2"/>
      <w:sz w:val="32"/>
      <w:szCs w:val="32"/>
      <w:lang w:val="en-US" w:eastAsia="zh-CN" w:bidi="ar-SA"/>
    </w:rPr>
  </w:style>
  <w:style w:type="character" w:customStyle="1" w:styleId="178">
    <w:name w:val="gray6"/>
    <w:basedOn w:val="69"/>
    <w:qFormat/>
    <w:uiPriority w:val="0"/>
    <w:rPr>
      <w:rFonts w:ascii="Arial" w:hAnsi="Arial" w:eastAsia="黑体" w:cs="Arial"/>
      <w:snapToGrid w:val="0"/>
      <w:kern w:val="0"/>
      <w:szCs w:val="21"/>
    </w:rPr>
  </w:style>
  <w:style w:type="character" w:customStyle="1" w:styleId="179">
    <w:name w:val="正文首行缩进两字 Char"/>
    <w:qFormat/>
    <w:uiPriority w:val="0"/>
    <w:rPr>
      <w:sz w:val="24"/>
      <w:szCs w:val="24"/>
      <w:lang w:val="en-US" w:eastAsia="zh-CN" w:bidi="ar-SA"/>
    </w:rPr>
  </w:style>
  <w:style w:type="character" w:customStyle="1" w:styleId="180">
    <w:name w:val="Char Char511"/>
    <w:qFormat/>
    <w:uiPriority w:val="0"/>
    <w:rPr>
      <w:rFonts w:ascii="宋体" w:hAnsi="Courier New" w:eastAsia="宋体"/>
      <w:kern w:val="2"/>
      <w:sz w:val="21"/>
      <w:lang w:val="en-US" w:eastAsia="zh-CN"/>
    </w:rPr>
  </w:style>
  <w:style w:type="character" w:customStyle="1" w:styleId="181">
    <w:name w:val="带编号样式 Char"/>
    <w:qFormat/>
    <w:uiPriority w:val="0"/>
    <w:rPr>
      <w:rFonts w:ascii="仿宋_GB2312" w:eastAsia="仿宋_GB2312"/>
      <w:color w:val="000000"/>
      <w:sz w:val="24"/>
      <w:lang w:bidi="ar-SA"/>
    </w:rPr>
  </w:style>
  <w:style w:type="character" w:customStyle="1" w:styleId="182">
    <w:name w:val="Footer-Even Char"/>
    <w:qFormat/>
    <w:uiPriority w:val="0"/>
    <w:rPr>
      <w:rFonts w:eastAsia="宋体"/>
      <w:kern w:val="2"/>
      <w:sz w:val="18"/>
      <w:lang w:val="en-US" w:eastAsia="zh-CN" w:bidi="ar-SA"/>
    </w:rPr>
  </w:style>
  <w:style w:type="character" w:customStyle="1" w:styleId="183">
    <w:name w:val="样式4 Char"/>
    <w:qFormat/>
    <w:uiPriority w:val="0"/>
    <w:rPr>
      <w:rFonts w:ascii="仿宋_GB2312" w:hAnsi="仿宋" w:eastAsia="仿宋_GB2312"/>
      <w:b/>
      <w:kern w:val="2"/>
      <w:sz w:val="32"/>
      <w:szCs w:val="32"/>
      <w:lang w:bidi="ar-SA"/>
    </w:rPr>
  </w:style>
  <w:style w:type="character" w:customStyle="1" w:styleId="184">
    <w:name w:val="样式 标题 4h4H4Fab-4T5Ref Heading 1rh1Heading sqlsect 1.2.3.... Char"/>
    <w:link w:val="185"/>
    <w:qFormat/>
    <w:uiPriority w:val="0"/>
    <w:rPr>
      <w:rFonts w:ascii="微软雅黑" w:hAnsi="微软雅黑" w:eastAsia="微软雅黑"/>
      <w:b/>
      <w:bCs/>
      <w:sz w:val="24"/>
      <w:szCs w:val="28"/>
    </w:rPr>
  </w:style>
  <w:style w:type="paragraph" w:customStyle="1" w:styleId="185">
    <w:name w:val="样式 标题 4h4H4Fab-4T5Ref Heading 1rh1Heading sqlsect 1.2.3...."/>
    <w:basedOn w:val="7"/>
    <w:link w:val="184"/>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186">
    <w:name w:val="dandyren_title1"/>
    <w:qFormat/>
    <w:uiPriority w:val="0"/>
    <w:rPr>
      <w:b/>
      <w:bCs/>
      <w:color w:val="FF6633"/>
      <w:sz w:val="18"/>
      <w:szCs w:val="18"/>
    </w:rPr>
  </w:style>
  <w:style w:type="character" w:customStyle="1" w:styleId="187">
    <w:name w:val="普通文字 Char Char1"/>
    <w:qFormat/>
    <w:uiPriority w:val="0"/>
    <w:rPr>
      <w:rFonts w:ascii="宋体" w:hAnsi="Courier New"/>
      <w:kern w:val="2"/>
      <w:sz w:val="21"/>
    </w:rPr>
  </w:style>
  <w:style w:type="character" w:customStyle="1" w:styleId="188">
    <w:name w:val="PI Char"/>
    <w:qFormat/>
    <w:uiPriority w:val="0"/>
    <w:rPr>
      <w:rFonts w:ascii="宋体" w:hAnsi="宋体" w:eastAsia="宋体"/>
      <w:kern w:val="2"/>
      <w:sz w:val="24"/>
      <w:szCs w:val="24"/>
      <w:lang w:val="en-US" w:eastAsia="zh-CN" w:bidi="ar-SA"/>
    </w:rPr>
  </w:style>
  <w:style w:type="character" w:customStyle="1" w:styleId="189">
    <w:name w:val="Char Char11"/>
    <w:qFormat/>
    <w:locked/>
    <w:uiPriority w:val="0"/>
    <w:rPr>
      <w:rFonts w:ascii="宋体" w:hAnsi="宋体" w:eastAsia="宋体"/>
      <w:b/>
      <w:kern w:val="2"/>
      <w:sz w:val="24"/>
      <w:szCs w:val="24"/>
      <w:lang w:val="en-US" w:eastAsia="zh-CN" w:bidi="ar-SA"/>
    </w:rPr>
  </w:style>
  <w:style w:type="character" w:customStyle="1" w:styleId="19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1">
    <w:name w:val="Document Map Char"/>
    <w:qFormat/>
    <w:locked/>
    <w:uiPriority w:val="0"/>
    <w:rPr>
      <w:rFonts w:eastAsia="宋体"/>
      <w:kern w:val="2"/>
      <w:sz w:val="21"/>
      <w:szCs w:val="24"/>
      <w:lang w:val="en-US" w:eastAsia="zh-CN" w:bidi="ar-SA"/>
    </w:rPr>
  </w:style>
  <w:style w:type="character" w:customStyle="1" w:styleId="192">
    <w:name w:val="文本正文 Char Char"/>
    <w:qFormat/>
    <w:locked/>
    <w:uiPriority w:val="0"/>
    <w:rPr>
      <w:sz w:val="24"/>
      <w:lang w:bidi="ar-SA"/>
    </w:rPr>
  </w:style>
  <w:style w:type="character" w:customStyle="1" w:styleId="193">
    <w:name w:val="样式7 Char"/>
    <w:qFormat/>
    <w:uiPriority w:val="0"/>
    <w:rPr>
      <w:rFonts w:ascii="仿宋_GB2312" w:hAnsi="仿宋" w:eastAsia="仿宋_GB2312"/>
      <w:b/>
      <w:kern w:val="2"/>
      <w:sz w:val="24"/>
      <w:szCs w:val="24"/>
    </w:rPr>
  </w:style>
  <w:style w:type="character" w:customStyle="1" w:styleId="194">
    <w:name w:val="样式3 Char"/>
    <w:basedOn w:val="195"/>
    <w:qFormat/>
    <w:uiPriority w:val="0"/>
    <w:rPr>
      <w:rFonts w:ascii="仿宋_GB2312" w:hAnsi="仿宋" w:eastAsia="仿宋_GB2312" w:cs="仿宋_GB2312"/>
      <w:sz w:val="32"/>
      <w:szCs w:val="30"/>
      <w:lang w:val="zh-CN"/>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二级标题 Char Char"/>
    <w:qFormat/>
    <w:uiPriority w:val="0"/>
    <w:rPr>
      <w:rFonts w:ascii="宋体" w:hAnsi="宋体" w:eastAsia="宋体"/>
      <w:b/>
      <w:snapToGrid w:val="0"/>
      <w:kern w:val="2"/>
      <w:sz w:val="24"/>
      <w:szCs w:val="24"/>
      <w:lang w:val="en-US" w:eastAsia="zh-CN" w:bidi="ar-SA"/>
    </w:rPr>
  </w:style>
  <w:style w:type="character" w:customStyle="1" w:styleId="197">
    <w:name w:val="Table Text Char1"/>
    <w:qFormat/>
    <w:uiPriority w:val="0"/>
    <w:rPr>
      <w:rFonts w:eastAsia="宋体"/>
      <w:sz w:val="24"/>
      <w:szCs w:val="24"/>
      <w:lang w:val="en-US" w:eastAsia="zh-CN" w:bidi="ar-SA"/>
    </w:rPr>
  </w:style>
  <w:style w:type="character" w:customStyle="1" w:styleId="198">
    <w:name w:val="shadow11"/>
    <w:qFormat/>
    <w:uiPriority w:val="0"/>
    <w:rPr>
      <w:color w:val="000000"/>
      <w:sz w:val="21"/>
    </w:rPr>
  </w:style>
  <w:style w:type="character" w:customStyle="1" w:styleId="199">
    <w:name w:val="Char Char212"/>
    <w:qFormat/>
    <w:uiPriority w:val="0"/>
    <w:rPr>
      <w:rFonts w:eastAsia="宋体"/>
      <w:b/>
      <w:bCs/>
      <w:kern w:val="2"/>
      <w:sz w:val="21"/>
      <w:szCs w:val="24"/>
      <w:lang w:val="en-US" w:eastAsia="zh-CN" w:bidi="ar-SA"/>
    </w:rPr>
  </w:style>
  <w:style w:type="character" w:customStyle="1" w:styleId="200">
    <w:name w:val="h3 Char1"/>
    <w:qFormat/>
    <w:uiPriority w:val="0"/>
    <w:rPr>
      <w:rFonts w:eastAsia="宋体"/>
      <w:b/>
      <w:bCs/>
      <w:kern w:val="2"/>
      <w:sz w:val="32"/>
      <w:szCs w:val="32"/>
      <w:lang w:bidi="ar-SA"/>
    </w:rPr>
  </w:style>
  <w:style w:type="character" w:customStyle="1" w:styleId="201">
    <w:name w:val="FA正文 Char Char"/>
    <w:qFormat/>
    <w:uiPriority w:val="0"/>
    <w:rPr>
      <w:rFonts w:hAnsi="宋体"/>
      <w:kern w:val="2"/>
      <w:sz w:val="24"/>
      <w:lang w:bidi="ar-SA"/>
    </w:rPr>
  </w:style>
  <w:style w:type="character" w:customStyle="1" w:styleId="202">
    <w:name w:val="首行缩进 Char"/>
    <w:qFormat/>
    <w:uiPriority w:val="0"/>
    <w:rPr>
      <w:rFonts w:ascii="宋体" w:eastAsia="宋体"/>
      <w:kern w:val="2"/>
      <w:sz w:val="24"/>
      <w:lang w:val="en-US" w:eastAsia="zh-CN" w:bidi="ar-SA"/>
    </w:rPr>
  </w:style>
  <w:style w:type="character" w:customStyle="1" w:styleId="203">
    <w:name w:val="Char Char7"/>
    <w:semiHidden/>
    <w:qFormat/>
    <w:uiPriority w:val="0"/>
    <w:rPr>
      <w:rFonts w:eastAsia="宋体"/>
      <w:kern w:val="2"/>
      <w:sz w:val="21"/>
      <w:szCs w:val="24"/>
      <w:lang w:val="en-US" w:eastAsia="zh-CN" w:bidi="ar-SA"/>
    </w:rPr>
  </w:style>
  <w:style w:type="character" w:customStyle="1" w:styleId="204">
    <w:name w:val="hui"/>
    <w:basedOn w:val="69"/>
    <w:qFormat/>
    <w:uiPriority w:val="0"/>
    <w:rPr>
      <w:rFonts w:ascii="Arial" w:hAnsi="Arial" w:eastAsia="黑体" w:cs="Arial"/>
      <w:snapToGrid w:val="0"/>
      <w:kern w:val="0"/>
      <w:szCs w:val="21"/>
    </w:rPr>
  </w:style>
  <w:style w:type="character" w:customStyle="1" w:styleId="205">
    <w:name w:val="正文缩进 Char"/>
    <w:qFormat/>
    <w:uiPriority w:val="0"/>
    <w:rPr>
      <w:rFonts w:eastAsia="宋体"/>
      <w:kern w:val="2"/>
      <w:sz w:val="21"/>
      <w:lang w:val="en-US" w:eastAsia="zh-CN"/>
    </w:rPr>
  </w:style>
  <w:style w:type="character" w:customStyle="1" w:styleId="206">
    <w:name w:val="正文1 Char"/>
    <w:qFormat/>
    <w:uiPriority w:val="0"/>
    <w:rPr>
      <w:rFonts w:ascii="宋体" w:eastAsia="宋体"/>
      <w:snapToGrid w:val="0"/>
      <w:color w:val="000000"/>
      <w:kern w:val="28"/>
      <w:sz w:val="28"/>
      <w:lang w:val="en-US" w:eastAsia="zh-CN" w:bidi="ar-SA"/>
    </w:rPr>
  </w:style>
  <w:style w:type="character" w:customStyle="1" w:styleId="207">
    <w:name w:val="Char Char611"/>
    <w:qFormat/>
    <w:uiPriority w:val="0"/>
    <w:rPr>
      <w:rFonts w:eastAsia="宋体"/>
      <w:kern w:val="2"/>
      <w:sz w:val="21"/>
      <w:szCs w:val="24"/>
      <w:lang w:val="en-US" w:eastAsia="zh-CN" w:bidi="ar-SA"/>
    </w:rPr>
  </w:style>
  <w:style w:type="character" w:customStyle="1" w:styleId="208">
    <w:name w:val="message1"/>
    <w:qFormat/>
    <w:uiPriority w:val="0"/>
    <w:rPr>
      <w:rFonts w:hint="default" w:ascii="Tahoma" w:hAnsi="Tahoma" w:cs="Tahoma"/>
      <w:sz w:val="18"/>
      <w:szCs w:val="18"/>
    </w:rPr>
  </w:style>
  <w:style w:type="character" w:customStyle="1" w:styleId="209">
    <w:name w:val="Heading 2 Hidden Char"/>
    <w:qFormat/>
    <w:uiPriority w:val="0"/>
    <w:rPr>
      <w:rFonts w:ascii="仿宋_GB2312" w:eastAsia="仿宋_GB2312"/>
      <w:b/>
      <w:bCs/>
      <w:kern w:val="2"/>
      <w:sz w:val="24"/>
      <w:szCs w:val="24"/>
      <w:lang w:val="zh-CN" w:eastAsia="zh-CN" w:bidi="ar-SA"/>
    </w:rPr>
  </w:style>
  <w:style w:type="character" w:customStyle="1" w:styleId="210">
    <w:name w:val="DO_NOT_TRANSLATE"/>
    <w:qFormat/>
    <w:uiPriority w:val="0"/>
    <w:rPr>
      <w:rFonts w:ascii="Courier New" w:hAnsi="Courier New" w:cs="Courier New"/>
      <w:color w:val="800000"/>
      <w:lang w:val="en-US" w:eastAsia="zh-CN"/>
    </w:rPr>
  </w:style>
  <w:style w:type="character" w:customStyle="1" w:styleId="211">
    <w:name w:val="unnamed11"/>
    <w:qFormat/>
    <w:uiPriority w:val="0"/>
    <w:rPr>
      <w:sz w:val="20"/>
      <w:szCs w:val="20"/>
    </w:rPr>
  </w:style>
  <w:style w:type="character" w:customStyle="1" w:styleId="212">
    <w:name w:val="tw4winInternal"/>
    <w:qFormat/>
    <w:uiPriority w:val="0"/>
    <w:rPr>
      <w:rFonts w:ascii="Courier New" w:hAnsi="Courier New" w:cs="Courier New"/>
      <w:color w:val="FF0000"/>
      <w:lang w:val="en-US" w:eastAsia="zh-CN"/>
    </w:rPr>
  </w:style>
  <w:style w:type="character" w:customStyle="1" w:styleId="213">
    <w:name w:val="正文（缩进2汉字） Char"/>
    <w:link w:val="214"/>
    <w:qFormat/>
    <w:uiPriority w:val="0"/>
    <w:rPr>
      <w:rFonts w:ascii="宋体"/>
    </w:rPr>
  </w:style>
  <w:style w:type="paragraph" w:customStyle="1" w:styleId="214">
    <w:name w:val="正文（缩进2汉字）"/>
    <w:basedOn w:val="1"/>
    <w:link w:val="213"/>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15">
    <w:name w:val="正文缩进 Char1"/>
    <w:qFormat/>
    <w:uiPriority w:val="0"/>
    <w:rPr>
      <w:rFonts w:ascii="宋体" w:eastAsia="宋体"/>
      <w:snapToGrid w:val="0"/>
      <w:color w:val="000000"/>
      <w:kern w:val="28"/>
      <w:sz w:val="28"/>
      <w:lang w:val="en-US" w:eastAsia="zh-CN" w:bidi="ar-SA"/>
    </w:rPr>
  </w:style>
  <w:style w:type="character" w:customStyle="1" w:styleId="216">
    <w:name w:val="style36"/>
    <w:basedOn w:val="69"/>
    <w:qFormat/>
    <w:uiPriority w:val="0"/>
    <w:rPr>
      <w:rFonts w:ascii="Arial" w:hAnsi="Arial" w:eastAsia="黑体" w:cs="Arial"/>
      <w:snapToGrid w:val="0"/>
      <w:kern w:val="0"/>
      <w:szCs w:val="21"/>
    </w:rPr>
  </w:style>
  <w:style w:type="character" w:customStyle="1" w:styleId="217">
    <w:name w:val="hui3"/>
    <w:qFormat/>
    <w:uiPriority w:val="0"/>
    <w:rPr>
      <w:color w:val="333333"/>
    </w:rPr>
  </w:style>
  <w:style w:type="character" w:customStyle="1" w:styleId="218">
    <w:name w:val="方案正文 Char"/>
    <w:qFormat/>
    <w:uiPriority w:val="0"/>
    <w:rPr>
      <w:rFonts w:ascii="仿宋_GB2312" w:eastAsia="仿宋_GB2312"/>
      <w:b/>
      <w:color w:val="000000"/>
      <w:kern w:val="2"/>
      <w:sz w:val="24"/>
      <w:lang w:val="en-US" w:eastAsia="zh-CN" w:bidi="ar-SA"/>
    </w:rPr>
  </w:style>
  <w:style w:type="character" w:customStyle="1" w:styleId="219">
    <w:name w:val="apple-converted-space"/>
    <w:qFormat/>
    <w:uiPriority w:val="0"/>
  </w:style>
  <w:style w:type="character" w:customStyle="1" w:styleId="220">
    <w:name w:val="正文非缩进 Char3"/>
    <w:qFormat/>
    <w:uiPriority w:val="0"/>
    <w:rPr>
      <w:rFonts w:ascii="宋体" w:eastAsia="宋体"/>
      <w:snapToGrid w:val="0"/>
      <w:color w:val="000000"/>
      <w:kern w:val="28"/>
      <w:sz w:val="28"/>
      <w:lang w:val="en-US" w:eastAsia="zh-CN" w:bidi="ar-SA"/>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t21"/>
    <w:qFormat/>
    <w:uiPriority w:val="0"/>
    <w:rPr>
      <w:rFonts w:ascii="仿宋_GB2312" w:eastAsia="微软雅黑"/>
      <w:b/>
      <w:kern w:val="2"/>
      <w:sz w:val="23"/>
      <w:szCs w:val="23"/>
      <w:lang w:val="en-US" w:eastAsia="zh-CN" w:bidi="ar-SA"/>
    </w:rPr>
  </w:style>
  <w:style w:type="character" w:customStyle="1" w:styleId="223">
    <w:name w:val="副标题 Char1"/>
    <w:qFormat/>
    <w:uiPriority w:val="11"/>
    <w:rPr>
      <w:rFonts w:ascii="Cambria" w:hAnsi="Cambria" w:eastAsia="宋体" w:cs="Times New Roman"/>
      <w:b/>
      <w:bCs/>
      <w:snapToGrid w:val="0"/>
      <w:kern w:val="28"/>
      <w:sz w:val="32"/>
      <w:szCs w:val="32"/>
    </w:rPr>
  </w:style>
  <w:style w:type="character" w:customStyle="1" w:styleId="224">
    <w:name w:val="px14"/>
    <w:qFormat/>
    <w:uiPriority w:val="0"/>
    <w:rPr>
      <w:rFonts w:ascii="仿宋_GB2312" w:eastAsia="微软雅黑" w:cs="Times New Roman"/>
      <w:b/>
      <w:kern w:val="2"/>
      <w:sz w:val="32"/>
      <w:szCs w:val="32"/>
      <w:lang w:val="en-US" w:eastAsia="zh-CN" w:bidi="ar-SA"/>
    </w:rPr>
  </w:style>
  <w:style w:type="character" w:customStyle="1" w:styleId="225">
    <w:name w:val="Normal Indent Char Char"/>
    <w:qFormat/>
    <w:uiPriority w:val="0"/>
    <w:rPr>
      <w:rFonts w:eastAsia="宋体"/>
      <w:kern w:val="2"/>
      <w:sz w:val="21"/>
      <w:lang w:val="en-US" w:eastAsia="zh-CN" w:bidi="ar-SA"/>
    </w:rPr>
  </w:style>
  <w:style w:type="character" w:customStyle="1" w:styleId="226">
    <w:name w:val="f141"/>
    <w:qFormat/>
    <w:uiPriority w:val="0"/>
    <w:rPr>
      <w:rFonts w:ascii="Tahoma" w:hAnsi="Tahoma" w:eastAsia="宋体"/>
      <w:b/>
      <w:kern w:val="2"/>
      <w:sz w:val="21"/>
      <w:szCs w:val="21"/>
      <w:lang w:val="en-US" w:eastAsia="zh-CN" w:bidi="ar-SA"/>
    </w:rPr>
  </w:style>
  <w:style w:type="character" w:customStyle="1" w:styleId="227">
    <w:name w:val="myp1111"/>
    <w:qFormat/>
    <w:uiPriority w:val="0"/>
    <w:rPr>
      <w:rFonts w:hint="default" w:ascii="ˎ̥" w:hAnsi="ˎ̥"/>
      <w:color w:val="000000"/>
      <w:sz w:val="20"/>
      <w:szCs w:val="20"/>
      <w:u w:val="none"/>
    </w:rPr>
  </w:style>
  <w:style w:type="character" w:customStyle="1" w:styleId="228">
    <w:name w:val="标书1 Char"/>
    <w:qFormat/>
    <w:uiPriority w:val="0"/>
    <w:rPr>
      <w:rFonts w:eastAsia="宋体"/>
      <w:b/>
      <w:bCs/>
      <w:kern w:val="44"/>
      <w:sz w:val="44"/>
      <w:szCs w:val="44"/>
      <w:lang w:val="en-US" w:eastAsia="zh-CN" w:bidi="ar-SA"/>
    </w:rPr>
  </w:style>
  <w:style w:type="character" w:customStyle="1" w:styleId="229">
    <w:name w:val="链接"/>
    <w:qFormat/>
    <w:uiPriority w:val="0"/>
    <w:rPr>
      <w:color w:val="0000FF"/>
      <w:sz w:val="21"/>
      <w:szCs w:val="21"/>
      <w:u w:val="single"/>
    </w:rPr>
  </w:style>
  <w:style w:type="character" w:customStyle="1" w:styleId="230">
    <w:name w:val="正文首行缩进 Char Char Char Char Char Char"/>
    <w:qFormat/>
    <w:uiPriority w:val="0"/>
    <w:rPr>
      <w:rFonts w:ascii="宋体" w:eastAsia="宋体"/>
      <w:kern w:val="2"/>
      <w:sz w:val="24"/>
      <w:lang w:val="zh-CN" w:bidi="ar-SA"/>
    </w:rPr>
  </w:style>
  <w:style w:type="character" w:customStyle="1" w:styleId="231">
    <w:name w:val="正文2 Char Char"/>
    <w:link w:val="232"/>
    <w:qFormat/>
    <w:uiPriority w:val="0"/>
    <w:rPr>
      <w:rFonts w:eastAsia="宋体"/>
      <w:sz w:val="24"/>
    </w:rPr>
  </w:style>
  <w:style w:type="paragraph" w:customStyle="1" w:styleId="232">
    <w:name w:val="正文2"/>
    <w:basedOn w:val="1"/>
    <w:link w:val="231"/>
    <w:qFormat/>
    <w:uiPriority w:val="0"/>
    <w:pPr>
      <w:adjustRightInd w:val="0"/>
      <w:spacing w:before="156" w:line="360" w:lineRule="auto"/>
      <w:ind w:firstLine="510" w:firstLineChars="200"/>
    </w:pPr>
    <w:rPr>
      <w:rFonts w:eastAsia="宋体"/>
      <w:sz w:val="24"/>
    </w:rPr>
  </w:style>
  <w:style w:type="character" w:customStyle="1" w:styleId="233">
    <w:name w:val="tw4winError"/>
    <w:qFormat/>
    <w:uiPriority w:val="0"/>
    <w:rPr>
      <w:rFonts w:ascii="Courier New" w:hAnsi="Courier New" w:cs="Courier New"/>
      <w:color w:val="00FF00"/>
      <w:sz w:val="40"/>
      <w:szCs w:val="40"/>
    </w:rPr>
  </w:style>
  <w:style w:type="character" w:customStyle="1" w:styleId="234">
    <w:name w:val="正文1 Char1"/>
    <w:qFormat/>
    <w:uiPriority w:val="0"/>
    <w:rPr>
      <w:rFonts w:ascii="仿宋_GB2312" w:hAnsi="Courier New" w:eastAsia="仿宋_GB2312"/>
      <w:kern w:val="28"/>
      <w:sz w:val="24"/>
      <w:szCs w:val="24"/>
      <w:lang w:val="en-US" w:eastAsia="zh-CN"/>
    </w:rPr>
  </w:style>
  <w:style w:type="character" w:customStyle="1" w:styleId="235">
    <w:name w:val="Used by Word for text of Help footnotes Char Char"/>
    <w:qFormat/>
    <w:uiPriority w:val="0"/>
    <w:rPr>
      <w:rFonts w:ascii="Times New Roman" w:hAnsi="Times New Roman" w:eastAsia="宋体" w:cs="Times New Roman"/>
      <w:sz w:val="20"/>
      <w:szCs w:val="20"/>
    </w:rPr>
  </w:style>
  <w:style w:type="character" w:customStyle="1" w:styleId="236">
    <w:name w:val="c7 style3"/>
    <w:qFormat/>
    <w:uiPriority w:val="0"/>
  </w:style>
  <w:style w:type="character" w:customStyle="1" w:styleId="237">
    <w:name w:val="Char Char3111"/>
    <w:qFormat/>
    <w:uiPriority w:val="0"/>
    <w:rPr>
      <w:rFonts w:ascii="Times New Roman" w:hAnsi="Times New Roman" w:eastAsia="宋体" w:cs="Times New Roman"/>
      <w:b/>
      <w:kern w:val="2"/>
      <w:sz w:val="32"/>
      <w:szCs w:val="24"/>
      <w:lang w:val="en-US" w:eastAsia="zh-CN" w:bidi="ar-SA"/>
    </w:rPr>
  </w:style>
  <w:style w:type="character" w:customStyle="1" w:styleId="238">
    <w:name w:val="表正文 Char"/>
    <w:qFormat/>
    <w:uiPriority w:val="0"/>
    <w:rPr>
      <w:rFonts w:ascii="宋体" w:eastAsia="宋体"/>
      <w:snapToGrid w:val="0"/>
      <w:color w:val="000000"/>
      <w:kern w:val="28"/>
      <w:sz w:val="28"/>
      <w:lang w:val="en-US" w:eastAsia="zh-CN" w:bidi="ar-SA"/>
    </w:rPr>
  </w:style>
  <w:style w:type="character" w:customStyle="1" w:styleId="239">
    <w:name w:val="普通文字 Char1 Char"/>
    <w:qFormat/>
    <w:uiPriority w:val="0"/>
    <w:rPr>
      <w:rFonts w:ascii="宋体" w:hAnsi="Courier New" w:eastAsia="宋体"/>
      <w:kern w:val="2"/>
      <w:sz w:val="21"/>
      <w:szCs w:val="24"/>
      <w:lang w:val="en-US" w:eastAsia="zh-CN" w:bidi="ar-SA"/>
    </w:rPr>
  </w:style>
  <w:style w:type="character" w:customStyle="1" w:styleId="240">
    <w:name w:val="pt9"/>
    <w:qFormat/>
    <w:uiPriority w:val="0"/>
    <w:rPr>
      <w:rFonts w:ascii="仿宋_GB2312" w:eastAsia="微软雅黑"/>
      <w:b/>
      <w:kern w:val="2"/>
      <w:sz w:val="32"/>
      <w:szCs w:val="32"/>
      <w:lang w:val="en-US" w:eastAsia="zh-CN" w:bidi="ar-SA"/>
    </w:rPr>
  </w:style>
  <w:style w:type="character" w:customStyle="1" w:styleId="241">
    <w:name w:val="表正文 Char1"/>
    <w:qFormat/>
    <w:uiPriority w:val="0"/>
    <w:rPr>
      <w:rFonts w:ascii="宋体" w:eastAsia="宋体"/>
      <w:snapToGrid w:val="0"/>
      <w:color w:val="000000"/>
      <w:kern w:val="28"/>
      <w:sz w:val="28"/>
    </w:rPr>
  </w:style>
  <w:style w:type="character" w:customStyle="1" w:styleId="242">
    <w:name w:val="正文非缩进 Char"/>
    <w:qFormat/>
    <w:uiPriority w:val="0"/>
    <w:rPr>
      <w:rFonts w:ascii="宋体" w:eastAsia="宋体"/>
      <w:snapToGrid w:val="0"/>
      <w:color w:val="000000"/>
      <w:kern w:val="28"/>
      <w:sz w:val="28"/>
      <w:lang w:val="en-US" w:eastAsia="zh-CN" w:bidi="ar-SA"/>
    </w:rPr>
  </w:style>
  <w:style w:type="character" w:customStyle="1" w:styleId="243">
    <w:name w:val="冯广丽 Char"/>
    <w:link w:val="244"/>
    <w:qFormat/>
    <w:uiPriority w:val="0"/>
    <w:rPr>
      <w:rFonts w:ascii="宋体" w:hAnsi="宋体"/>
      <w:sz w:val="24"/>
    </w:rPr>
  </w:style>
  <w:style w:type="paragraph" w:customStyle="1" w:styleId="244">
    <w:name w:val="冯广丽"/>
    <w:basedOn w:val="1"/>
    <w:link w:val="243"/>
    <w:qFormat/>
    <w:uiPriority w:val="0"/>
    <w:pPr>
      <w:spacing w:line="360" w:lineRule="auto"/>
      <w:ind w:firstLine="480" w:firstLineChars="200"/>
    </w:pPr>
    <w:rPr>
      <w:rFonts w:ascii="宋体" w:hAnsi="宋体"/>
      <w:sz w:val="24"/>
    </w:rPr>
  </w:style>
  <w:style w:type="character" w:customStyle="1" w:styleId="245">
    <w:name w:val="large1"/>
    <w:qFormat/>
    <w:uiPriority w:val="0"/>
    <w:rPr>
      <w:rFonts w:hint="eastAsia" w:ascii="宋体" w:hAnsi="宋体" w:eastAsia="宋体"/>
      <w:sz w:val="21"/>
      <w:szCs w:val="21"/>
    </w:rPr>
  </w:style>
  <w:style w:type="character" w:customStyle="1" w:styleId="246">
    <w:name w:val="样式 样式 标题 4h4H4Fab-4T5Ref Heading 1rh1Heading sqlsect 1.2.3.... +... Char"/>
    <w:link w:val="247"/>
    <w:qFormat/>
    <w:uiPriority w:val="0"/>
    <w:rPr>
      <w:rFonts w:ascii="微软雅黑" w:hAnsi="微软雅黑" w:eastAsia="微软雅黑"/>
      <w:b/>
      <w:bCs/>
      <w:sz w:val="24"/>
      <w:szCs w:val="28"/>
    </w:rPr>
  </w:style>
  <w:style w:type="paragraph" w:customStyle="1" w:styleId="247">
    <w:name w:val="样式 样式 标题 4h4H4Fab-4T5Ref Heading 1rh1Heading sqlsect 1.2.3.... +..."/>
    <w:basedOn w:val="185"/>
    <w:link w:val="246"/>
    <w:qFormat/>
    <w:uiPriority w:val="0"/>
  </w:style>
  <w:style w:type="character" w:customStyle="1" w:styleId="248">
    <w:name w:val="标题 1 Char Char"/>
    <w:qFormat/>
    <w:uiPriority w:val="0"/>
    <w:rPr>
      <w:rFonts w:hint="eastAsia" w:ascii="宋体" w:hAnsi="宋体" w:eastAsia="宋体"/>
      <w:b/>
      <w:spacing w:val="-2"/>
      <w:sz w:val="24"/>
      <w:lang w:val="en-US" w:eastAsia="zh-CN" w:bidi="ar-SA"/>
    </w:rPr>
  </w:style>
  <w:style w:type="character" w:customStyle="1" w:styleId="249">
    <w:name w:val="标题 4 Char1"/>
    <w:qFormat/>
    <w:uiPriority w:val="0"/>
    <w:rPr>
      <w:rFonts w:ascii="Cambria" w:hAnsi="Cambria" w:eastAsia="宋体" w:cs="Times New Roman"/>
      <w:b/>
      <w:bCs/>
      <w:kern w:val="2"/>
      <w:sz w:val="28"/>
      <w:szCs w:val="28"/>
    </w:rPr>
  </w:style>
  <w:style w:type="character" w:customStyle="1" w:styleId="250">
    <w:name w:val="zbggmain style9"/>
    <w:qFormat/>
    <w:uiPriority w:val="0"/>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tw4winPopup"/>
    <w:qFormat/>
    <w:uiPriority w:val="0"/>
    <w:rPr>
      <w:rFonts w:ascii="Courier New" w:hAnsi="Courier New" w:cs="Courier New"/>
      <w:color w:val="008000"/>
      <w:lang w:val="en-US" w:eastAsia="zh-CN"/>
    </w:rPr>
  </w:style>
  <w:style w:type="character" w:customStyle="1" w:styleId="253">
    <w:name w:val="样式 宋体"/>
    <w:qFormat/>
    <w:uiPriority w:val="0"/>
    <w:rPr>
      <w:rFonts w:ascii="宋体" w:hAnsi="宋体"/>
      <w:sz w:val="24"/>
    </w:rPr>
  </w:style>
  <w:style w:type="character" w:customStyle="1" w:styleId="254">
    <w:name w:val="正文缩进 Char2"/>
    <w:link w:val="3"/>
    <w:qFormat/>
    <w:uiPriority w:val="0"/>
    <w:rPr>
      <w:rFonts w:ascii="宋体" w:eastAsia="宋体"/>
      <w:snapToGrid w:val="0"/>
      <w:color w:val="000000"/>
      <w:kern w:val="28"/>
      <w:sz w:val="28"/>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批注文字 Char1"/>
    <w:qFormat/>
    <w:uiPriority w:val="99"/>
    <w:rPr>
      <w:kern w:val="2"/>
      <w:sz w:val="21"/>
      <w:szCs w:val="24"/>
    </w:rPr>
  </w:style>
  <w:style w:type="character" w:customStyle="1" w:styleId="257">
    <w:name w:val="公文正文 Char"/>
    <w:qFormat/>
    <w:uiPriority w:val="0"/>
    <w:rPr>
      <w:rFonts w:ascii="仿宋_GB2312" w:eastAsia="仿宋_GB2312"/>
      <w:kern w:val="2"/>
      <w:sz w:val="24"/>
      <w:szCs w:val="24"/>
      <w:lang w:val="en-US" w:eastAsia="zh-CN" w:bidi="ar-SA"/>
    </w:rPr>
  </w:style>
  <w:style w:type="character" w:customStyle="1" w:styleId="258">
    <w:name w:val="Footer Char"/>
    <w:qFormat/>
    <w:locked/>
    <w:uiPriority w:val="0"/>
    <w:rPr>
      <w:rFonts w:eastAsia="宋体"/>
      <w:kern w:val="2"/>
      <w:sz w:val="18"/>
      <w:lang w:val="en-US" w:eastAsia="zh-CN" w:bidi="ar-SA"/>
    </w:rPr>
  </w:style>
  <w:style w:type="character" w:customStyle="1" w:styleId="259">
    <w:name w:val="Char Char411"/>
    <w:qFormat/>
    <w:uiPriority w:val="0"/>
    <w:rPr>
      <w:rFonts w:eastAsia="宋体"/>
      <w:b/>
      <w:sz w:val="24"/>
      <w:lang w:val="en-GB" w:eastAsia="zh-CN" w:bidi="ar-SA"/>
    </w:rPr>
  </w:style>
  <w:style w:type="character" w:customStyle="1" w:styleId="260">
    <w:name w:val="Char Char911"/>
    <w:qFormat/>
    <w:uiPriority w:val="0"/>
    <w:rPr>
      <w:rFonts w:eastAsia="宋体"/>
      <w:kern w:val="2"/>
      <w:sz w:val="18"/>
      <w:szCs w:val="18"/>
      <w:lang w:val="en-US" w:eastAsia="zh-CN" w:bidi="ar-SA"/>
    </w:rPr>
  </w:style>
  <w:style w:type="character" w:customStyle="1" w:styleId="261">
    <w:name w:val="列出段落 Char"/>
    <w:qFormat/>
    <w:uiPriority w:val="0"/>
    <w:rPr>
      <w:rFonts w:eastAsia="楷体_GB2312" w:cs="Lucida Sans"/>
      <w:kern w:val="2"/>
      <w:sz w:val="24"/>
      <w:szCs w:val="24"/>
      <w:lang w:val="en-US" w:eastAsia="zh-CN" w:bidi="ar-SA"/>
    </w:rPr>
  </w:style>
  <w:style w:type="character" w:customStyle="1" w:styleId="262">
    <w:name w:val="gf正文1 Char"/>
    <w:qFormat/>
    <w:uiPriority w:val="0"/>
    <w:rPr>
      <w:rFonts w:ascii="宋体" w:hAnsi="宋体" w:eastAsia="宋体" w:cs="宋体"/>
      <w:kern w:val="2"/>
      <w:sz w:val="24"/>
      <w:szCs w:val="24"/>
      <w:lang w:val="en-US" w:eastAsia="zh-CN" w:bidi="ar-SA"/>
    </w:rPr>
  </w:style>
  <w:style w:type="character" w:customStyle="1" w:styleId="263">
    <w:name w:val="标书表格字体格式 Char"/>
    <w:qFormat/>
    <w:uiPriority w:val="0"/>
    <w:rPr>
      <w:kern w:val="2"/>
      <w:sz w:val="21"/>
      <w:szCs w:val="24"/>
      <w:lang w:bidi="ar-SA"/>
    </w:rPr>
  </w:style>
  <w:style w:type="character" w:customStyle="1" w:styleId="264">
    <w:name w:val="样式6 Char"/>
    <w:qFormat/>
    <w:uiPriority w:val="0"/>
    <w:rPr>
      <w:rFonts w:ascii="仿宋_GB2312" w:hAnsi="宋体" w:eastAsia="仿宋_GB2312"/>
      <w:b/>
      <w:bCs/>
      <w:kern w:val="2"/>
      <w:sz w:val="24"/>
      <w:szCs w:val="24"/>
      <w:lang w:val="en-US" w:eastAsia="zh-CN" w:bidi="ar-SA"/>
    </w:rPr>
  </w:style>
  <w:style w:type="character" w:customStyle="1" w:styleId="265">
    <w:name w:val="冯 Char"/>
    <w:link w:val="266"/>
    <w:qFormat/>
    <w:uiPriority w:val="0"/>
    <w:rPr>
      <w:rFonts w:ascii="宋体" w:hAnsi="宋体"/>
      <w:color w:val="000000"/>
      <w:sz w:val="24"/>
      <w:szCs w:val="24"/>
    </w:rPr>
  </w:style>
  <w:style w:type="paragraph" w:customStyle="1" w:styleId="266">
    <w:name w:val="冯"/>
    <w:basedOn w:val="1"/>
    <w:link w:val="265"/>
    <w:qFormat/>
    <w:uiPriority w:val="0"/>
    <w:pPr>
      <w:widowControl/>
      <w:spacing w:line="360" w:lineRule="auto"/>
      <w:ind w:firstLine="480" w:firstLineChars="200"/>
    </w:pPr>
    <w:rPr>
      <w:rFonts w:ascii="宋体" w:hAnsi="宋体"/>
      <w:color w:val="000000"/>
      <w:sz w:val="24"/>
      <w:szCs w:val="24"/>
    </w:rPr>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md"/>
    <w:basedOn w:val="69"/>
    <w:qFormat/>
    <w:uiPriority w:val="0"/>
    <w:rPr>
      <w:rFonts w:ascii="Arial" w:hAnsi="Arial" w:eastAsia="黑体" w:cs="Arial"/>
      <w:snapToGrid w:val="0"/>
      <w:kern w:val="0"/>
      <w:szCs w:val="21"/>
    </w:rPr>
  </w:style>
  <w:style w:type="character" w:customStyle="1" w:styleId="269">
    <w:name w:val="样式5 Char"/>
    <w:qFormat/>
    <w:uiPriority w:val="0"/>
    <w:rPr>
      <w:rFonts w:ascii="仿宋_GB2312" w:hAnsi="仿宋" w:eastAsia="仿宋_GB2312"/>
      <w:kern w:val="2"/>
      <w:sz w:val="24"/>
      <w:szCs w:val="24"/>
    </w:rPr>
  </w:style>
  <w:style w:type="character" w:customStyle="1" w:styleId="270">
    <w:name w:val="表格 Char Char"/>
    <w:qFormat/>
    <w:uiPriority w:val="0"/>
    <w:rPr>
      <w:rFonts w:ascii="宋体" w:hAnsi="宋体" w:eastAsia="宋体"/>
      <w:lang w:bidi="ar-SA"/>
    </w:rPr>
  </w:style>
  <w:style w:type="character" w:customStyle="1" w:styleId="271">
    <w:name w:val="font12gray1"/>
    <w:qFormat/>
    <w:uiPriority w:val="0"/>
    <w:rPr>
      <w:rFonts w:ascii="仿宋_GB2312" w:eastAsia="微软雅黑"/>
      <w:b/>
      <w:spacing w:val="300"/>
      <w:kern w:val="2"/>
      <w:sz w:val="18"/>
      <w:szCs w:val="18"/>
      <w:lang w:val="en-US" w:eastAsia="zh-CN" w:bidi="ar-SA"/>
    </w:rPr>
  </w:style>
  <w:style w:type="character" w:customStyle="1" w:styleId="272">
    <w:name w:val="txt"/>
    <w:qFormat/>
    <w:uiPriority w:val="0"/>
    <w:rPr>
      <w:rFonts w:ascii="仿宋_GB2312" w:eastAsia="微软雅黑"/>
      <w:b/>
      <w:kern w:val="2"/>
      <w:sz w:val="32"/>
      <w:szCs w:val="32"/>
      <w:lang w:val="en-US" w:eastAsia="zh-CN" w:bidi="ar-SA"/>
    </w:rPr>
  </w:style>
  <w:style w:type="character" w:customStyle="1" w:styleId="273">
    <w:name w:val="tw4winJump"/>
    <w:qFormat/>
    <w:uiPriority w:val="0"/>
    <w:rPr>
      <w:rFonts w:ascii="Courier New" w:hAnsi="Courier New" w:cs="Courier New"/>
      <w:color w:val="008080"/>
      <w:lang w:val="en-US" w:eastAsia="zh-CN"/>
    </w:rPr>
  </w:style>
  <w:style w:type="character" w:customStyle="1" w:styleId="274">
    <w:name w:val="Item List Char"/>
    <w:link w:val="275"/>
    <w:qFormat/>
    <w:uiPriority w:val="0"/>
    <w:rPr>
      <w:rFonts w:ascii="Arial"/>
      <w:bCs/>
      <w:szCs w:val="21"/>
    </w:rPr>
  </w:style>
  <w:style w:type="paragraph" w:customStyle="1" w:styleId="275">
    <w:name w:val="Item List"/>
    <w:link w:val="274"/>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276">
    <w:name w:val="Char Char1211"/>
    <w:qFormat/>
    <w:uiPriority w:val="0"/>
    <w:rPr>
      <w:rFonts w:ascii="仿宋_GB2312" w:eastAsia="仿宋_GB2312"/>
      <w:b/>
      <w:bCs/>
      <w:kern w:val="2"/>
      <w:sz w:val="24"/>
      <w:szCs w:val="24"/>
      <w:lang w:val="zh-CN" w:eastAsia="zh-CN" w:bidi="ar-SA"/>
    </w:rPr>
  </w:style>
  <w:style w:type="character" w:customStyle="1" w:styleId="277">
    <w:name w:val="签名 Char1"/>
    <w:basedOn w:val="69"/>
    <w:qFormat/>
    <w:uiPriority w:val="99"/>
    <w:rPr>
      <w:rFonts w:ascii="Times New Roman" w:hAnsi="Times New Roman" w:eastAsia="宋体" w:cs="Times New Roman"/>
      <w:szCs w:val="24"/>
    </w:rPr>
  </w:style>
  <w:style w:type="character" w:customStyle="1" w:styleId="278">
    <w:name w:val="HTML 预设格式 Char1"/>
    <w:basedOn w:val="69"/>
    <w:qFormat/>
    <w:uiPriority w:val="99"/>
    <w:rPr>
      <w:rFonts w:ascii="Courier New" w:hAnsi="Courier New" w:eastAsia="宋体" w:cs="Courier New"/>
      <w:sz w:val="20"/>
      <w:szCs w:val="20"/>
    </w:rPr>
  </w:style>
  <w:style w:type="character" w:customStyle="1" w:styleId="279">
    <w:name w:val="正文文本 2 Char1"/>
    <w:basedOn w:val="69"/>
    <w:link w:val="55"/>
    <w:qFormat/>
    <w:uiPriority w:val="0"/>
    <w:rPr>
      <w:rFonts w:ascii="Times New Roman" w:hAnsi="Times New Roman" w:eastAsia="宋体" w:cs="Times New Roman"/>
      <w:szCs w:val="24"/>
      <w:lang w:val="zh-CN"/>
    </w:rPr>
  </w:style>
  <w:style w:type="character" w:customStyle="1" w:styleId="280">
    <w:name w:val="副标题 Char2"/>
    <w:basedOn w:val="69"/>
    <w:qFormat/>
    <w:uiPriority w:val="0"/>
    <w:rPr>
      <w:rFonts w:eastAsia="宋体" w:asciiTheme="majorHAnsi" w:hAnsiTheme="majorHAnsi" w:cstheme="majorBidi"/>
      <w:b/>
      <w:bCs/>
      <w:kern w:val="28"/>
      <w:sz w:val="32"/>
      <w:szCs w:val="32"/>
    </w:rPr>
  </w:style>
  <w:style w:type="character" w:customStyle="1" w:styleId="281">
    <w:name w:val="纯文本 Char1"/>
    <w:basedOn w:val="69"/>
    <w:link w:val="282"/>
    <w:qFormat/>
    <w:uiPriority w:val="0"/>
    <w:rPr>
      <w:rFonts w:ascii="宋体" w:hAnsi="Courier New" w:eastAsia="宋体" w:cs="Courier New"/>
      <w:szCs w:val="21"/>
    </w:rPr>
  </w:style>
  <w:style w:type="paragraph" w:customStyle="1" w:styleId="282">
    <w:name w:val="纯文本1"/>
    <w:basedOn w:val="1"/>
    <w:link w:val="281"/>
    <w:qFormat/>
    <w:uiPriority w:val="0"/>
    <w:rPr>
      <w:rFonts w:ascii="宋体" w:hAnsi="Courier New" w:eastAsia="宋体" w:cs="Courier New"/>
      <w:szCs w:val="21"/>
    </w:rPr>
  </w:style>
  <w:style w:type="character" w:customStyle="1" w:styleId="283">
    <w:name w:val="HTML 地址 Char1"/>
    <w:basedOn w:val="69"/>
    <w:qFormat/>
    <w:uiPriority w:val="99"/>
    <w:rPr>
      <w:rFonts w:ascii="Times New Roman" w:hAnsi="Times New Roman" w:eastAsia="宋体" w:cs="Times New Roman"/>
      <w:i/>
      <w:iCs/>
      <w:szCs w:val="24"/>
    </w:rPr>
  </w:style>
  <w:style w:type="character" w:customStyle="1" w:styleId="284">
    <w:name w:val="正文文本缩进 3 Char1"/>
    <w:basedOn w:val="69"/>
    <w:semiHidden/>
    <w:qFormat/>
    <w:uiPriority w:val="99"/>
    <w:rPr>
      <w:rFonts w:ascii="Times New Roman" w:hAnsi="Times New Roman" w:eastAsia="宋体" w:cs="Times New Roman"/>
      <w:sz w:val="16"/>
      <w:szCs w:val="16"/>
    </w:rPr>
  </w:style>
  <w:style w:type="character" w:customStyle="1" w:styleId="285">
    <w:name w:val="正文文本 3 Char1"/>
    <w:basedOn w:val="69"/>
    <w:semiHidden/>
    <w:qFormat/>
    <w:uiPriority w:val="99"/>
    <w:rPr>
      <w:rFonts w:ascii="Times New Roman" w:hAnsi="Times New Roman" w:eastAsia="宋体" w:cs="Times New Roman"/>
      <w:sz w:val="16"/>
      <w:szCs w:val="16"/>
    </w:rPr>
  </w:style>
  <w:style w:type="character" w:customStyle="1" w:styleId="286">
    <w:name w:val="脚注文本 Char1"/>
    <w:basedOn w:val="69"/>
    <w:qFormat/>
    <w:uiPriority w:val="99"/>
    <w:rPr>
      <w:rFonts w:ascii="Times New Roman" w:hAnsi="Times New Roman" w:eastAsia="宋体" w:cs="Times New Roman"/>
      <w:sz w:val="18"/>
      <w:szCs w:val="18"/>
    </w:rPr>
  </w:style>
  <w:style w:type="character" w:customStyle="1" w:styleId="287">
    <w:name w:val="正文文本缩进 Char2"/>
    <w:basedOn w:val="69"/>
    <w:link w:val="2"/>
    <w:qFormat/>
    <w:uiPriority w:val="0"/>
    <w:rPr>
      <w:rFonts w:ascii="Times New Roman" w:hAnsi="Times New Roman" w:eastAsia="宋体" w:cs="Times New Roman"/>
      <w:szCs w:val="24"/>
    </w:rPr>
  </w:style>
  <w:style w:type="character" w:customStyle="1" w:styleId="288">
    <w:name w:val="正文首行缩进 2 Char1"/>
    <w:basedOn w:val="287"/>
    <w:qFormat/>
    <w:uiPriority w:val="99"/>
    <w:rPr>
      <w:rFonts w:ascii="Times New Roman" w:hAnsi="Times New Roman" w:eastAsia="宋体" w:cs="Times New Roman"/>
      <w:szCs w:val="24"/>
    </w:rPr>
  </w:style>
  <w:style w:type="character" w:customStyle="1" w:styleId="289">
    <w:name w:val="批注文字 Char2"/>
    <w:basedOn w:val="69"/>
    <w:link w:val="20"/>
    <w:qFormat/>
    <w:uiPriority w:val="99"/>
    <w:rPr>
      <w:rFonts w:ascii="Times New Roman" w:hAnsi="Times New Roman" w:eastAsia="宋体" w:cs="Times New Roman"/>
      <w:szCs w:val="24"/>
    </w:rPr>
  </w:style>
  <w:style w:type="character" w:customStyle="1" w:styleId="290">
    <w:name w:val="批注主题 Char1"/>
    <w:basedOn w:val="289"/>
    <w:link w:val="60"/>
    <w:qFormat/>
    <w:uiPriority w:val="0"/>
    <w:rPr>
      <w:rFonts w:ascii="Times New Roman" w:hAnsi="Times New Roman" w:eastAsia="宋体" w:cs="Times New Roman"/>
      <w:b/>
      <w:bCs/>
      <w:szCs w:val="24"/>
      <w:lang w:val="zh-CN"/>
    </w:rPr>
  </w:style>
  <w:style w:type="character" w:customStyle="1" w:styleId="291">
    <w:name w:val="日期 Char1"/>
    <w:basedOn w:val="69"/>
    <w:semiHidden/>
    <w:qFormat/>
    <w:uiPriority w:val="99"/>
    <w:rPr>
      <w:rFonts w:ascii="Times New Roman" w:hAnsi="Times New Roman" w:eastAsia="宋体" w:cs="Times New Roman"/>
      <w:szCs w:val="24"/>
    </w:rPr>
  </w:style>
  <w:style w:type="character" w:customStyle="1" w:styleId="292">
    <w:name w:val="称呼 Char1"/>
    <w:basedOn w:val="69"/>
    <w:qFormat/>
    <w:uiPriority w:val="99"/>
    <w:rPr>
      <w:rFonts w:ascii="Times New Roman" w:hAnsi="Times New Roman" w:eastAsia="宋体" w:cs="Times New Roman"/>
      <w:szCs w:val="24"/>
    </w:rPr>
  </w:style>
  <w:style w:type="character" w:customStyle="1" w:styleId="293">
    <w:name w:val="正文文本 Char2"/>
    <w:basedOn w:val="69"/>
    <w:semiHidden/>
    <w:qFormat/>
    <w:uiPriority w:val="99"/>
    <w:rPr>
      <w:rFonts w:ascii="Times New Roman" w:hAnsi="Times New Roman" w:eastAsia="宋体" w:cs="Times New Roman"/>
      <w:szCs w:val="24"/>
    </w:rPr>
  </w:style>
  <w:style w:type="character" w:customStyle="1" w:styleId="294">
    <w:name w:val="文档结构图 Char1"/>
    <w:basedOn w:val="69"/>
    <w:link w:val="19"/>
    <w:qFormat/>
    <w:uiPriority w:val="0"/>
    <w:rPr>
      <w:rFonts w:ascii="Times New Roman" w:hAnsi="Times New Roman" w:eastAsia="宋体" w:cs="Times New Roman"/>
      <w:szCs w:val="24"/>
      <w:shd w:val="clear" w:color="auto" w:fill="000080"/>
      <w:lang w:val="zh-CN"/>
    </w:rPr>
  </w:style>
  <w:style w:type="character" w:customStyle="1" w:styleId="295">
    <w:name w:val="标题 Char1"/>
    <w:basedOn w:val="69"/>
    <w:link w:val="59"/>
    <w:qFormat/>
    <w:uiPriority w:val="0"/>
    <w:rPr>
      <w:rFonts w:ascii="Times New Roman" w:hAnsi="Times New Roman" w:eastAsia="宋体" w:cs="Times New Roman"/>
      <w:b/>
      <w:kern w:val="0"/>
      <w:sz w:val="24"/>
      <w:szCs w:val="20"/>
      <w:lang w:val="en-GB"/>
    </w:rPr>
  </w:style>
  <w:style w:type="character" w:customStyle="1" w:styleId="296">
    <w:name w:val="正文首行缩进 Char1"/>
    <w:basedOn w:val="293"/>
    <w:semiHidden/>
    <w:qFormat/>
    <w:uiPriority w:val="99"/>
    <w:rPr>
      <w:rFonts w:ascii="Times New Roman" w:hAnsi="Times New Roman" w:eastAsia="宋体" w:cs="Times New Roman"/>
      <w:szCs w:val="24"/>
    </w:rPr>
  </w:style>
  <w:style w:type="character" w:customStyle="1" w:styleId="297">
    <w:name w:val="批注框文本 Char1"/>
    <w:basedOn w:val="69"/>
    <w:semiHidden/>
    <w:qFormat/>
    <w:uiPriority w:val="99"/>
    <w:rPr>
      <w:rFonts w:ascii="Times New Roman" w:hAnsi="Times New Roman" w:eastAsia="宋体" w:cs="Times New Roman"/>
      <w:sz w:val="18"/>
      <w:szCs w:val="18"/>
    </w:rPr>
  </w:style>
  <w:style w:type="character" w:customStyle="1" w:styleId="298">
    <w:name w:val="正文文本缩进 2 Char1"/>
    <w:basedOn w:val="69"/>
    <w:semiHidden/>
    <w:qFormat/>
    <w:uiPriority w:val="99"/>
    <w:rPr>
      <w:rFonts w:ascii="Times New Roman" w:hAnsi="Times New Roman" w:eastAsia="宋体" w:cs="Times New Roman"/>
      <w:szCs w:val="24"/>
    </w:rPr>
  </w:style>
  <w:style w:type="paragraph" w:customStyle="1" w:styleId="299">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30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301">
    <w:name w:val="4"/>
    <w:basedOn w:val="1"/>
    <w:next w:val="37"/>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302">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03">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304">
    <w:name w:val="标准有序列表（L1）"/>
    <w:basedOn w:val="3"/>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05">
    <w:name w:val="默认段落样式"/>
    <w:basedOn w:val="232"/>
    <w:qFormat/>
    <w:uiPriority w:val="0"/>
    <w:pPr>
      <w:spacing w:before="0"/>
      <w:ind w:firstLine="480"/>
      <w:outlineLvl w:val="2"/>
    </w:pPr>
    <w:rPr>
      <w:rFonts w:ascii="仿宋_GB2312" w:hAnsi="宋体" w:eastAsia="仿宋_GB2312"/>
      <w:color w:val="000000"/>
      <w:szCs w:val="24"/>
    </w:rPr>
  </w:style>
  <w:style w:type="paragraph" w:customStyle="1" w:styleId="306">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307">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30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09">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310">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31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12">
    <w:name w:val="文章标题"/>
    <w:next w:val="31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13">
    <w:name w:val="封面公司名"/>
    <w:qFormat/>
    <w:uiPriority w:val="0"/>
    <w:pPr>
      <w:jc w:val="center"/>
    </w:pPr>
    <w:rPr>
      <w:rFonts w:ascii="Arial" w:hAnsi="Arial" w:eastAsia="楷体_GB2312" w:cs="宋体"/>
      <w:bCs/>
      <w:kern w:val="2"/>
      <w:sz w:val="28"/>
      <w:lang w:val="en-US" w:eastAsia="zh-CN" w:bidi="ar-SA"/>
    </w:rPr>
  </w:style>
  <w:style w:type="paragraph" w:customStyle="1" w:styleId="31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5">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316">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317">
    <w:name w:val="模板普通正文"/>
    <w:basedOn w:val="2"/>
    <w:qFormat/>
    <w:uiPriority w:val="0"/>
    <w:pPr>
      <w:adjustRightInd/>
      <w:spacing w:before="156" w:beforeLines="50" w:after="10" w:line="360" w:lineRule="auto"/>
      <w:ind w:left="0" w:leftChars="0" w:firstLine="175" w:firstLineChars="175"/>
      <w:jc w:val="left"/>
    </w:pPr>
    <w:rPr>
      <w:sz w:val="24"/>
      <w:lang w:val="zh-CN"/>
    </w:rPr>
  </w:style>
  <w:style w:type="paragraph" w:customStyle="1" w:styleId="318">
    <w:name w:val="trademark"/>
    <w:qFormat/>
    <w:uiPriority w:val="0"/>
    <w:pPr>
      <w:spacing w:after="60"/>
    </w:pPr>
    <w:rPr>
      <w:rFonts w:ascii="Futura Bk" w:hAnsi="Futura Bk" w:eastAsia="宋体" w:cs="Times New Roman"/>
      <w:sz w:val="15"/>
      <w:lang w:val="en-US" w:eastAsia="en-US" w:bidi="ar-SA"/>
    </w:rPr>
  </w:style>
  <w:style w:type="paragraph" w:customStyle="1" w:styleId="31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20">
    <w:name w:val="Char3"/>
    <w:basedOn w:val="1"/>
    <w:qFormat/>
    <w:uiPriority w:val="0"/>
    <w:rPr>
      <w:rFonts w:ascii="仿宋_GB2312" w:hAnsi="Times New Roman" w:eastAsia="仿宋_GB2312" w:cs="Times New Roman"/>
      <w:b/>
      <w:sz w:val="32"/>
      <w:szCs w:val="32"/>
    </w:rPr>
  </w:style>
  <w:style w:type="paragraph" w:customStyle="1" w:styleId="321">
    <w:name w:val="默认段落字体 Para Char"/>
    <w:basedOn w:val="1"/>
    <w:qFormat/>
    <w:uiPriority w:val="0"/>
    <w:pPr>
      <w:adjustRightInd w:val="0"/>
    </w:pPr>
    <w:rPr>
      <w:rFonts w:ascii="Tahoma" w:hAnsi="Tahoma" w:eastAsia="宋体" w:cs="Times New Roman"/>
      <w:sz w:val="24"/>
      <w:szCs w:val="20"/>
    </w:rPr>
  </w:style>
  <w:style w:type="paragraph" w:customStyle="1" w:styleId="322">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323">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32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325">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326">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327">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328">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29">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30">
    <w:name w:val="正文缩进1"/>
    <w:basedOn w:val="1"/>
    <w:next w:val="2"/>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331">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332">
    <w:name w:val="Char311"/>
    <w:basedOn w:val="1"/>
    <w:qFormat/>
    <w:uiPriority w:val="0"/>
    <w:pPr>
      <w:ind w:firstLine="200" w:firstLineChars="200"/>
    </w:pPr>
    <w:rPr>
      <w:rFonts w:ascii="Tahoma" w:hAnsi="Tahoma" w:eastAsia="宋体" w:cs="Times New Roman"/>
      <w:sz w:val="24"/>
      <w:szCs w:val="20"/>
    </w:rPr>
  </w:style>
  <w:style w:type="paragraph" w:customStyle="1" w:styleId="3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34">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3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6">
    <w:name w:val="彩色列表 - 强调文字颜色 11"/>
    <w:basedOn w:val="1"/>
    <w:qFormat/>
    <w:uiPriority w:val="0"/>
    <w:pPr>
      <w:ind w:firstLine="420" w:firstLineChars="200"/>
    </w:pPr>
    <w:rPr>
      <w:rFonts w:ascii="Calibri" w:hAnsi="Calibri" w:eastAsia="宋体" w:cs="Times New Roman"/>
    </w:rPr>
  </w:style>
  <w:style w:type="paragraph" w:customStyle="1" w:styleId="337">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338">
    <w:name w:val="MM Topic 3"/>
    <w:basedOn w:val="6"/>
    <w:qFormat/>
    <w:uiPriority w:val="0"/>
    <w:pPr>
      <w:numPr>
        <w:numId w:val="5"/>
      </w:numPr>
      <w:tabs>
        <w:tab w:val="left" w:pos="840"/>
        <w:tab w:val="left" w:pos="1680"/>
      </w:tabs>
      <w:adjustRightInd/>
    </w:pPr>
  </w:style>
  <w:style w:type="paragraph" w:customStyle="1" w:styleId="339">
    <w:name w:val="Normal0"/>
    <w:qFormat/>
    <w:uiPriority w:val="0"/>
    <w:rPr>
      <w:rFonts w:ascii="Times New Roman" w:hAnsi="Times New Roman" w:eastAsia="宋体" w:cs="Times New Roman"/>
      <w:lang w:val="en-US" w:eastAsia="en-US" w:bidi="ar-SA"/>
    </w:rPr>
  </w:style>
  <w:style w:type="paragraph" w:customStyle="1" w:styleId="340">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341">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342">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3">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34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5">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346">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347">
    <w:name w:val="Char2"/>
    <w:basedOn w:val="1"/>
    <w:qFormat/>
    <w:uiPriority w:val="0"/>
    <w:pPr>
      <w:adjustRightInd w:val="0"/>
    </w:pPr>
    <w:rPr>
      <w:rFonts w:ascii="仿宋_GB2312" w:hAnsi="Times New Roman" w:eastAsia="仿宋_GB2312" w:cs="Times New Roman"/>
      <w:b/>
      <w:sz w:val="32"/>
      <w:szCs w:val="32"/>
    </w:rPr>
  </w:style>
  <w:style w:type="paragraph" w:customStyle="1" w:styleId="348">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349">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350">
    <w:name w:val="样式 正文文本缩进 2 + 仿宋_GB2312 黑色 行距: 1.5 倍行距"/>
    <w:basedOn w:val="37"/>
    <w:qFormat/>
    <w:uiPriority w:val="0"/>
    <w:pPr>
      <w:adjustRightInd/>
      <w:ind w:firstLine="560" w:firstLineChars="200"/>
      <w:textAlignment w:val="auto"/>
    </w:pPr>
    <w:rPr>
      <w:rFonts w:hAnsi="宋体" w:cs="宋体"/>
      <w:color w:val="000000"/>
      <w:sz w:val="24"/>
    </w:rPr>
  </w:style>
  <w:style w:type="paragraph" w:customStyle="1" w:styleId="351">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352">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353">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354">
    <w:name w:val="Char Char Char"/>
    <w:basedOn w:val="1"/>
    <w:qFormat/>
    <w:uiPriority w:val="0"/>
    <w:pPr>
      <w:adjustRightInd w:val="0"/>
    </w:pPr>
    <w:rPr>
      <w:rFonts w:ascii="Tahoma" w:hAnsi="Tahoma" w:eastAsia="宋体" w:cs="Times New Roman"/>
      <w:sz w:val="24"/>
      <w:szCs w:val="20"/>
    </w:rPr>
  </w:style>
  <w:style w:type="paragraph" w:customStyle="1" w:styleId="355">
    <w:name w:val="MM Topic 4"/>
    <w:basedOn w:val="7"/>
    <w:qFormat/>
    <w:uiPriority w:val="0"/>
    <w:pPr>
      <w:numPr>
        <w:numId w:val="5"/>
      </w:numPr>
      <w:tabs>
        <w:tab w:val="left" w:pos="840"/>
        <w:tab w:val="left" w:pos="2100"/>
        <w:tab w:val="clear" w:pos="864"/>
      </w:tabs>
      <w:adjustRightInd/>
    </w:pPr>
    <w:rPr>
      <w:lang w:val="en-US"/>
    </w:rPr>
  </w:style>
  <w:style w:type="paragraph" w:customStyle="1" w:styleId="356">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357">
    <w:name w:val="MM Topic 2"/>
    <w:basedOn w:val="5"/>
    <w:qFormat/>
    <w:uiPriority w:val="0"/>
    <w:pPr>
      <w:numPr>
        <w:ilvl w:val="1"/>
        <w:numId w:val="5"/>
      </w:numPr>
    </w:pPr>
    <w:rPr>
      <w:rFonts w:ascii="Arial" w:hAnsi="Arial" w:eastAsia="黑体"/>
      <w:lang w:val="en-US"/>
    </w:rPr>
  </w:style>
  <w:style w:type="paragraph" w:customStyle="1" w:styleId="358">
    <w:name w:val="表格标题2"/>
    <w:basedOn w:val="359"/>
    <w:qFormat/>
    <w:uiPriority w:val="0"/>
    <w:rPr>
      <w:b/>
    </w:rPr>
  </w:style>
  <w:style w:type="paragraph" w:customStyle="1" w:styleId="359">
    <w:name w:val="表格内文"/>
    <w:basedOn w:val="1"/>
    <w:qFormat/>
    <w:uiPriority w:val="0"/>
    <w:pPr>
      <w:spacing w:line="360" w:lineRule="auto"/>
    </w:pPr>
    <w:rPr>
      <w:rFonts w:ascii="宋体" w:hAnsi="宋体" w:eastAsia="宋体" w:cs="宋体"/>
      <w:color w:val="000000"/>
      <w:szCs w:val="20"/>
    </w:rPr>
  </w:style>
  <w:style w:type="paragraph" w:customStyle="1" w:styleId="360">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361">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362">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363">
    <w:name w:val="Char Char Char Char Char Char Char Char Char Char Char1 Char"/>
    <w:basedOn w:val="1"/>
    <w:qFormat/>
    <w:uiPriority w:val="0"/>
    <w:rPr>
      <w:rFonts w:ascii="Tahoma" w:hAnsi="Tahoma" w:eastAsia="宋体" w:cs="Times New Roman"/>
      <w:sz w:val="24"/>
      <w:szCs w:val="24"/>
    </w:rPr>
  </w:style>
  <w:style w:type="paragraph" w:customStyle="1" w:styleId="364">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5">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366">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67">
    <w:name w:val="Char"/>
    <w:basedOn w:val="1"/>
    <w:qFormat/>
    <w:uiPriority w:val="0"/>
    <w:pPr>
      <w:adjustRightInd w:val="0"/>
    </w:pPr>
    <w:rPr>
      <w:rFonts w:ascii="仿宋_GB2312" w:hAnsi="Times New Roman" w:eastAsia="仿宋_GB2312" w:cs="Times New Roman"/>
      <w:b/>
      <w:sz w:val="32"/>
      <w:szCs w:val="32"/>
    </w:rPr>
  </w:style>
  <w:style w:type="paragraph" w:customStyle="1" w:styleId="368">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369">
    <w:name w:val="正文（首行缩进）"/>
    <w:basedOn w:val="2"/>
    <w:qFormat/>
    <w:uiPriority w:val="0"/>
    <w:pPr>
      <w:widowControl/>
      <w:tabs>
        <w:tab w:val="left" w:pos="840"/>
      </w:tabs>
      <w:overflowPunct w:val="0"/>
      <w:autoSpaceDE w:val="0"/>
      <w:autoSpaceDN w:val="0"/>
      <w:spacing w:before="156" w:beforeLines="50" w:line="400" w:lineRule="exact"/>
      <w:ind w:left="200" w:firstLine="200" w:firstLineChars="200"/>
      <w:jc w:val="left"/>
      <w:textAlignment w:val="baseline"/>
    </w:pPr>
    <w:rPr>
      <w:spacing w:val="10"/>
      <w:kern w:val="0"/>
      <w:sz w:val="24"/>
      <w:szCs w:val="20"/>
      <w:lang w:val="zh-CN"/>
    </w:rPr>
  </w:style>
  <w:style w:type="paragraph" w:customStyle="1" w:styleId="370">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71">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372">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37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74">
    <w:name w:val="正文1"/>
    <w:basedOn w:val="32"/>
    <w:link w:val="878"/>
    <w:qFormat/>
    <w:uiPriority w:val="0"/>
    <w:pPr>
      <w:ind w:left="0" w:leftChars="0" w:firstLine="480" w:firstLineChars="200"/>
    </w:pPr>
    <w:rPr>
      <w:rFonts w:ascii="仿宋_GB2312" w:hAnsi="Courier New" w:eastAsia="仿宋_GB2312"/>
      <w:kern w:val="28"/>
      <w:sz w:val="24"/>
    </w:rPr>
  </w:style>
  <w:style w:type="paragraph" w:customStyle="1" w:styleId="37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376">
    <w:name w:val="段"/>
    <w:link w:val="87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8">
    <w:name w:val="样式 正文文本缩进 + 左侧:  2 字符 首行缩进:  2 字符"/>
    <w:basedOn w:val="2"/>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lang w:val="zh-CN"/>
    </w:rPr>
  </w:style>
  <w:style w:type="paragraph" w:customStyle="1" w:styleId="379">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380">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381">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382">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383">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84">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85">
    <w:name w:val="公文正文"/>
    <w:basedOn w:val="1"/>
    <w:link w:val="784"/>
    <w:qFormat/>
    <w:uiPriority w:val="0"/>
    <w:pPr>
      <w:spacing w:before="156" w:line="360" w:lineRule="auto"/>
      <w:ind w:firstLine="360" w:firstLineChars="200"/>
    </w:pPr>
    <w:rPr>
      <w:rFonts w:ascii="仿宋_GB2312" w:hAnsi="Times New Roman" w:eastAsia="仿宋_GB2312" w:cs="Times New Roman"/>
      <w:sz w:val="24"/>
      <w:szCs w:val="24"/>
      <w:lang w:val="zh-CN"/>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388">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389">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390">
    <w:name w:val="列出段落2"/>
    <w:basedOn w:val="1"/>
    <w:qFormat/>
    <w:uiPriority w:val="0"/>
    <w:pPr>
      <w:ind w:firstLine="420" w:firstLineChars="200"/>
    </w:pPr>
    <w:rPr>
      <w:rFonts w:ascii="宋体" w:hAnsi="宋体" w:eastAsia="宋体" w:cs="Times New Roman"/>
      <w:sz w:val="24"/>
      <w:szCs w:val="24"/>
    </w:rPr>
  </w:style>
  <w:style w:type="paragraph" w:customStyle="1" w:styleId="391">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392">
    <w:name w:val="Char Char1 Char"/>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393">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39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95">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39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397">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398">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399">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40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01">
    <w:name w:val="表文字"/>
    <w:qFormat/>
    <w:uiPriority w:val="0"/>
    <w:rPr>
      <w:rFonts w:ascii="宋体" w:hAnsi="Times New Roman" w:eastAsia="宋体" w:cs="Times New Roman"/>
      <w:kern w:val="2"/>
      <w:lang w:val="en-US" w:eastAsia="zh-CN" w:bidi="ar-SA"/>
    </w:rPr>
  </w:style>
  <w:style w:type="paragraph" w:customStyle="1" w:styleId="402">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03">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404">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405">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406">
    <w:name w:val="数字标题5"/>
    <w:basedOn w:val="8"/>
    <w:next w:val="1"/>
    <w:qFormat/>
    <w:uiPriority w:val="0"/>
    <w:pPr>
      <w:numPr>
        <w:numId w:val="6"/>
      </w:numPr>
      <w:tabs>
        <w:tab w:val="left" w:pos="480"/>
        <w:tab w:val="left" w:pos="1080"/>
      </w:tabs>
    </w:pPr>
  </w:style>
  <w:style w:type="paragraph" w:customStyle="1" w:styleId="407">
    <w:name w:val="Char1111"/>
    <w:basedOn w:val="1"/>
    <w:qFormat/>
    <w:uiPriority w:val="0"/>
    <w:pPr>
      <w:adjustRightInd w:val="0"/>
    </w:pPr>
    <w:rPr>
      <w:rFonts w:ascii="仿宋_GB2312" w:hAnsi="Times New Roman" w:eastAsia="仿宋_GB2312" w:cs="Times New Roman"/>
      <w:b/>
      <w:sz w:val="32"/>
      <w:szCs w:val="32"/>
    </w:rPr>
  </w:style>
  <w:style w:type="paragraph" w:customStyle="1" w:styleId="408">
    <w:name w:val="规范正文"/>
    <w:basedOn w:val="1"/>
    <w:qFormat/>
    <w:uiPriority w:val="0"/>
    <w:pPr>
      <w:tabs>
        <w:tab w:val="left" w:pos="840"/>
      </w:tabs>
      <w:adjustRightInd w:val="0"/>
      <w:spacing w:before="156" w:beforeLines="50" w:line="360" w:lineRule="auto"/>
      <w:ind w:left="840" w:hanging="420"/>
      <w:textAlignment w:val="baseline"/>
    </w:pPr>
    <w:rPr>
      <w:rFonts w:ascii="Times New Roman" w:hAnsi="Times New Roman" w:eastAsia="宋体" w:cs="Times New Roman"/>
      <w:szCs w:val="20"/>
    </w:rPr>
  </w:style>
  <w:style w:type="paragraph" w:customStyle="1" w:styleId="40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410">
    <w:name w:val="加粗正文"/>
    <w:basedOn w:val="1"/>
    <w:qFormat/>
    <w:uiPriority w:val="0"/>
    <w:pPr>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411">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12">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413">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414">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415">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416">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417">
    <w:name w:val="Char1 Char Char Char3"/>
    <w:basedOn w:val="1"/>
    <w:qFormat/>
    <w:uiPriority w:val="0"/>
    <w:pPr>
      <w:ind w:firstLine="200" w:firstLineChars="200"/>
    </w:pPr>
    <w:rPr>
      <w:rFonts w:ascii="Tahoma" w:hAnsi="Tahoma" w:eastAsia="宋体" w:cs="Times New Roman"/>
      <w:sz w:val="24"/>
      <w:szCs w:val="20"/>
    </w:rPr>
  </w:style>
  <w:style w:type="paragraph" w:customStyle="1" w:styleId="41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19">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20">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421">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422">
    <w:name w:val="MM Topic 5"/>
    <w:basedOn w:val="8"/>
    <w:qFormat/>
    <w:uiPriority w:val="0"/>
    <w:pPr>
      <w:numPr>
        <w:numId w:val="5"/>
      </w:numPr>
      <w:tabs>
        <w:tab w:val="left" w:pos="840"/>
        <w:tab w:val="left" w:pos="2520"/>
      </w:tabs>
      <w:adjustRightInd/>
    </w:pPr>
  </w:style>
  <w:style w:type="paragraph" w:customStyle="1" w:styleId="4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24">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25">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426">
    <w:name w:val="Char1 Char Char Char2"/>
    <w:basedOn w:val="1"/>
    <w:qFormat/>
    <w:uiPriority w:val="0"/>
    <w:pPr>
      <w:ind w:firstLine="200" w:firstLineChars="200"/>
    </w:pPr>
    <w:rPr>
      <w:rFonts w:ascii="Tahoma" w:hAnsi="Tahoma" w:eastAsia="宋体" w:cs="Times New Roman"/>
      <w:sz w:val="24"/>
      <w:szCs w:val="20"/>
    </w:rPr>
  </w:style>
  <w:style w:type="paragraph" w:customStyle="1" w:styleId="427">
    <w:name w:val="列出段落1"/>
    <w:basedOn w:val="1"/>
    <w:qFormat/>
    <w:uiPriority w:val="0"/>
    <w:pPr>
      <w:spacing w:line="360" w:lineRule="auto"/>
      <w:ind w:firstLine="420" w:firstLineChars="200"/>
    </w:pPr>
    <w:rPr>
      <w:rFonts w:ascii="Calibri" w:hAnsi="Calibri" w:eastAsia="宋体" w:cs="Times New Roman"/>
      <w:sz w:val="24"/>
    </w:rPr>
  </w:style>
  <w:style w:type="paragraph" w:customStyle="1" w:styleId="428">
    <w:name w:val="Char1 Char Char Char"/>
    <w:basedOn w:val="1"/>
    <w:qFormat/>
    <w:uiPriority w:val="0"/>
    <w:pPr>
      <w:adjustRightInd w:val="0"/>
    </w:pPr>
    <w:rPr>
      <w:rFonts w:ascii="Tahoma" w:hAnsi="Tahoma" w:eastAsia="宋体" w:cs="Times New Roman"/>
      <w:sz w:val="24"/>
      <w:szCs w:val="20"/>
    </w:rPr>
  </w:style>
  <w:style w:type="paragraph" w:customStyle="1" w:styleId="429">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30">
    <w:name w:val="正文3"/>
    <w:basedOn w:val="1"/>
    <w:qFormat/>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431">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432">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433">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434">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43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36">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437">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38">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39">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440">
    <w:name w:val="标书标题2"/>
    <w:basedOn w:val="5"/>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41">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4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43">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44">
    <w:name w:val="数字标题6"/>
    <w:basedOn w:val="9"/>
    <w:next w:val="1"/>
    <w:qFormat/>
    <w:uiPriority w:val="0"/>
    <w:pPr>
      <w:numPr>
        <w:numId w:val="6"/>
      </w:numPr>
      <w:tabs>
        <w:tab w:val="left" w:pos="480"/>
        <w:tab w:val="left" w:pos="1080"/>
      </w:tabs>
    </w:pPr>
    <w:rPr>
      <w:rFonts w:ascii="Times New Roman" w:hAnsi="Times New Roman" w:eastAsia="宋体"/>
      <w:i/>
    </w:rPr>
  </w:style>
  <w:style w:type="paragraph" w:customStyle="1" w:styleId="445">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46">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447">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48">
    <w:name w:val="标1"/>
    <w:basedOn w:val="1"/>
    <w:qFormat/>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449">
    <w:name w:val="正文文字 2"/>
    <w:basedOn w:val="78"/>
    <w:next w:val="78"/>
    <w:qFormat/>
    <w:uiPriority w:val="0"/>
    <w:rPr>
      <w:rFonts w:ascii="宋体" w:eastAsia="宋体"/>
      <w:color w:val="auto"/>
    </w:rPr>
  </w:style>
  <w:style w:type="paragraph" w:customStyle="1" w:styleId="450">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451">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52">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3">
    <w:name w:val="_Style 12"/>
    <w:basedOn w:val="19"/>
    <w:qFormat/>
    <w:uiPriority w:val="0"/>
    <w:pPr>
      <w:snapToGrid w:val="0"/>
      <w:spacing w:line="360" w:lineRule="auto"/>
    </w:pPr>
  </w:style>
  <w:style w:type="paragraph" w:customStyle="1" w:styleId="45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55">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456">
    <w:name w:val="Char2 Char Char"/>
    <w:basedOn w:val="1"/>
    <w:qFormat/>
    <w:uiPriority w:val="0"/>
    <w:rPr>
      <w:rFonts w:ascii="Tahoma" w:hAnsi="Tahoma" w:eastAsia="宋体" w:cs="Times New Roman"/>
      <w:sz w:val="24"/>
      <w:szCs w:val="20"/>
    </w:rPr>
  </w:style>
  <w:style w:type="paragraph" w:customStyle="1" w:styleId="457">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58">
    <w:name w:val="MM Empty"/>
    <w:basedOn w:val="1"/>
    <w:qFormat/>
    <w:uiPriority w:val="0"/>
    <w:rPr>
      <w:rFonts w:ascii="Times New Roman" w:hAnsi="Times New Roman" w:eastAsia="宋体" w:cs="Times New Roman"/>
      <w:szCs w:val="24"/>
    </w:rPr>
  </w:style>
  <w:style w:type="paragraph" w:customStyle="1" w:styleId="459">
    <w:name w:val="正文表标题"/>
    <w:next w:val="37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0">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46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2">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463">
    <w:name w:val="Char2 Char Char11"/>
    <w:basedOn w:val="1"/>
    <w:qFormat/>
    <w:uiPriority w:val="0"/>
    <w:rPr>
      <w:rFonts w:ascii="Tahoma" w:hAnsi="Tahoma" w:eastAsia="宋体" w:cs="Times New Roman"/>
      <w:sz w:val="24"/>
      <w:szCs w:val="20"/>
    </w:rPr>
  </w:style>
  <w:style w:type="paragraph" w:customStyle="1" w:styleId="464">
    <w:name w:val="数字标题3"/>
    <w:basedOn w:val="6"/>
    <w:next w:val="1"/>
    <w:qFormat/>
    <w:uiPriority w:val="0"/>
    <w:pPr>
      <w:numPr>
        <w:numId w:val="0"/>
      </w:numPr>
      <w:spacing w:line="240" w:lineRule="auto"/>
    </w:pPr>
    <w:rPr>
      <w:sz w:val="28"/>
      <w:szCs w:val="28"/>
    </w:rPr>
  </w:style>
  <w:style w:type="paragraph" w:customStyle="1" w:styleId="465">
    <w:name w:val="彩色列表 - 强调文字颜色 12"/>
    <w:basedOn w:val="1"/>
    <w:qFormat/>
    <w:uiPriority w:val="0"/>
    <w:pPr>
      <w:ind w:firstLine="420" w:firstLineChars="200"/>
    </w:pPr>
    <w:rPr>
      <w:rFonts w:ascii="Calibri" w:hAnsi="Calibri" w:eastAsia="宋体" w:cs="Times New Roman"/>
    </w:rPr>
  </w:style>
  <w:style w:type="paragraph" w:customStyle="1" w:styleId="466">
    <w:name w:val="正文－恩普"/>
    <w:basedOn w:val="3"/>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6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68">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469">
    <w:name w:val="Char Char Char1 Char"/>
    <w:basedOn w:val="1"/>
    <w:qFormat/>
    <w:uiPriority w:val="0"/>
    <w:pPr>
      <w:adjustRightInd w:val="0"/>
    </w:pPr>
    <w:rPr>
      <w:rFonts w:ascii="Times New Roman" w:hAnsi="Times New Roman" w:eastAsia="宋体" w:cs="Times New Roman"/>
      <w:szCs w:val="20"/>
    </w:rPr>
  </w:style>
  <w:style w:type="paragraph" w:customStyle="1" w:styleId="470">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71">
    <w:name w:val="正文文字缩进项目"/>
    <w:basedOn w:val="2"/>
    <w:qFormat/>
    <w:uiPriority w:val="0"/>
    <w:pPr>
      <w:tabs>
        <w:tab w:val="left" w:pos="840"/>
      </w:tabs>
      <w:adjustRightInd/>
      <w:ind w:left="0" w:leftChars="0" w:hanging="420"/>
    </w:pPr>
    <w:rPr>
      <w:rFonts w:ascii="Tahoma" w:hAnsi="Tahoma"/>
      <w:sz w:val="22"/>
      <w:szCs w:val="20"/>
      <w:lang w:val="zh-CN"/>
    </w:rPr>
  </w:style>
  <w:style w:type="paragraph" w:customStyle="1" w:styleId="472">
    <w:name w:val="标题五"/>
    <w:basedOn w:val="1"/>
    <w:qFormat/>
    <w:uiPriority w:val="0"/>
    <w:pPr>
      <w:spacing w:before="156" w:beforeLines="50" w:line="360" w:lineRule="auto"/>
    </w:pPr>
    <w:rPr>
      <w:rFonts w:ascii="Times New Roman" w:hAnsi="Times New Roman" w:eastAsia="宋体" w:cs="Times New Roman"/>
      <w:b/>
      <w:sz w:val="24"/>
      <w:szCs w:val="24"/>
    </w:rPr>
  </w:style>
  <w:style w:type="paragraph" w:customStyle="1" w:styleId="473">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474">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475">
    <w:name w:val="Char Char1 Char Char Char"/>
    <w:basedOn w:val="1"/>
    <w:qFormat/>
    <w:uiPriority w:val="0"/>
    <w:pPr>
      <w:adjustRightInd w:val="0"/>
    </w:pPr>
    <w:rPr>
      <w:rFonts w:ascii="仿宋_GB2312" w:hAnsi="Times New Roman" w:eastAsia="仿宋_GB2312" w:cs="Times New Roman"/>
      <w:b/>
      <w:sz w:val="32"/>
      <w:szCs w:val="20"/>
    </w:rPr>
  </w:style>
  <w:style w:type="paragraph" w:customStyle="1" w:styleId="476">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477">
    <w:name w:val="数字标题2"/>
    <w:basedOn w:val="5"/>
    <w:next w:val="1"/>
    <w:qFormat/>
    <w:uiPriority w:val="0"/>
    <w:pPr>
      <w:numPr>
        <w:ilvl w:val="1"/>
        <w:numId w:val="6"/>
      </w:numPr>
    </w:pPr>
    <w:rPr>
      <w:rFonts w:ascii="Times New Roman" w:eastAsia="宋体"/>
      <w:i/>
      <w:sz w:val="36"/>
      <w:szCs w:val="36"/>
      <w:lang w:val="en-US"/>
    </w:rPr>
  </w:style>
  <w:style w:type="paragraph" w:customStyle="1" w:styleId="478">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79">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48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8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83">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484">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5">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86">
    <w:name w:val="标书表格字体格式"/>
    <w:next w:val="335"/>
    <w:qFormat/>
    <w:uiPriority w:val="0"/>
    <w:rPr>
      <w:rFonts w:ascii="Times New Roman" w:hAnsi="Times New Roman" w:eastAsia="宋体" w:cs="Times New Roman"/>
      <w:kern w:val="2"/>
      <w:sz w:val="21"/>
      <w:szCs w:val="24"/>
      <w:lang w:val="en-US" w:eastAsia="zh-CN" w:bidi="ar-SA"/>
    </w:rPr>
  </w:style>
  <w:style w:type="paragraph" w:customStyle="1" w:styleId="487">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8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89">
    <w:name w:val="五级条标题"/>
    <w:basedOn w:val="490"/>
    <w:next w:val="376"/>
    <w:qFormat/>
    <w:uiPriority w:val="0"/>
    <w:pPr>
      <w:numPr>
        <w:ilvl w:val="6"/>
      </w:numPr>
      <w:tabs>
        <w:tab w:val="left" w:pos="1260"/>
        <w:tab w:val="left" w:pos="1680"/>
        <w:tab w:val="left" w:pos="2100"/>
        <w:tab w:val="left" w:pos="2520"/>
        <w:tab w:val="left" w:pos="2940"/>
      </w:tabs>
      <w:outlineLvl w:val="6"/>
    </w:pPr>
  </w:style>
  <w:style w:type="paragraph" w:customStyle="1" w:styleId="490">
    <w:name w:val="四级条标题"/>
    <w:basedOn w:val="491"/>
    <w:next w:val="376"/>
    <w:qFormat/>
    <w:uiPriority w:val="0"/>
    <w:pPr>
      <w:numPr>
        <w:ilvl w:val="5"/>
        <w:numId w:val="5"/>
      </w:numPr>
      <w:tabs>
        <w:tab w:val="left" w:pos="1260"/>
        <w:tab w:val="left" w:pos="1680"/>
        <w:tab w:val="left" w:pos="2100"/>
        <w:tab w:val="left" w:pos="2520"/>
      </w:tabs>
      <w:outlineLvl w:val="5"/>
    </w:pPr>
  </w:style>
  <w:style w:type="paragraph" w:customStyle="1" w:styleId="491">
    <w:name w:val="三级条标题"/>
    <w:basedOn w:val="492"/>
    <w:next w:val="376"/>
    <w:qFormat/>
    <w:uiPriority w:val="0"/>
    <w:pPr>
      <w:tabs>
        <w:tab w:val="left" w:pos="1260"/>
        <w:tab w:val="left" w:pos="1680"/>
        <w:tab w:val="left" w:pos="2100"/>
        <w:tab w:val="left" w:pos="2520"/>
      </w:tabs>
      <w:ind w:left="2520"/>
      <w:outlineLvl w:val="4"/>
    </w:pPr>
  </w:style>
  <w:style w:type="paragraph" w:customStyle="1" w:styleId="492">
    <w:name w:val="二级条标题"/>
    <w:basedOn w:val="493"/>
    <w:next w:val="376"/>
    <w:qFormat/>
    <w:uiPriority w:val="0"/>
    <w:pPr>
      <w:tabs>
        <w:tab w:val="left" w:pos="1260"/>
        <w:tab w:val="left" w:pos="1680"/>
        <w:tab w:val="left" w:pos="2100"/>
      </w:tabs>
      <w:ind w:left="0"/>
      <w:outlineLvl w:val="3"/>
    </w:pPr>
  </w:style>
  <w:style w:type="paragraph" w:customStyle="1" w:styleId="493">
    <w:name w:val="一级条标题"/>
    <w:basedOn w:val="494"/>
    <w:next w:val="376"/>
    <w:qFormat/>
    <w:uiPriority w:val="0"/>
    <w:pPr>
      <w:tabs>
        <w:tab w:val="left" w:pos="1260"/>
        <w:tab w:val="left" w:pos="1680"/>
      </w:tabs>
      <w:spacing w:before="0" w:beforeLines="0" w:after="0" w:afterLines="0"/>
      <w:ind w:left="1680"/>
      <w:outlineLvl w:val="2"/>
    </w:pPr>
  </w:style>
  <w:style w:type="paragraph" w:customStyle="1" w:styleId="494">
    <w:name w:val="章标题"/>
    <w:next w:val="37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95">
    <w:name w:val="数字标题4"/>
    <w:basedOn w:val="7"/>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96">
    <w:name w:val="普通正文"/>
    <w:basedOn w:val="1"/>
    <w:link w:val="901"/>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paragraph" w:customStyle="1" w:styleId="497">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98">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499">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500">
    <w:name w:val="数字标题1"/>
    <w:basedOn w:val="4"/>
    <w:next w:val="1"/>
    <w:qFormat/>
    <w:uiPriority w:val="0"/>
    <w:pPr>
      <w:numPr>
        <w:numId w:val="6"/>
      </w:numPr>
      <w:tabs>
        <w:tab w:val="left" w:pos="480"/>
      </w:tabs>
    </w:pPr>
  </w:style>
  <w:style w:type="paragraph" w:customStyle="1" w:styleId="501">
    <w:name w:val="正文 项目2"/>
    <w:basedOn w:val="402"/>
    <w:qFormat/>
    <w:uiPriority w:val="0"/>
    <w:pPr>
      <w:numPr>
        <w:ilvl w:val="0"/>
        <w:numId w:val="7"/>
      </w:numPr>
      <w:tabs>
        <w:tab w:val="clear" w:pos="840"/>
      </w:tabs>
      <w:spacing w:after="0"/>
    </w:pPr>
  </w:style>
  <w:style w:type="paragraph" w:customStyle="1" w:styleId="502">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503">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5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05">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50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7">
    <w:name w:val="Char Char Char1 Char11"/>
    <w:basedOn w:val="1"/>
    <w:qFormat/>
    <w:uiPriority w:val="0"/>
    <w:pPr>
      <w:adjustRightInd w:val="0"/>
    </w:pPr>
    <w:rPr>
      <w:rFonts w:ascii="Times New Roman" w:hAnsi="Times New Roman" w:eastAsia="宋体" w:cs="Times New Roman"/>
      <w:szCs w:val="20"/>
    </w:rPr>
  </w:style>
  <w:style w:type="paragraph" w:customStyle="1" w:styleId="508">
    <w:name w:val="Char1 Char Char Char4"/>
    <w:basedOn w:val="1"/>
    <w:qFormat/>
    <w:uiPriority w:val="0"/>
    <w:pPr>
      <w:ind w:firstLine="200" w:firstLineChars="200"/>
    </w:pPr>
    <w:rPr>
      <w:rFonts w:ascii="Tahoma" w:hAnsi="Tahoma" w:eastAsia="宋体" w:cs="Times New Roman"/>
      <w:sz w:val="24"/>
      <w:szCs w:val="20"/>
    </w:rPr>
  </w:style>
  <w:style w:type="paragraph" w:customStyle="1" w:styleId="509">
    <w:name w:val="TOC 标题2"/>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10">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11">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512">
    <w:name w:val="样式1"/>
    <w:basedOn w:val="1"/>
    <w:link w:val="884"/>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paragraph" w:customStyle="1" w:styleId="513">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14">
    <w:name w:val="章正文"/>
    <w:basedOn w:val="1"/>
    <w:qFormat/>
    <w:uiPriority w:val="0"/>
    <w:pPr>
      <w:spacing w:before="156" w:beforeLines="50" w:after="120" w:line="300" w:lineRule="auto"/>
      <w:ind w:firstLine="480" w:firstLineChars="200"/>
    </w:pPr>
    <w:rPr>
      <w:rFonts w:ascii="Helvetica" w:hAnsi="Helvetica" w:eastAsia="宋体" w:cs="Times New Roman"/>
      <w:kern w:val="0"/>
      <w:sz w:val="24"/>
      <w:szCs w:val="24"/>
    </w:rPr>
  </w:style>
  <w:style w:type="paragraph" w:customStyle="1" w:styleId="515">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16">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517">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51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9">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520">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21">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22">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523">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524">
    <w:name w:val="List Paragraph1"/>
    <w:basedOn w:val="1"/>
    <w:qFormat/>
    <w:uiPriority w:val="34"/>
    <w:pPr>
      <w:adjustRightInd w:val="0"/>
      <w:spacing w:line="360" w:lineRule="auto"/>
      <w:ind w:firstLine="200" w:firstLineChars="200"/>
    </w:pPr>
    <w:rPr>
      <w:rFonts w:ascii="Times New Roman" w:hAnsi="Times New Roman" w:eastAsia="楷体_GB2312" w:cs="Lucida Sans"/>
      <w:sz w:val="24"/>
      <w:szCs w:val="24"/>
    </w:rPr>
  </w:style>
  <w:style w:type="paragraph" w:customStyle="1" w:styleId="525">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5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7">
    <w:name w:val="Char Char Char Char Char Char"/>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28">
    <w:name w:val="Table Text"/>
    <w:basedOn w:val="1"/>
    <w:link w:val="849"/>
    <w:qFormat/>
    <w:uiPriority w:val="0"/>
    <w:pPr>
      <w:widowControl/>
      <w:adjustRightInd w:val="0"/>
      <w:spacing w:before="60" w:after="60"/>
      <w:jc w:val="left"/>
    </w:pPr>
    <w:rPr>
      <w:rFonts w:ascii="Times New Roman" w:hAnsi="Times New Roman" w:eastAsia="宋体" w:cs="Times New Roman"/>
      <w:kern w:val="0"/>
      <w:sz w:val="24"/>
      <w:szCs w:val="24"/>
      <w:lang w:val="zh-CN"/>
    </w:rPr>
  </w:style>
  <w:style w:type="paragraph" w:customStyle="1" w:styleId="529">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0">
    <w:name w:val="Char231"/>
    <w:basedOn w:val="1"/>
    <w:qFormat/>
    <w:uiPriority w:val="0"/>
    <w:pPr>
      <w:adjustRightInd w:val="0"/>
    </w:pPr>
    <w:rPr>
      <w:rFonts w:ascii="仿宋_GB2312" w:hAnsi="Times New Roman" w:eastAsia="仿宋_GB2312" w:cs="Times New Roman"/>
      <w:b/>
      <w:sz w:val="32"/>
      <w:szCs w:val="32"/>
    </w:rPr>
  </w:style>
  <w:style w:type="paragraph" w:styleId="531">
    <w:name w:val="List Paragraph"/>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32">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3">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534">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535">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36">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537">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38">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539">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540">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1">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4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43">
    <w:name w:val="四号　首行缩进"/>
    <w:basedOn w:val="1"/>
    <w:qFormat/>
    <w:uiPriority w:val="0"/>
    <w:pPr>
      <w:spacing w:line="360" w:lineRule="auto"/>
    </w:pPr>
    <w:rPr>
      <w:rFonts w:ascii="宋体" w:hAnsi="宋体" w:eastAsia="宋体" w:cs="Times New Roman"/>
      <w:szCs w:val="20"/>
    </w:rPr>
  </w:style>
  <w:style w:type="paragraph" w:customStyle="1" w:styleId="544">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545">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546">
    <w:name w:val="正文样式 首行缩进:  0.74 厘米"/>
    <w:basedOn w:val="1"/>
    <w:qFormat/>
    <w:uiPriority w:val="0"/>
    <w:pPr>
      <w:spacing w:before="156" w:beforeLines="50" w:line="360" w:lineRule="auto"/>
      <w:ind w:firstLine="420"/>
    </w:pPr>
    <w:rPr>
      <w:rFonts w:ascii="Times New Roman" w:hAnsi="Times New Roman" w:eastAsia="宋体" w:cs="宋体"/>
      <w:sz w:val="24"/>
      <w:szCs w:val="20"/>
    </w:rPr>
  </w:style>
  <w:style w:type="paragraph" w:customStyle="1" w:styleId="54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48">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549">
    <w:name w:val="Char Char Char Char Char Char11"/>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50">
    <w:name w:val="Char Char13"/>
    <w:basedOn w:val="1"/>
    <w:qFormat/>
    <w:uiPriority w:val="0"/>
    <w:pPr>
      <w:adjustRightInd w:val="0"/>
      <w:spacing w:line="360" w:lineRule="auto"/>
    </w:pPr>
    <w:rPr>
      <w:rFonts w:ascii="Tahoma" w:hAnsi="Tahoma" w:eastAsia="宋体" w:cs="Times New Roman"/>
      <w:sz w:val="24"/>
      <w:szCs w:val="20"/>
    </w:rPr>
  </w:style>
  <w:style w:type="paragraph" w:customStyle="1" w:styleId="551">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2">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53">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54">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55">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556">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557">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558">
    <w:name w:val="Char41"/>
    <w:basedOn w:val="1"/>
    <w:qFormat/>
    <w:uiPriority w:val="0"/>
    <w:pPr>
      <w:adjustRightInd w:val="0"/>
    </w:pPr>
    <w:rPr>
      <w:rFonts w:ascii="仿宋_GB2312" w:hAnsi="Times New Roman" w:eastAsia="仿宋_GB2312" w:cs="Times New Roman"/>
      <w:b/>
      <w:sz w:val="32"/>
      <w:szCs w:val="32"/>
    </w:rPr>
  </w:style>
  <w:style w:type="paragraph" w:customStyle="1" w:styleId="5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60">
    <w:name w:val="Char4"/>
    <w:basedOn w:val="1"/>
    <w:qFormat/>
    <w:uiPriority w:val="0"/>
    <w:pPr>
      <w:tabs>
        <w:tab w:val="left" w:pos="432"/>
      </w:tabs>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561">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562">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6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64">
    <w:name w:val="MM Topic 1"/>
    <w:basedOn w:val="4"/>
    <w:qFormat/>
    <w:uiPriority w:val="0"/>
    <w:pPr>
      <w:numPr>
        <w:numId w:val="0"/>
      </w:numPr>
      <w:tabs>
        <w:tab w:val="left" w:pos="840"/>
      </w:tabs>
      <w:adjustRightInd/>
      <w:ind w:left="840" w:hanging="420"/>
    </w:pPr>
  </w:style>
  <w:style w:type="paragraph" w:customStyle="1" w:styleId="565">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566">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567">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68">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69">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57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71">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72">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573">
    <w:name w:val="Char1 Char Char Char1"/>
    <w:basedOn w:val="1"/>
    <w:qFormat/>
    <w:uiPriority w:val="0"/>
    <w:pPr>
      <w:ind w:firstLine="200" w:firstLineChars="200"/>
    </w:pPr>
    <w:rPr>
      <w:rFonts w:ascii="Tahoma" w:hAnsi="Tahoma" w:eastAsia="宋体" w:cs="Times New Roman"/>
      <w:sz w:val="24"/>
      <w:szCs w:val="20"/>
    </w:rPr>
  </w:style>
  <w:style w:type="paragraph" w:customStyle="1" w:styleId="574">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575">
    <w:name w:val="正文段"/>
    <w:basedOn w:val="1"/>
    <w:link w:val="671"/>
    <w:qFormat/>
    <w:uiPriority w:val="0"/>
    <w:pPr>
      <w:widowControl/>
      <w:adjustRightInd w:val="0"/>
      <w:snapToGrid w:val="0"/>
      <w:spacing w:after="156" w:afterLines="50"/>
      <w:ind w:firstLine="200" w:firstLineChars="200"/>
    </w:pPr>
    <w:rPr>
      <w:rFonts w:ascii="Times New Roman" w:hAnsi="Times New Roman" w:eastAsia="宋体" w:cs="Times New Roman"/>
      <w:kern w:val="0"/>
      <w:sz w:val="24"/>
      <w:szCs w:val="20"/>
      <w:lang w:val="zh-CN"/>
    </w:rPr>
  </w:style>
  <w:style w:type="paragraph" w:customStyle="1" w:styleId="576">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577">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578">
    <w:name w:val="样式 样式2 + 左侧:  1 字符 右侧:  1 字符"/>
    <w:basedOn w:val="51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7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580">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581">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582">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583">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4">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5">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586">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87">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88">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5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90">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591">
    <w:name w:val="样式7"/>
    <w:basedOn w:val="398"/>
    <w:next w:val="1"/>
    <w:qFormat/>
    <w:uiPriority w:val="0"/>
    <w:pPr>
      <w:spacing w:after="156" w:afterLines="50"/>
      <w:jc w:val="left"/>
      <w:outlineLvl w:val="3"/>
    </w:pPr>
    <w:rPr>
      <w:sz w:val="24"/>
      <w:szCs w:val="24"/>
    </w:rPr>
  </w:style>
  <w:style w:type="paragraph" w:customStyle="1" w:styleId="59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93">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594">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595">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596">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rPr>
  </w:style>
  <w:style w:type="paragraph" w:customStyle="1" w:styleId="597">
    <w:name w:val="正文文字表格居中"/>
    <w:basedOn w:val="1"/>
    <w:next w:val="55"/>
    <w:qFormat/>
    <w:uiPriority w:val="0"/>
    <w:pPr>
      <w:adjustRightInd w:val="0"/>
      <w:snapToGrid w:val="0"/>
      <w:spacing w:line="360" w:lineRule="auto"/>
    </w:pPr>
    <w:rPr>
      <w:rFonts w:ascii="宋体" w:hAnsi="Times New Roman" w:eastAsia="宋体" w:cs="Times New Roman"/>
      <w:b/>
      <w:sz w:val="24"/>
      <w:szCs w:val="20"/>
    </w:rPr>
  </w:style>
  <w:style w:type="paragraph" w:customStyle="1" w:styleId="598">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599">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00">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601">
    <w:name w:val="Thf"/>
    <w:basedOn w:val="542"/>
    <w:qFormat/>
    <w:uiPriority w:val="0"/>
    <w:pPr>
      <w:ind w:left="0"/>
    </w:pPr>
  </w:style>
  <w:style w:type="paragraph" w:customStyle="1" w:styleId="602">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60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04">
    <w:name w:val="Char19"/>
    <w:basedOn w:val="1"/>
    <w:qFormat/>
    <w:uiPriority w:val="0"/>
    <w:rPr>
      <w:rFonts w:ascii="Times New Roman" w:hAnsi="Times New Roman" w:eastAsia="宋体" w:cs="Times New Roman"/>
      <w:szCs w:val="20"/>
    </w:rPr>
  </w:style>
  <w:style w:type="paragraph" w:customStyle="1" w:styleId="605">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06">
    <w:name w:val="样式3"/>
    <w:basedOn w:val="513"/>
    <w:qFormat/>
    <w:uiPriority w:val="0"/>
    <w:pPr>
      <w:spacing w:before="312" w:beforeLines="100"/>
      <w:jc w:val="left"/>
    </w:pPr>
  </w:style>
  <w:style w:type="paragraph" w:customStyle="1" w:styleId="607">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08">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0">
    <w:name w:val="样式 标题 4PIM 4H4h4bulletblbbH41H42H43H44H45H46H47H48...1"/>
    <w:basedOn w:val="7"/>
    <w:qFormat/>
    <w:uiPriority w:val="0"/>
    <w:pPr>
      <w:widowControl/>
      <w:jc w:val="left"/>
    </w:pPr>
    <w:rPr>
      <w:rFonts w:cs="宋体"/>
      <w:sz w:val="24"/>
      <w:szCs w:val="20"/>
    </w:rPr>
  </w:style>
  <w:style w:type="paragraph" w:customStyle="1" w:styleId="611">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612">
    <w:name w:val="样式 正文缩进 + 首行缩进:  2 字符"/>
    <w:basedOn w:val="3"/>
    <w:link w:val="674"/>
    <w:qFormat/>
    <w:uiPriority w:val="0"/>
    <w:pPr>
      <w:widowControl w:val="0"/>
      <w:adjustRightInd/>
      <w:snapToGrid/>
      <w:spacing w:line="360" w:lineRule="auto"/>
      <w:ind w:firstLine="200" w:firstLineChars="200"/>
    </w:pPr>
    <w:rPr>
      <w:rFonts w:ascii="Times New Roman"/>
      <w:snapToGrid/>
      <w:color w:val="auto"/>
      <w:kern w:val="2"/>
      <w:sz w:val="24"/>
      <w:lang w:val="zh-CN"/>
    </w:rPr>
  </w:style>
  <w:style w:type="paragraph" w:customStyle="1" w:styleId="613">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614">
    <w:name w:val="样式8"/>
    <w:basedOn w:val="1"/>
    <w:qFormat/>
    <w:uiPriority w:val="0"/>
    <w:pPr>
      <w:adjustRightInd w:val="0"/>
      <w:spacing w:before="156" w:beforeLines="50" w:after="156" w:afterLines="50"/>
      <w:ind w:firstLine="200" w:firstLineChars="200"/>
      <w:outlineLvl w:val="4"/>
    </w:pPr>
    <w:rPr>
      <w:rFonts w:ascii="仿宋_GB2312" w:hAnsi="宋体" w:eastAsia="仿宋_GB2312" w:cs="Times New Roman"/>
      <w:b/>
      <w:bCs/>
      <w:sz w:val="24"/>
      <w:szCs w:val="24"/>
    </w:rPr>
  </w:style>
  <w:style w:type="paragraph" w:customStyle="1" w:styleId="615">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616">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17">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8">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19">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620">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621">
    <w:name w:val="p0"/>
    <w:basedOn w:val="1"/>
    <w:qFormat/>
    <w:uiPriority w:val="0"/>
    <w:pPr>
      <w:widowControl/>
    </w:pPr>
    <w:rPr>
      <w:rFonts w:ascii="Times New Roman" w:hAnsi="Times New Roman" w:eastAsia="宋体" w:cs="Times New Roman"/>
      <w:kern w:val="0"/>
      <w:szCs w:val="21"/>
    </w:rPr>
  </w:style>
  <w:style w:type="paragraph" w:customStyle="1" w:styleId="622">
    <w:name w:val="修订1"/>
    <w:qFormat/>
    <w:uiPriority w:val="3"/>
    <w:rPr>
      <w:rFonts w:ascii="Times New Roman" w:hAnsi="Times New Roman" w:eastAsia="宋体" w:cs="Times New Roman"/>
      <w:kern w:val="2"/>
      <w:sz w:val="21"/>
      <w:lang w:val="en-US" w:eastAsia="zh-CN" w:bidi="ar-SA"/>
    </w:rPr>
  </w:style>
  <w:style w:type="paragraph" w:customStyle="1" w:styleId="623">
    <w:name w:val="gf正文1"/>
    <w:basedOn w:val="1"/>
    <w:link w:val="787"/>
    <w:qFormat/>
    <w:uiPriority w:val="0"/>
    <w:pPr>
      <w:tabs>
        <w:tab w:val="left" w:pos="3240"/>
        <w:tab w:val="left" w:pos="3960"/>
      </w:tabs>
      <w:adjustRightInd w:val="0"/>
      <w:snapToGrid w:val="0"/>
      <w:spacing w:line="360" w:lineRule="auto"/>
      <w:ind w:firstLine="480" w:firstLineChars="200"/>
    </w:pPr>
    <w:rPr>
      <w:rFonts w:ascii="宋体" w:hAnsi="宋体" w:eastAsia="宋体" w:cs="Times New Roman"/>
      <w:sz w:val="24"/>
      <w:szCs w:val="24"/>
      <w:lang w:val="zh-CN"/>
    </w:rPr>
  </w:style>
  <w:style w:type="paragraph" w:customStyle="1" w:styleId="624">
    <w:name w:val="表格文字"/>
    <w:basedOn w:val="1"/>
    <w:next w:val="3"/>
    <w:qFormat/>
    <w:uiPriority w:val="0"/>
    <w:pPr>
      <w:ind w:firstLine="200" w:firstLineChars="200"/>
    </w:pPr>
    <w:rPr>
      <w:rFonts w:ascii="Arial" w:hAnsi="Arial" w:eastAsia="宋体" w:cs="Times New Roman"/>
      <w:spacing w:val="-5"/>
      <w:kern w:val="0"/>
      <w:sz w:val="24"/>
      <w:szCs w:val="20"/>
    </w:rPr>
  </w:style>
  <w:style w:type="paragraph" w:customStyle="1" w:styleId="625">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26">
    <w:name w:val="Char Char14"/>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6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8">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9">
    <w:name w:val="CM14"/>
    <w:basedOn w:val="78"/>
    <w:next w:val="78"/>
    <w:qFormat/>
    <w:uiPriority w:val="0"/>
    <w:pPr>
      <w:spacing w:after="68"/>
    </w:pPr>
    <w:rPr>
      <w:rFonts w:ascii="FHLHE E+ Futura Bk" w:eastAsia="FHLHE E+ Futura Bk"/>
      <w:color w:val="auto"/>
    </w:rPr>
  </w:style>
  <w:style w:type="paragraph" w:customStyle="1" w:styleId="630">
    <w:name w:val="Char Char Char Char2"/>
    <w:basedOn w:val="1"/>
    <w:qFormat/>
    <w:uiPriority w:val="0"/>
    <w:pPr>
      <w:adjustRightInd w:val="0"/>
    </w:pPr>
    <w:rPr>
      <w:rFonts w:ascii="Tahoma" w:hAnsi="Tahoma" w:eastAsia="宋体" w:cs="Times New Roman"/>
      <w:sz w:val="24"/>
      <w:szCs w:val="20"/>
    </w:rPr>
  </w:style>
  <w:style w:type="paragraph" w:customStyle="1" w:styleId="631">
    <w:name w:val="Char11"/>
    <w:basedOn w:val="1"/>
    <w:qFormat/>
    <w:uiPriority w:val="0"/>
    <w:pPr>
      <w:tabs>
        <w:tab w:val="left" w:pos="432"/>
      </w:tabs>
      <w:spacing w:before="156" w:beforeLines="50" w:after="156" w:afterLines="50"/>
      <w:ind w:left="432" w:hanging="432" w:firstLineChars="200"/>
    </w:pPr>
    <w:rPr>
      <w:rFonts w:ascii="Times New Roman" w:hAnsi="Times New Roman" w:eastAsia="宋体" w:cs="Times New Roman"/>
      <w:sz w:val="24"/>
      <w:szCs w:val="24"/>
    </w:rPr>
  </w:style>
  <w:style w:type="paragraph" w:customStyle="1" w:styleId="632">
    <w:name w:val="样式1 + (中宋体"/>
    <w:basedOn w:val="5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3">
    <w:name w:val="标准正文"/>
    <w:basedOn w:val="1"/>
    <w:link w:val="873"/>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paragraph" w:customStyle="1" w:styleId="634">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35">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6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7">
    <w:name w:val="Picture"/>
    <w:basedOn w:val="1"/>
    <w:next w:val="17"/>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38">
    <w:name w:val="规划正文"/>
    <w:basedOn w:val="1"/>
    <w:qFormat/>
    <w:uiPriority w:val="0"/>
    <w:pPr>
      <w:spacing w:before="312" w:beforeLines="100" w:line="360" w:lineRule="auto"/>
      <w:jc w:val="left"/>
    </w:pPr>
    <w:rPr>
      <w:rFonts w:ascii="Arial" w:hAnsi="Arial" w:eastAsia="仿宋_GB2312" w:cs="Times New Roman"/>
      <w:bCs/>
      <w:sz w:val="28"/>
      <w:szCs w:val="24"/>
    </w:rPr>
  </w:style>
  <w:style w:type="paragraph" w:customStyle="1" w:styleId="639">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40">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641">
    <w:name w:val="Char1 Char Char Char5"/>
    <w:basedOn w:val="1"/>
    <w:qFormat/>
    <w:uiPriority w:val="0"/>
    <w:pPr>
      <w:ind w:firstLine="200" w:firstLineChars="200"/>
    </w:pPr>
    <w:rPr>
      <w:rFonts w:ascii="Tahoma" w:hAnsi="Tahoma" w:eastAsia="宋体" w:cs="Times New Roman"/>
      <w:sz w:val="24"/>
      <w:szCs w:val="20"/>
    </w:rPr>
  </w:style>
  <w:style w:type="paragraph" w:customStyle="1" w:styleId="64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3">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4">
    <w:name w:val="Char Char28"/>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6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6">
    <w:name w:val="纯文本_0_0"/>
    <w:basedOn w:val="645"/>
    <w:link w:val="647"/>
    <w:qFormat/>
    <w:uiPriority w:val="0"/>
    <w:rPr>
      <w:rFonts w:ascii="宋体" w:hAnsi="Courier New"/>
      <w:szCs w:val="21"/>
    </w:rPr>
  </w:style>
  <w:style w:type="character" w:customStyle="1" w:styleId="647">
    <w:name w:val="纯文本 Char_0"/>
    <w:link w:val="646"/>
    <w:qFormat/>
    <w:uiPriority w:val="0"/>
    <w:rPr>
      <w:rFonts w:ascii="宋体" w:hAnsi="Courier New" w:eastAsia="宋体" w:cs="Times New Roman"/>
      <w:szCs w:val="21"/>
    </w:rPr>
  </w:style>
  <w:style w:type="paragraph" w:customStyle="1" w:styleId="648">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649">
    <w:name w:val="Char Char34"/>
    <w:qFormat/>
    <w:uiPriority w:val="6"/>
    <w:rPr>
      <w:b/>
      <w:kern w:val="1"/>
      <w:sz w:val="28"/>
      <w:szCs w:val="28"/>
    </w:rPr>
  </w:style>
  <w:style w:type="character" w:customStyle="1" w:styleId="650">
    <w:name w:val="Char Char22"/>
    <w:qFormat/>
    <w:uiPriority w:val="6"/>
    <w:rPr>
      <w:rFonts w:ascii="宋体" w:hAnsi="宋体"/>
      <w:kern w:val="1"/>
      <w:sz w:val="24"/>
      <w:szCs w:val="24"/>
    </w:rPr>
  </w:style>
  <w:style w:type="character" w:customStyle="1" w:styleId="651">
    <w:name w:val="Char Char141"/>
    <w:qFormat/>
    <w:uiPriority w:val="0"/>
    <w:rPr>
      <w:rFonts w:ascii="黑体" w:hAnsi="黑体" w:eastAsia="黑体"/>
    </w:rPr>
  </w:style>
  <w:style w:type="character" w:customStyle="1" w:styleId="652">
    <w:name w:val="Char Char61"/>
    <w:qFormat/>
    <w:uiPriority w:val="6"/>
    <w:rPr>
      <w:rFonts w:eastAsia="宋体"/>
      <w:kern w:val="2"/>
      <w:sz w:val="21"/>
      <w:szCs w:val="24"/>
      <w:lang w:val="en-US" w:eastAsia="zh-CN" w:bidi="ar-SA"/>
    </w:rPr>
  </w:style>
  <w:style w:type="character" w:customStyle="1" w:styleId="653">
    <w:name w:val="Char Char24"/>
    <w:qFormat/>
    <w:uiPriority w:val="6"/>
    <w:rPr>
      <w:kern w:val="1"/>
      <w:sz w:val="21"/>
    </w:rPr>
  </w:style>
  <w:style w:type="character" w:customStyle="1" w:styleId="654">
    <w:name w:val="Heading 1 Char"/>
    <w:qFormat/>
    <w:uiPriority w:val="6"/>
    <w:rPr>
      <w:rFonts w:ascii="Times New Roman" w:hAnsi="Times New Roman" w:eastAsia="黑体" w:cs="Times New Roman"/>
      <w:b/>
      <w:kern w:val="0"/>
      <w:sz w:val="24"/>
      <w:szCs w:val="24"/>
    </w:rPr>
  </w:style>
  <w:style w:type="character" w:customStyle="1" w:styleId="655">
    <w:name w:val="Char Char19"/>
    <w:qFormat/>
    <w:uiPriority w:val="0"/>
    <w:rPr>
      <w:rFonts w:ascii="宋体" w:hAnsi="宋体"/>
      <w:i/>
      <w:sz w:val="24"/>
      <w:szCs w:val="24"/>
    </w:rPr>
  </w:style>
  <w:style w:type="character" w:customStyle="1" w:styleId="656">
    <w:name w:val="纯文本 Char2"/>
    <w:semiHidden/>
    <w:qFormat/>
    <w:uiPriority w:val="99"/>
    <w:rPr>
      <w:rFonts w:ascii="宋体" w:hAnsi="Courier New" w:eastAsia="宋体" w:cs="Courier New"/>
    </w:rPr>
  </w:style>
  <w:style w:type="character" w:customStyle="1" w:styleId="657">
    <w:name w:val="Char Char32"/>
    <w:qFormat/>
    <w:uiPriority w:val="6"/>
    <w:rPr>
      <w:b/>
      <w:kern w:val="1"/>
      <w:sz w:val="24"/>
      <w:szCs w:val="24"/>
    </w:rPr>
  </w:style>
  <w:style w:type="character" w:customStyle="1" w:styleId="658">
    <w:name w:val="Char Char36"/>
    <w:qFormat/>
    <w:uiPriority w:val="6"/>
    <w:rPr>
      <w:rFonts w:ascii="仿宋_GB2312" w:hAnsi="仿宋_GB2312" w:eastAsia="仿宋_GB2312" w:cs="Arial"/>
      <w:b/>
      <w:kern w:val="1"/>
      <w:sz w:val="32"/>
      <w:szCs w:val="32"/>
      <w:lang w:val="zh-CN" w:eastAsia="zh-CN" w:bidi="ar-SA"/>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Char Char17"/>
    <w:qFormat/>
    <w:uiPriority w:val="0"/>
    <w:rPr>
      <w:rFonts w:eastAsia="仿宋_GB2312"/>
      <w:sz w:val="24"/>
    </w:rPr>
  </w:style>
  <w:style w:type="character" w:customStyle="1" w:styleId="661">
    <w:name w:val="Char Char121"/>
    <w:qFormat/>
    <w:uiPriority w:val="6"/>
    <w:rPr>
      <w:rFonts w:ascii="仿宋_GB2312" w:eastAsia="仿宋_GB2312"/>
      <w:b/>
      <w:bCs/>
      <w:kern w:val="2"/>
      <w:sz w:val="24"/>
      <w:szCs w:val="24"/>
      <w:lang w:val="zh-CN" w:eastAsia="zh-CN" w:bidi="ar-SA"/>
    </w:rPr>
  </w:style>
  <w:style w:type="character" w:customStyle="1" w:styleId="662">
    <w:name w:val="Char Char91"/>
    <w:qFormat/>
    <w:uiPriority w:val="0"/>
    <w:rPr>
      <w:rFonts w:eastAsia="宋体"/>
      <w:kern w:val="2"/>
      <w:sz w:val="18"/>
      <w:szCs w:val="18"/>
      <w:lang w:val="en-US" w:eastAsia="zh-CN" w:bidi="ar-SA"/>
    </w:rPr>
  </w:style>
  <w:style w:type="character" w:customStyle="1" w:styleId="663">
    <w:name w:val="param-name"/>
    <w:qFormat/>
    <w:uiPriority w:val="99"/>
    <w:rPr>
      <w:rFonts w:ascii="Arial" w:hAnsi="Arial" w:eastAsia="黑体" w:cs="Arial"/>
      <w:snapToGrid/>
      <w:kern w:val="0"/>
      <w:szCs w:val="21"/>
    </w:rPr>
  </w:style>
  <w:style w:type="character" w:customStyle="1" w:styleId="664">
    <w:name w:val="Char Char31"/>
    <w:qFormat/>
    <w:uiPriority w:val="6"/>
    <w:rPr>
      <w:rFonts w:ascii="Arial" w:hAnsi="Arial" w:eastAsia="黑体"/>
      <w:kern w:val="1"/>
      <w:sz w:val="24"/>
      <w:szCs w:val="24"/>
    </w:rPr>
  </w:style>
  <w:style w:type="character" w:customStyle="1" w:styleId="665">
    <w:name w:val="Char Char27"/>
    <w:qFormat/>
    <w:uiPriority w:val="6"/>
    <w:rPr>
      <w:rFonts w:ascii="宋体" w:hAnsi="宋体" w:eastAsia="宋体"/>
      <w:color w:val="000000"/>
      <w:kern w:val="1"/>
      <w:sz w:val="28"/>
      <w:lang w:val="en-US" w:eastAsia="zh-CN" w:bidi="ar-SA"/>
    </w:rPr>
  </w:style>
  <w:style w:type="character" w:customStyle="1" w:styleId="666">
    <w:name w:val="Char Char16"/>
    <w:qFormat/>
    <w:uiPriority w:val="6"/>
    <w:rPr>
      <w:kern w:val="1"/>
      <w:sz w:val="18"/>
      <w:szCs w:val="18"/>
    </w:rPr>
  </w:style>
  <w:style w:type="character" w:customStyle="1" w:styleId="667">
    <w:name w:val="页眉 Char2"/>
    <w:qFormat/>
    <w:uiPriority w:val="0"/>
    <w:rPr>
      <w:kern w:val="2"/>
      <w:sz w:val="18"/>
      <w:szCs w:val="18"/>
    </w:rPr>
  </w:style>
  <w:style w:type="character" w:customStyle="1" w:styleId="668">
    <w:name w:val="表格名称[858D7CFB-ED40-4347-BF05-701D383B685F]"/>
    <w:link w:val="669"/>
    <w:qFormat/>
    <w:uiPriority w:val="0"/>
    <w:rPr>
      <w:sz w:val="32"/>
    </w:rPr>
  </w:style>
  <w:style w:type="paragraph" w:customStyle="1" w:styleId="669">
    <w:name w:val="表格名称"/>
    <w:basedOn w:val="5"/>
    <w:link w:val="668"/>
    <w:qFormat/>
    <w:uiPriority w:val="0"/>
    <w:pPr>
      <w:numPr>
        <w:numId w:val="0"/>
      </w:numPr>
      <w:snapToGrid w:val="0"/>
      <w:spacing w:before="240" w:after="240" w:line="240" w:lineRule="auto"/>
      <w:jc w:val="center"/>
    </w:pPr>
    <w:rPr>
      <w:rFonts w:asciiTheme="minorHAnsi" w:hAnsiTheme="minorHAnsi" w:eastAsiaTheme="minorEastAsia" w:cstheme="minorBidi"/>
      <w:b w:val="0"/>
      <w:bCs w:val="0"/>
      <w:szCs w:val="22"/>
      <w:lang w:val="en-US"/>
    </w:rPr>
  </w:style>
  <w:style w:type="character" w:customStyle="1" w:styleId="670">
    <w:name w:val="Char Char41"/>
    <w:qFormat/>
    <w:uiPriority w:val="0"/>
    <w:rPr>
      <w:rFonts w:eastAsia="宋体"/>
      <w:b/>
      <w:sz w:val="24"/>
      <w:lang w:val="en-GB" w:eastAsia="zh-CN" w:bidi="ar-SA"/>
    </w:rPr>
  </w:style>
  <w:style w:type="character" w:customStyle="1" w:styleId="671">
    <w:name w:val="正文段 Char"/>
    <w:link w:val="575"/>
    <w:qFormat/>
    <w:uiPriority w:val="0"/>
    <w:rPr>
      <w:rFonts w:ascii="Times New Roman" w:hAnsi="Times New Roman" w:eastAsia="宋体" w:cs="Times New Roman"/>
      <w:kern w:val="0"/>
      <w:sz w:val="24"/>
      <w:szCs w:val="20"/>
      <w:lang w:val="zh-CN"/>
    </w:rPr>
  </w:style>
  <w:style w:type="character" w:customStyle="1" w:styleId="672">
    <w:name w:val="Char Char29"/>
    <w:qFormat/>
    <w:uiPriority w:val="6"/>
    <w:rPr>
      <w:rFonts w:ascii="Arial" w:hAnsi="Arial" w:eastAsia="微软雅黑"/>
      <w:b/>
      <w:kern w:val="1"/>
      <w:sz w:val="44"/>
      <w:szCs w:val="32"/>
      <w:lang w:val="en-US" w:eastAsia="zh-CN" w:bidi="ar-SA"/>
    </w:rPr>
  </w:style>
  <w:style w:type="character" w:customStyle="1" w:styleId="673">
    <w:name w:val="Char Char211"/>
    <w:qFormat/>
    <w:uiPriority w:val="0"/>
    <w:rPr>
      <w:rFonts w:eastAsia="宋体"/>
      <w:b/>
      <w:bCs/>
      <w:kern w:val="2"/>
      <w:sz w:val="21"/>
      <w:szCs w:val="24"/>
      <w:lang w:val="en-US" w:eastAsia="zh-CN" w:bidi="ar-SA"/>
    </w:rPr>
  </w:style>
  <w:style w:type="character" w:customStyle="1" w:styleId="674">
    <w:name w:val="样式 正文缩进 + 首行缩进:  2 字符 Char Char"/>
    <w:link w:val="612"/>
    <w:qFormat/>
    <w:uiPriority w:val="0"/>
    <w:rPr>
      <w:rFonts w:ascii="Times New Roman" w:eastAsia="宋体"/>
      <w:sz w:val="24"/>
      <w:lang w:val="zh-CN"/>
    </w:rPr>
  </w:style>
  <w:style w:type="character" w:customStyle="1" w:styleId="675">
    <w:name w:val="Char Char131"/>
    <w:qFormat/>
    <w:uiPriority w:val="0"/>
    <w:rPr>
      <w:rFonts w:ascii="宋体" w:hAnsi="宋体"/>
      <w:kern w:val="1"/>
      <w:sz w:val="21"/>
      <w:szCs w:val="24"/>
    </w:rPr>
  </w:style>
  <w:style w:type="character" w:customStyle="1" w:styleId="676">
    <w:name w:val="Char Char33"/>
    <w:qFormat/>
    <w:uiPriority w:val="6"/>
    <w:rPr>
      <w:rFonts w:ascii="Arial" w:hAnsi="Arial" w:eastAsia="黑体"/>
      <w:b/>
      <w:kern w:val="1"/>
      <w:sz w:val="24"/>
      <w:szCs w:val="24"/>
    </w:rPr>
  </w:style>
  <w:style w:type="character" w:customStyle="1" w:styleId="677">
    <w:name w:val="正文说明 Char"/>
    <w:link w:val="678"/>
    <w:qFormat/>
    <w:uiPriority w:val="0"/>
    <w:rPr>
      <w:sz w:val="24"/>
      <w:szCs w:val="24"/>
    </w:rPr>
  </w:style>
  <w:style w:type="paragraph" w:customStyle="1" w:styleId="678">
    <w:name w:val="正文说明"/>
    <w:basedOn w:val="1"/>
    <w:link w:val="677"/>
    <w:qFormat/>
    <w:uiPriority w:val="0"/>
    <w:pPr>
      <w:spacing w:line="360" w:lineRule="auto"/>
    </w:pPr>
    <w:rPr>
      <w:sz w:val="24"/>
      <w:szCs w:val="24"/>
    </w:rPr>
  </w:style>
  <w:style w:type="character" w:customStyle="1" w:styleId="679">
    <w:name w:val="页脚 Char2"/>
    <w:qFormat/>
    <w:locked/>
    <w:uiPriority w:val="0"/>
    <w:rPr>
      <w:kern w:val="2"/>
      <w:sz w:val="18"/>
      <w:szCs w:val="18"/>
    </w:rPr>
  </w:style>
  <w:style w:type="character" w:customStyle="1" w:styleId="680">
    <w:name w:val="Char Char711"/>
    <w:qFormat/>
    <w:uiPriority w:val="0"/>
    <w:rPr>
      <w:rFonts w:eastAsia="宋体"/>
      <w:kern w:val="2"/>
      <w:sz w:val="21"/>
      <w:szCs w:val="24"/>
      <w:lang w:val="en-US" w:eastAsia="zh-CN" w:bidi="ar-SA"/>
    </w:rPr>
  </w:style>
  <w:style w:type="character" w:customStyle="1" w:styleId="681">
    <w:name w:val="Char Char21"/>
    <w:qFormat/>
    <w:uiPriority w:val="6"/>
    <w:rPr>
      <w:rFonts w:ascii="宋体" w:hAnsi="宋体"/>
      <w:kern w:val="1"/>
      <w:sz w:val="24"/>
      <w:szCs w:val="21"/>
      <w:lang w:val="zh-CN"/>
    </w:rPr>
  </w:style>
  <w:style w:type="character" w:customStyle="1" w:styleId="682">
    <w:name w:val="Char Char281"/>
    <w:qFormat/>
    <w:uiPriority w:val="6"/>
    <w:rPr>
      <w:rFonts w:ascii="仿宋_GB2312" w:hAnsi="仿宋_GB2312" w:eastAsia="仿宋_GB2312"/>
      <w:kern w:val="1"/>
      <w:sz w:val="28"/>
    </w:rPr>
  </w:style>
  <w:style w:type="character" w:customStyle="1" w:styleId="683">
    <w:name w:val="Char Char30"/>
    <w:qFormat/>
    <w:uiPriority w:val="6"/>
    <w:rPr>
      <w:rFonts w:ascii="Arial" w:hAnsi="Arial" w:eastAsia="黑体"/>
      <w:kern w:val="1"/>
      <w:sz w:val="21"/>
      <w:szCs w:val="21"/>
    </w:rPr>
  </w:style>
  <w:style w:type="character" w:customStyle="1" w:styleId="684">
    <w:name w:val="question-title2"/>
    <w:qFormat/>
    <w:uiPriority w:val="6"/>
    <w:rPr>
      <w:rFonts w:ascii="Arial" w:hAnsi="Arial" w:eastAsia="黑体" w:cs="Arial"/>
      <w:snapToGrid/>
      <w:kern w:val="0"/>
      <w:szCs w:val="21"/>
    </w:rPr>
  </w:style>
  <w:style w:type="character" w:customStyle="1" w:styleId="685">
    <w:name w:val="Char Char20"/>
    <w:qFormat/>
    <w:uiPriority w:val="6"/>
    <w:rPr>
      <w:kern w:val="1"/>
      <w:sz w:val="24"/>
    </w:rPr>
  </w:style>
  <w:style w:type="character" w:customStyle="1" w:styleId="686">
    <w:name w:val="Char Char311"/>
    <w:qFormat/>
    <w:uiPriority w:val="0"/>
    <w:rPr>
      <w:rFonts w:eastAsia="宋体"/>
      <w:kern w:val="2"/>
      <w:sz w:val="21"/>
      <w:szCs w:val="24"/>
      <w:lang w:val="en-US" w:eastAsia="zh-CN" w:bidi="ar-SA"/>
    </w:rPr>
  </w:style>
  <w:style w:type="character" w:customStyle="1" w:styleId="687">
    <w:name w:val="Char Char15"/>
    <w:qFormat/>
    <w:uiPriority w:val="0"/>
    <w:rPr>
      <w:rFonts w:ascii="宋体" w:hAnsi="宋体"/>
      <w:kern w:val="1"/>
      <w:sz w:val="21"/>
    </w:rPr>
  </w:style>
  <w:style w:type="character" w:customStyle="1" w:styleId="688">
    <w:name w:val="Char Char26"/>
    <w:qFormat/>
    <w:uiPriority w:val="6"/>
    <w:rPr>
      <w:kern w:val="1"/>
      <w:sz w:val="21"/>
      <w:szCs w:val="24"/>
    </w:rPr>
  </w:style>
  <w:style w:type="character" w:customStyle="1" w:styleId="689">
    <w:name w:val="Char Char51"/>
    <w:qFormat/>
    <w:uiPriority w:val="0"/>
    <w:rPr>
      <w:rFonts w:ascii="宋体" w:hAnsi="Courier New" w:eastAsia="宋体"/>
      <w:kern w:val="2"/>
      <w:sz w:val="21"/>
      <w:lang w:val="en-US" w:eastAsia="zh-CN"/>
    </w:rPr>
  </w:style>
  <w:style w:type="character" w:customStyle="1" w:styleId="690">
    <w:name w:val="Char Char71"/>
    <w:semiHidden/>
    <w:qFormat/>
    <w:uiPriority w:val="0"/>
    <w:rPr>
      <w:rFonts w:eastAsia="宋体"/>
      <w:kern w:val="2"/>
      <w:sz w:val="21"/>
      <w:szCs w:val="24"/>
      <w:lang w:val="en-US" w:eastAsia="zh-CN" w:bidi="ar-SA"/>
    </w:rPr>
  </w:style>
  <w:style w:type="character" w:customStyle="1" w:styleId="691">
    <w:name w:val="Char Char18"/>
    <w:qFormat/>
    <w:uiPriority w:val="0"/>
    <w:rPr>
      <w:rFonts w:ascii="宋体" w:hAnsi="宋体"/>
      <w:sz w:val="28"/>
    </w:rPr>
  </w:style>
  <w:style w:type="character" w:customStyle="1" w:styleId="692">
    <w:name w:val="Char Char81"/>
    <w:qFormat/>
    <w:uiPriority w:val="6"/>
    <w:rPr>
      <w:rFonts w:eastAsia="宋体"/>
      <w:b/>
      <w:sz w:val="24"/>
      <w:lang w:val="en-GB" w:eastAsia="zh-CN"/>
    </w:rPr>
  </w:style>
  <w:style w:type="character" w:customStyle="1" w:styleId="693">
    <w:name w:val="Char Char37"/>
    <w:qFormat/>
    <w:uiPriority w:val="6"/>
    <w:rPr>
      <w:b/>
      <w:kern w:val="1"/>
      <w:sz w:val="44"/>
      <w:szCs w:val="44"/>
    </w:rPr>
  </w:style>
  <w:style w:type="character" w:customStyle="1" w:styleId="694">
    <w:name w:val="Char Char102"/>
    <w:semiHidden/>
    <w:qFormat/>
    <w:uiPriority w:val="0"/>
    <w:rPr>
      <w:rFonts w:ascii="宋体" w:hAnsi="宋体"/>
      <w:kern w:val="2"/>
      <w:sz w:val="21"/>
      <w:szCs w:val="24"/>
      <w:lang w:val="en-US" w:eastAsia="zh-CN"/>
    </w:rPr>
  </w:style>
  <w:style w:type="character" w:customStyle="1" w:styleId="695">
    <w:name w:val="Char Char23"/>
    <w:qFormat/>
    <w:uiPriority w:val="6"/>
    <w:rPr>
      <w:color w:val="0000FF"/>
      <w:sz w:val="21"/>
    </w:rPr>
  </w:style>
  <w:style w:type="character" w:customStyle="1" w:styleId="696">
    <w:name w:val="Char Char25"/>
    <w:qFormat/>
    <w:uiPriority w:val="6"/>
    <w:rPr>
      <w:rFonts w:ascii="宋体" w:hAnsi="宋体"/>
      <w:kern w:val="1"/>
      <w:sz w:val="24"/>
      <w:lang w:val="zh-CN"/>
    </w:rPr>
  </w:style>
  <w:style w:type="character" w:customStyle="1" w:styleId="697">
    <w:name w:val="Char Char35"/>
    <w:qFormat/>
    <w:uiPriority w:val="6"/>
    <w:rPr>
      <w:rFonts w:ascii="Arial" w:hAnsi="Arial" w:eastAsia="黑体"/>
      <w:b/>
      <w:kern w:val="1"/>
      <w:sz w:val="28"/>
      <w:szCs w:val="28"/>
      <w:lang w:val="zh-CN"/>
    </w:rPr>
  </w:style>
  <w:style w:type="character" w:customStyle="1" w:styleId="698">
    <w:name w:val="font81"/>
    <w:basedOn w:val="69"/>
    <w:qFormat/>
    <w:uiPriority w:val="0"/>
    <w:rPr>
      <w:rFonts w:ascii="微软雅黑" w:hAnsi="微软雅黑" w:eastAsia="微软雅黑" w:cs="微软雅黑"/>
      <w:color w:val="000000"/>
      <w:sz w:val="20"/>
      <w:szCs w:val="20"/>
      <w:u w:val="none"/>
    </w:rPr>
  </w:style>
  <w:style w:type="character" w:customStyle="1" w:styleId="699">
    <w:name w:val="font51"/>
    <w:basedOn w:val="69"/>
    <w:qFormat/>
    <w:uiPriority w:val="0"/>
    <w:rPr>
      <w:rFonts w:hint="eastAsia" w:ascii="仿宋" w:hAnsi="仿宋" w:eastAsia="仿宋" w:cs="仿宋"/>
      <w:color w:val="000000"/>
      <w:sz w:val="20"/>
      <w:szCs w:val="20"/>
      <w:u w:val="none"/>
    </w:rPr>
  </w:style>
  <w:style w:type="character" w:customStyle="1" w:styleId="700">
    <w:name w:val="font31"/>
    <w:qFormat/>
    <w:uiPriority w:val="0"/>
    <w:rPr>
      <w:rFonts w:hint="eastAsia" w:ascii="仿宋" w:hAnsi="仿宋" w:eastAsia="仿宋" w:cs="仿宋"/>
      <w:color w:val="000000"/>
      <w:sz w:val="20"/>
      <w:szCs w:val="20"/>
      <w:u w:val="none"/>
    </w:rPr>
  </w:style>
  <w:style w:type="character" w:customStyle="1" w:styleId="701">
    <w:name w:val="font01"/>
    <w:qFormat/>
    <w:uiPriority w:val="0"/>
    <w:rPr>
      <w:rFonts w:hint="eastAsia" w:ascii="微软雅黑" w:hAnsi="微软雅黑" w:eastAsia="微软雅黑" w:cs="微软雅黑"/>
      <w:color w:val="000000"/>
      <w:sz w:val="20"/>
      <w:szCs w:val="20"/>
      <w:u w:val="none"/>
    </w:rPr>
  </w:style>
  <w:style w:type="character" w:customStyle="1" w:styleId="702">
    <w:name w:val="font61"/>
    <w:basedOn w:val="69"/>
    <w:qFormat/>
    <w:uiPriority w:val="0"/>
    <w:rPr>
      <w:rFonts w:hint="eastAsia" w:ascii="仿宋" w:hAnsi="仿宋" w:eastAsia="仿宋" w:cs="仿宋"/>
      <w:color w:val="000000"/>
      <w:sz w:val="20"/>
      <w:szCs w:val="20"/>
      <w:u w:val="none"/>
    </w:rPr>
  </w:style>
  <w:style w:type="paragraph" w:customStyle="1" w:styleId="703">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04">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705">
    <w:name w:val="TOC 标题11"/>
    <w:basedOn w:val="4"/>
    <w:next w:val="1"/>
    <w:unhideWhenUsed/>
    <w:qFormat/>
    <w:uiPriority w:val="4"/>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706">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707">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0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0">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Char23"/>
    <w:basedOn w:val="1"/>
    <w:qFormat/>
    <w:uiPriority w:val="0"/>
    <w:pPr>
      <w:adjustRightInd w:val="0"/>
    </w:pPr>
    <w:rPr>
      <w:rFonts w:ascii="仿宋_GB2312" w:hAnsi="Times New Roman" w:eastAsia="仿宋_GB2312" w:cs="Times New Roman"/>
      <w:b/>
      <w:sz w:val="32"/>
      <w:szCs w:val="32"/>
    </w:rPr>
  </w:style>
  <w:style w:type="paragraph" w:customStyle="1" w:styleId="712">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713">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1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5">
    <w:name w:val="Char111"/>
    <w:basedOn w:val="1"/>
    <w:qFormat/>
    <w:uiPriority w:val="0"/>
    <w:pPr>
      <w:adjustRightInd w:val="0"/>
    </w:pPr>
    <w:rPr>
      <w:rFonts w:ascii="仿宋_GB2312" w:hAnsi="Times New Roman" w:eastAsia="仿宋_GB2312" w:cs="Times New Roman"/>
      <w:b/>
      <w:sz w:val="32"/>
      <w:szCs w:val="32"/>
    </w:rPr>
  </w:style>
  <w:style w:type="paragraph" w:customStyle="1" w:styleId="71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17">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18">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719">
    <w:name w:val="Char2 Char Char1"/>
    <w:basedOn w:val="1"/>
    <w:qFormat/>
    <w:uiPriority w:val="6"/>
    <w:rPr>
      <w:rFonts w:ascii="Tahoma" w:hAnsi="Tahoma" w:eastAsia="宋体" w:cs="Times New Roman"/>
      <w:sz w:val="24"/>
      <w:szCs w:val="20"/>
    </w:rPr>
  </w:style>
  <w:style w:type="paragraph" w:customStyle="1" w:styleId="720">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721">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22">
    <w:name w:val="xl80"/>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72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72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25">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26">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27">
    <w:name w:val="Char Char Char Char11"/>
    <w:basedOn w:val="1"/>
    <w:qFormat/>
    <w:uiPriority w:val="0"/>
    <w:pPr>
      <w:adjustRightInd w:val="0"/>
    </w:pPr>
    <w:rPr>
      <w:rFonts w:ascii="Tahoma" w:hAnsi="Tahoma" w:eastAsia="宋体" w:cs="Times New Roman"/>
      <w:sz w:val="24"/>
      <w:szCs w:val="20"/>
    </w:rPr>
  </w:style>
  <w:style w:type="paragraph" w:customStyle="1" w:styleId="728">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729">
    <w:name w:val="xl73"/>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7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733">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34">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7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3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8">
    <w:name w:val="Char31"/>
    <w:basedOn w:val="1"/>
    <w:qFormat/>
    <w:uiPriority w:val="0"/>
    <w:rPr>
      <w:rFonts w:ascii="仿宋_GB2312" w:hAnsi="Times New Roman" w:eastAsia="仿宋_GB2312" w:cs="Times New Roman"/>
      <w:b/>
      <w:sz w:val="32"/>
      <w:szCs w:val="32"/>
    </w:rPr>
  </w:style>
  <w:style w:type="paragraph" w:customStyle="1" w:styleId="7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742">
    <w:name w:val="修订2"/>
    <w:qFormat/>
    <w:uiPriority w:val="0"/>
    <w:rPr>
      <w:rFonts w:ascii="Times New Roman" w:hAnsi="Times New Roman" w:eastAsia="宋体" w:cs="Times New Roman"/>
      <w:kern w:val="2"/>
      <w:sz w:val="21"/>
      <w:lang w:val="en-US" w:eastAsia="zh-CN" w:bidi="ar-SA"/>
    </w:rPr>
  </w:style>
  <w:style w:type="paragraph" w:customStyle="1" w:styleId="74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44">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45">
    <w:name w:val="Char5"/>
    <w:basedOn w:val="1"/>
    <w:qFormat/>
    <w:uiPriority w:val="0"/>
    <w:pPr>
      <w:adjustRightInd w:val="0"/>
    </w:pPr>
    <w:rPr>
      <w:rFonts w:ascii="仿宋_GB2312" w:hAnsi="Times New Roman" w:eastAsia="仿宋_GB2312" w:cs="Times New Roman"/>
      <w:b/>
      <w:sz w:val="32"/>
      <w:szCs w:val="32"/>
    </w:rPr>
  </w:style>
  <w:style w:type="paragraph" w:customStyle="1" w:styleId="74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7">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748">
    <w:name w:val="无间隔*"/>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749">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750">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51">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52">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753">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754">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75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56">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75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60">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76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2">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7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4">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765">
    <w:name w:val="xl74"/>
    <w:basedOn w:val="1"/>
    <w:qFormat/>
    <w:uiPriority w:val="0"/>
    <w:pPr>
      <w:widowControl/>
      <w:spacing w:before="100" w:beforeAutospacing="1" w:after="100" w:afterAutospacing="1"/>
      <w:jc w:val="center"/>
    </w:pPr>
    <w:rPr>
      <w:rFonts w:ascii="微软雅黑" w:hAnsi="微软雅黑" w:eastAsia="微软雅黑" w:cs="宋体"/>
      <w:b/>
      <w:bCs/>
      <w:kern w:val="0"/>
      <w:sz w:val="20"/>
      <w:szCs w:val="20"/>
    </w:rPr>
  </w:style>
  <w:style w:type="paragraph" w:customStyle="1" w:styleId="76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67">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768">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769">
    <w:name w:val="Plain Text1"/>
    <w:basedOn w:val="1"/>
    <w:qFormat/>
    <w:uiPriority w:val="7"/>
    <w:rPr>
      <w:rFonts w:ascii="宋体" w:hAnsi="Courier New" w:eastAsia="宋体" w:cs="Times New Roman"/>
      <w:szCs w:val="24"/>
    </w:rPr>
  </w:style>
  <w:style w:type="paragraph" w:customStyle="1" w:styleId="77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71">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72">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773">
    <w:name w:val="Char Char Char1 Char1"/>
    <w:basedOn w:val="1"/>
    <w:qFormat/>
    <w:uiPriority w:val="6"/>
    <w:pPr>
      <w:adjustRightInd w:val="0"/>
    </w:pPr>
    <w:rPr>
      <w:rFonts w:ascii="Times New Roman" w:hAnsi="Times New Roman" w:eastAsia="宋体" w:cs="Times New Roman"/>
      <w:szCs w:val="20"/>
    </w:rPr>
  </w:style>
  <w:style w:type="paragraph" w:customStyle="1" w:styleId="774">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775">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76">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777">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778">
    <w:name w:val="xl72"/>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779">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8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81">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782">
    <w:name w:val="正文样式 Char"/>
    <w:link w:val="783"/>
    <w:qFormat/>
    <w:uiPriority w:val="0"/>
    <w:rPr>
      <w:rFonts w:ascii="Calibri" w:hAnsi="Calibri"/>
      <w:sz w:val="24"/>
      <w:szCs w:val="24"/>
    </w:rPr>
  </w:style>
  <w:style w:type="paragraph" w:customStyle="1" w:styleId="783">
    <w:name w:val="正文样式"/>
    <w:basedOn w:val="1"/>
    <w:link w:val="782"/>
    <w:qFormat/>
    <w:uiPriority w:val="0"/>
    <w:pPr>
      <w:spacing w:line="360" w:lineRule="auto"/>
      <w:ind w:firstLine="480" w:firstLineChars="200"/>
    </w:pPr>
    <w:rPr>
      <w:rFonts w:ascii="Calibri" w:hAnsi="Calibri"/>
      <w:sz w:val="24"/>
      <w:szCs w:val="24"/>
    </w:rPr>
  </w:style>
  <w:style w:type="character" w:customStyle="1" w:styleId="784">
    <w:name w:val="公文正文 Char Char"/>
    <w:link w:val="385"/>
    <w:qFormat/>
    <w:uiPriority w:val="0"/>
    <w:rPr>
      <w:rFonts w:ascii="仿宋_GB2312" w:hAnsi="Times New Roman" w:eastAsia="仿宋_GB2312" w:cs="Times New Roman"/>
      <w:sz w:val="24"/>
      <w:szCs w:val="24"/>
      <w:lang w:val="zh-CN"/>
    </w:rPr>
  </w:style>
  <w:style w:type="character" w:customStyle="1" w:styleId="785">
    <w:name w:val="题注 Char"/>
    <w:link w:val="17"/>
    <w:qFormat/>
    <w:uiPriority w:val="0"/>
    <w:rPr>
      <w:rFonts w:ascii="Times New Roman" w:hAnsi="Times New Roman" w:eastAsia="宋体" w:cs="Times New Roman"/>
      <w:b/>
      <w:sz w:val="28"/>
      <w:szCs w:val="20"/>
      <w:lang w:val="zh-CN"/>
    </w:rPr>
  </w:style>
  <w:style w:type="character" w:customStyle="1" w:styleId="786">
    <w:name w:val="表正文 Char3"/>
    <w:qFormat/>
    <w:uiPriority w:val="0"/>
    <w:rPr>
      <w:rFonts w:eastAsia="宋体"/>
    </w:rPr>
  </w:style>
  <w:style w:type="character" w:customStyle="1" w:styleId="787">
    <w:name w:val="gf正文1 Char Char"/>
    <w:link w:val="623"/>
    <w:qFormat/>
    <w:uiPriority w:val="0"/>
    <w:rPr>
      <w:rFonts w:ascii="宋体" w:hAnsi="宋体" w:eastAsia="宋体" w:cs="Times New Roman"/>
      <w:sz w:val="24"/>
      <w:szCs w:val="24"/>
      <w:lang w:val="zh-CN"/>
    </w:rPr>
  </w:style>
  <w:style w:type="character" w:customStyle="1" w:styleId="788">
    <w:name w:val="h Char1"/>
    <w:qFormat/>
    <w:uiPriority w:val="0"/>
    <w:rPr>
      <w:sz w:val="18"/>
      <w:szCs w:val="18"/>
    </w:rPr>
  </w:style>
  <w:style w:type="character" w:customStyle="1" w:styleId="789">
    <w:name w:val="Char Char161"/>
    <w:qFormat/>
    <w:uiPriority w:val="0"/>
    <w:rPr>
      <w:rFonts w:eastAsia="宋体"/>
      <w:b/>
      <w:kern w:val="2"/>
      <w:sz w:val="32"/>
      <w:lang w:val="en-US" w:eastAsia="zh-CN"/>
    </w:rPr>
  </w:style>
  <w:style w:type="character" w:customStyle="1" w:styleId="790">
    <w:name w:val="编号，小四 Char"/>
    <w:link w:val="791"/>
    <w:qFormat/>
    <w:uiPriority w:val="0"/>
    <w:rPr>
      <w:rFonts w:ascii="Arial" w:hAnsi="Arial"/>
      <w:sz w:val="24"/>
    </w:rPr>
  </w:style>
  <w:style w:type="paragraph" w:customStyle="1" w:styleId="791">
    <w:name w:val="编号，小四"/>
    <w:basedOn w:val="1"/>
    <w:link w:val="790"/>
    <w:qFormat/>
    <w:uiPriority w:val="0"/>
    <w:pPr>
      <w:tabs>
        <w:tab w:val="left" w:pos="432"/>
      </w:tabs>
      <w:spacing w:line="360" w:lineRule="auto"/>
      <w:ind w:left="432" w:hanging="432"/>
    </w:pPr>
    <w:rPr>
      <w:rFonts w:ascii="Arial" w:hAnsi="Arial"/>
      <w:sz w:val="24"/>
    </w:rPr>
  </w:style>
  <w:style w:type="character" w:customStyle="1" w:styleId="792">
    <w:name w:val="段落 Char Char"/>
    <w:link w:val="793"/>
    <w:qFormat/>
    <w:uiPriority w:val="0"/>
    <w:rPr>
      <w:rFonts w:ascii="宋体" w:hAnsi="宋体"/>
      <w:sz w:val="24"/>
    </w:rPr>
  </w:style>
  <w:style w:type="paragraph" w:customStyle="1" w:styleId="793">
    <w:name w:val="段落"/>
    <w:basedOn w:val="1"/>
    <w:link w:val="792"/>
    <w:qFormat/>
    <w:uiPriority w:val="0"/>
    <w:pPr>
      <w:spacing w:line="360" w:lineRule="auto"/>
      <w:ind w:firstLine="480" w:firstLineChars="200"/>
    </w:pPr>
    <w:rPr>
      <w:rFonts w:ascii="宋体" w:hAnsi="宋体"/>
      <w:sz w:val="24"/>
    </w:rPr>
  </w:style>
  <w:style w:type="character" w:customStyle="1" w:styleId="794">
    <w:name w:val="maywed421"/>
    <w:qFormat/>
    <w:uiPriority w:val="0"/>
    <w:rPr>
      <w:color w:val="366FB6"/>
      <w:u w:val="none"/>
    </w:rPr>
  </w:style>
  <w:style w:type="character" w:customStyle="1" w:styleId="795">
    <w:name w:val="哈哈正文 Char Char"/>
    <w:qFormat/>
    <w:uiPriority w:val="0"/>
    <w:rPr>
      <w:rFonts w:ascii="宋体" w:hAnsi="宋体" w:eastAsia="宋体" w:cs="宋体"/>
      <w:kern w:val="2"/>
      <w:sz w:val="24"/>
      <w:lang w:val="en-US" w:eastAsia="zh-CN" w:bidi="ar-SA"/>
    </w:rPr>
  </w:style>
  <w:style w:type="character" w:customStyle="1" w:styleId="796">
    <w:name w:val="font11"/>
    <w:qFormat/>
    <w:uiPriority w:val="0"/>
    <w:rPr>
      <w:rFonts w:hint="default" w:ascii="Times New Roman" w:hAnsi="Times New Roman" w:cs="Times New Roman"/>
      <w:color w:val="000000"/>
      <w:sz w:val="22"/>
      <w:szCs w:val="22"/>
      <w:u w:val="none"/>
    </w:rPr>
  </w:style>
  <w:style w:type="character" w:customStyle="1" w:styleId="797">
    <w:name w:val="font41"/>
    <w:qFormat/>
    <w:uiPriority w:val="0"/>
    <w:rPr>
      <w:rFonts w:hint="eastAsia" w:ascii="仿宋_GB2312" w:eastAsia="仿宋_GB2312" w:cs="仿宋_GB2312"/>
      <w:color w:val="000000"/>
      <w:sz w:val="22"/>
      <w:szCs w:val="22"/>
      <w:u w:val="none"/>
    </w:rPr>
  </w:style>
  <w:style w:type="character" w:customStyle="1" w:styleId="798">
    <w:name w:val="5正文 Char"/>
    <w:link w:val="799"/>
    <w:qFormat/>
    <w:uiPriority w:val="0"/>
    <w:rPr>
      <w:rFonts w:ascii="仿宋_GB2312" w:hAnsi="微软雅黑" w:eastAsia="仿宋_GB2312"/>
      <w:sz w:val="28"/>
      <w:szCs w:val="21"/>
    </w:rPr>
  </w:style>
  <w:style w:type="paragraph" w:customStyle="1" w:styleId="799">
    <w:name w:val="5正文"/>
    <w:basedOn w:val="1"/>
    <w:link w:val="798"/>
    <w:qFormat/>
    <w:uiPriority w:val="0"/>
    <w:pPr>
      <w:spacing w:line="360" w:lineRule="auto"/>
      <w:ind w:firstLine="566" w:firstLineChars="202"/>
      <w:jc w:val="left"/>
    </w:pPr>
    <w:rPr>
      <w:rFonts w:ascii="仿宋_GB2312" w:hAnsi="微软雅黑" w:eastAsia="仿宋_GB2312"/>
      <w:sz w:val="28"/>
      <w:szCs w:val="21"/>
    </w:rPr>
  </w:style>
  <w:style w:type="character" w:customStyle="1" w:styleId="800">
    <w:name w:val="正文缩进 字符"/>
    <w:qFormat/>
    <w:uiPriority w:val="0"/>
    <w:rPr>
      <w:rFonts w:ascii="宋体" w:eastAsia="宋体"/>
      <w:snapToGrid w:val="0"/>
      <w:color w:val="000000"/>
      <w:kern w:val="28"/>
      <w:sz w:val="28"/>
      <w:lang w:val="en-US" w:eastAsia="zh-CN" w:bidi="ar-SA"/>
    </w:rPr>
  </w:style>
  <w:style w:type="character" w:customStyle="1" w:styleId="801">
    <w:name w:val="U_正文 Char"/>
    <w:link w:val="802"/>
    <w:qFormat/>
    <w:uiPriority w:val="0"/>
    <w:rPr>
      <w:sz w:val="24"/>
      <w:szCs w:val="24"/>
    </w:rPr>
  </w:style>
  <w:style w:type="paragraph" w:customStyle="1" w:styleId="802">
    <w:name w:val="U_正文"/>
    <w:basedOn w:val="1"/>
    <w:link w:val="801"/>
    <w:qFormat/>
    <w:uiPriority w:val="0"/>
    <w:pPr>
      <w:spacing w:beforeLines="20" w:afterLines="20" w:line="300" w:lineRule="auto"/>
      <w:ind w:firstLine="200" w:firstLineChars="200"/>
    </w:pPr>
    <w:rPr>
      <w:sz w:val="24"/>
      <w:szCs w:val="24"/>
    </w:rPr>
  </w:style>
  <w:style w:type="paragraph" w:customStyle="1" w:styleId="803">
    <w:name w:val="标题2"/>
    <w:basedOn w:val="5"/>
    <w:next w:val="1"/>
    <w:qFormat/>
    <w:uiPriority w:val="0"/>
    <w:pPr>
      <w:numPr>
        <w:numId w:val="0"/>
      </w:numPr>
      <w:tabs>
        <w:tab w:val="left" w:pos="578"/>
        <w:tab w:val="left" w:pos="900"/>
        <w:tab w:val="left" w:pos="1440"/>
      </w:tabs>
      <w:ind w:left="1440" w:hanging="360"/>
    </w:pPr>
    <w:rPr>
      <w:rFonts w:ascii="仿宋" w:eastAsia="仿宋" w:cs="宋体"/>
      <w:bCs w:val="0"/>
      <w:szCs w:val="28"/>
    </w:rPr>
  </w:style>
  <w:style w:type="paragraph" w:customStyle="1" w:styleId="804">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05">
    <w:name w:val="GP正文(首行缩进)"/>
    <w:basedOn w:val="1"/>
    <w:qFormat/>
    <w:uiPriority w:val="0"/>
    <w:pPr>
      <w:spacing w:line="360" w:lineRule="auto"/>
      <w:ind w:firstLine="200" w:firstLineChars="200"/>
    </w:pPr>
    <w:rPr>
      <w:rFonts w:ascii="Times New Roman" w:hAnsi="Times New Roman" w:eastAsia="仿宋_GB2312" w:cs="Times New Roman"/>
      <w:sz w:val="28"/>
      <w:szCs w:val="21"/>
    </w:rPr>
  </w:style>
  <w:style w:type="paragraph" w:customStyle="1" w:styleId="80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7">
    <w:name w:val="批注框文本 Char Char"/>
    <w:basedOn w:val="1"/>
    <w:qFormat/>
    <w:uiPriority w:val="0"/>
    <w:rPr>
      <w:rFonts w:ascii="Times New Roman" w:hAnsi="Times New Roman" w:eastAsia="宋体" w:cs="Times New Roman"/>
      <w:sz w:val="18"/>
      <w:szCs w:val="20"/>
    </w:rPr>
  </w:style>
  <w:style w:type="paragraph" w:customStyle="1" w:styleId="808">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09">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10">
    <w:name w:val="标题3"/>
    <w:basedOn w:val="6"/>
    <w:next w:val="52"/>
    <w:qFormat/>
    <w:uiPriority w:val="0"/>
    <w:pPr>
      <w:tabs>
        <w:tab w:val="clear" w:pos="900"/>
      </w:tabs>
      <w:spacing w:after="0" w:line="360" w:lineRule="auto"/>
    </w:pPr>
    <w:rPr>
      <w:rFonts w:ascii="仿宋" w:hAnsi="仿宋" w:eastAsia="仿宋" w:cs="仿宋"/>
    </w:rPr>
  </w:style>
  <w:style w:type="paragraph" w:customStyle="1" w:styleId="811">
    <w:name w:val="_正文段落"/>
    <w:basedOn w:val="1"/>
    <w:qFormat/>
    <w:uiPriority w:val="0"/>
    <w:pPr>
      <w:ind w:firstLine="560"/>
    </w:pPr>
    <w:rPr>
      <w:rFonts w:ascii="仿宋_GB2312" w:hAnsi="仿宋" w:eastAsia="仿宋_GB2312" w:cs="Times New Roman"/>
      <w:kern w:val="0"/>
      <w:sz w:val="28"/>
      <w:szCs w:val="28"/>
    </w:rPr>
  </w:style>
  <w:style w:type="paragraph" w:customStyle="1" w:styleId="812">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13">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14">
    <w:name w:val="_Style 3"/>
    <w:basedOn w:val="1"/>
    <w:qFormat/>
    <w:uiPriority w:val="34"/>
    <w:pPr>
      <w:ind w:firstLine="420" w:firstLineChars="200"/>
    </w:pPr>
    <w:rPr>
      <w:rFonts w:ascii="Times New Roman" w:hAnsi="Times New Roman" w:eastAsia="仿宋_GB2312" w:cs="Times New Roman"/>
      <w:sz w:val="28"/>
      <w:szCs w:val="24"/>
    </w:rPr>
  </w:style>
  <w:style w:type="paragraph" w:customStyle="1" w:styleId="815">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16">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17">
    <w:name w:val="样式 标题 2 + 四号"/>
    <w:basedOn w:val="5"/>
    <w:qFormat/>
    <w:uiPriority w:val="0"/>
    <w:pPr>
      <w:numPr>
        <w:numId w:val="0"/>
      </w:numPr>
      <w:spacing w:before="120" w:after="120"/>
      <w:jc w:val="both"/>
    </w:pPr>
    <w:rPr>
      <w:rFonts w:ascii="宋体" w:hAnsi="Arial" w:eastAsia="宋体"/>
      <w:sz w:val="28"/>
      <w:lang w:val="en-US"/>
    </w:rPr>
  </w:style>
  <w:style w:type="paragraph" w:customStyle="1" w:styleId="818">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19">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820">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21">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822">
    <w:name w:val="列表1"/>
    <w:basedOn w:val="1"/>
    <w:next w:val="531"/>
    <w:link w:val="829"/>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正文首行缩进 Char Char Char Char Char"/>
    <w:qFormat/>
    <w:uiPriority w:val="0"/>
    <w:rPr>
      <w:rFonts w:ascii="宋体"/>
      <w:kern w:val="2"/>
      <w:sz w:val="24"/>
      <w:lang w:val="zh-CN"/>
    </w:rPr>
  </w:style>
  <w:style w:type="character" w:customStyle="1" w:styleId="825">
    <w:name w:val="Used by Word for text of Help footnotes Char Char1"/>
    <w:qFormat/>
    <w:uiPriority w:val="0"/>
    <w:rPr>
      <w:color w:val="0000FF"/>
      <w:sz w:val="21"/>
    </w:rPr>
  </w:style>
  <w:style w:type="character" w:customStyle="1" w:styleId="826">
    <w:name w:val="H5 Char"/>
    <w:qFormat/>
    <w:uiPriority w:val="0"/>
    <w:rPr>
      <w:b/>
      <w:bCs/>
      <w:kern w:val="2"/>
      <w:sz w:val="28"/>
      <w:szCs w:val="28"/>
    </w:rPr>
  </w:style>
  <w:style w:type="character" w:customStyle="1" w:styleId="827">
    <w:name w:val="正文缩进 Char3"/>
    <w:qFormat/>
    <w:uiPriority w:val="0"/>
    <w:rPr>
      <w:rFonts w:ascii="宋体" w:eastAsia="宋体"/>
      <w:snapToGrid w:val="0"/>
      <w:color w:val="000000"/>
      <w:kern w:val="28"/>
      <w:sz w:val="28"/>
      <w:lang w:val="en-US" w:eastAsia="zh-CN" w:bidi="ar-SA"/>
    </w:rPr>
  </w:style>
  <w:style w:type="character" w:customStyle="1" w:styleId="828">
    <w:name w:val="表名 Char"/>
    <w:qFormat/>
    <w:uiPriority w:val="0"/>
    <w:rPr>
      <w:rFonts w:eastAsia="宋体"/>
      <w:b/>
      <w:bCs/>
      <w:kern w:val="2"/>
      <w:sz w:val="24"/>
      <w:szCs w:val="24"/>
      <w:lang w:val="en-US" w:eastAsia="zh-CN" w:bidi="ar-SA"/>
    </w:rPr>
  </w:style>
  <w:style w:type="character" w:customStyle="1" w:styleId="829">
    <w:name w:val="列出段落 Char1"/>
    <w:link w:val="822"/>
    <w:qFormat/>
    <w:uiPriority w:val="0"/>
    <w:rPr>
      <w:rFonts w:ascii="Calibri" w:hAnsi="Calibri" w:eastAsia="宋体" w:cs="Times New Roman"/>
      <w:kern w:val="0"/>
      <w:sz w:val="24"/>
      <w:szCs w:val="20"/>
      <w:lang w:val="zh-CN" w:eastAsia="en-US"/>
    </w:rPr>
  </w:style>
  <w:style w:type="character" w:customStyle="1" w:styleId="830">
    <w:name w:val="图名 Char"/>
    <w:qFormat/>
    <w:uiPriority w:val="0"/>
    <w:rPr>
      <w:rFonts w:ascii="Arial" w:hAnsi="Arial" w:eastAsia="黑体"/>
      <w:kern w:val="2"/>
      <w:sz w:val="24"/>
      <w:szCs w:val="24"/>
      <w:lang w:val="en-US" w:eastAsia="zh-CN" w:bidi="ar-SA"/>
    </w:rPr>
  </w:style>
  <w:style w:type="character" w:customStyle="1" w:styleId="831">
    <w:name w:val="PI Char1"/>
    <w:qFormat/>
    <w:uiPriority w:val="0"/>
    <w:rPr>
      <w:rFonts w:ascii="宋体" w:hAnsi="宋体"/>
      <w:kern w:val="2"/>
      <w:sz w:val="24"/>
      <w:szCs w:val="24"/>
    </w:rPr>
  </w:style>
  <w:style w:type="character" w:customStyle="1" w:styleId="832">
    <w:name w:val="H6 Char"/>
    <w:qFormat/>
    <w:uiPriority w:val="0"/>
    <w:rPr>
      <w:rFonts w:ascii="Arial" w:hAnsi="Arial" w:eastAsia="黑体"/>
      <w:b/>
      <w:bCs/>
      <w:kern w:val="2"/>
      <w:sz w:val="24"/>
      <w:szCs w:val="24"/>
    </w:rPr>
  </w:style>
  <w:style w:type="character" w:customStyle="1" w:styleId="833">
    <w:name w:val="Default Char"/>
    <w:link w:val="78"/>
    <w:qFormat/>
    <w:uiPriority w:val="0"/>
    <w:rPr>
      <w:rFonts w:ascii="仿宋_GB2312" w:hAnsi="Times New Roman" w:eastAsia="仿宋_GB2312" w:cs="Times New Roman"/>
      <w:color w:val="000000"/>
      <w:kern w:val="0"/>
      <w:sz w:val="24"/>
      <w:szCs w:val="24"/>
    </w:rPr>
  </w:style>
  <w:style w:type="character" w:customStyle="1" w:styleId="834">
    <w:name w:val="标书1 Char1"/>
    <w:qFormat/>
    <w:uiPriority w:val="0"/>
    <w:rPr>
      <w:rFonts w:eastAsia="宋体"/>
      <w:b/>
      <w:bCs/>
      <w:kern w:val="44"/>
      <w:sz w:val="44"/>
      <w:szCs w:val="44"/>
      <w:lang w:val="en-US" w:eastAsia="zh-CN" w:bidi="ar-SA"/>
    </w:rPr>
  </w:style>
  <w:style w:type="character" w:customStyle="1" w:styleId="835">
    <w:name w:val="h4 Char"/>
    <w:qFormat/>
    <w:uiPriority w:val="0"/>
    <w:rPr>
      <w:rFonts w:ascii="Arial" w:hAnsi="Arial" w:eastAsia="黑体"/>
      <w:b/>
      <w:bCs/>
      <w:kern w:val="2"/>
      <w:sz w:val="28"/>
      <w:szCs w:val="28"/>
      <w:lang w:val="zh-CN" w:eastAsia="zh-CN" w:bidi="ar-SA"/>
    </w:rPr>
  </w:style>
  <w:style w:type="character" w:customStyle="1" w:styleId="8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37">
    <w:name w:val="未用 Char"/>
    <w:qFormat/>
    <w:uiPriority w:val="0"/>
    <w:rPr>
      <w:rFonts w:ascii="Arial" w:hAnsi="Arial" w:eastAsia="黑体"/>
      <w:kern w:val="2"/>
      <w:sz w:val="21"/>
      <w:szCs w:val="21"/>
      <w:lang w:val="en-US" w:eastAsia="zh-CN" w:bidi="ar-SA"/>
    </w:rPr>
  </w:style>
  <w:style w:type="character" w:customStyle="1" w:styleId="838">
    <w:name w:val="正文文字缩进 2 Char Char"/>
    <w:qFormat/>
    <w:uiPriority w:val="0"/>
    <w:rPr>
      <w:rFonts w:ascii="宋体"/>
      <w:sz w:val="28"/>
    </w:rPr>
  </w:style>
  <w:style w:type="paragraph" w:customStyle="1" w:styleId="83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40">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841">
    <w:name w:val="五级无标题条"/>
    <w:basedOn w:val="1"/>
    <w:qFormat/>
    <w:uiPriority w:val="0"/>
    <w:rPr>
      <w:rFonts w:ascii="Times New Roman" w:hAnsi="Times New Roman" w:eastAsia="宋体" w:cs="Times New Roman"/>
      <w:szCs w:val="24"/>
    </w:rPr>
  </w:style>
  <w:style w:type="paragraph" w:customStyle="1" w:styleId="842">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4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44">
    <w:name w:val="中文标题 3"/>
    <w:basedOn w:val="2"/>
    <w:qFormat/>
    <w:uiPriority w:val="0"/>
    <w:pPr>
      <w:adjustRightInd/>
      <w:spacing w:before="100" w:beforeAutospacing="1" w:after="100" w:afterAutospacing="1" w:line="360" w:lineRule="auto"/>
      <w:ind w:left="0" w:leftChars="0" w:firstLine="482"/>
    </w:pPr>
    <w:rPr>
      <w:rFonts w:eastAsia="楷体_GB2312"/>
      <w:kern w:val="28"/>
      <w:sz w:val="24"/>
      <w:lang w:val="zh-CN"/>
    </w:rPr>
  </w:style>
  <w:style w:type="paragraph" w:customStyle="1" w:styleId="845">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846">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847">
    <w:name w:val="表格非标题文字"/>
    <w:link w:val="84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8">
    <w:name w:val="表格非标题文字 Char"/>
    <w:link w:val="847"/>
    <w:qFormat/>
    <w:uiPriority w:val="0"/>
    <w:rPr>
      <w:rFonts w:ascii="Futura Bk" w:hAnsi="Futura Bk" w:eastAsia="宋体" w:cs="Times New Roman"/>
      <w:sz w:val="18"/>
      <w:szCs w:val="21"/>
    </w:rPr>
  </w:style>
  <w:style w:type="character" w:customStyle="1" w:styleId="849">
    <w:name w:val="Table Text Char"/>
    <w:link w:val="528"/>
    <w:qFormat/>
    <w:uiPriority w:val="0"/>
    <w:rPr>
      <w:rFonts w:ascii="Times New Roman" w:hAnsi="Times New Roman" w:eastAsia="宋体" w:cs="Times New Roman"/>
      <w:kern w:val="0"/>
      <w:sz w:val="24"/>
      <w:szCs w:val="24"/>
      <w:lang w:val="zh-CN"/>
    </w:rPr>
  </w:style>
  <w:style w:type="character" w:customStyle="1" w:styleId="850">
    <w:name w:val="页眉 字符"/>
    <w:qFormat/>
    <w:uiPriority w:val="99"/>
    <w:rPr>
      <w:kern w:val="2"/>
      <w:sz w:val="18"/>
      <w:szCs w:val="18"/>
    </w:rPr>
  </w:style>
  <w:style w:type="character" w:customStyle="1" w:styleId="851">
    <w:name w:val="页脚 字符"/>
    <w:qFormat/>
    <w:uiPriority w:val="99"/>
    <w:rPr>
      <w:kern w:val="2"/>
      <w:sz w:val="18"/>
      <w:szCs w:val="18"/>
    </w:rPr>
  </w:style>
  <w:style w:type="character" w:customStyle="1" w:styleId="852">
    <w:name w:val="列表段落 字符"/>
    <w:qFormat/>
    <w:uiPriority w:val="34"/>
  </w:style>
  <w:style w:type="paragraph" w:customStyle="1" w:styleId="853">
    <w:name w:val="列表段落1"/>
    <w:basedOn w:val="1"/>
    <w:qFormat/>
    <w:uiPriority w:val="34"/>
    <w:pPr>
      <w:ind w:right="238" w:firstLine="420"/>
    </w:pPr>
    <w:rPr>
      <w:rFonts w:ascii="Calibri" w:hAnsi="Calibri" w:eastAsia="宋体" w:cs="Times New Roman"/>
      <w:sz w:val="24"/>
      <w:szCs w:val="24"/>
    </w:rPr>
  </w:style>
  <w:style w:type="character" w:customStyle="1" w:styleId="854">
    <w:name w:val="标题 2 字符"/>
    <w:qFormat/>
    <w:uiPriority w:val="9"/>
    <w:rPr>
      <w:rFonts w:ascii="仿宋_GB2312" w:hAnsi="Times New Roman" w:eastAsia="仿宋_GB2312" w:cs="Times New Roman"/>
      <w:b/>
      <w:kern w:val="2"/>
      <w:sz w:val="24"/>
      <w:lang w:val="zh-CN"/>
    </w:rPr>
  </w:style>
  <w:style w:type="paragraph" w:customStyle="1" w:styleId="855">
    <w:name w:val="样式 标题 3h33rd level3BOD 0H3l3CTHeading 3 - oldLevel 3 He..."/>
    <w:basedOn w:val="6"/>
    <w:qFormat/>
    <w:uiPriority w:val="99"/>
    <w:pPr>
      <w:keepLines w:val="0"/>
      <w:widowControl/>
      <w:numPr>
        <w:ilvl w:val="0"/>
        <w:numId w:val="8"/>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856">
    <w:name w:val="4级标题"/>
    <w:basedOn w:val="531"/>
    <w:qFormat/>
    <w:uiPriority w:val="0"/>
    <w:pPr>
      <w:keepLines/>
      <w:numPr>
        <w:ilvl w:val="3"/>
        <w:numId w:val="8"/>
      </w:numPr>
      <w:adjustRightInd/>
      <w:ind w:firstLineChars="0"/>
      <w:jc w:val="left"/>
      <w:outlineLvl w:val="3"/>
    </w:pPr>
    <w:rPr>
      <w:rFonts w:ascii="黑体" w:hAnsi="黑体" w:eastAsia="黑体" w:cs="Times New Roman"/>
      <w:kern w:val="0"/>
      <w:sz w:val="28"/>
      <w:lang w:val="zh-CN" w:eastAsia="en-US" w:bidi="en-US"/>
    </w:rPr>
  </w:style>
  <w:style w:type="paragraph" w:customStyle="1" w:styleId="857">
    <w:name w:val="3级"/>
    <w:basedOn w:val="855"/>
    <w:link w:val="858"/>
    <w:qFormat/>
    <w:uiPriority w:val="0"/>
    <w:pPr>
      <w:ind w:left="0" w:right="466" w:firstLine="288"/>
    </w:pPr>
    <w:rPr>
      <w:rFonts w:hAnsi="宋体"/>
    </w:rPr>
  </w:style>
  <w:style w:type="character" w:customStyle="1" w:styleId="858">
    <w:name w:val="3级 Char"/>
    <w:link w:val="857"/>
    <w:qFormat/>
    <w:uiPriority w:val="0"/>
    <w:rPr>
      <w:rFonts w:ascii="宋体" w:hAnsi="宋体" w:eastAsia="宋体" w:cs="Times New Roman"/>
      <w:b/>
      <w:bCs/>
      <w:snapToGrid w:val="0"/>
      <w:kern w:val="0"/>
      <w:sz w:val="28"/>
      <w:szCs w:val="20"/>
      <w:lang w:val="zh-CN"/>
    </w:rPr>
  </w:style>
  <w:style w:type="character" w:customStyle="1" w:styleId="859">
    <w:name w:val="标题 3 字符"/>
    <w:qFormat/>
    <w:uiPriority w:val="9"/>
    <w:rPr>
      <w:b/>
      <w:bCs/>
      <w:kern w:val="2"/>
      <w:sz w:val="32"/>
      <w:szCs w:val="32"/>
    </w:rPr>
  </w:style>
  <w:style w:type="character" w:customStyle="1" w:styleId="860">
    <w:name w:val="标题 4 字符"/>
    <w:qFormat/>
    <w:uiPriority w:val="9"/>
    <w:rPr>
      <w:rFonts w:ascii="等线 Light" w:hAnsi="等线 Light" w:eastAsia="等线 Light" w:cs="Times New Roman"/>
      <w:b/>
      <w:bCs/>
      <w:snapToGrid/>
      <w:kern w:val="0"/>
      <w:sz w:val="28"/>
      <w:szCs w:val="28"/>
    </w:rPr>
  </w:style>
  <w:style w:type="character" w:customStyle="1" w:styleId="861">
    <w:name w:val="标题 1 字符"/>
    <w:qFormat/>
    <w:uiPriority w:val="9"/>
    <w:rPr>
      <w:rFonts w:ascii="Arial" w:hAnsi="Arial" w:eastAsia="黑体" w:cs="Arial"/>
      <w:b/>
      <w:bCs/>
      <w:snapToGrid/>
      <w:kern w:val="44"/>
      <w:sz w:val="44"/>
      <w:szCs w:val="44"/>
    </w:rPr>
  </w:style>
  <w:style w:type="character" w:customStyle="1" w:styleId="862">
    <w:name w:val="批注文字 字符"/>
    <w:qFormat/>
    <w:uiPriority w:val="0"/>
    <w:rPr>
      <w:rFonts w:ascii="Arial" w:hAnsi="Arial" w:eastAsia="黑体" w:cs="Arial"/>
      <w:snapToGrid/>
      <w:kern w:val="0"/>
      <w:szCs w:val="21"/>
    </w:rPr>
  </w:style>
  <w:style w:type="character" w:customStyle="1" w:styleId="863">
    <w:name w:val="批注框文本 字符"/>
    <w:semiHidden/>
    <w:qFormat/>
    <w:uiPriority w:val="99"/>
    <w:rPr>
      <w:rFonts w:ascii="Arial" w:hAnsi="Arial" w:eastAsia="黑体" w:cs="Arial"/>
      <w:snapToGrid/>
      <w:kern w:val="0"/>
      <w:sz w:val="18"/>
      <w:szCs w:val="18"/>
    </w:rPr>
  </w:style>
  <w:style w:type="paragraph" w:customStyle="1" w:styleId="8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65">
    <w:name w:val="纯文本 字符"/>
    <w:qFormat/>
    <w:uiPriority w:val="0"/>
    <w:rPr>
      <w:rFonts w:ascii="宋体" w:hAnsi="Courier New" w:eastAsia="宋体" w:cs="Arial"/>
      <w:snapToGrid w:val="0"/>
      <w:kern w:val="2"/>
      <w:sz w:val="21"/>
      <w:szCs w:val="21"/>
      <w:lang w:val="en-US" w:eastAsia="zh-CN" w:bidi="ar-SA"/>
    </w:rPr>
  </w:style>
  <w:style w:type="paragraph" w:customStyle="1" w:styleId="866">
    <w:name w:val="_标题2"/>
    <w:basedOn w:val="867"/>
    <w:next w:val="86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867">
    <w:name w:val="__正文"/>
    <w:link w:val="868"/>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character" w:customStyle="1" w:styleId="868">
    <w:name w:val="__正文 Char"/>
    <w:link w:val="867"/>
    <w:qFormat/>
    <w:uiPriority w:val="0"/>
    <w:rPr>
      <w:rFonts w:ascii="Calibri" w:hAnsi="Calibri" w:eastAsia="等线" w:cs="Times New Roman"/>
      <w:sz w:val="24"/>
      <w:szCs w:val="21"/>
    </w:rPr>
  </w:style>
  <w:style w:type="paragraph" w:customStyle="1" w:styleId="869">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870">
    <w:name w:val="_标题3"/>
    <w:basedOn w:val="867"/>
    <w:next w:val="867"/>
    <w:qFormat/>
    <w:uiPriority w:val="0"/>
    <w:pPr>
      <w:widowControl w:val="0"/>
      <w:spacing w:before="50" w:beforeLines="50" w:after="50" w:afterLines="50"/>
      <w:ind w:firstLine="0" w:firstLineChars="0"/>
      <w:outlineLvl w:val="2"/>
    </w:pPr>
    <w:rPr>
      <w:rFonts w:eastAsia="宋体"/>
      <w:b/>
      <w:sz w:val="32"/>
    </w:rPr>
  </w:style>
  <w:style w:type="paragraph" w:customStyle="1" w:styleId="871">
    <w:name w:val="_标题1"/>
    <w:basedOn w:val="867"/>
    <w:next w:val="867"/>
    <w:qFormat/>
    <w:uiPriority w:val="0"/>
    <w:pPr>
      <w:widowControl w:val="0"/>
      <w:spacing w:before="156" w:beforeLines="50" w:after="156" w:afterLines="50"/>
      <w:ind w:firstLine="0" w:firstLineChars="0"/>
      <w:outlineLvl w:val="0"/>
    </w:pPr>
    <w:rPr>
      <w:rFonts w:eastAsia="黑体"/>
      <w:b/>
      <w:sz w:val="32"/>
    </w:rPr>
  </w:style>
  <w:style w:type="paragraph" w:customStyle="1" w:styleId="872">
    <w:name w:val="_标题5"/>
    <w:basedOn w:val="867"/>
    <w:next w:val="867"/>
    <w:qFormat/>
    <w:uiPriority w:val="0"/>
    <w:pPr>
      <w:spacing w:before="120" w:after="120"/>
      <w:ind w:left="4679" w:firstLine="0" w:firstLineChars="0"/>
      <w:outlineLvl w:val="4"/>
    </w:pPr>
    <w:rPr>
      <w:rFonts w:ascii="仿宋" w:hAnsi="仿宋" w:eastAsia="仿宋"/>
      <w:b/>
      <w:sz w:val="28"/>
    </w:rPr>
  </w:style>
  <w:style w:type="character" w:customStyle="1" w:styleId="873">
    <w:name w:val="标准正文 Char"/>
    <w:link w:val="633"/>
    <w:qFormat/>
    <w:uiPriority w:val="0"/>
    <w:rPr>
      <w:rFonts w:ascii="Times New Roman" w:hAnsi="Times New Roman" w:eastAsia="宋体" w:cs="Times New Roman"/>
      <w:sz w:val="24"/>
      <w:szCs w:val="24"/>
    </w:rPr>
  </w:style>
  <w:style w:type="paragraph" w:customStyle="1" w:styleId="874">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875">
    <w:name w:val="！正文（四号字）"/>
    <w:link w:val="876"/>
    <w:qFormat/>
    <w:uiPriority w:val="0"/>
    <w:pPr>
      <w:snapToGrid w:val="0"/>
      <w:spacing w:before="211"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876">
    <w:name w:val="！正文（四号字） Char"/>
    <w:link w:val="875"/>
    <w:qFormat/>
    <w:uiPriority w:val="0"/>
    <w:rPr>
      <w:rFonts w:ascii="等线" w:hAnsi="等线" w:eastAsia="仿宋_GB2312" w:cs="黑体"/>
      <w:sz w:val="24"/>
      <w:szCs w:val="28"/>
    </w:rPr>
  </w:style>
  <w:style w:type="table" w:customStyle="1" w:styleId="877">
    <w:name w:val="Table Normal"/>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character" w:customStyle="1" w:styleId="878">
    <w:name w:val="正文1 Char Char"/>
    <w:link w:val="374"/>
    <w:qFormat/>
    <w:locked/>
    <w:uiPriority w:val="0"/>
    <w:rPr>
      <w:rFonts w:ascii="仿宋_GB2312" w:hAnsi="Courier New" w:eastAsia="仿宋_GB2312" w:cs="Times New Roman"/>
      <w:kern w:val="28"/>
      <w:sz w:val="24"/>
      <w:szCs w:val="24"/>
    </w:rPr>
  </w:style>
  <w:style w:type="character" w:customStyle="1" w:styleId="879">
    <w:name w:val="段 Char"/>
    <w:link w:val="376"/>
    <w:qFormat/>
    <w:locked/>
    <w:uiPriority w:val="0"/>
    <w:rPr>
      <w:rFonts w:ascii="宋体" w:hAnsi="Times New Roman" w:eastAsia="宋体" w:cs="Times New Roman"/>
      <w:kern w:val="0"/>
      <w:szCs w:val="20"/>
    </w:rPr>
  </w:style>
  <w:style w:type="paragraph" w:customStyle="1" w:styleId="880">
    <w:name w:val="Char Char Char Char Char Char2 Char Char Char Char"/>
    <w:basedOn w:val="1"/>
    <w:qFormat/>
    <w:uiPriority w:val="0"/>
    <w:rPr>
      <w:rFonts w:ascii="Times New Roman" w:hAnsi="Times New Roman" w:eastAsia="宋体" w:cs="Times New Roman"/>
      <w:szCs w:val="24"/>
    </w:rPr>
  </w:style>
  <w:style w:type="character" w:customStyle="1" w:styleId="881">
    <w:name w:val="正文(首行缩进) Char"/>
    <w:link w:val="882"/>
    <w:qFormat/>
    <w:locked/>
    <w:uiPriority w:val="0"/>
    <w:rPr>
      <w:rFonts w:ascii="Arial" w:hAnsi="Arial" w:cs="Arial"/>
      <w:szCs w:val="24"/>
    </w:rPr>
  </w:style>
  <w:style w:type="paragraph" w:customStyle="1" w:styleId="882">
    <w:name w:val="正文(首行缩进)"/>
    <w:basedOn w:val="1"/>
    <w:next w:val="1"/>
    <w:link w:val="881"/>
    <w:qFormat/>
    <w:uiPriority w:val="0"/>
    <w:pPr>
      <w:snapToGrid w:val="0"/>
      <w:spacing w:before="10" w:line="360" w:lineRule="auto"/>
      <w:ind w:firstLine="482"/>
    </w:pPr>
    <w:rPr>
      <w:rFonts w:ascii="Arial" w:hAnsi="Arial" w:cs="Arial"/>
      <w:szCs w:val="24"/>
    </w:rPr>
  </w:style>
  <w:style w:type="paragraph" w:customStyle="1" w:styleId="883">
    <w:name w:val="条目2"/>
    <w:basedOn w:val="33"/>
    <w:qFormat/>
    <w:uiPriority w:val="0"/>
    <w:pPr>
      <w:tabs>
        <w:tab w:val="left" w:pos="420"/>
      </w:tabs>
      <w:adjustRightInd/>
      <w:spacing w:line="360" w:lineRule="auto"/>
      <w:ind w:left="420" w:hanging="420"/>
    </w:pPr>
    <w:rPr>
      <w:rFonts w:cs="Courier New"/>
      <w:snapToGrid/>
      <w:color w:val="000000"/>
      <w:sz w:val="24"/>
    </w:rPr>
  </w:style>
  <w:style w:type="character" w:customStyle="1" w:styleId="884">
    <w:name w:val="样式1 Char"/>
    <w:link w:val="512"/>
    <w:qFormat/>
    <w:locked/>
    <w:uiPriority w:val="0"/>
    <w:rPr>
      <w:rFonts w:ascii="宋体" w:hAnsi="宋体" w:eastAsia="宋体" w:cs="Times New Roman"/>
      <w:kern w:val="0"/>
      <w:sz w:val="24"/>
      <w:szCs w:val="20"/>
    </w:rPr>
  </w:style>
  <w:style w:type="paragraph" w:customStyle="1" w:styleId="885">
    <w:name w:val="HD正文1"/>
    <w:basedOn w:val="1"/>
    <w:next w:val="2"/>
    <w:qFormat/>
    <w:uiPriority w:val="0"/>
    <w:pPr>
      <w:spacing w:line="360" w:lineRule="auto"/>
      <w:ind w:firstLine="480" w:firstLineChars="200"/>
    </w:pPr>
    <w:rPr>
      <w:rFonts w:ascii="宋体" w:hAnsi="宋体" w:eastAsia="宋体" w:cs="Times New Roman"/>
      <w:sz w:val="24"/>
      <w:szCs w:val="21"/>
    </w:rPr>
  </w:style>
  <w:style w:type="paragraph" w:customStyle="1" w:styleId="886">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887">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88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889">
    <w:name w:val="Char Char Char Char Char Char Char Char Char Char Char"/>
    <w:basedOn w:val="1"/>
    <w:qFormat/>
    <w:uiPriority w:val="0"/>
    <w:rPr>
      <w:rFonts w:ascii="Tahoma" w:hAnsi="Tahoma" w:eastAsia="宋体" w:cs="Times New Roman"/>
      <w:sz w:val="24"/>
      <w:szCs w:val="20"/>
    </w:rPr>
  </w:style>
  <w:style w:type="paragraph" w:customStyle="1" w:styleId="890">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891">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892">
    <w:name w:val="条目3"/>
    <w:basedOn w:val="33"/>
    <w:qFormat/>
    <w:uiPriority w:val="0"/>
    <w:pPr>
      <w:adjustRightInd/>
      <w:spacing w:line="360" w:lineRule="auto"/>
    </w:pPr>
    <w:rPr>
      <w:rFonts w:cs="Courier New"/>
      <w:snapToGrid/>
      <w:color w:val="000000"/>
      <w:sz w:val="24"/>
    </w:rPr>
  </w:style>
  <w:style w:type="paragraph" w:customStyle="1" w:styleId="893">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894">
    <w:name w:val="列出段落6"/>
    <w:basedOn w:val="1"/>
    <w:qFormat/>
    <w:uiPriority w:val="0"/>
    <w:pPr>
      <w:spacing w:line="360" w:lineRule="auto"/>
      <w:ind w:firstLine="420" w:firstLineChars="200"/>
    </w:pPr>
    <w:rPr>
      <w:rFonts w:ascii="Calibri" w:hAnsi="Calibri" w:eastAsia="宋体" w:cs="Times New Roman"/>
      <w:sz w:val="24"/>
    </w:rPr>
  </w:style>
  <w:style w:type="paragraph" w:customStyle="1" w:styleId="895">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896">
    <w:name w:val="DN-正文 Char"/>
    <w:link w:val="897"/>
    <w:qFormat/>
    <w:locked/>
    <w:uiPriority w:val="0"/>
    <w:rPr>
      <w:rFonts w:ascii="Arial" w:hAnsi="Arial" w:cs="Arial"/>
      <w:szCs w:val="24"/>
    </w:rPr>
  </w:style>
  <w:style w:type="paragraph" w:customStyle="1" w:styleId="897">
    <w:name w:val="DN-正文"/>
    <w:basedOn w:val="3"/>
    <w:link w:val="896"/>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898">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99">
    <w:name w:val="文字列表"/>
    <w:basedOn w:val="25"/>
    <w:qFormat/>
    <w:uiPriority w:val="0"/>
    <w:pPr>
      <w:tabs>
        <w:tab w:val="left" w:pos="840"/>
      </w:tabs>
      <w:autoSpaceDE/>
      <w:autoSpaceDN/>
      <w:adjustRightInd/>
      <w:ind w:left="900" w:leftChars="200" w:hanging="432"/>
    </w:pPr>
    <w:rPr>
      <w:rFonts w:hAnsi="宋体" w:eastAsia="宋体" w:cs="Arial"/>
      <w:szCs w:val="24"/>
      <w:lang w:val="en-US"/>
    </w:rPr>
  </w:style>
  <w:style w:type="paragraph" w:customStyle="1" w:styleId="900">
    <w:name w:val="批注主题 Char Char"/>
    <w:basedOn w:val="20"/>
    <w:next w:val="20"/>
    <w:qFormat/>
    <w:uiPriority w:val="0"/>
    <w:pPr>
      <w:adjustRightInd/>
    </w:pPr>
    <w:rPr>
      <w:rFonts w:ascii="仿宋_GB2312"/>
      <w:b/>
      <w:bCs/>
      <w:sz w:val="32"/>
      <w:szCs w:val="32"/>
    </w:rPr>
  </w:style>
  <w:style w:type="character" w:customStyle="1" w:styleId="901">
    <w:name w:val="普通正文 Char Char"/>
    <w:link w:val="496"/>
    <w:qFormat/>
    <w:locked/>
    <w:uiPriority w:val="0"/>
    <w:rPr>
      <w:rFonts w:ascii="Arial" w:hAnsi="Arial" w:eastAsia="宋体" w:cs="Times New Roman"/>
      <w:kern w:val="0"/>
      <w:sz w:val="24"/>
      <w:szCs w:val="24"/>
    </w:rPr>
  </w:style>
  <w:style w:type="paragraph" w:customStyle="1" w:styleId="902">
    <w:name w:val="无间隔3"/>
    <w:qFormat/>
    <w:uiPriority w:val="0"/>
    <w:rPr>
      <w:rFonts w:ascii="Calibri" w:hAnsi="Calibri" w:eastAsia="宋体" w:cs="Times New Roman"/>
      <w:sz w:val="22"/>
      <w:szCs w:val="22"/>
      <w:lang w:val="en-US" w:eastAsia="en-US" w:bidi="ar-SA"/>
    </w:rPr>
  </w:style>
  <w:style w:type="character" w:customStyle="1" w:styleId="903">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04">
    <w:name w:val="c1"/>
    <w:qFormat/>
    <w:uiPriority w:val="0"/>
    <w:rPr>
      <w:rFonts w:hint="eastAsia" w:ascii="仿宋_GB2312" w:hAnsi="Arial" w:eastAsia="宋体" w:cs="Arial"/>
      <w:b/>
      <w:snapToGrid w:val="0"/>
      <w:kern w:val="2"/>
      <w:sz w:val="21"/>
      <w:szCs w:val="21"/>
      <w:lang w:val="en-US" w:eastAsia="zh-CN" w:bidi="ar-SA"/>
    </w:rPr>
  </w:style>
  <w:style w:type="character" w:customStyle="1" w:styleId="905">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06">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07">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08">
    <w:name w:val="标题 8 Char1"/>
    <w:qFormat/>
    <w:uiPriority w:val="0"/>
    <w:rPr>
      <w:rFonts w:hint="default" w:ascii="Cambria" w:hAnsi="Cambria" w:eastAsia="宋体" w:cs="Times New Roman"/>
      <w:snapToGrid w:val="0"/>
      <w:kern w:val="2"/>
      <w:sz w:val="24"/>
      <w:szCs w:val="24"/>
    </w:rPr>
  </w:style>
  <w:style w:type="character" w:customStyle="1" w:styleId="909">
    <w:name w:val="标题 7 Char1"/>
    <w:qFormat/>
    <w:uiPriority w:val="0"/>
    <w:rPr>
      <w:rFonts w:hint="default" w:ascii="Times New Roman" w:hAnsi="Times New Roman" w:eastAsia="黑体" w:cs="Arial"/>
      <w:b/>
      <w:bCs/>
      <w:snapToGrid w:val="0"/>
      <w:kern w:val="2"/>
      <w:sz w:val="24"/>
      <w:szCs w:val="24"/>
    </w:rPr>
  </w:style>
  <w:style w:type="character" w:customStyle="1" w:styleId="910">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11">
    <w:name w:val="标题 9 Char1"/>
    <w:qFormat/>
    <w:uiPriority w:val="0"/>
    <w:rPr>
      <w:rFonts w:hint="default" w:ascii="Cambria" w:hAnsi="Cambria" w:eastAsia="宋体" w:cs="Times New Roman"/>
      <w:snapToGrid w:val="0"/>
      <w:kern w:val="2"/>
      <w:sz w:val="21"/>
      <w:szCs w:val="21"/>
    </w:rPr>
  </w:style>
  <w:style w:type="character" w:customStyle="1" w:styleId="912">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13">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14">
    <w:name w:val="标题 3 Char1"/>
    <w:semiHidden/>
    <w:qFormat/>
    <w:locked/>
    <w:uiPriority w:val="0"/>
    <w:rPr>
      <w:rFonts w:ascii="Times New Roman" w:hAnsi="Times New Roman" w:eastAsia="宋体" w:cs="Times New Roman"/>
      <w:b/>
      <w:bCs/>
      <w:sz w:val="32"/>
      <w:szCs w:val="32"/>
    </w:rPr>
  </w:style>
  <w:style w:type="character" w:customStyle="1" w:styleId="915">
    <w:name w:val="标题 5 Char1"/>
    <w:qFormat/>
    <w:uiPriority w:val="0"/>
    <w:rPr>
      <w:rFonts w:hint="default" w:ascii="Times New Roman" w:hAnsi="Times New Roman" w:eastAsia="黑体" w:cs="Arial"/>
      <w:b/>
      <w:bCs/>
      <w:snapToGrid w:val="0"/>
      <w:kern w:val="2"/>
      <w:sz w:val="28"/>
      <w:szCs w:val="28"/>
    </w:rPr>
  </w:style>
  <w:style w:type="character" w:customStyle="1" w:styleId="916">
    <w:name w:val="未用 Char3"/>
    <w:qFormat/>
    <w:uiPriority w:val="0"/>
    <w:rPr>
      <w:rFonts w:hint="default" w:ascii="Arial" w:hAnsi="Arial" w:eastAsia="黑体" w:cs="Arial"/>
      <w:kern w:val="2"/>
      <w:sz w:val="21"/>
      <w:szCs w:val="21"/>
      <w:lang w:bidi="ar-SA"/>
    </w:rPr>
  </w:style>
  <w:style w:type="character" w:customStyle="1" w:styleId="917">
    <w:name w:val="PI Char3"/>
    <w:qFormat/>
    <w:uiPriority w:val="0"/>
    <w:rPr>
      <w:rFonts w:hint="eastAsia" w:ascii="宋体" w:hAnsi="宋体" w:eastAsia="宋体"/>
      <w:kern w:val="2"/>
      <w:sz w:val="24"/>
      <w:szCs w:val="24"/>
    </w:rPr>
  </w:style>
  <w:style w:type="character" w:customStyle="1" w:styleId="918">
    <w:name w:val="图名 Char3"/>
    <w:qFormat/>
    <w:uiPriority w:val="0"/>
    <w:rPr>
      <w:rFonts w:hint="default" w:ascii="Arial" w:hAnsi="Arial" w:eastAsia="黑体" w:cs="Arial"/>
      <w:kern w:val="2"/>
      <w:sz w:val="24"/>
      <w:szCs w:val="24"/>
      <w:lang w:bidi="ar-SA"/>
    </w:rPr>
  </w:style>
  <w:style w:type="character" w:customStyle="1" w:styleId="919">
    <w:name w:val="表名 Char3"/>
    <w:qFormat/>
    <w:uiPriority w:val="0"/>
    <w:rPr>
      <w:rFonts w:hint="eastAsia" w:ascii="宋体" w:hAnsi="宋体" w:eastAsia="宋体"/>
      <w:b/>
      <w:bCs/>
      <w:kern w:val="2"/>
      <w:sz w:val="24"/>
      <w:szCs w:val="24"/>
      <w:lang w:bidi="ar-SA"/>
    </w:rPr>
  </w:style>
  <w:style w:type="character" w:customStyle="1" w:styleId="920">
    <w:name w:val="Heading sql Char3"/>
    <w:qFormat/>
    <w:uiPriority w:val="0"/>
    <w:rPr>
      <w:rFonts w:hint="default" w:ascii="Arial" w:hAnsi="Arial" w:eastAsia="黑体" w:cs="Arial"/>
      <w:b/>
      <w:bCs/>
      <w:kern w:val="2"/>
      <w:sz w:val="28"/>
      <w:szCs w:val="28"/>
      <w:lang w:val="zh-CN" w:bidi="ar-SA"/>
    </w:rPr>
  </w:style>
  <w:style w:type="character" w:customStyle="1" w:styleId="921">
    <w:name w:val="H6 Char3"/>
    <w:qFormat/>
    <w:uiPriority w:val="0"/>
    <w:rPr>
      <w:rFonts w:hint="default" w:ascii="Arial" w:hAnsi="Arial" w:eastAsia="黑体" w:cs="Arial"/>
      <w:b/>
      <w:bCs/>
      <w:kern w:val="2"/>
      <w:sz w:val="24"/>
      <w:szCs w:val="24"/>
      <w:lang w:bidi="ar-SA"/>
    </w:rPr>
  </w:style>
  <w:style w:type="character" w:customStyle="1" w:styleId="922">
    <w:name w:val="正文首行缩进 Char Char"/>
    <w:qFormat/>
    <w:uiPriority w:val="0"/>
    <w:rPr>
      <w:rFonts w:hint="eastAsia" w:ascii="宋体" w:hAnsi="宋体" w:eastAsia="宋体"/>
      <w:kern w:val="2"/>
      <w:sz w:val="21"/>
      <w:szCs w:val="24"/>
      <w:lang w:val="en-US" w:eastAsia="zh-CN" w:bidi="ar-SA"/>
    </w:rPr>
  </w:style>
  <w:style w:type="character" w:customStyle="1" w:styleId="923">
    <w:name w:val="签名 Char Char"/>
    <w:qFormat/>
    <w:uiPriority w:val="0"/>
    <w:rPr>
      <w:rFonts w:hint="default" w:ascii="Arial" w:hAnsi="Arial" w:eastAsia="宋体" w:cs="Arial"/>
      <w:snapToGrid w:val="0"/>
      <w:kern w:val="0"/>
      <w:szCs w:val="24"/>
      <w:lang w:bidi="ar-SA"/>
    </w:rPr>
  </w:style>
  <w:style w:type="character" w:customStyle="1" w:styleId="924">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25">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26">
    <w:name w:val="称呼 Char Char"/>
    <w:qFormat/>
    <w:uiPriority w:val="0"/>
    <w:rPr>
      <w:rFonts w:hint="default" w:ascii="Arial" w:hAnsi="Arial" w:eastAsia="宋体" w:cs="Arial"/>
      <w:b/>
      <w:bCs/>
      <w:snapToGrid w:val="0"/>
      <w:kern w:val="0"/>
      <w:szCs w:val="24"/>
      <w:lang w:bidi="ar-SA"/>
    </w:rPr>
  </w:style>
  <w:style w:type="character" w:customStyle="1" w:styleId="927">
    <w:name w:val="正文文本缩进 Char3"/>
    <w:basedOn w:val="69"/>
    <w:semiHidden/>
    <w:qFormat/>
    <w:uiPriority w:val="99"/>
    <w:rPr>
      <w:rFonts w:hint="default" w:ascii="Arial" w:hAnsi="Arial" w:eastAsia="黑体" w:cs="Arial"/>
      <w:snapToGrid w:val="0"/>
      <w:kern w:val="2"/>
      <w:sz w:val="21"/>
      <w:szCs w:val="24"/>
    </w:rPr>
  </w:style>
  <w:style w:type="character" w:customStyle="1" w:styleId="928">
    <w:name w:val="正文文本 Char3"/>
    <w:basedOn w:val="69"/>
    <w:semiHidden/>
    <w:qFormat/>
    <w:uiPriority w:val="99"/>
    <w:rPr>
      <w:rFonts w:hint="default" w:ascii="Arial" w:hAnsi="Arial" w:eastAsia="黑体" w:cs="Arial"/>
      <w:snapToGrid w:val="0"/>
      <w:kern w:val="2"/>
      <w:sz w:val="21"/>
      <w:szCs w:val="24"/>
    </w:rPr>
  </w:style>
  <w:style w:type="character" w:customStyle="1" w:styleId="929">
    <w:name w:val="标题 Char2"/>
    <w:basedOn w:val="69"/>
    <w:qFormat/>
    <w:uiPriority w:val="10"/>
    <w:rPr>
      <w:rFonts w:hint="default" w:eastAsia="黑体" w:asciiTheme="majorHAnsi" w:hAnsiTheme="majorHAnsi" w:cstheme="majorBidi"/>
      <w:b/>
      <w:bCs/>
      <w:snapToGrid w:val="0"/>
      <w:kern w:val="2"/>
      <w:sz w:val="32"/>
      <w:szCs w:val="32"/>
    </w:rPr>
  </w:style>
  <w:style w:type="paragraph" w:customStyle="1" w:styleId="930">
    <w:name w:val="_Style 657"/>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931">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932">
    <w:name w:val="[Normal]"/>
    <w:qFormat/>
    <w:uiPriority w:val="0"/>
    <w:rPr>
      <w:rFonts w:ascii="宋体" w:hAnsi="宋体" w:eastAsia="宋体" w:cs="Times New Roman"/>
      <w:sz w:val="24"/>
      <w:szCs w:val="22"/>
      <w:lang w:val="zh-CN" w:eastAsia="zh-CN" w:bidi="ar-SA"/>
    </w:rPr>
  </w:style>
  <w:style w:type="character" w:customStyle="1" w:styleId="933">
    <w:name w:val="font91"/>
    <w:basedOn w:val="69"/>
    <w:qFormat/>
    <w:uiPriority w:val="0"/>
    <w:rPr>
      <w:rFonts w:hint="eastAsia" w:ascii="宋体" w:hAnsi="宋体" w:eastAsia="宋体" w:cs="宋体"/>
      <w:b/>
      <w:color w:val="000000"/>
      <w:sz w:val="20"/>
      <w:szCs w:val="20"/>
      <w:u w:val="none"/>
    </w:rPr>
  </w:style>
  <w:style w:type="character" w:customStyle="1" w:styleId="934">
    <w:name w:val="font71"/>
    <w:basedOn w:val="69"/>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B8738-B03B-413D-B900-FEE6809823C5}">
  <ds:schemaRefs/>
</ds:datastoreItem>
</file>

<file path=docProps/app.xml><?xml version="1.0" encoding="utf-8"?>
<Properties xmlns="http://schemas.openxmlformats.org/officeDocument/2006/extended-properties" xmlns:vt="http://schemas.openxmlformats.org/officeDocument/2006/docPropsVTypes">
  <Template>Normal.dotm</Template>
  <Pages>75</Pages>
  <Words>6831</Words>
  <Characters>38942</Characters>
  <Lines>324</Lines>
  <Paragraphs>91</Paragraphs>
  <TotalTime>19</TotalTime>
  <ScaleCrop>false</ScaleCrop>
  <LinksUpToDate>false</LinksUpToDate>
  <CharactersWithSpaces>45682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2021-03-04T02:54:00Z</dcterms:created>
  <dc:creator>mb</dc:creator>
  <cp:lastModifiedBy>杨颖</cp:lastModifiedBy>
  <dcterms:modified xsi:type="dcterms:W3CDTF">2021-12-13T05:38:16Z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38FFC216290E45AE937A3F4DF40FD81C</vt:lpwstr>
  </property>
</Properties>
</file>