
<file path=[Content_Types].xml><?xml version="1.0" encoding="utf-8"?>
<Types xmlns="http://schemas.openxmlformats.org/package/2006/content-types">
  <Default ContentType="image/png" Extension="png"/>
  <Default ContentType="application/vnd.openxmlformats-package.relationships+xml" Extension="rels"/>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sz w:val="48"/>
          <w:szCs w:val="48"/>
        </w:rPr>
      </w:pPr>
      <w:bookmarkStart w:id="211" w:name="_GoBack"/>
      <w:bookmarkEnd w:id="211"/>
      <w:r>
        <w:rPr>
          <w:rFonts w:hint="eastAsia" w:ascii="仿宋" w:hAnsi="仿宋" w:eastAsia="仿宋" w:cs="仿宋"/>
          <w:b/>
          <w:sz w:val="48"/>
          <w:szCs w:val="48"/>
        </w:rPr>
        <w:t>淳安县全链路网络安全监管平台（一期）建设采购项目</w:t>
      </w:r>
    </w:p>
    <w:p>
      <w:pPr>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w:t>
      </w:r>
      <w:r>
        <w:rPr>
          <w:rFonts w:ascii="仿宋" w:hAnsi="仿宋" w:eastAsia="仿宋" w:cs="仿宋"/>
          <w:sz w:val="30"/>
          <w:szCs w:val="30"/>
        </w:rPr>
        <w:t>: ZJCGZF[2021]149</w:t>
      </w:r>
      <w:r>
        <w:rPr>
          <w:rFonts w:hint="eastAsia" w:ascii="仿宋" w:hAnsi="仿宋" w:eastAsia="仿宋" w:cs="仿宋"/>
          <w:sz w:val="30"/>
          <w:szCs w:val="30"/>
        </w:rPr>
        <w:t>号</w:t>
      </w:r>
    </w:p>
    <w:p>
      <w:pPr>
        <w:spacing w:line="140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40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40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40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采购单位：淳安县人民政府办公室</w:t>
      </w:r>
    </w:p>
    <w:p>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代理机构：浙江辰光管理有限公司</w:t>
      </w:r>
    </w:p>
    <w:p>
      <w:pPr>
        <w:snapToGrid w:val="0"/>
        <w:spacing w:line="360" w:lineRule="auto"/>
        <w:jc w:val="center"/>
        <w:rPr>
          <w:rFonts w:eastAsia="Times New Roman"/>
        </w:rPr>
      </w:pPr>
      <w:r>
        <w:rPr>
          <w:rFonts w:hint="eastAsia" w:ascii="仿宋" w:hAnsi="仿宋" w:eastAsia="仿宋" w:cs="仿宋"/>
          <w:bCs/>
          <w:sz w:val="32"/>
          <w:szCs w:val="32"/>
        </w:rPr>
        <w:t>二〇二一年十二月日</w:t>
      </w:r>
    </w:p>
    <w:tbl>
      <w:tblPr>
        <w:tblStyle w:val="34"/>
        <w:tblW w:w="9586" w:type="dxa"/>
        <w:tblInd w:w="-5" w:type="dxa"/>
        <w:tblLayout w:type="fixed"/>
        <w:tblCellMar>
          <w:top w:w="0" w:type="dxa"/>
          <w:left w:w="108" w:type="dxa"/>
          <w:bottom w:w="0" w:type="dxa"/>
          <w:right w:w="108" w:type="dxa"/>
        </w:tblCellMar>
      </w:tblPr>
      <w:tblGrid>
        <w:gridCol w:w="4788"/>
        <w:gridCol w:w="4798"/>
      </w:tblGrid>
      <w:tr>
        <w:tblPrEx>
          <w:tblCellMar>
            <w:top w:w="0" w:type="dxa"/>
            <w:left w:w="108" w:type="dxa"/>
            <w:bottom w:w="0" w:type="dxa"/>
            <w:right w:w="108" w:type="dxa"/>
          </w:tblCellMar>
        </w:tblPrEx>
        <w:trPr>
          <w:trHeight w:val="2929" w:hRule="atLeast"/>
        </w:trPr>
        <w:tc>
          <w:tcPr>
            <w:tcW w:w="4788" w:type="dxa"/>
            <w:tcBorders>
              <w:top w:val="single" w:color="000000" w:sz="4" w:space="0"/>
              <w:left w:val="single" w:color="000000" w:sz="4" w:space="0"/>
              <w:bottom w:val="single" w:color="000000" w:sz="4" w:space="0"/>
              <w:right w:val="single" w:color="000000" w:sz="4" w:space="0"/>
            </w:tcBorders>
            <w:noWrap w:val="0"/>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eastAsia="Times New Roman"/>
              </w:rPr>
            </w:pPr>
            <w:r>
              <w:rPr>
                <w:rFonts w:hint="eastAsia" w:ascii="仿宋" w:hAnsi="仿宋" w:eastAsia="仿宋" w:cs="仿宋"/>
                <w:sz w:val="32"/>
                <w:szCs w:val="32"/>
              </w:rPr>
              <w:t>日期：</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月日</w:t>
            </w:r>
          </w:p>
        </w:tc>
        <w:tc>
          <w:tcPr>
            <w:tcW w:w="4798" w:type="dxa"/>
            <w:tcBorders>
              <w:top w:val="single" w:color="000000" w:sz="4" w:space="0"/>
              <w:left w:val="single" w:color="000000" w:sz="4" w:space="0"/>
              <w:bottom w:val="single" w:color="000000" w:sz="4" w:space="0"/>
              <w:right w:val="single" w:color="000000" w:sz="4" w:space="0"/>
            </w:tcBorders>
            <w:noWrap w:val="0"/>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eastAsia="Times New Roman"/>
              </w:rPr>
            </w:pPr>
            <w:r>
              <w:rPr>
                <w:rFonts w:hint="eastAsia" w:ascii="仿宋" w:hAnsi="仿宋" w:eastAsia="仿宋" w:cs="仿宋"/>
                <w:sz w:val="32"/>
                <w:szCs w:val="32"/>
              </w:rPr>
              <w:t>日期：</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月日</w:t>
            </w:r>
          </w:p>
        </w:tc>
      </w:tr>
    </w:tbl>
    <w:p>
      <w:pPr>
        <w:rPr>
          <w:rFonts w:eastAsia="Times New Roman"/>
        </w:rPr>
        <w:sectPr>
          <w:headerReference r:id="rId3" w:type="default"/>
          <w:pgSz w:w="11906" w:h="16838"/>
          <w:pgMar w:top="1247" w:right="1417" w:bottom="1247" w:left="1417" w:header="851" w:footer="992" w:gutter="0"/>
          <w:pgNumType w:start="0"/>
          <w:cols w:space="720" w:num="1"/>
          <w:formProt w:val="0"/>
          <w:docGrid w:type="lines" w:linePitch="312" w:charSpace="0"/>
        </w:sectPr>
      </w:pPr>
    </w:p>
    <w:p>
      <w:pPr>
        <w:pStyle w:val="76"/>
        <w:spacing w:before="202" w:after="156"/>
        <w:jc w:val="center"/>
      </w:pPr>
      <w:r>
        <w:rPr>
          <w:rFonts w:hint="eastAsia" w:ascii="宋体" w:hAnsi="宋体" w:eastAsia="宋体" w:cs="宋体"/>
        </w:rPr>
        <w:t>目录</w:t>
      </w:r>
    </w:p>
    <w:p>
      <w:pPr>
        <w:pStyle w:val="26"/>
        <w:tabs>
          <w:tab w:val="right" w:leader="dot" w:pos="9072"/>
        </w:tabs>
        <w:spacing w:line="600" w:lineRule="auto"/>
        <w:rPr>
          <w:rFonts w:ascii="仿宋" w:hAnsi="仿宋" w:eastAsia="仿宋" w:cs="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TOC \o "1-1" \h \u</w:instrText>
      </w:r>
      <w:r>
        <w:rPr>
          <w:rFonts w:ascii="仿宋" w:hAnsi="仿宋" w:eastAsia="仿宋" w:cs="仿宋"/>
          <w:sz w:val="32"/>
          <w:szCs w:val="32"/>
        </w:rPr>
        <w:fldChar w:fldCharType="separate"/>
      </w:r>
      <w:r>
        <w:fldChar w:fldCharType="begin"/>
      </w:r>
      <w:r>
        <w:instrText xml:space="preserve"> HYPERLINK \l "__RefHeading___Toc13852" \h </w:instrText>
      </w:r>
      <w:r>
        <w:fldChar w:fldCharType="separate"/>
      </w:r>
      <w:r>
        <w:rPr>
          <w:rFonts w:hint="eastAsia" w:ascii="仿宋" w:hAnsi="仿宋" w:eastAsia="仿宋" w:cs="仿宋"/>
          <w:sz w:val="32"/>
          <w:szCs w:val="32"/>
        </w:rPr>
        <w:t>第一部分招标公告</w:t>
      </w:r>
      <w:r>
        <w:rPr>
          <w:rFonts w:ascii="仿宋" w:hAnsi="仿宋" w:eastAsia="仿宋" w:cs="仿宋"/>
          <w:sz w:val="32"/>
          <w:szCs w:val="32"/>
        </w:rPr>
        <w:tab/>
      </w:r>
      <w:r>
        <w:rPr>
          <w:rFonts w:ascii="仿宋" w:hAnsi="仿宋" w:eastAsia="仿宋" w:cs="仿宋"/>
          <w:sz w:val="32"/>
          <w:szCs w:val="32"/>
        </w:rPr>
        <w:fldChar w:fldCharType="end"/>
      </w:r>
    </w:p>
    <w:p>
      <w:pPr>
        <w:pStyle w:val="26"/>
        <w:tabs>
          <w:tab w:val="right" w:leader="dot" w:pos="9072"/>
        </w:tabs>
        <w:spacing w:line="600" w:lineRule="auto"/>
        <w:rPr>
          <w:rFonts w:ascii="仿宋" w:hAnsi="仿宋" w:eastAsia="仿宋" w:cs="仿宋"/>
          <w:sz w:val="32"/>
          <w:szCs w:val="32"/>
        </w:rPr>
      </w:pPr>
      <w:r>
        <w:fldChar w:fldCharType="begin"/>
      </w:r>
      <w:r>
        <w:instrText xml:space="preserve"> HYPERLINK \l "__RefHeading___Toc28522" \h </w:instrText>
      </w:r>
      <w:r>
        <w:fldChar w:fldCharType="separate"/>
      </w:r>
      <w:r>
        <w:rPr>
          <w:rFonts w:hint="eastAsia" w:ascii="仿宋" w:hAnsi="仿宋" w:eastAsia="仿宋" w:cs="仿宋"/>
          <w:sz w:val="32"/>
          <w:szCs w:val="32"/>
        </w:rPr>
        <w:t>第二部分投标人须知</w:t>
      </w:r>
      <w:r>
        <w:rPr>
          <w:rFonts w:ascii="仿宋" w:hAnsi="仿宋" w:eastAsia="仿宋" w:cs="仿宋"/>
          <w:sz w:val="32"/>
          <w:szCs w:val="32"/>
        </w:rPr>
        <w:tab/>
      </w:r>
      <w:r>
        <w:rPr>
          <w:rFonts w:ascii="仿宋" w:hAnsi="仿宋" w:eastAsia="仿宋" w:cs="仿宋"/>
          <w:sz w:val="32"/>
          <w:szCs w:val="32"/>
        </w:rPr>
        <w:fldChar w:fldCharType="end"/>
      </w:r>
    </w:p>
    <w:p>
      <w:pPr>
        <w:pStyle w:val="26"/>
        <w:tabs>
          <w:tab w:val="right" w:leader="dot" w:pos="9072"/>
        </w:tabs>
        <w:spacing w:line="600" w:lineRule="auto"/>
        <w:rPr>
          <w:rFonts w:ascii="仿宋" w:hAnsi="仿宋" w:eastAsia="仿宋" w:cs="仿宋"/>
          <w:sz w:val="32"/>
          <w:szCs w:val="32"/>
        </w:rPr>
      </w:pPr>
      <w:r>
        <w:fldChar w:fldCharType="begin"/>
      </w:r>
      <w:r>
        <w:instrText xml:space="preserve"> HYPERLINK \l "__RefHeading___Toc2895" \h </w:instrText>
      </w:r>
      <w:r>
        <w:fldChar w:fldCharType="separate"/>
      </w:r>
      <w:r>
        <w:rPr>
          <w:rFonts w:hint="eastAsia" w:ascii="仿宋" w:hAnsi="仿宋" w:eastAsia="仿宋" w:cs="仿宋"/>
          <w:sz w:val="32"/>
          <w:szCs w:val="32"/>
        </w:rPr>
        <w:t>第三部分采购需求</w:t>
      </w:r>
      <w:r>
        <w:rPr>
          <w:rFonts w:ascii="仿宋" w:hAnsi="仿宋" w:eastAsia="仿宋" w:cs="仿宋"/>
          <w:sz w:val="32"/>
          <w:szCs w:val="32"/>
        </w:rPr>
        <w:tab/>
      </w:r>
      <w:r>
        <w:rPr>
          <w:rFonts w:ascii="仿宋" w:hAnsi="仿宋" w:eastAsia="仿宋" w:cs="仿宋"/>
          <w:sz w:val="32"/>
          <w:szCs w:val="32"/>
        </w:rPr>
        <w:fldChar w:fldCharType="end"/>
      </w:r>
    </w:p>
    <w:p>
      <w:pPr>
        <w:pStyle w:val="26"/>
        <w:tabs>
          <w:tab w:val="right" w:leader="dot" w:pos="9072"/>
        </w:tabs>
        <w:spacing w:line="600" w:lineRule="auto"/>
        <w:rPr>
          <w:rFonts w:ascii="仿宋" w:hAnsi="仿宋" w:eastAsia="仿宋" w:cs="仿宋"/>
          <w:sz w:val="32"/>
          <w:szCs w:val="32"/>
        </w:rPr>
      </w:pPr>
      <w:r>
        <w:fldChar w:fldCharType="begin"/>
      </w:r>
      <w:r>
        <w:instrText xml:space="preserve"> HYPERLINK \l "__RefHeading___Toc2910" \h </w:instrText>
      </w:r>
      <w:r>
        <w:fldChar w:fldCharType="separate"/>
      </w:r>
      <w:r>
        <w:rPr>
          <w:rFonts w:hint="eastAsia" w:ascii="仿宋" w:hAnsi="仿宋" w:eastAsia="仿宋" w:cs="仿宋"/>
          <w:sz w:val="32"/>
          <w:szCs w:val="32"/>
        </w:rPr>
        <w:t>第四部分评标方法及评分标准</w:t>
      </w:r>
      <w:r>
        <w:rPr>
          <w:rFonts w:ascii="仿宋" w:hAnsi="仿宋" w:eastAsia="仿宋" w:cs="仿宋"/>
          <w:sz w:val="32"/>
          <w:szCs w:val="32"/>
        </w:rPr>
        <w:tab/>
      </w:r>
      <w:r>
        <w:rPr>
          <w:rFonts w:ascii="仿宋" w:hAnsi="仿宋" w:eastAsia="仿宋" w:cs="仿宋"/>
          <w:sz w:val="32"/>
          <w:szCs w:val="32"/>
        </w:rPr>
        <w:fldChar w:fldCharType="end"/>
      </w:r>
    </w:p>
    <w:p>
      <w:pPr>
        <w:pStyle w:val="26"/>
        <w:tabs>
          <w:tab w:val="right" w:leader="dot" w:pos="9072"/>
        </w:tabs>
        <w:spacing w:line="600" w:lineRule="auto"/>
        <w:rPr>
          <w:rFonts w:ascii="仿宋" w:hAnsi="仿宋" w:eastAsia="仿宋" w:cs="仿宋"/>
          <w:sz w:val="32"/>
          <w:szCs w:val="32"/>
        </w:rPr>
      </w:pPr>
      <w:r>
        <w:fldChar w:fldCharType="begin"/>
      </w:r>
      <w:r>
        <w:instrText xml:space="preserve"> HYPERLINK \l "__RefHeading___Toc20075" \h </w:instrText>
      </w:r>
      <w:r>
        <w:fldChar w:fldCharType="separate"/>
      </w:r>
      <w:r>
        <w:rPr>
          <w:rFonts w:hint="eastAsia" w:ascii="仿宋" w:hAnsi="仿宋" w:eastAsia="仿宋" w:cs="仿宋"/>
          <w:sz w:val="32"/>
          <w:szCs w:val="32"/>
        </w:rPr>
        <w:t>第五部分拟签订的合同文本</w:t>
      </w:r>
      <w:r>
        <w:rPr>
          <w:rFonts w:ascii="仿宋" w:hAnsi="仿宋" w:eastAsia="仿宋" w:cs="仿宋"/>
          <w:sz w:val="32"/>
          <w:szCs w:val="32"/>
        </w:rPr>
        <w:tab/>
      </w:r>
      <w:r>
        <w:rPr>
          <w:rFonts w:ascii="仿宋" w:hAnsi="仿宋" w:eastAsia="仿宋" w:cs="仿宋"/>
          <w:sz w:val="32"/>
          <w:szCs w:val="32"/>
        </w:rPr>
        <w:fldChar w:fldCharType="end"/>
      </w:r>
    </w:p>
    <w:p>
      <w:pPr>
        <w:pStyle w:val="26"/>
        <w:tabs>
          <w:tab w:val="right" w:leader="dot" w:pos="9072"/>
        </w:tabs>
        <w:spacing w:line="600" w:lineRule="auto"/>
        <w:rPr>
          <w:rFonts w:ascii="仿宋" w:hAnsi="仿宋" w:eastAsia="仿宋" w:cs="仿宋"/>
        </w:rPr>
      </w:pPr>
      <w:r>
        <w:fldChar w:fldCharType="begin"/>
      </w:r>
      <w:r>
        <w:instrText xml:space="preserve"> HYPERLINK \l "__RefHeading___Toc16456" \h </w:instrText>
      </w:r>
      <w:r>
        <w:fldChar w:fldCharType="separate"/>
      </w:r>
      <w:r>
        <w:rPr>
          <w:rFonts w:hint="eastAsia" w:ascii="仿宋" w:hAnsi="仿宋" w:eastAsia="仿宋" w:cs="仿宋"/>
          <w:sz w:val="32"/>
          <w:szCs w:val="32"/>
        </w:rPr>
        <w:t>第六部分应提交的有关格式范例</w:t>
      </w:r>
      <w:r>
        <w:rPr>
          <w:rFonts w:ascii="仿宋" w:hAnsi="仿宋" w:eastAsia="仿宋" w:cs="仿宋"/>
          <w:sz w:val="32"/>
          <w:szCs w:val="32"/>
        </w:rPr>
        <w:tab/>
      </w:r>
      <w:r>
        <w:rPr>
          <w:rFonts w:ascii="仿宋" w:hAnsi="仿宋" w:eastAsia="仿宋" w:cs="仿宋"/>
          <w:sz w:val="32"/>
          <w:szCs w:val="32"/>
        </w:rPr>
        <w:fldChar w:fldCharType="end"/>
      </w:r>
      <w:r>
        <w:rPr>
          <w:rFonts w:ascii="仿宋" w:hAnsi="仿宋" w:eastAsia="仿宋" w:cs="仿宋"/>
          <w:sz w:val="32"/>
          <w:szCs w:val="32"/>
        </w:rPr>
        <w:fldChar w:fldCharType="end"/>
      </w:r>
    </w:p>
    <w:p>
      <w:pPr>
        <w:pStyle w:val="76"/>
        <w:spacing w:before="202" w:after="156"/>
        <w:rPr>
          <w:rFonts w:ascii="仿宋" w:hAnsi="仿宋" w:eastAsia="仿宋" w:cs="仿宋"/>
        </w:rPr>
      </w:pPr>
    </w:p>
    <w:p>
      <w:pPr>
        <w:pStyle w:val="76"/>
        <w:spacing w:before="202" w:after="156"/>
        <w:rPr>
          <w:rFonts w:ascii="仿宋" w:hAnsi="仿宋" w:eastAsia="仿宋" w:cs="仿宋"/>
        </w:rPr>
        <w:sectPr>
          <w:headerReference r:id="rId4" w:type="default"/>
          <w:footerReference r:id="rId5" w:type="default"/>
          <w:pgSz w:w="11906" w:h="16838"/>
          <w:pgMar w:top="1247" w:right="1417" w:bottom="1247" w:left="1417" w:header="851" w:footer="992" w:gutter="0"/>
          <w:cols w:space="720" w:num="1"/>
          <w:formProt w:val="0"/>
          <w:docGrid w:type="lines" w:linePitch="312" w:charSpace="0"/>
        </w:sectPr>
      </w:pPr>
    </w:p>
    <w:p>
      <w:pPr>
        <w:spacing w:line="360" w:lineRule="auto"/>
        <w:jc w:val="center"/>
        <w:outlineLvl w:val="0"/>
        <w:rPr>
          <w:rFonts w:ascii="仿宋" w:hAnsi="仿宋" w:eastAsia="仿宋" w:cs="仿宋"/>
          <w:b/>
          <w:sz w:val="36"/>
          <w:szCs w:val="20"/>
        </w:rPr>
      </w:pPr>
      <w:bookmarkStart w:id="0" w:name="__RefHeading___Toc13852"/>
      <w:bookmarkEnd w:id="0"/>
      <w:r>
        <w:rPr>
          <w:rFonts w:hint="eastAsia" w:ascii="仿宋" w:hAnsi="仿宋" w:eastAsia="仿宋" w:cs="仿宋"/>
          <w:b/>
          <w:sz w:val="36"/>
          <w:szCs w:val="20"/>
        </w:rPr>
        <w:t>第一部分招标公告</w:t>
      </w:r>
    </w:p>
    <w:p>
      <w:pPr>
        <w:spacing w:line="360" w:lineRule="auto"/>
        <w:ind w:firstLine="480"/>
      </w:pPr>
      <w:r>
        <w:rPr>
          <w:rFonts w:hint="eastAsia" w:ascii="仿宋" w:hAnsi="仿宋" w:eastAsia="仿宋" w:cs="仿宋"/>
          <w:sz w:val="24"/>
        </w:rPr>
        <w:t>浙江辰光管理有限公司作为分散采购代理机构（以下简称代理机构）受淳安县人民政府办公室（以下称：采购单位）的委托，就淳安县全链路网络安全监管平台（一期）建设采购项目发布招标公告邀请符合条件的供应商参加投标</w:t>
      </w:r>
      <w:r>
        <w:rPr>
          <w:rFonts w:hint="eastAsia" w:ascii="仿宋" w:hAnsi="仿宋" w:eastAsia="仿宋" w:cs="仿宋"/>
          <w:b/>
          <w:sz w:val="24"/>
          <w:u w:val="single"/>
        </w:rPr>
        <w:t>（电子招投标）</w:t>
      </w:r>
      <w:r>
        <w:rPr>
          <w:rFonts w:hint="eastAsia" w:ascii="仿宋" w:hAnsi="仿宋" w:eastAsia="仿宋" w:cs="仿宋"/>
          <w:sz w:val="24"/>
        </w:rPr>
        <w:t>。具体如下：</w:t>
      </w:r>
    </w:p>
    <w:p>
      <w:pPr>
        <w:pStyle w:val="21"/>
        <w:numPr>
          <w:ilvl w:val="0"/>
          <w:numId w:val="3"/>
        </w:numPr>
        <w:spacing w:line="360" w:lineRule="auto"/>
        <w:ind w:firstLine="472"/>
        <w:rPr>
          <w:rFonts w:ascii="仿宋" w:hAnsi="仿宋" w:eastAsia="仿宋" w:cs="仿宋"/>
          <w:sz w:val="24"/>
          <w:szCs w:val="24"/>
        </w:rPr>
      </w:pPr>
      <w:r>
        <w:rPr>
          <w:rFonts w:hint="eastAsia" w:ascii="仿宋" w:hAnsi="仿宋" w:eastAsia="仿宋" w:cs="仿宋"/>
          <w:b/>
          <w:sz w:val="24"/>
          <w:szCs w:val="24"/>
        </w:rPr>
        <w:t>招标编号</w:t>
      </w:r>
      <w:r>
        <w:rPr>
          <w:rFonts w:hint="eastAsia" w:ascii="仿宋" w:hAnsi="仿宋" w:eastAsia="仿宋" w:cs="仿宋"/>
          <w:sz w:val="24"/>
          <w:szCs w:val="24"/>
        </w:rPr>
        <w:t>：</w:t>
      </w:r>
      <w:r>
        <w:rPr>
          <w:rFonts w:ascii="仿宋" w:hAnsi="仿宋" w:eastAsia="仿宋" w:cs="仿宋"/>
          <w:sz w:val="24"/>
          <w:szCs w:val="24"/>
        </w:rPr>
        <w:t>ZJCGZF[2021]149</w:t>
      </w:r>
      <w:r>
        <w:rPr>
          <w:rFonts w:hint="eastAsia" w:ascii="仿宋" w:hAnsi="仿宋" w:eastAsia="仿宋" w:cs="仿宋"/>
          <w:sz w:val="24"/>
          <w:szCs w:val="24"/>
        </w:rPr>
        <w:t>号</w:t>
      </w:r>
    </w:p>
    <w:p>
      <w:pPr>
        <w:pStyle w:val="21"/>
        <w:spacing w:line="360" w:lineRule="auto"/>
        <w:ind w:firstLine="482" w:firstLineChars="200"/>
        <w:rPr>
          <w:rFonts w:ascii="仿宋" w:hAnsi="仿宋" w:eastAsia="仿宋" w:cs="仿宋"/>
          <w:sz w:val="24"/>
          <w:szCs w:val="24"/>
        </w:rPr>
      </w:pPr>
      <w:r>
        <w:rPr>
          <w:rFonts w:ascii="仿宋" w:hAnsi="仿宋" w:eastAsia="仿宋" w:cs="仿宋"/>
          <w:b/>
          <w:sz w:val="24"/>
          <w:szCs w:val="24"/>
        </w:rPr>
        <w:t>2</w:t>
      </w:r>
      <w:r>
        <w:rPr>
          <w:rFonts w:hint="eastAsia" w:ascii="仿宋" w:hAnsi="仿宋" w:eastAsia="仿宋" w:cs="仿宋"/>
          <w:b/>
          <w:sz w:val="24"/>
          <w:szCs w:val="24"/>
        </w:rPr>
        <w:t>、项目名称：</w:t>
      </w:r>
      <w:r>
        <w:rPr>
          <w:rFonts w:hint="eastAsia" w:ascii="仿宋" w:hAnsi="仿宋" w:eastAsia="仿宋" w:cs="仿宋"/>
          <w:sz w:val="24"/>
          <w:szCs w:val="24"/>
        </w:rPr>
        <w:t>淳安县全链路网络安全监管平台（一期）建设采购项目</w:t>
      </w:r>
    </w:p>
    <w:p>
      <w:pPr>
        <w:spacing w:line="360" w:lineRule="auto"/>
        <w:ind w:firstLine="472"/>
        <w:rPr>
          <w:rFonts w:cs="??;SimSun"/>
        </w:rPr>
      </w:pPr>
      <w:r>
        <w:rPr>
          <w:rFonts w:ascii="??;SimSun" w:hAnsi="??;SimSun" w:eastAsia="仿宋" w:cs="??;SimSun"/>
          <w:b/>
          <w:bCs/>
          <w:kern w:val="0"/>
          <w:sz w:val="24"/>
        </w:rPr>
        <w:t>3</w:t>
      </w:r>
      <w:r>
        <w:rPr>
          <w:rFonts w:hint="eastAsia" w:ascii="??;SimSun" w:hAnsi="??;SimSun" w:eastAsia="仿宋" w:cs="??;SimSun"/>
          <w:b/>
          <w:bCs/>
          <w:kern w:val="0"/>
          <w:sz w:val="24"/>
        </w:rPr>
        <w:t>、采购方式：公开招标</w:t>
      </w:r>
    </w:p>
    <w:tbl>
      <w:tblPr>
        <w:tblStyle w:val="34"/>
        <w:tblW w:w="9072" w:type="dxa"/>
        <w:tblInd w:w="108" w:type="dxa"/>
        <w:tblLayout w:type="fixed"/>
        <w:tblCellMar>
          <w:top w:w="0" w:type="dxa"/>
          <w:left w:w="108" w:type="dxa"/>
          <w:bottom w:w="0" w:type="dxa"/>
          <w:right w:w="108" w:type="dxa"/>
        </w:tblCellMar>
      </w:tblPr>
      <w:tblGrid>
        <w:gridCol w:w="851"/>
        <w:gridCol w:w="2257"/>
        <w:gridCol w:w="2704"/>
        <w:gridCol w:w="992"/>
        <w:gridCol w:w="851"/>
        <w:gridCol w:w="1417"/>
      </w:tblGrid>
      <w:tr>
        <w:tblPrEx>
          <w:tblCellMar>
            <w:top w:w="0" w:type="dxa"/>
            <w:left w:w="108" w:type="dxa"/>
            <w:bottom w:w="0" w:type="dxa"/>
            <w:right w:w="108" w:type="dxa"/>
          </w:tblCellMar>
        </w:tblPrEx>
        <w:trPr>
          <w:trHeight w:val="704" w:hRule="atLeast"/>
        </w:trPr>
        <w:tc>
          <w:tcPr>
            <w:tcW w:w="851"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 w:hAnsi="仿宋" w:eastAsia="仿宋" w:cs="仿宋"/>
                <w:sz w:val="24"/>
              </w:rPr>
            </w:pPr>
            <w:r>
              <w:rPr>
                <w:rFonts w:hint="eastAsia" w:ascii="仿宋" w:hAnsi="仿宋" w:eastAsia="仿宋" w:cs="仿宋"/>
                <w:sz w:val="24"/>
              </w:rPr>
              <w:t>标项</w:t>
            </w:r>
          </w:p>
        </w:tc>
        <w:tc>
          <w:tcPr>
            <w:tcW w:w="2257" w:type="dxa"/>
            <w:tcBorders>
              <w:top w:val="single" w:color="000000" w:sz="4" w:space="0"/>
              <w:left w:val="single" w:color="000000" w:sz="4" w:space="0"/>
              <w:bottom w:val="single" w:color="auto" w:sz="4" w:space="0"/>
              <w:right w:val="single" w:color="auto" w:sz="4" w:space="0"/>
            </w:tcBorders>
            <w:noWrap w:val="0"/>
            <w:vAlign w:val="center"/>
          </w:tcPr>
          <w:p>
            <w:pPr>
              <w:jc w:val="center"/>
              <w:rPr>
                <w:rFonts w:ascii="仿宋" w:hAnsi="仿宋" w:eastAsia="仿宋" w:cs="仿宋"/>
                <w:sz w:val="24"/>
              </w:rPr>
            </w:pPr>
            <w:r>
              <w:rPr>
                <w:rFonts w:hint="eastAsia" w:ascii="仿宋" w:hAnsi="仿宋" w:eastAsia="仿宋" w:cs="仿宋"/>
                <w:sz w:val="24"/>
              </w:rPr>
              <w:t>项目名称</w:t>
            </w:r>
          </w:p>
        </w:tc>
        <w:tc>
          <w:tcPr>
            <w:tcW w:w="2704" w:type="dxa"/>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 w:hAnsi="仿宋" w:eastAsia="仿宋" w:cs="仿宋"/>
                <w:sz w:val="24"/>
              </w:rPr>
            </w:pPr>
            <w:r>
              <w:rPr>
                <w:rFonts w:hint="eastAsia" w:ascii="仿宋" w:hAnsi="仿宋" w:eastAsia="仿宋" w:cs="仿宋"/>
                <w:sz w:val="24"/>
              </w:rPr>
              <w:t>采购内容</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rPr>
            </w:pPr>
            <w:r>
              <w:rPr>
                <w:rFonts w:hint="eastAsia" w:ascii="仿宋" w:hAnsi="仿宋" w:eastAsia="仿宋" w:cs="仿宋"/>
                <w:sz w:val="24"/>
              </w:rPr>
              <w:t>单位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rPr>
            </w:pPr>
            <w:r>
              <w:rPr>
                <w:rFonts w:hint="eastAsia" w:ascii="仿宋" w:hAnsi="仿宋" w:eastAsia="仿宋" w:cs="仿宋"/>
                <w:sz w:val="24"/>
              </w:rPr>
              <w:t>数量</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预算总价</w:t>
            </w:r>
            <w:r>
              <w:rPr>
                <w:rFonts w:ascii="仿宋" w:hAnsi="仿宋" w:eastAsia="仿宋" w:cs="仿宋"/>
                <w:sz w:val="24"/>
              </w:rPr>
              <w:t>(</w:t>
            </w:r>
            <w:r>
              <w:rPr>
                <w:rFonts w:hint="eastAsia" w:ascii="仿宋" w:hAnsi="仿宋" w:eastAsia="仿宋" w:cs="仿宋"/>
                <w:sz w:val="24"/>
              </w:rPr>
              <w:t>元</w:t>
            </w:r>
            <w:r>
              <w:rPr>
                <w:rFonts w:ascii="仿宋" w:hAnsi="仿宋" w:eastAsia="仿宋" w:cs="仿宋"/>
                <w:sz w:val="24"/>
              </w:rPr>
              <w:t>)</w:t>
            </w:r>
          </w:p>
        </w:tc>
      </w:tr>
      <w:tr>
        <w:tblPrEx>
          <w:tblCellMar>
            <w:top w:w="0" w:type="dxa"/>
            <w:left w:w="108" w:type="dxa"/>
            <w:bottom w:w="0" w:type="dxa"/>
            <w:right w:w="108" w:type="dxa"/>
          </w:tblCellMar>
        </w:tblPrEx>
        <w:trPr>
          <w:trHeight w:val="1044" w:hRule="atLeast"/>
        </w:trPr>
        <w:tc>
          <w:tcPr>
            <w:tcW w:w="851"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 w:hAnsi="仿宋" w:eastAsia="仿宋" w:cs="仿宋"/>
                <w:sz w:val="24"/>
              </w:rPr>
            </w:pPr>
            <w:r>
              <w:rPr>
                <w:rFonts w:ascii="仿宋" w:hAnsi="仿宋" w:eastAsia="仿宋" w:cs="仿宋"/>
                <w:sz w:val="24"/>
              </w:rPr>
              <w:t>1</w:t>
            </w:r>
          </w:p>
        </w:tc>
        <w:tc>
          <w:tcPr>
            <w:tcW w:w="2257" w:type="dxa"/>
            <w:tcBorders>
              <w:top w:val="single" w:color="auto" w:sz="4" w:space="0"/>
              <w:left w:val="single" w:color="000000" w:sz="4" w:space="0"/>
              <w:bottom w:val="single" w:color="auto" w:sz="4" w:space="0"/>
              <w:right w:val="single" w:color="auto" w:sz="4" w:space="0"/>
            </w:tcBorders>
            <w:noWrap w:val="0"/>
            <w:vAlign w:val="center"/>
          </w:tcPr>
          <w:p>
            <w:pPr>
              <w:rPr>
                <w:rFonts w:ascii="仿宋" w:hAnsi="仿宋" w:eastAsia="仿宋" w:cs="仿宋"/>
                <w:sz w:val="24"/>
              </w:rPr>
            </w:pPr>
            <w:r>
              <w:rPr>
                <w:rFonts w:hint="eastAsia" w:ascii="仿宋" w:hAnsi="仿宋" w:eastAsia="仿宋" w:cs="仿宋"/>
                <w:sz w:val="24"/>
              </w:rPr>
              <w:t>淳安县全链路网络安全监管平台（一期）建设采购项目</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24"/>
              </w:rPr>
            </w:pPr>
            <w:r>
              <w:rPr>
                <w:rFonts w:ascii="仿宋" w:hAnsi="仿宋" w:eastAsia="仿宋" w:cs="仿宋"/>
                <w:sz w:val="24"/>
              </w:rPr>
              <w:t xml:space="preserve"> 新建全链路一屏可视化展现模块，完成“云、网、端、边界、数据、应用”全链路网络安全监管平台的开发建设。</w:t>
            </w:r>
          </w:p>
        </w:tc>
        <w:tc>
          <w:tcPr>
            <w:tcW w:w="992" w:type="dxa"/>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 w:hAnsi="仿宋" w:eastAsia="仿宋" w:cs="仿宋"/>
                <w:sz w:val="24"/>
              </w:rPr>
            </w:pPr>
            <w:r>
              <w:rPr>
                <w:rFonts w:hint="eastAsia" w:ascii="仿宋" w:hAnsi="仿宋" w:eastAsia="仿宋" w:cs="仿宋"/>
                <w:sz w:val="24"/>
              </w:rPr>
              <w:t>项</w:t>
            </w:r>
          </w:p>
        </w:tc>
        <w:tc>
          <w:tcPr>
            <w:tcW w:w="851"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 w:hAnsi="仿宋" w:eastAsia="仿宋" w:cs="仿宋"/>
                <w:sz w:val="24"/>
              </w:rPr>
            </w:pPr>
            <w:r>
              <w:rPr>
                <w:rFonts w:hint="eastAsia" w:ascii="仿宋" w:hAnsi="仿宋" w:eastAsia="仿宋" w:cs="仿宋"/>
                <w:sz w:val="24"/>
              </w:rPr>
              <w:t>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2000</w:t>
            </w:r>
            <w:r>
              <w:rPr>
                <w:rFonts w:ascii="仿宋" w:hAnsi="仿宋" w:eastAsia="仿宋" w:cs="仿宋"/>
                <w:sz w:val="24"/>
              </w:rPr>
              <w:t>000.00</w:t>
            </w:r>
          </w:p>
        </w:tc>
      </w:tr>
    </w:tbl>
    <w:p>
      <w:pPr>
        <w:spacing w:line="360" w:lineRule="auto"/>
        <w:ind w:firstLine="465"/>
      </w:pPr>
      <w:r>
        <w:rPr>
          <w:rFonts w:ascii="仿宋" w:hAnsi="仿宋" w:eastAsia="仿宋" w:cs="仿宋"/>
          <w:b/>
          <w:sz w:val="24"/>
        </w:rPr>
        <w:t>4</w:t>
      </w:r>
      <w:r>
        <w:rPr>
          <w:rFonts w:hint="eastAsia" w:ascii="仿宋" w:hAnsi="仿宋" w:eastAsia="仿宋" w:cs="仿宋"/>
          <w:b/>
          <w:sz w:val="24"/>
        </w:rPr>
        <w:t>、采购人的采购需求：</w:t>
      </w:r>
      <w:r>
        <w:rPr>
          <w:rFonts w:hint="eastAsia" w:ascii="仿宋" w:hAnsi="仿宋" w:eastAsia="仿宋" w:cs="仿宋"/>
          <w:sz w:val="24"/>
        </w:rPr>
        <w:t>详见招标文件。</w:t>
      </w:r>
    </w:p>
    <w:p>
      <w:pPr>
        <w:pStyle w:val="18"/>
        <w:widowControl/>
        <w:snapToGrid w:val="0"/>
        <w:spacing w:line="360" w:lineRule="auto"/>
        <w:ind w:firstLine="472"/>
        <w:rPr>
          <w:rFonts w:cs="Times New Roman"/>
          <w:sz w:val="28"/>
          <w:szCs w:val="20"/>
          <w:lang w:val="en-US"/>
        </w:rPr>
      </w:pPr>
      <w:r>
        <w:rPr>
          <w:rFonts w:ascii="仿宋" w:hAnsi="仿宋" w:eastAsia="仿宋" w:cs="仿宋"/>
          <w:b/>
          <w:lang w:val="en-US"/>
        </w:rPr>
        <w:t>5</w:t>
      </w:r>
      <w:r>
        <w:rPr>
          <w:rFonts w:hint="eastAsia" w:ascii="仿宋" w:hAnsi="仿宋" w:eastAsia="仿宋" w:cs="仿宋"/>
          <w:b/>
          <w:lang w:val="en-US"/>
        </w:rPr>
        <w:t>、</w:t>
      </w:r>
      <w:r>
        <w:rPr>
          <w:rFonts w:hint="eastAsia" w:ascii="仿宋" w:hAnsi="仿宋" w:eastAsia="仿宋" w:cs="仿宋"/>
          <w:b/>
          <w:szCs w:val="20"/>
          <w:lang w:val="en-US"/>
        </w:rPr>
        <w:t>投标人的资格要求：</w:t>
      </w:r>
    </w:p>
    <w:p>
      <w:pPr>
        <w:snapToGrid w:val="0"/>
        <w:spacing w:line="360" w:lineRule="auto"/>
        <w:ind w:firstLine="482"/>
        <w:rPr>
          <w:rFonts w:ascii="仿宋" w:hAnsi="仿宋" w:eastAsia="仿宋" w:cs="仿宋"/>
          <w:b/>
          <w:sz w:val="24"/>
        </w:rPr>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）基本条件：符合《中华人民共和国政府采购法》第二十二条第一款的规定；</w:t>
      </w:r>
    </w:p>
    <w:p>
      <w:pPr>
        <w:spacing w:line="360" w:lineRule="auto"/>
        <w:ind w:firstLine="482"/>
        <w:rPr>
          <w:rFonts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）落实政府采购政策需满足的资格要求：无。</w:t>
      </w:r>
    </w:p>
    <w:p>
      <w:pPr>
        <w:spacing w:line="360" w:lineRule="auto"/>
        <w:ind w:firstLine="482" w:firstLineChars="200"/>
        <w:rPr>
          <w:rFonts w:ascii="仿宋" w:hAnsi="仿宋" w:eastAsia="仿宋" w:cs="仿宋"/>
          <w:b/>
          <w:snapToGrid w:val="0"/>
          <w:kern w:val="28"/>
          <w:sz w:val="24"/>
        </w:rPr>
      </w:pPr>
      <w:r>
        <w:rPr>
          <w:rFonts w:hint="eastAsia" w:ascii="仿宋" w:hAnsi="仿宋" w:eastAsia="仿宋" w:cs="仿宋"/>
          <w:b/>
          <w:sz w:val="24"/>
        </w:rPr>
        <w:t>（</w:t>
      </w:r>
      <w:r>
        <w:rPr>
          <w:rFonts w:ascii="仿宋" w:hAnsi="仿宋" w:eastAsia="仿宋" w:cs="仿宋"/>
          <w:b/>
          <w:sz w:val="24"/>
        </w:rPr>
        <w:t>3</w:t>
      </w:r>
      <w:r>
        <w:rPr>
          <w:rFonts w:hint="eastAsia" w:ascii="仿宋" w:hAnsi="仿宋" w:eastAsia="仿宋" w:cs="仿宋"/>
          <w:b/>
          <w:sz w:val="24"/>
        </w:rPr>
        <w:t>）特定条件：无。</w:t>
      </w:r>
    </w:p>
    <w:p>
      <w:pPr>
        <w:spacing w:line="360" w:lineRule="auto"/>
        <w:ind w:firstLine="482"/>
      </w:pPr>
      <w:r>
        <w:rPr>
          <w:rFonts w:ascii="仿宋" w:hAnsi="仿宋" w:eastAsia="仿宋" w:cs="仿宋"/>
          <w:b/>
          <w:sz w:val="24"/>
        </w:rPr>
        <w:t>6</w:t>
      </w:r>
      <w:r>
        <w:rPr>
          <w:rFonts w:hint="eastAsia" w:ascii="仿宋" w:hAnsi="仿宋" w:eastAsia="仿宋" w:cs="仿宋"/>
          <w:b/>
          <w:sz w:val="24"/>
        </w:rPr>
        <w:t>、本项目不接受联合体投标。</w:t>
      </w:r>
    </w:p>
    <w:p>
      <w:pPr>
        <w:spacing w:line="360" w:lineRule="auto"/>
        <w:ind w:firstLine="482"/>
      </w:pPr>
      <w:r>
        <w:rPr>
          <w:rFonts w:ascii="仿宋" w:hAnsi="仿宋" w:eastAsia="仿宋" w:cs="仿宋"/>
          <w:b/>
          <w:sz w:val="24"/>
        </w:rPr>
        <w:t>7</w:t>
      </w:r>
      <w:r>
        <w:rPr>
          <w:rFonts w:hint="eastAsia" w:ascii="仿宋" w:hAnsi="仿宋" w:eastAsia="仿宋" w:cs="仿宋"/>
          <w:b/>
          <w:sz w:val="24"/>
        </w:rPr>
        <w:t>、获取招标文件的时间期限、地点、方式及招标文件售价：</w:t>
      </w:r>
    </w:p>
    <w:p>
      <w:pPr>
        <w:spacing w:line="360" w:lineRule="auto"/>
        <w:ind w:firstLine="24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）时间期限：发布至投标截止时；</w:t>
      </w:r>
    </w:p>
    <w:p>
      <w:pPr>
        <w:spacing w:line="360" w:lineRule="auto"/>
        <w:ind w:firstLine="240"/>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\h </w:instrText>
      </w:r>
      <w:r>
        <w:fldChar w:fldCharType="separate"/>
      </w:r>
      <w:r>
        <w:rPr>
          <w:rStyle w:val="70"/>
          <w:rFonts w:ascii="仿宋" w:hAnsi="仿宋" w:eastAsia="仿宋" w:cs="仿宋"/>
          <w:b/>
          <w:color w:val="auto"/>
          <w:kern w:val="2"/>
          <w:sz w:val="24"/>
        </w:rPr>
        <w:t>https://www.zcygov.cn/</w:t>
      </w:r>
      <w:r>
        <w:rPr>
          <w:rStyle w:val="70"/>
          <w:rFonts w:ascii="仿宋" w:hAnsi="仿宋" w:eastAsia="仿宋" w:cs="仿宋"/>
          <w:b/>
          <w:color w:val="auto"/>
          <w:kern w:val="2"/>
          <w:sz w:val="24"/>
        </w:rPr>
        <w:fldChar w:fldCharType="end"/>
      </w:r>
      <w:r>
        <w:rPr>
          <w:rFonts w:hint="eastAsia" w:ascii="仿宋" w:hAnsi="仿宋" w:eastAsia="仿宋" w:cs="仿宋"/>
          <w:b/>
          <w:sz w:val="24"/>
        </w:rPr>
        <w:t>）</w:t>
      </w:r>
      <w:r>
        <w:rPr>
          <w:rFonts w:hint="eastAsia" w:ascii="仿宋" w:hAnsi="仿宋" w:eastAsia="仿宋" w:cs="仿宋"/>
          <w:sz w:val="24"/>
        </w:rPr>
        <w:t>；</w:t>
      </w:r>
    </w:p>
    <w:p>
      <w:pPr>
        <w:spacing w:line="360" w:lineRule="auto"/>
        <w:ind w:firstLine="236"/>
        <w:rPr>
          <w:rFonts w:ascii="仿宋" w:hAnsi="仿宋" w:eastAsia="仿宋" w:cs="仿宋"/>
          <w:b/>
          <w:sz w:val="24"/>
        </w:rPr>
      </w:pPr>
      <w:r>
        <w:rPr>
          <w:rFonts w:hint="eastAsia" w:ascii="仿宋" w:hAnsi="仿宋" w:eastAsia="仿宋" w:cs="仿宋"/>
          <w:b/>
          <w:sz w:val="24"/>
        </w:rPr>
        <w:t>（</w:t>
      </w:r>
      <w:r>
        <w:rPr>
          <w:rFonts w:ascii="仿宋" w:hAnsi="仿宋" w:eastAsia="仿宋" w:cs="仿宋"/>
          <w:b/>
          <w:sz w:val="24"/>
        </w:rPr>
        <w:t>3</w:t>
      </w:r>
      <w:r>
        <w:rPr>
          <w:rFonts w:hint="eastAsia" w:ascii="仿宋" w:hAnsi="仿宋" w:eastAsia="仿宋" w:cs="仿宋"/>
          <w:b/>
          <w:sz w:val="24"/>
        </w:rPr>
        <w:t>）方式：使用账号登录或者使用</w:t>
      </w:r>
      <w:r>
        <w:rPr>
          <w:rFonts w:ascii="仿宋" w:hAnsi="仿宋" w:eastAsia="仿宋" w:cs="仿宋"/>
          <w:b/>
          <w:sz w:val="24"/>
        </w:rPr>
        <w:t>CA</w:t>
      </w:r>
      <w:r>
        <w:rPr>
          <w:rFonts w:hint="eastAsia" w:ascii="仿宋" w:hAnsi="仿宋" w:eastAsia="仿宋" w:cs="仿宋"/>
          <w:b/>
          <w:sz w:val="24"/>
        </w:rPr>
        <w:t>登录政采云平台；进入“项目采购”应用，在获取采购文件菜单中选择项目，获取采购文件。（注册账号</w:t>
      </w:r>
      <w:r>
        <w:rPr>
          <w:rFonts w:ascii="仿宋" w:hAnsi="仿宋" w:eastAsia="仿宋" w:cs="仿宋"/>
          <w:b/>
          <w:sz w:val="24"/>
        </w:rPr>
        <w:t>--</w:t>
      </w:r>
      <w:r>
        <w:rPr>
          <w:rFonts w:hint="eastAsia" w:ascii="仿宋" w:hAnsi="仿宋" w:eastAsia="仿宋" w:cs="仿宋"/>
          <w:b/>
          <w:sz w:val="24"/>
        </w:rPr>
        <w:t>点击“商家入驻”，进行政府采购供应商资料填写；申领</w:t>
      </w:r>
      <w:r>
        <w:rPr>
          <w:rFonts w:ascii="仿宋" w:hAnsi="仿宋" w:eastAsia="仿宋" w:cs="仿宋"/>
          <w:b/>
          <w:sz w:val="24"/>
        </w:rPr>
        <w:t>CA</w:t>
      </w:r>
      <w:r>
        <w:rPr>
          <w:rFonts w:hint="eastAsia" w:ascii="仿宋" w:hAnsi="仿宋" w:eastAsia="仿宋" w:cs="仿宋"/>
          <w:b/>
          <w:sz w:val="24"/>
        </w:rPr>
        <w:t>数字证书</w:t>
      </w:r>
      <w:r>
        <w:rPr>
          <w:rFonts w:ascii="仿宋" w:hAnsi="仿宋" w:eastAsia="仿宋" w:cs="仿宋"/>
          <w:b/>
          <w:sz w:val="24"/>
        </w:rPr>
        <w:t>--</w:t>
      </w:r>
      <w:r>
        <w:rPr>
          <w:rFonts w:hint="eastAsia" w:ascii="仿宋" w:hAnsi="仿宋" w:eastAsia="仿宋" w:cs="仿宋"/>
          <w:b/>
          <w:sz w:val="24"/>
        </w:rPr>
        <w:t>申领流程详见“浙江政府采购网</w:t>
      </w:r>
      <w:r>
        <w:rPr>
          <w:rFonts w:ascii="仿宋" w:hAnsi="仿宋" w:eastAsia="仿宋" w:cs="仿宋"/>
          <w:b/>
          <w:sz w:val="24"/>
        </w:rPr>
        <w:t>-</w:t>
      </w:r>
      <w:r>
        <w:rPr>
          <w:rFonts w:hint="eastAsia" w:ascii="仿宋" w:hAnsi="仿宋" w:eastAsia="仿宋" w:cs="仿宋"/>
          <w:b/>
          <w:sz w:val="24"/>
        </w:rPr>
        <w:t>下载专区</w:t>
      </w:r>
      <w:r>
        <w:rPr>
          <w:rFonts w:ascii="仿宋" w:hAnsi="仿宋" w:eastAsia="仿宋" w:cs="仿宋"/>
          <w:b/>
          <w:sz w:val="24"/>
        </w:rPr>
        <w:t>-</w:t>
      </w:r>
      <w:r>
        <w:rPr>
          <w:rFonts w:hint="eastAsia" w:ascii="仿宋" w:hAnsi="仿宋" w:eastAsia="仿宋" w:cs="仿宋"/>
          <w:b/>
          <w:sz w:val="24"/>
        </w:rPr>
        <w:t>电子交易客户端</w:t>
      </w:r>
      <w:r>
        <w:rPr>
          <w:rFonts w:ascii="仿宋" w:hAnsi="仿宋" w:eastAsia="仿宋" w:cs="仿宋"/>
          <w:b/>
          <w:sz w:val="24"/>
        </w:rPr>
        <w:t>-CA</w:t>
      </w:r>
      <w:r>
        <w:rPr>
          <w:rFonts w:hint="eastAsia" w:ascii="仿宋" w:hAnsi="仿宋" w:eastAsia="仿宋" w:cs="仿宋"/>
          <w:b/>
          <w:sz w:val="24"/>
        </w:rPr>
        <w:t>驱动和申领流程”。）</w:t>
      </w:r>
    </w:p>
    <w:p>
      <w:pPr>
        <w:spacing w:line="360" w:lineRule="auto"/>
        <w:ind w:firstLine="24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）售价：免费</w:t>
      </w:r>
    </w:p>
    <w:p>
      <w:pPr>
        <w:spacing w:line="360" w:lineRule="auto"/>
        <w:ind w:firstLine="24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）供应商获取招标文件时须提交的文件资料：无；</w:t>
      </w:r>
    </w:p>
    <w:p>
      <w:pPr>
        <w:spacing w:line="360" w:lineRule="auto"/>
        <w:ind w:firstLine="240"/>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）提示：</w:t>
      </w:r>
      <w:r>
        <w:rPr>
          <w:rFonts w:ascii="仿宋" w:hAnsi="仿宋" w:eastAsia="仿宋" w:cs="仿宋"/>
          <w:b/>
          <w:sz w:val="24"/>
        </w:rPr>
        <w:t>1</w:t>
      </w:r>
      <w:r>
        <w:rPr>
          <w:rFonts w:hint="eastAsia" w:ascii="仿宋" w:hAnsi="仿宋" w:eastAsia="仿宋" w:cs="仿宋"/>
          <w:b/>
          <w:sz w:val="24"/>
        </w:rPr>
        <w:t>）采购人、采购机构将依托政采云平台完成本项目的电子交易活动，平台不接受未按上述方式获取招标文件的供应商进行投标活动；</w:t>
      </w:r>
    </w:p>
    <w:p>
      <w:pPr>
        <w:pStyle w:val="21"/>
        <w:spacing w:line="360" w:lineRule="auto"/>
        <w:ind w:firstLine="480"/>
      </w:pPr>
      <w:r>
        <w:rPr>
          <w:rFonts w:ascii="仿宋" w:hAnsi="仿宋" w:eastAsia="仿宋" w:cs="仿宋"/>
          <w:sz w:val="24"/>
        </w:rPr>
        <w:t>2</w:t>
      </w:r>
      <w:r>
        <w:rPr>
          <w:rFonts w:hint="eastAsia" w:ascii="仿宋" w:hAnsi="仿宋" w:eastAsia="仿宋" w:cs="仿宋"/>
          <w:sz w:val="24"/>
        </w:rPr>
        <w:t>）对</w:t>
      </w:r>
      <w:r>
        <w:rPr>
          <w:rFonts w:hint="eastAsia" w:ascii="仿宋" w:hAnsi="仿宋" w:eastAsia="仿宋" w:cs="仿宋"/>
          <w:sz w:val="24"/>
          <w:szCs w:val="24"/>
        </w:rPr>
        <w:t>未按上述方式获取招标文件的供应商对该文件提出的质疑，采购人或采购代理机构将不予处理；</w:t>
      </w:r>
    </w:p>
    <w:p>
      <w:pPr>
        <w:spacing w:line="360" w:lineRule="auto"/>
        <w:ind w:firstLine="48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）不提供招标文件纸质版。</w:t>
      </w:r>
    </w:p>
    <w:p>
      <w:pPr>
        <w:widowControl/>
        <w:spacing w:line="360" w:lineRule="auto"/>
        <w:ind w:firstLine="48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pStyle w:val="18"/>
        <w:widowControl/>
        <w:snapToGrid w:val="0"/>
        <w:spacing w:line="360" w:lineRule="auto"/>
        <w:ind w:firstLine="436"/>
        <w:rPr>
          <w:rFonts w:cs="Times New Roman"/>
          <w:sz w:val="28"/>
          <w:szCs w:val="20"/>
          <w:lang w:val="en-US"/>
        </w:rPr>
      </w:pPr>
      <w:r>
        <w:rPr>
          <w:rFonts w:ascii="仿宋" w:hAnsi="仿宋" w:eastAsia="仿宋" w:cs="仿宋"/>
          <w:b/>
          <w:lang w:val="en-US"/>
        </w:rPr>
        <w:t>8</w:t>
      </w:r>
      <w:r>
        <w:rPr>
          <w:rFonts w:hint="eastAsia" w:ascii="仿宋" w:hAnsi="仿宋" w:eastAsia="仿宋" w:cs="仿宋"/>
          <w:b/>
          <w:lang w:val="en-US"/>
        </w:rPr>
        <w:t>、投标截止时间与地点：</w:t>
      </w:r>
      <w:r>
        <w:rPr>
          <w:rFonts w:ascii="仿宋" w:hAnsi="仿宋" w:eastAsia="仿宋" w:cs="仿宋"/>
          <w:lang w:val="en-US"/>
        </w:rPr>
        <w:t>2022年01月20日上午09时30分00秒</w:t>
      </w:r>
      <w:r>
        <w:rPr>
          <w:rFonts w:hint="eastAsia" w:ascii="仿宋" w:hAnsi="仿宋" w:eastAsia="仿宋" w:cs="仿宋"/>
          <w:lang w:val="en-US"/>
        </w:rPr>
        <w:t>，地点：政采云平台。</w:t>
      </w:r>
    </w:p>
    <w:p>
      <w:pPr>
        <w:pStyle w:val="18"/>
        <w:widowControl/>
        <w:snapToGrid w:val="0"/>
        <w:spacing w:line="360" w:lineRule="auto"/>
        <w:ind w:firstLine="436"/>
        <w:rPr>
          <w:rFonts w:cs="Times New Roman"/>
          <w:sz w:val="28"/>
          <w:szCs w:val="20"/>
          <w:lang w:val="en-US"/>
        </w:rPr>
      </w:pPr>
      <w:r>
        <w:rPr>
          <w:rFonts w:ascii="仿宋" w:hAnsi="仿宋" w:eastAsia="仿宋" w:cs="仿宋"/>
          <w:b/>
          <w:lang w:val="en-US"/>
        </w:rPr>
        <w:t>9</w:t>
      </w:r>
      <w:r>
        <w:rPr>
          <w:rFonts w:hint="eastAsia" w:ascii="仿宋" w:hAnsi="仿宋" w:eastAsia="仿宋" w:cs="仿宋"/>
          <w:b/>
          <w:lang w:val="en-US"/>
        </w:rPr>
        <w:t>、开标时间与地点：</w:t>
      </w:r>
      <w:r>
        <w:rPr>
          <w:rFonts w:ascii="仿宋" w:hAnsi="仿宋" w:eastAsia="仿宋" w:cs="仿宋"/>
          <w:lang w:val="en-US"/>
        </w:rPr>
        <w:t>2022年01月20日上午09时30分00秒</w:t>
      </w:r>
      <w:r>
        <w:rPr>
          <w:rFonts w:hint="eastAsia" w:ascii="仿宋" w:hAnsi="仿宋" w:eastAsia="仿宋" w:cs="仿宋"/>
          <w:lang w:val="en-US"/>
        </w:rPr>
        <w:t>，地点：</w:t>
      </w:r>
      <w:r>
        <w:rPr>
          <w:rFonts w:hint="eastAsia" w:ascii="仿宋" w:hAnsi="仿宋" w:eastAsia="仿宋" w:cs="仿宋"/>
        </w:rPr>
        <w:t>淳安县千岛湖镇新安大街</w:t>
      </w:r>
      <w:r>
        <w:rPr>
          <w:rFonts w:ascii="仿宋" w:hAnsi="仿宋" w:eastAsia="仿宋" w:cs="仿宋"/>
          <w:lang w:val="en-US"/>
        </w:rPr>
        <w:t>104</w:t>
      </w:r>
      <w:r>
        <w:rPr>
          <w:rFonts w:hint="eastAsia" w:ascii="仿宋" w:hAnsi="仿宋" w:eastAsia="仿宋" w:cs="仿宋"/>
        </w:rPr>
        <w:t>号</w:t>
      </w:r>
      <w:r>
        <w:rPr>
          <w:rFonts w:hint="eastAsia" w:ascii="仿宋" w:hAnsi="仿宋" w:eastAsia="仿宋" w:cs="仿宋"/>
          <w:lang w:val="en-US"/>
        </w:rPr>
        <w:t>4楼综合财务室上5楼电子评标室，通过“政府采购云平台（</w:t>
      </w:r>
      <w:r>
        <w:rPr>
          <w:rFonts w:ascii="仿宋" w:hAnsi="仿宋" w:eastAsia="仿宋" w:cs="仿宋"/>
          <w:lang w:val="en-US"/>
        </w:rPr>
        <w:t>https://www.zcygov.cn/</w:t>
      </w:r>
      <w:r>
        <w:rPr>
          <w:rFonts w:hint="eastAsia" w:ascii="仿宋" w:hAnsi="仿宋" w:eastAsia="仿宋" w:cs="仿宋"/>
          <w:lang w:val="en-US"/>
        </w:rPr>
        <w:t>）”实行在线开标。</w:t>
      </w:r>
    </w:p>
    <w:p>
      <w:pPr>
        <w:pStyle w:val="18"/>
        <w:widowControl/>
        <w:snapToGrid w:val="0"/>
        <w:spacing w:line="360" w:lineRule="auto"/>
        <w:ind w:firstLine="436"/>
        <w:rPr>
          <w:rFonts w:cs="Times New Roman"/>
          <w:sz w:val="28"/>
          <w:szCs w:val="20"/>
          <w:lang w:val="en-US"/>
        </w:rPr>
      </w:pPr>
      <w:r>
        <w:rPr>
          <w:rFonts w:ascii="仿宋" w:hAnsi="仿宋" w:eastAsia="仿宋" w:cs="仿宋"/>
          <w:b/>
          <w:szCs w:val="20"/>
          <w:lang w:val="en-US"/>
        </w:rPr>
        <w:t>10</w:t>
      </w:r>
      <w:r>
        <w:rPr>
          <w:rFonts w:hint="eastAsia" w:ascii="仿宋" w:hAnsi="仿宋" w:eastAsia="仿宋" w:cs="仿宋"/>
          <w:b/>
          <w:szCs w:val="20"/>
          <w:lang w:val="en-US"/>
        </w:rPr>
        <w:t>、投标保证金：</w:t>
      </w:r>
      <w:r>
        <w:rPr>
          <w:rFonts w:hint="eastAsia" w:ascii="仿宋" w:hAnsi="仿宋" w:eastAsia="仿宋" w:cs="仿宋"/>
          <w:szCs w:val="20"/>
          <w:lang w:val="en-US"/>
        </w:rPr>
        <w:t>本项目不需要交纳投标保证金。</w:t>
      </w:r>
    </w:p>
    <w:p>
      <w:pPr>
        <w:spacing w:line="360" w:lineRule="auto"/>
        <w:ind w:firstLine="482"/>
      </w:pPr>
      <w:r>
        <w:rPr>
          <w:rFonts w:ascii="仿宋" w:hAnsi="仿宋" w:eastAsia="仿宋" w:cs="仿宋"/>
          <w:b/>
          <w:sz w:val="24"/>
          <w:szCs w:val="20"/>
        </w:rPr>
        <w:t>11</w:t>
      </w:r>
      <w:r>
        <w:rPr>
          <w:rFonts w:hint="eastAsia" w:ascii="仿宋" w:hAnsi="仿宋" w:eastAsia="仿宋" w:cs="仿宋"/>
          <w:b/>
          <w:sz w:val="24"/>
          <w:szCs w:val="20"/>
        </w:rPr>
        <w:t>、电子招投标的说明</w:t>
      </w:r>
    </w:p>
    <w:p>
      <w:pPr>
        <w:spacing w:line="360" w:lineRule="auto"/>
        <w:ind w:firstLine="482"/>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）电子招投标：</w:t>
      </w:r>
      <w:r>
        <w:rPr>
          <w:rFonts w:hint="eastAsia" w:ascii="仿宋" w:hAnsi="仿宋" w:eastAsia="仿宋" w:cs="仿宋"/>
          <w:sz w:val="24"/>
        </w:rPr>
        <w:t>本项目以数据电文形式，依托“政府采购云平台（</w:t>
      </w:r>
      <w:r>
        <w:rPr>
          <w:rFonts w:ascii="仿宋" w:hAnsi="仿宋" w:eastAsia="仿宋" w:cs="仿宋"/>
          <w:sz w:val="24"/>
        </w:rPr>
        <w:t>www.zcygov.cn</w:t>
      </w:r>
      <w:r>
        <w:rPr>
          <w:rFonts w:hint="eastAsia" w:ascii="仿宋" w:hAnsi="仿宋" w:eastAsia="仿宋" w:cs="仿宋"/>
          <w:sz w:val="24"/>
        </w:rPr>
        <w:t>）”进行招投标活动，不接受纸质投标文件。</w:t>
      </w:r>
    </w:p>
    <w:p>
      <w:pPr>
        <w:spacing w:line="360" w:lineRule="auto"/>
        <w:ind w:firstLine="482"/>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）投标准备：</w:t>
      </w:r>
      <w:r>
        <w:rPr>
          <w:rFonts w:hint="eastAsia" w:ascii="仿宋" w:hAnsi="仿宋" w:eastAsia="仿宋" w:cs="仿宋"/>
          <w:sz w:val="24"/>
        </w:rPr>
        <w:t>注册账号</w:t>
      </w:r>
      <w:r>
        <w:rPr>
          <w:rFonts w:ascii="仿宋" w:hAnsi="仿宋" w:eastAsia="仿宋" w:cs="仿宋"/>
          <w:sz w:val="24"/>
        </w:rPr>
        <w:t>--</w:t>
      </w:r>
      <w:r>
        <w:rPr>
          <w:rFonts w:hint="eastAsia" w:ascii="仿宋" w:hAnsi="仿宋" w:eastAsia="仿宋" w:cs="仿宋"/>
          <w:sz w:val="24"/>
        </w:rPr>
        <w:t>点击“商家入驻”，进行政府采购供应商资料填写；申领</w:t>
      </w:r>
      <w:r>
        <w:rPr>
          <w:rFonts w:ascii="仿宋" w:hAnsi="仿宋" w:eastAsia="仿宋" w:cs="仿宋"/>
          <w:sz w:val="24"/>
        </w:rPr>
        <w:t>CA</w:t>
      </w:r>
      <w:r>
        <w:rPr>
          <w:rFonts w:hint="eastAsia" w:ascii="仿宋" w:hAnsi="仿宋" w:eastAsia="仿宋" w:cs="仿宋"/>
          <w:sz w:val="24"/>
        </w:rPr>
        <w:t>数字证书</w:t>
      </w:r>
      <w:r>
        <w:rPr>
          <w:rFonts w:ascii="仿宋" w:hAnsi="仿宋" w:eastAsia="仿宋" w:cs="仿宋"/>
          <w:sz w:val="24"/>
        </w:rPr>
        <w:t>---</w:t>
      </w:r>
      <w:r>
        <w:rPr>
          <w:rFonts w:hint="eastAsia" w:ascii="仿宋" w:hAnsi="仿宋" w:eastAsia="仿宋" w:cs="仿宋"/>
          <w:sz w:val="24"/>
        </w:rPr>
        <w:t>申领流程详见“浙江政府采购网</w:t>
      </w:r>
      <w:r>
        <w:rPr>
          <w:rFonts w:ascii="仿宋" w:hAnsi="仿宋" w:eastAsia="仿宋" w:cs="仿宋"/>
          <w:sz w:val="24"/>
        </w:rPr>
        <w:t>-</w:t>
      </w:r>
      <w:r>
        <w:rPr>
          <w:rFonts w:hint="eastAsia" w:ascii="仿宋" w:hAnsi="仿宋" w:eastAsia="仿宋" w:cs="仿宋"/>
          <w:sz w:val="24"/>
        </w:rPr>
        <w:t>下载专区</w:t>
      </w:r>
      <w:r>
        <w:rPr>
          <w:rFonts w:ascii="仿宋" w:hAnsi="仿宋" w:eastAsia="仿宋" w:cs="仿宋"/>
          <w:sz w:val="24"/>
        </w:rPr>
        <w:t>-</w:t>
      </w:r>
      <w:r>
        <w:rPr>
          <w:rFonts w:hint="eastAsia" w:ascii="仿宋" w:hAnsi="仿宋" w:eastAsia="仿宋" w:cs="仿宋"/>
          <w:sz w:val="24"/>
        </w:rPr>
        <w:t>电子交易客户端</w:t>
      </w:r>
      <w:r>
        <w:rPr>
          <w:rFonts w:ascii="仿宋" w:hAnsi="仿宋" w:eastAsia="仿宋" w:cs="仿宋"/>
          <w:sz w:val="24"/>
        </w:rPr>
        <w:t>-CA</w:t>
      </w:r>
      <w:r>
        <w:rPr>
          <w:rFonts w:hint="eastAsia" w:ascii="仿宋" w:hAnsi="仿宋" w:eastAsia="仿宋" w:cs="仿宋"/>
          <w:sz w:val="24"/>
        </w:rPr>
        <w:t>驱动和申领流程”；安装“政采云电子交易客户端”</w:t>
      </w:r>
      <w:r>
        <w:rPr>
          <w:rFonts w:ascii="仿宋" w:hAnsi="仿宋" w:eastAsia="仿宋" w:cs="仿宋"/>
          <w:sz w:val="24"/>
        </w:rPr>
        <w:t>----</w:t>
      </w:r>
      <w:r>
        <w:rPr>
          <w:rFonts w:hint="eastAsia" w:ascii="仿宋" w:hAnsi="仿宋" w:eastAsia="仿宋" w:cs="仿宋"/>
          <w:sz w:val="24"/>
        </w:rPr>
        <w:t>前往“浙江政府采购网</w:t>
      </w:r>
      <w:r>
        <w:rPr>
          <w:rFonts w:ascii="仿宋" w:hAnsi="仿宋" w:eastAsia="仿宋" w:cs="仿宋"/>
          <w:sz w:val="24"/>
        </w:rPr>
        <w:t>-</w:t>
      </w:r>
      <w:r>
        <w:rPr>
          <w:rFonts w:hint="eastAsia" w:ascii="仿宋" w:hAnsi="仿宋" w:eastAsia="仿宋" w:cs="仿宋"/>
          <w:sz w:val="24"/>
        </w:rPr>
        <w:t>下载专区</w:t>
      </w:r>
      <w:r>
        <w:rPr>
          <w:rFonts w:ascii="仿宋" w:hAnsi="仿宋" w:eastAsia="仿宋" w:cs="仿宋"/>
          <w:sz w:val="24"/>
        </w:rPr>
        <w:t>-</w:t>
      </w:r>
      <w:r>
        <w:rPr>
          <w:rFonts w:hint="eastAsia" w:ascii="仿宋" w:hAnsi="仿宋" w:eastAsia="仿宋" w:cs="仿宋"/>
          <w:sz w:val="24"/>
        </w:rPr>
        <w:t>电子交易客户端”进行下载并安装。</w:t>
      </w:r>
    </w:p>
    <w:p>
      <w:pPr>
        <w:spacing w:line="360" w:lineRule="auto"/>
        <w:ind w:firstLine="424"/>
      </w:pPr>
      <w:r>
        <w:rPr>
          <w:rFonts w:hint="eastAsia" w:ascii="仿宋" w:hAnsi="仿宋" w:eastAsia="仿宋" w:cs="仿宋"/>
          <w:b/>
          <w:sz w:val="24"/>
        </w:rPr>
        <w:t>（</w:t>
      </w:r>
      <w:r>
        <w:rPr>
          <w:rFonts w:ascii="仿宋" w:hAnsi="仿宋" w:eastAsia="仿宋" w:cs="仿宋"/>
          <w:b/>
          <w:sz w:val="24"/>
        </w:rPr>
        <w:t>3</w:t>
      </w:r>
      <w:r>
        <w:rPr>
          <w:rFonts w:hint="eastAsia" w:ascii="仿宋" w:hAnsi="仿宋" w:eastAsia="仿宋" w:cs="仿宋"/>
          <w:b/>
          <w:sz w:val="24"/>
        </w:rPr>
        <w:t>）招标文件的获取：</w:t>
      </w:r>
      <w:r>
        <w:rPr>
          <w:rFonts w:hint="eastAsia" w:ascii="仿宋" w:hAnsi="仿宋" w:eastAsia="仿宋" w:cs="仿宋"/>
          <w:sz w:val="24"/>
        </w:rPr>
        <w:t>使用账号登录或者使用</w:t>
      </w:r>
      <w:r>
        <w:rPr>
          <w:rFonts w:ascii="仿宋" w:hAnsi="仿宋" w:eastAsia="仿宋" w:cs="仿宋"/>
          <w:sz w:val="24"/>
        </w:rPr>
        <w:t>CA</w:t>
      </w:r>
      <w:r>
        <w:rPr>
          <w:rFonts w:hint="eastAsia" w:ascii="仿宋" w:hAnsi="仿宋" w:eastAsia="仿宋" w:cs="仿宋"/>
          <w:sz w:val="24"/>
        </w:rPr>
        <w:t>登录政采云平台；进入“项目采购”应用，在获取采购文件菜单中选择项目，获取招标文件。</w:t>
      </w:r>
    </w:p>
    <w:p>
      <w:pPr>
        <w:spacing w:line="360" w:lineRule="auto"/>
        <w:ind w:firstLine="424"/>
      </w:pPr>
      <w:r>
        <w:rPr>
          <w:rFonts w:hint="eastAsia" w:ascii="仿宋" w:hAnsi="仿宋" w:eastAsia="仿宋" w:cs="仿宋"/>
          <w:b/>
          <w:sz w:val="24"/>
        </w:rPr>
        <w:t>（</w:t>
      </w:r>
      <w:r>
        <w:rPr>
          <w:rFonts w:ascii="仿宋" w:hAnsi="仿宋" w:eastAsia="仿宋" w:cs="仿宋"/>
          <w:b/>
          <w:sz w:val="24"/>
        </w:rPr>
        <w:t>4</w:t>
      </w:r>
      <w:r>
        <w:rPr>
          <w:rFonts w:hint="eastAsia" w:ascii="仿宋" w:hAnsi="仿宋" w:eastAsia="仿宋" w:cs="仿宋"/>
          <w:b/>
          <w:sz w:val="24"/>
        </w:rPr>
        <w:t>）投标文件的制作：</w:t>
      </w:r>
      <w:r>
        <w:rPr>
          <w:rFonts w:hint="eastAsia" w:ascii="仿宋" w:hAnsi="仿宋" w:eastAsia="仿宋" w:cs="仿宋"/>
          <w:sz w:val="24"/>
        </w:rPr>
        <w:t>在“政采云电子交易客户端”中完成“填写基本信息”、“导入投标文件”、“标书关联”、“标书检查”、“电子签名”、“生成电子标书”等操作。</w:t>
      </w:r>
    </w:p>
    <w:p>
      <w:pPr>
        <w:pStyle w:val="21"/>
        <w:spacing w:line="360" w:lineRule="auto"/>
        <w:ind w:firstLine="482"/>
      </w:pPr>
      <w:r>
        <w:rPr>
          <w:rFonts w:hint="eastAsia" w:ascii="仿宋" w:hAnsi="仿宋" w:eastAsia="仿宋" w:cs="仿宋"/>
          <w:b/>
          <w:sz w:val="24"/>
          <w:szCs w:val="24"/>
        </w:rPr>
        <w:t>（</w:t>
      </w:r>
      <w:r>
        <w:rPr>
          <w:rFonts w:ascii="仿宋" w:hAnsi="仿宋" w:eastAsia="仿宋" w:cs="仿宋"/>
          <w:b/>
          <w:sz w:val="24"/>
          <w:szCs w:val="24"/>
        </w:rPr>
        <w:t>5</w:t>
      </w:r>
      <w:r>
        <w:rPr>
          <w:rFonts w:hint="eastAsia" w:ascii="仿宋" w:hAnsi="仿宋" w:eastAsia="仿宋" w:cs="仿宋"/>
          <w:b/>
          <w:sz w:val="24"/>
          <w:szCs w:val="24"/>
        </w:rPr>
        <w:t>）投标文件的传输递交：</w:t>
      </w:r>
      <w:r>
        <w:rPr>
          <w:rFonts w:hint="eastAsia" w:ascii="仿宋" w:hAnsi="仿宋" w:eastAsia="仿宋" w:cs="仿宋"/>
          <w:sz w:val="24"/>
          <w:szCs w:val="24"/>
        </w:rPr>
        <w:t>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rPr>
        <w:t>1</w:t>
      </w:r>
      <w:r>
        <w:rPr>
          <w:rFonts w:hint="eastAsia" w:ascii="仿宋" w:hAnsi="仿宋" w:eastAsia="仿宋" w:cs="仿宋"/>
          <w:sz w:val="24"/>
          <w:szCs w:val="24"/>
        </w:rPr>
        <w:t>份。备份投标文的制作、存储、密封详见招标文件第二部分第</w:t>
      </w:r>
      <w:r>
        <w:rPr>
          <w:rFonts w:ascii="仿宋" w:hAnsi="仿宋" w:eastAsia="仿宋" w:cs="仿宋"/>
          <w:sz w:val="24"/>
          <w:szCs w:val="24"/>
        </w:rPr>
        <w:t>15</w:t>
      </w:r>
      <w:r>
        <w:rPr>
          <w:rFonts w:hint="eastAsia" w:ascii="仿宋" w:hAnsi="仿宋" w:eastAsia="仿宋" w:cs="仿宋"/>
          <w:sz w:val="24"/>
          <w:szCs w:val="24"/>
        </w:rPr>
        <w:t>点</w:t>
      </w:r>
      <w:r>
        <w:rPr>
          <w:rFonts w:ascii="仿宋" w:hAnsi="仿宋" w:eastAsia="仿宋" w:cs="仿宋"/>
          <w:sz w:val="24"/>
          <w:szCs w:val="24"/>
        </w:rPr>
        <w:t>—</w:t>
      </w:r>
      <w:r>
        <w:rPr>
          <w:rFonts w:hint="eastAsia" w:ascii="仿宋" w:hAnsi="仿宋" w:eastAsia="仿宋" w:cs="仿宋"/>
          <w:sz w:val="24"/>
          <w:szCs w:val="24"/>
        </w:rPr>
        <w:t>“备份投标文件”。</w:t>
      </w:r>
    </w:p>
    <w:p>
      <w:pPr>
        <w:spacing w:line="360" w:lineRule="auto"/>
        <w:ind w:firstLine="424"/>
      </w:pPr>
      <w:r>
        <w:rPr>
          <w:rFonts w:hint="eastAsia" w:ascii="仿宋" w:hAnsi="仿宋" w:eastAsia="仿宋" w:cs="仿宋"/>
          <w:b/>
          <w:sz w:val="24"/>
        </w:rPr>
        <w:t>（</w:t>
      </w:r>
      <w:r>
        <w:rPr>
          <w:rFonts w:ascii="仿宋" w:hAnsi="仿宋" w:eastAsia="仿宋" w:cs="仿宋"/>
          <w:b/>
          <w:sz w:val="24"/>
        </w:rPr>
        <w:t>6</w:t>
      </w:r>
      <w:r>
        <w:rPr>
          <w:rFonts w:hint="eastAsia" w:ascii="仿宋" w:hAnsi="仿宋" w:eastAsia="仿宋" w:cs="仿宋"/>
          <w:b/>
          <w:sz w:val="24"/>
        </w:rPr>
        <w:t>）投标文件的解密：</w:t>
      </w:r>
      <w:r>
        <w:rPr>
          <w:rFonts w:hint="eastAsia" w:ascii="仿宋" w:hAnsi="仿宋" w:eastAsia="仿宋" w:cs="仿宋"/>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24"/>
      </w:pPr>
      <w:r>
        <w:rPr>
          <w:rFonts w:hint="eastAsia" w:ascii="仿宋" w:hAnsi="仿宋" w:eastAsia="仿宋" w:cs="仿宋"/>
          <w:b/>
          <w:sz w:val="24"/>
        </w:rPr>
        <w:t>（</w:t>
      </w:r>
      <w:r>
        <w:rPr>
          <w:rFonts w:ascii="仿宋" w:hAnsi="仿宋" w:eastAsia="仿宋" w:cs="仿宋"/>
          <w:b/>
          <w:sz w:val="24"/>
        </w:rPr>
        <w:t>7</w:t>
      </w:r>
      <w:r>
        <w:rPr>
          <w:rFonts w:hint="eastAsia" w:ascii="仿宋" w:hAnsi="仿宋" w:eastAsia="仿宋" w:cs="仿宋"/>
          <w:b/>
          <w:sz w:val="24"/>
        </w:rPr>
        <w:t>）具体操作指南</w:t>
      </w:r>
      <w:r>
        <w:rPr>
          <w:rFonts w:hint="eastAsia" w:ascii="仿宋" w:hAnsi="仿宋" w:eastAsia="仿宋" w:cs="仿宋"/>
          <w:sz w:val="24"/>
        </w:rPr>
        <w:t>：详见政采云平台“服务中心</w:t>
      </w:r>
      <w:r>
        <w:rPr>
          <w:rFonts w:ascii="仿宋" w:hAnsi="仿宋" w:eastAsia="仿宋" w:cs="仿宋"/>
          <w:sz w:val="24"/>
        </w:rPr>
        <w:t>-</w:t>
      </w:r>
      <w:r>
        <w:rPr>
          <w:rFonts w:hint="eastAsia" w:ascii="仿宋" w:hAnsi="仿宋" w:eastAsia="仿宋" w:cs="仿宋"/>
          <w:sz w:val="24"/>
        </w:rPr>
        <w:t>帮助文档</w:t>
      </w:r>
      <w:r>
        <w:rPr>
          <w:rFonts w:ascii="仿宋" w:hAnsi="仿宋" w:eastAsia="仿宋" w:cs="仿宋"/>
          <w:sz w:val="24"/>
        </w:rPr>
        <w:t>-</w:t>
      </w:r>
      <w:r>
        <w:rPr>
          <w:rFonts w:hint="eastAsia" w:ascii="仿宋" w:hAnsi="仿宋" w:eastAsia="仿宋" w:cs="仿宋"/>
          <w:sz w:val="24"/>
        </w:rPr>
        <w:t>项目采购</w:t>
      </w:r>
      <w:r>
        <w:rPr>
          <w:rFonts w:ascii="仿宋" w:hAnsi="仿宋" w:eastAsia="仿宋" w:cs="仿宋"/>
          <w:sz w:val="24"/>
        </w:rPr>
        <w:t>-</w:t>
      </w:r>
      <w:r>
        <w:rPr>
          <w:rFonts w:hint="eastAsia" w:ascii="仿宋" w:hAnsi="仿宋" w:eastAsia="仿宋" w:cs="仿宋"/>
          <w:sz w:val="24"/>
        </w:rPr>
        <w:t>操作流程</w:t>
      </w:r>
      <w:r>
        <w:rPr>
          <w:rFonts w:ascii="仿宋" w:hAnsi="仿宋" w:eastAsia="仿宋" w:cs="仿宋"/>
          <w:sz w:val="24"/>
        </w:rPr>
        <w:t>-</w:t>
      </w:r>
      <w:r>
        <w:rPr>
          <w:rFonts w:hint="eastAsia" w:ascii="仿宋" w:hAnsi="仿宋" w:eastAsia="仿宋" w:cs="仿宋"/>
          <w:sz w:val="24"/>
        </w:rPr>
        <w:t>电子招投标</w:t>
      </w:r>
      <w:r>
        <w:rPr>
          <w:rFonts w:ascii="仿宋" w:hAnsi="仿宋" w:eastAsia="仿宋" w:cs="仿宋"/>
          <w:sz w:val="24"/>
        </w:rPr>
        <w:t>-</w:t>
      </w:r>
      <w:r>
        <w:rPr>
          <w:rFonts w:hint="eastAsia" w:ascii="仿宋" w:hAnsi="仿宋" w:eastAsia="仿宋" w:cs="仿宋"/>
          <w:sz w:val="24"/>
        </w:rPr>
        <w:t>政府采购项目电子交易管理操作指南</w:t>
      </w:r>
      <w:r>
        <w:rPr>
          <w:rFonts w:ascii="仿宋" w:hAnsi="仿宋" w:eastAsia="仿宋" w:cs="仿宋"/>
          <w:sz w:val="24"/>
        </w:rPr>
        <w:t>-</w:t>
      </w:r>
      <w:r>
        <w:rPr>
          <w:rFonts w:hint="eastAsia" w:ascii="仿宋" w:hAnsi="仿宋" w:eastAsia="仿宋" w:cs="仿宋"/>
          <w:sz w:val="24"/>
        </w:rPr>
        <w:t>供应商”。</w:t>
      </w:r>
    </w:p>
    <w:p>
      <w:pPr>
        <w:widowControl/>
        <w:spacing w:line="360" w:lineRule="auto"/>
        <w:ind w:firstLine="482"/>
        <w:jc w:val="left"/>
      </w:pPr>
      <w:r>
        <w:rPr>
          <w:rFonts w:hint="eastAsia" w:ascii="仿宋" w:hAnsi="仿宋" w:eastAsia="仿宋" w:cs="仿宋"/>
          <w:b/>
          <w:sz w:val="24"/>
        </w:rPr>
        <w:t>（</w:t>
      </w:r>
      <w:r>
        <w:rPr>
          <w:rFonts w:ascii="仿宋" w:hAnsi="仿宋" w:eastAsia="仿宋" w:cs="仿宋"/>
          <w:b/>
          <w:sz w:val="24"/>
        </w:rPr>
        <w:t>8</w:t>
      </w:r>
      <w:r>
        <w:rPr>
          <w:rFonts w:hint="eastAsia" w:ascii="仿宋" w:hAnsi="仿宋" w:eastAsia="仿宋" w:cs="仿宋"/>
          <w:b/>
          <w:sz w:val="24"/>
        </w:rPr>
        <w:t>）政府采购云平台技术咨询电话</w:t>
      </w:r>
      <w:r>
        <w:rPr>
          <w:rFonts w:hint="eastAsia" w:ascii="仿宋" w:hAnsi="仿宋" w:eastAsia="仿宋" w:cs="仿宋"/>
          <w:sz w:val="24"/>
        </w:rPr>
        <w:t>：</w:t>
      </w:r>
      <w:r>
        <w:rPr>
          <w:rFonts w:ascii="仿宋" w:hAnsi="仿宋" w:eastAsia="仿宋" w:cs="仿宋"/>
          <w:sz w:val="24"/>
        </w:rPr>
        <w:t>400-881-7190</w:t>
      </w:r>
      <w:r>
        <w:rPr>
          <w:rFonts w:hint="eastAsia" w:ascii="仿宋" w:hAnsi="仿宋" w:eastAsia="仿宋" w:cs="仿宋"/>
          <w:sz w:val="24"/>
        </w:rPr>
        <w:t>。</w:t>
      </w:r>
    </w:p>
    <w:p>
      <w:pPr>
        <w:pStyle w:val="21"/>
        <w:spacing w:line="360" w:lineRule="auto"/>
        <w:ind w:firstLine="472"/>
      </w:pPr>
      <w:r>
        <w:rPr>
          <w:rFonts w:ascii="仿宋" w:hAnsi="仿宋" w:eastAsia="仿宋" w:cs="仿宋"/>
          <w:b/>
          <w:sz w:val="24"/>
          <w:szCs w:val="24"/>
        </w:rPr>
        <w:t>12</w:t>
      </w:r>
      <w:r>
        <w:rPr>
          <w:rFonts w:hint="eastAsia" w:ascii="仿宋" w:hAnsi="仿宋" w:eastAsia="仿宋" w:cs="仿宋"/>
          <w:b/>
          <w:sz w:val="24"/>
          <w:szCs w:val="24"/>
        </w:rPr>
        <w:t>、采购人、采购机构等：</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采购单位：淳安县人民政府办公室；</w:t>
      </w:r>
    </w:p>
    <w:p>
      <w:pPr>
        <w:widowControl/>
        <w:spacing w:line="324" w:lineRule="auto"/>
        <w:ind w:left="63" w:leftChars="30" w:right="63" w:firstLine="360" w:firstLineChars="150"/>
        <w:rPr>
          <w:rFonts w:ascii="仿宋" w:hAnsi="仿宋" w:eastAsia="仿宋" w:cs="仿宋"/>
          <w:kern w:val="28"/>
          <w:sz w:val="24"/>
          <w:szCs w:val="20"/>
        </w:rPr>
      </w:pPr>
      <w:r>
        <w:rPr>
          <w:rFonts w:hint="eastAsia" w:ascii="仿宋" w:hAnsi="仿宋" w:eastAsia="仿宋" w:cs="仿宋"/>
          <w:kern w:val="28"/>
          <w:sz w:val="24"/>
          <w:szCs w:val="20"/>
        </w:rPr>
        <w:t>项目经办人：</w:t>
      </w:r>
      <w:r>
        <w:rPr>
          <w:rFonts w:ascii="仿宋" w:hAnsi="仿宋" w:eastAsia="仿宋" w:cs="仿宋"/>
          <w:kern w:val="28"/>
          <w:sz w:val="24"/>
          <w:szCs w:val="20"/>
        </w:rPr>
        <w:t xml:space="preserve">童伟传      </w:t>
      </w:r>
      <w:r>
        <w:rPr>
          <w:rFonts w:hint="eastAsia" w:ascii="仿宋" w:hAnsi="仿宋" w:eastAsia="仿宋" w:cs="仿宋"/>
          <w:kern w:val="28"/>
          <w:sz w:val="24"/>
          <w:szCs w:val="20"/>
        </w:rPr>
        <w:t>联系电话：</w:t>
      </w:r>
      <w:r>
        <w:rPr>
          <w:rFonts w:ascii="仿宋" w:hAnsi="仿宋" w:eastAsia="仿宋" w:cs="仿宋"/>
          <w:kern w:val="28"/>
          <w:sz w:val="24"/>
          <w:szCs w:val="20"/>
        </w:rPr>
        <w:t>0571-65060036</w:t>
      </w:r>
    </w:p>
    <w:p>
      <w:pPr>
        <w:widowControl/>
        <w:spacing w:line="324" w:lineRule="auto"/>
        <w:ind w:left="63" w:leftChars="30" w:right="63" w:firstLine="360" w:firstLineChars="150"/>
        <w:rPr>
          <w:rFonts w:ascii="仿宋" w:hAnsi="仿宋" w:eastAsia="仿宋" w:cs="仿宋"/>
          <w:kern w:val="28"/>
          <w:sz w:val="24"/>
          <w:szCs w:val="20"/>
        </w:rPr>
      </w:pPr>
      <w:r>
        <w:rPr>
          <w:rFonts w:hint="eastAsia" w:ascii="仿宋" w:hAnsi="仿宋" w:eastAsia="仿宋" w:cs="仿宋"/>
          <w:kern w:val="28"/>
          <w:sz w:val="24"/>
          <w:szCs w:val="20"/>
        </w:rPr>
        <w:t>质疑联系人：</w:t>
      </w:r>
      <w:r>
        <w:rPr>
          <w:rFonts w:ascii="仿宋" w:hAnsi="仿宋" w:eastAsia="仿宋" w:cs="仿宋"/>
          <w:kern w:val="28"/>
          <w:sz w:val="24"/>
          <w:szCs w:val="20"/>
        </w:rPr>
        <w:t xml:space="preserve">方友军     </w:t>
      </w:r>
      <w:r>
        <w:rPr>
          <w:rFonts w:hint="eastAsia" w:ascii="仿宋" w:hAnsi="仿宋" w:eastAsia="仿宋" w:cs="仿宋"/>
          <w:kern w:val="28"/>
          <w:sz w:val="24"/>
          <w:szCs w:val="20"/>
        </w:rPr>
        <w:t xml:space="preserve">  联系电话：</w:t>
      </w:r>
      <w:r>
        <w:rPr>
          <w:rFonts w:ascii="仿宋" w:hAnsi="仿宋" w:eastAsia="仿宋" w:cs="仿宋"/>
          <w:kern w:val="28"/>
          <w:sz w:val="24"/>
          <w:szCs w:val="20"/>
        </w:rPr>
        <w:t>0571-64813735</w:t>
      </w:r>
    </w:p>
    <w:p>
      <w:pPr>
        <w:widowControl/>
        <w:spacing w:line="324" w:lineRule="auto"/>
        <w:ind w:left="63" w:leftChars="30" w:right="63" w:firstLine="360" w:firstLineChars="150"/>
        <w:rPr>
          <w:rFonts w:ascii="仿宋" w:hAnsi="仿宋" w:eastAsia="仿宋" w:cs="仿宋"/>
          <w:sz w:val="24"/>
        </w:rPr>
      </w:pPr>
      <w:r>
        <w:rPr>
          <w:rFonts w:hint="eastAsia" w:ascii="仿宋" w:hAnsi="仿宋" w:eastAsia="仿宋" w:cs="仿宋"/>
          <w:sz w:val="24"/>
        </w:rPr>
        <w:t>地址：淳安县千岛湖镇</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代理机构：浙江辰光管理有限公司</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联系人</w:t>
      </w:r>
      <w:r>
        <w:rPr>
          <w:rFonts w:ascii="仿宋" w:hAnsi="仿宋" w:eastAsia="仿宋" w:cs="仿宋"/>
          <w:color w:val="auto"/>
          <w:sz w:val="24"/>
        </w:rPr>
        <w:t>:</w:t>
      </w:r>
      <w:r>
        <w:rPr>
          <w:rFonts w:hint="eastAsia" w:ascii="仿宋" w:hAnsi="仿宋" w:eastAsia="仿宋" w:cs="仿宋"/>
          <w:color w:val="auto"/>
          <w:sz w:val="24"/>
        </w:rPr>
        <w:t>高文峰联系电话：</w:t>
      </w:r>
      <w:r>
        <w:rPr>
          <w:rFonts w:ascii="仿宋" w:hAnsi="仿宋" w:eastAsia="仿宋" w:cs="仿宋"/>
          <w:color w:val="auto"/>
          <w:sz w:val="24"/>
        </w:rPr>
        <w:t>0571-64813937</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质疑接收人：童国民联系电话：</w:t>
      </w:r>
      <w:r>
        <w:rPr>
          <w:rFonts w:ascii="仿宋" w:hAnsi="仿宋" w:eastAsia="仿宋" w:cs="仿宋"/>
          <w:color w:val="auto"/>
          <w:sz w:val="24"/>
        </w:rPr>
        <w:t xml:space="preserve">0571-64814245 </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地址：淳安县千岛湖镇新安大街</w:t>
      </w:r>
      <w:r>
        <w:rPr>
          <w:rFonts w:ascii="仿宋" w:hAnsi="仿宋" w:eastAsia="仿宋" w:cs="仿宋"/>
          <w:color w:val="auto"/>
          <w:sz w:val="24"/>
        </w:rPr>
        <w:t>104</w:t>
      </w:r>
      <w:r>
        <w:rPr>
          <w:rFonts w:hint="eastAsia" w:ascii="仿宋" w:hAnsi="仿宋" w:eastAsia="仿宋" w:cs="仿宋"/>
          <w:color w:val="auto"/>
          <w:sz w:val="24"/>
        </w:rPr>
        <w:t>号</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同级政府采购监督管理部门名称：淳安县财政局</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联系人：方建宏监督投诉电话：</w:t>
      </w:r>
      <w:r>
        <w:rPr>
          <w:rFonts w:ascii="仿宋" w:hAnsi="仿宋" w:eastAsia="仿宋" w:cs="仿宋"/>
          <w:color w:val="auto"/>
          <w:sz w:val="24"/>
        </w:rPr>
        <w:t>0571-64818305</w:t>
      </w:r>
    </w:p>
    <w:p>
      <w:pPr>
        <w:pStyle w:val="14"/>
        <w:adjustRightInd/>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地址：淳安县千岛湖环湖北路</w:t>
      </w:r>
      <w:r>
        <w:rPr>
          <w:rFonts w:ascii="仿宋" w:hAnsi="仿宋" w:eastAsia="仿宋" w:cs="仿宋"/>
          <w:color w:val="auto"/>
          <w:sz w:val="24"/>
        </w:rPr>
        <w:t>695</w:t>
      </w:r>
      <w:r>
        <w:rPr>
          <w:rFonts w:hint="eastAsia" w:ascii="仿宋" w:hAnsi="仿宋" w:eastAsia="仿宋" w:cs="仿宋"/>
          <w:color w:val="auto"/>
          <w:sz w:val="24"/>
        </w:rPr>
        <w:t>号</w:t>
      </w:r>
    </w:p>
    <w:p>
      <w:pPr>
        <w:pStyle w:val="18"/>
        <w:widowControl/>
        <w:snapToGrid w:val="0"/>
        <w:spacing w:line="360" w:lineRule="auto"/>
        <w:ind w:firstLine="118"/>
        <w:rPr>
          <w:rFonts w:cs="Times New Roman"/>
          <w:sz w:val="28"/>
          <w:szCs w:val="20"/>
          <w:lang w:val="en-US"/>
        </w:rPr>
      </w:pPr>
      <w:r>
        <w:rPr>
          <w:rFonts w:ascii="仿宋" w:hAnsi="仿宋" w:eastAsia="仿宋" w:cs="仿宋"/>
          <w:b/>
          <w:lang w:val="en-US"/>
        </w:rPr>
        <w:t>13</w:t>
      </w:r>
      <w:r>
        <w:rPr>
          <w:rFonts w:hint="eastAsia" w:ascii="仿宋" w:hAnsi="仿宋" w:eastAsia="仿宋" w:cs="仿宋"/>
          <w:b/>
          <w:lang w:val="en-US"/>
        </w:rPr>
        <w:t>、本项目采购文件公告期限为：</w:t>
      </w:r>
      <w:r>
        <w:rPr>
          <w:rFonts w:hint="eastAsia" w:ascii="仿宋" w:hAnsi="仿宋" w:eastAsia="仿宋" w:cs="仿宋"/>
          <w:lang w:val="en-US"/>
        </w:rPr>
        <w:t>本公告发布之日起五个工作日。</w:t>
      </w:r>
    </w:p>
    <w:p>
      <w:pPr>
        <w:pStyle w:val="18"/>
        <w:widowControl/>
        <w:snapToGrid w:val="0"/>
        <w:spacing w:line="360" w:lineRule="auto"/>
        <w:ind w:firstLine="4480"/>
        <w:rPr>
          <w:rFonts w:ascii="仿宋" w:hAnsi="仿宋" w:eastAsia="仿宋" w:cs="仿宋"/>
          <w:sz w:val="28"/>
          <w:szCs w:val="20"/>
          <w:lang w:val="en-US"/>
        </w:rPr>
      </w:pPr>
    </w:p>
    <w:p>
      <w:pPr>
        <w:pStyle w:val="18"/>
        <w:widowControl/>
        <w:snapToGrid w:val="0"/>
        <w:spacing w:line="360" w:lineRule="auto"/>
        <w:ind w:firstLine="4480"/>
        <w:jc w:val="center"/>
        <w:rPr>
          <w:rFonts w:ascii="仿宋" w:hAnsi="仿宋" w:eastAsia="仿宋" w:cs="仿宋"/>
          <w:b/>
          <w:sz w:val="36"/>
          <w:szCs w:val="20"/>
        </w:rPr>
      </w:pPr>
      <w:r>
        <w:rPr>
          <w:rFonts w:hint="eastAsia" w:ascii="仿宋" w:hAnsi="仿宋" w:eastAsia="仿宋" w:cs="仿宋"/>
          <w:sz w:val="28"/>
          <w:szCs w:val="20"/>
          <w:lang w:val="en-US"/>
        </w:rPr>
        <w:t>二○二一年十二月十四日</w:t>
      </w:r>
      <w:r>
        <w:rPr>
          <w:rFonts w:cs="Times New Roman"/>
          <w:sz w:val="28"/>
          <w:szCs w:val="20"/>
          <w:lang w:val="en-US"/>
        </w:rPr>
        <w:br w:type="page"/>
      </w:r>
      <w:bookmarkStart w:id="1" w:name="__RefHeading___Toc28522"/>
      <w:bookmarkEnd w:id="1"/>
      <w:r>
        <w:rPr>
          <w:rFonts w:hint="eastAsia" w:ascii="仿宋" w:hAnsi="仿宋" w:eastAsia="仿宋" w:cs="仿宋"/>
          <w:b/>
          <w:sz w:val="36"/>
          <w:szCs w:val="20"/>
        </w:rPr>
        <w:t>第二部分投标人须知</w:t>
      </w:r>
    </w:p>
    <w:p>
      <w:pPr>
        <w:snapToGrid w:val="0"/>
        <w:spacing w:line="360" w:lineRule="auto"/>
        <w:jc w:val="center"/>
      </w:pPr>
      <w:r>
        <w:rPr>
          <w:rFonts w:hint="eastAsia" w:ascii="宋体" w:hAnsi="宋体" w:eastAsia="宋体" w:cs="宋体"/>
        </w:rPr>
        <w:t>前附表</w:t>
      </w:r>
    </w:p>
    <w:tbl>
      <w:tblPr>
        <w:tblStyle w:val="34"/>
        <w:tblW w:w="9144" w:type="dxa"/>
        <w:tblInd w:w="98" w:type="dxa"/>
        <w:tblLayout w:type="fixed"/>
        <w:tblCellMar>
          <w:top w:w="0" w:type="dxa"/>
          <w:left w:w="28" w:type="dxa"/>
          <w:bottom w:w="0" w:type="dxa"/>
          <w:right w:w="28" w:type="dxa"/>
        </w:tblCellMar>
      </w:tblPr>
      <w:tblGrid>
        <w:gridCol w:w="629"/>
        <w:gridCol w:w="1652"/>
        <w:gridCol w:w="6863"/>
      </w:tblGrid>
      <w:tr>
        <w:tblPrEx>
          <w:tblCellMar>
            <w:top w:w="0" w:type="dxa"/>
            <w:left w:w="28" w:type="dxa"/>
            <w:bottom w:w="0" w:type="dxa"/>
            <w:right w:w="28" w:type="dxa"/>
          </w:tblCellMar>
        </w:tblPrEx>
        <w:trPr>
          <w:trHeight w:val="97" w:hRule="atLeast"/>
          <w:tblHeader/>
        </w:trPr>
        <w:tc>
          <w:tcPr>
            <w:tcW w:w="62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652" w:type="dxa"/>
            <w:tcBorders>
              <w:top w:val="single" w:color="000000" w:sz="8" w:space="0"/>
              <w:left w:val="single" w:color="000000"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CellMar>
            <w:top w:w="0" w:type="dxa"/>
            <w:left w:w="28" w:type="dxa"/>
            <w:bottom w:w="0" w:type="dxa"/>
            <w:right w:w="28" w:type="dxa"/>
          </w:tblCellMar>
        </w:tblPrEx>
        <w:trPr>
          <w:trHeight w:val="6353" w:hRule="atLeast"/>
        </w:trPr>
        <w:tc>
          <w:tcPr>
            <w:tcW w:w="62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ascii="仿宋" w:hAnsi="仿宋" w:eastAsia="仿宋" w:cs="仿宋"/>
                <w:b/>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ascii="仿宋" w:hAnsi="仿宋" w:eastAsia="仿宋" w:cs="仿宋"/>
                <w:sz w:val="24"/>
              </w:rPr>
              <w:t>1</w:t>
            </w:r>
          </w:p>
        </w:tc>
        <w:tc>
          <w:tcPr>
            <w:tcW w:w="1652" w:type="dxa"/>
            <w:tcBorders>
              <w:top w:val="single" w:color="000000" w:sz="8" w:space="0"/>
              <w:left w:val="single" w:color="000000"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pPr>
            <w:r>
              <w:rPr>
                <w:rFonts w:hint="eastAsia" w:ascii="仿宋" w:hAnsi="仿宋" w:eastAsia="仿宋" w:cs="仿宋"/>
                <w:kern w:val="0"/>
                <w:sz w:val="24"/>
                <w:lang w:val="zh-CN"/>
              </w:rPr>
              <w:t>有关本项目服务所需的所有与项目实施有关的费用均计入报价。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提醒：投标报价出现下列情形的，投标无效：</w:t>
            </w:r>
          </w:p>
          <w:p>
            <w:pPr>
              <w:snapToGrid w:val="0"/>
              <w:spacing w:line="360" w:lineRule="auto"/>
              <w:jc w:val="left"/>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r>
              <w:rPr>
                <w:rFonts w:ascii="仿宋" w:hAnsi="仿宋" w:eastAsia="仿宋" w:cs="仿宋"/>
                <w:b/>
                <w:sz w:val="24"/>
              </w:rPr>
              <w:t>;</w:t>
            </w:r>
          </w:p>
          <w:p>
            <w:pPr>
              <w:spacing w:line="360" w:lineRule="auto"/>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报价明显低于其他通过符合性审查投标人的报价，有可能影响产品服务质量或者不能诚信履约的，未能按要求提供书面说明或者提交相关证明材料，不能证明其报价合理性的</w:t>
            </w:r>
            <w:r>
              <w:rPr>
                <w:rFonts w:ascii="仿宋" w:hAnsi="仿宋" w:eastAsia="仿宋" w:cs="仿宋"/>
                <w:b/>
                <w:sz w:val="24"/>
                <w:szCs w:val="21"/>
              </w:rPr>
              <w:t>;</w:t>
            </w:r>
          </w:p>
          <w:p>
            <w:pPr>
              <w:spacing w:line="360" w:lineRule="auto"/>
              <w:rPr>
                <w:rFonts w:ascii="仿宋" w:hAnsi="仿宋" w:eastAsia="仿宋" w:cs="仿宋"/>
                <w:sz w:val="24"/>
                <w:szCs w:val="21"/>
              </w:rPr>
            </w:pPr>
            <w:r>
              <w:rPr>
                <w:rFonts w:hint="eastAsia" w:ascii="仿宋" w:hAnsi="仿宋" w:eastAsia="仿宋" w:cs="仿宋"/>
                <w:b/>
                <w:sz w:val="24"/>
              </w:rPr>
              <w:t>▲《投标（开标）一览表》填写不完整或字迹不能辨认或有漏项的；</w:t>
            </w:r>
          </w:p>
          <w:p>
            <w:pPr>
              <w:spacing w:line="360" w:lineRule="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CellMar>
            <w:top w:w="0" w:type="dxa"/>
            <w:left w:w="28" w:type="dxa"/>
            <w:bottom w:w="0" w:type="dxa"/>
            <w:right w:w="28" w:type="dxa"/>
          </w:tblCellMar>
        </w:tblPrEx>
        <w:trPr>
          <w:trHeight w:val="738"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2</w:t>
            </w:r>
          </w:p>
        </w:tc>
        <w:tc>
          <w:tcPr>
            <w:tcW w:w="1652" w:type="dxa"/>
            <w:tcBorders>
              <w:top w:val="single" w:color="000000" w:sz="8" w:space="0"/>
              <w:left w:val="single" w:color="000000" w:sz="4" w:space="0"/>
              <w:bottom w:val="single" w:color="000000" w:sz="8" w:space="0"/>
              <w:right w:val="single" w:color="000000" w:sz="8" w:space="0"/>
            </w:tcBorders>
            <w:noWrap w:val="0"/>
            <w:vAlign w:val="center"/>
          </w:tcPr>
          <w:p>
            <w:pPr>
              <w:snapToGrid w:val="0"/>
              <w:spacing w:line="360" w:lineRule="auto"/>
              <w:rPr>
                <w:rFonts w:ascii="仿宋" w:hAnsi="仿宋" w:eastAsia="仿宋" w:cs="仿宋"/>
                <w:b/>
                <w:sz w:val="24"/>
              </w:rPr>
            </w:pPr>
            <w:r>
              <w:rPr>
                <w:rFonts w:hint="eastAsia" w:ascii="仿宋" w:hAnsi="仿宋" w:eastAsia="仿宋" w:cs="仿宋"/>
                <w:b/>
                <w:sz w:val="24"/>
              </w:rPr>
              <w:t>分包或转包。</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）采购人</w:t>
            </w:r>
            <w:r>
              <w:rPr>
                <w:rFonts w:hint="eastAsia" w:ascii="仿宋" w:hAnsi="仿宋" w:eastAsia="仿宋" w:cs="仿宋"/>
                <w:b/>
                <w:sz w:val="24"/>
              </w:rPr>
              <w:t>不同意</w:t>
            </w:r>
            <w:r>
              <w:rPr>
                <w:rFonts w:hint="eastAsia" w:ascii="仿宋" w:hAnsi="仿宋" w:eastAsia="仿宋" w:cs="仿宋"/>
                <w:sz w:val="24"/>
              </w:rPr>
              <w:t>分包。</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）本项目不得转包。</w:t>
            </w:r>
          </w:p>
        </w:tc>
      </w:tr>
      <w:tr>
        <w:tblPrEx>
          <w:tblCellMar>
            <w:top w:w="0" w:type="dxa"/>
            <w:left w:w="28" w:type="dxa"/>
            <w:bottom w:w="0" w:type="dxa"/>
            <w:right w:w="28" w:type="dxa"/>
          </w:tblCellMar>
        </w:tblPrEx>
        <w:trPr>
          <w:trHeight w:val="1662"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3</w:t>
            </w:r>
          </w:p>
        </w:tc>
        <w:tc>
          <w:tcPr>
            <w:tcW w:w="1652" w:type="dxa"/>
            <w:tcBorders>
              <w:top w:val="single" w:color="000000" w:sz="8" w:space="0"/>
              <w:left w:val="single" w:color="000000"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）资格证明文件：见招标文件第二部分</w:t>
            </w:r>
            <w:r>
              <w:rPr>
                <w:rFonts w:ascii="仿宋" w:hAnsi="仿宋" w:eastAsia="仿宋" w:cs="仿宋"/>
                <w:sz w:val="24"/>
              </w:rPr>
              <w:t>11.1</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）资信证明文件：根据招标文件第四部分具体评标标准提供。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投标人未提供有效的资格证明文件的，视为投标人不具备招标文件中规定的资格要求，视投标无效。</w:t>
            </w:r>
          </w:p>
        </w:tc>
      </w:tr>
      <w:tr>
        <w:tblPrEx>
          <w:tblCellMar>
            <w:top w:w="0" w:type="dxa"/>
            <w:left w:w="28" w:type="dxa"/>
            <w:bottom w:w="0" w:type="dxa"/>
            <w:right w:w="28" w:type="dxa"/>
          </w:tblCellMar>
        </w:tblPrEx>
        <w:trPr>
          <w:trHeight w:val="97" w:hRule="atLeast"/>
        </w:trPr>
        <w:tc>
          <w:tcPr>
            <w:tcW w:w="629"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jc w:val="center"/>
              <w:rPr>
                <w:rFonts w:ascii="仿宋" w:hAnsi="仿宋" w:eastAsia="仿宋" w:cs="仿宋"/>
                <w:sz w:val="24"/>
              </w:rPr>
            </w:pPr>
            <w:r>
              <w:rPr>
                <w:rFonts w:ascii="仿宋" w:hAnsi="仿宋" w:eastAsia="仿宋" w:cs="仿宋"/>
                <w:sz w:val="24"/>
              </w:rPr>
              <w:t>4</w:t>
            </w:r>
          </w:p>
        </w:tc>
        <w:tc>
          <w:tcPr>
            <w:tcW w:w="1652" w:type="dxa"/>
            <w:tcBorders>
              <w:top w:val="single" w:color="000000" w:sz="8" w:space="0"/>
              <w:left w:val="single" w:color="000000"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 w:hAnsi="仿宋" w:eastAsia="仿宋" w:cs="仿宋"/>
                <w:sz w:val="24"/>
                <w:szCs w:val="20"/>
              </w:rPr>
            </w:pPr>
            <w:r>
              <w:rPr>
                <w:rFonts w:hint="eastAsia" w:ascii="仿宋" w:hAnsi="仿宋" w:eastAsia="仿宋" w:cs="仿宋"/>
                <w:sz w:val="24"/>
                <w:szCs w:val="20"/>
              </w:rPr>
              <w:t>不组织。</w:t>
            </w:r>
          </w:p>
        </w:tc>
      </w:tr>
      <w:tr>
        <w:tblPrEx>
          <w:tblCellMar>
            <w:top w:w="0" w:type="dxa"/>
            <w:left w:w="28" w:type="dxa"/>
            <w:bottom w:w="0" w:type="dxa"/>
            <w:right w:w="28" w:type="dxa"/>
          </w:tblCellMar>
        </w:tblPrEx>
        <w:trPr>
          <w:trHeight w:val="759"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5</w:t>
            </w:r>
          </w:p>
        </w:tc>
        <w:tc>
          <w:tcPr>
            <w:tcW w:w="1652" w:type="dxa"/>
            <w:tcBorders>
              <w:top w:val="single" w:color="000000" w:sz="8" w:space="0"/>
              <w:left w:val="single" w:color="000000"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b/>
                <w:sz w:val="24"/>
                <w:lang w:val="zh-CN"/>
              </w:rPr>
              <w:t>样品提供</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无</w:t>
            </w:r>
          </w:p>
        </w:tc>
      </w:tr>
      <w:tr>
        <w:tblPrEx>
          <w:tblCellMar>
            <w:top w:w="0" w:type="dxa"/>
            <w:left w:w="28" w:type="dxa"/>
            <w:bottom w:w="0" w:type="dxa"/>
            <w:right w:w="28" w:type="dxa"/>
          </w:tblCellMar>
        </w:tblPrEx>
        <w:trPr>
          <w:trHeight w:val="732" w:hRule="atLeast"/>
        </w:trPr>
        <w:tc>
          <w:tcPr>
            <w:tcW w:w="629" w:type="dxa"/>
            <w:tcBorders>
              <w:top w:val="single" w:color="000000" w:sz="4" w:space="0"/>
              <w:left w:val="single" w:color="000000" w:sz="8" w:space="0"/>
              <w:bottom w:val="single" w:color="000000" w:sz="4" w:space="0"/>
              <w:right w:val="single" w:color="000000" w:sz="2"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6</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s="仿宋"/>
                <w:b/>
                <w:sz w:val="24"/>
              </w:rPr>
            </w:pPr>
            <w:r>
              <w:rPr>
                <w:rFonts w:hint="eastAsia" w:ascii="仿宋" w:hAnsi="仿宋" w:eastAsia="仿宋" w:cs="仿宋"/>
                <w:b/>
                <w:sz w:val="24"/>
              </w:rPr>
              <w:t>有</w:t>
            </w:r>
            <w:r>
              <w:rPr>
                <w:rFonts w:ascii="仿宋" w:hAnsi="仿宋" w:eastAsia="仿宋" w:cs="仿宋"/>
                <w:b/>
                <w:sz w:val="24"/>
              </w:rPr>
              <w:t>方案讲解演示：有</w:t>
            </w:r>
            <w:r>
              <w:rPr>
                <w:rFonts w:hint="eastAsia" w:ascii="仿宋" w:hAnsi="仿宋" w:eastAsia="仿宋" w:cs="仿宋"/>
                <w:b/>
                <w:sz w:val="24"/>
              </w:rPr>
              <w:t>（方案演示2</w:t>
            </w:r>
            <w:r>
              <w:rPr>
                <w:rFonts w:ascii="仿宋" w:hAnsi="仿宋" w:eastAsia="仿宋" w:cs="仿宋"/>
                <w:b/>
                <w:sz w:val="24"/>
              </w:rPr>
              <w:t>0</w:t>
            </w:r>
            <w:r>
              <w:rPr>
                <w:rFonts w:hint="eastAsia" w:ascii="仿宋" w:hAnsi="仿宋" w:eastAsia="仿宋" w:cs="仿宋"/>
                <w:b/>
                <w:sz w:val="24"/>
              </w:rPr>
              <w:t>分钟内）</w:t>
            </w:r>
            <w:r>
              <w:rPr>
                <w:rFonts w:ascii="仿宋" w:hAnsi="仿宋" w:eastAsia="仿宋" w:cs="仿宋"/>
                <w:b/>
                <w:sz w:val="24"/>
              </w:rPr>
              <w:br w:type="textWrapping"/>
            </w:r>
            <w:r>
              <w:rPr>
                <w:rFonts w:ascii="仿宋" w:hAnsi="仿宋" w:eastAsia="仿宋" w:cs="仿宋"/>
                <w:b/>
                <w:sz w:val="24"/>
              </w:rPr>
              <w:t>疫情期间：各投标单位演示视频请采用加密文件格式（不接受现场演示），与备份投标文件一起密封包装邮寄至代理公司。快件务必在投标截止时间前送达到招标代理公司指定接收人员处（确保开标前收到，合理安排时间），演示开始前，代理公司人员将联系供应商进行解密。收件地址：淳安县千岛湖镇新安大街104号4楼采购代理部 ，李梦0571-64813937。</w:t>
            </w:r>
          </w:p>
        </w:tc>
      </w:tr>
      <w:tr>
        <w:tblPrEx>
          <w:tblCellMar>
            <w:top w:w="0" w:type="dxa"/>
            <w:left w:w="28" w:type="dxa"/>
            <w:bottom w:w="0" w:type="dxa"/>
            <w:right w:w="28" w:type="dxa"/>
          </w:tblCellMar>
        </w:tblPrEx>
        <w:trPr>
          <w:trHeight w:val="686" w:hRule="atLeast"/>
        </w:trPr>
        <w:tc>
          <w:tcPr>
            <w:tcW w:w="629" w:type="dxa"/>
            <w:tcBorders>
              <w:top w:val="single" w:color="000000" w:sz="4" w:space="0"/>
              <w:left w:val="single" w:color="000000" w:sz="8" w:space="0"/>
              <w:bottom w:val="single" w:color="000000" w:sz="4" w:space="0"/>
              <w:right w:val="single" w:color="000000" w:sz="2"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7</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是否适宜中小企业情况</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pPr>
            <w:r>
              <w:rPr>
                <w:rFonts w:hint="eastAsia"/>
              </w:rPr>
              <w:t>无</w:t>
            </w:r>
          </w:p>
        </w:tc>
      </w:tr>
      <w:tr>
        <w:tblPrEx>
          <w:tblCellMar>
            <w:top w:w="0" w:type="dxa"/>
            <w:left w:w="28" w:type="dxa"/>
            <w:bottom w:w="0" w:type="dxa"/>
            <w:right w:w="28" w:type="dxa"/>
          </w:tblCellMar>
        </w:tblPrEx>
        <w:trPr>
          <w:trHeight w:val="686" w:hRule="atLeast"/>
        </w:trPr>
        <w:tc>
          <w:tcPr>
            <w:tcW w:w="629" w:type="dxa"/>
            <w:tcBorders>
              <w:top w:val="single" w:color="000000" w:sz="4" w:space="0"/>
              <w:left w:val="single" w:color="000000" w:sz="8" w:space="0"/>
              <w:bottom w:val="single" w:color="000000" w:sz="4" w:space="0"/>
              <w:right w:val="single" w:color="000000" w:sz="2"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8</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360"/>
              <w:rPr>
                <w:rFonts w:ascii="仿宋" w:hAnsi="仿宋" w:eastAsia="仿宋" w:cs="仿宋"/>
                <w:sz w:val="24"/>
              </w:rPr>
            </w:pPr>
            <w:r>
              <w:rPr>
                <w:rFonts w:hint="eastAsia" w:ascii="仿宋" w:hAnsi="仿宋" w:eastAsia="仿宋" w:cs="仿宋"/>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CellMar>
            <w:top w:w="0" w:type="dxa"/>
            <w:left w:w="28" w:type="dxa"/>
            <w:bottom w:w="0" w:type="dxa"/>
            <w:right w:w="28" w:type="dxa"/>
          </w:tblCellMar>
        </w:tblPrEx>
        <w:trPr>
          <w:trHeight w:val="686" w:hRule="atLeast"/>
        </w:trPr>
        <w:tc>
          <w:tcPr>
            <w:tcW w:w="629" w:type="dxa"/>
            <w:tcBorders>
              <w:top w:val="single" w:color="000000" w:sz="4" w:space="0"/>
              <w:left w:val="single" w:color="000000" w:sz="8" w:space="0"/>
              <w:bottom w:val="single" w:color="000000" w:sz="4" w:space="0"/>
              <w:right w:val="single" w:color="000000" w:sz="2"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9</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项目实施地点</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 w:hAnsi="仿宋" w:eastAsia="仿宋" w:cs="仿宋"/>
                <w:sz w:val="24"/>
              </w:rPr>
            </w:pPr>
            <w:r>
              <w:rPr>
                <w:rFonts w:hint="eastAsia" w:ascii="仿宋" w:hAnsi="仿宋" w:eastAsia="仿宋" w:cs="仿宋"/>
                <w:sz w:val="24"/>
              </w:rPr>
              <w:t>淳安县行政范围内；</w:t>
            </w:r>
          </w:p>
        </w:tc>
      </w:tr>
      <w:tr>
        <w:tblPrEx>
          <w:tblCellMar>
            <w:top w:w="0" w:type="dxa"/>
            <w:left w:w="28" w:type="dxa"/>
            <w:bottom w:w="0" w:type="dxa"/>
            <w:right w:w="28" w:type="dxa"/>
          </w:tblCellMar>
        </w:tblPrEx>
        <w:trPr>
          <w:trHeight w:val="686" w:hRule="atLeast"/>
        </w:trPr>
        <w:tc>
          <w:tcPr>
            <w:tcW w:w="629" w:type="dxa"/>
            <w:tcBorders>
              <w:top w:val="single" w:color="000000" w:sz="4" w:space="0"/>
              <w:left w:val="single" w:color="000000" w:sz="8" w:space="0"/>
              <w:bottom w:val="single" w:color="000000" w:sz="4" w:space="0"/>
              <w:right w:val="single" w:color="000000" w:sz="2" w:space="0"/>
            </w:tcBorders>
            <w:noWrap w:val="0"/>
            <w:vAlign w:val="center"/>
          </w:tcPr>
          <w:p>
            <w:pPr>
              <w:snapToGrid w:val="0"/>
              <w:spacing w:line="360" w:lineRule="auto"/>
              <w:jc w:val="center"/>
              <w:rPr>
                <w:rFonts w:ascii="仿宋" w:hAnsi="仿宋" w:eastAsia="仿宋" w:cs="仿宋"/>
                <w:sz w:val="24"/>
              </w:rPr>
            </w:pPr>
            <w:r>
              <w:rPr>
                <w:rFonts w:ascii="仿宋" w:hAnsi="仿宋" w:eastAsia="仿宋" w:cs="仿宋"/>
                <w:sz w:val="24"/>
              </w:rPr>
              <w:t>10</w:t>
            </w:r>
          </w:p>
        </w:tc>
        <w:tc>
          <w:tcPr>
            <w:tcW w:w="1652"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采购服务费</w:t>
            </w:r>
          </w:p>
        </w:tc>
        <w:tc>
          <w:tcPr>
            <w:tcW w:w="686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 w:hAnsi="仿宋" w:eastAsia="仿宋" w:cs="仿宋"/>
                <w:sz w:val="24"/>
              </w:rPr>
            </w:pPr>
            <w:r>
              <w:rPr>
                <w:rFonts w:hint="eastAsia" w:ascii="仿宋" w:hAnsi="仿宋" w:eastAsia="仿宋" w:cs="仿宋"/>
                <w:sz w:val="24"/>
              </w:rPr>
              <w:t>采购服务费按照国家发展计划委员会计价格</w:t>
            </w:r>
            <w:r>
              <w:rPr>
                <w:rFonts w:ascii="仿宋" w:hAnsi="仿宋" w:eastAsia="仿宋" w:cs="仿宋"/>
                <w:sz w:val="24"/>
              </w:rPr>
              <w:t xml:space="preserve">[2002]1980 </w:t>
            </w:r>
            <w:r>
              <w:rPr>
                <w:rFonts w:hint="eastAsia" w:ascii="仿宋" w:hAnsi="仿宋" w:eastAsia="仿宋" w:cs="仿宋"/>
                <w:sz w:val="24"/>
              </w:rPr>
              <w:t>号文《招标代理服务费管理暂行办法》及发改办价格</w:t>
            </w:r>
            <w:r>
              <w:rPr>
                <w:rFonts w:ascii="仿宋" w:hAnsi="仿宋" w:eastAsia="仿宋" w:cs="仿宋"/>
                <w:sz w:val="24"/>
              </w:rPr>
              <w:t>[2003]857</w:t>
            </w:r>
            <w:r>
              <w:rPr>
                <w:rFonts w:hint="eastAsia" w:ascii="仿宋" w:hAnsi="仿宋" w:eastAsia="仿宋" w:cs="仿宋"/>
                <w:sz w:val="24"/>
              </w:rPr>
              <w:t>号文的收费标准计取。采购服务费为人民币￥2</w:t>
            </w:r>
            <w:r>
              <w:rPr>
                <w:rFonts w:ascii="仿宋" w:hAnsi="仿宋" w:eastAsia="仿宋" w:cs="仿宋"/>
                <w:sz w:val="24"/>
              </w:rPr>
              <w:t>3000.00</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由中标单位支付给采购代理公司。</w:t>
            </w:r>
          </w:p>
          <w:p>
            <w:pPr>
              <w:pStyle w:val="18"/>
              <w:widowControl/>
              <w:snapToGrid w:val="0"/>
              <w:ind w:firstLine="0"/>
              <w:rPr>
                <w:rFonts w:ascii="仿宋" w:hAnsi="仿宋" w:eastAsia="仿宋" w:cs="仿宋"/>
                <w:lang w:val="en-US"/>
              </w:rPr>
            </w:pPr>
            <w:r>
              <w:rPr>
                <w:rFonts w:hint="eastAsia" w:ascii="仿宋" w:hAnsi="仿宋" w:eastAsia="仿宋" w:cs="仿宋"/>
                <w:lang w:val="en-US"/>
              </w:rPr>
              <w:t>收款单位（户名）：浙江辰光管理有限公司</w:t>
            </w:r>
          </w:p>
          <w:p>
            <w:pPr>
              <w:pStyle w:val="18"/>
              <w:widowControl/>
              <w:snapToGrid w:val="0"/>
              <w:ind w:firstLine="0"/>
              <w:rPr>
                <w:rFonts w:ascii="仿宋" w:hAnsi="仿宋" w:eastAsia="仿宋" w:cs="仿宋"/>
                <w:lang w:val="en-US"/>
              </w:rPr>
            </w:pPr>
            <w:r>
              <w:rPr>
                <w:rFonts w:hint="eastAsia" w:ascii="仿宋" w:hAnsi="仿宋" w:eastAsia="仿宋" w:cs="仿宋"/>
                <w:lang w:val="en-US"/>
              </w:rPr>
              <w:t>开户行：中国工商银行淳安县支行</w:t>
            </w:r>
          </w:p>
          <w:p>
            <w:pPr>
              <w:pStyle w:val="18"/>
              <w:widowControl/>
              <w:snapToGrid w:val="0"/>
              <w:ind w:firstLine="0"/>
              <w:rPr>
                <w:rFonts w:cs="Times New Roman"/>
                <w:sz w:val="28"/>
                <w:szCs w:val="20"/>
                <w:lang w:val="en-US"/>
              </w:rPr>
            </w:pPr>
            <w:r>
              <w:rPr>
                <w:rFonts w:hint="eastAsia" w:ascii="仿宋" w:hAnsi="仿宋" w:eastAsia="仿宋" w:cs="仿宋"/>
                <w:lang w:val="en-US"/>
              </w:rPr>
              <w:t>账号：</w:t>
            </w:r>
            <w:r>
              <w:rPr>
                <w:lang w:val="en-US"/>
              </w:rPr>
              <w:t> </w:t>
            </w:r>
            <w:r>
              <w:rPr>
                <w:rFonts w:ascii="仿宋" w:hAnsi="仿宋" w:eastAsia="仿宋" w:cs="仿宋"/>
                <w:lang w:val="en-US"/>
              </w:rPr>
              <w:t xml:space="preserve"> 120 202 910 900 671 7573</w:t>
            </w:r>
          </w:p>
        </w:tc>
      </w:tr>
    </w:tbl>
    <w:p>
      <w:pPr>
        <w:spacing w:line="360" w:lineRule="auto"/>
        <w:jc w:val="center"/>
        <w:rPr>
          <w:rFonts w:ascii="仿宋" w:hAnsi="仿宋" w:eastAsia="仿宋" w:cs="仿宋"/>
          <w:b/>
          <w:sz w:val="32"/>
          <w:szCs w:val="20"/>
        </w:rPr>
      </w:pPr>
      <w:r>
        <w:br w:type="page"/>
      </w:r>
      <w:r>
        <w:rPr>
          <w:rFonts w:hint="eastAsia" w:ascii="仿宋" w:hAnsi="仿宋" w:eastAsia="仿宋" w:cs="仿宋"/>
          <w:b/>
          <w:sz w:val="32"/>
          <w:szCs w:val="20"/>
        </w:rPr>
        <w:t>一、总则</w:t>
      </w:r>
    </w:p>
    <w:p>
      <w:pPr>
        <w:snapToGrid w:val="0"/>
        <w:spacing w:line="360" w:lineRule="auto"/>
        <w:ind w:firstLine="361"/>
        <w:jc w:val="left"/>
        <w:rPr>
          <w:rFonts w:ascii="仿宋" w:hAnsi="仿宋" w:eastAsia="仿宋" w:cs="仿宋"/>
          <w:b/>
          <w:sz w:val="24"/>
        </w:rPr>
      </w:pPr>
      <w:r>
        <w:rPr>
          <w:rFonts w:ascii="仿宋" w:hAnsi="仿宋" w:eastAsia="仿宋" w:cs="仿宋"/>
          <w:b/>
          <w:sz w:val="24"/>
        </w:rPr>
        <w:t xml:space="preserve">1. </w:t>
      </w:r>
      <w:r>
        <w:rPr>
          <w:rFonts w:hint="eastAsia" w:ascii="仿宋" w:hAnsi="仿宋" w:eastAsia="仿宋" w:cs="仿宋"/>
          <w:b/>
          <w:sz w:val="24"/>
        </w:rPr>
        <w:t>适用范围</w:t>
      </w:r>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napToGrid w:val="0"/>
        <w:spacing w:line="360" w:lineRule="auto"/>
        <w:ind w:firstLine="361"/>
        <w:jc w:val="left"/>
        <w:rPr>
          <w:rFonts w:ascii="仿宋" w:hAnsi="仿宋" w:eastAsia="仿宋" w:cs="仿宋"/>
          <w:b/>
          <w:sz w:val="24"/>
        </w:rPr>
      </w:pPr>
      <w:r>
        <w:rPr>
          <w:rFonts w:ascii="仿宋" w:hAnsi="仿宋" w:eastAsia="仿宋" w:cs="仿宋"/>
          <w:b/>
          <w:sz w:val="24"/>
        </w:rPr>
        <w:t xml:space="preserve">2. </w:t>
      </w:r>
      <w:r>
        <w:rPr>
          <w:rFonts w:hint="eastAsia" w:ascii="仿宋" w:hAnsi="仿宋" w:eastAsia="仿宋" w:cs="仿宋"/>
          <w:b/>
          <w:sz w:val="24"/>
        </w:rPr>
        <w:t>定义</w:t>
      </w:r>
    </w:p>
    <w:p>
      <w:pPr>
        <w:spacing w:line="360" w:lineRule="auto"/>
        <w:ind w:firstLine="480"/>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“采购人”系指招标公告中载明的本项目的采购人。</w:t>
      </w:r>
    </w:p>
    <w:p>
      <w:pPr>
        <w:spacing w:line="360" w:lineRule="auto"/>
        <w:ind w:firstLine="480"/>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“采购机构”系指招标公告中载明的本项目的采购机构。</w:t>
      </w:r>
    </w:p>
    <w:p>
      <w:pPr>
        <w:spacing w:line="360" w:lineRule="auto"/>
        <w:ind w:firstLine="480"/>
        <w:rPr>
          <w:rFonts w:ascii="仿宋" w:hAnsi="仿宋" w:eastAsia="仿宋" w:cs="仿宋"/>
          <w:sz w:val="24"/>
        </w:rPr>
      </w:pPr>
      <w:r>
        <w:rPr>
          <w:rFonts w:ascii="仿宋" w:hAnsi="仿宋" w:eastAsia="仿宋" w:cs="仿宋"/>
          <w:sz w:val="24"/>
        </w:rPr>
        <w:t xml:space="preserve">2.3 </w:t>
      </w:r>
      <w:r>
        <w:rPr>
          <w:rFonts w:hint="eastAsia" w:ascii="仿宋" w:hAnsi="仿宋" w:eastAsia="仿宋" w:cs="仿宋"/>
          <w:sz w:val="24"/>
        </w:rPr>
        <w:t>“投标人”系指是指响应招标、参加投标竞争的法人、其他组织或者自然人。</w:t>
      </w:r>
    </w:p>
    <w:p>
      <w:pPr>
        <w:spacing w:line="360" w:lineRule="auto"/>
        <w:ind w:firstLine="480"/>
        <w:rPr>
          <w:rFonts w:ascii="仿宋" w:hAnsi="仿宋" w:eastAsia="仿宋" w:cs="仿宋"/>
          <w:sz w:val="24"/>
        </w:rPr>
      </w:pPr>
      <w:r>
        <w:rPr>
          <w:rFonts w:ascii="仿宋" w:hAnsi="仿宋" w:eastAsia="仿宋" w:cs="仿宋"/>
          <w:sz w:val="24"/>
        </w:rPr>
        <w:t xml:space="preserve">2.4 </w:t>
      </w:r>
      <w:r>
        <w:rPr>
          <w:rFonts w:hint="eastAsia" w:ascii="仿宋" w:hAnsi="仿宋" w:eastAsia="仿宋" w:cs="仿宋"/>
          <w:sz w:val="24"/>
        </w:rPr>
        <w:t>“负责人”系指法人企业的法定负责人，或其他组织为法律、行政法规规定代表单位行使职权的主要负责人，或自然人本人。</w:t>
      </w:r>
    </w:p>
    <w:p>
      <w:pPr>
        <w:spacing w:line="360" w:lineRule="auto"/>
        <w:ind w:firstLine="480"/>
        <w:rPr>
          <w:rFonts w:ascii="仿宋" w:hAnsi="仿宋" w:eastAsia="仿宋" w:cs="仿宋"/>
          <w:sz w:val="24"/>
        </w:rPr>
      </w:pPr>
      <w:r>
        <w:rPr>
          <w:rFonts w:ascii="仿宋" w:hAnsi="仿宋" w:eastAsia="仿宋" w:cs="仿宋"/>
          <w:sz w:val="24"/>
        </w:rPr>
        <w:t>2.5</w:t>
      </w:r>
      <w:r>
        <w:rPr>
          <w:rFonts w:hint="eastAsia" w:ascii="仿宋" w:hAnsi="仿宋" w:eastAsia="仿宋" w:cs="仿宋"/>
          <w:sz w:val="24"/>
        </w:rPr>
        <w:t>“电子签名”系指数据电文中以电子形式所含、所附用于识别签名人身份并表明签名人认可其中内容的数据。</w:t>
      </w:r>
    </w:p>
    <w:p>
      <w:pPr>
        <w:spacing w:line="360" w:lineRule="auto"/>
        <w:ind w:firstLine="480"/>
        <w:rPr>
          <w:rFonts w:ascii="仿宋" w:hAnsi="仿宋" w:eastAsia="仿宋" w:cs="仿宋"/>
          <w:sz w:val="24"/>
        </w:rPr>
      </w:pPr>
      <w:r>
        <w:rPr>
          <w:rFonts w:ascii="仿宋" w:hAnsi="仿宋" w:eastAsia="仿宋" w:cs="仿宋"/>
          <w:sz w:val="24"/>
        </w:rPr>
        <w:t>2.6</w:t>
      </w:r>
      <w:r>
        <w:rPr>
          <w:rFonts w:hint="eastAsia" w:ascii="仿宋" w:hAnsi="仿宋" w:eastAsia="仿宋" w:cs="仿宋"/>
          <w:sz w:val="24"/>
        </w:rPr>
        <w:t>“电子交易平台”是指本项目政府采购活动所依托的政府采购云平台（</w:t>
      </w:r>
      <w:r>
        <w:rPr>
          <w:rFonts w:ascii="仿宋" w:hAnsi="仿宋" w:eastAsia="仿宋" w:cs="仿宋"/>
          <w:sz w:val="24"/>
        </w:rPr>
        <w:t>https://www.zcygov.cn/</w:t>
      </w:r>
      <w:r>
        <w:rPr>
          <w:rFonts w:hint="eastAsia" w:ascii="仿宋" w:hAnsi="仿宋" w:eastAsia="仿宋" w:cs="仿宋"/>
          <w:sz w:val="24"/>
        </w:rPr>
        <w:t>）。</w:t>
      </w:r>
    </w:p>
    <w:p>
      <w:pPr>
        <w:spacing w:line="360" w:lineRule="auto"/>
        <w:ind w:firstLine="480"/>
        <w:rPr>
          <w:rFonts w:ascii="仿宋" w:hAnsi="仿宋" w:eastAsia="仿宋" w:cs="仿宋"/>
          <w:sz w:val="24"/>
        </w:rPr>
      </w:pPr>
      <w:r>
        <w:rPr>
          <w:rFonts w:ascii="仿宋" w:hAnsi="仿宋" w:eastAsia="仿宋" w:cs="仿宋"/>
          <w:sz w:val="24"/>
        </w:rPr>
        <w:t xml:space="preserve">2.7 </w:t>
      </w:r>
      <w:r>
        <w:rPr>
          <w:rFonts w:hint="eastAsia" w:ascii="仿宋" w:hAnsi="仿宋" w:eastAsia="仿宋" w:cs="仿宋"/>
          <w:sz w:val="24"/>
        </w:rPr>
        <w:t>“▲”系指实质性要求条款，“★”系产品采购项目中单一产品或核心产品。</w:t>
      </w:r>
    </w:p>
    <w:p>
      <w:pPr>
        <w:spacing w:line="360" w:lineRule="auto"/>
        <w:ind w:firstLine="241"/>
      </w:pPr>
      <w:r>
        <w:rPr>
          <w:rFonts w:ascii="仿宋" w:hAnsi="仿宋" w:eastAsia="仿宋" w:cs="仿宋"/>
          <w:b/>
          <w:sz w:val="24"/>
        </w:rPr>
        <w:t>3.</w:t>
      </w:r>
      <w:r>
        <w:rPr>
          <w:rFonts w:hint="eastAsia" w:ascii="仿宋" w:hAnsi="仿宋" w:eastAsia="仿宋" w:cs="仿宋"/>
          <w:b/>
          <w:sz w:val="24"/>
        </w:rPr>
        <w:t>采购项目需要落实的政府采购政策</w:t>
      </w:r>
    </w:p>
    <w:p>
      <w:pPr>
        <w:spacing w:line="360" w:lineRule="auto"/>
        <w:ind w:firstLine="240"/>
        <w:rPr>
          <w:rFonts w:ascii="仿宋" w:hAnsi="仿宋" w:eastAsia="仿宋" w:cs="仿宋"/>
          <w:sz w:val="24"/>
        </w:rPr>
      </w:pPr>
      <w:r>
        <w:rPr>
          <w:rFonts w:ascii="仿宋" w:hAnsi="仿宋" w:eastAsia="仿宋" w:cs="仿宋"/>
          <w:sz w:val="24"/>
        </w:rPr>
        <w:t xml:space="preserve">3.1 </w:t>
      </w: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rPr>
          <w:rFonts w:ascii="仿宋" w:hAnsi="仿宋" w:eastAsia="仿宋" w:cs="仿宋"/>
          <w:sz w:val="24"/>
        </w:rPr>
      </w:pPr>
      <w:r>
        <w:rPr>
          <w:rFonts w:ascii="仿宋" w:hAnsi="仿宋" w:eastAsia="仿宋" w:cs="仿宋"/>
          <w:sz w:val="24"/>
        </w:rPr>
        <w:t xml:space="preserve">3.2 </w:t>
      </w:r>
      <w:r>
        <w:rPr>
          <w:rFonts w:hint="eastAsia" w:ascii="仿宋" w:hAnsi="仿宋" w:eastAsia="仿宋" w:cs="仿宋"/>
          <w:sz w:val="24"/>
        </w:rPr>
        <w:t>节能环保要求</w:t>
      </w:r>
    </w:p>
    <w:p>
      <w:pPr>
        <w:spacing w:line="360" w:lineRule="auto"/>
        <w:ind w:firstLine="480"/>
        <w:rPr>
          <w:rFonts w:ascii="仿宋" w:hAnsi="仿宋" w:eastAsia="仿宋" w:cs="仿宋"/>
          <w:sz w:val="24"/>
        </w:rPr>
      </w:pPr>
      <w:r>
        <w:rPr>
          <w:rFonts w:ascii="仿宋" w:hAnsi="仿宋" w:eastAsia="仿宋" w:cs="仿宋"/>
          <w:sz w:val="24"/>
        </w:rPr>
        <w:t>3.2.1</w:t>
      </w: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rPr>
          <w:rFonts w:ascii="仿宋" w:hAnsi="仿宋" w:eastAsia="仿宋" w:cs="仿宋"/>
          <w:sz w:val="24"/>
        </w:rPr>
      </w:pPr>
      <w:r>
        <w:rPr>
          <w:rFonts w:ascii="仿宋" w:hAnsi="仿宋" w:eastAsia="仿宋" w:cs="仿宋"/>
          <w:sz w:val="24"/>
        </w:rPr>
        <w:t>3.2.2</w:t>
      </w:r>
      <w:r>
        <w:rPr>
          <w:rFonts w:hint="eastAsia" w:ascii="仿宋" w:hAnsi="仿宋" w:eastAsia="仿宋" w:cs="仿宋"/>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2"/>
        <w:rPr>
          <w:rFonts w:ascii="仿宋" w:hAnsi="仿宋" w:eastAsia="仿宋" w:cs="仿宋"/>
          <w:b/>
          <w:sz w:val="24"/>
        </w:rPr>
      </w:pPr>
      <w:r>
        <w:rPr>
          <w:rFonts w:ascii="仿宋" w:hAnsi="仿宋" w:eastAsia="仿宋" w:cs="仿宋"/>
          <w:b/>
          <w:sz w:val="24"/>
        </w:rPr>
        <w:t>3.3</w:t>
      </w:r>
      <w:r>
        <w:rPr>
          <w:rFonts w:hint="eastAsia" w:ascii="仿宋" w:hAnsi="仿宋" w:eastAsia="仿宋" w:cs="仿宋"/>
          <w:b/>
          <w:sz w:val="24"/>
        </w:rPr>
        <w:t>支持中小企业发展。</w:t>
      </w:r>
    </w:p>
    <w:p>
      <w:pPr>
        <w:spacing w:line="360" w:lineRule="auto"/>
        <w:ind w:firstLine="482"/>
        <w:rPr>
          <w:rFonts w:ascii="仿宋" w:hAnsi="仿宋" w:eastAsia="仿宋" w:cs="仿宋"/>
          <w:b/>
          <w:sz w:val="24"/>
        </w:rPr>
      </w:pPr>
      <w:r>
        <w:rPr>
          <w:rFonts w:ascii="仿宋" w:hAnsi="仿宋" w:eastAsia="仿宋" w:cs="仿宋"/>
          <w:b/>
          <w:sz w:val="24"/>
        </w:rPr>
        <w:t>3.3.1</w:t>
      </w:r>
      <w:r>
        <w:rPr>
          <w:rFonts w:hint="eastAsia" w:ascii="仿宋" w:hAnsi="仿宋" w:eastAsia="仿宋" w:cs="仿宋"/>
          <w:b/>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2"/>
        <w:rPr>
          <w:rFonts w:ascii="仿宋" w:hAnsi="仿宋" w:eastAsia="仿宋" w:cs="仿宋"/>
          <w:b/>
          <w:sz w:val="24"/>
        </w:rPr>
      </w:pPr>
      <w:r>
        <w:rPr>
          <w:rFonts w:hint="eastAsia" w:ascii="仿宋" w:hAnsi="仿宋" w:eastAsia="仿宋" w:cs="仿宋"/>
          <w:b/>
          <w:sz w:val="24"/>
        </w:rPr>
        <w:t>符合中小企业划分标准的个体工商户，在政府采购活动中视同中小企业。</w:t>
      </w:r>
    </w:p>
    <w:p>
      <w:pPr>
        <w:widowControl/>
        <w:spacing w:line="360" w:lineRule="auto"/>
        <w:ind w:firstLine="482"/>
        <w:jc w:val="left"/>
        <w:rPr>
          <w:rFonts w:ascii="仿宋" w:hAnsi="仿宋" w:eastAsia="仿宋" w:cs="仿宋"/>
          <w:b/>
          <w:sz w:val="24"/>
        </w:rPr>
      </w:pPr>
      <w:r>
        <w:rPr>
          <w:rFonts w:ascii="仿宋" w:hAnsi="仿宋" w:eastAsia="仿宋" w:cs="仿宋"/>
          <w:b/>
          <w:sz w:val="24"/>
        </w:rPr>
        <w:t>3.3.2</w:t>
      </w:r>
      <w:r>
        <w:rPr>
          <w:rFonts w:hint="eastAsia" w:ascii="仿宋" w:hAnsi="仿宋" w:eastAsia="仿宋" w:cs="仿宋"/>
          <w:b/>
          <w:sz w:val="24"/>
        </w:rPr>
        <w:t>在政府采购活动中，投标人提供的货物、工程或者服务符合下列情形的，享受中小企业扶持政策：</w:t>
      </w:r>
    </w:p>
    <w:p>
      <w:pPr>
        <w:widowControl/>
        <w:spacing w:line="360" w:lineRule="auto"/>
        <w:ind w:firstLine="482"/>
        <w:jc w:val="left"/>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）在货物采购项目中，货物由中小企业制造，即货物由中小企业生产且使用该中小企业商号或者注册商标；</w:t>
      </w:r>
    </w:p>
    <w:p>
      <w:pPr>
        <w:widowControl/>
        <w:spacing w:line="360" w:lineRule="auto"/>
        <w:ind w:firstLine="482"/>
        <w:jc w:val="left"/>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）在工程采购项目中，工程由中小企业承建，即工程施工单位为中小企业；</w:t>
      </w:r>
    </w:p>
    <w:p>
      <w:pPr>
        <w:widowControl/>
        <w:spacing w:line="360" w:lineRule="auto"/>
        <w:ind w:firstLine="482"/>
        <w:jc w:val="left"/>
      </w:pPr>
      <w:r>
        <w:rPr>
          <w:rFonts w:hint="eastAsia" w:ascii="仿宋" w:hAnsi="仿宋" w:eastAsia="仿宋" w:cs="仿宋"/>
          <w:b/>
          <w:sz w:val="24"/>
        </w:rPr>
        <w:t>（</w:t>
      </w:r>
      <w:r>
        <w:rPr>
          <w:rFonts w:ascii="仿宋" w:hAnsi="仿宋" w:eastAsia="仿宋" w:cs="仿宋"/>
          <w:b/>
          <w:sz w:val="24"/>
        </w:rPr>
        <w:t>3</w:t>
      </w:r>
      <w:r>
        <w:rPr>
          <w:rFonts w:hint="eastAsia" w:ascii="仿宋" w:hAnsi="仿宋" w:eastAsia="仿宋" w:cs="仿宋"/>
          <w:b/>
          <w:sz w:val="24"/>
        </w:rPr>
        <w:t>）在服务采购项目中，服务由中小企业承接，即提供服务的人员为中小企业依照《中华人民共和国劳动合同法》订立劳动合同的从业人员。</w:t>
      </w:r>
    </w:p>
    <w:p>
      <w:pPr>
        <w:widowControl/>
        <w:spacing w:line="360" w:lineRule="auto"/>
        <w:ind w:firstLine="482"/>
        <w:jc w:val="left"/>
        <w:rPr>
          <w:rFonts w:ascii="仿宋" w:hAnsi="仿宋" w:eastAsia="仿宋" w:cs="仿宋"/>
          <w:b/>
          <w:sz w:val="24"/>
        </w:rPr>
      </w:pPr>
      <w:r>
        <w:rPr>
          <w:rFonts w:hint="eastAsia" w:ascii="仿宋" w:hAnsi="仿宋" w:eastAsia="仿宋" w:cs="仿宋"/>
          <w:b/>
          <w:sz w:val="24"/>
        </w:rPr>
        <w:t>在货物采购项目中，投标人提供的货物既有中小企业制造货物，也有大型企业制造货物的，不享受中小企业扶持政策。</w:t>
      </w:r>
    </w:p>
    <w:p>
      <w:pPr>
        <w:widowControl/>
        <w:spacing w:line="360" w:lineRule="auto"/>
        <w:ind w:firstLine="482"/>
        <w:jc w:val="left"/>
        <w:rPr>
          <w:rFonts w:ascii="仿宋" w:hAnsi="仿宋" w:eastAsia="仿宋" w:cs="仿宋"/>
          <w:b/>
          <w:sz w:val="24"/>
        </w:rPr>
      </w:pPr>
      <w:r>
        <w:rPr>
          <w:rFonts w:hint="eastAsia" w:ascii="仿宋" w:hAnsi="仿宋" w:eastAsia="仿宋" w:cs="仿宋"/>
          <w:b/>
          <w:sz w:val="24"/>
        </w:rPr>
        <w:t>以联合体形式参加政府采购活动，联合体各方均为中小企业的，联合体视同中小企业。其中，联合体各方均为小微企业的，联合体视同小微企业。</w:t>
      </w:r>
    </w:p>
    <w:p>
      <w:pPr>
        <w:spacing w:line="360" w:lineRule="auto"/>
        <w:ind w:firstLine="482"/>
      </w:pPr>
      <w:r>
        <w:rPr>
          <w:rFonts w:ascii="仿宋" w:hAnsi="仿宋" w:eastAsia="仿宋" w:cs="仿宋"/>
          <w:b/>
          <w:sz w:val="24"/>
        </w:rPr>
        <w:t>3.3.3</w:t>
      </w:r>
      <w:r>
        <w:rPr>
          <w:rFonts w:hint="eastAsia" w:ascii="仿宋" w:hAnsi="仿宋" w:eastAsia="仿宋" w:cs="仿宋"/>
          <w:b/>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sz w:val="24"/>
        </w:rPr>
        <w:t>10 %</w:t>
      </w:r>
      <w:r>
        <w:rPr>
          <w:rFonts w:hint="eastAsia" w:ascii="仿宋" w:hAnsi="仿宋" w:eastAsia="仿宋" w:cs="仿宋"/>
          <w:b/>
          <w:sz w:val="24"/>
        </w:rPr>
        <w:t>的扣除，用扣除后的价格参与评审。</w:t>
      </w:r>
    </w:p>
    <w:p>
      <w:pPr>
        <w:spacing w:line="360" w:lineRule="auto"/>
        <w:ind w:firstLine="482"/>
      </w:pPr>
      <w:r>
        <w:rPr>
          <w:rFonts w:ascii="仿宋" w:hAnsi="仿宋" w:eastAsia="仿宋" w:cs="仿宋"/>
          <w:b/>
          <w:sz w:val="24"/>
        </w:rPr>
        <w:t>3.3.4</w:t>
      </w:r>
      <w:r>
        <w:rPr>
          <w:rFonts w:hint="eastAsia" w:ascii="仿宋" w:hAnsi="仿宋" w:eastAsia="仿宋" w:cs="仿宋"/>
          <w:b/>
          <w:sz w:val="24"/>
        </w:rPr>
        <w:t>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sz w:val="24"/>
        </w:rPr>
        <w:t>30%</w:t>
      </w:r>
      <w:r>
        <w:rPr>
          <w:rFonts w:hint="eastAsia" w:ascii="仿宋" w:hAnsi="仿宋" w:eastAsia="仿宋" w:cs="仿宋"/>
          <w:b/>
          <w:sz w:val="24"/>
        </w:rPr>
        <w:t>以上的，对联合体或者大中型企业的报价给予</w:t>
      </w:r>
      <w:r>
        <w:rPr>
          <w:rFonts w:ascii="仿宋" w:hAnsi="仿宋" w:eastAsia="仿宋" w:cs="仿宋"/>
          <w:b/>
          <w:sz w:val="24"/>
        </w:rPr>
        <w:t>3%</w:t>
      </w:r>
      <w:r>
        <w:rPr>
          <w:rFonts w:hint="eastAsia" w:ascii="仿宋" w:hAnsi="仿宋" w:eastAsia="仿宋" w:cs="仿宋"/>
          <w:b/>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pPr>
      <w:r>
        <w:rPr>
          <w:rFonts w:ascii="仿宋" w:hAnsi="仿宋" w:eastAsia="仿宋" w:cs="仿宋"/>
          <w:b/>
          <w:sz w:val="24"/>
        </w:rPr>
        <w:t>3.3.5</w:t>
      </w:r>
      <w:r>
        <w:rPr>
          <w:rFonts w:hint="eastAsia" w:ascii="仿宋" w:hAnsi="仿宋" w:eastAsia="仿宋" w:cs="仿宋"/>
          <w:b/>
          <w:sz w:val="24"/>
        </w:rPr>
        <w:t>符合《关于促进残疾人就业政府采购政策的通知》（财库〔</w:t>
      </w:r>
      <w:r>
        <w:rPr>
          <w:rFonts w:ascii="仿宋" w:hAnsi="仿宋" w:eastAsia="仿宋" w:cs="仿宋"/>
          <w:b/>
          <w:sz w:val="24"/>
        </w:rPr>
        <w:t>2017</w:t>
      </w:r>
      <w:r>
        <w:rPr>
          <w:rFonts w:hint="eastAsia" w:ascii="仿宋" w:hAnsi="仿宋" w:eastAsia="仿宋" w:cs="仿宋"/>
          <w:b/>
          <w:sz w:val="24"/>
        </w:rPr>
        <w:t>〕</w:t>
      </w:r>
      <w:r>
        <w:rPr>
          <w:rFonts w:ascii="仿宋" w:hAnsi="仿宋" w:eastAsia="仿宋" w:cs="仿宋"/>
          <w:b/>
          <w:sz w:val="24"/>
        </w:rPr>
        <w:t>141</w:t>
      </w:r>
      <w:r>
        <w:rPr>
          <w:rFonts w:hint="eastAsia" w:ascii="仿宋" w:hAnsi="仿宋" w:eastAsia="仿宋" w:cs="仿宋"/>
          <w:b/>
          <w:sz w:val="24"/>
        </w:rPr>
        <w:t>号）规定的条件并提供《残疾人福利性单位声明函》（附件）的残疾人福利性单位视同小型、微型企业；</w:t>
      </w:r>
    </w:p>
    <w:p>
      <w:pPr>
        <w:spacing w:line="360" w:lineRule="auto"/>
        <w:ind w:firstLine="482"/>
      </w:pPr>
      <w:r>
        <w:rPr>
          <w:rFonts w:ascii="仿宋" w:hAnsi="仿宋" w:eastAsia="仿宋" w:cs="仿宋"/>
          <w:b/>
          <w:sz w:val="24"/>
        </w:rPr>
        <w:t>3.3.6</w:t>
      </w:r>
      <w:r>
        <w:rPr>
          <w:rFonts w:hint="eastAsia" w:ascii="仿宋" w:hAnsi="仿宋" w:eastAsia="仿宋" w:cs="仿宋"/>
          <w:b/>
          <w:sz w:val="24"/>
        </w:rPr>
        <w:t>符合《关于政府采购支持监狱企业发展有关问题的通知》（财库</w:t>
      </w:r>
      <w:r>
        <w:rPr>
          <w:rFonts w:ascii="仿宋" w:hAnsi="仿宋" w:eastAsia="仿宋" w:cs="仿宋"/>
          <w:b/>
          <w:sz w:val="24"/>
        </w:rPr>
        <w:t>[2014]68</w:t>
      </w:r>
      <w:r>
        <w:rPr>
          <w:rFonts w:hint="eastAsia" w:ascii="仿宋" w:hAnsi="仿宋" w:eastAsia="仿宋" w:cs="仿宋"/>
          <w:b/>
          <w:sz w:val="24"/>
        </w:rPr>
        <w:t>号）规定的监狱企业并提供由省级以上监狱管理局、戒毒管理局（含新疆生产建设兵团）出具的属于监狱企业证明文件的，视同为小型、微型企业。</w:t>
      </w:r>
    </w:p>
    <w:p>
      <w:pPr>
        <w:spacing w:line="360" w:lineRule="auto"/>
        <w:ind w:firstLine="482"/>
        <w:rPr>
          <w:rFonts w:ascii="仿宋" w:hAnsi="仿宋" w:eastAsia="仿宋" w:cs="仿宋"/>
          <w:b/>
          <w:sz w:val="24"/>
        </w:rPr>
      </w:pPr>
      <w:r>
        <w:rPr>
          <w:rFonts w:ascii="仿宋" w:hAnsi="仿宋" w:eastAsia="仿宋" w:cs="仿宋"/>
          <w:b/>
          <w:sz w:val="24"/>
        </w:rPr>
        <w:t>3.3.7</w:t>
      </w:r>
      <w:r>
        <w:rPr>
          <w:rFonts w:hint="eastAsia" w:ascii="仿宋" w:hAnsi="仿宋" w:eastAsia="仿宋" w:cs="仿宋"/>
          <w:b/>
          <w:sz w:val="24"/>
        </w:rPr>
        <w:t>可享受中小企业扶持政策的投标人应按照招标文件格式要求提供《中小企业声明函》。</w:t>
      </w:r>
    </w:p>
    <w:p>
      <w:pPr>
        <w:spacing w:line="360" w:lineRule="auto"/>
        <w:ind w:firstLine="482"/>
        <w:rPr>
          <w:rFonts w:ascii="仿宋" w:hAnsi="仿宋" w:eastAsia="仿宋" w:cs="仿宋"/>
          <w:b/>
          <w:sz w:val="24"/>
        </w:rPr>
      </w:pPr>
      <w:r>
        <w:rPr>
          <w:rFonts w:ascii="仿宋" w:hAnsi="仿宋" w:eastAsia="仿宋" w:cs="仿宋"/>
          <w:b/>
          <w:sz w:val="24"/>
        </w:rPr>
        <w:t>3.3.8</w:t>
      </w:r>
      <w:r>
        <w:rPr>
          <w:rFonts w:hint="eastAsia" w:ascii="仿宋" w:hAnsi="仿宋" w:eastAsia="仿宋" w:cs="仿宋"/>
          <w:b/>
          <w:sz w:val="24"/>
        </w:rPr>
        <w:t>中小企业享受扶持政策获得政府采购合同的，小微企业不得将合同分包给大中型企业，中型企业不得将合同分包给大型企业。</w:t>
      </w:r>
    </w:p>
    <w:p>
      <w:pPr>
        <w:spacing w:line="360" w:lineRule="auto"/>
        <w:ind w:firstLine="482"/>
        <w:rPr>
          <w:rFonts w:ascii="仿宋" w:hAnsi="仿宋" w:eastAsia="仿宋" w:cs="仿宋"/>
          <w:b/>
          <w:sz w:val="24"/>
        </w:rPr>
      </w:pPr>
      <w:r>
        <w:rPr>
          <w:rFonts w:ascii="仿宋" w:hAnsi="仿宋" w:eastAsia="仿宋" w:cs="仿宋"/>
          <w:b/>
          <w:sz w:val="24"/>
        </w:rPr>
        <w:t>3.4</w:t>
      </w:r>
      <w:r>
        <w:rPr>
          <w:rFonts w:hint="eastAsia" w:ascii="仿宋" w:hAnsi="仿宋" w:eastAsia="仿宋" w:cs="仿宋"/>
          <w:b/>
          <w:sz w:val="24"/>
        </w:rPr>
        <w:t>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2"/>
        <w:rPr>
          <w:rFonts w:ascii="仿宋" w:hAnsi="仿宋" w:eastAsia="仿宋" w:cs="仿宋"/>
          <w:b/>
          <w:sz w:val="24"/>
        </w:rPr>
      </w:pPr>
      <w:r>
        <w:rPr>
          <w:rFonts w:ascii="仿宋" w:hAnsi="仿宋" w:eastAsia="仿宋" w:cs="仿宋"/>
          <w:b/>
          <w:sz w:val="24"/>
        </w:rPr>
        <w:t xml:space="preserve">4. </w:t>
      </w:r>
      <w:r>
        <w:rPr>
          <w:rFonts w:hint="eastAsia" w:ascii="仿宋" w:hAnsi="仿宋" w:eastAsia="仿宋" w:cs="仿宋"/>
          <w:b/>
          <w:sz w:val="24"/>
        </w:rPr>
        <w:t>询问、质疑、投诉</w:t>
      </w:r>
    </w:p>
    <w:p>
      <w:pPr>
        <w:autoSpaceDE w:val="0"/>
        <w:spacing w:line="360" w:lineRule="auto"/>
        <w:ind w:firstLine="240"/>
        <w:jc w:val="left"/>
        <w:rPr>
          <w:rFonts w:ascii="仿宋" w:hAnsi="仿宋" w:eastAsia="仿宋" w:cs="仿宋"/>
          <w:kern w:val="0"/>
          <w:sz w:val="24"/>
          <w:lang w:val="zh-CN"/>
        </w:rPr>
      </w:pPr>
      <w:r>
        <w:rPr>
          <w:rFonts w:ascii="仿宋" w:hAnsi="仿宋" w:eastAsia="仿宋" w:cs="仿宋"/>
          <w:kern w:val="0"/>
          <w:sz w:val="24"/>
          <w:lang w:val="zh-CN"/>
        </w:rPr>
        <w:t>4.1</w:t>
      </w:r>
      <w:r>
        <w:rPr>
          <w:rFonts w:hint="eastAsia" w:ascii="仿宋" w:hAnsi="仿宋" w:eastAsia="仿宋" w:cs="仿宋"/>
          <w:kern w:val="0"/>
          <w:sz w:val="24"/>
          <w:lang w:val="zh-CN"/>
        </w:rPr>
        <w:t>供应商询问</w:t>
      </w:r>
    </w:p>
    <w:p>
      <w:pPr>
        <w:spacing w:line="360" w:lineRule="auto"/>
        <w:ind w:firstLine="480"/>
        <w:rPr>
          <w:rFonts w:ascii="仿宋" w:hAnsi="仿宋" w:eastAsia="仿宋" w:cs="仿宋"/>
          <w:sz w:val="24"/>
          <w:szCs w:val="21"/>
        </w:rPr>
      </w:pPr>
      <w:r>
        <w:rPr>
          <w:rFonts w:hint="eastAsia" w:ascii="仿宋" w:hAnsi="仿宋" w:eastAsia="仿宋" w:cs="仿宋"/>
          <w:sz w:val="24"/>
          <w:szCs w:val="21"/>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spacing w:line="360" w:lineRule="auto"/>
        <w:ind w:firstLine="240"/>
        <w:jc w:val="left"/>
        <w:rPr>
          <w:rFonts w:ascii="仿宋" w:hAnsi="仿宋" w:eastAsia="仿宋" w:cs="仿宋"/>
          <w:kern w:val="0"/>
          <w:sz w:val="24"/>
          <w:lang w:val="zh-CN"/>
        </w:rPr>
      </w:pPr>
      <w:r>
        <w:rPr>
          <w:rFonts w:ascii="仿宋" w:hAnsi="仿宋" w:eastAsia="仿宋" w:cs="仿宋"/>
          <w:kern w:val="0"/>
          <w:sz w:val="24"/>
          <w:lang w:val="zh-CN"/>
        </w:rPr>
        <w:t>4.2</w:t>
      </w:r>
      <w:r>
        <w:rPr>
          <w:rFonts w:hint="eastAsia" w:ascii="仿宋" w:hAnsi="仿宋" w:eastAsia="仿宋" w:cs="仿宋"/>
          <w:kern w:val="0"/>
          <w:sz w:val="24"/>
          <w:lang w:val="zh-CN"/>
        </w:rPr>
        <w:t>供应商质疑</w:t>
      </w:r>
    </w:p>
    <w:p>
      <w:pPr>
        <w:spacing w:line="360" w:lineRule="auto"/>
        <w:ind w:firstLine="480"/>
      </w:pPr>
      <w:r>
        <w:rPr>
          <w:rFonts w:ascii="仿宋" w:hAnsi="仿宋" w:eastAsia="仿宋" w:cs="仿宋"/>
          <w:kern w:val="0"/>
          <w:sz w:val="24"/>
          <w:szCs w:val="21"/>
          <w:lang w:val="zh-CN"/>
        </w:rPr>
        <w:t>4.2</w:t>
      </w:r>
      <w:r>
        <w:rPr>
          <w:rFonts w:ascii="仿宋" w:hAnsi="仿宋" w:eastAsia="仿宋" w:cs="仿宋"/>
          <w:sz w:val="24"/>
          <w:szCs w:val="21"/>
        </w:rPr>
        <w:t>.1</w:t>
      </w:r>
      <w:r>
        <w:rPr>
          <w:rFonts w:hint="eastAsia" w:ascii="仿宋" w:hAnsi="仿宋" w:eastAsia="仿宋" w:cs="仿宋"/>
          <w:sz w:val="24"/>
          <w:szCs w:val="21"/>
        </w:rPr>
        <w:t>提出质疑的供应商应当是参与所质疑项目采购活动的供应商。潜在供应商已依法获取其可质疑的采购文件的，可以对该文件提出质疑。</w:t>
      </w:r>
    </w:p>
    <w:p>
      <w:pPr>
        <w:spacing w:line="360" w:lineRule="auto"/>
        <w:ind w:firstLine="480"/>
      </w:pPr>
      <w:r>
        <w:rPr>
          <w:rFonts w:ascii="仿宋" w:hAnsi="仿宋" w:eastAsia="仿宋" w:cs="仿宋"/>
          <w:kern w:val="0"/>
          <w:sz w:val="24"/>
          <w:szCs w:val="21"/>
          <w:lang w:val="zh-CN"/>
        </w:rPr>
        <w:t>4.2</w:t>
      </w:r>
      <w:r>
        <w:rPr>
          <w:rFonts w:ascii="仿宋" w:hAnsi="仿宋" w:eastAsia="仿宋" w:cs="仿宋"/>
          <w:sz w:val="24"/>
          <w:szCs w:val="21"/>
        </w:rPr>
        <w:t>.2</w:t>
      </w:r>
      <w:r>
        <w:rPr>
          <w:rFonts w:hint="eastAsia" w:ascii="仿宋" w:hAnsi="仿宋" w:eastAsia="仿宋" w:cs="仿宋"/>
          <w:sz w:val="24"/>
          <w:szCs w:val="21"/>
        </w:rPr>
        <w:t>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widowControl/>
        <w:snapToGrid w:val="0"/>
        <w:spacing w:line="360" w:lineRule="auto"/>
        <w:ind w:firstLine="434"/>
        <w:rPr>
          <w:rFonts w:ascii="仿宋" w:hAnsi="仿宋" w:eastAsia="仿宋" w:cs="仿宋"/>
          <w:sz w:val="24"/>
          <w:szCs w:val="20"/>
        </w:rPr>
      </w:pPr>
      <w:r>
        <w:rPr>
          <w:rFonts w:hint="eastAsia" w:ascii="仿宋" w:hAnsi="仿宋" w:eastAsia="仿宋" w:cs="仿宋"/>
          <w:sz w:val="24"/>
          <w:szCs w:val="20"/>
        </w:rPr>
        <w:t>（</w:t>
      </w:r>
      <w:r>
        <w:rPr>
          <w:rFonts w:ascii="仿宋" w:hAnsi="仿宋" w:eastAsia="仿宋" w:cs="仿宋"/>
          <w:sz w:val="24"/>
          <w:szCs w:val="20"/>
        </w:rPr>
        <w:t>1</w:t>
      </w:r>
      <w:r>
        <w:rPr>
          <w:rFonts w:hint="eastAsia" w:ascii="仿宋" w:hAnsi="仿宋" w:eastAsia="仿宋" w:cs="仿宋"/>
          <w:sz w:val="24"/>
          <w:szCs w:val="20"/>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人负责答复；对采购文件中其他内容提出的质疑，原则上由采购机构负责答复。</w:t>
      </w:r>
    </w:p>
    <w:p>
      <w:pPr>
        <w:spacing w:line="360" w:lineRule="auto"/>
        <w:ind w:firstLine="480"/>
        <w:rPr>
          <w:rFonts w:ascii="仿宋" w:hAnsi="仿宋" w:eastAsia="仿宋" w:cs="仿宋"/>
          <w:sz w:val="24"/>
          <w:szCs w:val="21"/>
        </w:rPr>
      </w:pPr>
      <w:r>
        <w:rPr>
          <w:rFonts w:hint="eastAsia" w:ascii="仿宋" w:hAnsi="仿宋" w:eastAsia="仿宋" w:cs="仿宋"/>
          <w:sz w:val="24"/>
          <w:szCs w:val="21"/>
        </w:rPr>
        <w:t>（</w:t>
      </w:r>
      <w:r>
        <w:rPr>
          <w:rFonts w:ascii="仿宋" w:hAnsi="仿宋" w:eastAsia="仿宋" w:cs="仿宋"/>
          <w:sz w:val="24"/>
          <w:szCs w:val="21"/>
        </w:rPr>
        <w:t>2</w:t>
      </w:r>
      <w:r>
        <w:rPr>
          <w:rFonts w:hint="eastAsia" w:ascii="仿宋" w:hAnsi="仿宋" w:eastAsia="仿宋" w:cs="仿宋"/>
          <w:sz w:val="24"/>
          <w:szCs w:val="21"/>
        </w:rPr>
        <w:t>）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机构负责答复。</w:t>
      </w:r>
    </w:p>
    <w:p>
      <w:pPr>
        <w:spacing w:line="360" w:lineRule="auto"/>
        <w:ind w:firstLine="480"/>
        <w:rPr>
          <w:rFonts w:ascii="仿宋" w:hAnsi="仿宋" w:eastAsia="仿宋" w:cs="仿宋"/>
          <w:sz w:val="24"/>
          <w:szCs w:val="21"/>
        </w:rPr>
      </w:pPr>
      <w:r>
        <w:rPr>
          <w:rFonts w:hint="eastAsia" w:ascii="仿宋" w:hAnsi="仿宋" w:eastAsia="仿宋" w:cs="仿宋"/>
          <w:sz w:val="24"/>
          <w:szCs w:val="21"/>
        </w:rPr>
        <w:t>（</w:t>
      </w:r>
      <w:r>
        <w:rPr>
          <w:rFonts w:ascii="仿宋" w:hAnsi="仿宋" w:eastAsia="仿宋" w:cs="仿宋"/>
          <w:sz w:val="24"/>
          <w:szCs w:val="21"/>
        </w:rPr>
        <w:t>3</w:t>
      </w:r>
      <w:r>
        <w:rPr>
          <w:rFonts w:hint="eastAsia" w:ascii="仿宋" w:hAnsi="仿宋" w:eastAsia="仿宋" w:cs="仿宋"/>
          <w:sz w:val="24"/>
          <w:szCs w:val="21"/>
        </w:rPr>
        <w:t>）对采购结果提出质疑的，质疑期限自采购结果公告期限届满之日起计算。对采购结果提出质疑的，采购机构负责答复。</w:t>
      </w:r>
    </w:p>
    <w:p>
      <w:pPr>
        <w:spacing w:line="360" w:lineRule="auto"/>
        <w:ind w:firstLine="480"/>
      </w:pPr>
      <w:r>
        <w:rPr>
          <w:rFonts w:ascii="仿宋" w:hAnsi="仿宋" w:eastAsia="仿宋" w:cs="仿宋"/>
          <w:sz w:val="24"/>
          <w:szCs w:val="21"/>
          <w:lang w:val="zh-CN"/>
        </w:rPr>
        <w:t>4.2.3</w:t>
      </w:r>
      <w:r>
        <w:rPr>
          <w:rFonts w:hint="eastAsia" w:ascii="仿宋" w:hAnsi="仿宋" w:eastAsia="仿宋" w:cs="仿宋"/>
          <w:sz w:val="24"/>
          <w:szCs w:val="21"/>
        </w:rPr>
        <w:t>供应商提出质疑应当提交质疑函和必要的证明材料。质疑函应当包括下列内容：</w:t>
      </w:r>
    </w:p>
    <w:p>
      <w:pPr>
        <w:spacing w:line="360" w:lineRule="auto"/>
        <w:ind w:firstLine="480"/>
      </w:pPr>
      <w:r>
        <w:rPr>
          <w:rFonts w:ascii="仿宋" w:hAnsi="仿宋" w:eastAsia="仿宋" w:cs="仿宋"/>
          <w:sz w:val="24"/>
          <w:szCs w:val="21"/>
          <w:lang w:val="zh-CN"/>
        </w:rPr>
        <w:t>4.2.3.1</w:t>
      </w:r>
      <w:r>
        <w:rPr>
          <w:rFonts w:hint="eastAsia" w:ascii="仿宋" w:hAnsi="仿宋" w:eastAsia="仿宋" w:cs="仿宋"/>
          <w:sz w:val="24"/>
          <w:szCs w:val="21"/>
        </w:rPr>
        <w:t>供应商的姓名或者名称、地址、邮编、联系人及联系电话；</w:t>
      </w:r>
    </w:p>
    <w:p>
      <w:pPr>
        <w:spacing w:line="360" w:lineRule="auto"/>
        <w:ind w:firstLine="480"/>
      </w:pPr>
      <w:r>
        <w:rPr>
          <w:rFonts w:ascii="仿宋" w:hAnsi="仿宋" w:eastAsia="仿宋" w:cs="仿宋"/>
          <w:sz w:val="24"/>
          <w:szCs w:val="21"/>
          <w:lang w:val="zh-CN"/>
        </w:rPr>
        <w:t>4.2.3.2</w:t>
      </w:r>
      <w:r>
        <w:rPr>
          <w:rFonts w:hint="eastAsia" w:ascii="仿宋" w:hAnsi="仿宋" w:eastAsia="仿宋" w:cs="仿宋"/>
          <w:sz w:val="24"/>
          <w:szCs w:val="21"/>
        </w:rPr>
        <w:t>质疑项目的名称、编号；</w:t>
      </w:r>
    </w:p>
    <w:p>
      <w:pPr>
        <w:spacing w:line="360" w:lineRule="auto"/>
        <w:ind w:firstLine="480"/>
      </w:pPr>
      <w:r>
        <w:rPr>
          <w:rFonts w:ascii="仿宋" w:hAnsi="仿宋" w:eastAsia="仿宋" w:cs="仿宋"/>
          <w:sz w:val="24"/>
          <w:szCs w:val="21"/>
          <w:lang w:val="zh-CN"/>
        </w:rPr>
        <w:t>4.2.3.3</w:t>
      </w:r>
      <w:r>
        <w:rPr>
          <w:rFonts w:hint="eastAsia" w:ascii="仿宋" w:hAnsi="仿宋" w:eastAsia="仿宋" w:cs="仿宋"/>
          <w:sz w:val="24"/>
          <w:szCs w:val="21"/>
        </w:rPr>
        <w:t>具体、明确的质疑事项和与质疑事项相关的请求；</w:t>
      </w:r>
    </w:p>
    <w:p>
      <w:pPr>
        <w:spacing w:line="360" w:lineRule="auto"/>
        <w:ind w:firstLine="480"/>
      </w:pPr>
      <w:r>
        <w:rPr>
          <w:rFonts w:ascii="仿宋" w:hAnsi="仿宋" w:eastAsia="仿宋" w:cs="仿宋"/>
          <w:sz w:val="24"/>
          <w:szCs w:val="21"/>
          <w:lang w:val="zh-CN"/>
        </w:rPr>
        <w:t>4.2.3.4</w:t>
      </w:r>
      <w:r>
        <w:rPr>
          <w:rFonts w:hint="eastAsia" w:ascii="仿宋" w:hAnsi="仿宋" w:eastAsia="仿宋" w:cs="仿宋"/>
          <w:sz w:val="24"/>
          <w:szCs w:val="21"/>
        </w:rPr>
        <w:t>事实依据；</w:t>
      </w:r>
    </w:p>
    <w:p>
      <w:pPr>
        <w:spacing w:line="360" w:lineRule="auto"/>
        <w:ind w:firstLine="480"/>
      </w:pPr>
      <w:r>
        <w:rPr>
          <w:rFonts w:ascii="仿宋" w:hAnsi="仿宋" w:eastAsia="仿宋" w:cs="仿宋"/>
          <w:sz w:val="24"/>
          <w:szCs w:val="21"/>
          <w:lang w:val="zh-CN"/>
        </w:rPr>
        <w:t>4.2.3.5</w:t>
      </w:r>
      <w:r>
        <w:rPr>
          <w:rFonts w:hint="eastAsia" w:ascii="仿宋" w:hAnsi="仿宋" w:eastAsia="仿宋" w:cs="仿宋"/>
          <w:sz w:val="24"/>
          <w:szCs w:val="21"/>
        </w:rPr>
        <w:t>必要的法律依据；</w:t>
      </w:r>
    </w:p>
    <w:p>
      <w:pPr>
        <w:spacing w:line="360" w:lineRule="auto"/>
        <w:ind w:firstLine="480"/>
      </w:pPr>
      <w:r>
        <w:rPr>
          <w:rFonts w:ascii="仿宋" w:hAnsi="仿宋" w:eastAsia="仿宋" w:cs="仿宋"/>
          <w:sz w:val="24"/>
          <w:szCs w:val="21"/>
          <w:lang w:val="zh-CN"/>
        </w:rPr>
        <w:t>4.2.3.6</w:t>
      </w:r>
      <w:r>
        <w:rPr>
          <w:rFonts w:hint="eastAsia" w:ascii="仿宋" w:hAnsi="仿宋" w:eastAsia="仿宋" w:cs="仿宋"/>
          <w:sz w:val="24"/>
          <w:szCs w:val="21"/>
        </w:rPr>
        <w:t>提出质疑的日期。</w:t>
      </w:r>
    </w:p>
    <w:p>
      <w:pPr>
        <w:spacing w:line="360" w:lineRule="auto"/>
        <w:ind w:firstLine="480"/>
        <w:rPr>
          <w:rFonts w:ascii="仿宋" w:hAnsi="仿宋" w:eastAsia="仿宋" w:cs="仿宋"/>
          <w:sz w:val="24"/>
          <w:szCs w:val="21"/>
          <w:lang w:val="zh-CN"/>
        </w:rPr>
      </w:pPr>
      <w:r>
        <w:rPr>
          <w:rFonts w:hint="eastAsia" w:ascii="仿宋" w:hAnsi="仿宋" w:eastAsia="仿宋" w:cs="仿宋"/>
          <w:sz w:val="24"/>
          <w:szCs w:val="21"/>
          <w:lang w:val="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rPr>
          <w:rFonts w:ascii="仿宋" w:hAnsi="仿宋" w:eastAsia="仿宋" w:cs="仿宋"/>
          <w:sz w:val="24"/>
          <w:szCs w:val="21"/>
          <w:lang w:val="zh-CN"/>
        </w:rPr>
      </w:pPr>
      <w:r>
        <w:rPr>
          <w:rFonts w:hint="eastAsia" w:ascii="仿宋" w:hAnsi="仿宋" w:eastAsia="仿宋" w:cs="仿宋"/>
          <w:sz w:val="24"/>
          <w:szCs w:val="21"/>
          <w:lang w:val="zh-CN"/>
        </w:rPr>
        <w:t>质疑函范本及制作说明详见附件</w:t>
      </w:r>
      <w:r>
        <w:rPr>
          <w:rFonts w:ascii="仿宋" w:hAnsi="仿宋" w:eastAsia="仿宋" w:cs="仿宋"/>
          <w:sz w:val="24"/>
          <w:szCs w:val="21"/>
          <w:lang w:val="zh-CN"/>
        </w:rPr>
        <w:t>2</w:t>
      </w:r>
      <w:r>
        <w:rPr>
          <w:rFonts w:hint="eastAsia" w:ascii="仿宋" w:hAnsi="仿宋" w:eastAsia="仿宋" w:cs="仿宋"/>
          <w:sz w:val="24"/>
          <w:szCs w:val="21"/>
          <w:lang w:val="zh-CN"/>
        </w:rPr>
        <w:t>。</w:t>
      </w:r>
    </w:p>
    <w:p>
      <w:pPr>
        <w:spacing w:line="360" w:lineRule="auto"/>
        <w:ind w:firstLine="480"/>
      </w:pPr>
      <w:r>
        <w:rPr>
          <w:rFonts w:ascii="仿宋" w:hAnsi="仿宋" w:eastAsia="仿宋" w:cs="仿宋"/>
          <w:sz w:val="24"/>
          <w:szCs w:val="21"/>
          <w:lang w:val="zh-CN"/>
        </w:rPr>
        <w:t>4.2</w:t>
      </w:r>
      <w:r>
        <w:rPr>
          <w:rFonts w:ascii="仿宋" w:hAnsi="仿宋" w:eastAsia="仿宋" w:cs="仿宋"/>
          <w:sz w:val="24"/>
          <w:szCs w:val="21"/>
        </w:rPr>
        <w:t>.4</w:t>
      </w:r>
      <w:r>
        <w:rPr>
          <w:rFonts w:hint="eastAsia" w:ascii="仿宋" w:hAnsi="仿宋" w:eastAsia="仿宋" w:cs="仿宋"/>
          <w:sz w:val="24"/>
          <w:szCs w:val="21"/>
        </w:rPr>
        <w:t>采购人或者采购机构应当在收到供应商的书面质疑后七个工作日内作出答复，并以书面形式通知质疑供应商和其他与质疑处理结果有利害关系的政府采购当事人，但答复的内容不得涉及商业秘密。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pPr>
      <w:r>
        <w:rPr>
          <w:rFonts w:ascii="仿宋" w:hAnsi="仿宋" w:eastAsia="仿宋" w:cs="仿宋"/>
          <w:sz w:val="24"/>
          <w:szCs w:val="21"/>
          <w:lang w:val="zh-CN"/>
        </w:rPr>
        <w:t>4.2</w:t>
      </w:r>
      <w:r>
        <w:rPr>
          <w:rFonts w:ascii="仿宋" w:hAnsi="仿宋" w:eastAsia="仿宋" w:cs="仿宋"/>
          <w:sz w:val="24"/>
          <w:szCs w:val="21"/>
        </w:rPr>
        <w:t>.5</w:t>
      </w:r>
      <w:r>
        <w:rPr>
          <w:rFonts w:hint="eastAsia" w:ascii="仿宋" w:hAnsi="仿宋" w:eastAsia="仿宋" w:cs="仿宋"/>
          <w:sz w:val="24"/>
          <w:szCs w:val="21"/>
        </w:rPr>
        <w:t>询问或者质疑事项可能影响采购结果的，采购人应当暂停签订合同，已经签订合同的，应当中止履行合同。</w:t>
      </w:r>
    </w:p>
    <w:p>
      <w:pPr>
        <w:spacing w:line="360" w:lineRule="auto"/>
        <w:ind w:firstLine="480"/>
        <w:rPr>
          <w:rFonts w:ascii="仿宋" w:hAnsi="仿宋" w:eastAsia="仿宋" w:cs="仿宋"/>
          <w:sz w:val="24"/>
          <w:szCs w:val="21"/>
          <w:lang w:val="zh-CN"/>
        </w:rPr>
      </w:pPr>
      <w:r>
        <w:rPr>
          <w:rFonts w:ascii="仿宋" w:hAnsi="仿宋" w:eastAsia="仿宋" w:cs="仿宋"/>
          <w:sz w:val="24"/>
          <w:szCs w:val="21"/>
          <w:lang w:val="zh-CN"/>
        </w:rPr>
        <w:t>4.3</w:t>
      </w:r>
      <w:r>
        <w:rPr>
          <w:rFonts w:hint="eastAsia" w:ascii="仿宋" w:hAnsi="仿宋" w:eastAsia="仿宋" w:cs="仿宋"/>
          <w:sz w:val="24"/>
          <w:szCs w:val="21"/>
          <w:lang w:val="zh-CN"/>
        </w:rPr>
        <w:t>供应商投诉</w:t>
      </w:r>
    </w:p>
    <w:p>
      <w:pPr>
        <w:spacing w:line="360" w:lineRule="auto"/>
        <w:ind w:firstLine="480"/>
        <w:rPr>
          <w:rFonts w:ascii="仿宋" w:hAnsi="仿宋" w:eastAsia="仿宋" w:cs="仿宋"/>
          <w:sz w:val="24"/>
          <w:szCs w:val="21"/>
        </w:rPr>
      </w:pPr>
      <w:r>
        <w:rPr>
          <w:rFonts w:ascii="仿宋" w:hAnsi="仿宋" w:eastAsia="仿宋" w:cs="仿宋"/>
          <w:sz w:val="24"/>
          <w:szCs w:val="21"/>
        </w:rPr>
        <w:t>4.3.1</w:t>
      </w:r>
      <w:r>
        <w:rPr>
          <w:rFonts w:hint="eastAsia" w:ascii="仿宋" w:hAnsi="仿宋" w:eastAsia="仿宋" w:cs="仿宋"/>
          <w:sz w:val="24"/>
          <w:szCs w:val="21"/>
        </w:rPr>
        <w:t>质疑供应商对采购人、采购机构的答复不满意或者采购人、采购机构未在规定的时间内作出答复的，可以在答复期满后十五个工作日内向同级政府采购监督管理部门提出投诉。</w:t>
      </w:r>
    </w:p>
    <w:p>
      <w:pPr>
        <w:spacing w:line="360" w:lineRule="auto"/>
        <w:ind w:firstLine="480"/>
      </w:pPr>
      <w:r>
        <w:rPr>
          <w:rFonts w:ascii="仿宋" w:hAnsi="仿宋" w:eastAsia="仿宋" w:cs="仿宋"/>
          <w:sz w:val="24"/>
          <w:szCs w:val="21"/>
        </w:rPr>
        <w:t>4.3.</w:t>
      </w:r>
      <w:r>
        <w:rPr>
          <w:rFonts w:ascii="仿宋" w:hAnsi="仿宋" w:eastAsia="仿宋" w:cs="仿宋"/>
          <w:sz w:val="24"/>
          <w:szCs w:val="21"/>
          <w:lang w:val="zh-CN"/>
        </w:rPr>
        <w:t>2</w:t>
      </w:r>
      <w:r>
        <w:rPr>
          <w:rFonts w:hint="eastAsia" w:ascii="仿宋" w:hAnsi="仿宋" w:eastAsia="仿宋" w:cs="仿宋"/>
          <w:sz w:val="24"/>
          <w:szCs w:val="21"/>
        </w:rPr>
        <w:t>供应商投诉的事项不得超出已质疑事项的范围，基于质疑答复内容提出的投诉事项除外。</w:t>
      </w:r>
    </w:p>
    <w:p>
      <w:pPr>
        <w:spacing w:line="360" w:lineRule="auto"/>
        <w:ind w:firstLine="480"/>
        <w:rPr>
          <w:rFonts w:ascii="仿宋" w:hAnsi="仿宋" w:eastAsia="仿宋" w:cs="仿宋"/>
          <w:sz w:val="24"/>
          <w:szCs w:val="21"/>
        </w:rPr>
      </w:pPr>
      <w:r>
        <w:rPr>
          <w:rFonts w:ascii="仿宋" w:hAnsi="仿宋" w:eastAsia="仿宋" w:cs="仿宋"/>
          <w:sz w:val="24"/>
          <w:szCs w:val="21"/>
        </w:rPr>
        <w:t>4.3.3</w:t>
      </w:r>
      <w:r>
        <w:rPr>
          <w:rFonts w:hint="eastAsia" w:ascii="仿宋" w:hAnsi="仿宋" w:eastAsia="仿宋" w:cs="仿宋"/>
          <w:sz w:val="24"/>
          <w:szCs w:val="21"/>
        </w:rPr>
        <w:t>供应商投诉应当有明确的请求和必要的证明材料。</w:t>
      </w:r>
    </w:p>
    <w:p>
      <w:pPr>
        <w:spacing w:line="360" w:lineRule="auto"/>
        <w:ind w:firstLine="480"/>
        <w:rPr>
          <w:rFonts w:ascii="仿宋" w:hAnsi="仿宋" w:eastAsia="仿宋" w:cs="仿宋"/>
          <w:sz w:val="24"/>
          <w:szCs w:val="21"/>
        </w:rPr>
      </w:pPr>
      <w:r>
        <w:rPr>
          <w:rFonts w:ascii="仿宋" w:hAnsi="仿宋" w:eastAsia="仿宋" w:cs="仿宋"/>
          <w:sz w:val="24"/>
          <w:szCs w:val="21"/>
        </w:rPr>
        <w:t xml:space="preserve">4.3.5 </w:t>
      </w:r>
      <w:r>
        <w:rPr>
          <w:rFonts w:hint="eastAsia" w:ascii="仿宋" w:hAnsi="仿宋" w:eastAsia="仿宋" w:cs="仿宋"/>
          <w:sz w:val="24"/>
          <w:szCs w:val="21"/>
        </w:rPr>
        <w:t>以联合体形式参加政府采购活动的，其投诉应当由组成联合体的所有供应商共同提出。</w:t>
      </w:r>
    </w:p>
    <w:p>
      <w:pPr>
        <w:spacing w:line="360" w:lineRule="auto"/>
        <w:ind w:firstLine="480"/>
        <w:rPr>
          <w:rFonts w:ascii="仿宋" w:hAnsi="仿宋" w:eastAsia="仿宋" w:cs="仿宋"/>
          <w:sz w:val="24"/>
          <w:szCs w:val="21"/>
        </w:rPr>
      </w:pPr>
      <w:r>
        <w:rPr>
          <w:rFonts w:hint="eastAsia" w:ascii="仿宋" w:hAnsi="仿宋" w:eastAsia="仿宋" w:cs="仿宋"/>
          <w:sz w:val="24"/>
          <w:szCs w:val="21"/>
        </w:rPr>
        <w:t>投诉书范本及制作说明详见附件</w:t>
      </w:r>
      <w:r>
        <w:rPr>
          <w:rFonts w:ascii="仿宋" w:hAnsi="仿宋" w:eastAsia="仿宋" w:cs="仿宋"/>
          <w:sz w:val="24"/>
          <w:szCs w:val="21"/>
        </w:rPr>
        <w:t>3</w:t>
      </w:r>
      <w:r>
        <w:rPr>
          <w:rFonts w:hint="eastAsia" w:ascii="仿宋" w:hAnsi="仿宋" w:eastAsia="仿宋" w:cs="仿宋"/>
          <w:sz w:val="24"/>
          <w:szCs w:val="21"/>
        </w:rPr>
        <w:t>。</w:t>
      </w:r>
    </w:p>
    <w:p>
      <w:pPr>
        <w:spacing w:line="360" w:lineRule="auto"/>
        <w:jc w:val="center"/>
        <w:rPr>
          <w:rFonts w:ascii="仿宋" w:hAnsi="仿宋" w:eastAsia="仿宋" w:cs="仿宋"/>
          <w:b/>
          <w:sz w:val="32"/>
          <w:szCs w:val="20"/>
        </w:rPr>
      </w:pPr>
      <w:r>
        <w:rPr>
          <w:rFonts w:hint="eastAsia" w:ascii="仿宋" w:hAnsi="仿宋" w:eastAsia="仿宋" w:cs="仿宋"/>
          <w:b/>
          <w:sz w:val="32"/>
          <w:szCs w:val="20"/>
        </w:rPr>
        <w:t>二、招标文件的构成、澄清、修改</w:t>
      </w:r>
    </w:p>
    <w:p>
      <w:pPr>
        <w:spacing w:line="360" w:lineRule="auto"/>
        <w:rPr>
          <w:rFonts w:ascii="仿宋" w:hAnsi="仿宋" w:eastAsia="仿宋" w:cs="仿宋"/>
          <w:b/>
          <w:sz w:val="24"/>
        </w:rPr>
      </w:pPr>
      <w:r>
        <w:rPr>
          <w:rFonts w:ascii="仿宋" w:hAnsi="仿宋" w:eastAsia="仿宋" w:cs="仿宋"/>
          <w:b/>
          <w:sz w:val="24"/>
        </w:rPr>
        <w:t>5</w:t>
      </w:r>
      <w:r>
        <w:rPr>
          <w:rFonts w:hint="eastAsia" w:ascii="仿宋" w:hAnsi="仿宋" w:eastAsia="仿宋" w:cs="仿宋"/>
          <w:b/>
          <w:sz w:val="24"/>
        </w:rPr>
        <w:t>．招标文件的构成</w:t>
      </w:r>
    </w:p>
    <w:p>
      <w:pPr>
        <w:spacing w:line="360" w:lineRule="auto"/>
        <w:ind w:firstLine="480"/>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招标文件包括下列文件及附件</w:t>
      </w:r>
    </w:p>
    <w:p>
      <w:pPr>
        <w:spacing w:line="360" w:lineRule="auto"/>
        <w:ind w:firstLine="638"/>
        <w:rPr>
          <w:rFonts w:ascii="仿宋" w:hAnsi="仿宋" w:eastAsia="仿宋" w:cs="仿宋"/>
          <w:sz w:val="24"/>
        </w:rPr>
      </w:pPr>
      <w:r>
        <w:rPr>
          <w:rFonts w:hint="eastAsia" w:ascii="仿宋" w:hAnsi="仿宋" w:eastAsia="仿宋" w:cs="仿宋"/>
          <w:sz w:val="24"/>
        </w:rPr>
        <w:t>第一部分招标公告</w:t>
      </w:r>
    </w:p>
    <w:p>
      <w:pPr>
        <w:spacing w:line="360" w:lineRule="auto"/>
        <w:ind w:firstLine="638"/>
        <w:rPr>
          <w:rFonts w:ascii="仿宋" w:hAnsi="仿宋" w:eastAsia="仿宋" w:cs="仿宋"/>
          <w:sz w:val="24"/>
        </w:rPr>
      </w:pPr>
      <w:r>
        <w:rPr>
          <w:rFonts w:hint="eastAsia" w:ascii="仿宋" w:hAnsi="仿宋" w:eastAsia="仿宋" w:cs="仿宋"/>
          <w:sz w:val="24"/>
        </w:rPr>
        <w:t>第二部分投标人须知</w:t>
      </w:r>
    </w:p>
    <w:p>
      <w:pPr>
        <w:spacing w:line="360" w:lineRule="auto"/>
        <w:ind w:firstLine="638"/>
        <w:rPr>
          <w:rFonts w:ascii="仿宋" w:hAnsi="仿宋" w:eastAsia="仿宋" w:cs="仿宋"/>
          <w:sz w:val="24"/>
        </w:rPr>
      </w:pPr>
      <w:r>
        <w:rPr>
          <w:rFonts w:hint="eastAsia" w:ascii="仿宋" w:hAnsi="仿宋" w:eastAsia="仿宋" w:cs="仿宋"/>
          <w:sz w:val="24"/>
        </w:rPr>
        <w:t>第三部分采购需求</w:t>
      </w:r>
    </w:p>
    <w:p>
      <w:pPr>
        <w:spacing w:line="360" w:lineRule="auto"/>
        <w:ind w:firstLine="638"/>
        <w:rPr>
          <w:rFonts w:ascii="仿宋" w:hAnsi="仿宋" w:eastAsia="仿宋" w:cs="仿宋"/>
          <w:sz w:val="24"/>
        </w:rPr>
      </w:pPr>
      <w:r>
        <w:rPr>
          <w:rFonts w:hint="eastAsia" w:ascii="仿宋" w:hAnsi="仿宋" w:eastAsia="仿宋" w:cs="仿宋"/>
          <w:sz w:val="24"/>
        </w:rPr>
        <w:t>第四部分评标方法及评分标准</w:t>
      </w:r>
    </w:p>
    <w:p>
      <w:pPr>
        <w:spacing w:line="360" w:lineRule="auto"/>
        <w:ind w:firstLine="638"/>
        <w:rPr>
          <w:rFonts w:ascii="仿宋" w:hAnsi="仿宋" w:eastAsia="仿宋" w:cs="仿宋"/>
          <w:sz w:val="24"/>
        </w:rPr>
      </w:pPr>
      <w:r>
        <w:rPr>
          <w:rFonts w:hint="eastAsia" w:ascii="仿宋" w:hAnsi="仿宋" w:eastAsia="仿宋" w:cs="仿宋"/>
          <w:sz w:val="24"/>
        </w:rPr>
        <w:t>第五部分拟签订的合同文本</w:t>
      </w:r>
    </w:p>
    <w:p>
      <w:pPr>
        <w:spacing w:line="360" w:lineRule="auto"/>
        <w:ind w:firstLine="638"/>
        <w:rPr>
          <w:rFonts w:ascii="仿宋" w:hAnsi="仿宋" w:eastAsia="仿宋" w:cs="仿宋"/>
          <w:sz w:val="24"/>
        </w:rPr>
      </w:pPr>
      <w:r>
        <w:rPr>
          <w:rFonts w:hint="eastAsia" w:ascii="仿宋" w:hAnsi="仿宋" w:eastAsia="仿宋" w:cs="仿宋"/>
          <w:sz w:val="24"/>
        </w:rPr>
        <w:t>第六部分应提交的有关格式范例</w:t>
      </w:r>
    </w:p>
    <w:p>
      <w:pPr>
        <w:spacing w:line="360" w:lineRule="auto"/>
        <w:ind w:firstLine="480"/>
      </w:pPr>
      <w:r>
        <w:rPr>
          <w:rFonts w:ascii="仿宋" w:hAnsi="仿宋" w:eastAsia="仿宋" w:cs="仿宋"/>
          <w:sz w:val="24"/>
        </w:rPr>
        <w:t>5.2</w:t>
      </w:r>
      <w:r>
        <w:rPr>
          <w:rFonts w:hint="eastAsia" w:ascii="仿宋" w:hAnsi="仿宋" w:eastAsia="仿宋" w:cs="仿宋"/>
          <w:sz w:val="24"/>
        </w:rPr>
        <w:t>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spacing w:line="360" w:lineRule="auto"/>
        <w:rPr>
          <w:rFonts w:ascii="仿宋" w:hAnsi="仿宋" w:eastAsia="仿宋" w:cs="仿宋"/>
          <w:b/>
          <w:sz w:val="24"/>
        </w:rPr>
      </w:pPr>
      <w:r>
        <w:rPr>
          <w:rFonts w:ascii="仿宋" w:hAnsi="仿宋" w:eastAsia="仿宋" w:cs="仿宋"/>
          <w:b/>
          <w:sz w:val="24"/>
        </w:rPr>
        <w:t xml:space="preserve">6. </w:t>
      </w:r>
      <w:r>
        <w:rPr>
          <w:rFonts w:hint="eastAsia" w:ascii="仿宋" w:hAnsi="仿宋" w:eastAsia="仿宋" w:cs="仿宋"/>
          <w:b/>
          <w:sz w:val="24"/>
        </w:rPr>
        <w:t>招标文件的澄清、修改</w:t>
      </w:r>
    </w:p>
    <w:p>
      <w:pPr>
        <w:pStyle w:val="73"/>
        <w:snapToGrid w:val="0"/>
        <w:spacing w:beforeLines="0"/>
        <w:ind w:firstLine="480"/>
        <w:rPr>
          <w:rFonts w:ascii="仿宋" w:hAnsi="仿宋" w:eastAsia="仿宋" w:cs="仿宋"/>
        </w:rPr>
      </w:pPr>
      <w:r>
        <w:rPr>
          <w:rFonts w:ascii="仿宋" w:hAnsi="仿宋" w:eastAsia="仿宋" w:cs="仿宋"/>
        </w:rPr>
        <w:t>6.1</w:t>
      </w:r>
      <w:r>
        <w:rPr>
          <w:rFonts w:hint="eastAsia" w:ascii="仿宋" w:hAnsi="仿宋" w:eastAsia="仿宋" w:cs="仿宋"/>
        </w:rPr>
        <w:t>已获取招标文件的潜在投标人，若有问题需要澄清，应于投标截止时间前，以书面形式向采购机构提出。</w:t>
      </w:r>
    </w:p>
    <w:p>
      <w:pPr>
        <w:pStyle w:val="73"/>
        <w:snapToGrid w:val="0"/>
        <w:spacing w:beforeLines="0"/>
        <w:ind w:firstLine="480"/>
        <w:rPr>
          <w:rFonts w:ascii="仿宋" w:hAnsi="仿宋" w:eastAsia="仿宋" w:cs="仿宋"/>
        </w:rPr>
      </w:pPr>
      <w:r>
        <w:rPr>
          <w:rFonts w:ascii="仿宋" w:hAnsi="仿宋" w:eastAsia="仿宋" w:cs="仿宋"/>
        </w:rPr>
        <w:t>6.2</w:t>
      </w:r>
      <w:r>
        <w:rPr>
          <w:rFonts w:hint="eastAsia" w:ascii="仿宋" w:hAnsi="仿宋" w:eastAsia="仿宋" w:cs="仿宋"/>
        </w:rPr>
        <w:t>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pPr>
      <w:r>
        <w:rPr>
          <w:rFonts w:hint="eastAsia" w:ascii="仿宋" w:hAnsi="仿宋" w:eastAsia="仿宋" w:cs="仿宋"/>
          <w:b/>
          <w:sz w:val="24"/>
        </w:rPr>
        <w:t>▲</w:t>
      </w:r>
      <w:r>
        <w:rPr>
          <w:rFonts w:hint="eastAsia" w:ascii="仿宋" w:hAnsi="仿宋" w:eastAsia="仿宋" w:cs="仿宋"/>
          <w:b/>
          <w:sz w:val="24"/>
          <w:szCs w:val="21"/>
        </w:rPr>
        <w:t>投标文件未按招标文件的澄清、修改的内容编制，又不符合实质性要求的，投标无效。</w:t>
      </w:r>
    </w:p>
    <w:p>
      <w:pPr>
        <w:spacing w:line="360" w:lineRule="auto"/>
        <w:jc w:val="center"/>
        <w:rPr>
          <w:rFonts w:ascii="仿宋" w:hAnsi="仿宋" w:eastAsia="仿宋" w:cs="仿宋"/>
          <w:b/>
          <w:sz w:val="30"/>
          <w:szCs w:val="20"/>
        </w:rPr>
      </w:pPr>
      <w:r>
        <w:rPr>
          <w:rFonts w:hint="eastAsia" w:ascii="仿宋" w:hAnsi="仿宋" w:eastAsia="仿宋" w:cs="仿宋"/>
          <w:b/>
          <w:sz w:val="30"/>
          <w:szCs w:val="20"/>
        </w:rPr>
        <w:t>三、投标</w:t>
      </w:r>
    </w:p>
    <w:p>
      <w:pPr>
        <w:spacing w:line="360" w:lineRule="auto"/>
        <w:rPr>
          <w:rFonts w:ascii="仿宋" w:hAnsi="仿宋" w:eastAsia="仿宋" w:cs="仿宋"/>
          <w:b/>
          <w:sz w:val="24"/>
        </w:rPr>
      </w:pPr>
      <w:r>
        <w:rPr>
          <w:rFonts w:ascii="仿宋" w:hAnsi="仿宋" w:eastAsia="仿宋" w:cs="仿宋"/>
          <w:b/>
          <w:sz w:val="24"/>
        </w:rPr>
        <w:t xml:space="preserve">7. </w:t>
      </w:r>
      <w:r>
        <w:rPr>
          <w:rFonts w:hint="eastAsia" w:ascii="仿宋" w:hAnsi="仿宋" w:eastAsia="仿宋" w:cs="仿宋"/>
          <w:b/>
          <w:sz w:val="24"/>
        </w:rPr>
        <w:t>招标文件的获取</w:t>
      </w:r>
    </w:p>
    <w:p>
      <w:pPr>
        <w:spacing w:line="360" w:lineRule="auto"/>
        <w:ind w:firstLine="480"/>
        <w:rPr>
          <w:rFonts w:ascii="仿宋" w:hAnsi="仿宋" w:eastAsia="仿宋" w:cs="仿宋"/>
          <w:sz w:val="24"/>
        </w:rPr>
      </w:pPr>
      <w:r>
        <w:rPr>
          <w:rFonts w:hint="eastAsia" w:ascii="仿宋" w:hAnsi="仿宋" w:eastAsia="仿宋" w:cs="仿宋"/>
          <w:sz w:val="24"/>
        </w:rPr>
        <w:t>详见招标公告中获取招标文件的时间期限、地点、方式及招标文件售价。</w:t>
      </w:r>
    </w:p>
    <w:p>
      <w:pPr>
        <w:spacing w:line="360" w:lineRule="auto"/>
        <w:rPr>
          <w:rFonts w:ascii="仿宋" w:hAnsi="仿宋" w:eastAsia="仿宋" w:cs="仿宋"/>
          <w:b/>
          <w:sz w:val="24"/>
        </w:rPr>
      </w:pPr>
      <w:r>
        <w:rPr>
          <w:rFonts w:ascii="仿宋" w:hAnsi="仿宋" w:eastAsia="仿宋" w:cs="仿宋"/>
          <w:b/>
          <w:sz w:val="24"/>
        </w:rPr>
        <w:t xml:space="preserve">8. </w:t>
      </w:r>
      <w:r>
        <w:rPr>
          <w:rFonts w:hint="eastAsia" w:ascii="仿宋" w:hAnsi="仿宋" w:eastAsia="仿宋" w:cs="仿宋"/>
          <w:b/>
          <w:sz w:val="24"/>
        </w:rPr>
        <w:t>开标前答疑会或现场考察</w:t>
      </w:r>
    </w:p>
    <w:p>
      <w:pPr>
        <w:spacing w:line="360" w:lineRule="auto"/>
        <w:ind w:firstLine="420"/>
        <w:rPr>
          <w:rFonts w:ascii="仿宋" w:hAnsi="仿宋" w:eastAsia="仿宋" w:cs="仿宋"/>
          <w:sz w:val="24"/>
        </w:rPr>
      </w:pPr>
      <w:r>
        <w:rPr>
          <w:rFonts w:hint="eastAsia" w:ascii="仿宋" w:hAnsi="仿宋" w:eastAsia="仿宋" w:cs="仿宋"/>
          <w:sz w:val="24"/>
        </w:rPr>
        <w:t>采购人组织潜在投标人现场考察或者召开开标前答疑会的，潜在投标人按前附表的规定参加现场考察或者开标前答疑会。</w:t>
      </w:r>
      <w:r>
        <w:rPr>
          <w:rFonts w:hint="eastAsia" w:ascii="仿宋" w:hAnsi="仿宋" w:eastAsia="仿宋" w:cs="仿宋"/>
          <w:b/>
          <w:sz w:val="24"/>
        </w:rPr>
        <w:t>采购人不单独或分别组织只有一个供应商参加的现场考察和答疑会。</w:t>
      </w:r>
    </w:p>
    <w:p>
      <w:pPr>
        <w:spacing w:line="360" w:lineRule="auto"/>
        <w:rPr>
          <w:rFonts w:ascii="仿宋" w:hAnsi="仿宋" w:eastAsia="仿宋" w:cs="仿宋"/>
          <w:b/>
        </w:rPr>
      </w:pPr>
      <w:r>
        <w:rPr>
          <w:rFonts w:ascii="仿宋" w:hAnsi="仿宋" w:eastAsia="仿宋" w:cs="仿宋"/>
          <w:b/>
          <w:sz w:val="24"/>
        </w:rPr>
        <w:t xml:space="preserve">9. </w:t>
      </w:r>
      <w:r>
        <w:rPr>
          <w:rFonts w:hint="eastAsia" w:ascii="仿宋" w:hAnsi="仿宋" w:eastAsia="仿宋" w:cs="仿宋"/>
          <w:b/>
          <w:sz w:val="24"/>
        </w:rPr>
        <w:t>投标保证金</w:t>
      </w:r>
    </w:p>
    <w:p>
      <w:pPr>
        <w:widowControl/>
        <w:snapToGrid w:val="0"/>
        <w:spacing w:line="360" w:lineRule="auto"/>
        <w:ind w:firstLine="470"/>
        <w:rPr>
          <w:rFonts w:ascii="仿宋" w:hAnsi="仿宋" w:eastAsia="仿宋" w:cs="仿宋"/>
          <w:sz w:val="24"/>
          <w:szCs w:val="20"/>
        </w:rPr>
      </w:pPr>
      <w:r>
        <w:rPr>
          <w:rFonts w:hint="eastAsia" w:ascii="仿宋" w:hAnsi="仿宋" w:eastAsia="仿宋" w:cs="仿宋"/>
          <w:sz w:val="24"/>
          <w:szCs w:val="20"/>
        </w:rPr>
        <w:t>本项目不需要交纳投标保证金。</w:t>
      </w:r>
    </w:p>
    <w:p>
      <w:pPr>
        <w:widowControl/>
        <w:snapToGrid w:val="0"/>
        <w:spacing w:line="360" w:lineRule="auto"/>
        <w:rPr>
          <w:rFonts w:ascii="仿宋" w:hAnsi="仿宋" w:eastAsia="仿宋" w:cs="仿宋"/>
          <w:b/>
          <w:sz w:val="24"/>
        </w:rPr>
      </w:pPr>
      <w:r>
        <w:rPr>
          <w:rFonts w:ascii="仿宋" w:hAnsi="仿宋" w:eastAsia="仿宋" w:cs="仿宋"/>
          <w:b/>
          <w:sz w:val="24"/>
        </w:rPr>
        <w:t xml:space="preserve">10. </w:t>
      </w:r>
      <w:r>
        <w:rPr>
          <w:rFonts w:hint="eastAsia" w:ascii="仿宋" w:hAnsi="仿宋" w:eastAsia="仿宋" w:cs="仿宋"/>
          <w:b/>
          <w:sz w:val="24"/>
        </w:rPr>
        <w:t>投标文件的语言</w:t>
      </w:r>
    </w:p>
    <w:p>
      <w:pPr>
        <w:autoSpaceDE w:val="0"/>
        <w:spacing w:line="360" w:lineRule="auto"/>
        <w:ind w:firstLine="48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spacing w:line="360" w:lineRule="auto"/>
        <w:rPr>
          <w:rFonts w:ascii="仿宋" w:hAnsi="仿宋" w:eastAsia="仿宋" w:cs="仿宋"/>
          <w:b/>
          <w:sz w:val="24"/>
        </w:rPr>
      </w:pPr>
      <w:r>
        <w:rPr>
          <w:rFonts w:ascii="仿宋" w:hAnsi="仿宋" w:eastAsia="仿宋" w:cs="仿宋"/>
          <w:b/>
          <w:sz w:val="24"/>
        </w:rPr>
        <w:t xml:space="preserve">11. </w:t>
      </w:r>
      <w:r>
        <w:rPr>
          <w:rFonts w:hint="eastAsia" w:ascii="仿宋" w:hAnsi="仿宋" w:eastAsia="仿宋" w:cs="仿宋"/>
          <w:b/>
          <w:sz w:val="24"/>
        </w:rPr>
        <w:t>投标文件的组成</w:t>
      </w:r>
    </w:p>
    <w:p>
      <w:pPr>
        <w:pStyle w:val="21"/>
        <w:spacing w:before="120" w:after="120" w:line="450" w:lineRule="exact"/>
        <w:rPr>
          <w:rFonts w:ascii="仿宋" w:hAnsi="仿宋" w:eastAsia="仿宋" w:cs="仿宋"/>
          <w:b/>
        </w:rPr>
      </w:pPr>
      <w:r>
        <w:rPr>
          <w:rFonts w:hint="eastAsia" w:ascii="仿宋" w:hAnsi="仿宋" w:eastAsia="仿宋" w:cs="仿宋"/>
          <w:b/>
        </w:rPr>
        <w:t>投标文件的组成</w:t>
      </w:r>
    </w:p>
    <w:p>
      <w:pPr>
        <w:pStyle w:val="21"/>
        <w:snapToGrid w:val="0"/>
        <w:spacing w:before="120" w:after="120" w:line="450" w:lineRule="exact"/>
        <w:ind w:firstLine="420" w:firstLineChars="200"/>
        <w:rPr>
          <w:rFonts w:ascii="仿宋" w:hAnsi="仿宋" w:eastAsia="仿宋" w:cs="仿宋"/>
        </w:rPr>
      </w:pPr>
      <w:r>
        <w:rPr>
          <w:rFonts w:hint="eastAsia" w:ascii="仿宋" w:hAnsi="仿宋" w:eastAsia="仿宋" w:cs="仿宋"/>
          <w:kern w:val="0"/>
        </w:rPr>
        <w:t>投标文件应当包括以下主要内容：</w:t>
      </w:r>
      <w:r>
        <w:rPr>
          <w:rFonts w:hint="eastAsia" w:ascii="仿宋" w:hAnsi="仿宋" w:eastAsia="仿宋" w:cs="仿宋"/>
          <w:b/>
        </w:rPr>
        <w:t>资格文件、报价文件、商务技术文件</w:t>
      </w:r>
      <w:r>
        <w:rPr>
          <w:rFonts w:hint="eastAsia" w:ascii="仿宋" w:hAnsi="仿宋" w:eastAsia="仿宋" w:cs="仿宋"/>
        </w:rPr>
        <w:t>。投标文件应当对招标文件提出的要求和条件作出明确响应。</w:t>
      </w:r>
    </w:p>
    <w:p>
      <w:pPr>
        <w:snapToGrid w:val="0"/>
        <w:spacing w:line="450" w:lineRule="exact"/>
        <w:ind w:firstLine="480" w:firstLineChars="200"/>
        <w:rPr>
          <w:rFonts w:ascii="仿宋" w:hAnsi="仿宋" w:eastAsia="仿宋" w:cs="仿宋"/>
          <w:b/>
          <w:kern w:val="0"/>
          <w:sz w:val="24"/>
        </w:rPr>
      </w:pPr>
      <w:r>
        <w:rPr>
          <w:rFonts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21"/>
        <w:spacing w:before="120" w:after="120" w:line="450" w:lineRule="exact"/>
        <w:ind w:firstLine="420" w:firstLineChars="200"/>
        <w:rPr>
          <w:rFonts w:ascii="仿宋" w:hAnsi="仿宋" w:eastAsia="仿宋" w:cs="仿宋"/>
        </w:rPr>
      </w:pPr>
      <w:bookmarkStart w:id="2" w:name="_Hlt68072998"/>
      <w:bookmarkEnd w:id="2"/>
      <w:bookmarkStart w:id="3" w:name="_Hlt68073093"/>
      <w:bookmarkEnd w:id="3"/>
      <w:bookmarkStart w:id="4" w:name="_Hlt68403820"/>
      <w:bookmarkEnd w:id="4"/>
      <w:r>
        <w:rPr>
          <w:rFonts w:ascii="仿宋" w:hAnsi="仿宋" w:eastAsia="仿宋" w:cs="仿宋"/>
        </w:rPr>
        <w:t>11.1.1</w:t>
      </w:r>
      <w:r>
        <w:rPr>
          <w:rFonts w:hint="eastAsia" w:ascii="仿宋" w:hAnsi="仿宋" w:eastAsia="仿宋" w:cs="仿宋"/>
        </w:rPr>
        <w:t>营业执照</w:t>
      </w:r>
      <w:r>
        <w:rPr>
          <w:rFonts w:ascii="仿宋" w:hAnsi="仿宋" w:eastAsia="仿宋" w:cs="仿宋"/>
        </w:rPr>
        <w:t>(</w:t>
      </w:r>
      <w:r>
        <w:rPr>
          <w:rFonts w:hint="eastAsia" w:ascii="仿宋" w:hAnsi="仿宋" w:eastAsia="仿宋" w:cs="仿宋"/>
        </w:rPr>
        <w:t>或事业法人登记证或其他工商等登记证明材料</w:t>
      </w:r>
      <w:r>
        <w:rPr>
          <w:rFonts w:ascii="仿宋" w:hAnsi="仿宋" w:eastAsia="仿宋" w:cs="仿宋"/>
        </w:rPr>
        <w:t>)</w:t>
      </w:r>
      <w:r>
        <w:rPr>
          <w:rFonts w:hint="eastAsia" w:ascii="仿宋" w:hAnsi="仿宋" w:eastAsia="仿宋" w:cs="仿宋"/>
        </w:rPr>
        <w:t>复印件（投标人为自然人的，提供</w:t>
      </w:r>
      <w:r>
        <w:rPr>
          <w:rFonts w:hint="eastAsia" w:ascii="仿宋" w:hAnsi="仿宋" w:eastAsia="仿宋" w:cs="仿宋"/>
          <w:kern w:val="0"/>
        </w:rPr>
        <w:t>自然人的身份证明</w:t>
      </w:r>
      <w:r>
        <w:rPr>
          <w:rFonts w:hint="eastAsia" w:ascii="仿宋" w:hAnsi="仿宋" w:eastAsia="仿宋" w:cs="仿宋"/>
        </w:rPr>
        <w:t>）；</w:t>
      </w:r>
    </w:p>
    <w:p>
      <w:pPr>
        <w:pStyle w:val="21"/>
        <w:spacing w:before="120" w:after="120" w:line="450" w:lineRule="exact"/>
        <w:ind w:firstLine="420" w:firstLineChars="200"/>
        <w:rPr>
          <w:rFonts w:ascii="仿宋" w:hAnsi="仿宋" w:eastAsia="仿宋" w:cs="仿宋"/>
        </w:rPr>
      </w:pPr>
      <w:r>
        <w:rPr>
          <w:rFonts w:hint="eastAsia" w:ascii="仿宋" w:hAnsi="仿宋" w:eastAsia="仿宋" w:cs="仿宋"/>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50" w:lineRule="exact"/>
        <w:ind w:firstLine="480" w:firstLineChars="200"/>
        <w:rPr>
          <w:rFonts w:ascii="仿宋" w:hAnsi="仿宋" w:eastAsia="仿宋" w:cs="仿宋"/>
          <w:sz w:val="24"/>
        </w:rPr>
      </w:pPr>
      <w:r>
        <w:rPr>
          <w:rFonts w:ascii="仿宋" w:hAnsi="仿宋" w:eastAsia="仿宋" w:cs="仿宋"/>
          <w:sz w:val="24"/>
        </w:rPr>
        <w:t xml:space="preserve">11.1.2 </w:t>
      </w:r>
      <w:r>
        <w:rPr>
          <w:rFonts w:hint="eastAsia" w:ascii="仿宋" w:hAnsi="仿宋" w:eastAsia="仿宋" w:cs="仿宋"/>
          <w:sz w:val="24"/>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sz w:val="24"/>
        </w:rPr>
        <w:t>投标文件中法人授权书所载内容与本项目内容有异的，投标无效。</w:t>
      </w:r>
    </w:p>
    <w:p>
      <w:pPr>
        <w:snapToGrid w:val="0"/>
        <w:spacing w:line="450" w:lineRule="exact"/>
        <w:ind w:firstLine="480" w:firstLineChars="200"/>
        <w:rPr>
          <w:rFonts w:ascii="仿宋" w:hAnsi="仿宋" w:eastAsia="仿宋" w:cs="仿宋"/>
          <w:sz w:val="24"/>
        </w:rPr>
      </w:pPr>
      <w:r>
        <w:rPr>
          <w:rFonts w:ascii="仿宋" w:hAnsi="仿宋" w:eastAsia="仿宋" w:cs="仿宋"/>
          <w:sz w:val="24"/>
        </w:rPr>
        <w:t xml:space="preserve">11.1.3 </w:t>
      </w:r>
      <w:r>
        <w:rPr>
          <w:rFonts w:hint="eastAsia" w:ascii="仿宋" w:hAnsi="仿宋" w:eastAsia="仿宋" w:cs="仿宋"/>
          <w:sz w:val="24"/>
        </w:rPr>
        <w:t>授权代表的身份证（复印件）；</w:t>
      </w:r>
    </w:p>
    <w:p>
      <w:pPr>
        <w:snapToGrid w:val="0"/>
        <w:spacing w:line="450" w:lineRule="exact"/>
        <w:ind w:firstLine="480" w:firstLineChars="200"/>
        <w:rPr>
          <w:rFonts w:ascii="仿宋" w:hAnsi="仿宋" w:eastAsia="仿宋" w:cs="仿宋"/>
          <w:sz w:val="24"/>
        </w:rPr>
      </w:pPr>
      <w:r>
        <w:rPr>
          <w:rFonts w:ascii="仿宋" w:hAnsi="仿宋" w:eastAsia="仿宋" w:cs="仿宋"/>
          <w:sz w:val="24"/>
        </w:rPr>
        <w:t xml:space="preserve">11.1.4 </w:t>
      </w:r>
      <w:r>
        <w:rPr>
          <w:rFonts w:hint="eastAsia" w:ascii="仿宋_GB2312" w:hAnsi="仿宋" w:eastAsia="仿宋_GB2312" w:cs="仿宋_GB2312"/>
          <w:sz w:val="24"/>
        </w:rPr>
        <w:t>符合参与政府采购活动的资格条件并且没有税收缴纳、社会保障等方面的失信记录的承诺函</w:t>
      </w:r>
      <w:r>
        <w:rPr>
          <w:rFonts w:hint="eastAsia" w:ascii="仿宋" w:hAnsi="仿宋" w:eastAsia="仿宋" w:cs="仿宋"/>
          <w:sz w:val="24"/>
        </w:rPr>
        <w:t>；</w:t>
      </w:r>
    </w:p>
    <w:p>
      <w:pPr>
        <w:pStyle w:val="21"/>
        <w:spacing w:before="120" w:after="120" w:line="450" w:lineRule="exact"/>
        <w:ind w:firstLine="420" w:firstLineChars="200"/>
        <w:rPr>
          <w:rFonts w:ascii="仿宋" w:hAnsi="仿宋" w:eastAsia="仿宋" w:cs="仿宋"/>
        </w:rPr>
      </w:pPr>
      <w:r>
        <w:rPr>
          <w:rFonts w:ascii="仿宋" w:hAnsi="仿宋" w:eastAsia="仿宋" w:cs="仿宋"/>
        </w:rPr>
        <w:t>11.1.5</w:t>
      </w:r>
      <w:r>
        <w:rPr>
          <w:rFonts w:hint="eastAsia" w:ascii="仿宋" w:hAnsi="仿宋" w:eastAsia="仿宋" w:cs="仿宋"/>
        </w:rPr>
        <w:t>具有履行合同所必需的设备和专业技术能力的承诺函；</w:t>
      </w:r>
    </w:p>
    <w:p>
      <w:pPr>
        <w:spacing w:line="450" w:lineRule="exact"/>
        <w:ind w:firstLine="480" w:firstLineChars="200"/>
        <w:rPr>
          <w:rFonts w:ascii="仿宋" w:hAnsi="仿宋" w:eastAsia="仿宋" w:cs="仿宋"/>
          <w:sz w:val="24"/>
        </w:rPr>
      </w:pPr>
      <w:r>
        <w:rPr>
          <w:rFonts w:ascii="仿宋" w:hAnsi="仿宋" w:eastAsia="仿宋" w:cs="仿宋"/>
          <w:sz w:val="24"/>
        </w:rPr>
        <w:t>11.1.6</w:t>
      </w:r>
      <w:r>
        <w:rPr>
          <w:rFonts w:hint="eastAsia" w:ascii="仿宋" w:hAnsi="仿宋" w:eastAsia="仿宋" w:cs="仿宋"/>
          <w:sz w:val="24"/>
        </w:rPr>
        <w:t>参加政府采购活动前三年内，在经营活动中没有重大违法记录的声明；</w:t>
      </w:r>
    </w:p>
    <w:p>
      <w:pPr>
        <w:pStyle w:val="21"/>
        <w:spacing w:before="120" w:after="120" w:line="450" w:lineRule="exact"/>
        <w:ind w:firstLine="420" w:firstLineChars="200"/>
        <w:rPr>
          <w:rFonts w:ascii="仿宋" w:hAnsi="仿宋" w:eastAsia="仿宋" w:cs="仿宋"/>
        </w:rPr>
      </w:pPr>
      <w:r>
        <w:rPr>
          <w:rFonts w:ascii="仿宋" w:hAnsi="仿宋" w:eastAsia="仿宋" w:cs="仿宋"/>
        </w:rPr>
        <w:t>11.1.7</w:t>
      </w:r>
      <w:r>
        <w:rPr>
          <w:rFonts w:hint="eastAsia" w:ascii="仿宋" w:hAnsi="仿宋" w:eastAsia="仿宋" w:cs="仿宋"/>
        </w:rPr>
        <w:t>具有良好商业信誉的特别声明；</w:t>
      </w:r>
    </w:p>
    <w:p>
      <w:pPr>
        <w:pStyle w:val="21"/>
        <w:spacing w:before="120" w:after="120" w:line="450" w:lineRule="exact"/>
        <w:ind w:firstLine="420" w:firstLineChars="200"/>
        <w:rPr>
          <w:rFonts w:ascii="仿宋" w:hAnsi="仿宋" w:eastAsia="仿宋" w:cs="仿宋"/>
        </w:rPr>
      </w:pPr>
      <w:r>
        <w:rPr>
          <w:rFonts w:ascii="仿宋" w:hAnsi="仿宋" w:eastAsia="仿宋" w:cs="仿宋"/>
        </w:rPr>
        <w:t>11.1.8</w:t>
      </w:r>
      <w:r>
        <w:rPr>
          <w:rFonts w:hint="eastAsia" w:ascii="仿宋" w:hAnsi="仿宋" w:eastAsia="仿宋" w:cs="仿宋"/>
        </w:rPr>
        <w:t>符合特定资格条件（如果项目要求）的有关证明材料（复印件）；</w:t>
      </w:r>
    </w:p>
    <w:p>
      <w:pPr>
        <w:pStyle w:val="21"/>
        <w:spacing w:before="120" w:after="120" w:line="450" w:lineRule="exact"/>
        <w:ind w:firstLine="420" w:firstLineChars="200"/>
        <w:rPr>
          <w:rFonts w:ascii="仿宋" w:hAnsi="仿宋" w:eastAsia="仿宋" w:cs="仿宋"/>
        </w:rPr>
      </w:pPr>
      <w:r>
        <w:rPr>
          <w:rFonts w:ascii="仿宋" w:hAnsi="仿宋" w:eastAsia="仿宋" w:cs="仿宋"/>
        </w:rPr>
        <w:t>11.1.9</w:t>
      </w:r>
      <w:r>
        <w:rPr>
          <w:rFonts w:hint="eastAsia" w:ascii="仿宋" w:hAnsi="仿宋" w:eastAsia="仿宋" w:cs="仿宋"/>
        </w:rPr>
        <w:t>以联合体形式投标的，提供联合体协议。</w:t>
      </w:r>
    </w:p>
    <w:p>
      <w:pPr>
        <w:spacing w:line="360" w:lineRule="auto"/>
        <w:ind w:firstLine="480" w:firstLineChars="200"/>
        <w:rPr>
          <w:rFonts w:ascii="仿宋_GB2312" w:hAnsi="仿宋" w:eastAsia="仿宋_GB2312"/>
          <w:sz w:val="24"/>
        </w:rPr>
      </w:pPr>
      <w:r>
        <w:rPr>
          <w:rFonts w:ascii="仿宋_GB2312" w:hAnsi="仿宋" w:eastAsia="仿宋_GB2312" w:cs="仿宋_GB2312"/>
          <w:sz w:val="24"/>
        </w:rPr>
        <w:t>11.1.10</w:t>
      </w:r>
      <w:r>
        <w:rPr>
          <w:rFonts w:hint="eastAsia" w:ascii="仿宋_GB2312" w:hAnsi="仿宋" w:eastAsia="仿宋_GB2312"/>
          <w:sz w:val="24"/>
        </w:rPr>
        <w:t>本项目专门面向中小企业，货物全部由符合政策要求的中小企业制造，提供中小企业声明函；</w:t>
      </w:r>
    </w:p>
    <w:p>
      <w:pPr>
        <w:snapToGrid w:val="0"/>
        <w:spacing w:line="450" w:lineRule="exact"/>
        <w:ind w:firstLine="480" w:firstLineChars="200"/>
        <w:rPr>
          <w:rFonts w:ascii="仿宋" w:hAnsi="仿宋" w:eastAsia="仿宋" w:cs="仿宋"/>
          <w:sz w:val="24"/>
          <w:u w:val="single"/>
          <w:lang w:val="zh-CN"/>
        </w:rPr>
      </w:pPr>
      <w:r>
        <w:rPr>
          <w:rFonts w:ascii="仿宋" w:hAnsi="仿宋" w:eastAsia="仿宋" w:cs="仿宋"/>
          <w:kern w:val="0"/>
          <w:sz w:val="24"/>
          <w:lang w:val="zh-CN"/>
        </w:rPr>
        <w:t xml:space="preserve">11.2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450" w:lineRule="exact"/>
        <w:ind w:firstLine="480" w:firstLineChars="200"/>
        <w:rPr>
          <w:rFonts w:ascii="仿宋" w:hAnsi="仿宋" w:eastAsia="仿宋" w:cs="仿宋"/>
          <w:sz w:val="24"/>
        </w:rPr>
      </w:pPr>
      <w:r>
        <w:rPr>
          <w:rFonts w:ascii="仿宋" w:hAnsi="仿宋" w:eastAsia="仿宋" w:cs="仿宋"/>
          <w:sz w:val="24"/>
        </w:rPr>
        <w:t>11.2.1</w:t>
      </w:r>
      <w:r>
        <w:rPr>
          <w:rFonts w:hint="eastAsia" w:ascii="仿宋" w:hAnsi="仿宋" w:eastAsia="仿宋" w:cs="仿宋"/>
          <w:kern w:val="0"/>
          <w:sz w:val="24"/>
        </w:rPr>
        <w:t>投标响应函</w:t>
      </w:r>
      <w:r>
        <w:rPr>
          <w:rFonts w:hint="eastAsia" w:ascii="仿宋" w:hAnsi="仿宋" w:eastAsia="仿宋" w:cs="仿宋"/>
          <w:sz w:val="24"/>
        </w:rPr>
        <w:t>；</w:t>
      </w:r>
    </w:p>
    <w:p>
      <w:pPr>
        <w:pStyle w:val="21"/>
        <w:snapToGrid w:val="0"/>
        <w:spacing w:before="120" w:after="120" w:line="450" w:lineRule="exact"/>
        <w:ind w:firstLine="420" w:firstLineChars="200"/>
        <w:rPr>
          <w:rFonts w:ascii="仿宋" w:hAnsi="仿宋" w:eastAsia="仿宋" w:cs="仿宋"/>
        </w:rPr>
      </w:pPr>
      <w:r>
        <w:rPr>
          <w:rFonts w:ascii="仿宋" w:hAnsi="仿宋" w:eastAsia="仿宋" w:cs="仿宋"/>
        </w:rPr>
        <w:t>11.2.2</w:t>
      </w:r>
      <w:r>
        <w:rPr>
          <w:rFonts w:hint="eastAsia" w:ascii="仿宋" w:hAnsi="仿宋" w:eastAsia="仿宋" w:cs="仿宋"/>
        </w:rPr>
        <w:t>投标</w:t>
      </w:r>
      <w:r>
        <w:rPr>
          <w:rFonts w:ascii="仿宋" w:hAnsi="仿宋" w:eastAsia="仿宋" w:cs="仿宋"/>
        </w:rPr>
        <w:t>(</w:t>
      </w:r>
      <w:r>
        <w:rPr>
          <w:rFonts w:hint="eastAsia" w:ascii="仿宋" w:hAnsi="仿宋" w:eastAsia="仿宋" w:cs="仿宋"/>
        </w:rPr>
        <w:t>开标</w:t>
      </w:r>
      <w:r>
        <w:rPr>
          <w:rFonts w:ascii="仿宋" w:hAnsi="仿宋" w:eastAsia="仿宋" w:cs="仿宋"/>
        </w:rPr>
        <w:t>)</w:t>
      </w:r>
      <w:r>
        <w:rPr>
          <w:rFonts w:hint="eastAsia" w:ascii="仿宋" w:hAnsi="仿宋" w:eastAsia="仿宋" w:cs="仿宋"/>
        </w:rPr>
        <w:t>一览表；</w:t>
      </w:r>
    </w:p>
    <w:p>
      <w:pPr>
        <w:pStyle w:val="21"/>
        <w:spacing w:before="120" w:after="120" w:line="450" w:lineRule="exact"/>
        <w:ind w:firstLine="420" w:firstLineChars="200"/>
        <w:rPr>
          <w:rFonts w:ascii="仿宋" w:hAnsi="仿宋" w:eastAsia="仿宋" w:cs="仿宋"/>
        </w:rPr>
      </w:pPr>
      <w:r>
        <w:rPr>
          <w:rFonts w:ascii="仿宋" w:hAnsi="仿宋" w:eastAsia="仿宋" w:cs="仿宋"/>
          <w:kern w:val="0"/>
        </w:rPr>
        <w:t xml:space="preserve">11.3  </w:t>
      </w:r>
      <w:r>
        <w:rPr>
          <w:rFonts w:hint="eastAsia" w:ascii="仿宋" w:hAnsi="仿宋" w:eastAsia="仿宋" w:cs="仿宋"/>
          <w:kern w:val="0"/>
        </w:rPr>
        <w:t>投标人的</w:t>
      </w:r>
      <w:r>
        <w:rPr>
          <w:rFonts w:hint="eastAsia" w:ascii="仿宋" w:hAnsi="仿宋" w:eastAsia="仿宋" w:cs="仿宋"/>
          <w:b/>
        </w:rPr>
        <w:t>商务技术</w:t>
      </w:r>
      <w:r>
        <w:rPr>
          <w:rFonts w:hint="eastAsia" w:ascii="仿宋" w:hAnsi="仿宋" w:eastAsia="仿宋" w:cs="仿宋"/>
          <w:b/>
          <w:kern w:val="0"/>
        </w:rPr>
        <w:t>文件应</w:t>
      </w:r>
      <w:r>
        <w:rPr>
          <w:rFonts w:hint="eastAsia" w:ascii="仿宋" w:hAnsi="仿宋" w:eastAsia="仿宋" w:cs="仿宋"/>
          <w:kern w:val="0"/>
        </w:rPr>
        <w:t>包括以下内容</w:t>
      </w:r>
      <w:r>
        <w:rPr>
          <w:rFonts w:hint="eastAsia" w:ascii="仿宋" w:hAnsi="仿宋" w:eastAsia="仿宋" w:cs="仿宋"/>
        </w:rPr>
        <w:t>（均需使用电子签名）</w:t>
      </w:r>
      <w:r>
        <w:rPr>
          <w:rFonts w:hint="eastAsia" w:ascii="仿宋" w:hAnsi="仿宋" w:eastAsia="仿宋" w:cs="仿宋"/>
          <w:kern w:val="0"/>
        </w:rPr>
        <w:t>：</w:t>
      </w:r>
    </w:p>
    <w:p>
      <w:pPr>
        <w:snapToGrid w:val="0"/>
        <w:spacing w:line="450" w:lineRule="exact"/>
        <w:ind w:firstLine="480" w:firstLineChars="200"/>
        <w:rPr>
          <w:rFonts w:ascii="仿宋" w:hAnsi="仿宋" w:eastAsia="仿宋" w:cs="仿宋"/>
          <w:sz w:val="24"/>
        </w:rPr>
      </w:pPr>
      <w:r>
        <w:rPr>
          <w:rFonts w:ascii="仿宋" w:hAnsi="仿宋" w:eastAsia="仿宋" w:cs="仿宋"/>
          <w:sz w:val="24"/>
          <w:lang w:val="zh-CN"/>
        </w:rPr>
        <w:t>11.3.1</w:t>
      </w:r>
      <w:r>
        <w:rPr>
          <w:rFonts w:hint="eastAsia" w:ascii="仿宋" w:hAnsi="仿宋" w:eastAsia="仿宋" w:cs="仿宋"/>
          <w:sz w:val="24"/>
        </w:rPr>
        <w:t>营业执照</w:t>
      </w:r>
      <w:r>
        <w:rPr>
          <w:rFonts w:ascii="仿宋" w:hAnsi="仿宋" w:eastAsia="仿宋" w:cs="仿宋"/>
          <w:sz w:val="24"/>
        </w:rPr>
        <w:t>(</w:t>
      </w:r>
      <w:r>
        <w:rPr>
          <w:rFonts w:hint="eastAsia" w:ascii="仿宋" w:hAnsi="仿宋" w:eastAsia="仿宋" w:cs="仿宋"/>
          <w:sz w:val="24"/>
        </w:rPr>
        <w:t>或事业法人登记证或其他工商等登记证明材料</w:t>
      </w:r>
      <w:r>
        <w:rPr>
          <w:rFonts w:ascii="仿宋" w:hAnsi="仿宋" w:eastAsia="仿宋" w:cs="仿宋"/>
          <w:sz w:val="24"/>
        </w:rPr>
        <w:t>)</w:t>
      </w:r>
      <w:r>
        <w:rPr>
          <w:rFonts w:hint="eastAsia" w:ascii="仿宋" w:hAnsi="仿宋" w:eastAsia="仿宋" w:cs="仿宋"/>
          <w:sz w:val="24"/>
        </w:rPr>
        <w:t>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p>
    <w:p>
      <w:pPr>
        <w:spacing w:line="450" w:lineRule="exact"/>
        <w:ind w:firstLine="480" w:firstLineChars="200"/>
        <w:rPr>
          <w:rFonts w:ascii="仿宋" w:hAnsi="仿宋" w:eastAsia="仿宋" w:cs="仿宋"/>
          <w:sz w:val="24"/>
        </w:rPr>
      </w:pPr>
      <w:r>
        <w:rPr>
          <w:rFonts w:ascii="仿宋" w:hAnsi="仿宋" w:eastAsia="仿宋" w:cs="仿宋"/>
          <w:sz w:val="24"/>
          <w:lang w:val="zh-CN"/>
        </w:rPr>
        <w:t>11.3.2</w:t>
      </w:r>
      <w:r>
        <w:rPr>
          <w:rFonts w:hint="eastAsia" w:ascii="仿宋" w:hAnsi="仿宋" w:eastAsia="仿宋" w:cs="仿宋"/>
          <w:sz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
          <w:b/>
          <w:sz w:val="24"/>
        </w:rPr>
        <w:t>▲如以联合体形式参加政府采购活动的，联合体协议不符合招标文件规定的联合体协议要求的，投标无效。</w:t>
      </w:r>
      <w:r>
        <w:rPr>
          <w:rFonts w:hint="eastAsia" w:ascii="仿宋" w:hAnsi="仿宋" w:eastAsia="仿宋" w:cs="仿宋"/>
          <w:sz w:val="24"/>
        </w:rPr>
        <w:t>）</w:t>
      </w:r>
    </w:p>
    <w:p>
      <w:pPr>
        <w:snapToGrid w:val="0"/>
        <w:spacing w:line="450" w:lineRule="exact"/>
        <w:ind w:firstLine="480" w:firstLineChars="200"/>
        <w:rPr>
          <w:rFonts w:ascii="仿宋" w:hAnsi="仿宋" w:eastAsia="仿宋" w:cs="仿宋"/>
          <w:sz w:val="24"/>
        </w:rPr>
      </w:pPr>
      <w:r>
        <w:rPr>
          <w:rFonts w:ascii="仿宋" w:hAnsi="仿宋" w:eastAsia="仿宋" w:cs="仿宋"/>
          <w:sz w:val="24"/>
          <w:lang w:val="zh-CN"/>
        </w:rPr>
        <w:t>11.3.</w:t>
      </w:r>
      <w:r>
        <w:rPr>
          <w:rFonts w:ascii="仿宋" w:hAnsi="仿宋" w:eastAsia="仿宋" w:cs="仿宋"/>
          <w:sz w:val="24"/>
        </w:rPr>
        <w:t>3</w:t>
      </w:r>
      <w:r>
        <w:rPr>
          <w:rFonts w:hint="eastAsia" w:ascii="仿宋" w:hAnsi="仿宋" w:eastAsia="仿宋" w:cs="仿宋"/>
          <w:sz w:val="24"/>
        </w:rPr>
        <w:t>资信文件：</w:t>
      </w:r>
      <w:r>
        <w:rPr>
          <w:rFonts w:hint="eastAsia" w:ascii="仿宋" w:hAnsi="仿宋" w:eastAsia="仿宋" w:cs="仿宋"/>
          <w:kern w:val="0"/>
          <w:sz w:val="24"/>
        </w:rPr>
        <w:t>见投标须知前附表所述；</w:t>
      </w:r>
    </w:p>
    <w:p>
      <w:pPr>
        <w:pStyle w:val="73"/>
        <w:snapToGrid w:val="0"/>
        <w:spacing w:before="202" w:line="450" w:lineRule="exact"/>
        <w:ind w:firstLine="440" w:firstLineChars="200"/>
        <w:rPr>
          <w:rFonts w:ascii="仿宋" w:hAnsi="仿宋" w:eastAsia="仿宋" w:cs="仿宋"/>
          <w:kern w:val="0"/>
          <w:szCs w:val="24"/>
          <w:lang w:val="zh-CN"/>
        </w:rPr>
      </w:pPr>
      <w:r>
        <w:rPr>
          <w:rFonts w:ascii="仿宋" w:hAnsi="仿宋" w:eastAsia="仿宋" w:cs="仿宋"/>
          <w:szCs w:val="24"/>
          <w:lang w:val="zh-CN"/>
        </w:rPr>
        <w:t>11.3.</w:t>
      </w:r>
      <w:r>
        <w:rPr>
          <w:rFonts w:ascii="仿宋" w:hAnsi="仿宋" w:eastAsia="仿宋" w:cs="仿宋"/>
          <w:szCs w:val="24"/>
        </w:rPr>
        <w:t>4</w:t>
      </w:r>
      <w:r>
        <w:rPr>
          <w:rFonts w:hint="eastAsia" w:ascii="仿宋" w:hAnsi="仿宋" w:eastAsia="仿宋" w:cs="仿宋"/>
          <w:kern w:val="0"/>
          <w:szCs w:val="24"/>
        </w:rPr>
        <w:t>投标截止时间前三年投标人的主要业绩证明材料即</w:t>
      </w:r>
      <w:r>
        <w:rPr>
          <w:rFonts w:hint="eastAsia" w:ascii="仿宋" w:hAnsi="仿宋" w:eastAsia="仿宋" w:cs="仿宋"/>
          <w:szCs w:val="24"/>
          <w:lang w:val="zh-CN"/>
        </w:rPr>
        <w:t>合同</w:t>
      </w:r>
      <w:r>
        <w:rPr>
          <w:rFonts w:hint="eastAsia" w:ascii="仿宋" w:hAnsi="仿宋" w:eastAsia="仿宋" w:cs="仿宋"/>
          <w:szCs w:val="24"/>
        </w:rPr>
        <w:t>和用户验收报告（联合体投标的，联合体各方</w:t>
      </w:r>
      <w:r>
        <w:rPr>
          <w:rFonts w:hint="eastAsia" w:ascii="仿宋" w:hAnsi="仿宋" w:eastAsia="仿宋" w:cs="仿宋"/>
          <w:kern w:val="0"/>
          <w:szCs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ascii="仿宋" w:hAnsi="仿宋" w:eastAsia="仿宋" w:cs="仿宋"/>
          <w:szCs w:val="24"/>
        </w:rPr>
        <w:t>)</w:t>
      </w:r>
      <w:r>
        <w:rPr>
          <w:rFonts w:hint="eastAsia" w:ascii="仿宋" w:hAnsi="仿宋" w:eastAsia="仿宋" w:cs="仿宋"/>
          <w:kern w:val="0"/>
          <w:szCs w:val="24"/>
        </w:rPr>
        <w:t>；</w:t>
      </w:r>
    </w:p>
    <w:p>
      <w:pPr>
        <w:snapToGrid w:val="0"/>
        <w:spacing w:line="450" w:lineRule="exact"/>
        <w:ind w:firstLine="540" w:firstLineChars="225"/>
        <w:rPr>
          <w:rFonts w:ascii="仿宋" w:hAnsi="仿宋" w:eastAsia="仿宋" w:cs="仿宋"/>
          <w:sz w:val="24"/>
        </w:rPr>
      </w:pPr>
      <w:r>
        <w:rPr>
          <w:rFonts w:ascii="仿宋" w:hAnsi="仿宋" w:eastAsia="仿宋" w:cs="仿宋"/>
          <w:sz w:val="24"/>
          <w:lang w:val="zh-CN"/>
        </w:rPr>
        <w:t>11.3.</w:t>
      </w:r>
      <w:r>
        <w:rPr>
          <w:rFonts w:ascii="仿宋" w:hAnsi="仿宋" w:eastAsia="仿宋" w:cs="仿宋"/>
          <w:sz w:val="24"/>
        </w:rPr>
        <w:t>5</w:t>
      </w:r>
      <w:r>
        <w:rPr>
          <w:rFonts w:hint="eastAsia" w:ascii="仿宋" w:hAnsi="仿宋" w:eastAsia="仿宋" w:cs="仿宋"/>
          <w:kern w:val="0"/>
          <w:sz w:val="24"/>
          <w:lang w:val="zh-CN"/>
        </w:rPr>
        <w:t>投标人认为需要的其他商务文件或说明；</w:t>
      </w:r>
    </w:p>
    <w:p>
      <w:pPr>
        <w:pStyle w:val="21"/>
        <w:snapToGrid w:val="0"/>
        <w:spacing w:before="120" w:after="120" w:line="450" w:lineRule="exact"/>
        <w:ind w:firstLine="420" w:firstLineChars="200"/>
        <w:rPr>
          <w:rFonts w:ascii="仿宋" w:hAnsi="仿宋" w:eastAsia="仿宋" w:cs="仿宋"/>
        </w:rPr>
      </w:pPr>
      <w:r>
        <w:rPr>
          <w:rFonts w:ascii="仿宋" w:hAnsi="仿宋" w:eastAsia="仿宋" w:cs="仿宋"/>
        </w:rPr>
        <w:t>11.3.6</w:t>
      </w:r>
      <w:r>
        <w:rPr>
          <w:rFonts w:hint="eastAsia" w:ascii="仿宋_GB2312" w:hAnsi="仿宋" w:eastAsia="仿宋_GB2312" w:cs="仿宋_GB2312"/>
          <w:sz w:val="24"/>
        </w:rPr>
        <w:t>投标人应提供针对项目的完整技术解决方案；</w:t>
      </w:r>
    </w:p>
    <w:p>
      <w:pPr>
        <w:pStyle w:val="21"/>
        <w:snapToGrid w:val="0"/>
        <w:spacing w:before="120" w:after="120" w:line="450" w:lineRule="exact"/>
        <w:ind w:firstLine="480" w:firstLineChars="200"/>
        <w:rPr>
          <w:rFonts w:ascii="仿宋" w:hAnsi="仿宋" w:eastAsia="仿宋" w:cs="仿宋_GB2312"/>
          <w:b/>
          <w:kern w:val="0"/>
        </w:rPr>
      </w:pPr>
      <w:r>
        <w:rPr>
          <w:rFonts w:hint="eastAsia" w:ascii="仿宋" w:hAnsi="仿宋" w:eastAsia="仿宋" w:cs="仿宋_GB2312"/>
          <w:sz w:val="24"/>
        </w:rPr>
        <w:t>针对本项目的完整技术解决方案和实施方案；详细阐述项目方案的实现思路及关键技术；符合本项目对当前和未来发展的要求；以及对功能设计和实施计划的建议；</w:t>
      </w:r>
    </w:p>
    <w:p>
      <w:pPr>
        <w:pStyle w:val="21"/>
        <w:snapToGrid w:val="0"/>
        <w:spacing w:before="120" w:after="120" w:line="360" w:lineRule="auto"/>
        <w:ind w:firstLine="482" w:firstLineChars="200"/>
        <w:rPr>
          <w:rFonts w:ascii="仿宋" w:hAnsi="仿宋" w:eastAsia="仿宋" w:cs="仿宋_GB2312"/>
          <w:sz w:val="24"/>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 w:hAnsi="仿宋" w:eastAsia="仿宋" w:cs="仿宋_GB2312"/>
          <w:b/>
          <w:kern w:val="0"/>
          <w:sz w:val="24"/>
        </w:rPr>
        <w:t>任何含糊不清的</w:t>
      </w:r>
      <w:r>
        <w:rPr>
          <w:rFonts w:hint="eastAsia" w:ascii="仿宋" w:hAnsi="仿宋" w:eastAsia="仿宋" w:cs="仿宋_GB2312"/>
          <w:b/>
          <w:sz w:val="24"/>
        </w:rPr>
        <w:t>表述导致</w:t>
      </w:r>
      <w:r>
        <w:rPr>
          <w:rFonts w:hint="eastAsia" w:ascii="仿宋" w:hAnsi="仿宋" w:eastAsia="仿宋" w:cs="仿宋_GB2312"/>
          <w:b/>
          <w:kern w:val="0"/>
          <w:sz w:val="24"/>
        </w:rPr>
        <w:t>评标委员会技术扣分直至认定为投标无效都将是投标人的责任</w:t>
      </w:r>
      <w:r>
        <w:rPr>
          <w:rFonts w:hint="eastAsia" w:ascii="仿宋" w:hAnsi="仿宋" w:eastAsia="仿宋" w:cs="仿宋_GB2312"/>
          <w:sz w:val="24"/>
        </w:rPr>
        <w:t>。</w:t>
      </w:r>
    </w:p>
    <w:p>
      <w:pPr>
        <w:pStyle w:val="21"/>
        <w:snapToGrid w:val="0"/>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投标人按格式提供节能产品、环境标志产品认证证书复印件；</w:t>
      </w:r>
    </w:p>
    <w:p>
      <w:pPr>
        <w:pStyle w:val="21"/>
        <w:snapToGrid w:val="0"/>
        <w:spacing w:before="120" w:after="120" w:line="450" w:lineRule="exact"/>
        <w:ind w:firstLine="420" w:firstLineChars="200"/>
        <w:rPr>
          <w:rFonts w:ascii="仿宋" w:hAnsi="仿宋" w:eastAsia="仿宋" w:cs="仿宋_GB2312"/>
          <w:kern w:val="0"/>
        </w:rPr>
      </w:pPr>
      <w:r>
        <w:rPr>
          <w:rFonts w:ascii="仿宋" w:hAnsi="仿宋" w:eastAsia="仿宋" w:cs="仿宋_GB2312"/>
        </w:rPr>
        <w:t>11.3.7</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rPr>
        <w:t>应对</w:t>
      </w:r>
      <w:r>
        <w:rPr>
          <w:rFonts w:hint="eastAsia" w:ascii="仿宋" w:hAnsi="仿宋" w:eastAsia="仿宋" w:cs="仿宋_GB2312"/>
          <w:sz w:val="24"/>
        </w:rPr>
        <w:t>采购需求</w:t>
      </w:r>
      <w:r>
        <w:rPr>
          <w:rFonts w:hint="eastAsia" w:ascii="仿宋" w:hAnsi="仿宋" w:eastAsia="仿宋" w:cs="仿宋_GB2312"/>
          <w:kern w:val="0"/>
          <w:sz w:val="24"/>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450" w:lineRule="exact"/>
        <w:ind w:firstLine="600" w:firstLineChars="250"/>
        <w:rPr>
          <w:rFonts w:ascii="仿宋" w:hAnsi="仿宋" w:eastAsia="仿宋" w:cs="仿宋_GB2312"/>
          <w:b/>
          <w:kern w:val="0"/>
          <w:sz w:val="24"/>
          <w:lang w:val="zh-CN"/>
        </w:rPr>
      </w:pPr>
      <w:r>
        <w:rPr>
          <w:rFonts w:ascii="仿宋" w:hAnsi="仿宋" w:eastAsia="仿宋" w:cs="仿宋_GB2312"/>
          <w:sz w:val="24"/>
          <w:lang w:val="zh-CN"/>
        </w:rPr>
        <w:t>11.3.8</w:t>
      </w:r>
      <w:r>
        <w:rPr>
          <w:rFonts w:hint="eastAsia" w:ascii="仿宋" w:hAnsi="仿宋" w:eastAsia="仿宋" w:cs="仿宋_GB2312"/>
          <w:kern w:val="0"/>
          <w:sz w:val="24"/>
          <w:lang w:val="zh-CN"/>
        </w:rPr>
        <w:t>针对本项目建设的详细实施计划。本项目详细工作实施组织方案，包括</w:t>
      </w:r>
      <w:r>
        <w:rPr>
          <w:rFonts w:ascii="仿宋" w:hAnsi="仿宋" w:eastAsia="仿宋" w:cs="仿宋_GB2312"/>
          <w:kern w:val="0"/>
          <w:sz w:val="24"/>
          <w:lang w:val="zh-CN"/>
        </w:rPr>
        <w:t>(</w:t>
      </w:r>
      <w:r>
        <w:rPr>
          <w:rFonts w:hint="eastAsia" w:ascii="仿宋" w:hAnsi="仿宋" w:eastAsia="仿宋" w:cs="仿宋_GB2312"/>
          <w:kern w:val="0"/>
          <w:sz w:val="24"/>
          <w:lang w:val="zh-CN"/>
        </w:rPr>
        <w:t>但不限于</w:t>
      </w:r>
      <w:r>
        <w:rPr>
          <w:rFonts w:ascii="仿宋" w:hAnsi="仿宋" w:eastAsia="仿宋" w:cs="仿宋_GB2312"/>
          <w:kern w:val="0"/>
          <w:sz w:val="24"/>
          <w:lang w:val="zh-CN"/>
        </w:rPr>
        <w:t>)</w:t>
      </w:r>
      <w:r>
        <w:rPr>
          <w:rFonts w:hint="eastAsia" w:ascii="仿宋" w:hAnsi="仿宋" w:eastAsia="仿宋" w:cs="仿宋_GB2312"/>
          <w:kern w:val="0"/>
          <w:sz w:val="24"/>
          <w:lang w:val="zh-CN"/>
        </w:rPr>
        <w:t>以下内容：组织机构、工作时间进度表、工作程序和步骤、管理和协调方法、关键步骤的思路和要点；</w:t>
      </w:r>
    </w:p>
    <w:p>
      <w:pPr>
        <w:snapToGrid w:val="0"/>
        <w:spacing w:line="450" w:lineRule="exact"/>
        <w:ind w:firstLine="360" w:firstLineChars="150"/>
        <w:rPr>
          <w:rFonts w:ascii="仿宋" w:hAnsi="仿宋" w:eastAsia="仿宋" w:cs="仿宋_GB2312"/>
          <w:kern w:val="0"/>
          <w:sz w:val="24"/>
          <w:lang w:val="zh-CN"/>
        </w:rPr>
      </w:pPr>
      <w:r>
        <w:rPr>
          <w:rFonts w:ascii="仿宋" w:hAnsi="仿宋" w:eastAsia="仿宋" w:cs="仿宋_GB2312"/>
          <w:sz w:val="24"/>
          <w:lang w:val="zh-CN"/>
        </w:rPr>
        <w:t xml:space="preserve">  11.3.9</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w:t>
      </w:r>
      <w:r>
        <w:rPr>
          <w:rFonts w:ascii="仿宋" w:hAnsi="仿宋" w:eastAsia="仿宋" w:cs="仿宋_GB2312"/>
          <w:kern w:val="0"/>
          <w:sz w:val="24"/>
          <w:lang w:val="zh-CN"/>
        </w:rPr>
        <w:t>(</w:t>
      </w:r>
      <w:r>
        <w:rPr>
          <w:rFonts w:hint="eastAsia" w:ascii="仿宋" w:hAnsi="仿宋" w:eastAsia="仿宋" w:cs="仿宋_GB2312"/>
          <w:kern w:val="0"/>
          <w:sz w:val="24"/>
          <w:lang w:val="zh-CN"/>
        </w:rPr>
        <w:t>范围、标准及期限等</w:t>
      </w:r>
      <w:r>
        <w:rPr>
          <w:rFonts w:ascii="仿宋" w:hAnsi="仿宋" w:eastAsia="仿宋" w:cs="仿宋_GB2312"/>
          <w:kern w:val="0"/>
          <w:sz w:val="24"/>
          <w:lang w:val="zh-CN"/>
        </w:rPr>
        <w:t>)</w:t>
      </w:r>
      <w:r>
        <w:rPr>
          <w:rFonts w:hint="eastAsia" w:ascii="仿宋" w:hAnsi="仿宋" w:eastAsia="仿宋" w:cs="仿宋_GB2312"/>
          <w:kern w:val="0"/>
          <w:sz w:val="24"/>
          <w:lang w:val="zh-CN"/>
        </w:rPr>
        <w:t>、投标人可能增加的服务承诺等。并明示服务承诺可能涉及的前提设定和费用，否则将被认为是无条件和免费的。承诺质保期内均提供免费上门服务；</w:t>
      </w:r>
    </w:p>
    <w:p>
      <w:pPr>
        <w:snapToGrid w:val="0"/>
        <w:spacing w:line="450" w:lineRule="exact"/>
        <w:ind w:firstLine="360" w:firstLineChars="150"/>
        <w:rPr>
          <w:rFonts w:ascii="仿宋" w:hAnsi="仿宋" w:eastAsia="仿宋" w:cs="仿宋_GB2312"/>
          <w:kern w:val="0"/>
          <w:sz w:val="24"/>
          <w:lang w:val="zh-CN"/>
        </w:rPr>
      </w:pPr>
      <w:r>
        <w:rPr>
          <w:rFonts w:ascii="仿宋" w:hAnsi="仿宋" w:eastAsia="仿宋" w:cs="仿宋_GB2312"/>
          <w:sz w:val="24"/>
          <w:lang w:val="zh-CN"/>
        </w:rPr>
        <w:t xml:space="preserve">  11.3.10</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w:t>
      </w:r>
      <w:r>
        <w:rPr>
          <w:rFonts w:ascii="仿宋" w:hAnsi="仿宋" w:eastAsia="仿宋" w:cs="仿宋_GB2312"/>
          <w:kern w:val="0"/>
          <w:sz w:val="24"/>
          <w:lang w:val="zh-CN"/>
        </w:rPr>
        <w:t>(</w:t>
      </w:r>
      <w:r>
        <w:rPr>
          <w:rFonts w:hint="eastAsia" w:ascii="仿宋" w:hAnsi="仿宋" w:eastAsia="仿宋" w:cs="仿宋_GB2312"/>
          <w:kern w:val="0"/>
          <w:sz w:val="24"/>
          <w:lang w:val="zh-CN"/>
        </w:rPr>
        <w:t>包括从事相关项目的经验，对每一个项目有一个简要的描述，该人员参与的时间以及在项目中的责任</w:t>
      </w:r>
      <w:r>
        <w:rPr>
          <w:rFonts w:ascii="仿宋" w:hAnsi="仿宋" w:eastAsia="仿宋" w:cs="仿宋_GB2312"/>
          <w:kern w:val="0"/>
          <w:sz w:val="24"/>
          <w:lang w:val="zh-CN"/>
        </w:rPr>
        <w:t>)</w:t>
      </w:r>
      <w:r>
        <w:rPr>
          <w:rFonts w:hint="eastAsia" w:ascii="仿宋" w:hAnsi="仿宋" w:eastAsia="仿宋" w:cs="仿宋_GB2312"/>
          <w:kern w:val="0"/>
          <w:sz w:val="24"/>
          <w:lang w:val="zh-CN"/>
        </w:rPr>
        <w:t>，资质情况等；</w:t>
      </w:r>
    </w:p>
    <w:p>
      <w:pPr>
        <w:tabs>
          <w:tab w:val="left" w:pos="0"/>
          <w:tab w:val="left" w:pos="840"/>
        </w:tabs>
        <w:autoSpaceDE w:val="0"/>
        <w:autoSpaceDN w:val="0"/>
        <w:spacing w:line="450" w:lineRule="exact"/>
        <w:ind w:firstLine="360" w:firstLineChars="150"/>
        <w:rPr>
          <w:rFonts w:ascii="仿宋" w:hAnsi="仿宋" w:eastAsia="仿宋" w:cs="仿宋_GB2312"/>
          <w:kern w:val="0"/>
          <w:sz w:val="24"/>
          <w:lang w:val="zh-CN"/>
        </w:rPr>
      </w:pPr>
      <w:r>
        <w:rPr>
          <w:rFonts w:ascii="仿宋" w:hAnsi="仿宋" w:eastAsia="仿宋" w:cs="仿宋_GB2312"/>
          <w:sz w:val="24"/>
          <w:lang w:val="zh-CN"/>
        </w:rPr>
        <w:t xml:space="preserve">  11.3.11</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kern w:val="0"/>
          <w:sz w:val="24"/>
          <w:lang w:val="zh-CN"/>
        </w:rPr>
      </w:pPr>
      <w:r>
        <w:rPr>
          <w:rFonts w:ascii="仿宋" w:hAnsi="仿宋" w:eastAsia="仿宋" w:cs="仿宋_GB2312"/>
          <w:sz w:val="24"/>
          <w:lang w:val="zh-CN"/>
        </w:rPr>
        <w:t xml:space="preserve">  11.3.12</w:t>
      </w:r>
      <w:r>
        <w:rPr>
          <w:rFonts w:hint="eastAsia" w:ascii="仿宋" w:hAnsi="仿宋" w:eastAsia="仿宋"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 w:hAnsi="仿宋" w:eastAsia="仿宋" w:cs="仿宋_GB2312"/>
          <w:kern w:val="0"/>
          <w:sz w:val="24"/>
          <w:lang w:val="zh-CN"/>
        </w:rPr>
      </w:pPr>
      <w:r>
        <w:rPr>
          <w:rFonts w:ascii="仿宋" w:hAnsi="仿宋" w:eastAsia="仿宋" w:cs="仿宋_GB2312"/>
          <w:sz w:val="24"/>
          <w:lang w:val="zh-CN"/>
        </w:rPr>
        <w:t xml:space="preserve"> 11.3.13</w:t>
      </w:r>
      <w:r>
        <w:rPr>
          <w:rFonts w:hint="eastAsia" w:ascii="仿宋" w:hAnsi="仿宋" w:eastAsia="仿宋" w:cs="仿宋_GB2312"/>
          <w:kern w:val="0"/>
          <w:sz w:val="24"/>
          <w:lang w:val="zh-CN"/>
        </w:rPr>
        <w:t>培训计划；（如果有）</w:t>
      </w:r>
    </w:p>
    <w:p>
      <w:pPr>
        <w:pStyle w:val="21"/>
        <w:spacing w:before="120" w:after="120" w:line="360" w:lineRule="auto"/>
        <w:ind w:firstLine="480" w:firstLineChars="200"/>
        <w:rPr>
          <w:rFonts w:ascii="仿宋" w:hAnsi="仿宋" w:eastAsia="仿宋" w:cs="仿宋_GB2312"/>
          <w:kern w:val="0"/>
          <w:sz w:val="24"/>
          <w:szCs w:val="24"/>
        </w:rPr>
      </w:pPr>
      <w:r>
        <w:rPr>
          <w:rFonts w:ascii="仿宋" w:hAnsi="仿宋" w:eastAsia="仿宋" w:cs="仿宋_GB2312"/>
          <w:sz w:val="24"/>
        </w:rPr>
        <w:t>11.3.14</w:t>
      </w:r>
      <w:r>
        <w:rPr>
          <w:rFonts w:hint="eastAsia" w:ascii="仿宋" w:hAnsi="仿宋" w:eastAsia="仿宋" w:cs="仿宋_GB2312"/>
          <w:kern w:val="0"/>
          <w:sz w:val="24"/>
          <w:szCs w:val="24"/>
        </w:rPr>
        <w:t>投标人认为需要的其他技术文件或说明；</w:t>
      </w:r>
    </w:p>
    <w:p>
      <w:pPr>
        <w:tabs>
          <w:tab w:val="left" w:pos="0"/>
        </w:tabs>
        <w:autoSpaceDE w:val="0"/>
        <w:autoSpaceDN w:val="0"/>
        <w:spacing w:line="360" w:lineRule="auto"/>
        <w:ind w:firstLine="360" w:firstLineChars="150"/>
        <w:rPr>
          <w:rFonts w:ascii="仿宋" w:hAnsi="仿宋" w:eastAsia="仿宋" w:cs="仿宋_GB2312"/>
          <w:kern w:val="0"/>
          <w:sz w:val="24"/>
          <w:lang w:val="zh-CN"/>
        </w:rPr>
      </w:pPr>
      <w:r>
        <w:rPr>
          <w:rFonts w:ascii="仿宋" w:hAnsi="仿宋" w:eastAsia="仿宋" w:cs="仿宋_GB2312"/>
          <w:sz w:val="24"/>
          <w:lang w:val="zh-CN"/>
        </w:rPr>
        <w:t>11.3.15</w:t>
      </w:r>
      <w:r>
        <w:rPr>
          <w:rFonts w:hint="eastAsia" w:ascii="仿宋" w:hAnsi="仿宋" w:eastAsia="仿宋"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ascii="仿宋" w:hAnsi="仿宋" w:eastAsia="仿宋" w:cs="仿宋_GB2312"/>
          <w:kern w:val="0"/>
          <w:sz w:val="24"/>
          <w:lang w:val="zh-CN"/>
        </w:rPr>
      </w:pPr>
      <w:r>
        <w:rPr>
          <w:rFonts w:ascii="仿宋" w:hAnsi="仿宋" w:eastAsia="仿宋" w:cs="仿宋_GB2312"/>
          <w:kern w:val="0"/>
          <w:sz w:val="24"/>
        </w:rPr>
        <w:t>11.3.16</w:t>
      </w:r>
      <w:r>
        <w:rPr>
          <w:rFonts w:hint="eastAsia" w:ascii="仿宋" w:hAnsi="仿宋" w:eastAsia="仿宋" w:cs="仿宋_GB2312"/>
          <w:kern w:val="0"/>
          <w:sz w:val="24"/>
          <w:lang w:val="zh-CN"/>
        </w:rPr>
        <w:t>政府采购供应商廉洁自律承诺书；</w:t>
      </w:r>
    </w:p>
    <w:p>
      <w:pPr>
        <w:tabs>
          <w:tab w:val="left" w:pos="0"/>
        </w:tabs>
        <w:autoSpaceDE w:val="0"/>
        <w:autoSpaceDN w:val="0"/>
        <w:spacing w:line="360" w:lineRule="auto"/>
        <w:ind w:firstLine="360" w:firstLineChars="150"/>
        <w:rPr>
          <w:rFonts w:ascii="仿宋" w:hAnsi="仿宋" w:eastAsia="仿宋" w:cs="仿宋_GB2312"/>
          <w:kern w:val="0"/>
          <w:sz w:val="24"/>
        </w:rPr>
      </w:pPr>
      <w:r>
        <w:rPr>
          <w:rFonts w:ascii="仿宋" w:hAnsi="仿宋" w:eastAsia="仿宋" w:cs="仿宋_GB2312"/>
          <w:kern w:val="0"/>
          <w:sz w:val="24"/>
        </w:rPr>
        <w:t>11.3.17</w:t>
      </w:r>
      <w:r>
        <w:rPr>
          <w:rFonts w:hint="eastAsia" w:ascii="仿宋" w:hAnsi="仿宋" w:eastAsia="仿宋" w:cs="仿宋_GB2312"/>
          <w:kern w:val="0"/>
          <w:sz w:val="24"/>
          <w:lang w:val="zh-CN"/>
        </w:rPr>
        <w:t>廉政承诺书。</w:t>
      </w:r>
    </w:p>
    <w:p>
      <w:pPr>
        <w:snapToGrid w:val="0"/>
        <w:spacing w:line="360" w:lineRule="auto"/>
        <w:ind w:firstLine="361"/>
        <w:rPr>
          <w:rFonts w:ascii="仿宋" w:hAnsi="仿宋" w:eastAsia="仿宋" w:cs="仿宋"/>
          <w:b/>
          <w:sz w:val="24"/>
        </w:rPr>
      </w:pPr>
      <w:r>
        <w:rPr>
          <w:rFonts w:hint="eastAsia" w:ascii="仿宋" w:hAnsi="仿宋" w:eastAsia="仿宋" w:cs="仿宋"/>
          <w:b/>
          <w:sz w:val="24"/>
        </w:rPr>
        <w:t>▲投标文件组成漏项，内容不全或内容字迹模糊辨认不清的，投标无效；</w:t>
      </w:r>
    </w:p>
    <w:p>
      <w:pPr>
        <w:snapToGrid w:val="0"/>
        <w:spacing w:line="360" w:lineRule="auto"/>
        <w:ind w:firstLine="361"/>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napToGrid w:val="0"/>
        <w:spacing w:line="360" w:lineRule="auto"/>
        <w:ind w:firstLine="361"/>
        <w:rPr>
          <w:rFonts w:ascii="仿宋" w:hAnsi="仿宋" w:eastAsia="仿宋" w:cs="仿宋"/>
          <w:b/>
          <w:sz w:val="24"/>
        </w:rPr>
      </w:pPr>
      <w:r>
        <w:rPr>
          <w:rFonts w:hint="eastAsia" w:ascii="仿宋" w:hAnsi="仿宋" w:eastAsia="仿宋" w:cs="仿宋"/>
          <w:b/>
          <w:sz w:val="24"/>
        </w:rPr>
        <w:t>▲投标人提供虚假材料投标的，投标无效。</w:t>
      </w:r>
    </w:p>
    <w:p>
      <w:pPr>
        <w:snapToGrid w:val="0"/>
        <w:spacing w:line="360" w:lineRule="auto"/>
        <w:rPr>
          <w:rFonts w:ascii="仿宋" w:hAnsi="仿宋" w:eastAsia="仿宋"/>
        </w:rPr>
      </w:pPr>
      <w:r>
        <w:rPr>
          <w:rFonts w:ascii="仿宋" w:hAnsi="仿宋" w:eastAsia="仿宋" w:cs="仿宋"/>
          <w:b/>
          <w:sz w:val="24"/>
        </w:rPr>
        <w:t>12</w:t>
      </w:r>
      <w:r>
        <w:rPr>
          <w:rFonts w:ascii="仿宋" w:hAnsi="仿宋" w:eastAsia="仿宋" w:cs="仿宋"/>
          <w:b/>
          <w:kern w:val="0"/>
          <w:sz w:val="24"/>
          <w:lang w:val="zh-CN"/>
        </w:rPr>
        <w:t xml:space="preserve">. </w:t>
      </w:r>
      <w:r>
        <w:rPr>
          <w:rFonts w:hint="eastAsia" w:ascii="仿宋" w:hAnsi="仿宋" w:eastAsia="仿宋" w:cs="仿宋"/>
          <w:b/>
          <w:sz w:val="24"/>
        </w:rPr>
        <w:t>投标文件的编制</w:t>
      </w:r>
    </w:p>
    <w:p>
      <w:pPr>
        <w:snapToGrid w:val="0"/>
        <w:spacing w:line="360" w:lineRule="auto"/>
        <w:ind w:firstLine="420"/>
        <w:rPr>
          <w:rFonts w:ascii="仿宋" w:hAnsi="仿宋" w:eastAsia="仿宋" w:cs="仿宋"/>
          <w:kern w:val="0"/>
          <w:sz w:val="24"/>
          <w:lang w:val="zh-CN"/>
        </w:rPr>
      </w:pPr>
      <w:r>
        <w:rPr>
          <w:rFonts w:ascii="仿宋" w:hAnsi="仿宋" w:eastAsia="仿宋" w:cs="仿宋"/>
          <w:kern w:val="0"/>
          <w:sz w:val="24"/>
          <w:lang w:val="zh-CN"/>
        </w:rPr>
        <w:t>12.1</w:t>
      </w:r>
      <w:r>
        <w:rPr>
          <w:rFonts w:hint="eastAsia" w:ascii="仿宋" w:hAnsi="仿宋" w:eastAsia="仿宋" w:cs="仿宋"/>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60" w:lineRule="auto"/>
        <w:ind w:firstLine="422"/>
        <w:rPr>
          <w:rFonts w:ascii="仿宋" w:hAnsi="仿宋" w:eastAsia="仿宋" w:cs="仿宋"/>
          <w:b/>
          <w:sz w:val="24"/>
        </w:rPr>
      </w:pPr>
      <w:r>
        <w:rPr>
          <w:rFonts w:hint="eastAsia" w:ascii="仿宋" w:hAnsi="仿宋" w:eastAsia="仿宋" w:cs="仿宋"/>
          <w:b/>
          <w:sz w:val="24"/>
        </w:rPr>
        <w:t>▲投标文件未按规定的格式编制的，投标无效；</w:t>
      </w:r>
    </w:p>
    <w:p>
      <w:pPr>
        <w:snapToGrid w:val="0"/>
        <w:spacing w:line="360" w:lineRule="auto"/>
        <w:ind w:firstLine="422"/>
        <w:rPr>
          <w:rFonts w:ascii="仿宋" w:hAnsi="仿宋" w:eastAsia="仿宋" w:cs="仿宋"/>
          <w:b/>
          <w:kern w:val="0"/>
          <w:sz w:val="24"/>
          <w:lang w:val="zh-CN"/>
        </w:rPr>
      </w:pPr>
      <w:r>
        <w:rPr>
          <w:rFonts w:ascii="仿宋" w:hAnsi="仿宋" w:eastAsia="仿宋" w:cs="仿宋"/>
          <w:b/>
          <w:kern w:val="0"/>
          <w:sz w:val="24"/>
          <w:lang w:val="zh-CN"/>
        </w:rPr>
        <w:t>12.2</w:t>
      </w:r>
      <w:r>
        <w:rPr>
          <w:rFonts w:hint="eastAsia" w:ascii="仿宋" w:hAnsi="仿宋" w:eastAsia="仿宋" w:cs="仿宋"/>
          <w:b/>
          <w:kern w:val="0"/>
          <w:sz w:val="24"/>
          <w:lang w:val="zh-CN"/>
        </w:rPr>
        <w:t>投标人进行电子投标应安装客户端软件</w:t>
      </w:r>
      <w:r>
        <w:rPr>
          <w:rFonts w:ascii="仿宋" w:hAnsi="仿宋" w:eastAsia="仿宋" w:cs="仿宋"/>
          <w:b/>
          <w:kern w:val="0"/>
          <w:sz w:val="24"/>
          <w:lang w:val="zh-CN"/>
        </w:rPr>
        <w:t>—</w:t>
      </w:r>
      <w:r>
        <w:rPr>
          <w:rFonts w:hint="eastAsia" w:ascii="仿宋" w:hAnsi="仿宋" w:eastAsia="仿宋" w:cs="仿宋"/>
          <w:b/>
          <w:kern w:val="0"/>
          <w:sz w:val="24"/>
          <w:lang w:val="zh-CN"/>
        </w:rPr>
        <w:t>“政采云电子交易客户端”，并按照招标文件和电子交易平台的要求编制并加密投标文件。投标人未按规定加密的投标文件，电子交易平台将拒收并提示。</w:t>
      </w:r>
    </w:p>
    <w:p>
      <w:pPr>
        <w:snapToGrid w:val="0"/>
        <w:spacing w:line="360" w:lineRule="auto"/>
        <w:ind w:firstLine="422"/>
        <w:rPr>
          <w:rFonts w:ascii="仿宋" w:hAnsi="仿宋" w:eastAsia="仿宋" w:cs="仿宋"/>
          <w:b/>
          <w:kern w:val="0"/>
          <w:sz w:val="24"/>
          <w:lang w:val="zh-CN"/>
        </w:rPr>
      </w:pPr>
      <w:r>
        <w:rPr>
          <w:rFonts w:ascii="仿宋" w:hAnsi="仿宋" w:eastAsia="仿宋" w:cs="仿宋"/>
          <w:b/>
          <w:kern w:val="0"/>
          <w:sz w:val="24"/>
          <w:lang w:val="zh-CN"/>
        </w:rPr>
        <w:t>12.3</w:t>
      </w:r>
      <w:r>
        <w:rPr>
          <w:rFonts w:hint="eastAsia" w:ascii="仿宋" w:hAnsi="仿宋" w:eastAsia="仿宋" w:cs="仿宋"/>
          <w:b/>
          <w:kern w:val="0"/>
          <w:sz w:val="24"/>
          <w:lang w:val="zh-CN"/>
        </w:rPr>
        <w:t>使用“政采云电子交易客户端”需要提前申领</w:t>
      </w:r>
      <w:r>
        <w:rPr>
          <w:rFonts w:ascii="仿宋" w:hAnsi="仿宋" w:eastAsia="仿宋" w:cs="仿宋"/>
          <w:b/>
          <w:kern w:val="0"/>
          <w:sz w:val="24"/>
          <w:lang w:val="zh-CN"/>
        </w:rPr>
        <w:t>CA</w:t>
      </w:r>
      <w:r>
        <w:rPr>
          <w:rFonts w:hint="eastAsia" w:ascii="仿宋" w:hAnsi="仿宋" w:eastAsia="仿宋" w:cs="仿宋"/>
          <w:b/>
          <w:kern w:val="0"/>
          <w:sz w:val="24"/>
          <w:lang w:val="zh-CN"/>
        </w:rPr>
        <w:t>数字证书，申领流程请自行前往“浙江政府采购网</w:t>
      </w:r>
      <w:r>
        <w:rPr>
          <w:rFonts w:ascii="仿宋" w:hAnsi="仿宋" w:eastAsia="仿宋" w:cs="仿宋"/>
          <w:b/>
          <w:kern w:val="0"/>
          <w:sz w:val="24"/>
          <w:lang w:val="zh-CN"/>
        </w:rPr>
        <w:t>-</w:t>
      </w:r>
      <w:r>
        <w:rPr>
          <w:rFonts w:hint="eastAsia" w:ascii="仿宋" w:hAnsi="仿宋" w:eastAsia="仿宋" w:cs="仿宋"/>
          <w:b/>
          <w:kern w:val="0"/>
          <w:sz w:val="24"/>
          <w:lang w:val="zh-CN"/>
        </w:rPr>
        <w:t>下载专区</w:t>
      </w:r>
      <w:r>
        <w:rPr>
          <w:rFonts w:ascii="仿宋" w:hAnsi="仿宋" w:eastAsia="仿宋" w:cs="仿宋"/>
          <w:b/>
          <w:kern w:val="0"/>
          <w:sz w:val="24"/>
          <w:lang w:val="zh-CN"/>
        </w:rPr>
        <w:t>-</w:t>
      </w:r>
      <w:r>
        <w:rPr>
          <w:rFonts w:hint="eastAsia" w:ascii="仿宋" w:hAnsi="仿宋" w:eastAsia="仿宋" w:cs="仿宋"/>
          <w:b/>
          <w:kern w:val="0"/>
          <w:sz w:val="24"/>
          <w:lang w:val="zh-CN"/>
        </w:rPr>
        <w:t>电子交易客户端</w:t>
      </w:r>
      <w:r>
        <w:rPr>
          <w:rFonts w:ascii="仿宋" w:hAnsi="仿宋" w:eastAsia="仿宋" w:cs="仿宋"/>
          <w:b/>
          <w:kern w:val="0"/>
          <w:sz w:val="24"/>
          <w:lang w:val="zh-CN"/>
        </w:rPr>
        <w:t>-CA</w:t>
      </w:r>
      <w:r>
        <w:rPr>
          <w:rFonts w:hint="eastAsia" w:ascii="仿宋" w:hAnsi="仿宋" w:eastAsia="仿宋" w:cs="仿宋"/>
          <w:b/>
          <w:kern w:val="0"/>
          <w:sz w:val="24"/>
          <w:lang w:val="zh-CN"/>
        </w:rPr>
        <w:t>驱动和申领流程”进行查阅。</w:t>
      </w:r>
    </w:p>
    <w:p>
      <w:pPr>
        <w:snapToGrid w:val="0"/>
        <w:spacing w:line="360" w:lineRule="auto"/>
        <w:rPr>
          <w:rFonts w:ascii="仿宋" w:hAnsi="仿宋" w:eastAsia="仿宋" w:cs="仿宋"/>
          <w:b/>
          <w:sz w:val="24"/>
        </w:rPr>
      </w:pPr>
      <w:r>
        <w:rPr>
          <w:rFonts w:ascii="仿宋" w:hAnsi="仿宋" w:eastAsia="仿宋" w:cs="仿宋"/>
          <w:b/>
          <w:sz w:val="24"/>
        </w:rPr>
        <w:t>13.</w:t>
      </w:r>
      <w:r>
        <w:rPr>
          <w:rFonts w:hint="eastAsia" w:ascii="仿宋" w:hAnsi="仿宋" w:eastAsia="仿宋" w:cs="仿宋"/>
          <w:b/>
          <w:sz w:val="24"/>
        </w:rPr>
        <w:t>投标文件的签署、盖章</w:t>
      </w:r>
    </w:p>
    <w:p>
      <w:pPr>
        <w:pStyle w:val="73"/>
        <w:snapToGrid w:val="0"/>
        <w:spacing w:beforeLines="0"/>
        <w:ind w:firstLine="480"/>
        <w:rPr>
          <w:rFonts w:ascii="仿宋" w:hAnsi="仿宋" w:eastAsia="仿宋"/>
        </w:rPr>
      </w:pPr>
      <w:r>
        <w:rPr>
          <w:rFonts w:ascii="仿宋" w:hAnsi="仿宋" w:eastAsia="仿宋" w:cs="仿宋"/>
          <w:szCs w:val="24"/>
        </w:rPr>
        <w:t>13.1</w:t>
      </w:r>
      <w:r>
        <w:rPr>
          <w:rFonts w:hint="eastAsia" w:ascii="仿宋" w:hAnsi="仿宋" w:eastAsia="仿宋" w:cs="仿宋"/>
          <w:szCs w:val="24"/>
        </w:rPr>
        <w:t>投标文件按照招标文件第六部分格式要</w:t>
      </w:r>
      <w:r>
        <w:rPr>
          <w:rFonts w:hint="eastAsia" w:ascii="仿宋" w:hAnsi="仿宋" w:eastAsia="仿宋" w:cs="仿宋"/>
        </w:rPr>
        <w:t>求进行签署、盖章。</w:t>
      </w:r>
    </w:p>
    <w:p>
      <w:pPr>
        <w:pStyle w:val="73"/>
        <w:snapToGrid w:val="0"/>
        <w:spacing w:beforeLines="0"/>
        <w:ind w:firstLine="482"/>
        <w:rPr>
          <w:rFonts w:ascii="仿宋" w:hAnsi="仿宋" w:eastAsia="仿宋" w:cs="仿宋"/>
          <w:b/>
        </w:rPr>
      </w:pP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73"/>
        <w:snapToGrid w:val="0"/>
        <w:spacing w:beforeLines="0"/>
        <w:ind w:firstLine="482"/>
        <w:rPr>
          <w:rFonts w:ascii="仿宋" w:hAnsi="仿宋" w:eastAsia="仿宋" w:cs="仿宋"/>
          <w:b/>
          <w:szCs w:val="24"/>
        </w:rPr>
      </w:pPr>
      <w:r>
        <w:rPr>
          <w:rFonts w:ascii="仿宋" w:hAnsi="仿宋" w:eastAsia="仿宋" w:cs="仿宋"/>
          <w:b/>
        </w:rPr>
        <w:t>13.2</w:t>
      </w:r>
      <w:r>
        <w:rPr>
          <w:rFonts w:hint="eastAsia" w:ascii="仿宋" w:hAnsi="仿宋" w:eastAsia="仿宋" w:cs="仿宋"/>
          <w:b/>
        </w:rPr>
        <w:t>为确保网上操作合法、有效和安全，投标人应当在投标截止时间前完成在“政府采购云平台”的身份认证，确保在电子投标过程中能够对相关数据电文进行加密和使用电子签名。</w:t>
      </w:r>
    </w:p>
    <w:p>
      <w:pPr>
        <w:pStyle w:val="73"/>
        <w:spacing w:beforeLines="0"/>
        <w:rPr>
          <w:rFonts w:ascii="仿宋" w:hAnsi="仿宋" w:eastAsia="仿宋" w:cs="仿宋"/>
          <w:b/>
          <w:szCs w:val="24"/>
        </w:rPr>
      </w:pPr>
      <w:r>
        <w:rPr>
          <w:rFonts w:ascii="仿宋" w:hAnsi="仿宋" w:eastAsia="仿宋" w:cs="仿宋"/>
          <w:b/>
          <w:szCs w:val="24"/>
        </w:rPr>
        <w:t xml:space="preserve">14. </w:t>
      </w:r>
      <w:r>
        <w:rPr>
          <w:rFonts w:hint="eastAsia" w:ascii="仿宋" w:hAnsi="仿宋" w:eastAsia="仿宋" w:cs="仿宋"/>
          <w:b/>
          <w:szCs w:val="24"/>
        </w:rPr>
        <w:t>投标文件的提交、补充、修改、撤回</w:t>
      </w:r>
    </w:p>
    <w:p>
      <w:pPr>
        <w:pStyle w:val="73"/>
        <w:spacing w:beforeLines="0"/>
        <w:ind w:firstLine="480"/>
        <w:rPr>
          <w:rFonts w:ascii="仿宋" w:hAnsi="仿宋" w:eastAsia="仿宋" w:cs="仿宋"/>
          <w:szCs w:val="24"/>
        </w:rPr>
      </w:pPr>
      <w:r>
        <w:rPr>
          <w:rFonts w:ascii="仿宋" w:hAnsi="仿宋" w:eastAsia="仿宋" w:cs="仿宋"/>
          <w:szCs w:val="24"/>
        </w:rPr>
        <w:t xml:space="preserve">14.1 </w:t>
      </w:r>
      <w:r>
        <w:rPr>
          <w:rFonts w:hint="eastAsia" w:ascii="仿宋" w:hAnsi="仿宋" w:eastAsia="仿宋" w:cs="仿宋"/>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73"/>
        <w:spacing w:beforeLines="0"/>
        <w:ind w:firstLine="600"/>
        <w:rPr>
          <w:rFonts w:ascii="仿宋" w:hAnsi="仿宋" w:eastAsia="仿宋" w:cs="仿宋"/>
          <w:szCs w:val="24"/>
        </w:rPr>
      </w:pPr>
      <w:r>
        <w:rPr>
          <w:rFonts w:ascii="仿宋" w:hAnsi="仿宋" w:eastAsia="仿宋" w:cs="仿宋"/>
          <w:szCs w:val="24"/>
        </w:rPr>
        <w:t>14.2</w:t>
      </w:r>
      <w:r>
        <w:rPr>
          <w:rFonts w:hint="eastAsia" w:ascii="仿宋" w:hAnsi="仿宋" w:eastAsia="仿宋" w:cs="仿宋"/>
          <w:szCs w:val="24"/>
        </w:rPr>
        <w:t>电子交易平台收到投标文件，将妥善保存并即时向供应商发出确认回执通知。在投标截止时间前，除供应商补充、修改或者撤回投标文件外，任何单位和个人不得解密或提取投标文件。</w:t>
      </w:r>
    </w:p>
    <w:p>
      <w:pPr>
        <w:pStyle w:val="73"/>
        <w:spacing w:beforeLines="0"/>
        <w:ind w:firstLine="480"/>
        <w:rPr>
          <w:rFonts w:ascii="仿宋" w:hAnsi="仿宋" w:eastAsia="仿宋" w:cs="仿宋"/>
          <w:szCs w:val="24"/>
        </w:rPr>
      </w:pPr>
      <w:r>
        <w:rPr>
          <w:rFonts w:ascii="仿宋" w:hAnsi="仿宋" w:eastAsia="仿宋" w:cs="仿宋"/>
          <w:szCs w:val="24"/>
        </w:rPr>
        <w:t>14.3</w:t>
      </w:r>
      <w:r>
        <w:rPr>
          <w:rFonts w:hint="eastAsia" w:ascii="仿宋" w:hAnsi="仿宋" w:eastAsia="仿宋" w:cs="仿宋"/>
          <w:szCs w:val="24"/>
        </w:rPr>
        <w:t>采购机构可以视情况延长投标文件提交的截止时间。在上述情况下，采购机构与投标人以前在投标截止期方面的全部权利、责任和义务，将适用于延长至新的投标截止期。</w:t>
      </w:r>
    </w:p>
    <w:p>
      <w:pPr>
        <w:spacing w:line="360" w:lineRule="auto"/>
        <w:rPr>
          <w:rFonts w:ascii="仿宋" w:hAnsi="仿宋" w:eastAsia="仿宋" w:cs="仿宋"/>
          <w:b/>
          <w:sz w:val="24"/>
        </w:rPr>
      </w:pPr>
      <w:r>
        <w:rPr>
          <w:rFonts w:ascii="仿宋" w:hAnsi="仿宋" w:eastAsia="仿宋" w:cs="仿宋"/>
          <w:b/>
          <w:sz w:val="24"/>
        </w:rPr>
        <w:t xml:space="preserve">15. </w:t>
      </w:r>
      <w:r>
        <w:rPr>
          <w:rFonts w:hint="eastAsia" w:ascii="仿宋" w:hAnsi="仿宋" w:eastAsia="仿宋" w:cs="仿宋"/>
          <w:b/>
          <w:sz w:val="24"/>
        </w:rPr>
        <w:t>备份投标文件</w:t>
      </w:r>
    </w:p>
    <w:p>
      <w:pPr>
        <w:spacing w:line="360" w:lineRule="auto"/>
        <w:ind w:firstLine="420"/>
        <w:rPr>
          <w:rFonts w:ascii="仿宋" w:hAnsi="仿宋" w:eastAsia="仿宋"/>
        </w:rPr>
      </w:pPr>
      <w:r>
        <w:rPr>
          <w:rFonts w:ascii="仿宋" w:hAnsi="仿宋" w:eastAsia="仿宋" w:cs="仿宋"/>
          <w:sz w:val="24"/>
        </w:rPr>
        <w:t>15.1</w:t>
      </w:r>
      <w:r>
        <w:rPr>
          <w:rFonts w:hint="eastAsia" w:ascii="仿宋" w:hAnsi="仿宋" w:eastAsia="仿宋" w:cs="仿宋"/>
          <w:sz w:val="24"/>
        </w:rPr>
        <w:t>投标人在电子交易平台传输递交投标文件后，还可以在投标截止时间前直接提交或者以邮政快递方式递交备份投标文件</w:t>
      </w:r>
      <w:r>
        <w:rPr>
          <w:rFonts w:ascii="仿宋" w:hAnsi="仿宋" w:eastAsia="仿宋" w:cs="仿宋"/>
          <w:sz w:val="24"/>
        </w:rPr>
        <w:t>1</w:t>
      </w:r>
      <w:r>
        <w:rPr>
          <w:rFonts w:hint="eastAsia" w:ascii="仿宋" w:hAnsi="仿宋" w:eastAsia="仿宋" w:cs="仿宋"/>
          <w:sz w:val="24"/>
        </w:rPr>
        <w:t>份，</w:t>
      </w:r>
      <w:r>
        <w:rPr>
          <w:rFonts w:hint="eastAsia" w:ascii="仿宋" w:hAnsi="仿宋" w:eastAsia="仿宋" w:cs="仿宋"/>
          <w:b/>
          <w:sz w:val="24"/>
        </w:rPr>
        <w:t>但采购人、采购机构不强制或变相强制投标人提交备份投标文件。</w:t>
      </w:r>
    </w:p>
    <w:p>
      <w:pPr>
        <w:spacing w:line="360" w:lineRule="auto"/>
        <w:ind w:firstLine="360"/>
        <w:rPr>
          <w:rFonts w:ascii="仿宋" w:hAnsi="仿宋" w:eastAsia="仿宋"/>
        </w:rPr>
      </w:pPr>
      <w:r>
        <w:rPr>
          <w:rFonts w:ascii="仿宋" w:hAnsi="仿宋" w:eastAsia="仿宋" w:cs="仿宋"/>
          <w:sz w:val="24"/>
        </w:rPr>
        <w:t>15.2</w:t>
      </w:r>
      <w:r>
        <w:rPr>
          <w:rFonts w:hint="eastAsia" w:ascii="仿宋" w:hAnsi="仿宋" w:eastAsia="仿宋" w:cs="仿宋"/>
          <w:sz w:val="24"/>
        </w:rPr>
        <w:t>备份投标文件须在“政采云投标客户端”制作生成，并储存在</w:t>
      </w:r>
      <w:r>
        <w:rPr>
          <w:rFonts w:ascii="仿宋" w:hAnsi="仿宋" w:eastAsia="仿宋" w:cs="仿宋"/>
          <w:sz w:val="24"/>
          <w:szCs w:val="21"/>
        </w:rPr>
        <w:t>U</w:t>
      </w:r>
      <w:r>
        <w:rPr>
          <w:rFonts w:hint="eastAsia" w:ascii="仿宋" w:hAnsi="仿宋" w:eastAsia="仿宋" w:cs="仿宋"/>
          <w:sz w:val="24"/>
          <w:szCs w:val="21"/>
        </w:rPr>
        <w:t>盘</w:t>
      </w:r>
      <w:r>
        <w:rPr>
          <w:rFonts w:hint="eastAsia" w:ascii="仿宋" w:hAnsi="仿宋" w:eastAsia="仿宋" w:cs="仿宋"/>
          <w:sz w:val="24"/>
        </w:rPr>
        <w:t>中。备份投标文件应当密封包装并在包装上加盖公章并注明投标项目名称，投标人名称</w:t>
      </w:r>
      <w:r>
        <w:rPr>
          <w:rFonts w:ascii="仿宋" w:hAnsi="仿宋" w:eastAsia="仿宋" w:cs="仿宋"/>
          <w:sz w:val="24"/>
        </w:rPr>
        <w:t>(</w:t>
      </w:r>
      <w:r>
        <w:rPr>
          <w:rFonts w:hint="eastAsia" w:ascii="仿宋" w:hAnsi="仿宋" w:eastAsia="仿宋" w:cs="仿宋"/>
          <w:sz w:val="24"/>
        </w:rPr>
        <w:t>联合体投标的，包装物封面需注明联合体投标，并注明联合体成员各方的名称和联合体协议中约定的牵头人的名称</w:t>
      </w:r>
      <w:r>
        <w:rPr>
          <w:rFonts w:ascii="仿宋" w:hAnsi="仿宋" w:eastAsia="仿宋" w:cs="仿宋"/>
          <w:sz w:val="24"/>
        </w:rPr>
        <w:t>)</w:t>
      </w:r>
    </w:p>
    <w:p>
      <w:pPr>
        <w:spacing w:line="360" w:lineRule="auto"/>
        <w:ind w:firstLine="361"/>
        <w:rPr>
          <w:rFonts w:ascii="仿宋" w:hAnsi="仿宋" w:eastAsia="仿宋"/>
        </w:rPr>
      </w:pPr>
      <w:r>
        <w:rPr>
          <w:rFonts w:hint="eastAsia" w:ascii="仿宋" w:hAnsi="仿宋" w:eastAsia="仿宋" w:cs="仿宋"/>
          <w:b/>
          <w:sz w:val="24"/>
          <w:szCs w:val="21"/>
        </w:rPr>
        <w:t>▲不符合上述制作、</w:t>
      </w:r>
      <w:r>
        <w:rPr>
          <w:rFonts w:hint="eastAsia" w:ascii="仿宋" w:hAnsi="仿宋" w:eastAsia="仿宋" w:cs="仿宋"/>
          <w:b/>
          <w:sz w:val="24"/>
        </w:rPr>
        <w:t>存储、密封规定的备份投标文件将被视为无效或者被拒绝接收。</w:t>
      </w:r>
    </w:p>
    <w:p>
      <w:pPr>
        <w:spacing w:line="360" w:lineRule="auto"/>
        <w:ind w:firstLine="360"/>
        <w:rPr>
          <w:rFonts w:ascii="仿宋" w:hAnsi="仿宋" w:eastAsia="仿宋" w:cs="仿宋"/>
          <w:sz w:val="24"/>
        </w:rPr>
      </w:pPr>
      <w:r>
        <w:rPr>
          <w:rFonts w:ascii="仿宋" w:hAnsi="仿宋" w:eastAsia="仿宋" w:cs="仿宋"/>
          <w:sz w:val="24"/>
        </w:rPr>
        <w:t>15.3</w:t>
      </w:r>
      <w:r>
        <w:rPr>
          <w:rFonts w:hint="eastAsia" w:ascii="仿宋" w:hAnsi="仿宋" w:eastAsia="仿宋" w:cs="仿宋"/>
          <w:sz w:val="24"/>
        </w:rPr>
        <w:t>直接提交备份投标文件的，投标人应于投标截止时间前在招标公告中载明的开标地点将备份投标文件提交给采购机构，采购机构将拒绝接受逾期送达的备份投标文件。</w:t>
      </w:r>
    </w:p>
    <w:p>
      <w:pPr>
        <w:spacing w:line="360" w:lineRule="auto"/>
        <w:ind w:firstLine="360"/>
        <w:rPr>
          <w:rFonts w:ascii="仿宋" w:hAnsi="仿宋" w:eastAsia="仿宋" w:cs="仿宋"/>
          <w:sz w:val="24"/>
        </w:rPr>
      </w:pPr>
      <w:r>
        <w:rPr>
          <w:rFonts w:ascii="仿宋" w:hAnsi="仿宋" w:eastAsia="仿宋" w:cs="仿宋"/>
          <w:sz w:val="24"/>
        </w:rPr>
        <w:t>15.4</w:t>
      </w:r>
      <w:r>
        <w:rPr>
          <w:rFonts w:hint="eastAsia" w:ascii="仿宋" w:hAnsi="仿宋" w:eastAsia="仿宋" w:cs="仿宋"/>
          <w:sz w:val="24"/>
        </w:rPr>
        <w:t>以邮政快递方式递交备份投标文件的，投标人应先将备份投标文件按要求密封和标记，再进行邮政快递包装后邮寄。备份投标文件须在投标截止时间之前送达淳安县千岛湖镇新安大街</w:t>
      </w:r>
      <w:r>
        <w:rPr>
          <w:rFonts w:ascii="仿宋" w:hAnsi="仿宋" w:eastAsia="仿宋" w:cs="仿宋"/>
          <w:sz w:val="24"/>
        </w:rPr>
        <w:t>104</w:t>
      </w:r>
      <w:r>
        <w:rPr>
          <w:rFonts w:hint="eastAsia" w:ascii="仿宋" w:hAnsi="仿宋" w:eastAsia="仿宋" w:cs="仿宋"/>
          <w:sz w:val="24"/>
        </w:rPr>
        <w:t>号</w:t>
      </w:r>
      <w:r>
        <w:rPr>
          <w:rFonts w:ascii="仿宋" w:hAnsi="仿宋" w:eastAsia="仿宋" w:cs="仿宋"/>
          <w:sz w:val="24"/>
        </w:rPr>
        <w:t>4</w:t>
      </w:r>
      <w:r>
        <w:rPr>
          <w:rFonts w:hint="eastAsia" w:ascii="仿宋" w:hAnsi="仿宋" w:eastAsia="仿宋" w:cs="仿宋"/>
          <w:sz w:val="24"/>
        </w:rPr>
        <w:t>楼；送达时间以签收人签收时间为准（签收人：李梦，联系电话：</w:t>
      </w:r>
      <w:r>
        <w:rPr>
          <w:rFonts w:ascii="仿宋" w:hAnsi="仿宋" w:eastAsia="仿宋" w:cs="仿宋"/>
          <w:sz w:val="24"/>
        </w:rPr>
        <w:t>0571-64813937</w:t>
      </w:r>
      <w:r>
        <w:rPr>
          <w:rFonts w:hint="eastAsia" w:ascii="仿宋" w:hAnsi="仿宋" w:eastAsia="仿宋" w:cs="仿宋"/>
          <w:sz w:val="24"/>
        </w:rPr>
        <w:t>）。采购机构将拒绝接受逾期送达的备份投标文件。邮寄过程中，电子备份投标文件发生泄露、遗失、损坏或延期送达等情况的，由投标人自行负责。</w:t>
      </w:r>
    </w:p>
    <w:p>
      <w:pPr>
        <w:spacing w:line="360" w:lineRule="auto"/>
        <w:ind w:firstLine="361"/>
        <w:rPr>
          <w:rFonts w:ascii="仿宋" w:hAnsi="仿宋" w:eastAsia="仿宋"/>
        </w:rPr>
      </w:pPr>
      <w:r>
        <w:rPr>
          <w:rFonts w:ascii="仿宋" w:hAnsi="仿宋" w:eastAsia="仿宋" w:cs="仿宋"/>
          <w:b/>
          <w:sz w:val="24"/>
        </w:rPr>
        <w:t>15.5</w:t>
      </w:r>
      <w:r>
        <w:rPr>
          <w:rFonts w:hint="eastAsia" w:ascii="仿宋" w:hAnsi="仿宋" w:eastAsia="仿宋" w:cs="仿宋"/>
          <w:sz w:val="24"/>
          <w:szCs w:val="21"/>
        </w:rPr>
        <w:t>▲</w:t>
      </w:r>
      <w:r>
        <w:rPr>
          <w:rFonts w:hint="eastAsia" w:ascii="仿宋" w:hAnsi="仿宋" w:eastAsia="仿宋" w:cs="仿宋"/>
          <w:b/>
          <w:sz w:val="24"/>
        </w:rPr>
        <w:t>投标人仅提交备份投标文件，没有在电子交易平台传输递交投标文件的，投标无效。</w:t>
      </w:r>
    </w:p>
    <w:p>
      <w:pPr>
        <w:pStyle w:val="73"/>
        <w:spacing w:beforeLines="0"/>
        <w:rPr>
          <w:rFonts w:ascii="仿宋" w:hAnsi="仿宋" w:eastAsia="仿宋" w:cs="仿宋"/>
          <w:b/>
          <w:szCs w:val="24"/>
        </w:rPr>
      </w:pPr>
      <w:r>
        <w:rPr>
          <w:rFonts w:ascii="仿宋" w:hAnsi="仿宋" w:eastAsia="仿宋" w:cs="仿宋"/>
          <w:b/>
          <w:szCs w:val="24"/>
        </w:rPr>
        <w:t>16.</w:t>
      </w:r>
      <w:r>
        <w:rPr>
          <w:rFonts w:hint="eastAsia" w:ascii="仿宋" w:hAnsi="仿宋" w:eastAsia="仿宋" w:cs="仿宋"/>
          <w:b/>
          <w:szCs w:val="24"/>
        </w:rPr>
        <w:t>投标文件的无效处理</w:t>
      </w:r>
    </w:p>
    <w:p>
      <w:pPr>
        <w:pStyle w:val="18"/>
        <w:spacing w:line="360" w:lineRule="auto"/>
        <w:ind w:firstLine="360"/>
        <w:rPr>
          <w:rFonts w:ascii="仿宋" w:hAnsi="仿宋" w:eastAsia="仿宋"/>
        </w:rPr>
      </w:pPr>
      <w:r>
        <w:rPr>
          <w:rFonts w:hint="eastAsia" w:ascii="仿宋" w:hAnsi="仿宋" w:eastAsia="仿宋" w:cs="仿宋"/>
          <w:szCs w:val="21"/>
        </w:rPr>
        <w:t>有招标文件第四部分</w:t>
      </w:r>
      <w:r>
        <w:rPr>
          <w:rFonts w:hint="eastAsia" w:ascii="仿宋" w:hAnsi="仿宋" w:eastAsia="仿宋" w:cs="仿宋"/>
        </w:rPr>
        <w:t>第</w:t>
      </w:r>
      <w:r>
        <w:rPr>
          <w:rFonts w:ascii="仿宋" w:hAnsi="仿宋" w:eastAsia="仿宋" w:cs="仿宋"/>
        </w:rPr>
        <w:t>13</w:t>
      </w:r>
      <w:r>
        <w:rPr>
          <w:rFonts w:hint="eastAsia" w:ascii="仿宋" w:hAnsi="仿宋" w:eastAsia="仿宋" w:cs="仿宋"/>
        </w:rPr>
        <w:t>项规定</w:t>
      </w:r>
      <w:r>
        <w:rPr>
          <w:rFonts w:hint="eastAsia" w:ascii="仿宋" w:hAnsi="仿宋" w:eastAsia="仿宋" w:cs="仿宋"/>
          <w:szCs w:val="21"/>
        </w:rPr>
        <w:t>的情形之一的，投标无效。</w:t>
      </w:r>
    </w:p>
    <w:p>
      <w:pPr>
        <w:pStyle w:val="73"/>
        <w:spacing w:beforeLines="0"/>
        <w:rPr>
          <w:rFonts w:ascii="仿宋" w:hAnsi="仿宋" w:eastAsia="仿宋" w:cs="仿宋"/>
          <w:b/>
          <w:szCs w:val="24"/>
        </w:rPr>
      </w:pPr>
      <w:r>
        <w:rPr>
          <w:rFonts w:ascii="仿宋" w:hAnsi="仿宋" w:eastAsia="仿宋" w:cs="仿宋"/>
          <w:b/>
          <w:szCs w:val="24"/>
        </w:rPr>
        <w:t>17.</w:t>
      </w:r>
      <w:r>
        <w:rPr>
          <w:rFonts w:hint="eastAsia" w:ascii="仿宋" w:hAnsi="仿宋" w:eastAsia="仿宋" w:cs="仿宋"/>
          <w:b/>
          <w:szCs w:val="24"/>
        </w:rPr>
        <w:t>投标有效期</w:t>
      </w:r>
    </w:p>
    <w:p>
      <w:pPr>
        <w:spacing w:line="360" w:lineRule="auto"/>
        <w:ind w:firstLine="480"/>
        <w:rPr>
          <w:rFonts w:ascii="仿宋" w:hAnsi="仿宋" w:eastAsia="仿宋" w:cs="仿宋"/>
          <w:sz w:val="24"/>
          <w:szCs w:val="20"/>
        </w:rPr>
      </w:pPr>
      <w:r>
        <w:rPr>
          <w:rFonts w:ascii="仿宋" w:hAnsi="仿宋" w:eastAsia="仿宋" w:cs="仿宋"/>
          <w:sz w:val="24"/>
          <w:szCs w:val="20"/>
        </w:rPr>
        <w:t>17.1</w:t>
      </w:r>
      <w:r>
        <w:rPr>
          <w:rFonts w:hint="eastAsia" w:ascii="仿宋" w:hAnsi="仿宋" w:eastAsia="仿宋" w:cs="仿宋"/>
          <w:sz w:val="24"/>
          <w:szCs w:val="20"/>
        </w:rPr>
        <w:t>投标有效期为从提交投标文件的截止之日起</w:t>
      </w:r>
      <w:r>
        <w:rPr>
          <w:rFonts w:ascii="仿宋" w:hAnsi="仿宋" w:eastAsia="仿宋" w:cs="仿宋"/>
          <w:sz w:val="24"/>
          <w:szCs w:val="20"/>
        </w:rPr>
        <w:t>90</w:t>
      </w:r>
      <w:r>
        <w:rPr>
          <w:rFonts w:hint="eastAsia" w:ascii="仿宋" w:hAnsi="仿宋" w:eastAsia="仿宋" w:cs="仿宋"/>
          <w:sz w:val="24"/>
          <w:szCs w:val="20"/>
        </w:rPr>
        <w:t>天。</w:t>
      </w:r>
    </w:p>
    <w:p>
      <w:pPr>
        <w:spacing w:line="360" w:lineRule="auto"/>
        <w:ind w:firstLine="480"/>
        <w:rPr>
          <w:rFonts w:ascii="仿宋" w:hAnsi="仿宋" w:eastAsia="仿宋"/>
        </w:rPr>
      </w:pPr>
      <w:r>
        <w:rPr>
          <w:rFonts w:hint="eastAsia" w:ascii="仿宋" w:hAnsi="仿宋" w:eastAsia="仿宋" w:cs="仿宋"/>
          <w:sz w:val="24"/>
          <w:szCs w:val="20"/>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73"/>
        <w:spacing w:beforeLines="0"/>
        <w:ind w:firstLine="480"/>
        <w:rPr>
          <w:rFonts w:ascii="仿宋" w:hAnsi="仿宋" w:eastAsia="仿宋" w:cs="仿宋"/>
        </w:rPr>
      </w:pPr>
      <w:r>
        <w:rPr>
          <w:rFonts w:ascii="仿宋" w:hAnsi="仿宋" w:eastAsia="仿宋" w:cs="仿宋"/>
        </w:rPr>
        <w:t>17.2</w:t>
      </w:r>
      <w:r>
        <w:rPr>
          <w:rFonts w:hint="eastAsia" w:ascii="仿宋" w:hAnsi="仿宋" w:eastAsia="仿宋" w:cs="仿宋"/>
        </w:rPr>
        <w:t>投标文件合格投递后，自投标截止日期起，在投标有效期内有效。</w:t>
      </w:r>
    </w:p>
    <w:p>
      <w:pPr>
        <w:pStyle w:val="73"/>
        <w:spacing w:beforeLines="0"/>
        <w:ind w:firstLine="480"/>
        <w:rPr>
          <w:rFonts w:ascii="仿宋" w:hAnsi="仿宋" w:eastAsia="仿宋" w:cs="仿宋"/>
        </w:rPr>
      </w:pPr>
      <w:r>
        <w:rPr>
          <w:rFonts w:ascii="仿宋" w:hAnsi="仿宋" w:eastAsia="仿宋" w:cs="仿宋"/>
        </w:rPr>
        <w:t>17.3</w:t>
      </w:r>
      <w:r>
        <w:rPr>
          <w:rFonts w:hint="eastAsia" w:ascii="仿宋" w:hAnsi="仿宋" w:eastAsia="仿宋" w:cs="仿宋"/>
        </w:rPr>
        <w:t>在原定投标有效期满之前，如果出现特殊情况，采购机构可以以书面形式通知投标人延长投标有效期。投标人同意延长的，不得要求或被允许修改其投标文件，投标人拒绝延长的，其投标无效。</w:t>
      </w:r>
    </w:p>
    <w:p>
      <w:pPr>
        <w:pStyle w:val="73"/>
        <w:spacing w:beforeLines="0"/>
        <w:jc w:val="center"/>
        <w:rPr>
          <w:rFonts w:ascii="仿宋" w:hAnsi="仿宋" w:eastAsia="仿宋" w:cs="仿宋"/>
          <w:b/>
          <w:sz w:val="32"/>
        </w:rPr>
      </w:pPr>
      <w:r>
        <w:rPr>
          <w:rFonts w:hint="eastAsia" w:ascii="仿宋" w:hAnsi="仿宋" w:eastAsia="仿宋" w:cs="仿宋"/>
          <w:b/>
          <w:sz w:val="32"/>
        </w:rPr>
        <w:t>四、开标、资格审查与信用信息查询</w:t>
      </w:r>
    </w:p>
    <w:p>
      <w:pPr>
        <w:pStyle w:val="77"/>
        <w:spacing w:beforeLines="0" w:line="360" w:lineRule="auto"/>
        <w:ind w:left="0" w:firstLine="241"/>
        <w:contextualSpacing/>
        <w:rPr>
          <w:rFonts w:ascii="仿宋" w:hAnsi="仿宋" w:eastAsia="仿宋" w:cs="仿宋"/>
          <w:sz w:val="24"/>
        </w:rPr>
      </w:pPr>
      <w:r>
        <w:rPr>
          <w:rFonts w:ascii="仿宋" w:hAnsi="仿宋" w:eastAsia="仿宋" w:cs="仿宋"/>
          <w:b/>
          <w:sz w:val="24"/>
          <w:szCs w:val="24"/>
        </w:rPr>
        <w:t>18.</w:t>
      </w:r>
      <w:r>
        <w:rPr>
          <w:rFonts w:hint="eastAsia" w:ascii="仿宋" w:hAnsi="仿宋" w:eastAsia="仿宋" w:cs="仿宋"/>
          <w:b/>
          <w:sz w:val="24"/>
          <w:szCs w:val="24"/>
        </w:rPr>
        <w:t>开标</w:t>
      </w:r>
    </w:p>
    <w:p>
      <w:pPr>
        <w:pStyle w:val="77"/>
        <w:spacing w:beforeLines="0" w:line="360" w:lineRule="auto"/>
        <w:ind w:left="0" w:firstLine="480"/>
        <w:contextualSpacing/>
        <w:rPr>
          <w:rFonts w:ascii="仿宋" w:hAnsi="仿宋" w:eastAsia="仿宋" w:cs="仿宋"/>
          <w:sz w:val="24"/>
        </w:rPr>
      </w:pPr>
      <w:r>
        <w:rPr>
          <w:rFonts w:ascii="仿宋" w:hAnsi="仿宋" w:eastAsia="仿宋" w:cs="仿宋"/>
          <w:sz w:val="24"/>
        </w:rPr>
        <w:t>18.1</w:t>
      </w:r>
      <w:r>
        <w:rPr>
          <w:rFonts w:hint="eastAsia" w:ascii="仿宋" w:hAnsi="仿宋" w:eastAsia="仿宋" w:cs="仿宋"/>
          <w:sz w:val="24"/>
        </w:rPr>
        <w:t>采购机构按照招标文件规定的时间通过电子交易平台组织开标，所有投标人均应当准时在线参加。投标人不足</w:t>
      </w:r>
      <w:r>
        <w:rPr>
          <w:rFonts w:ascii="仿宋" w:hAnsi="仿宋" w:eastAsia="仿宋" w:cs="仿宋"/>
          <w:sz w:val="24"/>
        </w:rPr>
        <w:t>3</w:t>
      </w:r>
      <w:r>
        <w:rPr>
          <w:rFonts w:hint="eastAsia" w:ascii="仿宋" w:hAnsi="仿宋" w:eastAsia="仿宋" w:cs="仿宋"/>
          <w:sz w:val="24"/>
        </w:rPr>
        <w:t>家的，不得开标。</w:t>
      </w:r>
    </w:p>
    <w:p>
      <w:pPr>
        <w:pStyle w:val="77"/>
        <w:spacing w:beforeLines="0" w:line="360" w:lineRule="auto"/>
        <w:ind w:left="0" w:firstLine="480"/>
        <w:contextualSpacing/>
        <w:rPr>
          <w:rFonts w:ascii="仿宋" w:hAnsi="仿宋" w:eastAsia="仿宋" w:cs="仿宋"/>
          <w:sz w:val="24"/>
        </w:rPr>
      </w:pPr>
      <w:r>
        <w:rPr>
          <w:rFonts w:ascii="仿宋" w:hAnsi="仿宋" w:eastAsia="仿宋" w:cs="仿宋"/>
          <w:sz w:val="24"/>
        </w:rPr>
        <w:t>18.2</w:t>
      </w:r>
      <w:r>
        <w:rPr>
          <w:rFonts w:hint="eastAsia" w:ascii="仿宋" w:hAnsi="仿宋" w:eastAsia="仿宋" w:cs="仿宋"/>
          <w:sz w:val="24"/>
        </w:rPr>
        <w:t>开标时，电子交易平台按开标时间自动提取所有投标文件。采购机构依托电子交易平台发起开始解密指令，投标人按照平台提示和招标文件的规定在半小时内完成在线解密。</w:t>
      </w:r>
    </w:p>
    <w:p>
      <w:pPr>
        <w:pStyle w:val="77"/>
        <w:spacing w:beforeLines="0" w:line="360" w:lineRule="auto"/>
        <w:ind w:left="0" w:firstLine="480"/>
        <w:contextualSpacing/>
        <w:rPr>
          <w:rFonts w:ascii="仿宋" w:hAnsi="仿宋" w:eastAsia="仿宋"/>
        </w:rPr>
      </w:pPr>
      <w:r>
        <w:rPr>
          <w:rFonts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77"/>
        <w:spacing w:beforeLines="0" w:line="360" w:lineRule="auto"/>
        <w:ind w:left="0"/>
        <w:contextualSpacing/>
        <w:rPr>
          <w:rFonts w:ascii="仿宋" w:hAnsi="仿宋" w:eastAsia="仿宋" w:cs="仿宋"/>
          <w:b/>
          <w:sz w:val="24"/>
        </w:rPr>
      </w:pPr>
      <w:r>
        <w:rPr>
          <w:rFonts w:ascii="仿宋" w:hAnsi="仿宋" w:eastAsia="仿宋" w:cs="仿宋"/>
          <w:b/>
          <w:sz w:val="24"/>
        </w:rPr>
        <w:t>19</w:t>
      </w:r>
      <w:r>
        <w:rPr>
          <w:rFonts w:hint="eastAsia" w:ascii="仿宋" w:hAnsi="仿宋" w:eastAsia="仿宋" w:cs="仿宋"/>
          <w:b/>
          <w:sz w:val="24"/>
        </w:rPr>
        <w:t>、资格审查</w:t>
      </w:r>
    </w:p>
    <w:p>
      <w:pPr>
        <w:pStyle w:val="73"/>
        <w:spacing w:beforeLines="0"/>
        <w:ind w:firstLine="480"/>
        <w:rPr>
          <w:rFonts w:ascii="仿宋" w:hAnsi="仿宋" w:eastAsia="仿宋" w:cs="仿宋"/>
          <w:kern w:val="0"/>
          <w:szCs w:val="24"/>
        </w:rPr>
      </w:pPr>
      <w:r>
        <w:rPr>
          <w:rFonts w:ascii="仿宋" w:hAnsi="仿宋" w:eastAsia="仿宋" w:cs="仿宋"/>
          <w:kern w:val="0"/>
          <w:szCs w:val="24"/>
        </w:rPr>
        <w:t>19.1</w:t>
      </w:r>
      <w:r>
        <w:rPr>
          <w:rFonts w:hint="eastAsia" w:ascii="仿宋" w:hAnsi="仿宋" w:eastAsia="仿宋" w:cs="仿宋"/>
          <w:kern w:val="0"/>
          <w:szCs w:val="24"/>
        </w:rPr>
        <w:t>开标后，采购人或采购机构将依法对投标人的资格进行审查。</w:t>
      </w:r>
    </w:p>
    <w:p>
      <w:pPr>
        <w:pStyle w:val="73"/>
        <w:spacing w:beforeLines="0"/>
        <w:ind w:firstLine="480"/>
        <w:rPr>
          <w:rFonts w:ascii="仿宋" w:hAnsi="仿宋" w:eastAsia="仿宋" w:cs="仿宋"/>
          <w:kern w:val="0"/>
          <w:szCs w:val="24"/>
        </w:rPr>
      </w:pPr>
      <w:r>
        <w:rPr>
          <w:rFonts w:ascii="仿宋" w:hAnsi="仿宋" w:eastAsia="仿宋" w:cs="仿宋"/>
          <w:kern w:val="0"/>
          <w:szCs w:val="24"/>
        </w:rPr>
        <w:t>19.2</w:t>
      </w:r>
      <w:r>
        <w:rPr>
          <w:rFonts w:hint="eastAsia" w:ascii="仿宋" w:hAnsi="仿宋" w:eastAsia="仿宋" w:cs="仿宋"/>
          <w:kern w:val="0"/>
          <w:szCs w:val="24"/>
        </w:rPr>
        <w:t>采购人或采购机构依据法律法规和招标文件的规定，对投标人的基本资格条件、特定资格条件进行审查。</w:t>
      </w:r>
    </w:p>
    <w:p>
      <w:pPr>
        <w:pStyle w:val="73"/>
        <w:spacing w:beforeLines="0"/>
        <w:ind w:firstLine="480"/>
        <w:rPr>
          <w:rFonts w:ascii="仿宋" w:hAnsi="仿宋" w:eastAsia="仿宋" w:cs="仿宋"/>
          <w:kern w:val="0"/>
          <w:szCs w:val="24"/>
        </w:rPr>
      </w:pPr>
      <w:r>
        <w:rPr>
          <w:rFonts w:ascii="仿宋" w:hAnsi="仿宋" w:eastAsia="仿宋" w:cs="仿宋"/>
          <w:kern w:val="0"/>
          <w:szCs w:val="24"/>
        </w:rPr>
        <w:t>19.3</w:t>
      </w:r>
      <w:r>
        <w:rPr>
          <w:rFonts w:hint="eastAsia" w:ascii="仿宋" w:hAnsi="仿宋" w:eastAsia="仿宋" w:cs="仿宋"/>
          <w:kern w:val="0"/>
          <w:szCs w:val="24"/>
        </w:rPr>
        <w:t>投标人未按照招标文件要求提供与基本资格条件、特定资格条件相应的有效资格证明材料的，视为投标人不具备招标文件中规定的资格要求，其投标无效。</w:t>
      </w:r>
    </w:p>
    <w:p>
      <w:pPr>
        <w:pStyle w:val="73"/>
        <w:spacing w:beforeLines="0"/>
        <w:ind w:firstLine="480"/>
        <w:rPr>
          <w:rFonts w:ascii="仿宋" w:hAnsi="仿宋" w:eastAsia="仿宋" w:cs="仿宋"/>
          <w:kern w:val="0"/>
          <w:szCs w:val="24"/>
        </w:rPr>
      </w:pPr>
      <w:r>
        <w:rPr>
          <w:rFonts w:ascii="仿宋" w:hAnsi="仿宋" w:eastAsia="仿宋" w:cs="仿宋"/>
          <w:kern w:val="0"/>
          <w:szCs w:val="24"/>
        </w:rPr>
        <w:t>19.4</w:t>
      </w:r>
      <w:r>
        <w:rPr>
          <w:rFonts w:hint="eastAsia" w:ascii="仿宋" w:hAnsi="仿宋" w:eastAsia="仿宋" w:cs="仿宋"/>
          <w:kern w:val="0"/>
          <w:szCs w:val="24"/>
        </w:rPr>
        <w:t>对未通过资格审查的投标人，采购人或采购机构告知其未通过的原因。</w:t>
      </w:r>
    </w:p>
    <w:p>
      <w:pPr>
        <w:pStyle w:val="73"/>
        <w:spacing w:beforeLines="0"/>
        <w:ind w:firstLine="480"/>
        <w:rPr>
          <w:rFonts w:ascii="仿宋" w:hAnsi="仿宋" w:eastAsia="仿宋" w:cs="仿宋"/>
          <w:kern w:val="0"/>
          <w:szCs w:val="24"/>
        </w:rPr>
      </w:pPr>
      <w:r>
        <w:rPr>
          <w:rFonts w:ascii="仿宋" w:hAnsi="仿宋" w:eastAsia="仿宋" w:cs="仿宋"/>
          <w:kern w:val="0"/>
          <w:szCs w:val="24"/>
        </w:rPr>
        <w:t>19.5</w:t>
      </w:r>
      <w:r>
        <w:rPr>
          <w:rFonts w:hint="eastAsia" w:ascii="仿宋" w:hAnsi="仿宋" w:eastAsia="仿宋" w:cs="仿宋"/>
          <w:kern w:val="0"/>
          <w:szCs w:val="24"/>
        </w:rPr>
        <w:t>合格投标人不足</w:t>
      </w:r>
      <w:r>
        <w:rPr>
          <w:rFonts w:ascii="仿宋" w:hAnsi="仿宋" w:eastAsia="仿宋" w:cs="仿宋"/>
          <w:kern w:val="0"/>
          <w:szCs w:val="24"/>
        </w:rPr>
        <w:t>3</w:t>
      </w:r>
      <w:r>
        <w:rPr>
          <w:rFonts w:hint="eastAsia" w:ascii="仿宋" w:hAnsi="仿宋" w:eastAsia="仿宋" w:cs="仿宋"/>
          <w:kern w:val="0"/>
          <w:szCs w:val="24"/>
        </w:rPr>
        <w:t>家的，不再评标。</w:t>
      </w:r>
    </w:p>
    <w:p>
      <w:pPr>
        <w:pStyle w:val="73"/>
        <w:spacing w:beforeLines="0"/>
        <w:rPr>
          <w:rFonts w:ascii="仿宋" w:hAnsi="仿宋" w:eastAsia="仿宋" w:cs="仿宋"/>
          <w:b/>
          <w:szCs w:val="24"/>
        </w:rPr>
      </w:pPr>
      <w:r>
        <w:rPr>
          <w:rFonts w:ascii="仿宋" w:hAnsi="仿宋" w:eastAsia="仿宋" w:cs="仿宋"/>
          <w:b/>
          <w:szCs w:val="24"/>
        </w:rPr>
        <w:t>20</w:t>
      </w:r>
      <w:r>
        <w:rPr>
          <w:rFonts w:hint="eastAsia" w:ascii="仿宋" w:hAnsi="仿宋" w:eastAsia="仿宋" w:cs="仿宋"/>
          <w:b/>
          <w:szCs w:val="24"/>
        </w:rPr>
        <w:t>、信用信息查询</w:t>
      </w:r>
    </w:p>
    <w:p>
      <w:pPr>
        <w:pStyle w:val="73"/>
        <w:spacing w:beforeLines="0"/>
        <w:ind w:firstLine="495"/>
        <w:rPr>
          <w:rFonts w:ascii="仿宋" w:hAnsi="仿宋" w:eastAsia="仿宋" w:cs="仿宋"/>
          <w:kern w:val="0"/>
          <w:szCs w:val="24"/>
        </w:rPr>
      </w:pPr>
      <w:r>
        <w:rPr>
          <w:rFonts w:ascii="仿宋" w:hAnsi="仿宋" w:eastAsia="仿宋" w:cs="仿宋"/>
          <w:kern w:val="0"/>
          <w:szCs w:val="24"/>
        </w:rPr>
        <w:t>20.1</w:t>
      </w:r>
      <w:r>
        <w:rPr>
          <w:rFonts w:hint="eastAsia" w:ascii="仿宋" w:hAnsi="仿宋" w:eastAsia="仿宋" w:cs="仿宋"/>
          <w:kern w:val="0"/>
          <w:szCs w:val="24"/>
        </w:rPr>
        <w:t>信用信息查询渠道及截止时间：采购机构将通过“信用中国”网站</w:t>
      </w:r>
      <w:r>
        <w:rPr>
          <w:rFonts w:ascii="仿宋" w:hAnsi="仿宋" w:eastAsia="仿宋" w:cs="仿宋"/>
          <w:kern w:val="0"/>
          <w:szCs w:val="24"/>
        </w:rPr>
        <w:t>(www.creditchina.gov.cn)</w:t>
      </w:r>
      <w:r>
        <w:rPr>
          <w:rFonts w:hint="eastAsia" w:ascii="仿宋" w:hAnsi="仿宋" w:eastAsia="仿宋" w:cs="仿宋"/>
          <w:kern w:val="0"/>
          <w:szCs w:val="24"/>
        </w:rPr>
        <w:t>、中国政府采购网</w:t>
      </w:r>
      <w:r>
        <w:rPr>
          <w:rFonts w:ascii="仿宋" w:hAnsi="仿宋" w:eastAsia="仿宋" w:cs="仿宋"/>
          <w:kern w:val="0"/>
          <w:szCs w:val="24"/>
        </w:rPr>
        <w:t>(www.ccgp.gov.cn)</w:t>
      </w:r>
      <w:r>
        <w:rPr>
          <w:rFonts w:hint="eastAsia" w:ascii="仿宋" w:hAnsi="仿宋" w:eastAsia="仿宋" w:cs="仿宋"/>
          <w:kern w:val="0"/>
          <w:szCs w:val="24"/>
        </w:rPr>
        <w:t>渠道查询投标人投标截止时间当天的信用记录。</w:t>
      </w:r>
    </w:p>
    <w:p>
      <w:pPr>
        <w:pStyle w:val="73"/>
        <w:spacing w:beforeLines="0"/>
        <w:ind w:firstLine="495"/>
        <w:rPr>
          <w:rFonts w:ascii="仿宋" w:hAnsi="仿宋" w:eastAsia="仿宋" w:cs="仿宋"/>
          <w:kern w:val="0"/>
          <w:szCs w:val="24"/>
        </w:rPr>
      </w:pPr>
      <w:r>
        <w:rPr>
          <w:rFonts w:ascii="仿宋" w:hAnsi="仿宋" w:eastAsia="仿宋" w:cs="仿宋"/>
          <w:kern w:val="0"/>
          <w:szCs w:val="24"/>
        </w:rPr>
        <w:t>20.2</w:t>
      </w:r>
      <w:r>
        <w:rPr>
          <w:rFonts w:hint="eastAsia" w:ascii="仿宋" w:hAnsi="仿宋" w:eastAsia="仿宋" w:cs="仿宋"/>
          <w:kern w:val="0"/>
          <w:szCs w:val="24"/>
        </w:rPr>
        <w:t>信用信息查询记录和证据留存的具体方式：现场查询的投标人的信用记录、查询结果经确认后将与采购文件一起存档。</w:t>
      </w:r>
    </w:p>
    <w:p>
      <w:pPr>
        <w:pStyle w:val="73"/>
        <w:spacing w:beforeLines="0"/>
        <w:ind w:firstLine="495"/>
        <w:rPr>
          <w:rFonts w:ascii="仿宋" w:hAnsi="仿宋" w:eastAsia="仿宋" w:cs="仿宋"/>
          <w:kern w:val="0"/>
          <w:szCs w:val="24"/>
        </w:rPr>
      </w:pPr>
      <w:r>
        <w:rPr>
          <w:rFonts w:ascii="仿宋" w:hAnsi="仿宋" w:eastAsia="仿宋" w:cs="仿宋"/>
          <w:kern w:val="0"/>
          <w:szCs w:val="24"/>
        </w:rPr>
        <w:t>20.3</w:t>
      </w:r>
      <w:r>
        <w:rPr>
          <w:rFonts w:hint="eastAsia" w:ascii="仿宋" w:hAnsi="仿宋" w:eastAsia="仿宋" w:cs="仿宋"/>
          <w:kern w:val="0"/>
          <w:szCs w:val="24"/>
        </w:rPr>
        <w:t>信用信息的使用规则：经查询列入失信被执行人名单、重大税收违法案件当事人名单、政府采购严重违法失信行为记录名单的投标人将被拒绝参与政府采购活动。</w:t>
      </w:r>
    </w:p>
    <w:p>
      <w:pPr>
        <w:pStyle w:val="73"/>
        <w:spacing w:beforeLines="0"/>
        <w:ind w:firstLine="480"/>
        <w:rPr>
          <w:rFonts w:ascii="仿宋" w:hAnsi="仿宋" w:eastAsia="仿宋"/>
        </w:rPr>
      </w:pPr>
      <w:r>
        <w:rPr>
          <w:rFonts w:ascii="仿宋" w:hAnsi="仿宋" w:eastAsia="仿宋" w:cs="仿宋"/>
          <w:kern w:val="0"/>
          <w:szCs w:val="24"/>
        </w:rPr>
        <w:t>20.4</w:t>
      </w:r>
      <w:r>
        <w:rPr>
          <w:rFonts w:hint="eastAsia" w:ascii="仿宋" w:hAnsi="仿宋" w:eastAsia="仿宋" w:cs="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五、评标</w:t>
      </w:r>
    </w:p>
    <w:p>
      <w:pPr>
        <w:spacing w:line="360" w:lineRule="auto"/>
      </w:pPr>
      <w:r>
        <w:rPr>
          <w:rFonts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详见招标文件第四部分“评标方法及评分标准”</w:t>
      </w: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六、定标</w:t>
      </w:r>
    </w:p>
    <w:p>
      <w:pPr>
        <w:pStyle w:val="18"/>
        <w:spacing w:line="360" w:lineRule="auto"/>
        <w:ind w:left="479" w:hanging="479"/>
        <w:rPr>
          <w:rFonts w:ascii="仿宋" w:hAnsi="仿宋" w:eastAsia="仿宋" w:cs="仿宋"/>
          <w:b/>
        </w:rPr>
      </w:pPr>
      <w:r>
        <w:rPr>
          <w:rFonts w:ascii="仿宋" w:hAnsi="仿宋" w:eastAsia="仿宋" w:cs="仿宋"/>
          <w:b/>
        </w:rPr>
        <w:t xml:space="preserve">22. </w:t>
      </w:r>
      <w:r>
        <w:rPr>
          <w:rFonts w:hint="eastAsia" w:ascii="仿宋" w:hAnsi="仿宋" w:eastAsia="仿宋" w:cs="仿宋"/>
          <w:b/>
        </w:rPr>
        <w:t>确定中标供应商</w:t>
      </w:r>
    </w:p>
    <w:p>
      <w:pPr>
        <w:pStyle w:val="73"/>
        <w:snapToGrid w:val="0"/>
        <w:spacing w:beforeLines="0"/>
        <w:ind w:firstLine="480"/>
        <w:rPr>
          <w:rFonts w:ascii="仿宋" w:hAnsi="仿宋" w:eastAsia="仿宋" w:cs="仿宋"/>
          <w:b/>
          <w:szCs w:val="24"/>
        </w:rPr>
      </w:pPr>
      <w:r>
        <w:rPr>
          <w:rFonts w:hint="eastAsia" w:ascii="仿宋" w:hAnsi="仿宋" w:eastAsia="仿宋" w:cs="仿宋"/>
          <w:szCs w:val="24"/>
        </w:rPr>
        <w:t>采购人将自收到评审报告之日起</w:t>
      </w:r>
      <w:r>
        <w:rPr>
          <w:rFonts w:ascii="仿宋" w:hAnsi="仿宋" w:eastAsia="仿宋" w:cs="仿宋"/>
          <w:szCs w:val="24"/>
        </w:rPr>
        <w:t>5</w:t>
      </w:r>
      <w:r>
        <w:rPr>
          <w:rFonts w:hint="eastAsia" w:ascii="仿宋" w:hAnsi="仿宋" w:eastAsia="仿宋" w:cs="仿宋"/>
          <w:szCs w:val="24"/>
        </w:rPr>
        <w:t>个工作日内通过电子交易平台在评审报告推荐的中标候选人中按顺序确定中标供应商。</w:t>
      </w:r>
    </w:p>
    <w:p>
      <w:pPr>
        <w:pStyle w:val="73"/>
        <w:snapToGrid w:val="0"/>
        <w:spacing w:beforeLines="0"/>
        <w:rPr>
          <w:rFonts w:ascii="仿宋" w:hAnsi="仿宋" w:eastAsia="仿宋" w:cs="仿宋"/>
          <w:b/>
          <w:szCs w:val="24"/>
        </w:rPr>
      </w:pPr>
      <w:r>
        <w:rPr>
          <w:rFonts w:ascii="仿宋" w:hAnsi="仿宋" w:eastAsia="仿宋" w:cs="仿宋"/>
          <w:b/>
          <w:szCs w:val="24"/>
        </w:rPr>
        <w:t xml:space="preserve">23. </w:t>
      </w:r>
      <w:r>
        <w:rPr>
          <w:rFonts w:hint="eastAsia" w:ascii="仿宋" w:hAnsi="仿宋" w:eastAsia="仿宋" w:cs="仿宋"/>
          <w:b/>
          <w:szCs w:val="24"/>
        </w:rPr>
        <w:t>中标通知与中标结果公告</w:t>
      </w:r>
    </w:p>
    <w:p>
      <w:pPr>
        <w:widowControl/>
        <w:shd w:val="clear" w:color="auto" w:fill="FFFFFF"/>
        <w:spacing w:line="360" w:lineRule="auto"/>
        <w:ind w:firstLine="480"/>
        <w:jc w:val="left"/>
        <w:rPr>
          <w:rFonts w:ascii="仿宋" w:hAnsi="仿宋" w:eastAsia="仿宋" w:cs="仿宋"/>
          <w:sz w:val="24"/>
        </w:rPr>
      </w:pPr>
      <w:r>
        <w:rPr>
          <w:rFonts w:ascii="仿宋" w:hAnsi="仿宋" w:eastAsia="仿宋" w:cs="仿宋"/>
          <w:sz w:val="24"/>
        </w:rPr>
        <w:t>23.1</w:t>
      </w:r>
      <w:r>
        <w:rPr>
          <w:rFonts w:hint="eastAsia" w:ascii="仿宋" w:hAnsi="仿宋" w:eastAsia="仿宋" w:cs="仿宋"/>
          <w:sz w:val="24"/>
        </w:rPr>
        <w:t>自中标人确定之日起</w:t>
      </w:r>
      <w:r>
        <w:rPr>
          <w:rFonts w:ascii="仿宋" w:hAnsi="仿宋" w:eastAsia="仿宋" w:cs="仿宋"/>
          <w:sz w:val="24"/>
        </w:rPr>
        <w:t>2</w:t>
      </w:r>
      <w:r>
        <w:rPr>
          <w:rFonts w:hint="eastAsia" w:ascii="仿宋" w:hAnsi="仿宋" w:eastAsia="仿宋" w:cs="仿宋"/>
          <w:sz w:val="24"/>
        </w:rPr>
        <w:t>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pPr>
      <w:r>
        <w:rPr>
          <w:rFonts w:ascii="仿宋" w:hAnsi="仿宋" w:eastAsia="仿宋" w:cs="仿宋"/>
          <w:sz w:val="24"/>
        </w:rPr>
        <w:t>23.2</w:t>
      </w:r>
      <w:r>
        <w:rPr>
          <w:rFonts w:hint="eastAsia" w:ascii="仿宋" w:hAnsi="仿宋" w:eastAsia="仿宋" w:cs="仿宋"/>
          <w:sz w:val="24"/>
        </w:rPr>
        <w:t>中标结果公告内容包括采购人及其委托的采购机构的名称、地址、联系方式，项目名称和项目编号，中标人名称、地址和中标金额，主要中标标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
          <w:sz w:val="24"/>
        </w:rPr>
      </w:pPr>
      <w:r>
        <w:rPr>
          <w:rFonts w:ascii="仿宋" w:hAnsi="仿宋" w:eastAsia="仿宋" w:cs="仿宋"/>
          <w:sz w:val="24"/>
        </w:rPr>
        <w:t>23.3</w:t>
      </w:r>
      <w:r>
        <w:rPr>
          <w:rFonts w:hint="eastAsia" w:ascii="仿宋" w:hAnsi="仿宋" w:eastAsia="仿宋" w:cs="仿宋"/>
          <w:sz w:val="24"/>
        </w:rPr>
        <w:t>公告期限为</w:t>
      </w:r>
      <w:r>
        <w:rPr>
          <w:rFonts w:ascii="仿宋" w:hAnsi="仿宋" w:eastAsia="仿宋" w:cs="仿宋"/>
          <w:sz w:val="24"/>
        </w:rPr>
        <w:t>1</w:t>
      </w:r>
      <w:r>
        <w:rPr>
          <w:rFonts w:hint="eastAsia" w:ascii="仿宋" w:hAnsi="仿宋" w:eastAsia="仿宋" w:cs="仿宋"/>
          <w:sz w:val="24"/>
        </w:rPr>
        <w:t>个工作日。</w:t>
      </w:r>
    </w:p>
    <w:p>
      <w:pPr>
        <w:snapToGrid w:val="0"/>
        <w:spacing w:line="360" w:lineRule="auto"/>
        <w:ind w:firstLine="482"/>
        <w:jc w:val="center"/>
        <w:rPr>
          <w:rFonts w:ascii="仿宋" w:hAnsi="仿宋" w:eastAsia="仿宋" w:cs="仿宋"/>
          <w:b/>
          <w:sz w:val="32"/>
        </w:rPr>
      </w:pPr>
      <w:r>
        <w:rPr>
          <w:rFonts w:hint="eastAsia" w:ascii="仿宋" w:hAnsi="仿宋" w:eastAsia="仿宋" w:cs="仿宋"/>
          <w:b/>
          <w:sz w:val="32"/>
        </w:rPr>
        <w:t>七、合同授予</w:t>
      </w:r>
    </w:p>
    <w:p>
      <w:pPr>
        <w:pStyle w:val="18"/>
        <w:spacing w:line="360" w:lineRule="auto"/>
        <w:ind w:left="479" w:hanging="479"/>
        <w:rPr>
          <w:rFonts w:ascii="仿宋" w:hAnsi="仿宋" w:eastAsia="仿宋" w:cs="仿宋"/>
          <w:b/>
        </w:rPr>
      </w:pPr>
      <w:r>
        <w:rPr>
          <w:rFonts w:ascii="仿宋" w:hAnsi="仿宋" w:eastAsia="仿宋" w:cs="仿宋"/>
          <w:b/>
        </w:rPr>
        <w:t xml:space="preserve">24. </w:t>
      </w:r>
      <w:r>
        <w:rPr>
          <w:rFonts w:hint="eastAsia" w:ascii="仿宋" w:hAnsi="仿宋" w:eastAsia="仿宋" w:cs="仿宋"/>
        </w:rPr>
        <w:t>合同主要条款详见第五部分拟签订的合同文本。</w:t>
      </w:r>
    </w:p>
    <w:p>
      <w:pPr>
        <w:pStyle w:val="18"/>
        <w:spacing w:line="360" w:lineRule="auto"/>
        <w:ind w:left="479" w:hanging="479"/>
        <w:rPr>
          <w:rFonts w:ascii="仿宋" w:hAnsi="仿宋" w:eastAsia="仿宋" w:cs="仿宋"/>
          <w:b/>
        </w:rPr>
      </w:pPr>
      <w:r>
        <w:rPr>
          <w:rFonts w:ascii="仿宋" w:hAnsi="仿宋" w:eastAsia="仿宋" w:cs="仿宋"/>
          <w:b/>
        </w:rPr>
        <w:t xml:space="preserve">25. </w:t>
      </w:r>
      <w:r>
        <w:rPr>
          <w:rFonts w:hint="eastAsia" w:ascii="仿宋" w:hAnsi="仿宋" w:eastAsia="仿宋" w:cs="仿宋"/>
          <w:b/>
        </w:rPr>
        <w:t>合同的签订</w:t>
      </w:r>
    </w:p>
    <w:p>
      <w:pPr>
        <w:pStyle w:val="73"/>
        <w:snapToGrid w:val="0"/>
        <w:spacing w:beforeLines="0"/>
        <w:ind w:firstLine="480"/>
        <w:rPr>
          <w:rFonts w:ascii="仿宋" w:hAnsi="仿宋" w:eastAsia="仿宋" w:cs="仿宋"/>
        </w:rPr>
      </w:pPr>
      <w:r>
        <w:rPr>
          <w:rFonts w:ascii="仿宋" w:hAnsi="仿宋" w:eastAsia="仿宋" w:cs="仿宋"/>
        </w:rPr>
        <w:t xml:space="preserve">25.1 </w:t>
      </w:r>
      <w:r>
        <w:rPr>
          <w:rFonts w:hint="eastAsia" w:ascii="仿宋" w:hAnsi="仿宋" w:eastAsia="仿宋" w:cs="仿宋"/>
        </w:rPr>
        <w:t>采购人与中标人应当通过电子交易平台在中标通知书发出之日起三十日内，按照招标文件确定的事项签订政府采购合同，并在规定时间内依法发布合同公告。</w:t>
      </w:r>
    </w:p>
    <w:p>
      <w:pPr>
        <w:pStyle w:val="73"/>
        <w:snapToGrid w:val="0"/>
        <w:spacing w:beforeLines="0"/>
        <w:ind w:firstLine="480"/>
        <w:rPr>
          <w:rFonts w:ascii="仿宋" w:hAnsi="仿宋" w:eastAsia="仿宋" w:cs="仿宋"/>
        </w:rPr>
      </w:pPr>
      <w:r>
        <w:rPr>
          <w:rFonts w:ascii="仿宋" w:hAnsi="仿宋" w:eastAsia="仿宋" w:cs="仿宋"/>
        </w:rPr>
        <w:t>25.2</w:t>
      </w:r>
      <w:r>
        <w:rPr>
          <w:rFonts w:hint="eastAsia" w:ascii="仿宋" w:hAnsi="仿宋" w:eastAsia="仿宋" w:cs="仿宋"/>
        </w:rPr>
        <w:t>中标人按规定的日期、时间、地点，由法定代表人或其授权代表与采购人代表签订合同。如中标人为联合体的，由联合体成员各方法定代表人或其授权代表与采购人代表签订合同。</w:t>
      </w:r>
    </w:p>
    <w:p>
      <w:pPr>
        <w:pStyle w:val="73"/>
        <w:snapToGrid w:val="0"/>
        <w:spacing w:beforeLines="0"/>
        <w:ind w:firstLine="480"/>
        <w:rPr>
          <w:rFonts w:ascii="仿宋" w:hAnsi="仿宋" w:eastAsia="仿宋" w:cs="仿宋"/>
        </w:rPr>
      </w:pPr>
      <w:r>
        <w:rPr>
          <w:rFonts w:ascii="仿宋" w:hAnsi="仿宋" w:eastAsia="仿宋" w:cs="仿宋"/>
        </w:rPr>
        <w:t>25.3</w:t>
      </w:r>
      <w:r>
        <w:rPr>
          <w:rFonts w:hint="eastAsia" w:ascii="仿宋" w:hAnsi="仿宋" w:eastAsia="仿宋" w:cs="仿宋"/>
        </w:rPr>
        <w:t>如签订合同并生效后，供应商无故拒绝或延期，除按照合同条款处理外，列入不良行为记录一次，并给予通报。</w:t>
      </w:r>
    </w:p>
    <w:p>
      <w:pPr>
        <w:pStyle w:val="73"/>
        <w:snapToGrid w:val="0"/>
        <w:spacing w:beforeLines="0"/>
        <w:ind w:firstLine="480"/>
        <w:rPr>
          <w:rFonts w:ascii="仿宋" w:hAnsi="仿宋" w:eastAsia="仿宋" w:cs="仿宋"/>
        </w:rPr>
      </w:pPr>
      <w:r>
        <w:rPr>
          <w:rFonts w:ascii="仿宋" w:hAnsi="仿宋" w:eastAsia="仿宋" w:cs="仿宋"/>
        </w:rPr>
        <w:t>25.4</w:t>
      </w:r>
      <w:r>
        <w:rPr>
          <w:rFonts w:hint="eastAsia" w:ascii="仿宋" w:hAnsi="仿宋" w:eastAsia="仿宋" w:cs="仿宋"/>
        </w:rPr>
        <w:t>中标供应商拒绝与采购人签订合同的，采购人可以按照评审报告推荐的中标或者成交候选人名单排序，确定下一候选人为中标供应商，也可以重新开展政府采购活动。</w:t>
      </w:r>
    </w:p>
    <w:p>
      <w:pPr>
        <w:pStyle w:val="18"/>
        <w:spacing w:line="360" w:lineRule="auto"/>
        <w:ind w:left="479" w:hanging="479"/>
        <w:rPr>
          <w:rFonts w:ascii="仿宋" w:hAnsi="仿宋" w:eastAsia="仿宋" w:cs="仿宋"/>
          <w:b/>
        </w:rPr>
      </w:pPr>
      <w:r>
        <w:rPr>
          <w:rFonts w:ascii="仿宋" w:hAnsi="仿宋" w:eastAsia="仿宋" w:cs="仿宋"/>
          <w:b/>
        </w:rPr>
        <w:t xml:space="preserve">26. </w:t>
      </w:r>
      <w:r>
        <w:rPr>
          <w:rFonts w:hint="eastAsia" w:ascii="仿宋" w:hAnsi="仿宋" w:eastAsia="仿宋" w:cs="仿宋"/>
          <w:b/>
        </w:rPr>
        <w:t>履约保证金</w:t>
      </w:r>
    </w:p>
    <w:p>
      <w:pPr>
        <w:tabs>
          <w:tab w:val="left" w:pos="0"/>
        </w:tabs>
        <w:spacing w:line="360" w:lineRule="auto"/>
        <w:ind w:firstLine="480"/>
      </w:pPr>
      <w:r>
        <w:rPr>
          <w:rFonts w:hint="eastAsia" w:ascii="仿宋" w:hAnsi="仿宋" w:eastAsia="仿宋" w:cs="仿宋"/>
          <w:kern w:val="0"/>
          <w:sz w:val="24"/>
        </w:rPr>
        <w:t>本项目不需要交纳履约保证金</w:t>
      </w:r>
      <w:r>
        <w:rPr>
          <w:rFonts w:hint="eastAsia" w:ascii="仿宋" w:hAnsi="仿宋" w:eastAsia="仿宋" w:cs="仿宋"/>
          <w:sz w:val="24"/>
        </w:rPr>
        <w:t>。</w:t>
      </w:r>
    </w:p>
    <w:p>
      <w:pPr>
        <w:tabs>
          <w:tab w:val="left" w:pos="0"/>
        </w:tabs>
        <w:spacing w:line="360" w:lineRule="auto"/>
        <w:ind w:firstLine="480"/>
        <w:jc w:val="center"/>
        <w:rPr>
          <w:rFonts w:ascii="仿宋" w:hAnsi="仿宋" w:eastAsia="仿宋" w:cs="仿宋"/>
          <w:b/>
          <w:sz w:val="24"/>
        </w:rPr>
      </w:pPr>
      <w:r>
        <w:rPr>
          <w:rFonts w:hint="eastAsia" w:ascii="仿宋" w:hAnsi="仿宋" w:eastAsia="仿宋" w:cs="仿宋"/>
          <w:b/>
          <w:sz w:val="32"/>
        </w:rPr>
        <w:t>八、电子交易活动的中止</w:t>
      </w:r>
    </w:p>
    <w:p>
      <w:pPr>
        <w:pStyle w:val="73"/>
        <w:snapToGrid w:val="0"/>
        <w:spacing w:beforeLines="0"/>
      </w:pPr>
      <w:r>
        <w:rPr>
          <w:rFonts w:ascii="仿宋" w:hAnsi="仿宋" w:eastAsia="仿宋" w:cs="仿宋"/>
        </w:rPr>
        <w:t>2</w:t>
      </w:r>
      <w:r>
        <w:rPr>
          <w:rFonts w:ascii="仿宋" w:hAnsi="仿宋" w:eastAsia="仿宋" w:cs="仿宋"/>
          <w:b/>
          <w:szCs w:val="24"/>
        </w:rPr>
        <w:t xml:space="preserve">7. </w:t>
      </w:r>
      <w:r>
        <w:rPr>
          <w:rFonts w:hint="eastAsia" w:ascii="仿宋" w:hAnsi="仿宋" w:eastAsia="仿宋" w:cs="仿宋"/>
          <w:b/>
          <w:szCs w:val="24"/>
        </w:rPr>
        <w:t>电子交易活动的中止</w:t>
      </w:r>
    </w:p>
    <w:p>
      <w:pPr>
        <w:pStyle w:val="73"/>
        <w:snapToGrid w:val="0"/>
        <w:spacing w:beforeLines="0"/>
        <w:ind w:firstLine="420"/>
        <w:rPr>
          <w:rFonts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73"/>
        <w:snapToGrid w:val="0"/>
        <w:spacing w:beforeLines="0"/>
        <w:ind w:firstLine="480"/>
        <w:rPr>
          <w:rFonts w:ascii="仿宋" w:hAnsi="仿宋" w:eastAsia="仿宋" w:cs="仿宋"/>
        </w:rPr>
      </w:pPr>
      <w:r>
        <w:rPr>
          <w:rFonts w:ascii="仿宋" w:hAnsi="仿宋" w:eastAsia="仿宋" w:cs="仿宋"/>
        </w:rPr>
        <w:t>27.1</w:t>
      </w:r>
      <w:r>
        <w:rPr>
          <w:rFonts w:hint="eastAsia" w:ascii="仿宋" w:hAnsi="仿宋" w:eastAsia="仿宋" w:cs="仿宋"/>
        </w:rPr>
        <w:t>电子交易平台发生故障而无法登录访问的；</w:t>
      </w:r>
    </w:p>
    <w:p>
      <w:pPr>
        <w:pStyle w:val="73"/>
        <w:snapToGrid w:val="0"/>
        <w:spacing w:beforeLines="0"/>
        <w:ind w:firstLine="480"/>
        <w:rPr>
          <w:rFonts w:ascii="仿宋" w:hAnsi="仿宋" w:eastAsia="仿宋" w:cs="仿宋"/>
        </w:rPr>
      </w:pPr>
      <w:r>
        <w:rPr>
          <w:rFonts w:ascii="仿宋" w:hAnsi="仿宋" w:eastAsia="仿宋" w:cs="仿宋"/>
        </w:rPr>
        <w:t>27.2</w:t>
      </w:r>
      <w:r>
        <w:rPr>
          <w:rFonts w:hint="eastAsia" w:ascii="仿宋" w:hAnsi="仿宋" w:eastAsia="仿宋" w:cs="仿宋"/>
        </w:rPr>
        <w:t>电子交易平台应用或数据库出现错误，不能进行正常操作的；</w:t>
      </w:r>
    </w:p>
    <w:p>
      <w:pPr>
        <w:pStyle w:val="73"/>
        <w:snapToGrid w:val="0"/>
        <w:spacing w:beforeLines="0"/>
        <w:ind w:firstLine="480"/>
        <w:rPr>
          <w:rFonts w:ascii="仿宋" w:hAnsi="仿宋" w:eastAsia="仿宋" w:cs="仿宋"/>
        </w:rPr>
      </w:pPr>
      <w:r>
        <w:rPr>
          <w:rFonts w:ascii="仿宋" w:hAnsi="仿宋" w:eastAsia="仿宋" w:cs="仿宋"/>
        </w:rPr>
        <w:t>27.3</w:t>
      </w:r>
      <w:r>
        <w:rPr>
          <w:rFonts w:hint="eastAsia" w:ascii="仿宋" w:hAnsi="仿宋" w:eastAsia="仿宋" w:cs="仿宋"/>
        </w:rPr>
        <w:t>电子交易平台发现严重安全漏洞，有潜在泄密危险的；</w:t>
      </w:r>
    </w:p>
    <w:p>
      <w:pPr>
        <w:pStyle w:val="73"/>
        <w:snapToGrid w:val="0"/>
        <w:spacing w:beforeLines="0"/>
        <w:ind w:firstLine="480"/>
        <w:rPr>
          <w:rFonts w:ascii="仿宋" w:hAnsi="仿宋" w:eastAsia="仿宋" w:cs="仿宋"/>
        </w:rPr>
      </w:pPr>
      <w:r>
        <w:rPr>
          <w:rFonts w:ascii="仿宋" w:hAnsi="仿宋" w:eastAsia="仿宋" w:cs="仿宋"/>
        </w:rPr>
        <w:t>27.4</w:t>
      </w:r>
      <w:r>
        <w:rPr>
          <w:rFonts w:hint="eastAsia" w:ascii="仿宋" w:hAnsi="仿宋" w:eastAsia="仿宋" w:cs="仿宋"/>
        </w:rPr>
        <w:t>病毒发作导致不能进行正常操作的；</w:t>
      </w:r>
    </w:p>
    <w:p>
      <w:pPr>
        <w:pStyle w:val="73"/>
        <w:snapToGrid w:val="0"/>
        <w:spacing w:beforeLines="0"/>
        <w:ind w:firstLine="480"/>
        <w:rPr>
          <w:rFonts w:ascii="仿宋" w:hAnsi="仿宋" w:eastAsia="仿宋" w:cs="仿宋"/>
        </w:rPr>
      </w:pPr>
      <w:r>
        <w:rPr>
          <w:rFonts w:ascii="仿宋" w:hAnsi="仿宋" w:eastAsia="仿宋" w:cs="仿宋"/>
        </w:rPr>
        <w:t>27.5</w:t>
      </w:r>
      <w:r>
        <w:rPr>
          <w:rFonts w:hint="eastAsia" w:ascii="仿宋" w:hAnsi="仿宋" w:eastAsia="仿宋" w:cs="仿宋"/>
        </w:rPr>
        <w:t>其他无法保证电子交易的公平、公正和安全的情况。</w:t>
      </w:r>
    </w:p>
    <w:p>
      <w:pPr>
        <w:pStyle w:val="73"/>
        <w:snapToGrid w:val="0"/>
        <w:spacing w:beforeLines="0"/>
        <w:rPr>
          <w:rFonts w:ascii="仿宋" w:hAnsi="仿宋" w:eastAsia="仿宋" w:cs="仿宋"/>
        </w:rPr>
      </w:pPr>
      <w:r>
        <w:rPr>
          <w:rFonts w:ascii="仿宋" w:hAnsi="仿宋" w:eastAsia="仿宋" w:cs="仿宋"/>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firstLine="482"/>
        <w:jc w:val="center"/>
        <w:rPr>
          <w:rFonts w:ascii="仿宋" w:hAnsi="仿宋" w:eastAsia="仿宋" w:cs="仿宋"/>
          <w:b/>
          <w:sz w:val="32"/>
        </w:rPr>
      </w:pPr>
      <w:r>
        <w:rPr>
          <w:rFonts w:hint="eastAsia" w:ascii="仿宋" w:hAnsi="仿宋" w:eastAsia="仿宋" w:cs="仿宋"/>
          <w:b/>
          <w:sz w:val="32"/>
        </w:rPr>
        <w:t>九、验收</w:t>
      </w:r>
    </w:p>
    <w:p>
      <w:pPr>
        <w:pStyle w:val="18"/>
        <w:spacing w:line="360" w:lineRule="auto"/>
        <w:rPr>
          <w:rFonts w:ascii="仿宋" w:hAnsi="仿宋" w:eastAsia="仿宋" w:cs="仿宋"/>
          <w:b/>
        </w:rPr>
      </w:pPr>
      <w:r>
        <w:rPr>
          <w:rFonts w:ascii="仿宋" w:hAnsi="仿宋" w:eastAsia="仿宋" w:cs="仿宋"/>
          <w:b/>
        </w:rPr>
        <w:t>29.</w:t>
      </w:r>
      <w:r>
        <w:rPr>
          <w:rFonts w:hint="eastAsia" w:ascii="仿宋" w:hAnsi="仿宋" w:eastAsia="仿宋" w:cs="仿宋"/>
          <w:b/>
        </w:rPr>
        <w:t>验收</w:t>
      </w:r>
    </w:p>
    <w:p>
      <w:pPr>
        <w:tabs>
          <w:tab w:val="left" w:pos="0"/>
        </w:tabs>
        <w:spacing w:line="360" w:lineRule="auto"/>
        <w:ind w:firstLine="480"/>
        <w:rPr>
          <w:rFonts w:ascii="仿宋" w:hAnsi="仿宋" w:eastAsia="仿宋" w:cs="仿宋"/>
          <w:kern w:val="0"/>
          <w:sz w:val="24"/>
        </w:rPr>
      </w:pPr>
      <w:r>
        <w:rPr>
          <w:rFonts w:ascii="仿宋" w:hAnsi="仿宋" w:eastAsia="仿宋" w:cs="仿宋"/>
          <w:kern w:val="0"/>
          <w:sz w:val="24"/>
        </w:rPr>
        <w:t>29.1</w:t>
      </w:r>
      <w:r>
        <w:rPr>
          <w:rFonts w:hint="eastAsia" w:ascii="仿宋" w:hAnsi="仿宋" w:eastAsia="仿宋" w:cs="仿宋"/>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ascii="仿宋" w:hAnsi="仿宋" w:eastAsia="仿宋" w:cs="仿宋"/>
          <w:kern w:val="0"/>
          <w:sz w:val="24"/>
        </w:rPr>
        <w:t>29.2</w:t>
      </w:r>
      <w:r>
        <w:rPr>
          <w:rFonts w:hint="eastAsia" w:ascii="仿宋" w:hAnsi="仿宋" w:eastAsia="仿宋" w:cs="仿宋"/>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ascii="仿宋" w:hAnsi="仿宋" w:eastAsia="仿宋" w:cs="仿宋"/>
          <w:kern w:val="0"/>
          <w:sz w:val="24"/>
        </w:rPr>
        <w:t>29.3</w:t>
      </w:r>
      <w:r>
        <w:rPr>
          <w:rFonts w:hint="eastAsia" w:ascii="仿宋" w:hAnsi="仿宋" w:eastAsia="仿宋" w:cs="仿宋"/>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pStyle w:val="76"/>
        <w:spacing w:beforeLines="0" w:afterLines="0" w:line="360" w:lineRule="auto"/>
        <w:jc w:val="center"/>
        <w:rPr>
          <w:rFonts w:ascii="仿宋" w:hAnsi="仿宋" w:eastAsia="仿宋" w:cs="仿宋"/>
          <w:b/>
          <w:sz w:val="36"/>
          <w:szCs w:val="36"/>
        </w:rPr>
      </w:pPr>
      <w:r>
        <w:rPr>
          <w:rFonts w:ascii="仿宋" w:hAnsi="仿宋" w:eastAsia="仿宋" w:cs="仿宋"/>
        </w:rPr>
        <w:t>29.4</w:t>
      </w:r>
      <w:r>
        <w:rPr>
          <w:rFonts w:hint="eastAsia" w:ascii="仿宋" w:hAnsi="仿宋" w:eastAsia="仿宋" w:cs="仿宋"/>
        </w:rPr>
        <w:t>验收合格的项目，采购人将根据采购合同的约定及时向供应商支付采购资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r>
        <w:br w:type="page"/>
      </w:r>
      <w:bookmarkStart w:id="5" w:name="__RefHeading___Toc2895"/>
      <w:bookmarkEnd w:id="5"/>
      <w:r>
        <w:rPr>
          <w:rFonts w:hint="eastAsia" w:ascii="仿宋" w:hAnsi="仿宋" w:eastAsia="仿宋" w:cs="仿宋"/>
          <w:b/>
          <w:sz w:val="36"/>
          <w:szCs w:val="36"/>
        </w:rPr>
        <w:t>第三部分采购需求</w:t>
      </w:r>
    </w:p>
    <w:p>
      <w:pPr>
        <w:rPr>
          <w:rFonts w:ascii="仿宋" w:hAnsi="仿宋" w:eastAsia="仿宋"/>
          <w:b/>
          <w:sz w:val="24"/>
        </w:rPr>
      </w:pPr>
      <w:bookmarkStart w:id="6" w:name="__RefHeading___Toc2910"/>
      <w:bookmarkEnd w:id="6"/>
      <w:bookmarkStart w:id="7" w:name="_Toc86405218"/>
      <w:bookmarkStart w:id="8" w:name="_Toc88727539"/>
      <w:r>
        <w:rPr>
          <w:rFonts w:hint="eastAsia" w:ascii="仿宋" w:hAnsi="仿宋" w:eastAsia="仿宋"/>
          <w:b/>
          <w:sz w:val="24"/>
        </w:rPr>
        <w:t>一、建设背景</w:t>
      </w:r>
      <w:bookmarkEnd w:id="7"/>
      <w:bookmarkEnd w:id="8"/>
    </w:p>
    <w:p>
      <w:pPr>
        <w:spacing w:line="460" w:lineRule="exact"/>
        <w:ind w:firstLine="420" w:firstLineChars="200"/>
        <w:rPr>
          <w:rFonts w:ascii="仿宋" w:hAnsi="仿宋" w:eastAsia="仿宋"/>
        </w:rPr>
      </w:pPr>
      <w:r>
        <w:rPr>
          <w:rFonts w:hint="eastAsia" w:ascii="仿宋" w:hAnsi="仿宋" w:eastAsia="仿宋"/>
        </w:rPr>
        <w:t>2021年2月18日浙江省委召开全省数字化改革大会，全面部署数字化改革工作，其中提出必须坚持“系统安全观，强化政务网络安全体系”，强调三个重点：一是建立从云到端全链路的安全监测体系、防护体系，提升政务网络安全监测能力和主动防御能力；二是各市、县（市、区）、各部门要落实政务网络安全责任制，强化主体责任，加大检查、考核、通报力度；三是“构建完善数据全生命周期安全管理制度体系，落实安全主体责任，健全公共数据安全保障体系，提升数据安全防护能力，落实数据运营工作，建设政务网络和公共数据安全监测预警系统。”为贯彻落实数字化改革要求。</w:t>
      </w:r>
    </w:p>
    <w:p>
      <w:pPr>
        <w:spacing w:line="460" w:lineRule="exact"/>
        <w:ind w:firstLine="420" w:firstLineChars="200"/>
        <w:rPr>
          <w:rFonts w:ascii="仿宋" w:hAnsi="仿宋" w:eastAsia="仿宋"/>
        </w:rPr>
      </w:pPr>
      <w:r>
        <w:rPr>
          <w:rFonts w:hint="eastAsia" w:ascii="仿宋" w:hAnsi="仿宋" w:eastAsia="仿宋"/>
        </w:rPr>
        <w:t>淳安县是杭州市全链路网络安全监管平台建设试点区县，淳安县数据资源中心（以下简称“淳安数据中心”）以此为契机，梳理现有网络安全架构，启动编制网络安全和数据安全（2021-2023）三年行动计划，加强网络安全防御的主动性和可持续性，提升网络安全防护与对抗能力，形成面向实战的安全运行机制，构建网络安全体系规划，提升网络安全规划建设的整体水平，助力淳安县数字化改革。</w:t>
      </w:r>
    </w:p>
    <w:p>
      <w:pPr>
        <w:rPr>
          <w:rFonts w:ascii="仿宋" w:hAnsi="仿宋" w:eastAsia="仿宋"/>
          <w:b/>
          <w:sz w:val="24"/>
        </w:rPr>
      </w:pPr>
      <w:bookmarkStart w:id="9" w:name="_Toc88727540"/>
      <w:r>
        <w:rPr>
          <w:rFonts w:hint="eastAsia" w:ascii="仿宋" w:hAnsi="仿宋" w:eastAsia="仿宋"/>
          <w:b/>
          <w:sz w:val="24"/>
        </w:rPr>
        <w:t>二、现状描述</w:t>
      </w:r>
      <w:bookmarkEnd w:id="9"/>
    </w:p>
    <w:p>
      <w:pPr>
        <w:spacing w:line="460" w:lineRule="exact"/>
        <w:ind w:firstLine="420" w:firstLineChars="200"/>
        <w:rPr>
          <w:rFonts w:ascii="仿宋" w:hAnsi="仿宋" w:eastAsia="仿宋"/>
        </w:rPr>
      </w:pPr>
      <w:r>
        <w:rPr>
          <w:rFonts w:hint="eastAsia" w:ascii="仿宋" w:hAnsi="仿宋" w:eastAsia="仿宋"/>
        </w:rPr>
        <w:t>杭州市数据资源管理局建设的数据安全管控平台为淳安县免费提供了子平台的部署与使用，进一步完善了市-区（县）两级一体化网络安全保障联动能力。</w:t>
      </w:r>
    </w:p>
    <w:p>
      <w:pPr>
        <w:spacing w:line="460" w:lineRule="exact"/>
        <w:ind w:firstLine="420" w:firstLineChars="200"/>
        <w:rPr>
          <w:rFonts w:ascii="仿宋" w:hAnsi="仿宋" w:eastAsia="仿宋"/>
        </w:rPr>
      </w:pPr>
      <w:r>
        <w:rPr>
          <w:rFonts w:hint="eastAsia" w:ascii="仿宋" w:hAnsi="仿宋" w:eastAsia="仿宋"/>
        </w:rPr>
        <w:t>数据管控平台淳安子平台具备了安全数据采集和分析能力，能够对多维度的安全日志数据进行清洗和过滤，对数据进行标准化管理，同时基于</w:t>
      </w:r>
      <w:r>
        <w:rPr>
          <w:rFonts w:ascii="仿宋" w:hAnsi="仿宋" w:eastAsia="仿宋"/>
        </w:rPr>
        <w:t>SQL，提供高吞吐、高实时、高扩展、单易用的开放性数据分析能力</w:t>
      </w:r>
      <w:r>
        <w:rPr>
          <w:rFonts w:hint="eastAsia" w:ascii="仿宋" w:hAnsi="仿宋" w:eastAsia="仿宋"/>
        </w:rPr>
        <w:t>；具备了</w:t>
      </w:r>
      <w:r>
        <w:rPr>
          <w:rFonts w:ascii="仿宋" w:hAnsi="仿宋" w:eastAsia="仿宋"/>
        </w:rPr>
        <w:t>网络安全监管监测</w:t>
      </w:r>
      <w:r>
        <w:rPr>
          <w:rFonts w:hint="eastAsia" w:ascii="仿宋" w:hAnsi="仿宋" w:eastAsia="仿宋"/>
        </w:rPr>
        <w:t>能力，提供网络基础设施的脆弱性、外部威胁和运行情况的安全监管，及时发现安全漏洞和网络入侵行为，提高基础设施的安全可靠性；具备了</w:t>
      </w:r>
      <w:r>
        <w:rPr>
          <w:rFonts w:ascii="仿宋" w:hAnsi="仿宋" w:eastAsia="仿宋"/>
        </w:rPr>
        <w:t>数据安全监管</w:t>
      </w:r>
      <w:r>
        <w:rPr>
          <w:rFonts w:hint="eastAsia" w:ascii="仿宋" w:hAnsi="仿宋" w:eastAsia="仿宋"/>
        </w:rPr>
        <w:t>能力，提供数据流和数据节点的建模工具，可基于建模工具构建业务应用，明确数据访问路径，实现数据流动安全监管；具备了网络安全态势感知能力，</w:t>
      </w:r>
      <w:r>
        <w:rPr>
          <w:rFonts w:ascii="仿宋" w:hAnsi="仿宋" w:eastAsia="仿宋"/>
        </w:rPr>
        <w:t>围绕网络安全提供总体网络安全态势</w:t>
      </w:r>
      <w:r>
        <w:rPr>
          <w:rFonts w:hint="eastAsia" w:ascii="仿宋" w:hAnsi="仿宋" w:eastAsia="仿宋"/>
        </w:rPr>
        <w:t>分析</w:t>
      </w:r>
      <w:r>
        <w:rPr>
          <w:rFonts w:ascii="仿宋" w:hAnsi="仿宋" w:eastAsia="仿宋"/>
        </w:rPr>
        <w:t>。</w:t>
      </w:r>
    </w:p>
    <w:p>
      <w:pPr>
        <w:spacing w:line="460" w:lineRule="exact"/>
        <w:ind w:firstLine="420" w:firstLineChars="200"/>
        <w:rPr>
          <w:rFonts w:ascii="仿宋" w:hAnsi="仿宋" w:eastAsia="仿宋"/>
        </w:rPr>
      </w:pPr>
      <w:r>
        <w:rPr>
          <w:rFonts w:hint="eastAsia" w:ascii="仿宋" w:hAnsi="仿宋" w:eastAsia="仿宋"/>
        </w:rPr>
        <w:t>数据管控平台淳安子平台的建设，已经完成了市-区（县）两级部门的平台数据打通，</w:t>
      </w:r>
      <w:r>
        <w:rPr>
          <w:rFonts w:ascii="仿宋" w:hAnsi="仿宋" w:eastAsia="仿宋"/>
        </w:rPr>
        <w:t>对安全事件形成工单下发处置和跟踪，形成工单处置闭环</w:t>
      </w:r>
      <w:r>
        <w:rPr>
          <w:rFonts w:hint="eastAsia" w:ascii="仿宋" w:hAnsi="仿宋" w:eastAsia="仿宋"/>
        </w:rPr>
        <w:t>，</w:t>
      </w:r>
      <w:r>
        <w:rPr>
          <w:rFonts w:ascii="仿宋" w:hAnsi="仿宋" w:eastAsia="仿宋"/>
        </w:rPr>
        <w:t>实现可上传部分指标信息的功能。</w:t>
      </w:r>
    </w:p>
    <w:p>
      <w:pPr>
        <w:spacing w:line="460" w:lineRule="exact"/>
        <w:ind w:firstLine="420" w:firstLineChars="200"/>
        <w:rPr>
          <w:rFonts w:ascii="仿宋" w:hAnsi="仿宋" w:eastAsia="仿宋"/>
        </w:rPr>
      </w:pPr>
      <w:r>
        <w:rPr>
          <w:rFonts w:hint="eastAsia" w:ascii="仿宋" w:hAnsi="仿宋" w:eastAsia="仿宋"/>
        </w:rPr>
        <w:t>当前淳安县数据资源中心是作为杭州市网络监管主平台的监管对象，子平台为杭州市局服务；为了能够充分利用子平台的能力，同时能够提升淳安县数据资源中心的监管职能，覆盖淳安县全域局委办、党政机</w:t>
      </w:r>
      <w:r>
        <w:rPr>
          <w:rFonts w:ascii="仿宋" w:hAnsi="仿宋" w:eastAsia="仿宋"/>
        </w:rPr>
        <w:t>关</w:t>
      </w:r>
      <w:r>
        <w:rPr>
          <w:rFonts w:hint="eastAsia" w:ascii="仿宋" w:hAnsi="仿宋" w:eastAsia="仿宋"/>
        </w:rPr>
        <w:t>等各单位，通过淳安本地新建全链路安全监管平台，数据管控平台淳安子平台作为全链路安全监管平台的一部分整合进去，实现“云、网、端、边界、数据、应用”全链路网络安全监管。</w:t>
      </w:r>
    </w:p>
    <w:p>
      <w:pPr>
        <w:rPr>
          <w:rFonts w:ascii="仿宋" w:hAnsi="仿宋" w:eastAsia="仿宋"/>
          <w:b/>
          <w:sz w:val="24"/>
        </w:rPr>
      </w:pPr>
      <w:bookmarkStart w:id="10" w:name="_Toc86405219"/>
      <w:bookmarkStart w:id="11" w:name="_Toc88727541"/>
      <w:bookmarkStart w:id="12" w:name="_Toc80779079"/>
      <w:bookmarkStart w:id="13" w:name="_Toc17198115"/>
      <w:bookmarkStart w:id="14" w:name="_Toc75082637"/>
      <w:bookmarkStart w:id="15" w:name="_Toc54888523"/>
      <w:bookmarkStart w:id="16" w:name="_Toc34913457"/>
      <w:r>
        <w:rPr>
          <w:rFonts w:hint="eastAsia" w:ascii="仿宋" w:hAnsi="仿宋" w:eastAsia="仿宋"/>
          <w:b/>
          <w:sz w:val="24"/>
        </w:rPr>
        <w:t>三、</w:t>
      </w:r>
      <w:r>
        <w:rPr>
          <w:rFonts w:ascii="仿宋" w:hAnsi="仿宋" w:eastAsia="仿宋"/>
          <w:b/>
          <w:sz w:val="24"/>
        </w:rPr>
        <w:t>建设目标</w:t>
      </w:r>
      <w:bookmarkEnd w:id="10"/>
      <w:bookmarkEnd w:id="11"/>
    </w:p>
    <w:p>
      <w:pPr>
        <w:spacing w:line="460" w:lineRule="exact"/>
        <w:ind w:firstLine="420" w:firstLineChars="200"/>
        <w:rPr>
          <w:rFonts w:ascii="仿宋" w:hAnsi="仿宋" w:eastAsia="仿宋"/>
        </w:rPr>
      </w:pPr>
      <w:r>
        <w:rPr>
          <w:rFonts w:hint="eastAsia" w:ascii="仿宋" w:hAnsi="仿宋" w:eastAsia="仿宋"/>
        </w:rPr>
        <w:t>根据《浙江省数字化改革总体方案》和《浙江省一体化智能化公共数据平台建设方案》文件要求，围绕一体化智能化公共数据平台“四横四纵两端”总体架构，在数字化改革“1+5”、关键信息基础设施等重要节点按照“四个同步”要求下,采用预防性建设为主、检测响应为辅的思路，按照（2021-202</w:t>
      </w:r>
      <w:r>
        <w:rPr>
          <w:rFonts w:ascii="仿宋" w:hAnsi="仿宋" w:eastAsia="仿宋"/>
        </w:rPr>
        <w:t>3</w:t>
      </w:r>
      <w:r>
        <w:rPr>
          <w:rFonts w:hint="eastAsia" w:ascii="仿宋" w:hAnsi="仿宋" w:eastAsia="仿宋"/>
        </w:rPr>
        <w:t>年）三年行动实施计划，构建覆盖淳安县云、网、端、边界、数据全链路防护、检测、预警、处置、反馈体系。三年规划如下：</w:t>
      </w:r>
    </w:p>
    <w:p>
      <w:pPr>
        <w:rPr>
          <w:rFonts w:ascii="仿宋" w:hAnsi="仿宋" w:eastAsia="仿宋"/>
          <w:b/>
          <w:sz w:val="24"/>
        </w:rPr>
      </w:pPr>
      <w:bookmarkStart w:id="17" w:name="_Toc86405220"/>
      <w:bookmarkStart w:id="18" w:name="_Toc88727542"/>
      <w:bookmarkStart w:id="19" w:name="_Toc88725847"/>
      <w:r>
        <w:rPr>
          <w:rFonts w:hint="eastAsia" w:ascii="仿宋" w:hAnsi="仿宋" w:eastAsia="仿宋"/>
          <w:b/>
          <w:sz w:val="24"/>
        </w:rPr>
        <w:t>阶段一（2021年）：夯实基础，确立规则</w:t>
      </w:r>
      <w:bookmarkEnd w:id="17"/>
      <w:bookmarkEnd w:id="18"/>
      <w:bookmarkEnd w:id="19"/>
    </w:p>
    <w:p>
      <w:pPr>
        <w:spacing w:line="460" w:lineRule="exact"/>
        <w:ind w:firstLine="420" w:firstLineChars="200"/>
        <w:rPr>
          <w:rFonts w:ascii="仿宋" w:hAnsi="仿宋" w:eastAsia="仿宋"/>
        </w:rPr>
      </w:pPr>
      <w:r>
        <w:rPr>
          <w:rFonts w:hint="eastAsia" w:ascii="仿宋" w:hAnsi="仿宋" w:eastAsia="仿宋"/>
        </w:rPr>
        <w:t>加强网络安全基础设施建设，淳安县数据资源中心新建全链路网络安全监管平台，无缝对接市局下发的数据管控平台淳安县子平台，新建全链路一屏可视化掌控模块，完成“云、网、端、边界、数据、应用”全链路网络安全监管平台的开发建设；加强网络安全基础设施建设，完成全链路安全监管平台部署，组建安全运营团队，以数字化改革为抓手，开展日常安全监测及运营工作，建立并逐步完善网络安全政策制度及标准，打造全网安全监测能力、预警能力、分析能力、处置能力为一体的全面治理体系。</w:t>
      </w:r>
    </w:p>
    <w:p>
      <w:pPr>
        <w:rPr>
          <w:rFonts w:ascii="仿宋" w:hAnsi="仿宋" w:eastAsia="仿宋"/>
          <w:b/>
          <w:sz w:val="24"/>
        </w:rPr>
      </w:pPr>
      <w:bookmarkStart w:id="20" w:name="_Toc86405221"/>
      <w:bookmarkStart w:id="21" w:name="_Toc88725848"/>
      <w:bookmarkStart w:id="22" w:name="_Toc88727543"/>
      <w:r>
        <w:rPr>
          <w:rFonts w:hint="eastAsia" w:ascii="仿宋" w:hAnsi="仿宋" w:eastAsia="仿宋"/>
          <w:b/>
          <w:sz w:val="24"/>
        </w:rPr>
        <w:t>阶段二（2022年）：持续运营，优化提升</w:t>
      </w:r>
      <w:bookmarkEnd w:id="20"/>
      <w:bookmarkEnd w:id="21"/>
      <w:bookmarkEnd w:id="22"/>
    </w:p>
    <w:p>
      <w:pPr>
        <w:spacing w:line="460" w:lineRule="exact"/>
        <w:ind w:firstLine="420" w:firstLineChars="200"/>
        <w:rPr>
          <w:rFonts w:ascii="仿宋" w:hAnsi="仿宋" w:eastAsia="仿宋"/>
        </w:rPr>
      </w:pPr>
      <w:r>
        <w:rPr>
          <w:rFonts w:hint="eastAsia" w:ascii="仿宋" w:hAnsi="仿宋" w:eastAsia="仿宋"/>
        </w:rPr>
        <w:t>加强县域网络安全人才培养，加强数据安全防护及监管能力，加强物联网感知领域安全治理能力，构建城市关键信息基础设施综合防御体系。建立联合安全监管工作，统筹协调网信办、公安等主管部门开展安全检查工作，形成工作考核机制，构建多方联动指挥体系。</w:t>
      </w:r>
    </w:p>
    <w:p>
      <w:pPr>
        <w:rPr>
          <w:rFonts w:ascii="仿宋" w:hAnsi="仿宋" w:eastAsia="仿宋"/>
          <w:b/>
          <w:sz w:val="24"/>
        </w:rPr>
      </w:pPr>
      <w:bookmarkStart w:id="23" w:name="_Toc88727544"/>
      <w:bookmarkStart w:id="24" w:name="_Toc86405222"/>
      <w:bookmarkStart w:id="25" w:name="_Toc88725849"/>
      <w:r>
        <w:rPr>
          <w:rFonts w:hint="eastAsia" w:ascii="仿宋" w:hAnsi="仿宋" w:eastAsia="仿宋"/>
          <w:b/>
          <w:sz w:val="24"/>
        </w:rPr>
        <w:t>阶段三（2023年）：体系完善，迭代优化</w:t>
      </w:r>
      <w:bookmarkEnd w:id="23"/>
      <w:bookmarkEnd w:id="24"/>
      <w:bookmarkEnd w:id="25"/>
    </w:p>
    <w:p>
      <w:pPr>
        <w:spacing w:line="460" w:lineRule="exact"/>
        <w:ind w:firstLine="420" w:firstLineChars="200"/>
        <w:rPr>
          <w:rFonts w:ascii="仿宋" w:hAnsi="仿宋" w:eastAsia="仿宋"/>
        </w:rPr>
      </w:pPr>
      <w:r>
        <w:rPr>
          <w:rFonts w:hint="eastAsia" w:ascii="仿宋" w:hAnsi="仿宋" w:eastAsia="仿宋"/>
        </w:rPr>
        <w:t>补齐基础设施安全能力，进一步完善县域数据安全政策制度，优化县域常态化一体化安全运营机制及工作考核机制，最终实现“看得见网络、防得住攻击、抓得住敌手、止得住危险”。</w:t>
      </w:r>
    </w:p>
    <w:p>
      <w:pPr>
        <w:rPr>
          <w:rFonts w:ascii="仿宋" w:hAnsi="仿宋" w:eastAsia="仿宋"/>
          <w:b/>
          <w:i/>
          <w:sz w:val="24"/>
        </w:rPr>
      </w:pPr>
      <w:bookmarkStart w:id="26" w:name="_Toc79159422"/>
      <w:bookmarkStart w:id="27" w:name="_Toc88727545"/>
      <w:bookmarkStart w:id="28" w:name="_Toc80779087"/>
      <w:bookmarkStart w:id="29" w:name="_Toc86405223"/>
      <w:r>
        <w:rPr>
          <w:rFonts w:hint="eastAsia" w:ascii="仿宋" w:hAnsi="仿宋" w:eastAsia="仿宋"/>
          <w:b/>
          <w:sz w:val="24"/>
        </w:rPr>
        <w:t>四、建设原则</w:t>
      </w:r>
      <w:bookmarkEnd w:id="26"/>
      <w:bookmarkEnd w:id="27"/>
      <w:bookmarkEnd w:id="28"/>
      <w:bookmarkEnd w:id="29"/>
    </w:p>
    <w:bookmarkEnd w:id="12"/>
    <w:bookmarkEnd w:id="13"/>
    <w:bookmarkEnd w:id="14"/>
    <w:bookmarkEnd w:id="15"/>
    <w:bookmarkEnd w:id="16"/>
    <w:p>
      <w:pPr>
        <w:spacing w:line="460" w:lineRule="exact"/>
        <w:ind w:firstLine="420" w:firstLineChars="200"/>
        <w:rPr>
          <w:rFonts w:ascii="仿宋" w:hAnsi="仿宋" w:eastAsia="仿宋"/>
        </w:rPr>
      </w:pPr>
      <w:bookmarkStart w:id="30" w:name="_Toc86405228"/>
      <w:bookmarkStart w:id="31" w:name="_Toc80779092"/>
      <w:bookmarkStart w:id="32" w:name="_Toc79159427"/>
      <w:r>
        <w:rPr>
          <w:rFonts w:hint="eastAsia" w:ascii="仿宋" w:hAnsi="仿宋" w:eastAsia="仿宋"/>
        </w:rPr>
        <w:t>本项目建设要着眼于用，务必达到管用、好用、实用的目标，以重点保护为原则，在方案设计中当遵循以下的原则：</w:t>
      </w:r>
    </w:p>
    <w:p>
      <w:pPr>
        <w:ind w:firstLine="354" w:firstLineChars="147"/>
        <w:rPr>
          <w:rFonts w:ascii="仿宋" w:hAnsi="仿宋" w:eastAsia="仿宋"/>
          <w:b/>
          <w:sz w:val="24"/>
        </w:rPr>
      </w:pPr>
      <w:bookmarkStart w:id="33" w:name="_Toc88727546"/>
      <w:bookmarkStart w:id="34" w:name="_Toc80779088"/>
      <w:bookmarkStart w:id="35" w:name="_Toc88725851"/>
      <w:bookmarkStart w:id="36" w:name="_Toc79159423"/>
      <w:bookmarkStart w:id="37" w:name="_Toc86175547"/>
      <w:r>
        <w:rPr>
          <w:rFonts w:hint="eastAsia" w:ascii="仿宋" w:hAnsi="仿宋" w:eastAsia="仿宋"/>
          <w:b/>
          <w:sz w:val="24"/>
        </w:rPr>
        <w:t>全县“一盘棋”原则</w:t>
      </w:r>
      <w:bookmarkEnd w:id="33"/>
      <w:bookmarkEnd w:id="34"/>
      <w:bookmarkEnd w:id="35"/>
      <w:bookmarkEnd w:id="36"/>
      <w:bookmarkEnd w:id="37"/>
    </w:p>
    <w:p>
      <w:pPr>
        <w:spacing w:line="460" w:lineRule="exact"/>
        <w:ind w:firstLine="420" w:firstLineChars="200"/>
        <w:rPr>
          <w:rFonts w:ascii="仿宋" w:hAnsi="仿宋" w:eastAsia="仿宋"/>
        </w:rPr>
      </w:pPr>
      <w:r>
        <w:rPr>
          <w:rFonts w:hint="eastAsia" w:ascii="仿宋" w:hAnsi="仿宋" w:eastAsia="仿宋"/>
        </w:rPr>
        <w:t>在方案建设过程中，一要坚持全县“一盘棋”建设原则，统筹全县电子政务相关资源，统一建设、统一保护、统一监管。二要尽量利用现有的信息系统、网络基础设施、安全监控数据等，综合考虑对已有资源的共享和利用，避免重复建设和浪费。</w:t>
      </w:r>
    </w:p>
    <w:p>
      <w:pPr>
        <w:spacing w:line="460" w:lineRule="exact"/>
        <w:ind w:firstLine="482" w:firstLineChars="200"/>
        <w:rPr>
          <w:rFonts w:ascii="仿宋" w:hAnsi="仿宋" w:eastAsia="仿宋"/>
          <w:b/>
          <w:sz w:val="24"/>
        </w:rPr>
      </w:pPr>
      <w:bookmarkStart w:id="38" w:name="_Toc79159424"/>
      <w:bookmarkStart w:id="39" w:name="_Toc80779089"/>
      <w:bookmarkStart w:id="40" w:name="_Toc88725852"/>
      <w:bookmarkStart w:id="41" w:name="_Toc88727547"/>
      <w:bookmarkStart w:id="42" w:name="_Toc86175548"/>
      <w:r>
        <w:rPr>
          <w:rFonts w:hint="eastAsia" w:ascii="仿宋" w:hAnsi="仿宋" w:eastAsia="仿宋"/>
          <w:b/>
          <w:sz w:val="24"/>
        </w:rPr>
        <w:t>标准规划原则</w:t>
      </w:r>
      <w:bookmarkEnd w:id="38"/>
      <w:bookmarkEnd w:id="39"/>
      <w:bookmarkEnd w:id="40"/>
      <w:bookmarkEnd w:id="41"/>
      <w:bookmarkEnd w:id="42"/>
    </w:p>
    <w:p>
      <w:pPr>
        <w:spacing w:line="460" w:lineRule="exact"/>
        <w:ind w:firstLine="420" w:firstLineChars="200"/>
        <w:rPr>
          <w:rFonts w:ascii="仿宋" w:hAnsi="仿宋" w:eastAsia="仿宋"/>
        </w:rPr>
      </w:pPr>
      <w:r>
        <w:rPr>
          <w:rFonts w:hint="eastAsia" w:ascii="仿宋" w:hAnsi="仿宋" w:eastAsia="仿宋"/>
        </w:rPr>
        <w:t>在方案设计和服务选择方面遵循国家以及行业内的相关标准，严格按照有关程序组织项目建设，并且建设标准符合国家及行业提出的接口规范和技术架构。根据关键信息基础设施安全保护条例征求意见、浙江省数据安全相关管理办法，结合信息系统的重要程度、业务特点，数据的重要程度、敏感程度实现不同强度的安全保护，集中资源优先保护涉及核心业务、关键信息资产的信息系统以及重要数据。</w:t>
      </w:r>
    </w:p>
    <w:p>
      <w:pPr>
        <w:ind w:firstLine="354" w:firstLineChars="147"/>
        <w:rPr>
          <w:rFonts w:ascii="仿宋" w:hAnsi="仿宋" w:eastAsia="仿宋"/>
          <w:b/>
          <w:sz w:val="24"/>
        </w:rPr>
      </w:pPr>
      <w:bookmarkStart w:id="43" w:name="_Toc79159426"/>
      <w:bookmarkStart w:id="44" w:name="_Toc80779091"/>
      <w:bookmarkStart w:id="45" w:name="_Toc86175550"/>
      <w:bookmarkStart w:id="46" w:name="_Toc88725853"/>
      <w:bookmarkStart w:id="47" w:name="_Toc88727548"/>
      <w:r>
        <w:rPr>
          <w:rFonts w:hint="eastAsia" w:ascii="仿宋" w:hAnsi="仿宋" w:eastAsia="仿宋"/>
          <w:b/>
          <w:sz w:val="24"/>
        </w:rPr>
        <w:t>技术先进原则</w:t>
      </w:r>
      <w:bookmarkEnd w:id="43"/>
      <w:bookmarkEnd w:id="44"/>
      <w:bookmarkEnd w:id="45"/>
      <w:bookmarkEnd w:id="46"/>
      <w:bookmarkEnd w:id="47"/>
    </w:p>
    <w:p>
      <w:pPr>
        <w:spacing w:line="460" w:lineRule="exact"/>
        <w:ind w:firstLine="420" w:firstLineChars="200"/>
        <w:rPr>
          <w:rFonts w:ascii="仿宋" w:hAnsi="仿宋" w:eastAsia="仿宋"/>
        </w:rPr>
      </w:pPr>
      <w:r>
        <w:rPr>
          <w:rFonts w:hint="eastAsia" w:ascii="仿宋" w:hAnsi="仿宋" w:eastAsia="仿宋"/>
        </w:rPr>
        <w:t>整体方案设计立足先进技术，采用先进的系统结构、开放的体系架构，使系统在一个周期内保持技术领先水平，具备长足的发展能力，以适应未来网络技术和安全技术的发展和系统使用的科学性。</w:t>
      </w:r>
    </w:p>
    <w:p>
      <w:pPr>
        <w:ind w:firstLine="354" w:firstLineChars="147"/>
        <w:rPr>
          <w:rFonts w:ascii="仿宋" w:hAnsi="仿宋" w:eastAsia="仿宋"/>
          <w:b/>
          <w:sz w:val="24"/>
        </w:rPr>
      </w:pPr>
      <w:bookmarkStart w:id="48" w:name="_Toc88725854"/>
      <w:bookmarkStart w:id="49" w:name="_Toc88727549"/>
      <w:r>
        <w:rPr>
          <w:rFonts w:hint="eastAsia" w:ascii="仿宋" w:hAnsi="仿宋" w:eastAsia="仿宋"/>
          <w:b/>
          <w:sz w:val="24"/>
        </w:rPr>
        <w:t>实战实用原则</w:t>
      </w:r>
      <w:bookmarkEnd w:id="48"/>
      <w:bookmarkEnd w:id="49"/>
    </w:p>
    <w:p>
      <w:pPr>
        <w:spacing w:line="460" w:lineRule="exact"/>
        <w:ind w:firstLine="420" w:firstLineChars="200"/>
        <w:rPr>
          <w:rFonts w:ascii="仿宋" w:hAnsi="仿宋" w:eastAsia="仿宋"/>
        </w:rPr>
      </w:pPr>
      <w:r>
        <w:rPr>
          <w:rFonts w:hint="eastAsia" w:ascii="仿宋" w:hAnsi="仿宋" w:eastAsia="仿宋"/>
        </w:rPr>
        <w:t>本项目是淳安县数字化改革重要技术支撑项目，需要高质量实现全链路网络安全和数据全生命周期的实时安全监管能力，要为全县一体化智能化公共数据平台安全赋能，也要为全县数字化改革应用场景安全赋能。在管理维度和颗粒上要到边到点，要对现有的网络安全管理手段和方法进行全方位重塑。</w:t>
      </w:r>
      <w:r>
        <w:rPr>
          <w:rFonts w:ascii="仿宋" w:hAnsi="仿宋" w:eastAsia="仿宋"/>
        </w:rPr>
        <w:t>另外，本项目在服务期内需无条件免费与省市全链路网络数据安全监测平台实现无缝对接，实现向上充分兼容。</w:t>
      </w:r>
    </w:p>
    <w:p>
      <w:pPr>
        <w:pStyle w:val="2"/>
        <w:keepNext w:val="0"/>
        <w:keepLines w:val="0"/>
        <w:tabs>
          <w:tab w:val="clear" w:pos="360"/>
          <w:tab w:val="clear" w:pos="432"/>
        </w:tabs>
        <w:spacing w:before="156" w:beforeLines="50" w:after="156" w:afterLines="50" w:line="240" w:lineRule="auto"/>
        <w:ind w:left="0" w:firstLine="0"/>
        <w:rPr>
          <w:rFonts w:ascii="仿宋" w:hAnsi="仿宋" w:eastAsia="仿宋"/>
          <w:bCs w:val="0"/>
          <w:kern w:val="2"/>
          <w:sz w:val="24"/>
          <w:szCs w:val="24"/>
        </w:rPr>
      </w:pPr>
      <w:bookmarkStart w:id="50" w:name="_Toc88727550"/>
      <w:r>
        <w:rPr>
          <w:rFonts w:hint="eastAsia" w:ascii="仿宋" w:hAnsi="仿宋" w:eastAsia="仿宋"/>
          <w:bCs w:val="0"/>
          <w:kern w:val="2"/>
          <w:sz w:val="24"/>
          <w:szCs w:val="24"/>
        </w:rPr>
        <w:t>五、建设依据</w:t>
      </w:r>
      <w:bookmarkEnd w:id="30"/>
      <w:bookmarkEnd w:id="50"/>
    </w:p>
    <w:p>
      <w:pPr>
        <w:spacing w:line="460" w:lineRule="exact"/>
        <w:ind w:firstLine="420" w:firstLineChars="200"/>
        <w:rPr>
          <w:rFonts w:ascii="仿宋" w:hAnsi="仿宋" w:eastAsia="仿宋"/>
        </w:rPr>
      </w:pPr>
      <w:r>
        <w:rPr>
          <w:rFonts w:hint="eastAsia" w:ascii="仿宋" w:hAnsi="仿宋" w:eastAsia="仿宋"/>
        </w:rPr>
        <w:t>本项目建设参考一系列国家法律法规、政策导向和省市数字化改革会议等相关要求：《中华人民共和国网络安全法》、《中华人民共和国数据安全法》、《浙江省数字政府建设“十四五”规划》、《杭州市数字政府建设“十四五”规划》、《省市两级公共数据平台建设导则（试行）》、《区县级公共数据平台建设导则（试行）》、《信息安全技术网络安全等级保护安全设计技术要求》（GB_T 25070-2019）、《信息安全技术信息系统安全等级保护实施指南》（GB_T 25058-2010）、《信息安全技术大数据服务安全能力要求》（GB_T 35274-2017）。</w:t>
      </w:r>
    </w:p>
    <w:p>
      <w:pPr>
        <w:pStyle w:val="2"/>
        <w:keepNext w:val="0"/>
        <w:keepLines w:val="0"/>
        <w:tabs>
          <w:tab w:val="clear" w:pos="360"/>
          <w:tab w:val="clear" w:pos="432"/>
        </w:tabs>
        <w:spacing w:before="156" w:beforeLines="50" w:after="156" w:afterLines="50" w:line="240" w:lineRule="auto"/>
        <w:ind w:left="0" w:firstLine="0"/>
        <w:rPr>
          <w:rFonts w:ascii="仿宋" w:hAnsi="仿宋" w:eastAsia="仿宋"/>
          <w:bCs w:val="0"/>
          <w:kern w:val="2"/>
          <w:sz w:val="24"/>
          <w:szCs w:val="24"/>
        </w:rPr>
      </w:pPr>
      <w:bookmarkStart w:id="51" w:name="_Toc88727551"/>
      <w:bookmarkStart w:id="52" w:name="_Toc86405229"/>
      <w:r>
        <w:rPr>
          <w:rFonts w:hint="eastAsia" w:ascii="仿宋" w:hAnsi="仿宋" w:eastAsia="仿宋"/>
          <w:bCs w:val="0"/>
          <w:kern w:val="2"/>
          <w:sz w:val="24"/>
          <w:szCs w:val="24"/>
        </w:rPr>
        <w:t>总体框架</w:t>
      </w:r>
      <w:bookmarkEnd w:id="31"/>
      <w:bookmarkEnd w:id="32"/>
      <w:r>
        <w:rPr>
          <w:rFonts w:hint="eastAsia" w:ascii="仿宋" w:hAnsi="仿宋" w:eastAsia="仿宋"/>
          <w:bCs w:val="0"/>
          <w:kern w:val="2"/>
          <w:sz w:val="24"/>
          <w:szCs w:val="24"/>
        </w:rPr>
        <w:t>设计</w:t>
      </w:r>
      <w:bookmarkEnd w:id="51"/>
      <w:bookmarkEnd w:id="52"/>
    </w:p>
    <w:p>
      <w:pPr>
        <w:pStyle w:val="6"/>
        <w:rPr>
          <w:rFonts w:ascii="仿宋" w:hAnsi="仿宋" w:eastAsia="仿宋"/>
        </w:rPr>
      </w:pPr>
      <w:r>
        <w:rPr>
          <w:rFonts w:ascii="仿宋" w:hAnsi="仿宋" w:eastAsia="仿宋"/>
          <w:lang w:val="en-US"/>
        </w:rPr>
        <w:drawing>
          <wp:inline distT="0" distB="0" distL="114300" distR="114300">
            <wp:extent cx="5276850" cy="3171825"/>
            <wp:effectExtent l="0" t="0" r="11430" b="13335"/>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3"/>
                    <a:stretch>
                      <a:fillRect/>
                    </a:stretch>
                  </pic:blipFill>
                  <pic:spPr>
                    <a:xfrm>
                      <a:off x="0" y="0"/>
                      <a:ext cx="5276850" cy="3171825"/>
                    </a:xfrm>
                    <a:prstGeom prst="rect">
                      <a:avLst/>
                    </a:prstGeom>
                    <a:noFill/>
                    <a:ln>
                      <a:noFill/>
                    </a:ln>
                  </pic:spPr>
                </pic:pic>
              </a:graphicData>
            </a:graphic>
          </wp:inline>
        </w:drawing>
      </w:r>
    </w:p>
    <w:p>
      <w:pPr>
        <w:spacing w:line="460" w:lineRule="exact"/>
        <w:ind w:firstLine="420" w:firstLineChars="200"/>
        <w:rPr>
          <w:rFonts w:ascii="仿宋" w:hAnsi="仿宋" w:eastAsia="仿宋"/>
        </w:rPr>
      </w:pPr>
      <w:r>
        <w:rPr>
          <w:rFonts w:hint="eastAsia" w:ascii="仿宋" w:hAnsi="仿宋" w:eastAsia="仿宋"/>
        </w:rPr>
        <w:t>提供覆盖“云、网、端、边界、数据、应用”各环节网络安全纵深防护体系，汇聚挖掘全网安全风险数据、多源威胁情报数据等进行数据治理后，统一同步到全链路安全监管平台进行安全管理。全链路安全监管平台对淳安县域的政务云、网、终端、公共数据等政务信息基础设施和各类资产进行重点监测和分析，统一展示全网安全态势感知，形成全县一体化对云、网络、终端、数据、应用、边界安全监测、预警、防范、处置的闭环机制。依托大数据技术，建立安全风险感知分析能力，通过精准匹配、重点分析，提供可视化的大数据分析结果，为安全事件的研判、决策及安全重保工作提供有效支撑，加强对关键目标管控、风险识别的能力水平。并形成省、市、县纵向联动及横向与网信、公安等多部门进行安全风险联动指挥。同时全链路安全监管平台与浙政钉组织体系打通，将淳安电子政务相关各单位的责任人、管理人员及相关角色进行有效划分，安全事件、情报快速传达至相关单位处置。利用安全监管措施对安全处置流程各个阶段的安全保障工作和执行情况进行监督管理，确保安全策略在技术环节得到正确执行，相关规章制度在技术层面得到有效的支撑体现。</w:t>
      </w:r>
    </w:p>
    <w:p>
      <w:pPr>
        <w:pStyle w:val="2"/>
        <w:keepNext w:val="0"/>
        <w:keepLines w:val="0"/>
        <w:tabs>
          <w:tab w:val="clear" w:pos="360"/>
          <w:tab w:val="clear" w:pos="432"/>
        </w:tabs>
        <w:spacing w:before="156" w:beforeLines="50" w:after="156" w:afterLines="50" w:line="240" w:lineRule="auto"/>
        <w:ind w:left="0" w:firstLine="0"/>
        <w:rPr>
          <w:rFonts w:ascii="仿宋" w:hAnsi="仿宋" w:eastAsia="仿宋"/>
          <w:sz w:val="24"/>
          <w:szCs w:val="24"/>
        </w:rPr>
      </w:pPr>
      <w:bookmarkStart w:id="53" w:name="_Toc88727552"/>
      <w:r>
        <w:rPr>
          <w:rFonts w:hint="eastAsia" w:ascii="仿宋" w:hAnsi="仿宋" w:eastAsia="仿宋"/>
          <w:sz w:val="24"/>
          <w:szCs w:val="24"/>
        </w:rPr>
        <w:t>六、本期主要建设内容</w:t>
      </w:r>
      <w:bookmarkEnd w:id="53"/>
    </w:p>
    <w:p>
      <w:pPr>
        <w:pStyle w:val="155"/>
        <w:spacing w:line="460" w:lineRule="exact"/>
        <w:ind w:firstLine="422" w:firstLineChars="200"/>
        <w:jc w:val="both"/>
        <w:rPr>
          <w:rFonts w:ascii="仿宋" w:hAnsi="仿宋" w:eastAsia="仿宋"/>
        </w:rPr>
      </w:pPr>
      <w:r>
        <w:rPr>
          <w:rFonts w:hint="eastAsia" w:ascii="仿宋" w:hAnsi="仿宋" w:eastAsia="仿宋"/>
          <w:b/>
          <w:bCs/>
        </w:rPr>
        <w:t>构建全链路网络安全监管平台，</w:t>
      </w:r>
      <w:r>
        <w:rPr>
          <w:rFonts w:hint="eastAsia" w:ascii="仿宋" w:hAnsi="仿宋" w:eastAsia="仿宋"/>
        </w:rPr>
        <w:t>加强网络安全基础设施建设，新建全链路网络安全监管平台，无缝对接浙江省大数据局、杭州市数据资管理局下发的数据管控平台淳安县子平台，新建全链路一屏可视化展现模块，完成“云、网、端、边界、数据、应用”全链路网络安全监管平台的开发建设。</w:t>
      </w:r>
    </w:p>
    <w:p>
      <w:pPr>
        <w:pStyle w:val="155"/>
        <w:spacing w:line="460" w:lineRule="exact"/>
        <w:ind w:firstLine="422" w:firstLineChars="200"/>
        <w:jc w:val="both"/>
        <w:rPr>
          <w:rFonts w:ascii="仿宋" w:hAnsi="仿宋" w:eastAsia="仿宋"/>
        </w:rPr>
      </w:pPr>
      <w:r>
        <w:rPr>
          <w:rFonts w:hint="eastAsia" w:ascii="仿宋" w:hAnsi="仿宋" w:eastAsia="仿宋"/>
          <w:b/>
          <w:bCs/>
        </w:rPr>
        <w:t>构建</w:t>
      </w:r>
      <w:r>
        <w:rPr>
          <w:rFonts w:ascii="仿宋" w:hAnsi="仿宋" w:eastAsia="仿宋"/>
          <w:b/>
          <w:bCs/>
        </w:rPr>
        <w:t>应用安全开发检测体系</w:t>
      </w:r>
      <w:r>
        <w:rPr>
          <w:rFonts w:hint="eastAsia" w:ascii="仿宋" w:hAnsi="仿宋" w:eastAsia="仿宋"/>
          <w:b/>
          <w:bCs/>
        </w:rPr>
        <w:t>，</w:t>
      </w:r>
      <w:r>
        <w:rPr>
          <w:rFonts w:hint="eastAsia" w:ascii="仿宋" w:hAnsi="仿宋" w:eastAsia="仿宋"/>
        </w:rPr>
        <w:t>提供业务上云前的代码审计和渗透测试，构建源代码审计平台，通过源代码安全检测协助开发人员补齐测试能力，通过人工</w:t>
      </w:r>
      <w:r>
        <w:rPr>
          <w:rFonts w:ascii="仿宋" w:hAnsi="仿宋" w:eastAsia="仿宋"/>
        </w:rPr>
        <w:t>+自动化的方式对开发代码进行全面、深入测试，保障代码安全。通过政务业务系统上线前的安全检测确保应用安全补齐所有安全短板。防止先天代码漏洞，让后续的所有安全防护手段都丧失作用，导致数据泄露</w:t>
      </w:r>
      <w:r>
        <w:rPr>
          <w:rFonts w:hint="eastAsia" w:ascii="仿宋" w:hAnsi="仿宋" w:eastAsia="仿宋"/>
        </w:rPr>
        <w:t>；以黑客视角进行全流程访问的攻击测试，最大限度发现目前安全建设薄弱点和入侵途径，协助运维人员整改发现的安全问题并进行安全复测。</w:t>
      </w:r>
    </w:p>
    <w:p>
      <w:pPr>
        <w:pStyle w:val="155"/>
        <w:spacing w:line="460" w:lineRule="exact"/>
        <w:ind w:firstLine="422" w:firstLineChars="200"/>
        <w:jc w:val="both"/>
        <w:rPr>
          <w:rFonts w:ascii="仿宋" w:hAnsi="仿宋" w:eastAsia="仿宋"/>
        </w:rPr>
      </w:pPr>
      <w:r>
        <w:rPr>
          <w:rFonts w:hint="eastAsia" w:ascii="仿宋" w:hAnsi="仿宋" w:eastAsia="仿宋"/>
          <w:b/>
          <w:bCs/>
        </w:rPr>
        <w:t>构建数据安全制度管理体系，</w:t>
      </w:r>
      <w:r>
        <w:rPr>
          <w:rFonts w:hint="eastAsia" w:ascii="仿宋" w:hAnsi="仿宋" w:eastAsia="仿宋"/>
        </w:rPr>
        <w:t>根据省市考核要求，建立健全公共数据安全制度规范体系，制定完善公共数据分类分级、访问权限、共享开放、脱敏销毁、日志审计、监督检查、安全事件应急处置、合作方及其人员管理等标准规范，指导各地各部门做好公共数据安全保障工作，促进公共数据安全管理工作标准化、流程化、规范化，使各项公共数据安全管理工作有规可依。</w:t>
      </w:r>
    </w:p>
    <w:p>
      <w:pPr>
        <w:pStyle w:val="155"/>
        <w:spacing w:line="460" w:lineRule="exact"/>
        <w:ind w:firstLine="422" w:firstLineChars="200"/>
        <w:jc w:val="both"/>
        <w:rPr>
          <w:rFonts w:ascii="仿宋" w:hAnsi="仿宋" w:eastAsia="仿宋"/>
        </w:rPr>
      </w:pPr>
      <w:r>
        <w:rPr>
          <w:rFonts w:hint="eastAsia" w:ascii="仿宋" w:hAnsi="仿宋" w:eastAsia="仿宋"/>
          <w:b/>
          <w:bCs/>
        </w:rPr>
        <w:t>构建数据安全运行管理体系，</w:t>
      </w:r>
      <w:r>
        <w:rPr>
          <w:rFonts w:hint="eastAsia" w:ascii="仿宋" w:hAnsi="仿宋" w:eastAsia="仿宋"/>
        </w:rPr>
        <w:t>建设部署数据安全运行管理平台与数据发现与分类分级平台，保障数据的运行环境稳定健康，提前预知隐患、问题快速定位、故障高效解决。</w:t>
      </w:r>
    </w:p>
    <w:p>
      <w:pPr>
        <w:pStyle w:val="155"/>
        <w:spacing w:line="460" w:lineRule="exact"/>
        <w:ind w:firstLine="422" w:firstLineChars="200"/>
        <w:jc w:val="both"/>
        <w:rPr>
          <w:rFonts w:ascii="仿宋" w:hAnsi="仿宋" w:eastAsia="仿宋"/>
        </w:rPr>
      </w:pPr>
      <w:r>
        <w:rPr>
          <w:rFonts w:hint="eastAsia" w:ascii="仿宋" w:hAnsi="仿宋" w:eastAsia="仿宋"/>
          <w:b/>
          <w:bCs/>
        </w:rPr>
        <w:t>构建平台整体运营服务体系，</w:t>
      </w:r>
      <w:r>
        <w:rPr>
          <w:rFonts w:hint="eastAsia" w:ascii="仿宋" w:hAnsi="仿宋" w:eastAsia="仿宋"/>
        </w:rPr>
        <w:t>通过专业的运营团队、配置专业安全服务，将平台运营使用起来，能够快速响应上级部门的考核与检查，也能够在安全事件发生后第一时间进行应急处置和通报。</w:t>
      </w:r>
    </w:p>
    <w:p>
      <w:pPr>
        <w:pStyle w:val="82"/>
        <w:numPr>
          <w:ilvl w:val="0"/>
          <w:numId w:val="4"/>
        </w:numPr>
        <w:spacing w:line="360" w:lineRule="auto"/>
        <w:ind w:firstLineChars="0"/>
        <w:outlineLvl w:val="1"/>
        <w:rPr>
          <w:rFonts w:ascii="仿宋" w:hAnsi="仿宋" w:eastAsia="仿宋"/>
          <w:b/>
          <w:sz w:val="32"/>
          <w:szCs w:val="32"/>
        </w:rPr>
      </w:pPr>
      <w:bookmarkStart w:id="54" w:name="_Toc88727553"/>
      <w:r>
        <w:rPr>
          <w:rFonts w:hint="eastAsia" w:ascii="仿宋" w:hAnsi="仿宋" w:eastAsia="仿宋"/>
          <w:b/>
          <w:sz w:val="32"/>
          <w:szCs w:val="32"/>
        </w:rPr>
        <w:t>淳安县全链路安全监管平台建设</w:t>
      </w:r>
      <w:bookmarkEnd w:id="54"/>
    </w:p>
    <w:p>
      <w:pPr>
        <w:pStyle w:val="155"/>
        <w:spacing w:line="460" w:lineRule="exact"/>
        <w:ind w:firstLine="420" w:firstLineChars="200"/>
        <w:rPr>
          <w:rFonts w:ascii="仿宋" w:hAnsi="仿宋" w:eastAsia="仿宋"/>
        </w:rPr>
      </w:pPr>
      <w:r>
        <w:rPr>
          <w:rFonts w:hint="eastAsia" w:ascii="仿宋" w:hAnsi="仿宋" w:eastAsia="仿宋"/>
        </w:rPr>
        <w:t>淳安县数据资源中心建设全链路监管平台，基于当前淳安县全域一体化保障体系的现状和三年行动规划的设计，现需建设以下内容：</w:t>
      </w:r>
    </w:p>
    <w:p>
      <w:pPr>
        <w:pStyle w:val="82"/>
        <w:numPr>
          <w:ilvl w:val="0"/>
          <w:numId w:val="5"/>
        </w:numPr>
        <w:spacing w:line="360" w:lineRule="auto"/>
        <w:ind w:firstLineChars="0"/>
        <w:outlineLvl w:val="2"/>
        <w:rPr>
          <w:rFonts w:ascii="仿宋" w:hAnsi="仿宋" w:eastAsia="仿宋"/>
          <w:b/>
          <w:sz w:val="32"/>
          <w:szCs w:val="32"/>
        </w:rPr>
      </w:pPr>
      <w:bookmarkStart w:id="55" w:name="_Toc88725860"/>
      <w:bookmarkStart w:id="56" w:name="_Toc88727554"/>
      <w:r>
        <w:rPr>
          <w:rFonts w:hint="eastAsia" w:ascii="仿宋" w:hAnsi="仿宋" w:eastAsia="仿宋"/>
          <w:b/>
          <w:sz w:val="32"/>
          <w:szCs w:val="32"/>
        </w:rPr>
        <w:t>数据采集分析模块</w:t>
      </w:r>
      <w:bookmarkEnd w:id="55"/>
      <w:bookmarkEnd w:id="56"/>
    </w:p>
    <w:p>
      <w:pPr>
        <w:pStyle w:val="155"/>
        <w:spacing w:line="460" w:lineRule="exact"/>
        <w:ind w:firstLine="420" w:firstLineChars="200"/>
        <w:rPr>
          <w:rFonts w:ascii="仿宋" w:hAnsi="仿宋" w:eastAsia="仿宋"/>
        </w:rPr>
      </w:pPr>
      <w:r>
        <w:rPr>
          <w:rFonts w:hint="eastAsia" w:ascii="仿宋" w:hAnsi="仿宋" w:eastAsia="仿宋"/>
        </w:rPr>
        <w:t>数据采集分析服务用于采集覆盖淳安县全链路中的各种日志数据和安全数据，解决复杂环境下安全数据收集不全面，无法掌握整体安全状态的问题。</w:t>
      </w:r>
    </w:p>
    <w:p>
      <w:pPr>
        <w:pStyle w:val="82"/>
        <w:numPr>
          <w:ilvl w:val="2"/>
          <w:numId w:val="6"/>
        </w:numPr>
        <w:spacing w:line="460" w:lineRule="exact"/>
        <w:ind w:left="426" w:firstLine="0" w:firstLineChars="0"/>
        <w:rPr>
          <w:rFonts w:ascii="仿宋" w:hAnsi="仿宋" w:eastAsia="仿宋"/>
          <w:b/>
        </w:rPr>
      </w:pPr>
      <w:r>
        <w:rPr>
          <w:rFonts w:hint="eastAsia" w:ascii="仿宋" w:hAnsi="仿宋" w:eastAsia="仿宋"/>
          <w:b/>
        </w:rPr>
        <w:t>日志数据采集分析服务（日志探针）</w:t>
      </w:r>
    </w:p>
    <w:p>
      <w:pPr>
        <w:pStyle w:val="155"/>
        <w:wordWrap/>
        <w:spacing w:line="460" w:lineRule="exact"/>
        <w:ind w:firstLine="420" w:firstLineChars="200"/>
        <w:rPr>
          <w:rFonts w:ascii="仿宋" w:hAnsi="仿宋" w:eastAsia="仿宋"/>
        </w:rPr>
      </w:pPr>
      <w:r>
        <w:rPr>
          <w:rFonts w:hint="eastAsia" w:ascii="仿宋" w:hAnsi="仿宋" w:eastAsia="仿宋"/>
        </w:rPr>
        <w:t>日志数据采集分析服务，主要</w:t>
      </w:r>
      <w:r>
        <w:rPr>
          <w:rFonts w:ascii="仿宋" w:hAnsi="仿宋" w:eastAsia="仿宋"/>
        </w:rPr>
        <w:t>采集政务云平台上部署的安全设备、系统产生的安全日志，并对日志进行解析和三维关联分析。</w:t>
      </w:r>
      <w:r>
        <w:rPr>
          <w:rFonts w:hint="eastAsia" w:ascii="仿宋" w:hAnsi="仿宋" w:eastAsia="仿宋"/>
        </w:rPr>
        <w:t>建设全链路监管平台提供日志采集分析服务，满足三年行动规划冗余要求，便于业务扩展。</w:t>
      </w:r>
      <w:r>
        <w:rPr>
          <w:rFonts w:ascii="仿宋" w:hAnsi="仿宋" w:eastAsia="仿宋"/>
        </w:rPr>
        <w:tab/>
      </w:r>
    </w:p>
    <w:p>
      <w:pPr>
        <w:pStyle w:val="155"/>
        <w:wordWrap/>
        <w:spacing w:line="460" w:lineRule="exact"/>
        <w:ind w:firstLine="420" w:firstLineChars="200"/>
        <w:rPr>
          <w:rFonts w:ascii="仿宋" w:hAnsi="仿宋" w:eastAsia="仿宋"/>
        </w:rPr>
      </w:pPr>
      <w:r>
        <w:rPr>
          <w:rFonts w:hint="eastAsia" w:ascii="仿宋" w:hAnsi="仿宋" w:eastAsia="仿宋"/>
        </w:rPr>
        <w:t>日志探针全面支持Syslog、SNMP、XML、FTP及本地文件等协议实现对各种资产进行日志采集，通过开放的标准接口，采集淳安县全链路中所有</w:t>
      </w:r>
      <w:r>
        <w:rPr>
          <w:rFonts w:ascii="仿宋" w:hAnsi="仿宋" w:eastAsia="仿宋"/>
        </w:rPr>
        <w:t>IT设施的审计日志如：操作系统、数据库、中间件、应用系统、数据库、网络设备等，形成安全数据仓，为上层应用提供分析基础。</w:t>
      </w:r>
      <w:r>
        <w:rPr>
          <w:rFonts w:hint="eastAsia" w:ascii="仿宋" w:hAnsi="仿宋" w:eastAsia="仿宋"/>
        </w:rPr>
        <w:t>实现全维度、细粒度关联分析，内置众多的关联规则，支持网络安全攻防检测、合规性检测，及云计算租户间可轻松实现各资产间的关联分析。支持各种网络部署需要，包括日志聚合、日志过滤、事件过滤、日志转发、特殊日志格式支持(如单报文多事件)等。同时，收集通过漏扫或者其他第三方平台披露的漏洞数据，在整体平台安全运营过程中，基于资产数据对漏洞进行多维度的统计和分析，及时掌握系统内部缺陷，做到防范于未然。</w:t>
      </w:r>
    </w:p>
    <w:p>
      <w:pPr>
        <w:pStyle w:val="82"/>
        <w:numPr>
          <w:ilvl w:val="2"/>
          <w:numId w:val="6"/>
        </w:numPr>
        <w:spacing w:line="460" w:lineRule="exact"/>
        <w:ind w:left="426" w:firstLine="0" w:firstLineChars="0"/>
        <w:rPr>
          <w:rFonts w:ascii="仿宋" w:hAnsi="仿宋" w:eastAsia="仿宋"/>
          <w:b/>
        </w:rPr>
      </w:pPr>
      <w:r>
        <w:rPr>
          <w:rFonts w:hint="eastAsia" w:ascii="仿宋" w:hAnsi="仿宋" w:eastAsia="仿宋"/>
          <w:b/>
        </w:rPr>
        <w:t>流量数据采集分析服务（流量探针）</w:t>
      </w:r>
      <w:r>
        <w:rPr>
          <w:rFonts w:ascii="仿宋" w:hAnsi="仿宋" w:eastAsia="仿宋"/>
          <w:b/>
        </w:rPr>
        <w:tab/>
      </w:r>
    </w:p>
    <w:p>
      <w:pPr>
        <w:pStyle w:val="155"/>
        <w:wordWrap/>
        <w:spacing w:line="460" w:lineRule="exact"/>
        <w:ind w:firstLine="420" w:firstLineChars="200"/>
        <w:rPr>
          <w:rFonts w:ascii="仿宋" w:hAnsi="仿宋" w:eastAsia="仿宋"/>
        </w:rPr>
      </w:pPr>
      <w:r>
        <w:rPr>
          <w:rFonts w:hint="eastAsia" w:ascii="仿宋" w:hAnsi="仿宋" w:eastAsia="仿宋"/>
        </w:rPr>
        <w:t>当前淳安县缺少对恶意流量未知威胁的采集分析能力，本项目需部署流量数据采集分析能力探针。</w:t>
      </w:r>
      <w:r>
        <w:rPr>
          <w:rFonts w:ascii="仿宋" w:hAnsi="仿宋" w:eastAsia="仿宋"/>
        </w:rPr>
        <w:t>流量数据采集分析服务</w:t>
      </w:r>
      <w:r>
        <w:rPr>
          <w:rFonts w:hint="eastAsia" w:ascii="仿宋" w:hAnsi="仿宋" w:eastAsia="仿宋"/>
        </w:rPr>
        <w:t>主要</w:t>
      </w:r>
      <w:r>
        <w:rPr>
          <w:rFonts w:ascii="仿宋" w:hAnsi="仿宋" w:eastAsia="仿宋"/>
        </w:rPr>
        <w:t>采集政务外网出口的流量，进行综合分析，发现流量中存在的木马、蠕虫、SQL注入、等各种威胁。</w:t>
      </w:r>
    </w:p>
    <w:p>
      <w:pPr>
        <w:pStyle w:val="155"/>
        <w:wordWrap/>
        <w:spacing w:line="460" w:lineRule="exact"/>
        <w:ind w:firstLine="420" w:firstLineChars="200"/>
        <w:rPr>
          <w:rFonts w:ascii="仿宋" w:hAnsi="仿宋" w:eastAsia="仿宋"/>
        </w:rPr>
      </w:pPr>
      <w:r>
        <w:rPr>
          <w:rFonts w:hint="eastAsia" w:ascii="仿宋" w:hAnsi="仿宋" w:eastAsia="仿宋"/>
        </w:rPr>
        <w:t>流量探针对采集数据的各类流量数据进行还原，通过对网络中流量的分析，经过关键标签索引和关联分析，可以发现网络中异常流量和异常访问，判断网络中流量访问是否存在异常，为后续事件分析处置做基础。通过流量发现等手段对网内资产的存活情况进行跟踪，一旦发现超出当前管理范围的</w:t>
      </w:r>
      <w:r>
        <w:rPr>
          <w:rFonts w:ascii="仿宋" w:hAnsi="仿宋" w:eastAsia="仿宋"/>
        </w:rPr>
        <w:t>IP，可以导出相关数据进行编辑后再录入资产数据库。而对于已经录入资产数据库的资产，可以通过分组、标记等方式对资产做更加细致的管理。</w:t>
      </w:r>
    </w:p>
    <w:p>
      <w:pPr>
        <w:pStyle w:val="82"/>
        <w:numPr>
          <w:ilvl w:val="2"/>
          <w:numId w:val="6"/>
        </w:numPr>
        <w:spacing w:line="460" w:lineRule="exact"/>
        <w:ind w:left="426" w:firstLine="0" w:firstLineChars="0"/>
        <w:rPr>
          <w:rFonts w:ascii="仿宋" w:hAnsi="仿宋" w:eastAsia="仿宋"/>
          <w:b/>
        </w:rPr>
      </w:pPr>
      <w:r>
        <w:rPr>
          <w:rFonts w:hint="eastAsia" w:ascii="仿宋" w:hAnsi="仿宋" w:eastAsia="仿宋"/>
          <w:b/>
        </w:rPr>
        <w:t>数据库数据采集分析服务（数据探针）</w:t>
      </w:r>
      <w:r>
        <w:rPr>
          <w:rFonts w:ascii="仿宋" w:hAnsi="仿宋" w:eastAsia="仿宋"/>
          <w:b/>
        </w:rPr>
        <w:tab/>
      </w:r>
    </w:p>
    <w:p>
      <w:pPr>
        <w:pStyle w:val="155"/>
        <w:wordWrap/>
        <w:spacing w:line="460" w:lineRule="exact"/>
        <w:ind w:firstLine="420" w:firstLineChars="200"/>
        <w:rPr>
          <w:rFonts w:ascii="仿宋" w:hAnsi="仿宋" w:eastAsia="仿宋"/>
        </w:rPr>
      </w:pPr>
      <w:r>
        <w:rPr>
          <w:rFonts w:hint="eastAsia" w:ascii="仿宋" w:hAnsi="仿宋" w:eastAsia="仿宋"/>
        </w:rPr>
        <w:t>当前已采购美创数据库审计系统，可以</w:t>
      </w:r>
      <w:r>
        <w:rPr>
          <w:rFonts w:ascii="仿宋" w:hAnsi="仿宋" w:eastAsia="仿宋"/>
        </w:rPr>
        <w:t>采集和审计政务云平台上的业务信息系统的数据库操作数据</w:t>
      </w:r>
      <w:r>
        <w:rPr>
          <w:rFonts w:hint="eastAsia" w:ascii="仿宋" w:hAnsi="仿宋" w:eastAsia="仿宋"/>
        </w:rPr>
        <w:t>，开放提供平台标准化的A</w:t>
      </w:r>
      <w:r>
        <w:rPr>
          <w:rFonts w:ascii="仿宋" w:hAnsi="仿宋" w:eastAsia="仿宋"/>
        </w:rPr>
        <w:t>PI</w:t>
      </w:r>
      <w:r>
        <w:rPr>
          <w:rFonts w:hint="eastAsia" w:ascii="仿宋" w:hAnsi="仿宋" w:eastAsia="仿宋"/>
        </w:rPr>
        <w:t>接口和现有数据安全已经建设的数据库审计、数据库运维、数据静态脱敏和数据水印等产品进行日志对接。</w:t>
      </w:r>
    </w:p>
    <w:p>
      <w:pPr>
        <w:pStyle w:val="82"/>
        <w:numPr>
          <w:ilvl w:val="2"/>
          <w:numId w:val="6"/>
        </w:numPr>
        <w:spacing w:line="360" w:lineRule="auto"/>
        <w:ind w:left="426" w:firstLine="0" w:firstLineChars="0"/>
        <w:rPr>
          <w:rFonts w:ascii="仿宋" w:hAnsi="仿宋" w:eastAsia="仿宋"/>
          <w:b/>
        </w:rPr>
      </w:pPr>
      <w:r>
        <w:rPr>
          <w:rFonts w:hint="eastAsia" w:ascii="仿宋" w:hAnsi="仿宋" w:eastAsia="仿宋"/>
          <w:b/>
        </w:rPr>
        <w:t>与现有安全数据源对接说明</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6" w:type="pct"/>
            <w:noWrap/>
            <w:vAlign w:val="center"/>
          </w:tcPr>
          <w:p>
            <w:pPr>
              <w:ind w:left="120" w:firstLine="638"/>
              <w:jc w:val="left"/>
              <w:rPr>
                <w:rFonts w:ascii="仿宋" w:hAnsi="仿宋" w:eastAsia="仿宋"/>
                <w:b/>
                <w:bCs/>
                <w:kern w:val="0"/>
                <w:szCs w:val="32"/>
                <w:lang w:eastAsia="en-US"/>
              </w:rPr>
            </w:pPr>
            <w:r>
              <w:rPr>
                <w:rFonts w:hint="eastAsia" w:ascii="仿宋" w:hAnsi="仿宋" w:eastAsia="仿宋"/>
                <w:b/>
                <w:bCs/>
                <w:kern w:val="0"/>
                <w:szCs w:val="32"/>
              </w:rPr>
              <w:t>现有安全产品</w:t>
            </w:r>
            <w:r>
              <w:rPr>
                <w:rFonts w:hint="eastAsia" w:ascii="仿宋" w:hAnsi="仿宋" w:eastAsia="仿宋"/>
                <w:b/>
                <w:bCs/>
                <w:kern w:val="0"/>
                <w:szCs w:val="32"/>
                <w:lang w:eastAsia="en-US"/>
              </w:rPr>
              <w:t>内容</w:t>
            </w:r>
          </w:p>
        </w:tc>
        <w:tc>
          <w:tcPr>
            <w:tcW w:w="3224" w:type="pct"/>
            <w:noWrap w:val="0"/>
            <w:vAlign w:val="center"/>
          </w:tcPr>
          <w:p>
            <w:pPr>
              <w:ind w:left="120" w:firstLine="638"/>
              <w:jc w:val="left"/>
              <w:rPr>
                <w:rFonts w:ascii="仿宋" w:hAnsi="仿宋" w:eastAsia="仿宋"/>
                <w:b/>
                <w:bCs/>
                <w:kern w:val="0"/>
                <w:szCs w:val="32"/>
                <w:lang w:eastAsia="en-US"/>
              </w:rPr>
            </w:pPr>
            <w:r>
              <w:rPr>
                <w:rFonts w:hint="eastAsia" w:ascii="仿宋" w:hAnsi="仿宋" w:eastAsia="仿宋"/>
                <w:b/>
                <w:bCs/>
                <w:kern w:val="0"/>
                <w:szCs w:val="32"/>
                <w:lang w:eastAsia="en-US"/>
              </w:rPr>
              <w:t>对接要求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6" w:type="pct"/>
            <w:noWrap/>
            <w:vAlign w:val="center"/>
          </w:tcPr>
          <w:p>
            <w:pPr>
              <w:jc w:val="left"/>
              <w:rPr>
                <w:rFonts w:ascii="仿宋" w:hAnsi="仿宋" w:eastAsia="仿宋"/>
                <w:kern w:val="0"/>
                <w:szCs w:val="32"/>
              </w:rPr>
            </w:pPr>
            <w:r>
              <w:rPr>
                <w:rFonts w:hint="eastAsia" w:ascii="仿宋" w:hAnsi="仿宋" w:eastAsia="仿宋"/>
                <w:kern w:val="0"/>
                <w:szCs w:val="32"/>
              </w:rPr>
              <w:t>现有终端安全数据采集</w:t>
            </w:r>
          </w:p>
        </w:tc>
        <w:tc>
          <w:tcPr>
            <w:tcW w:w="3224" w:type="pct"/>
            <w:noWrap w:val="0"/>
            <w:vAlign w:val="center"/>
          </w:tcPr>
          <w:p>
            <w:pPr>
              <w:ind w:left="120"/>
              <w:jc w:val="left"/>
              <w:rPr>
                <w:rFonts w:ascii="仿宋" w:hAnsi="仿宋" w:eastAsia="仿宋"/>
                <w:kern w:val="0"/>
                <w:szCs w:val="32"/>
              </w:rPr>
            </w:pPr>
            <w:r>
              <w:rPr>
                <w:rFonts w:hint="eastAsia" w:ascii="仿宋" w:hAnsi="仿宋" w:eastAsia="仿宋"/>
                <w:kern w:val="0"/>
                <w:szCs w:val="32"/>
              </w:rPr>
              <w:t>对接现有终端安全管理系统，进行终端安装率、终端感染数、终端感染率和终端资产信息采集，进行统一分析监管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6" w:type="pct"/>
            <w:noWrap/>
            <w:vAlign w:val="center"/>
          </w:tcPr>
          <w:p>
            <w:pPr>
              <w:jc w:val="left"/>
              <w:rPr>
                <w:rFonts w:ascii="仿宋" w:hAnsi="仿宋" w:eastAsia="仿宋"/>
                <w:kern w:val="0"/>
                <w:szCs w:val="32"/>
              </w:rPr>
            </w:pPr>
            <w:r>
              <w:rPr>
                <w:rFonts w:hint="eastAsia" w:ascii="仿宋" w:hAnsi="仿宋" w:eastAsia="仿宋"/>
                <w:kern w:val="0"/>
                <w:szCs w:val="32"/>
              </w:rPr>
              <w:t>现有网络安全数据采集</w:t>
            </w:r>
          </w:p>
        </w:tc>
        <w:tc>
          <w:tcPr>
            <w:tcW w:w="3224" w:type="pct"/>
            <w:noWrap w:val="0"/>
            <w:vAlign w:val="center"/>
          </w:tcPr>
          <w:p>
            <w:pPr>
              <w:ind w:left="120"/>
              <w:jc w:val="left"/>
              <w:rPr>
                <w:rFonts w:ascii="仿宋" w:hAnsi="仿宋" w:eastAsia="仿宋"/>
                <w:kern w:val="0"/>
                <w:szCs w:val="32"/>
              </w:rPr>
            </w:pPr>
            <w:r>
              <w:rPr>
                <w:rFonts w:hint="eastAsia" w:ascii="仿宋" w:hAnsi="仿宋" w:eastAsia="仿宋"/>
                <w:kern w:val="0"/>
                <w:szCs w:val="32"/>
              </w:rPr>
              <w:t>支持天融信W</w:t>
            </w:r>
            <w:r>
              <w:rPr>
                <w:rFonts w:ascii="仿宋" w:hAnsi="仿宋" w:eastAsia="仿宋"/>
                <w:kern w:val="0"/>
                <w:szCs w:val="32"/>
              </w:rPr>
              <w:t>AF</w:t>
            </w:r>
            <w:r>
              <w:rPr>
                <w:rFonts w:hint="eastAsia" w:ascii="仿宋" w:hAnsi="仿宋" w:eastAsia="仿宋"/>
                <w:kern w:val="0"/>
                <w:szCs w:val="32"/>
              </w:rPr>
              <w:t>、安恒W</w:t>
            </w:r>
            <w:r>
              <w:rPr>
                <w:rFonts w:ascii="仿宋" w:hAnsi="仿宋" w:eastAsia="仿宋"/>
                <w:kern w:val="0"/>
                <w:szCs w:val="32"/>
              </w:rPr>
              <w:t>AF</w:t>
            </w:r>
            <w:r>
              <w:rPr>
                <w:rFonts w:hint="eastAsia" w:ascii="仿宋" w:hAnsi="仿宋" w:eastAsia="仿宋"/>
                <w:kern w:val="0"/>
                <w:szCs w:val="32"/>
              </w:rPr>
              <w:t>、思福迪S</w:t>
            </w:r>
            <w:r>
              <w:rPr>
                <w:rFonts w:ascii="仿宋" w:hAnsi="仿宋" w:eastAsia="仿宋"/>
                <w:kern w:val="0"/>
                <w:szCs w:val="32"/>
              </w:rPr>
              <w:t>OC</w:t>
            </w:r>
            <w:r>
              <w:rPr>
                <w:rFonts w:hint="eastAsia" w:ascii="仿宋" w:hAnsi="仿宋" w:eastAsia="仿宋"/>
                <w:kern w:val="0"/>
                <w:szCs w:val="32"/>
              </w:rPr>
              <w:t>等网络安全设备进行对接，收集安全日志，进行统一分析监管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76" w:type="pct"/>
            <w:noWrap/>
            <w:vAlign w:val="center"/>
          </w:tcPr>
          <w:p>
            <w:pPr>
              <w:jc w:val="left"/>
              <w:rPr>
                <w:rFonts w:ascii="仿宋" w:hAnsi="仿宋" w:eastAsia="仿宋"/>
                <w:kern w:val="0"/>
                <w:szCs w:val="32"/>
              </w:rPr>
            </w:pPr>
            <w:r>
              <w:rPr>
                <w:rFonts w:hint="eastAsia" w:ascii="仿宋" w:hAnsi="仿宋" w:eastAsia="仿宋"/>
                <w:kern w:val="0"/>
                <w:szCs w:val="32"/>
              </w:rPr>
              <w:t>现有数据安全数据采集</w:t>
            </w:r>
          </w:p>
        </w:tc>
        <w:tc>
          <w:tcPr>
            <w:tcW w:w="3224" w:type="pct"/>
            <w:noWrap w:val="0"/>
            <w:vAlign w:val="center"/>
          </w:tcPr>
          <w:p>
            <w:pPr>
              <w:ind w:left="120"/>
              <w:jc w:val="left"/>
              <w:rPr>
                <w:rFonts w:ascii="仿宋" w:hAnsi="仿宋" w:eastAsia="仿宋"/>
                <w:kern w:val="0"/>
                <w:szCs w:val="32"/>
              </w:rPr>
            </w:pPr>
            <w:r>
              <w:rPr>
                <w:rFonts w:hint="eastAsia" w:ascii="仿宋" w:hAnsi="仿宋" w:eastAsia="仿宋"/>
                <w:kern w:val="0"/>
                <w:szCs w:val="32"/>
              </w:rPr>
              <w:t>支持与美创脱敏、美创防水坝等数据安全产品进行数据（数据脱敏、审计追查、访问控制等）对接，收集数据安全日志，进行统一分析监管</w:t>
            </w:r>
          </w:p>
        </w:tc>
      </w:tr>
    </w:tbl>
    <w:p>
      <w:pPr>
        <w:pStyle w:val="155"/>
        <w:rPr>
          <w:rFonts w:ascii="仿宋" w:hAnsi="仿宋" w:eastAsia="仿宋"/>
        </w:rPr>
      </w:pPr>
    </w:p>
    <w:p>
      <w:pPr>
        <w:pStyle w:val="155"/>
        <w:rPr>
          <w:rFonts w:ascii="仿宋" w:hAnsi="仿宋" w:eastAsia="仿宋"/>
        </w:rPr>
      </w:pPr>
      <w:r>
        <w:rPr>
          <w:rFonts w:hint="eastAsia" w:ascii="仿宋" w:hAnsi="仿宋" w:eastAsia="仿宋"/>
        </w:rPr>
        <w:t>技术指标要求：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noWrap/>
            <w:vAlign w:val="center"/>
          </w:tcPr>
          <w:p>
            <w:pPr>
              <w:pStyle w:val="6"/>
              <w:spacing w:line="300" w:lineRule="auto"/>
              <w:jc w:val="center"/>
              <w:rPr>
                <w:rFonts w:ascii="仿宋" w:hAnsi="仿宋" w:eastAsia="仿宋"/>
                <w:b/>
                <w:bCs/>
              </w:rPr>
            </w:pPr>
            <w:r>
              <w:rPr>
                <w:rFonts w:hint="eastAsia" w:ascii="仿宋" w:hAnsi="仿宋" w:eastAsia="仿宋"/>
                <w:b/>
                <w:bCs/>
              </w:rPr>
              <w:t>技术指标</w:t>
            </w:r>
          </w:p>
        </w:tc>
        <w:tc>
          <w:tcPr>
            <w:tcW w:w="3816" w:type="pct"/>
            <w:noWrap w:val="0"/>
            <w:vAlign w:val="center"/>
          </w:tcPr>
          <w:p>
            <w:pPr>
              <w:pStyle w:val="6"/>
              <w:spacing w:line="300" w:lineRule="auto"/>
              <w:jc w:val="center"/>
              <w:rPr>
                <w:rFonts w:ascii="仿宋" w:hAnsi="仿宋" w:eastAsia="仿宋"/>
                <w:b/>
                <w:bCs/>
              </w:rPr>
            </w:pPr>
            <w:r>
              <w:rPr>
                <w:rFonts w:hint="eastAsia" w:ascii="仿宋" w:hAnsi="仿宋" w:eastAsia="仿宋"/>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restart"/>
            <w:noWrap/>
            <w:vAlign w:val="center"/>
          </w:tcPr>
          <w:p>
            <w:pPr>
              <w:pStyle w:val="6"/>
              <w:spacing w:line="300" w:lineRule="auto"/>
              <w:jc w:val="center"/>
              <w:rPr>
                <w:rFonts w:ascii="仿宋" w:hAnsi="仿宋" w:eastAsia="仿宋"/>
              </w:rPr>
            </w:pPr>
            <w:r>
              <w:rPr>
                <w:rFonts w:hint="eastAsia" w:ascii="仿宋" w:hAnsi="仿宋" w:eastAsia="仿宋"/>
              </w:rPr>
              <w:t>平台监控</w:t>
            </w: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支持监控当前接入数据的实时性能情况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jc w:val="center"/>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支持监测数据中台节点信息以及集群的负载情况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jc w:val="center"/>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支持监测采集器自身性能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restart"/>
            <w:noWrap/>
            <w:vAlign w:val="center"/>
          </w:tcPr>
          <w:p>
            <w:pPr>
              <w:pStyle w:val="6"/>
              <w:spacing w:line="300" w:lineRule="auto"/>
              <w:jc w:val="center"/>
              <w:rPr>
                <w:rFonts w:ascii="仿宋" w:hAnsi="仿宋" w:eastAsia="仿宋"/>
              </w:rPr>
            </w:pPr>
            <w:r>
              <w:rPr>
                <w:rFonts w:hint="eastAsia" w:ascii="仿宋" w:hAnsi="仿宋" w:eastAsia="仿宋"/>
              </w:rPr>
              <w:t>数据接入</w:t>
            </w: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支持对当前采集器进行管理维护、以及采集器类型的统计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jc w:val="center"/>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对每个采集器进行配置，包括SNMP Trap、文本格式日志、数据库日志、WMI日志、Netflow日志、Syslog日志的配置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restart"/>
            <w:noWrap/>
            <w:vAlign w:val="center"/>
          </w:tcPr>
          <w:p>
            <w:pPr>
              <w:pStyle w:val="6"/>
              <w:spacing w:line="300" w:lineRule="auto"/>
              <w:jc w:val="center"/>
              <w:rPr>
                <w:rFonts w:ascii="仿宋" w:hAnsi="仿宋" w:eastAsia="仿宋"/>
              </w:rPr>
            </w:pPr>
            <w:r>
              <w:rPr>
                <w:rFonts w:hint="eastAsia" w:ascii="仿宋" w:hAnsi="仿宋" w:eastAsia="仿宋"/>
              </w:rPr>
              <w:t>数据处理</w:t>
            </w: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支持配置日志采集器的解析规则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ign w:val="center"/>
          </w:tcPr>
          <w:p>
            <w:pPr>
              <w:pStyle w:val="6"/>
              <w:spacing w:line="300" w:lineRule="auto"/>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支持统计没累采集器当前未解析的日志，并且可以查看未解析原始数据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restart"/>
            <w:noWrap/>
            <w:vAlign w:val="center"/>
          </w:tcPr>
          <w:p>
            <w:pPr>
              <w:pStyle w:val="6"/>
              <w:spacing w:line="300" w:lineRule="auto"/>
              <w:jc w:val="center"/>
              <w:rPr>
                <w:rFonts w:ascii="仿宋" w:hAnsi="仿宋" w:eastAsia="仿宋"/>
              </w:rPr>
            </w:pPr>
            <w:r>
              <w:rPr>
                <w:rFonts w:hint="eastAsia" w:ascii="仿宋" w:hAnsi="仿宋" w:eastAsia="仿宋"/>
              </w:rPr>
              <w:t>规则管理</w:t>
            </w: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支持统计每种规则的个数，并以列表的方式展示规则，能够展示每个规则被引用的次数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jc w:val="center"/>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支持添加编辑规则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jc w:val="center"/>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规则能够支持正则表达式匹配、分隔符匹配、key-value匹配、json匹配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restart"/>
            <w:noWrap/>
            <w:vAlign w:val="center"/>
          </w:tcPr>
          <w:p>
            <w:pPr>
              <w:pStyle w:val="6"/>
              <w:spacing w:line="300" w:lineRule="auto"/>
              <w:jc w:val="center"/>
              <w:rPr>
                <w:rFonts w:ascii="仿宋" w:hAnsi="仿宋" w:eastAsia="仿宋"/>
              </w:rPr>
            </w:pPr>
            <w:r>
              <w:rPr>
                <w:rFonts w:hint="eastAsia" w:ascii="仿宋" w:hAnsi="仿宋" w:eastAsia="仿宋"/>
              </w:rPr>
              <w:t>数据管理</w:t>
            </w: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支持可视化的配置页面，能够在页面上直观的验证规则是否正确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支持所有存储字段的管理维护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restart"/>
            <w:noWrap/>
            <w:vAlign w:val="center"/>
          </w:tcPr>
          <w:p>
            <w:pPr>
              <w:pStyle w:val="6"/>
              <w:spacing w:line="300" w:lineRule="auto"/>
              <w:jc w:val="center"/>
              <w:rPr>
                <w:rFonts w:ascii="仿宋" w:hAnsi="仿宋" w:eastAsia="仿宋"/>
              </w:rPr>
            </w:pPr>
            <w:r>
              <w:rPr>
                <w:rFonts w:hint="eastAsia" w:ascii="仿宋" w:hAnsi="仿宋" w:eastAsia="仿宋"/>
              </w:rPr>
              <w:t>日志类型配置</w:t>
            </w: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支持自定义日志类型分组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4" w:type="pct"/>
            <w:vMerge w:val="continue"/>
            <w:noWrap w:val="0"/>
            <w:vAlign w:val="center"/>
          </w:tcPr>
          <w:p>
            <w:pPr>
              <w:pStyle w:val="6"/>
              <w:spacing w:line="300" w:lineRule="auto"/>
              <w:rPr>
                <w:rFonts w:ascii="仿宋" w:hAnsi="仿宋" w:eastAsia="仿宋"/>
              </w:rPr>
            </w:pPr>
          </w:p>
        </w:tc>
        <w:tc>
          <w:tcPr>
            <w:tcW w:w="3816" w:type="pct"/>
            <w:noWrap w:val="0"/>
            <w:vAlign w:val="center"/>
          </w:tcPr>
          <w:p>
            <w:pPr>
              <w:pStyle w:val="6"/>
              <w:spacing w:line="300" w:lineRule="auto"/>
              <w:rPr>
                <w:rFonts w:ascii="仿宋" w:hAnsi="仿宋" w:eastAsia="仿宋"/>
              </w:rPr>
            </w:pPr>
            <w:r>
              <w:rPr>
                <w:rFonts w:hint="eastAsia" w:ascii="仿宋" w:hAnsi="仿宋" w:eastAsia="仿宋"/>
              </w:rPr>
              <w:t>支持自定义日志类型，包括存储的方式、数据保留天数，重要程度</w:t>
            </w:r>
          </w:p>
        </w:tc>
      </w:tr>
    </w:tbl>
    <w:p>
      <w:pPr>
        <w:pStyle w:val="155"/>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57" w:name="_Toc79159431"/>
      <w:bookmarkStart w:id="58" w:name="_Toc86405234"/>
      <w:bookmarkStart w:id="59" w:name="_Toc80779096"/>
      <w:bookmarkStart w:id="60" w:name="_Toc88727555"/>
      <w:bookmarkStart w:id="61" w:name="_Toc88725861"/>
      <w:r>
        <w:rPr>
          <w:rFonts w:hint="eastAsia" w:ascii="仿宋" w:hAnsi="仿宋" w:eastAsia="仿宋"/>
          <w:b/>
          <w:sz w:val="32"/>
          <w:szCs w:val="32"/>
        </w:rPr>
        <w:t>实时安全监测</w:t>
      </w:r>
      <w:bookmarkEnd w:id="57"/>
      <w:bookmarkEnd w:id="58"/>
      <w:bookmarkEnd w:id="59"/>
      <w:r>
        <w:rPr>
          <w:rFonts w:hint="eastAsia" w:ascii="仿宋" w:hAnsi="仿宋" w:eastAsia="仿宋"/>
          <w:b/>
          <w:sz w:val="32"/>
          <w:szCs w:val="32"/>
        </w:rPr>
        <w:t>模块</w:t>
      </w:r>
      <w:bookmarkEnd w:id="60"/>
      <w:bookmarkEnd w:id="61"/>
    </w:p>
    <w:p>
      <w:pPr>
        <w:pStyle w:val="155"/>
        <w:spacing w:line="460" w:lineRule="exact"/>
        <w:ind w:firstLine="420" w:firstLineChars="200"/>
        <w:rPr>
          <w:rFonts w:ascii="仿宋" w:hAnsi="仿宋" w:eastAsia="仿宋"/>
        </w:rPr>
      </w:pPr>
      <w:r>
        <w:rPr>
          <w:rFonts w:hint="eastAsia" w:ascii="仿宋" w:hAnsi="仿宋" w:eastAsia="仿宋"/>
        </w:rPr>
        <w:t>依托全链路监管平台建设数据安全和网络安全实时监测能力，实时监测整体安全情况，形成高价值的告警事件，对各类安全事件进行管理，包括形成监测任务及结果闭环。</w:t>
      </w:r>
    </w:p>
    <w:p>
      <w:pPr>
        <w:pStyle w:val="155"/>
        <w:spacing w:line="460" w:lineRule="exact"/>
        <w:ind w:firstLine="420" w:firstLineChars="200"/>
        <w:rPr>
          <w:rFonts w:ascii="仿宋" w:hAnsi="仿宋" w:eastAsia="仿宋"/>
        </w:rPr>
      </w:pPr>
      <w:r>
        <w:rPr>
          <w:rFonts w:hint="eastAsia" w:ascii="仿宋" w:hAnsi="仿宋" w:eastAsia="仿宋"/>
        </w:rPr>
        <w:t>收集平台数据采集设备集群的各类安全监测设备及策略和任务，能及时发现、识别网络攻击威胁，监测恐怖组织、黑客组织、不法份子等的攻击活动、攻击行为、攻击方法手段；监测重点保护对象所受的攻击威胁、破坏、窃密、渗透等情况，以及重点保护对象的网络、系统、大数据等安全状况、存在的漏洞、隐患等，为快速处置、通报等提供基础支撑。</w:t>
      </w:r>
    </w:p>
    <w:p>
      <w:pPr>
        <w:pStyle w:val="155"/>
        <w:spacing w:line="460" w:lineRule="exact"/>
        <w:ind w:firstLine="420" w:firstLineChars="200"/>
        <w:rPr>
          <w:rFonts w:ascii="仿宋" w:hAnsi="仿宋" w:eastAsia="仿宋"/>
        </w:rPr>
      </w:pPr>
      <w:r>
        <w:rPr>
          <w:rFonts w:hint="eastAsia" w:ascii="仿宋" w:hAnsi="仿宋" w:eastAsia="仿宋"/>
        </w:rPr>
        <w:t>实时监测对应用系统或设备提供安全监测能力，可自定义设置监测配置。包括可用性监测、脆弱性监测、篡改监测、敏感词监测、自动发现，对系统及设备进行全天后全方位监测。实时监测是建立在资产中心之上的功能模块，在建立资产基础信息后就会触发实时监测的各类除自动探测之外的监测任务。</w:t>
      </w:r>
    </w:p>
    <w:p>
      <w:pPr>
        <w:pStyle w:val="155"/>
        <w:spacing w:line="460" w:lineRule="exact"/>
        <w:ind w:firstLine="420" w:firstLineChars="200"/>
        <w:rPr>
          <w:rFonts w:ascii="仿宋" w:hAnsi="仿宋" w:eastAsia="仿宋"/>
        </w:rPr>
      </w:pPr>
      <w:r>
        <w:rPr>
          <w:rFonts w:hint="eastAsia" w:ascii="仿宋" w:hAnsi="仿宋" w:eastAsia="仿宋"/>
        </w:rPr>
        <w:t>实时监测可针对资产下发各类安全方面的监测且能将监测结果接入到系统中形成监测任务及结果的闭环，且监测任务是周期性的，保证了监测的时效性，也提供自动发现功能。监测结果更有助于安全管理人员掌握资产的安全情况，根据监测结果进行更详细的安全感知，从而处理解决安全问题，为后续处置、通报提供支撑。</w:t>
      </w:r>
    </w:p>
    <w:p>
      <w:pPr>
        <w:ind w:firstLine="420" w:firstLineChars="200"/>
        <w:rPr>
          <w:rFonts w:ascii="仿宋" w:hAnsi="仿宋" w:eastAsia="仿宋"/>
        </w:rPr>
      </w:pPr>
      <w:r>
        <w:rPr>
          <w:rFonts w:hint="eastAsia" w:ascii="仿宋" w:hAnsi="仿宋" w:eastAsia="仿宋"/>
        </w:rPr>
        <w:t>技术指标要求：</w:t>
      </w:r>
    </w:p>
    <w:tbl>
      <w:tblPr>
        <w:tblStyle w:val="3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b/>
                <w:bCs/>
              </w:rPr>
              <w:t>技术指标</w:t>
            </w:r>
          </w:p>
        </w:tc>
        <w:tc>
          <w:tcPr>
            <w:tcW w:w="7343" w:type="dxa"/>
            <w:noWrap/>
            <w:vAlign w:val="center"/>
          </w:tcPr>
          <w:p>
            <w:pPr>
              <w:pStyle w:val="6"/>
              <w:spacing w:line="300" w:lineRule="auto"/>
              <w:jc w:val="center"/>
              <w:rPr>
                <w:rFonts w:ascii="仿宋" w:hAnsi="仿宋" w:eastAsia="仿宋"/>
              </w:rPr>
            </w:pPr>
            <w:r>
              <w:rPr>
                <w:rFonts w:hint="eastAsia" w:ascii="仿宋" w:hAnsi="仿宋" w:eastAsia="仿宋"/>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监测概况</w:t>
            </w: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支持根据时间段统计分析整体安全状况，默认统计最近一天的数据，并支持未匹配单位告警统计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支持告警各维度分析统计，维度 包括攻击结果、事件级别、告警类型、 事件类型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支持单位安全事件发生 TOP5统计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支持按照时间度段分析网络安全风险趋势，包括告警趋势、事件趋势、时间可精确到小时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支持按照数据来源统计时间周期内每种告警的数量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支持按照告警受影响资产统计涉及单位、涉及网站、涉及IP的排名情况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支持威胁来源top100分析，并可通过威胁IP下钻到具体的告警列表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支持按照单位视角统计每个单位涉及的每类告警的数量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告警列表</w:t>
            </w: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支持多种类型的漏洞发现能力，漏洞类型包括：</w:t>
            </w:r>
          </w:p>
          <w:p>
            <w:pPr>
              <w:pStyle w:val="6"/>
              <w:spacing w:line="320" w:lineRule="exact"/>
              <w:rPr>
                <w:rFonts w:ascii="仿宋" w:hAnsi="仿宋" w:eastAsia="仿宋"/>
              </w:rPr>
            </w:pPr>
            <w:r>
              <w:rPr>
                <w:rFonts w:hint="eastAsia" w:ascii="仿宋" w:hAnsi="仿宋" w:eastAsia="仿宋"/>
              </w:rPr>
              <w:t>SQL注入, 跨站脚本攻击（XSS）, 文件包含, 代码执行, 命令执行, 文件上传, 任意文件操作, 权限绕过, 跨站请求伪造（CSRF）, 路径遍历, 配置错误, 逻辑漏洞, 弱口令, 后门, 信息泄露, 后置链接, 数字错误, 信任管理, 竞争条件, 授权问题, 代码问题, 资源管理错误, 输入验证, 缓冲区错误, 格式化字符串, 命令注入, 操作系统命令注入, 代码注入, 失效的访问控制, 访问控制错误, 加密问题, 未充分验证数据可靠性, 安全特性问题, 失效的身份认证, XML外部实体（XXE）, 不安全的反序列化, 使用含有已知漏洞的组件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支持网页漏洞利用告警发现，主要类型包括：</w:t>
            </w:r>
          </w:p>
          <w:p>
            <w:pPr>
              <w:pStyle w:val="6"/>
              <w:spacing w:line="320" w:lineRule="exact"/>
              <w:rPr>
                <w:rFonts w:ascii="仿宋" w:hAnsi="仿宋" w:eastAsia="仿宋"/>
              </w:rPr>
            </w:pPr>
            <w:r>
              <w:rPr>
                <w:rFonts w:hint="eastAsia" w:ascii="仿宋" w:hAnsi="仿宋" w:eastAsia="仿宋"/>
              </w:rPr>
              <w:t>SQL注入, 跨站脚本攻击（XSS）, 文件写入, 文件下载, 文件上传, 文件读取, 文件包含, 弱口令, 配置不当/错误, 目录遍历, 默认配置不当, 命令执行, 敏感信息/重要文件泄漏, 逻辑/设计错误, 跨站请求伪造（CSRF）, 后门程序, 非授权访问/权限绕过, 代码执行, URL跳转, 系统/服务配置不当, WEBSHELL利用, WEBSHELL上传, 隧道, 电脑病毒, 网络蠕虫, 特洛伊木马, 窃密木马, 僵尸网络, 远控木马, 挂马, 键盘记录, 用户自定义, 间谍软件, 恶意广告, 勒索软件, 挖矿木马, 黑市工具, 流氓推广, 协议异常, 应用异常, SYN Flood, UDP Flood, ICMP Flood, ACK Flood, DNS Flood, HTTP Flood, HTTPS Flood, 溢出攻击, 浏览器劫持, 端口扫描, 网络钓鱼, 网络扫描, 暴力猜解, 高级威胁, 黑链, 内容变更, 热点钓鱼, 信息泄露, 违规内容, 访问状态异常, DNS解析异常, Webshell利用, WEB扫描, 网络爬虫, 敏感操作, Webshell上传, 代理通道, 拒绝服务, 网络欺骗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支持恶意软件的发现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支持DDOS攻击告警的发现，主要类型包括：</w:t>
            </w:r>
          </w:p>
          <w:p>
            <w:pPr>
              <w:pStyle w:val="6"/>
              <w:spacing w:line="320" w:lineRule="exact"/>
              <w:rPr>
                <w:rFonts w:ascii="仿宋" w:hAnsi="仿宋" w:eastAsia="仿宋"/>
              </w:rPr>
            </w:pPr>
            <w:r>
              <w:rPr>
                <w:rFonts w:hint="eastAsia" w:ascii="仿宋" w:hAnsi="仿宋" w:eastAsia="仿宋"/>
              </w:rPr>
              <w:t>SYN Flood, UDP Flood, ICMP Flood, ACK Flood, DNS Response Flood, Http Flood, LAND Flood, IGMP Flood, TCP Flag NULL, TCP Flag误用, Protocol NULL Flood, Https Flood, DNS Request Flood, SIP Flood, DARK IP, PRIVATE IP, NTP REFLECTION Flood, SSDP REFLECTION Flood, SNMP REFLECTION Flood, CHARGEN REFLECTION Flood, TRAFFIC ABNORMAL, cc攻击, 拒绝服务, 协议异常, SIP-IP-Flood, SIP-ACK-Flood, SIP-SYN-Flood, SIP-Frag-Flood, SIP-UDP-Flood, SIP-ICMP-Flood, Frag-flood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支持多种网络攻击的发现，主要包括：</w:t>
            </w:r>
          </w:p>
          <w:p>
            <w:pPr>
              <w:pStyle w:val="6"/>
              <w:spacing w:line="320" w:lineRule="exact"/>
              <w:rPr>
                <w:rFonts w:ascii="仿宋" w:hAnsi="仿宋" w:eastAsia="仿宋"/>
              </w:rPr>
            </w:pPr>
            <w:r>
              <w:rPr>
                <w:rFonts w:hint="eastAsia" w:ascii="仿宋" w:hAnsi="仿宋" w:eastAsia="仿宋"/>
              </w:rPr>
              <w:t>网络欺骗, 端口扫描, 溢出攻击, 拒绝服务, 代码执行, 信息泄露, 黑市工具, SQL注入, 网络钓鱼, 恶意广告, 暴力猜解, 间谍软件, 后门程序, 浏览器劫持, 键盘记录, 窃密木马, 僵尸网络, 网络蠕虫, 电脑病毒, 协议异常, 网络扫描, WEB扫描, 应用异常, SYN Flood, UDP Flood, ICMP Flood, ACK Flood, DNS Flood, HTTP Flood, HTTPS Flood, 违规内容, 网络爬虫, 敏感操作, 代理通道, 特洛伊木马, 远控木马, 挂马, 用户自定义, 勒索软件, 挖矿木马, 流氓推广, URL跳转, 非授权访问/权限绕过, 跨站脚本攻击（XSS）, 跨站请求伪造（CSRF）, 逻辑/设计错误, 命令执行, 目录遍历, 配置不当/错误, 文件包含, 文件读取, 文件上传, 文件下载, 文件写入, 高级威胁, 黑链, 内容变更, 热点钓鱼, 弱口令, 访问状态异常, DNS解析异常, Webshell利用, Webshell上传, 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343" w:type="dxa"/>
            <w:noWrap w:val="0"/>
            <w:vAlign w:val="center"/>
          </w:tcPr>
          <w:p>
            <w:pPr>
              <w:pStyle w:val="6"/>
              <w:spacing w:line="320" w:lineRule="exact"/>
              <w:rPr>
                <w:rFonts w:ascii="仿宋" w:hAnsi="仿宋" w:eastAsia="仿宋"/>
              </w:rPr>
            </w:pPr>
            <w:r>
              <w:rPr>
                <w:rFonts w:hint="eastAsia" w:ascii="仿宋" w:hAnsi="仿宋" w:eastAsia="仿宋"/>
              </w:rPr>
              <w:t>支持恶意文件检测告警发现能力，主要包括：</w:t>
            </w:r>
          </w:p>
          <w:p>
            <w:pPr>
              <w:pStyle w:val="6"/>
              <w:spacing w:line="320" w:lineRule="exact"/>
              <w:rPr>
                <w:rFonts w:ascii="仿宋" w:hAnsi="仿宋" w:eastAsia="仿宋"/>
              </w:rPr>
            </w:pPr>
            <w:r>
              <w:rPr>
                <w:rFonts w:hint="eastAsia" w:ascii="仿宋" w:hAnsi="仿宋" w:eastAsia="仿宋"/>
              </w:rPr>
              <w:t>僵尸网络, 勒索软件, 黑市工具, 远控木马, 窃密木马, 网络蠕虫, 流氓推广, 电脑病毒, 特洛伊木马, 间谍软件, 恶意广告, 挖矿木马</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62" w:name="_Toc86405233"/>
      <w:bookmarkStart w:id="63" w:name="_Toc88725862"/>
      <w:bookmarkStart w:id="64" w:name="_Toc88727556"/>
      <w:r>
        <w:rPr>
          <w:rFonts w:hint="eastAsia" w:ascii="仿宋" w:hAnsi="仿宋" w:eastAsia="仿宋"/>
          <w:b/>
          <w:sz w:val="32"/>
          <w:szCs w:val="32"/>
        </w:rPr>
        <w:t>综合分析</w:t>
      </w:r>
      <w:bookmarkEnd w:id="62"/>
      <w:r>
        <w:rPr>
          <w:rFonts w:hint="eastAsia" w:ascii="仿宋" w:hAnsi="仿宋" w:eastAsia="仿宋"/>
          <w:b/>
          <w:sz w:val="32"/>
          <w:szCs w:val="32"/>
        </w:rPr>
        <w:t>模块</w:t>
      </w:r>
      <w:bookmarkEnd w:id="63"/>
      <w:bookmarkEnd w:id="64"/>
    </w:p>
    <w:p>
      <w:pPr>
        <w:spacing w:line="460" w:lineRule="exact"/>
        <w:ind w:firstLine="420" w:firstLineChars="200"/>
        <w:rPr>
          <w:rFonts w:ascii="仿宋" w:hAnsi="仿宋" w:eastAsia="仿宋"/>
        </w:rPr>
      </w:pPr>
      <w:r>
        <w:rPr>
          <w:rFonts w:hint="eastAsia" w:ascii="仿宋" w:hAnsi="仿宋" w:eastAsia="仿宋"/>
        </w:rPr>
        <w:t>依托全链路监管平台对采集的“云、网、端、边界、数据、应用”的数据进行统一综合分析，精准识别攻击和威胁，为各级指挥员和基层防御人员提供有价值的决策支撑，完善全链路网络安全监管数据多维综合分析能力。</w:t>
      </w:r>
    </w:p>
    <w:p>
      <w:pPr>
        <w:spacing w:line="460" w:lineRule="exact"/>
        <w:ind w:firstLine="420" w:firstLineChars="200"/>
        <w:rPr>
          <w:rFonts w:ascii="仿宋" w:hAnsi="仿宋" w:eastAsia="仿宋"/>
        </w:rPr>
      </w:pPr>
      <w:r>
        <w:rPr>
          <w:rFonts w:hint="eastAsia" w:ascii="仿宋" w:hAnsi="仿宋" w:eastAsia="仿宋"/>
        </w:rPr>
        <w:t>对本项目整个安全监管功能要求来说，数据服务是基础，安全分析是核心，通报处置是目标。没有丰富完善、准确详实的数据，就无法进行准确的数据分析，从而也得不到正确的结果，无法为各级指挥员和基层防御人员提供有价值的决策支撑。没有正确的结论，就无法指导后续的通报处置。</w:t>
      </w:r>
    </w:p>
    <w:p>
      <w:pPr>
        <w:spacing w:line="460" w:lineRule="exact"/>
        <w:ind w:firstLine="420" w:firstLineChars="200"/>
        <w:rPr>
          <w:rFonts w:ascii="仿宋" w:hAnsi="仿宋" w:eastAsia="仿宋"/>
        </w:rPr>
      </w:pPr>
      <w:r>
        <w:rPr>
          <w:rFonts w:hint="eastAsia" w:ascii="仿宋" w:hAnsi="仿宋" w:eastAsia="仿宋"/>
        </w:rPr>
        <w:t>网络攻击和威胁变得越来越复杂，安全分析方法也在随着攻击和威胁的演变而不断演进。当前已有的众多安全分析方法和手段，无法解决所有的安全问题，任何一种单一的安全分析方法只能解决某一类或某些特定的安全问题。本项目要求针对复杂的安全问题，采取多种安全分析方法进行综合分析，精准识别攻击和威胁，提供精准的溯源攻击链，协助安全运维人员快速定位到问题源头，从根本上解决安全问题。</w:t>
      </w:r>
    </w:p>
    <w:p>
      <w:pPr>
        <w:ind w:firstLine="420" w:firstLineChars="200"/>
        <w:rPr>
          <w:rFonts w:ascii="仿宋" w:hAnsi="仿宋" w:eastAsia="仿宋"/>
        </w:rPr>
      </w:pPr>
      <w:r>
        <w:rPr>
          <w:rFonts w:hint="eastAsia" w:ascii="仿宋" w:hAnsi="仿宋" w:eastAsia="仿宋"/>
        </w:rPr>
        <w:t>技术指标要求：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noWrap w:val="0"/>
            <w:vAlign w:val="center"/>
          </w:tcPr>
          <w:p>
            <w:pPr>
              <w:pStyle w:val="6"/>
              <w:spacing w:line="300" w:lineRule="auto"/>
              <w:jc w:val="center"/>
              <w:rPr>
                <w:rFonts w:ascii="仿宋" w:hAnsi="仿宋" w:eastAsia="仿宋"/>
              </w:rPr>
            </w:pPr>
            <w:r>
              <w:rPr>
                <w:rFonts w:hint="eastAsia" w:ascii="仿宋" w:hAnsi="仿宋" w:eastAsia="仿宋"/>
                <w:b/>
                <w:bCs/>
              </w:rPr>
              <w:t>技术指标</w:t>
            </w:r>
          </w:p>
        </w:tc>
        <w:tc>
          <w:tcPr>
            <w:tcW w:w="3808" w:type="pct"/>
            <w:noWrap w:val="0"/>
            <w:vAlign w:val="center"/>
          </w:tcPr>
          <w:p>
            <w:pPr>
              <w:pStyle w:val="6"/>
              <w:spacing w:line="300" w:lineRule="auto"/>
              <w:jc w:val="center"/>
              <w:rPr>
                <w:rFonts w:ascii="仿宋" w:hAnsi="仿宋" w:eastAsia="仿宋"/>
              </w:rPr>
            </w:pPr>
            <w:r>
              <w:rPr>
                <w:rFonts w:hint="eastAsia" w:ascii="仿宋" w:hAnsi="仿宋" w:eastAsia="仿宋"/>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noWrap w:val="0"/>
            <w:vAlign w:val="center"/>
          </w:tcPr>
          <w:p>
            <w:pPr>
              <w:pStyle w:val="6"/>
              <w:spacing w:line="300" w:lineRule="auto"/>
              <w:jc w:val="center"/>
              <w:rPr>
                <w:rFonts w:ascii="仿宋" w:hAnsi="仿宋" w:eastAsia="仿宋"/>
              </w:rPr>
            </w:pPr>
            <w:r>
              <w:rPr>
                <w:rFonts w:hint="eastAsia" w:ascii="仿宋" w:hAnsi="仿宋" w:eastAsia="仿宋"/>
              </w:rPr>
              <w:t>攻击链分析</w:t>
            </w:r>
          </w:p>
        </w:tc>
        <w:tc>
          <w:tcPr>
            <w:tcW w:w="3808" w:type="pct"/>
            <w:noWrap w:val="0"/>
            <w:vAlign w:val="center"/>
          </w:tcPr>
          <w:p>
            <w:pPr>
              <w:pStyle w:val="6"/>
              <w:widowControl/>
              <w:spacing w:line="320" w:lineRule="exact"/>
              <w:jc w:val="left"/>
              <w:rPr>
                <w:rFonts w:ascii="仿宋" w:hAnsi="仿宋" w:eastAsia="仿宋"/>
              </w:rPr>
            </w:pPr>
            <w:r>
              <w:rPr>
                <w:rFonts w:hint="eastAsia" w:ascii="仿宋" w:hAnsi="仿宋" w:eastAsia="仿宋"/>
              </w:rPr>
              <w:t>分析任务管理：系统支持对溯源任务进行管理，支持溯源任务的创建、删除、任务重启等操作</w:t>
            </w:r>
          </w:p>
          <w:p>
            <w:pPr>
              <w:pStyle w:val="6"/>
              <w:widowControl/>
              <w:spacing w:line="320" w:lineRule="exact"/>
              <w:jc w:val="left"/>
              <w:rPr>
                <w:rFonts w:ascii="仿宋" w:hAnsi="仿宋" w:eastAsia="仿宋"/>
              </w:rPr>
            </w:pPr>
            <w:r>
              <w:rPr>
                <w:rFonts w:hint="eastAsia" w:ascii="仿宋" w:hAnsi="仿宋" w:eastAsia="仿宋"/>
              </w:rPr>
              <w:t>分析任务创建：系统支持从任一安全事件做为线索创建分析任务</w:t>
            </w:r>
          </w:p>
          <w:p>
            <w:pPr>
              <w:pStyle w:val="6"/>
              <w:widowControl/>
              <w:spacing w:line="320" w:lineRule="exact"/>
              <w:jc w:val="left"/>
              <w:rPr>
                <w:rFonts w:ascii="仿宋" w:hAnsi="仿宋" w:eastAsia="仿宋"/>
              </w:rPr>
            </w:pPr>
            <w:r>
              <w:rPr>
                <w:rFonts w:hint="eastAsia" w:ascii="仿宋" w:hAnsi="仿宋" w:eastAsia="仿宋"/>
              </w:rPr>
              <w:t>分析任务查询：系统支持对溯源任务进行查询，查询条件包括但不限于任务名称、创建者、攻击者名称、攻击IP、受害设施、受害IP</w:t>
            </w:r>
          </w:p>
          <w:p>
            <w:pPr>
              <w:pStyle w:val="6"/>
              <w:widowControl/>
              <w:spacing w:line="320" w:lineRule="exact"/>
              <w:jc w:val="left"/>
              <w:rPr>
                <w:rFonts w:ascii="仿宋" w:hAnsi="仿宋" w:eastAsia="仿宋"/>
              </w:rPr>
            </w:pPr>
            <w:r>
              <w:rPr>
                <w:rFonts w:hint="eastAsia" w:ascii="仿宋" w:hAnsi="仿宋" w:eastAsia="仿宋"/>
              </w:rPr>
              <w:t>任务分析：系统支持用可视化的方式进行展示；系统支持在分析过程中人工加入攻击者或受害者线索；支持以时间轴的方式展示攻击过程；支持以攻击链阶段的方式展示攻击过程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restart"/>
            <w:noWrap/>
            <w:vAlign w:val="center"/>
          </w:tcPr>
          <w:p>
            <w:pPr>
              <w:pStyle w:val="6"/>
              <w:spacing w:line="300" w:lineRule="auto"/>
              <w:jc w:val="center"/>
              <w:rPr>
                <w:rFonts w:ascii="仿宋" w:hAnsi="仿宋" w:eastAsia="仿宋"/>
              </w:rPr>
            </w:pPr>
            <w:r>
              <w:rPr>
                <w:rFonts w:hint="eastAsia" w:ascii="仿宋" w:hAnsi="仿宋" w:eastAsia="仿宋"/>
              </w:rPr>
              <w:t>账号安全</w:t>
            </w: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支持发现异地账号登录行为，通过流量发现非本地账户登录行为，检测SMTP、POP3、SSH、RDP、FTP、MSSQL、MYSQL、REDIS、ES、ORACLE协议，判断内网资产（目的IP :dip）是否被外网IP（源IP :sip）尝试登录过，按照源IP(sip)、目的IP(dip)，协议(proto)，账号（user），hour时间进行归并。呈现内容包括源ip、源ip归属地、账号、登录资产、协议、登录次数、登录成功率，以及通过世界地图的呈现方式展示登录IP的地域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暴力破解行为，通过流量发现暴力破解行为，在1分钟以内，按照源IP(sip)，目的IP(dip)，目的端口(dport)，协议类型(proto)，为四元组判断数值相同，连续登录失败超过100次以上，就属于暴力破解行为。呈现内容包括攻击源ip爆破次数top10统计，爆破次数时间段内的出现次数统计，爆破账号时间段内出现的次数统计，以及暴力破解行为数据，包括源ip、源ip归属地、登录资产ip、协议、目的端口、爆破次数、爆破结果、最近爆破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存在弱口令的系统，通过流量检测存在弱口令的系统，测SMTP和POP3的协议的登录数据，并且只对登录成功的账号做检测。匹配内置的弱口令正则匹配，看是否命中。呈现内容包括弱口令、受影响账号、受影响资产、最近访问时间，以及通过词云的方式呈现弱口令出现的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restart"/>
            <w:noWrap/>
            <w:vAlign w:val="center"/>
          </w:tcPr>
          <w:p>
            <w:pPr>
              <w:pStyle w:val="6"/>
              <w:spacing w:line="300" w:lineRule="auto"/>
              <w:jc w:val="center"/>
              <w:rPr>
                <w:rFonts w:ascii="仿宋" w:hAnsi="仿宋" w:eastAsia="仿宋"/>
              </w:rPr>
            </w:pPr>
            <w:r>
              <w:rPr>
                <w:rFonts w:hint="eastAsia" w:ascii="仿宋" w:hAnsi="仿宋" w:eastAsia="仿宋"/>
              </w:rPr>
              <w:t>行为分析</w:t>
            </w: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业务资产主动外联场景，通过TCP流量日志、UDP流量日志进行分析判断、源IP是内网IP，目的IP是外网IP，并且源IP属于业务资产的IP满足这些条件的属于业务资产主动外联，呈现内容包括外联IP、外联IP归属地、服务商、业务资产ip、流量。并以地图的方式呈现外联IP地理位置分布情况以及在地图上热力图的方式表示各外联地理位置流量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支持通过机器学习模型发现DGA域名，读取dns解析日志里面的host字段，取出域名（例如： www.google.com, google.com为域名），通过机器学习模型判断该域名是DGA产生的概率，如果概率大于0.9(90%) 可以配置，则作为DGA域名。呈现内容包括源ip、请求域名、请求次数、准确率、最近访问时间等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HTTP代理，在tcp流量中发现http代理请求，判断在tcp载荷里面是否有特殊HTTP代理的特征码，如果有就是HTTP代理，呈现内容包括源ip、http代理ip、端口、使用次数、最近访问时间，以及通过词云等方式展示代理IP的出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socks代理，在tcp流量中发现socks代理请求，判断在tcp载荷里面是否有特殊socks的特征码，如果有就是socks代理，呈现内容包括源IP、socks代理ip、端口、使用次数、最近访问时间，以及通过词云等方式展示代理IP的出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发现异常DNS服务器，通过DNS解析记录发现异常内网中的异常DNS服务器，通过判断发往该DNS服务器解析的请求的主域名不超过阈值个数，则判定为异常服务器，呈现内容包括dns服务器地址、端口、响应次数、上级dns服务器地址、解析异常地址，以及通过饼状图的方式展现异常dns服务器响应次数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支持DNS隧道发现，通过NDS解析记录发现隧道连接，请求DNS host的总长度超过50，并且子域名长度占总长度的一半以上（倒数第二个“.”以前的部分按照“.”分割成多个子域名）。同时以源IP（sip）、目的IP(dip)、根域名(host)为三元组，判断在3分钟内连续10次以上的相同数值，呈现内容包括源ip、请求地址、请求次数、最近访问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支持reGeorg隧道发现，通过流量日志分析reGeorg隧道连接，判断web访问日志里面是否有命令语句符合reGeory请求特征的数据，呈现内容包括源ip、tunnel地址、最近访问时间等。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支持多种扫描工具识别，包括：</w:t>
            </w:r>
          </w:p>
          <w:p>
            <w:pPr>
              <w:pStyle w:val="6"/>
              <w:spacing w:line="320" w:lineRule="exact"/>
              <w:jc w:val="left"/>
              <w:rPr>
                <w:rFonts w:ascii="仿宋" w:hAnsi="仿宋" w:eastAsia="仿宋"/>
              </w:rPr>
            </w:pPr>
            <w:r>
              <w:rPr>
                <w:rFonts w:hint="eastAsia" w:ascii="仿宋" w:hAnsi="仿宋" w:eastAsia="仿宋"/>
              </w:rPr>
              <w:t xml:space="preserve"> AWVS、Empire PowerShell 渗透攻击框架、SQLMap、antSword、BugScan、CaiDao、webinspect、netspark、w3af、nessus、SharinGan_Scanner、WindowsPowerShell、WebVulnScan、masscan等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restart"/>
            <w:noWrap/>
            <w:vAlign w:val="center"/>
          </w:tcPr>
          <w:p>
            <w:pPr>
              <w:pStyle w:val="6"/>
              <w:spacing w:line="300" w:lineRule="auto"/>
              <w:jc w:val="center"/>
              <w:rPr>
                <w:rFonts w:ascii="仿宋" w:hAnsi="仿宋" w:eastAsia="仿宋"/>
              </w:rPr>
            </w:pPr>
            <w:r>
              <w:rPr>
                <w:rFonts w:hint="eastAsia" w:ascii="仿宋" w:hAnsi="仿宋" w:eastAsia="仿宋"/>
              </w:rPr>
              <w:t>关联分析</w:t>
            </w: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新建场景分组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删除场景分组，分组内有关联任务的时候进行提示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修改场景分组的名称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新建任务，可指定任务名称、描述以及对该任务打标签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任务展示分为卡片和表格两种。展示任务名称、创建人、创建时间、标签以及任务的描述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通过任务创建时间搜索任务。点击搜索后展示过滤后的任务卡片或者列表信息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任务可选择不同的场景管理分组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点击删除，对任务进行删除，删除前有明显的提示信息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编辑任务的名称以及标签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支持块状布局、树状布局、横向树状布局、引力布局以及环状布局的五种布局模式，点击使分析任务结果按照对应的布局进行展示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设定每次返回的最大数量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点击清空画布按钮，清空当前任务分析得到的实体节点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点击将画布中的所有节点选中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点击显示名称按钮画布中分析结果实体显示对应的名称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点击显示序号按钮画图中分析结果实体显示分析顺序的序号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显示任务的整体图，鼠标拖动画图中跟随移动展示缩略图视窗中的内容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根据选择时间窗口选择查询的对应IP。时间窗口可以选预置的最近一天、最近七天、最近三十天以及自定义时间窗口选择。默认选择最近七天进行查询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根据不同的分析实体展示对应类型的详细信息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根据实体的发现时间将实体在时间轴上进行分布打点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2" w:type="pct"/>
            <w:vMerge w:val="continue"/>
            <w:noWrap w:val="0"/>
            <w:vAlign w:val="center"/>
          </w:tcPr>
          <w:p>
            <w:pPr>
              <w:pStyle w:val="6"/>
              <w:spacing w:line="300" w:lineRule="auto"/>
              <w:jc w:val="center"/>
              <w:rPr>
                <w:rFonts w:ascii="仿宋" w:hAnsi="仿宋" w:eastAsia="仿宋"/>
              </w:rPr>
            </w:pPr>
          </w:p>
        </w:tc>
        <w:tc>
          <w:tcPr>
            <w:tcW w:w="3808" w:type="pct"/>
            <w:noWrap w:val="0"/>
            <w:vAlign w:val="center"/>
          </w:tcPr>
          <w:p>
            <w:pPr>
              <w:pStyle w:val="6"/>
              <w:spacing w:line="320" w:lineRule="exact"/>
              <w:jc w:val="left"/>
              <w:rPr>
                <w:rFonts w:ascii="仿宋" w:hAnsi="仿宋" w:eastAsia="仿宋"/>
              </w:rPr>
            </w:pPr>
            <w:r>
              <w:rPr>
                <w:rFonts w:hint="eastAsia" w:ascii="仿宋" w:hAnsi="仿宋" w:eastAsia="仿宋"/>
              </w:rPr>
              <w:t>可以将当前的分析结果保存为案例。或者将已保存的案例导入到当前的分析任务中</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65" w:name="_Toc86405238"/>
      <w:bookmarkStart w:id="66" w:name="_Toc79159435"/>
      <w:bookmarkStart w:id="67" w:name="_Toc80779100"/>
      <w:bookmarkStart w:id="68" w:name="_Toc88725863"/>
      <w:bookmarkStart w:id="69" w:name="_Toc88727557"/>
      <w:r>
        <w:rPr>
          <w:rFonts w:hint="eastAsia" w:ascii="仿宋" w:hAnsi="仿宋" w:eastAsia="仿宋"/>
          <w:b/>
          <w:sz w:val="32"/>
          <w:szCs w:val="32"/>
        </w:rPr>
        <w:t>处置通报</w:t>
      </w:r>
      <w:bookmarkEnd w:id="65"/>
      <w:bookmarkEnd w:id="66"/>
      <w:bookmarkEnd w:id="67"/>
      <w:r>
        <w:rPr>
          <w:rFonts w:hint="eastAsia" w:ascii="仿宋" w:hAnsi="仿宋" w:eastAsia="仿宋"/>
          <w:b/>
          <w:sz w:val="32"/>
          <w:szCs w:val="32"/>
        </w:rPr>
        <w:t>模块</w:t>
      </w:r>
      <w:bookmarkEnd w:id="68"/>
      <w:bookmarkEnd w:id="69"/>
    </w:p>
    <w:p>
      <w:pPr>
        <w:pStyle w:val="155"/>
        <w:wordWrap/>
        <w:spacing w:line="460" w:lineRule="exact"/>
        <w:ind w:firstLine="420" w:firstLineChars="200"/>
        <w:rPr>
          <w:rFonts w:ascii="仿宋" w:hAnsi="仿宋" w:eastAsia="仿宋"/>
        </w:rPr>
      </w:pPr>
      <w:r>
        <w:rPr>
          <w:rFonts w:hint="eastAsia" w:ascii="仿宋" w:hAnsi="仿宋" w:eastAsia="仿宋"/>
        </w:rPr>
        <w:t>目前具备市局平台通报给子平台的能力，依托全链路监管平台实现安全事件通报，满足后续三年规划的管辖颗粒度，实现覆盖局委办、乡镇等要求，真正做到安全事件落实到具体人员，做到安全处置闭环，同时能够将落实情况上报给市局平台。</w:t>
      </w:r>
    </w:p>
    <w:p>
      <w:pPr>
        <w:autoSpaceDE w:val="0"/>
        <w:autoSpaceDN w:val="0"/>
        <w:adjustRightInd w:val="0"/>
        <w:spacing w:line="460" w:lineRule="exact"/>
        <w:ind w:firstLine="420" w:firstLineChars="200"/>
        <w:rPr>
          <w:rFonts w:ascii="仿宋" w:hAnsi="仿宋" w:eastAsia="仿宋"/>
        </w:rPr>
      </w:pPr>
      <w:r>
        <w:rPr>
          <w:rFonts w:hint="eastAsia" w:ascii="仿宋" w:hAnsi="仿宋" w:eastAsia="仿宋"/>
        </w:rPr>
        <w:t>根据告警管理模块获取的攻击、漏洞、风险、隐患等情况，利用处置通报模块进行汇总，并及时将情况上报、通报、下达，进行预警及快速处置。</w:t>
      </w:r>
    </w:p>
    <w:p>
      <w:pPr>
        <w:autoSpaceDE w:val="0"/>
        <w:autoSpaceDN w:val="0"/>
        <w:adjustRightInd w:val="0"/>
        <w:spacing w:line="460" w:lineRule="exact"/>
        <w:ind w:firstLine="420" w:firstLineChars="200"/>
        <w:rPr>
          <w:rFonts w:ascii="仿宋" w:hAnsi="仿宋" w:eastAsia="仿宋"/>
        </w:rPr>
      </w:pPr>
      <w:r>
        <w:rPr>
          <w:rFonts w:hint="eastAsia" w:ascii="仿宋" w:hAnsi="仿宋" w:eastAsia="仿宋"/>
        </w:rPr>
        <w:t>当全链路网络安全监管平台获取到重要信息系统运营、使用单位的系统存在重大风险威胁隐患，或受到攻击、入侵、已被植入后门、篡改、植入暗链、拖库等形成重大安全事件时，根据谁使用、谁管理原则，通过平台将事件情况通过预警、通报处置等流程手段进行通报下发，业主单位反馈处置结果。</w:t>
      </w:r>
    </w:p>
    <w:p>
      <w:pPr>
        <w:spacing w:line="460" w:lineRule="exact"/>
        <w:ind w:firstLine="420" w:firstLineChars="200"/>
        <w:rPr>
          <w:rFonts w:ascii="仿宋" w:hAnsi="仿宋" w:eastAsia="仿宋"/>
        </w:rPr>
      </w:pPr>
      <w:r>
        <w:rPr>
          <w:rFonts w:hint="eastAsia" w:ascii="仿宋" w:hAnsi="仿宋" w:eastAsia="仿宋"/>
        </w:rPr>
        <w:t>平台需具备多种方式的通报，包括</w:t>
      </w:r>
      <w:r>
        <w:rPr>
          <w:rFonts w:ascii="仿宋" w:hAnsi="仿宋" w:eastAsia="仿宋"/>
        </w:rPr>
        <w:t>浙政钉</w:t>
      </w:r>
      <w:r>
        <w:rPr>
          <w:rFonts w:hint="eastAsia" w:ascii="仿宋" w:hAnsi="仿宋" w:eastAsia="仿宋"/>
        </w:rPr>
        <w:t>、网页等。在发生严重情况时，如突发的安全事件、重大漏洞等，可立即通过</w:t>
      </w:r>
      <w:r>
        <w:rPr>
          <w:rFonts w:ascii="仿宋" w:hAnsi="仿宋" w:eastAsia="仿宋"/>
        </w:rPr>
        <w:t>浙政钉</w:t>
      </w:r>
      <w:r>
        <w:rPr>
          <w:rFonts w:hint="eastAsia" w:ascii="仿宋" w:hAnsi="仿宋" w:eastAsia="仿宋"/>
        </w:rPr>
        <w:t>、网页的方式进行传达；当系统监测到存在轻微的安全隐患时进行预警提醒、或限期整改等。通报完成后，通报成员单位及时的处置结果反馈。</w:t>
      </w:r>
    </w:p>
    <w:p>
      <w:pPr>
        <w:pStyle w:val="82"/>
        <w:numPr>
          <w:ilvl w:val="2"/>
          <w:numId w:val="6"/>
        </w:numPr>
        <w:spacing w:line="460" w:lineRule="exact"/>
        <w:ind w:left="426" w:firstLine="0" w:firstLineChars="0"/>
        <w:rPr>
          <w:rFonts w:ascii="仿宋" w:hAnsi="仿宋" w:eastAsia="仿宋"/>
          <w:b/>
        </w:rPr>
      </w:pPr>
      <w:r>
        <w:rPr>
          <w:rFonts w:ascii="仿宋" w:hAnsi="仿宋" w:eastAsia="仿宋"/>
          <w:b/>
        </w:rPr>
        <w:t>通报预警</w:t>
      </w:r>
      <w:r>
        <w:rPr>
          <w:rFonts w:hint="eastAsia" w:ascii="仿宋" w:hAnsi="仿宋" w:eastAsia="仿宋"/>
          <w:b/>
        </w:rPr>
        <w:t>机制</w:t>
      </w:r>
    </w:p>
    <w:p>
      <w:pPr>
        <w:autoSpaceDE w:val="0"/>
        <w:autoSpaceDN w:val="0"/>
        <w:adjustRightInd w:val="0"/>
        <w:spacing w:line="460" w:lineRule="exact"/>
        <w:ind w:firstLine="420" w:firstLineChars="200"/>
        <w:rPr>
          <w:rFonts w:ascii="仿宋" w:hAnsi="仿宋" w:eastAsia="仿宋"/>
        </w:rPr>
      </w:pPr>
      <w:r>
        <w:rPr>
          <w:rFonts w:ascii="仿宋" w:hAnsi="仿宋" w:eastAsia="仿宋"/>
        </w:rPr>
        <w:t>将发现到的各类中</w:t>
      </w:r>
      <w:r>
        <w:rPr>
          <w:rFonts w:hint="eastAsia" w:ascii="仿宋" w:hAnsi="仿宋" w:eastAsia="仿宋"/>
        </w:rPr>
        <w:t>高危</w:t>
      </w:r>
      <w:r>
        <w:rPr>
          <w:rFonts w:ascii="仿宋" w:hAnsi="仿宋" w:eastAsia="仿宋"/>
        </w:rPr>
        <w:t>漏洞、数据库脆弱性等安全风险</w:t>
      </w:r>
      <w:r>
        <w:rPr>
          <w:rFonts w:hint="eastAsia" w:ascii="仿宋" w:hAnsi="仿宋" w:eastAsia="仿宋"/>
        </w:rPr>
        <w:t>通过通报预警模块快速下发到</w:t>
      </w:r>
      <w:r>
        <w:rPr>
          <w:rFonts w:ascii="仿宋" w:hAnsi="仿宋" w:eastAsia="仿宋"/>
        </w:rPr>
        <w:t>各委办局</w:t>
      </w:r>
      <w:r>
        <w:rPr>
          <w:rFonts w:hint="eastAsia" w:ascii="仿宋" w:hAnsi="仿宋" w:eastAsia="仿宋"/>
        </w:rPr>
        <w:t>单位</w:t>
      </w:r>
      <w:r>
        <w:rPr>
          <w:rFonts w:ascii="仿宋" w:hAnsi="仿宋" w:eastAsia="仿宋"/>
        </w:rPr>
        <w:t>及相关负责人</w:t>
      </w:r>
      <w:r>
        <w:rPr>
          <w:rFonts w:hint="eastAsia" w:ascii="仿宋" w:hAnsi="仿宋" w:eastAsia="仿宋"/>
        </w:rPr>
        <w:t>，各局委办负责人可快速查看本单位存在的风险。当爆发重大漏洞时</w:t>
      </w:r>
      <w:r>
        <w:rPr>
          <w:rFonts w:ascii="仿宋" w:hAnsi="仿宋" w:eastAsia="仿宋"/>
        </w:rPr>
        <w:t>也</w:t>
      </w:r>
      <w:r>
        <w:rPr>
          <w:rFonts w:hint="eastAsia" w:ascii="仿宋" w:hAnsi="仿宋" w:eastAsia="仿宋"/>
        </w:rPr>
        <w:t>可以通过预警功能对各区域、各单位进行安全预警</w:t>
      </w:r>
      <w:r>
        <w:rPr>
          <w:rFonts w:ascii="仿宋" w:hAnsi="仿宋" w:eastAsia="仿宋"/>
        </w:rPr>
        <w:t>，</w:t>
      </w:r>
      <w:r>
        <w:rPr>
          <w:rFonts w:hint="eastAsia" w:ascii="仿宋" w:hAnsi="仿宋" w:eastAsia="仿宋"/>
        </w:rPr>
        <w:t>督促相关单位修复安全隐患，避免安全隐患成为安全事件。</w:t>
      </w:r>
    </w:p>
    <w:p>
      <w:pPr>
        <w:pStyle w:val="82"/>
        <w:numPr>
          <w:ilvl w:val="2"/>
          <w:numId w:val="6"/>
        </w:numPr>
        <w:spacing w:line="460" w:lineRule="exact"/>
        <w:ind w:left="426" w:firstLine="0" w:firstLineChars="0"/>
        <w:rPr>
          <w:rFonts w:ascii="仿宋" w:hAnsi="仿宋" w:eastAsia="仿宋"/>
          <w:b/>
        </w:rPr>
      </w:pPr>
      <w:r>
        <w:rPr>
          <w:rFonts w:ascii="仿宋" w:hAnsi="仿宋" w:eastAsia="仿宋"/>
          <w:b/>
        </w:rPr>
        <w:t>工单处置</w:t>
      </w:r>
      <w:r>
        <w:rPr>
          <w:rFonts w:hint="eastAsia" w:ascii="仿宋" w:hAnsi="仿宋" w:eastAsia="仿宋"/>
          <w:b/>
        </w:rPr>
        <w:t>机制</w:t>
      </w:r>
    </w:p>
    <w:p>
      <w:pPr>
        <w:autoSpaceDE w:val="0"/>
        <w:autoSpaceDN w:val="0"/>
        <w:adjustRightInd w:val="0"/>
        <w:spacing w:line="460" w:lineRule="exact"/>
        <w:ind w:firstLine="420" w:firstLineChars="200"/>
        <w:rPr>
          <w:rFonts w:ascii="仿宋" w:hAnsi="仿宋" w:eastAsia="仿宋"/>
        </w:rPr>
      </w:pPr>
      <w:r>
        <w:rPr>
          <w:rFonts w:hint="eastAsia" w:ascii="仿宋" w:hAnsi="仿宋" w:eastAsia="仿宋"/>
        </w:rPr>
        <w:t>平台可通过工单处理流程，对发现的高危漏洞和事件，进行工单下发处置，处置任务的内容包括任务名称、事件描述、事件类型、事件级别、发现时间、涉及单位、单位联系人、单位联系人电话等。对下发的工单进行跟踪，负责人对工单的处理过程及结果进行记录，实现对整个工作处理过程进行跟踪，形成工单处置闭环，对逾期未处置的进行提醒。</w:t>
      </w:r>
    </w:p>
    <w:p>
      <w:pPr>
        <w:autoSpaceDE w:val="0"/>
        <w:autoSpaceDN w:val="0"/>
        <w:adjustRightInd w:val="0"/>
        <w:spacing w:line="460" w:lineRule="exact"/>
        <w:ind w:firstLine="420" w:firstLineChars="200"/>
        <w:rPr>
          <w:rFonts w:ascii="仿宋" w:hAnsi="仿宋" w:eastAsia="仿宋"/>
        </w:rPr>
      </w:pPr>
      <w:r>
        <w:rPr>
          <w:rFonts w:hint="eastAsia" w:ascii="仿宋" w:hAnsi="仿宋" w:eastAsia="仿宋"/>
        </w:rPr>
        <w:t>还可以支持对扫描发现的资产弱点、告警事件等一键生成工单，使其进入工单处理流程。</w:t>
      </w:r>
    </w:p>
    <w:p>
      <w:pPr>
        <w:autoSpaceDE w:val="0"/>
        <w:autoSpaceDN w:val="0"/>
        <w:adjustRightInd w:val="0"/>
        <w:spacing w:line="460" w:lineRule="exact"/>
        <w:ind w:firstLine="420" w:firstLineChars="200"/>
        <w:rPr>
          <w:rFonts w:ascii="仿宋" w:hAnsi="仿宋" w:eastAsia="仿宋"/>
        </w:rPr>
      </w:pPr>
      <w:r>
        <w:rPr>
          <w:rFonts w:hint="eastAsia" w:ascii="仿宋" w:hAnsi="仿宋" w:eastAsia="仿宋"/>
        </w:rPr>
        <w:t>另外处置通报已和浙政钉完成对接，跟浙政钉的对接方式按照《浙政钉2.0应用上架迁移流程》进行申请上线。</w:t>
      </w:r>
    </w:p>
    <w:p>
      <w:pPr>
        <w:autoSpaceDE w:val="0"/>
        <w:autoSpaceDN w:val="0"/>
        <w:adjustRightInd w:val="0"/>
        <w:spacing w:line="460" w:lineRule="exact"/>
        <w:ind w:firstLine="422" w:firstLineChars="200"/>
        <w:rPr>
          <w:rFonts w:ascii="仿宋" w:hAnsi="仿宋" w:eastAsia="仿宋"/>
          <w:b/>
          <w:u w:val="single"/>
        </w:rPr>
      </w:pPr>
      <w:r>
        <w:rPr>
          <w:rFonts w:hint="eastAsia" w:ascii="仿宋" w:hAnsi="仿宋" w:eastAsia="仿宋"/>
          <w:b/>
          <w:u w:val="single"/>
        </w:rPr>
        <w:t>从用户维度上，本项目需支持接收省市级工单，以及县级下达到乡镇、部门的工单管理功能，实现省、市、县、乡镇四级一体化互联互通能力。</w:t>
      </w:r>
    </w:p>
    <w:p>
      <w:pPr>
        <w:autoSpaceDE w:val="0"/>
        <w:autoSpaceDN w:val="0"/>
        <w:adjustRightInd w:val="0"/>
        <w:ind w:firstLine="420" w:firstLineChars="200"/>
        <w:rPr>
          <w:rFonts w:ascii="仿宋" w:hAnsi="仿宋" w:eastAsia="仿宋"/>
        </w:rPr>
      </w:pPr>
      <w:r>
        <w:rPr>
          <w:rFonts w:hint="eastAsia" w:ascii="仿宋" w:hAnsi="仿宋" w:eastAsia="仿宋"/>
        </w:rPr>
        <w:t>技术指标要求：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noWrap/>
            <w:vAlign w:val="center"/>
          </w:tcPr>
          <w:p>
            <w:pPr>
              <w:pStyle w:val="6"/>
              <w:spacing w:line="300" w:lineRule="auto"/>
              <w:jc w:val="center"/>
              <w:rPr>
                <w:rFonts w:ascii="仿宋" w:hAnsi="仿宋" w:eastAsia="仿宋"/>
              </w:rPr>
            </w:pPr>
            <w:r>
              <w:rPr>
                <w:rFonts w:hint="eastAsia" w:ascii="仿宋" w:hAnsi="仿宋" w:eastAsia="仿宋"/>
                <w:b/>
                <w:bCs/>
              </w:rPr>
              <w:t>技术指标</w:t>
            </w:r>
          </w:p>
        </w:tc>
        <w:tc>
          <w:tcPr>
            <w:tcW w:w="3807" w:type="pct"/>
            <w:noWrap/>
            <w:vAlign w:val="center"/>
          </w:tcPr>
          <w:p>
            <w:pPr>
              <w:pStyle w:val="6"/>
              <w:spacing w:line="300" w:lineRule="auto"/>
              <w:jc w:val="center"/>
              <w:rPr>
                <w:rFonts w:ascii="仿宋" w:hAnsi="仿宋" w:eastAsia="仿宋"/>
              </w:rPr>
            </w:pPr>
            <w:r>
              <w:rPr>
                <w:rFonts w:hint="eastAsia" w:ascii="仿宋" w:hAnsi="仿宋" w:eastAsia="仿宋"/>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restart"/>
            <w:noWrap w:val="0"/>
            <w:vAlign w:val="center"/>
          </w:tcPr>
          <w:p>
            <w:pPr>
              <w:pStyle w:val="6"/>
              <w:spacing w:line="300" w:lineRule="auto"/>
              <w:jc w:val="center"/>
              <w:rPr>
                <w:rFonts w:ascii="仿宋" w:hAnsi="仿宋" w:eastAsia="仿宋"/>
              </w:rPr>
            </w:pPr>
            <w:r>
              <w:rPr>
                <w:rFonts w:hint="eastAsia" w:ascii="仿宋" w:hAnsi="仿宋" w:eastAsia="仿宋"/>
              </w:rPr>
              <w:t>安全事件分析</w:t>
            </w: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支持通过单位视角展示漏洞事件、网站可用性事件、网站篡改事件、网页仿冒事件、威胁情报事件、攻击利用事件、恶意软件事件、拒绝服务攻击事件数量统计列表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支持对选择确定单位后统计该单位下各类资产的安全事件分布（按事件类型进行统计），并可下钻查看各类安全事件详情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支持对确认的安全事件进行忽略处理；并可通过单位名称、行业进行单位检索，查看对应单位的忽略数据，并进行安全事件忽略数据的恢复操作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restart"/>
            <w:noWrap w:val="0"/>
            <w:vAlign w:val="center"/>
          </w:tcPr>
          <w:p>
            <w:pPr>
              <w:pStyle w:val="6"/>
              <w:spacing w:line="300" w:lineRule="auto"/>
              <w:jc w:val="center"/>
              <w:rPr>
                <w:rFonts w:ascii="仿宋" w:hAnsi="仿宋" w:eastAsia="仿宋"/>
              </w:rPr>
            </w:pPr>
            <w:r>
              <w:rPr>
                <w:rFonts w:hint="eastAsia" w:ascii="仿宋" w:hAnsi="仿宋" w:eastAsia="仿宋"/>
              </w:rPr>
              <w:t>日常通报</w:t>
            </w: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支持对待需要处理的安全事件可选择进行通报，通报类型包括：隐患告知、限期整改、行政处罚，可配置通报时间、处理时限、系统自动附带《网络安全隐患告知书》《网络安全检测报告》《网络安全整改报告》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支持对于通报反馈情况、整改情况及处罚情况的跟踪和记录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应能够通过移动端应用、短信、邮件方式提醒被通报单位的相关责任人及时受理及处置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restart"/>
            <w:noWrap/>
            <w:vAlign w:val="center"/>
          </w:tcPr>
          <w:p>
            <w:pPr>
              <w:pStyle w:val="6"/>
              <w:spacing w:line="300" w:lineRule="auto"/>
              <w:jc w:val="center"/>
              <w:rPr>
                <w:rFonts w:ascii="仿宋" w:hAnsi="仿宋" w:eastAsia="仿宋"/>
              </w:rPr>
            </w:pPr>
            <w:r>
              <w:rPr>
                <w:rFonts w:hint="eastAsia" w:ascii="仿宋" w:hAnsi="仿宋" w:eastAsia="仿宋"/>
              </w:rPr>
              <w:t>综合通报</w:t>
            </w: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支持根据用户设置的各类通报模板，按照指定的周期完成对于指定行业、单位、行政区域的网络安全综合数据分析，并形成通报文件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支持通过手工方式导出通报文件利用其他方式完成专项分析通报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支持配置以周、月、季、年为维度生成综合通报，具备启用/停用功能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restart"/>
            <w:noWrap w:val="0"/>
            <w:vAlign w:val="center"/>
          </w:tcPr>
          <w:p>
            <w:pPr>
              <w:pStyle w:val="6"/>
              <w:spacing w:line="300" w:lineRule="auto"/>
              <w:jc w:val="center"/>
              <w:rPr>
                <w:rFonts w:ascii="仿宋" w:hAnsi="仿宋" w:eastAsia="仿宋"/>
              </w:rPr>
            </w:pPr>
            <w:r>
              <w:rPr>
                <w:rFonts w:hint="eastAsia" w:ascii="仿宋" w:hAnsi="仿宋" w:eastAsia="仿宋"/>
              </w:rPr>
              <w:t>通报预警移动端应用</w:t>
            </w:r>
          </w:p>
        </w:tc>
        <w:tc>
          <w:tcPr>
            <w:tcW w:w="3807" w:type="pct"/>
            <w:noWrap w:val="0"/>
            <w:vAlign w:val="center"/>
          </w:tcPr>
          <w:p>
            <w:pPr>
              <w:pStyle w:val="6"/>
              <w:spacing w:line="320" w:lineRule="exact"/>
              <w:rPr>
                <w:rFonts w:ascii="仿宋" w:hAnsi="仿宋" w:eastAsia="仿宋"/>
              </w:rPr>
            </w:pPr>
            <w:r>
              <w:rPr>
                <w:rFonts w:hint="eastAsia" w:ascii="仿宋" w:hAnsi="仿宋" w:eastAsia="仿宋"/>
              </w:rPr>
              <w:t>移动端应用应能支持本地部署，且各项应用可根据需要支持相应的数据钻取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应能够接入态势感知组织机构基础数据和重保单位基础数据，并支持分级管理、分权管理、人员属性管理、可见性设置等功能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restart"/>
            <w:noWrap w:val="0"/>
            <w:vAlign w:val="center"/>
          </w:tcPr>
          <w:p>
            <w:pPr>
              <w:pStyle w:val="6"/>
              <w:spacing w:line="300" w:lineRule="auto"/>
              <w:jc w:val="center"/>
              <w:rPr>
                <w:rFonts w:ascii="仿宋" w:hAnsi="仿宋" w:eastAsia="仿宋"/>
              </w:rPr>
            </w:pPr>
            <w:r>
              <w:rPr>
                <w:rFonts w:hint="eastAsia" w:ascii="仿宋" w:hAnsi="仿宋" w:eastAsia="仿宋"/>
              </w:rPr>
              <w:t>专项通报</w:t>
            </w: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支持针对多个通报主体的专项通报任务，任务类型支持体检类、综合类，能够设置任务名称，任务时间，模板选择，监控类别、重点监控单位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jc w:val="center"/>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任务模板支持行业/区域视角报告、单位视角报告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restart"/>
            <w:noWrap w:val="0"/>
            <w:vAlign w:val="center"/>
          </w:tcPr>
          <w:p>
            <w:pPr>
              <w:pStyle w:val="6"/>
              <w:spacing w:line="300" w:lineRule="auto"/>
              <w:jc w:val="center"/>
              <w:rPr>
                <w:rFonts w:ascii="仿宋" w:hAnsi="仿宋" w:eastAsia="仿宋"/>
              </w:rPr>
            </w:pPr>
            <w:r>
              <w:rPr>
                <w:rFonts w:hint="eastAsia" w:ascii="仿宋" w:hAnsi="仿宋" w:eastAsia="仿宋"/>
              </w:rPr>
              <w:t>公开预警</w:t>
            </w:r>
          </w:p>
        </w:tc>
        <w:tc>
          <w:tcPr>
            <w:tcW w:w="3807" w:type="pct"/>
            <w:noWrap w:val="0"/>
            <w:vAlign w:val="center"/>
          </w:tcPr>
          <w:p>
            <w:pPr>
              <w:pStyle w:val="6"/>
              <w:spacing w:line="320" w:lineRule="exact"/>
              <w:rPr>
                <w:rFonts w:ascii="仿宋" w:hAnsi="仿宋" w:eastAsia="仿宋"/>
              </w:rPr>
            </w:pPr>
            <w:r>
              <w:rPr>
                <w:rFonts w:hint="eastAsia" w:ascii="仿宋" w:hAnsi="仿宋" w:eastAsia="仿宋"/>
              </w:rPr>
              <w:t>支持创建公开预警，能够设置预警来源、预警名称、预警等级、风险评级、标签、预警时间，支持pdf格式附件上传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预警等级支持红色、橙色、黄色、蓝色四级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pct"/>
            <w:vMerge w:val="continue"/>
            <w:noWrap w:val="0"/>
            <w:vAlign w:val="center"/>
          </w:tcPr>
          <w:p>
            <w:pPr>
              <w:pStyle w:val="6"/>
              <w:spacing w:line="300" w:lineRule="auto"/>
              <w:rPr>
                <w:rFonts w:ascii="仿宋" w:hAnsi="仿宋" w:eastAsia="仿宋"/>
              </w:rPr>
            </w:pPr>
          </w:p>
        </w:tc>
        <w:tc>
          <w:tcPr>
            <w:tcW w:w="3807" w:type="pct"/>
            <w:noWrap w:val="0"/>
            <w:vAlign w:val="center"/>
          </w:tcPr>
          <w:p>
            <w:pPr>
              <w:pStyle w:val="6"/>
              <w:spacing w:line="320" w:lineRule="exact"/>
              <w:rPr>
                <w:rFonts w:ascii="仿宋" w:hAnsi="仿宋" w:eastAsia="仿宋"/>
              </w:rPr>
            </w:pPr>
            <w:r>
              <w:rPr>
                <w:rFonts w:hint="eastAsia" w:ascii="仿宋" w:hAnsi="仿宋" w:eastAsia="仿宋"/>
              </w:rPr>
              <w:t>风险评级支持危急、高危、中危、低危四级</w:t>
            </w:r>
          </w:p>
        </w:tc>
      </w:tr>
    </w:tbl>
    <w:p>
      <w:pPr>
        <w:autoSpaceDE w:val="0"/>
        <w:autoSpaceDN w:val="0"/>
        <w:adjustRightInd w:val="0"/>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70" w:name="_Toc86405232"/>
      <w:bookmarkStart w:id="71" w:name="_Toc88725864"/>
      <w:bookmarkStart w:id="72" w:name="_Toc88727558"/>
      <w:r>
        <w:rPr>
          <w:rFonts w:hint="eastAsia" w:ascii="仿宋" w:hAnsi="仿宋" w:eastAsia="仿宋"/>
          <w:b/>
          <w:sz w:val="32"/>
          <w:szCs w:val="32"/>
        </w:rPr>
        <w:t>资产管理</w:t>
      </w:r>
      <w:bookmarkEnd w:id="70"/>
      <w:r>
        <w:rPr>
          <w:rFonts w:hint="eastAsia" w:ascii="仿宋" w:hAnsi="仿宋" w:eastAsia="仿宋"/>
          <w:b/>
          <w:sz w:val="32"/>
          <w:szCs w:val="32"/>
        </w:rPr>
        <w:t>模块</w:t>
      </w:r>
      <w:bookmarkEnd w:id="71"/>
      <w:bookmarkEnd w:id="72"/>
    </w:p>
    <w:p>
      <w:pPr>
        <w:pStyle w:val="155"/>
        <w:wordWrap/>
        <w:spacing w:line="460" w:lineRule="exact"/>
        <w:ind w:firstLine="420" w:firstLineChars="200"/>
        <w:rPr>
          <w:rFonts w:ascii="仿宋" w:hAnsi="仿宋" w:eastAsia="仿宋"/>
        </w:rPr>
      </w:pPr>
      <w:r>
        <w:rPr>
          <w:rFonts w:hint="eastAsia" w:ascii="仿宋" w:hAnsi="仿宋" w:eastAsia="仿宋"/>
        </w:rPr>
        <w:t>依托全链路监管平台梳理“云、网、端、边界、数据、应用”多维度资产，实现一屏通管的需求，形成本地资产知识图谱。</w:t>
      </w:r>
    </w:p>
    <w:p>
      <w:pPr>
        <w:spacing w:line="460" w:lineRule="exact"/>
        <w:ind w:firstLine="420" w:firstLineChars="200"/>
        <w:rPr>
          <w:rFonts w:ascii="仿宋" w:hAnsi="仿宋" w:eastAsia="仿宋"/>
        </w:rPr>
      </w:pPr>
      <w:r>
        <w:rPr>
          <w:rFonts w:hint="eastAsia" w:ascii="仿宋" w:hAnsi="仿宋" w:eastAsia="仿宋"/>
        </w:rPr>
        <w:t>“云、网、端、边界、数据、应用”多维度资产一屏通管作为淳安县全域的数据来源，需要明确资产的种类、数量以及位置，才能明确安全防护的对象及后续安全策略的制定。</w:t>
      </w:r>
    </w:p>
    <w:p>
      <w:pPr>
        <w:spacing w:line="460" w:lineRule="exact"/>
        <w:ind w:firstLine="422" w:firstLineChars="200"/>
        <w:rPr>
          <w:rFonts w:ascii="仿宋" w:hAnsi="仿宋" w:eastAsia="仿宋"/>
        </w:rPr>
      </w:pPr>
      <w:r>
        <w:rPr>
          <w:rFonts w:hint="eastAsia" w:ascii="仿宋" w:hAnsi="仿宋" w:eastAsia="仿宋"/>
          <w:b/>
          <w:bCs/>
        </w:rPr>
        <w:t>网络资产管理：</w:t>
      </w:r>
      <w:r>
        <w:rPr>
          <w:rFonts w:hint="eastAsia" w:ascii="仿宋" w:hAnsi="仿宋" w:eastAsia="仿宋"/>
        </w:rPr>
        <w:t>按照浙政钉规范形成单位组织架构树，通过对接获取包括主机、云平台基础设施、安全设备、网络设备等数据，形成网络资产目录，进行统一的管理。</w:t>
      </w:r>
    </w:p>
    <w:p>
      <w:pPr>
        <w:spacing w:line="460" w:lineRule="exact"/>
        <w:ind w:firstLine="422" w:firstLineChars="200"/>
        <w:rPr>
          <w:rFonts w:ascii="仿宋" w:hAnsi="仿宋" w:eastAsia="仿宋"/>
        </w:rPr>
      </w:pPr>
      <w:r>
        <w:rPr>
          <w:rFonts w:hint="eastAsia" w:ascii="仿宋" w:hAnsi="仿宋" w:eastAsia="仿宋"/>
          <w:b/>
          <w:bCs/>
        </w:rPr>
        <w:t>数据资产管理：</w:t>
      </w:r>
      <w:r>
        <w:rPr>
          <w:rFonts w:hint="eastAsia" w:ascii="仿宋" w:hAnsi="仿宋" w:eastAsia="仿宋"/>
        </w:rPr>
        <w:t>按照浙政钉规范形成单位组织架构树，通过平台对接明确数据在哪里、敏感数据存在哪里、敏感数据有多少，形成数据资产地图。</w:t>
      </w:r>
    </w:p>
    <w:p>
      <w:pPr>
        <w:spacing w:line="460" w:lineRule="exact"/>
        <w:ind w:firstLine="422" w:firstLineChars="200"/>
        <w:rPr>
          <w:rFonts w:ascii="仿宋" w:hAnsi="仿宋" w:eastAsia="仿宋"/>
        </w:rPr>
      </w:pPr>
      <w:r>
        <w:rPr>
          <w:rFonts w:hint="eastAsia" w:ascii="仿宋" w:hAnsi="仿宋" w:eastAsia="仿宋"/>
          <w:b/>
          <w:bCs/>
        </w:rPr>
        <w:t>应用资产管理：</w:t>
      </w:r>
      <w:r>
        <w:rPr>
          <w:rFonts w:hint="eastAsia" w:ascii="仿宋" w:hAnsi="仿宋" w:eastAsia="仿宋"/>
        </w:rPr>
        <w:t>应用资产管理模块可通过对接数据安全支撑平台同步用户的应用服务，对用户的应用服务、接口进行统一梳理。对应用服务的流量和日志进行监测，对接口访问进行统计，结合业务规则对高频的访问行为进行及时的告警。</w:t>
      </w:r>
    </w:p>
    <w:p>
      <w:pPr>
        <w:spacing w:line="460" w:lineRule="exact"/>
        <w:ind w:firstLine="422" w:firstLineChars="200"/>
        <w:rPr>
          <w:rFonts w:ascii="仿宋" w:hAnsi="仿宋" w:eastAsia="仿宋"/>
        </w:rPr>
      </w:pPr>
      <w:r>
        <w:rPr>
          <w:rFonts w:hint="eastAsia" w:ascii="仿宋" w:hAnsi="仿宋" w:eastAsia="仿宋"/>
          <w:b/>
          <w:bCs/>
        </w:rPr>
        <w:t>物联感知网管理：</w:t>
      </w:r>
      <w:r>
        <w:rPr>
          <w:rFonts w:hint="eastAsia" w:ascii="仿宋" w:hAnsi="仿宋" w:eastAsia="仿宋"/>
        </w:rPr>
        <w:t>通过物联感知网安全支撑平台同步感知网中的物联网终端厂商品牌、设备类型、操作系统类型、协议、平台等信息，根据识别的资产建立设备指纹库，实现资产智能检索和资产统计。</w:t>
      </w:r>
    </w:p>
    <w:p>
      <w:pPr>
        <w:ind w:firstLine="420" w:firstLineChars="200"/>
        <w:rPr>
          <w:rFonts w:ascii="仿宋" w:hAnsi="仿宋" w:eastAsia="仿宋"/>
        </w:rPr>
      </w:pPr>
      <w:r>
        <w:rPr>
          <w:rFonts w:hint="eastAsia" w:ascii="仿宋" w:hAnsi="仿宋" w:eastAsia="仿宋"/>
        </w:rPr>
        <w:t>技术指标要求：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b/>
                <w:bCs/>
              </w:rPr>
              <w:t>技术指标</w:t>
            </w:r>
          </w:p>
        </w:tc>
        <w:tc>
          <w:tcPr>
            <w:tcW w:w="7201" w:type="dxa"/>
            <w:noWrap/>
            <w:vAlign w:val="center"/>
          </w:tcPr>
          <w:p>
            <w:pPr>
              <w:pStyle w:val="6"/>
              <w:spacing w:line="300" w:lineRule="auto"/>
              <w:jc w:val="center"/>
              <w:rPr>
                <w:rFonts w:ascii="仿宋" w:hAnsi="仿宋" w:eastAsia="仿宋"/>
              </w:rPr>
            </w:pPr>
            <w:r>
              <w:rPr>
                <w:rFonts w:hint="eastAsia" w:ascii="仿宋" w:hAnsi="仿宋" w:eastAsia="仿宋"/>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资产概况</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支持资产总量及资产分类数量统计，支持待明确资产统计以及下级单位上报资产数量统计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支持未知资产发现趋势统计，包括流量发现、下级单位上报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支持软件资产类型分布统计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支持设备资产类型分布统计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支持按照单位、区域进行资产分布统计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资产发现</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支持未知资产导出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支持未知资产二次运营后形成本地资产库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资产管理</w:t>
            </w:r>
          </w:p>
        </w:tc>
        <w:tc>
          <w:tcPr>
            <w:tcW w:w="7201" w:type="dxa"/>
            <w:noWrap/>
            <w:vAlign w:val="center"/>
          </w:tcPr>
          <w:p>
            <w:pPr>
              <w:pStyle w:val="6"/>
              <w:spacing w:line="320" w:lineRule="exact"/>
              <w:rPr>
                <w:rFonts w:ascii="仿宋" w:hAnsi="仿宋" w:eastAsia="仿宋"/>
              </w:rPr>
            </w:pPr>
            <w:r>
              <w:rPr>
                <w:rFonts w:hint="eastAsia" w:ascii="仿宋" w:hAnsi="仿宋" w:eastAsia="仿宋"/>
              </w:rPr>
              <w:t>支持对单位信息按地区、统计和筛选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支持按列表的方式统计展示单位信息，展示信息包括单位名称、单位简称、地区、网络数量、业务系统数量、IP数量、监管单位、主管单位、标签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能够对单位资源按单位名称、单位简称、标签字段进行查询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能够对单位资源进行添加、批量删除、导入、导出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支持按软件资产、硬件资产、IP资产分类展示资产信息，支持资产数据的批量导入、导出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jc w:val="center"/>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支持资产自定分类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一键搜索</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支持输入关键字对资产数据进行一键搜索，一次最多支持查询10个词组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201" w:type="dxa"/>
            <w:noWrap/>
            <w:vAlign w:val="center"/>
          </w:tcPr>
          <w:p>
            <w:pPr>
              <w:pStyle w:val="6"/>
              <w:spacing w:line="320" w:lineRule="exact"/>
              <w:rPr>
                <w:rFonts w:ascii="仿宋" w:hAnsi="仿宋" w:eastAsia="仿宋"/>
              </w:rPr>
            </w:pPr>
            <w:r>
              <w:rPr>
                <w:rFonts w:hint="eastAsia" w:ascii="仿宋" w:hAnsi="仿宋" w:eastAsia="仿宋"/>
              </w:rPr>
              <w:t>支持显示历史检索条件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0"/>
            <w:vAlign w:val="center"/>
          </w:tcPr>
          <w:p>
            <w:pPr>
              <w:pStyle w:val="6"/>
              <w:spacing w:line="300" w:lineRule="auto"/>
              <w:rPr>
                <w:rFonts w:ascii="仿宋" w:hAnsi="仿宋" w:eastAsia="仿宋"/>
              </w:rPr>
            </w:pPr>
          </w:p>
        </w:tc>
        <w:tc>
          <w:tcPr>
            <w:tcW w:w="7201" w:type="dxa"/>
            <w:noWrap/>
            <w:vAlign w:val="center"/>
          </w:tcPr>
          <w:p>
            <w:pPr>
              <w:pStyle w:val="6"/>
              <w:spacing w:line="320" w:lineRule="exact"/>
              <w:rPr>
                <w:rFonts w:ascii="仿宋" w:hAnsi="仿宋" w:eastAsia="仿宋"/>
              </w:rPr>
            </w:pPr>
            <w:r>
              <w:rPr>
                <w:rFonts w:hint="eastAsia" w:ascii="仿宋" w:hAnsi="仿宋" w:eastAsia="仿宋"/>
              </w:rPr>
              <w:t>支持检索结果以资产实体的形式呈现</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73" w:name="_Toc79159432"/>
      <w:bookmarkStart w:id="74" w:name="_Toc86405235"/>
      <w:bookmarkStart w:id="75" w:name="_Toc80779097"/>
      <w:bookmarkStart w:id="76" w:name="_Toc88725865"/>
      <w:bookmarkStart w:id="77" w:name="_Toc88727559"/>
      <w:bookmarkStart w:id="78" w:name="_Toc80779098"/>
      <w:bookmarkStart w:id="79" w:name="_Toc86405236"/>
      <w:bookmarkStart w:id="80" w:name="_Toc79159433"/>
      <w:r>
        <w:rPr>
          <w:rFonts w:hint="eastAsia" w:ascii="仿宋" w:hAnsi="仿宋" w:eastAsia="仿宋"/>
          <w:b/>
          <w:sz w:val="32"/>
          <w:szCs w:val="32"/>
        </w:rPr>
        <w:t>告警管理</w:t>
      </w:r>
      <w:bookmarkEnd w:id="73"/>
      <w:bookmarkEnd w:id="74"/>
      <w:bookmarkEnd w:id="75"/>
      <w:r>
        <w:rPr>
          <w:rFonts w:hint="eastAsia" w:ascii="仿宋" w:hAnsi="仿宋" w:eastAsia="仿宋"/>
          <w:b/>
          <w:sz w:val="32"/>
          <w:szCs w:val="32"/>
        </w:rPr>
        <w:t>模块</w:t>
      </w:r>
      <w:bookmarkEnd w:id="76"/>
      <w:bookmarkEnd w:id="77"/>
    </w:p>
    <w:p>
      <w:pPr>
        <w:pStyle w:val="155"/>
        <w:wordWrap/>
        <w:spacing w:line="460" w:lineRule="exact"/>
        <w:ind w:firstLine="420" w:firstLineChars="200"/>
        <w:rPr>
          <w:rFonts w:ascii="仿宋" w:hAnsi="仿宋" w:eastAsia="仿宋"/>
        </w:rPr>
      </w:pPr>
      <w:r>
        <w:rPr>
          <w:rFonts w:hint="eastAsia" w:ascii="仿宋" w:hAnsi="仿宋" w:eastAsia="仿宋"/>
        </w:rPr>
        <w:t>依托全链路监管平台，实现考量云平台局委办租户的个性化告警管理、一屏通览的要求，打通数据分析和通报机制，确保平台租户环境安全。</w:t>
      </w:r>
    </w:p>
    <w:p>
      <w:pPr>
        <w:pStyle w:val="82"/>
        <w:numPr>
          <w:ilvl w:val="2"/>
          <w:numId w:val="6"/>
        </w:numPr>
        <w:spacing w:line="460" w:lineRule="exact"/>
        <w:ind w:left="426" w:firstLine="0" w:firstLineChars="0"/>
        <w:rPr>
          <w:rFonts w:ascii="仿宋" w:hAnsi="仿宋" w:eastAsia="仿宋"/>
          <w:b/>
        </w:rPr>
      </w:pPr>
      <w:r>
        <w:rPr>
          <w:rFonts w:ascii="仿宋" w:hAnsi="仿宋" w:eastAsia="仿宋"/>
          <w:b/>
        </w:rPr>
        <w:t>告警事件对接服务</w:t>
      </w:r>
    </w:p>
    <w:p>
      <w:pPr>
        <w:spacing w:line="460" w:lineRule="exact"/>
        <w:ind w:firstLine="420" w:firstLineChars="200"/>
        <w:rPr>
          <w:rFonts w:ascii="仿宋" w:hAnsi="仿宋" w:eastAsia="仿宋"/>
        </w:rPr>
      </w:pPr>
      <w:r>
        <w:rPr>
          <w:rFonts w:hint="eastAsia" w:ascii="仿宋" w:hAnsi="仿宋" w:eastAsia="仿宋"/>
        </w:rPr>
        <w:t>可将监测发现的漏洞或安全隐患</w:t>
      </w:r>
      <w:bookmarkStart w:id="81" w:name="_Hlk51867706"/>
      <w:r>
        <w:rPr>
          <w:rFonts w:hint="eastAsia" w:ascii="仿宋" w:hAnsi="仿宋" w:eastAsia="仿宋"/>
        </w:rPr>
        <w:t>及时将情况上报</w:t>
      </w:r>
      <w:bookmarkEnd w:id="81"/>
      <w:r>
        <w:rPr>
          <w:rFonts w:ascii="仿宋" w:hAnsi="仿宋" w:eastAsia="仿宋"/>
        </w:rPr>
        <w:t>到</w:t>
      </w:r>
      <w:r>
        <w:rPr>
          <w:rFonts w:hint="eastAsia" w:ascii="仿宋" w:hAnsi="仿宋" w:eastAsia="仿宋"/>
        </w:rPr>
        <w:t>全链路网络安全监管平台</w:t>
      </w:r>
      <w:r>
        <w:rPr>
          <w:rFonts w:ascii="仿宋" w:hAnsi="仿宋" w:eastAsia="仿宋"/>
        </w:rPr>
        <w:t>，</w:t>
      </w:r>
      <w:r>
        <w:rPr>
          <w:rFonts w:hint="eastAsia" w:ascii="仿宋" w:hAnsi="仿宋" w:eastAsia="仿宋"/>
        </w:rPr>
        <w:t>经过预处理之后的安全数据以结构化的形式分布式存储在系统大数据库中，对外提供数据查询与统计服务，从而实现海量数据检索与挖掘。</w:t>
      </w:r>
    </w:p>
    <w:p>
      <w:pPr>
        <w:spacing w:line="460" w:lineRule="exact"/>
        <w:ind w:firstLine="420" w:firstLineChars="200"/>
        <w:rPr>
          <w:rFonts w:ascii="仿宋" w:hAnsi="仿宋" w:eastAsia="仿宋"/>
        </w:rPr>
      </w:pPr>
      <w:r>
        <w:rPr>
          <w:rFonts w:hint="eastAsia" w:ascii="仿宋" w:hAnsi="仿宋" w:eastAsia="仿宋"/>
        </w:rPr>
        <w:t>平台支持对安全告警的分类检索。支持数据搜索输入框，可输入关键字包括不限于设备IP、日志发生时间、原始信息等进行检索；支持输入时间段、表达式等条件进行检索；支持快速选项卡检索；可指定多个查询条件进行组合查询；搜索结果以列表方式实现清晰展示，可在前端页面直接导出检索结果。</w:t>
      </w:r>
    </w:p>
    <w:p>
      <w:pPr>
        <w:pStyle w:val="82"/>
        <w:numPr>
          <w:ilvl w:val="2"/>
          <w:numId w:val="6"/>
        </w:numPr>
        <w:spacing w:line="460" w:lineRule="exact"/>
        <w:ind w:left="426" w:firstLine="0" w:firstLineChars="0"/>
        <w:rPr>
          <w:rFonts w:ascii="仿宋" w:hAnsi="仿宋" w:eastAsia="仿宋"/>
          <w:b/>
        </w:rPr>
      </w:pPr>
      <w:r>
        <w:rPr>
          <w:rFonts w:hint="eastAsia" w:ascii="仿宋" w:hAnsi="仿宋" w:eastAsia="仿宋"/>
          <w:b/>
        </w:rPr>
        <w:t>通报</w:t>
      </w:r>
      <w:r>
        <w:rPr>
          <w:rFonts w:ascii="仿宋" w:hAnsi="仿宋" w:eastAsia="仿宋"/>
          <w:b/>
        </w:rPr>
        <w:t>方式</w:t>
      </w:r>
    </w:p>
    <w:p>
      <w:pPr>
        <w:spacing w:line="460" w:lineRule="exact"/>
        <w:ind w:firstLine="420" w:firstLineChars="200"/>
        <w:rPr>
          <w:rFonts w:ascii="仿宋" w:hAnsi="仿宋" w:eastAsia="仿宋"/>
        </w:rPr>
      </w:pPr>
      <w:r>
        <w:rPr>
          <w:rFonts w:hint="eastAsia" w:ascii="仿宋" w:hAnsi="仿宋" w:eastAsia="仿宋"/>
        </w:rPr>
        <w:t>多种方式的通报，包括</w:t>
      </w:r>
      <w:r>
        <w:rPr>
          <w:rFonts w:ascii="仿宋" w:hAnsi="仿宋" w:eastAsia="仿宋"/>
        </w:rPr>
        <w:t>浙政钉</w:t>
      </w:r>
      <w:r>
        <w:rPr>
          <w:rFonts w:hint="eastAsia" w:ascii="仿宋" w:hAnsi="仿宋" w:eastAsia="仿宋"/>
        </w:rPr>
        <w:t>、网页等。在发生严重情况时，如突发的安全事件、重大漏洞等，直接通过电话的方式进行传达；当系统监测到存在轻微的安全隐患时可通过</w:t>
      </w:r>
      <w:r>
        <w:rPr>
          <w:rFonts w:ascii="仿宋" w:hAnsi="仿宋" w:eastAsia="仿宋"/>
        </w:rPr>
        <w:t>浙政钉</w:t>
      </w:r>
      <w:r>
        <w:rPr>
          <w:rFonts w:hint="eastAsia" w:ascii="仿宋" w:hAnsi="仿宋" w:eastAsia="仿宋"/>
        </w:rPr>
        <w:t>或网页进行预警提醒、或限期整改等。</w:t>
      </w:r>
    </w:p>
    <w:p>
      <w:pPr>
        <w:ind w:firstLine="420" w:firstLineChars="200"/>
        <w:rPr>
          <w:rFonts w:ascii="仿宋" w:hAnsi="仿宋" w:eastAsia="仿宋"/>
        </w:rPr>
      </w:pPr>
      <w:r>
        <w:rPr>
          <w:rFonts w:hint="eastAsia" w:ascii="仿宋" w:hAnsi="仿宋" w:eastAsia="仿宋"/>
        </w:rPr>
        <w:t>技术指标要求：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b/>
                <w:bCs/>
              </w:rPr>
              <w:t>技术指标</w:t>
            </w:r>
          </w:p>
        </w:tc>
        <w:tc>
          <w:tcPr>
            <w:tcW w:w="7201" w:type="dxa"/>
            <w:noWrap/>
            <w:vAlign w:val="center"/>
          </w:tcPr>
          <w:p>
            <w:pPr>
              <w:pStyle w:val="6"/>
              <w:spacing w:line="300" w:lineRule="auto"/>
              <w:jc w:val="center"/>
              <w:rPr>
                <w:rFonts w:ascii="仿宋" w:hAnsi="仿宋" w:eastAsia="仿宋"/>
              </w:rPr>
            </w:pPr>
            <w:r>
              <w:rPr>
                <w:rFonts w:hint="eastAsia" w:ascii="仿宋" w:hAnsi="仿宋" w:eastAsia="仿宋"/>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rPr>
              <w:t>数据归一处理</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能够接受数据接入的数据过滤计算任务，进行数据的过滤、归并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rPr>
              <w:t>分布式计算</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能够提供分布式计算资源，支持流式计算任务、批量计算任务，为数据分析提供支撑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rPr>
              <w:t>分布式存储</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能够提供分布式存储方式，能够快速建立数据索引，并能支持快速检索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日志检索</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支持查询检索范围选择日志类型，类型包括：告警原始库、告警资源库、流量原始库、</w:t>
            </w:r>
            <w:r>
              <w:rPr>
                <w:rFonts w:ascii="仿宋" w:hAnsi="仿宋" w:eastAsia="仿宋"/>
              </w:rPr>
              <w:t>HIVE查询库、审计日志库；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选择索引后，点击搜索语句框会下拉展示通用字段、流量通用字段，以及该索引特有字段；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支持搜索条件提示字段编辑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支持多值搜索，可连续选择多字段，编辑多个胶囊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支持日志列表中字段的过滤或排除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w:t>
            </w:r>
            <w:r>
              <w:rPr>
                <w:rFonts w:ascii="仿宋" w:hAnsi="仿宋" w:eastAsia="仿宋"/>
              </w:rPr>
              <w:t>lucene语句搜索，定义语句进行英文搜索语句检索数据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restart"/>
            <w:noWrap/>
            <w:vAlign w:val="center"/>
          </w:tcPr>
          <w:p>
            <w:pPr>
              <w:pStyle w:val="6"/>
              <w:spacing w:line="300" w:lineRule="auto"/>
              <w:jc w:val="center"/>
              <w:rPr>
                <w:rFonts w:ascii="仿宋" w:hAnsi="仿宋" w:eastAsia="仿宋"/>
              </w:rPr>
            </w:pPr>
            <w:r>
              <w:rPr>
                <w:rFonts w:hint="eastAsia" w:ascii="仿宋" w:hAnsi="仿宋" w:eastAsia="仿宋"/>
              </w:rPr>
              <w:t>日志展示</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支持在字段区域可操作字段在“已选字段”、“可选字段”间变更、展开查看字段信息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支持字段二次搜索，在原搜索基础上可以根据字段值二次搜索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vMerge w:val="continue"/>
            <w:noWrap/>
            <w:vAlign w:val="center"/>
          </w:tcPr>
          <w:p>
            <w:pPr>
              <w:pStyle w:val="6"/>
              <w:spacing w:line="300" w:lineRule="auto"/>
              <w:rPr>
                <w:rFonts w:ascii="仿宋" w:hAnsi="仿宋" w:eastAsia="仿宋"/>
              </w:rPr>
            </w:pPr>
          </w:p>
        </w:tc>
        <w:tc>
          <w:tcPr>
            <w:tcW w:w="7201" w:type="dxa"/>
            <w:noWrap w:val="0"/>
            <w:vAlign w:val="center"/>
          </w:tcPr>
          <w:p>
            <w:pPr>
              <w:pStyle w:val="6"/>
              <w:spacing w:line="320" w:lineRule="exact"/>
              <w:rPr>
                <w:rFonts w:ascii="仿宋" w:hAnsi="仿宋" w:eastAsia="仿宋"/>
              </w:rPr>
            </w:pPr>
            <w:r>
              <w:rPr>
                <w:rFonts w:hint="eastAsia" w:ascii="仿宋" w:hAnsi="仿宋" w:eastAsia="仿宋"/>
              </w:rPr>
              <w:t>支持日志内容以“键</w:t>
            </w:r>
            <w:r>
              <w:rPr>
                <w:rFonts w:ascii="仿宋" w:hAnsi="仿宋" w:eastAsia="仿宋"/>
              </w:rPr>
              <w:t>/值”、“JSON”格式展示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79" w:type="dxa"/>
            <w:noWrap/>
            <w:vAlign w:val="center"/>
          </w:tcPr>
          <w:p>
            <w:pPr>
              <w:pStyle w:val="6"/>
              <w:spacing w:line="300" w:lineRule="auto"/>
              <w:jc w:val="center"/>
              <w:rPr>
                <w:rFonts w:ascii="仿宋" w:hAnsi="仿宋" w:eastAsia="仿宋"/>
              </w:rPr>
            </w:pPr>
            <w:r>
              <w:rPr>
                <w:rFonts w:hint="eastAsia" w:ascii="仿宋" w:hAnsi="仿宋" w:eastAsia="仿宋"/>
              </w:rPr>
              <w:t>通报对接</w:t>
            </w:r>
          </w:p>
        </w:tc>
        <w:tc>
          <w:tcPr>
            <w:tcW w:w="7201" w:type="dxa"/>
            <w:noWrap w:val="0"/>
            <w:vAlign w:val="center"/>
          </w:tcPr>
          <w:p>
            <w:pPr>
              <w:pStyle w:val="6"/>
              <w:spacing w:line="320" w:lineRule="exact"/>
              <w:rPr>
                <w:rFonts w:ascii="仿宋" w:hAnsi="仿宋" w:eastAsia="仿宋"/>
              </w:rPr>
            </w:pPr>
            <w:r>
              <w:rPr>
                <w:rFonts w:hint="eastAsia" w:ascii="仿宋" w:hAnsi="仿宋" w:eastAsia="仿宋"/>
              </w:rPr>
              <w:t>要求通报与浙政钉进行对接，通过浙政钉通知到具体责任人进行签收反馈整改处置</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82" w:name="_Toc88725866"/>
      <w:bookmarkStart w:id="83" w:name="_Toc88727560"/>
      <w:r>
        <w:rPr>
          <w:rFonts w:hint="eastAsia" w:ascii="仿宋" w:hAnsi="仿宋" w:eastAsia="仿宋"/>
          <w:b/>
          <w:sz w:val="32"/>
          <w:szCs w:val="32"/>
        </w:rPr>
        <w:t>检查督查</w:t>
      </w:r>
      <w:bookmarkEnd w:id="78"/>
      <w:bookmarkEnd w:id="79"/>
      <w:bookmarkEnd w:id="80"/>
      <w:r>
        <w:rPr>
          <w:rFonts w:hint="eastAsia" w:ascii="仿宋" w:hAnsi="仿宋" w:eastAsia="仿宋"/>
          <w:b/>
          <w:sz w:val="32"/>
          <w:szCs w:val="32"/>
        </w:rPr>
        <w:t>模块</w:t>
      </w:r>
      <w:bookmarkEnd w:id="82"/>
      <w:bookmarkEnd w:id="83"/>
    </w:p>
    <w:p>
      <w:pPr>
        <w:spacing w:line="460" w:lineRule="exact"/>
        <w:ind w:firstLine="420" w:firstLineChars="200"/>
        <w:rPr>
          <w:rFonts w:ascii="仿宋" w:hAnsi="仿宋" w:eastAsia="仿宋"/>
        </w:rPr>
      </w:pPr>
      <w:r>
        <w:rPr>
          <w:rFonts w:hint="eastAsia" w:ascii="仿宋" w:hAnsi="仿宋" w:eastAsia="仿宋"/>
        </w:rPr>
        <w:t>依托全链路监管平台，满足浙江省大数据发展管理电子政务安全监测相关指标要求以及浙江省一体化智能化公共数据平台建设方案当中建立全链路安全监管机制要求，实现对各委办局的检查督查。</w:t>
      </w:r>
    </w:p>
    <w:p>
      <w:pPr>
        <w:spacing w:line="460" w:lineRule="exact"/>
        <w:ind w:firstLine="420" w:firstLineChars="200"/>
        <w:rPr>
          <w:rFonts w:ascii="仿宋" w:hAnsi="仿宋" w:eastAsia="仿宋"/>
        </w:rPr>
      </w:pPr>
      <w:r>
        <w:rPr>
          <w:rFonts w:hint="eastAsia" w:ascii="仿宋" w:hAnsi="仿宋" w:eastAsia="仿宋"/>
        </w:rPr>
        <w:t>检查督查是数据局定期开展检查工作的主要机制，主要包括现场检查、安全自查两个部分，通过线上系统管理检查工作，收集检查数据，评价检查结果。检查督查系统支持与网络安全检查工具箱实现数据对接和业务管理闭环。</w:t>
      </w:r>
    </w:p>
    <w:p>
      <w:pPr>
        <w:spacing w:line="460" w:lineRule="exact"/>
        <w:ind w:firstLine="420" w:firstLineChars="200"/>
        <w:rPr>
          <w:rFonts w:ascii="仿宋" w:hAnsi="仿宋" w:eastAsia="仿宋"/>
        </w:rPr>
      </w:pPr>
      <w:r>
        <w:rPr>
          <w:rFonts w:hint="eastAsia" w:ascii="仿宋" w:hAnsi="仿宋" w:eastAsia="仿宋"/>
        </w:rPr>
        <w:t>检查督查形式包括现场检查和安全自查两种模式。</w:t>
      </w:r>
    </w:p>
    <w:p>
      <w:pPr>
        <w:pStyle w:val="82"/>
        <w:numPr>
          <w:ilvl w:val="2"/>
          <w:numId w:val="6"/>
        </w:numPr>
        <w:spacing w:line="460" w:lineRule="exact"/>
        <w:ind w:left="426" w:firstLine="0" w:firstLineChars="0"/>
        <w:rPr>
          <w:rFonts w:ascii="仿宋" w:hAnsi="仿宋" w:eastAsia="仿宋"/>
          <w:b/>
        </w:rPr>
      </w:pPr>
      <w:r>
        <w:rPr>
          <w:rFonts w:hint="eastAsia" w:ascii="仿宋" w:hAnsi="仿宋" w:eastAsia="仿宋"/>
          <w:b/>
        </w:rPr>
        <w:t>现场检查</w:t>
      </w:r>
    </w:p>
    <w:p>
      <w:pPr>
        <w:spacing w:line="460" w:lineRule="exact"/>
        <w:ind w:firstLine="420" w:firstLineChars="200"/>
        <w:rPr>
          <w:rFonts w:ascii="仿宋" w:hAnsi="仿宋" w:eastAsia="仿宋"/>
        </w:rPr>
      </w:pPr>
      <w:r>
        <w:rPr>
          <w:rFonts w:hint="eastAsia" w:ascii="仿宋" w:hAnsi="仿宋" w:eastAsia="仿宋"/>
        </w:rPr>
        <w:t>现场检查是由淳安县数据资源中心协同网信、公安组织技术支撑单位，制定检查计划并开展现场检查的过程，主要包括以下功能：</w:t>
      </w:r>
    </w:p>
    <w:p>
      <w:pPr>
        <w:spacing w:line="460" w:lineRule="exact"/>
        <w:ind w:firstLine="420" w:firstLineChars="200"/>
        <w:rPr>
          <w:rFonts w:ascii="仿宋" w:hAnsi="仿宋" w:eastAsia="仿宋"/>
        </w:rPr>
      </w:pPr>
      <w:r>
        <w:rPr>
          <w:rFonts w:hint="eastAsia" w:ascii="仿宋" w:hAnsi="仿宋" w:eastAsia="仿宋"/>
        </w:rPr>
        <w:t>现场检查情况统计：现场检查模块从不同维度对工作情况进行统计说明，主要包括检查资产总数、发现的漏洞数量、年度检查的任务信息、渗透测试的情况、检查队伍评价等。</w:t>
      </w:r>
    </w:p>
    <w:p>
      <w:pPr>
        <w:spacing w:line="460" w:lineRule="exact"/>
        <w:ind w:firstLine="420" w:firstLineChars="200"/>
        <w:rPr>
          <w:rFonts w:ascii="仿宋" w:hAnsi="仿宋" w:eastAsia="仿宋"/>
        </w:rPr>
      </w:pPr>
      <w:r>
        <w:rPr>
          <w:rFonts w:hint="eastAsia" w:ascii="仿宋" w:hAnsi="仿宋" w:eastAsia="仿宋"/>
        </w:rPr>
        <w:t>建立检查任务：提供创建检查任务的功能入口，支持创建检查任务（包括任务名称、负责人、任务时间、检查对象、任务模板、支撑队伍等信息）。</w:t>
      </w:r>
    </w:p>
    <w:p>
      <w:pPr>
        <w:spacing w:line="460" w:lineRule="exact"/>
        <w:ind w:firstLine="420" w:firstLineChars="200"/>
        <w:rPr>
          <w:rFonts w:ascii="仿宋" w:hAnsi="仿宋" w:eastAsia="仿宋"/>
        </w:rPr>
      </w:pPr>
      <w:r>
        <w:rPr>
          <w:rFonts w:hint="eastAsia" w:ascii="仿宋" w:hAnsi="仿宋" w:eastAsia="仿宋"/>
        </w:rPr>
        <w:t>任务清单：任务创建成功后在任务清单中存档，支持任务的基本管理，编辑、删除、查询、查看详情、提交报告、评价任务情况等。</w:t>
      </w:r>
    </w:p>
    <w:p>
      <w:pPr>
        <w:pStyle w:val="82"/>
        <w:numPr>
          <w:ilvl w:val="2"/>
          <w:numId w:val="6"/>
        </w:numPr>
        <w:spacing w:line="460" w:lineRule="exact"/>
        <w:ind w:left="426" w:firstLine="0" w:firstLineChars="0"/>
        <w:rPr>
          <w:rFonts w:ascii="仿宋" w:hAnsi="仿宋" w:eastAsia="仿宋"/>
          <w:b/>
        </w:rPr>
      </w:pPr>
      <w:r>
        <w:rPr>
          <w:rFonts w:hint="eastAsia" w:ascii="仿宋" w:hAnsi="仿宋" w:eastAsia="仿宋"/>
          <w:b/>
        </w:rPr>
        <w:t>安全自查</w:t>
      </w:r>
    </w:p>
    <w:p>
      <w:pPr>
        <w:spacing w:line="460" w:lineRule="exact"/>
        <w:ind w:firstLine="420" w:firstLineChars="200"/>
        <w:rPr>
          <w:rFonts w:ascii="仿宋" w:hAnsi="仿宋" w:eastAsia="仿宋"/>
        </w:rPr>
      </w:pPr>
      <w:r>
        <w:rPr>
          <w:rFonts w:hint="eastAsia" w:ascii="仿宋" w:hAnsi="仿宋" w:eastAsia="仿宋"/>
        </w:rPr>
        <w:t>支持各单位定期自我检查并上报检查结果。检查任务由淳安县数据资源中心统一设计、安排，并经过通知系统下发自查通知。</w:t>
      </w:r>
    </w:p>
    <w:p>
      <w:pPr>
        <w:spacing w:line="460" w:lineRule="exact"/>
        <w:ind w:firstLine="420" w:firstLineChars="200"/>
        <w:rPr>
          <w:rFonts w:ascii="仿宋" w:hAnsi="仿宋" w:eastAsia="仿宋"/>
        </w:rPr>
      </w:pPr>
      <w:r>
        <w:rPr>
          <w:rFonts w:hint="eastAsia" w:ascii="仿宋" w:hAnsi="仿宋" w:eastAsia="仿宋"/>
        </w:rPr>
        <w:t>自查统计：自查统计主要针对安全自查的工作维度进行数据统计，显示整体工作情况，主要维度包括自查任务的数量统计、自查任务的进度情况显示、自查单位数量、自查渠道提交的漏洞数量、资产数量、测试报告数量。</w:t>
      </w:r>
    </w:p>
    <w:p>
      <w:pPr>
        <w:spacing w:line="460" w:lineRule="exact"/>
        <w:ind w:firstLine="420" w:firstLineChars="200"/>
        <w:rPr>
          <w:rFonts w:ascii="仿宋" w:hAnsi="仿宋" w:eastAsia="仿宋"/>
        </w:rPr>
      </w:pPr>
      <w:r>
        <w:rPr>
          <w:rFonts w:hint="eastAsia" w:ascii="仿宋" w:hAnsi="仿宋" w:eastAsia="仿宋"/>
        </w:rPr>
        <w:t>发布自查任务：用户可以创建自查任务，并通过通知系统通知相关单位。创建自查任务可选择检查模板、填写任务目标说明、填写任务期限、选择接受单位（行业、单位、区域）。</w:t>
      </w:r>
    </w:p>
    <w:p>
      <w:pPr>
        <w:spacing w:line="460" w:lineRule="exact"/>
        <w:ind w:firstLine="420" w:firstLineChars="200"/>
        <w:rPr>
          <w:rFonts w:ascii="仿宋" w:hAnsi="仿宋" w:eastAsia="仿宋"/>
        </w:rPr>
      </w:pPr>
      <w:r>
        <w:rPr>
          <w:rFonts w:hint="eastAsia" w:ascii="仿宋" w:hAnsi="仿宋" w:eastAsia="仿宋"/>
        </w:rPr>
        <w:t>任务清单：任务创建成功后在任务清单中存档，能够查看单位用户自查结果提交情况及查看任务详情（包括任务基本信息以及单位提交自查状态，分两个群组，已提交自查结果的和未提交自查结果）；对已提交自查结果的单位可以点击单位名称查看、下载自查结果。</w:t>
      </w:r>
    </w:p>
    <w:p>
      <w:pPr>
        <w:spacing w:line="460" w:lineRule="exact"/>
        <w:ind w:firstLine="420" w:firstLineChars="200"/>
        <w:rPr>
          <w:rFonts w:ascii="仿宋" w:hAnsi="仿宋" w:eastAsia="仿宋"/>
        </w:rPr>
      </w:pPr>
      <w:r>
        <w:rPr>
          <w:rFonts w:hint="eastAsia" w:ascii="仿宋" w:hAnsi="仿宋" w:eastAsia="仿宋"/>
        </w:rPr>
        <w:t>提交自查结果：系统在单位端开放自查模块，接收自查任务，自查任务提供自查清单，对自查任务可以下载检查模板，查看检查要求。完成自查工作后，可以根据模板上传自查结果。</w:t>
      </w:r>
    </w:p>
    <w:p>
      <w:pPr>
        <w:ind w:firstLine="420" w:firstLineChars="200"/>
        <w:rPr>
          <w:rFonts w:ascii="仿宋" w:hAnsi="仿宋" w:eastAsia="仿宋"/>
        </w:rPr>
      </w:pPr>
      <w:r>
        <w:rPr>
          <w:rFonts w:hint="eastAsia" w:ascii="仿宋" w:hAnsi="仿宋" w:eastAsia="仿宋"/>
        </w:rPr>
        <w:t>技术指标要求：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63" w:type="dxa"/>
            <w:noWrap/>
            <w:vAlign w:val="center"/>
          </w:tcPr>
          <w:p>
            <w:pPr>
              <w:spacing w:before="202" w:beforeLines="65" w:after="156" w:afterLines="50" w:line="300" w:lineRule="auto"/>
              <w:ind w:firstLine="480"/>
              <w:jc w:val="center"/>
              <w:rPr>
                <w:rFonts w:ascii="仿宋" w:hAnsi="仿宋" w:eastAsia="仿宋" w:cs="Calibri"/>
                <w:b/>
                <w:bCs/>
                <w:kern w:val="0"/>
                <w:szCs w:val="21"/>
              </w:rPr>
            </w:pPr>
            <w:r>
              <w:rPr>
                <w:rFonts w:hint="eastAsia" w:ascii="仿宋" w:hAnsi="仿宋" w:eastAsia="仿宋" w:cs="Calibri"/>
                <w:b/>
                <w:bCs/>
                <w:kern w:val="0"/>
                <w:szCs w:val="21"/>
              </w:rPr>
              <w:t>技术指标</w:t>
            </w:r>
          </w:p>
        </w:tc>
        <w:tc>
          <w:tcPr>
            <w:tcW w:w="6421" w:type="dxa"/>
            <w:noWrap w:val="0"/>
            <w:vAlign w:val="center"/>
          </w:tcPr>
          <w:p>
            <w:pPr>
              <w:spacing w:before="202" w:beforeLines="65" w:after="156" w:afterLines="50" w:line="300" w:lineRule="auto"/>
              <w:ind w:firstLine="480"/>
              <w:jc w:val="center"/>
              <w:rPr>
                <w:rFonts w:ascii="仿宋" w:hAnsi="仿宋" w:eastAsia="仿宋" w:cs="Calibri"/>
                <w:b/>
                <w:bCs/>
                <w:kern w:val="0"/>
                <w:szCs w:val="21"/>
              </w:rPr>
            </w:pPr>
            <w:r>
              <w:rPr>
                <w:rFonts w:hint="eastAsia" w:ascii="仿宋" w:hAnsi="仿宋" w:eastAsia="仿宋" w:cs="Calibri"/>
                <w:b/>
                <w:bCs/>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63" w:type="dxa"/>
            <w:vMerge w:val="restart"/>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检查任务管理</w:t>
            </w: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支持创建检查任务，可选择多个被检查单位，检查任务类型支持 年度安全检查、专项检查、经费情况、软件正版化情况等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63"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支持检查任务通过浙政钉的方式发布，并可在app上下载检查附件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vMerge w:val="continue"/>
            <w:noWrap/>
            <w:vAlign w:val="center"/>
          </w:tcPr>
          <w:p>
            <w:pPr>
              <w:spacing w:before="202" w:beforeLines="65" w:after="156" w:afterLines="50" w:line="300" w:lineRule="auto"/>
              <w:ind w:firstLine="480"/>
              <w:jc w:val="center"/>
              <w:rPr>
                <w:rFonts w:ascii="仿宋" w:hAnsi="仿宋" w:eastAsia="仿宋" w:cs="Calibri"/>
                <w:kern w:val="0"/>
                <w:szCs w:val="21"/>
              </w:rPr>
            </w:pP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支持检查任务催办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vMerge w:val="restart"/>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分析报表</w:t>
            </w: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支持安装检查任务状态进行统计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支持检查任务填报率统计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支持检查任务催办率统计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支持检查任务按时填报率统计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63" w:type="dxa"/>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网络安全检查任务</w:t>
            </w:r>
          </w:p>
        </w:tc>
        <w:tc>
          <w:tcPr>
            <w:tcW w:w="6421" w:type="dxa"/>
            <w:noWrap w:val="0"/>
            <w:vAlign w:val="center"/>
          </w:tcPr>
          <w:p>
            <w:pPr>
              <w:spacing w:before="202" w:beforeLines="65" w:after="156" w:afterLines="50" w:line="300" w:lineRule="auto"/>
              <w:ind w:firstLine="480"/>
              <w:jc w:val="left"/>
              <w:rPr>
                <w:rFonts w:ascii="仿宋" w:hAnsi="仿宋" w:eastAsia="仿宋" w:cs="Calibri"/>
                <w:kern w:val="0"/>
                <w:szCs w:val="21"/>
              </w:rPr>
            </w:pPr>
            <w:r>
              <w:rPr>
                <w:rFonts w:hint="eastAsia" w:ascii="仿宋" w:hAnsi="仿宋" w:eastAsia="仿宋" w:cs="Calibri"/>
                <w:kern w:val="0"/>
                <w:szCs w:val="21"/>
              </w:rPr>
              <w:t>支持检查任务在线填报</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84" w:name="_Toc86405237"/>
      <w:bookmarkStart w:id="85" w:name="_Toc79159434"/>
      <w:bookmarkStart w:id="86" w:name="_Toc80779099"/>
      <w:bookmarkStart w:id="87" w:name="_Toc88727561"/>
      <w:bookmarkStart w:id="88" w:name="_Toc88725867"/>
      <w:r>
        <w:rPr>
          <w:rFonts w:hint="eastAsia" w:ascii="仿宋" w:hAnsi="仿宋" w:eastAsia="仿宋"/>
          <w:b/>
          <w:sz w:val="32"/>
          <w:szCs w:val="32"/>
        </w:rPr>
        <w:t>考核评估</w:t>
      </w:r>
      <w:bookmarkEnd w:id="84"/>
      <w:bookmarkEnd w:id="85"/>
      <w:bookmarkEnd w:id="86"/>
      <w:r>
        <w:rPr>
          <w:rFonts w:hint="eastAsia" w:ascii="仿宋" w:hAnsi="仿宋" w:eastAsia="仿宋"/>
          <w:b/>
          <w:sz w:val="32"/>
          <w:szCs w:val="32"/>
        </w:rPr>
        <w:t>模块</w:t>
      </w:r>
      <w:bookmarkEnd w:id="87"/>
      <w:bookmarkEnd w:id="88"/>
    </w:p>
    <w:p>
      <w:pPr>
        <w:spacing w:line="460" w:lineRule="exact"/>
        <w:ind w:firstLine="420" w:firstLineChars="200"/>
        <w:rPr>
          <w:rFonts w:ascii="仿宋" w:hAnsi="仿宋" w:eastAsia="仿宋"/>
        </w:rPr>
      </w:pPr>
      <w:r>
        <w:rPr>
          <w:rFonts w:hint="eastAsia" w:ascii="仿宋" w:hAnsi="仿宋" w:eastAsia="仿宋"/>
        </w:rPr>
        <w:t>考核评估模块是作为淳安县数据资源管理中心对所辖各委办局等单位的重要管理措施，也是进一步提升各单位安全防范意识的重要手段。依托全链路监管平台对各单位多维的考核评价、指标质量考核，明确当前薄弱点及需重点关注加固的单位，提升淳安县全域整体安全智治。</w:t>
      </w:r>
    </w:p>
    <w:p>
      <w:pPr>
        <w:spacing w:line="460" w:lineRule="exact"/>
        <w:ind w:firstLine="420" w:firstLineChars="200"/>
        <w:rPr>
          <w:rFonts w:ascii="仿宋" w:hAnsi="仿宋" w:eastAsia="仿宋"/>
        </w:rPr>
      </w:pPr>
      <w:r>
        <w:rPr>
          <w:rFonts w:hint="eastAsia" w:ascii="仿宋" w:hAnsi="仿宋" w:eastAsia="仿宋"/>
        </w:rPr>
        <w:t>为了有效开展网络安全防护工作，了解网络安全现状，分析存在问题，统筹指引系统通过态势分析、工作指引以及工作考评等直观展示内容为网络安全主管部门提供数据决策支持。</w:t>
      </w:r>
    </w:p>
    <w:p>
      <w:pPr>
        <w:spacing w:line="460" w:lineRule="exact"/>
        <w:ind w:firstLine="420" w:firstLineChars="200"/>
        <w:rPr>
          <w:rFonts w:ascii="仿宋" w:hAnsi="仿宋" w:eastAsia="仿宋"/>
        </w:rPr>
      </w:pPr>
      <w:r>
        <w:rPr>
          <w:rFonts w:hint="eastAsia" w:ascii="仿宋" w:hAnsi="仿宋" w:eastAsia="仿宋"/>
        </w:rPr>
        <w:t>考核评估服务设计依据国家级和市级相关政策文件，结合网络及数据安全建设要求，建立网络及数据安全检查指标库。实现以查代促、以查促改、以查促管、以查促防，达到有效推动各级政府机关单位落实网络安全工作目标任务。</w:t>
      </w:r>
    </w:p>
    <w:p>
      <w:pPr>
        <w:spacing w:line="460" w:lineRule="exact"/>
        <w:ind w:firstLine="420" w:firstLineChars="200"/>
        <w:rPr>
          <w:rFonts w:ascii="仿宋" w:hAnsi="仿宋" w:eastAsia="仿宋"/>
        </w:rPr>
      </w:pPr>
      <w:r>
        <w:rPr>
          <w:rFonts w:hint="eastAsia" w:ascii="仿宋" w:hAnsi="仿宋" w:eastAsia="仿宋"/>
        </w:rPr>
        <w:t>考核评估模块根据网络及数据安全检查指标库内的标准，对各类安全检查任务进行安全检查指标对比，形成统计分析、安全评价和工作质量考核。</w:t>
      </w:r>
    </w:p>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技术指标要求：</w:t>
      </w:r>
    </w:p>
    <w:tbl>
      <w:tblPr>
        <w:tblStyle w:val="3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noWrap/>
            <w:vAlign w:val="center"/>
          </w:tcPr>
          <w:p>
            <w:pPr>
              <w:spacing w:before="202" w:beforeLines="65" w:after="156" w:afterLines="50" w:line="300" w:lineRule="auto"/>
              <w:ind w:firstLine="480"/>
              <w:jc w:val="center"/>
              <w:rPr>
                <w:rFonts w:ascii="仿宋" w:hAnsi="仿宋" w:eastAsia="仿宋" w:cs="Calibri"/>
                <w:b/>
                <w:bCs/>
                <w:kern w:val="0"/>
                <w:szCs w:val="21"/>
              </w:rPr>
            </w:pPr>
            <w:r>
              <w:rPr>
                <w:rFonts w:hint="eastAsia" w:ascii="仿宋" w:hAnsi="仿宋" w:eastAsia="仿宋" w:cs="Calibri"/>
                <w:b/>
                <w:bCs/>
                <w:kern w:val="0"/>
                <w:szCs w:val="21"/>
              </w:rPr>
              <w:t>技术指标</w:t>
            </w:r>
          </w:p>
        </w:tc>
        <w:tc>
          <w:tcPr>
            <w:tcW w:w="6917" w:type="dxa"/>
            <w:noWrap w:val="0"/>
            <w:vAlign w:val="center"/>
          </w:tcPr>
          <w:p>
            <w:pPr>
              <w:spacing w:before="202" w:beforeLines="65" w:after="156" w:afterLines="50" w:line="300" w:lineRule="auto"/>
              <w:ind w:firstLine="480"/>
              <w:jc w:val="center"/>
              <w:rPr>
                <w:rFonts w:ascii="仿宋" w:hAnsi="仿宋" w:eastAsia="仿宋" w:cs="Calibri"/>
                <w:b/>
                <w:bCs/>
                <w:kern w:val="0"/>
                <w:szCs w:val="21"/>
              </w:rPr>
            </w:pPr>
            <w:r>
              <w:rPr>
                <w:rFonts w:hint="eastAsia" w:ascii="仿宋" w:hAnsi="仿宋" w:eastAsia="仿宋" w:cs="Calibri"/>
                <w:b/>
                <w:bCs/>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restart"/>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考核统计分析</w:t>
            </w: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支持统计每个考核任务的考核概况统计，包括考核单位数、考核任务权重、考核指标数量、最高评分、最多评分、评分top5、单项指标最低评分top5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支持按照单位过滤筛选考核任务统计页面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restart"/>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考核任务管理</w:t>
            </w: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支持创建考核任务，选择考核单位 、选择考核指标 ，制定考核评分上线以及各考核指标权重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支持考核模板引用保存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restart"/>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考核评分管理</w:t>
            </w: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支持考核评级等级分数区间自定义规则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支持考核指标的主观指标设置、自评指标设置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支持安全业务类指标的系统自动评分规则设置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0"/>
            <w:vAlign w:val="center"/>
          </w:tcPr>
          <w:p>
            <w:pPr>
              <w:spacing w:before="202" w:beforeLines="65" w:after="156" w:afterLines="50" w:line="300" w:lineRule="auto"/>
              <w:ind w:firstLine="480"/>
              <w:jc w:val="center"/>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支持被考核单位自评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ign w:val="center"/>
          </w:tcPr>
          <w:p>
            <w:pPr>
              <w:spacing w:before="202" w:beforeLines="65" w:after="156" w:afterLines="50" w:line="300" w:lineRule="auto"/>
              <w:ind w:firstLine="480"/>
              <w:jc w:val="center"/>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支持考核单位对被考核单位进行主观评分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restart"/>
            <w:noWrap/>
            <w:vAlign w:val="center"/>
          </w:tcPr>
          <w:p>
            <w:pPr>
              <w:spacing w:before="202" w:beforeLines="65" w:after="156" w:afterLines="50" w:line="300" w:lineRule="auto"/>
              <w:ind w:firstLine="480"/>
              <w:jc w:val="center"/>
              <w:rPr>
                <w:rFonts w:ascii="仿宋" w:hAnsi="仿宋" w:eastAsia="仿宋" w:cs="Calibri"/>
                <w:kern w:val="0"/>
                <w:szCs w:val="21"/>
              </w:rPr>
            </w:pPr>
            <w:r>
              <w:rPr>
                <w:rFonts w:hint="eastAsia" w:ascii="仿宋" w:hAnsi="仿宋" w:eastAsia="仿宋" w:cs="Calibri"/>
                <w:kern w:val="0"/>
                <w:szCs w:val="21"/>
              </w:rPr>
              <w:t>考核指标</w:t>
            </w: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支持系统内置考核指标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vMerge w:val="continue"/>
            <w:noWrap w:val="0"/>
            <w:vAlign w:val="center"/>
          </w:tcPr>
          <w:p>
            <w:pPr>
              <w:spacing w:before="202" w:beforeLines="65" w:after="156" w:afterLines="50" w:line="300" w:lineRule="auto"/>
              <w:ind w:firstLine="480"/>
              <w:rPr>
                <w:rFonts w:ascii="仿宋" w:hAnsi="仿宋" w:eastAsia="仿宋" w:cs="Calibri"/>
                <w:kern w:val="0"/>
                <w:szCs w:val="21"/>
              </w:rPr>
            </w:pPr>
          </w:p>
        </w:tc>
        <w:tc>
          <w:tcPr>
            <w:tcW w:w="6917" w:type="dxa"/>
            <w:noWrap w:val="0"/>
            <w:vAlign w:val="center"/>
          </w:tcPr>
          <w:p>
            <w:pPr>
              <w:spacing w:before="202" w:beforeLines="65" w:after="156" w:afterLines="50" w:line="300" w:lineRule="auto"/>
              <w:ind w:firstLine="480"/>
              <w:rPr>
                <w:rFonts w:ascii="仿宋" w:hAnsi="仿宋" w:eastAsia="仿宋" w:cs="Calibri"/>
                <w:kern w:val="0"/>
                <w:szCs w:val="21"/>
              </w:rPr>
            </w:pPr>
            <w:r>
              <w:rPr>
                <w:rFonts w:hint="eastAsia" w:ascii="仿宋" w:hAnsi="仿宋" w:eastAsia="仿宋" w:cs="Calibri"/>
                <w:kern w:val="0"/>
                <w:szCs w:val="21"/>
              </w:rPr>
              <w:t>支持自定义考核指标</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89" w:name="_Toc79159436"/>
      <w:bookmarkStart w:id="90" w:name="_Toc86405239"/>
      <w:bookmarkStart w:id="91" w:name="_Toc80779101"/>
      <w:bookmarkStart w:id="92" w:name="_Toc88727562"/>
      <w:bookmarkStart w:id="93" w:name="_Toc88725868"/>
      <w:r>
        <w:rPr>
          <w:rFonts w:hint="eastAsia" w:ascii="仿宋" w:hAnsi="仿宋" w:eastAsia="仿宋"/>
          <w:b/>
          <w:sz w:val="32"/>
          <w:szCs w:val="32"/>
        </w:rPr>
        <w:t>事件案例</w:t>
      </w:r>
      <w:bookmarkEnd w:id="89"/>
      <w:bookmarkEnd w:id="90"/>
      <w:bookmarkEnd w:id="91"/>
      <w:r>
        <w:rPr>
          <w:rFonts w:hint="eastAsia" w:ascii="仿宋" w:hAnsi="仿宋" w:eastAsia="仿宋"/>
          <w:b/>
          <w:sz w:val="32"/>
          <w:szCs w:val="32"/>
        </w:rPr>
        <w:t>模块</w:t>
      </w:r>
      <w:bookmarkEnd w:id="92"/>
      <w:bookmarkEnd w:id="93"/>
    </w:p>
    <w:p>
      <w:pPr>
        <w:spacing w:line="460" w:lineRule="exact"/>
        <w:ind w:firstLine="420" w:firstLineChars="200"/>
        <w:rPr>
          <w:rFonts w:ascii="仿宋" w:hAnsi="仿宋" w:eastAsia="仿宋"/>
        </w:rPr>
      </w:pPr>
      <w:bookmarkStart w:id="94" w:name="_Hlk37755451"/>
      <w:r>
        <w:rPr>
          <w:rFonts w:hint="eastAsia" w:ascii="仿宋" w:hAnsi="仿宋" w:eastAsia="仿宋"/>
        </w:rPr>
        <w:t>依托全链路监管平台构建淳安县本地事件案例库，为淳安县全链路网络安全数据分析提供本地的威胁情报数据。事件案例库可以很有效的提供事件发生的类别、频率、应对方式，为所辖各单位提供了快速处置安全应急事件的方式方法。</w:t>
      </w:r>
    </w:p>
    <w:p>
      <w:pPr>
        <w:spacing w:line="460" w:lineRule="exact"/>
        <w:ind w:firstLine="420" w:firstLineChars="200"/>
        <w:rPr>
          <w:rFonts w:ascii="仿宋" w:hAnsi="仿宋" w:eastAsia="仿宋"/>
        </w:rPr>
      </w:pPr>
      <w:r>
        <w:rPr>
          <w:rFonts w:hint="eastAsia" w:ascii="仿宋" w:hAnsi="仿宋" w:eastAsia="仿宋"/>
        </w:rPr>
        <w:t>事件案例服务用于总结已发生的攻击事件与行为，对事件发生及处置经过进行分类梳理，形成事件案例库。为后续的网络安全工作开展提供借鉴。事件案例的产生，由发现攻击行为为起点，经过关联分析、扩线分析，产生威胁分析拓扑以及攻击画像，通过专家或平台结合受攻击系统的等级情况，进行影响评价与定性，对于事件的处置进行跟踪记录，最后产生事件案例的最终说明。</w:t>
      </w:r>
      <w:bookmarkEnd w:id="94"/>
    </w:p>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技术指标要求：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32" w:type="pct"/>
            <w:noWrap/>
            <w:vAlign w:val="center"/>
          </w:tcPr>
          <w:p>
            <w:pPr>
              <w:widowControl/>
              <w:spacing w:line="300" w:lineRule="auto"/>
              <w:jc w:val="center"/>
              <w:rPr>
                <w:rFonts w:ascii="仿宋" w:hAnsi="仿宋" w:eastAsia="仿宋" w:cs="宋体"/>
                <w:b/>
                <w:bCs/>
                <w:kern w:val="0"/>
              </w:rPr>
            </w:pPr>
            <w:r>
              <w:rPr>
                <w:rFonts w:hint="eastAsia" w:ascii="仿宋" w:hAnsi="仿宋" w:eastAsia="仿宋" w:cs="宋体"/>
                <w:b/>
                <w:bCs/>
                <w:kern w:val="0"/>
              </w:rPr>
              <w:t>技术指标</w:t>
            </w:r>
          </w:p>
        </w:tc>
        <w:tc>
          <w:tcPr>
            <w:tcW w:w="3768" w:type="pct"/>
            <w:noWrap/>
            <w:vAlign w:val="center"/>
          </w:tcPr>
          <w:p>
            <w:pPr>
              <w:widowControl/>
              <w:spacing w:line="300" w:lineRule="auto"/>
              <w:jc w:val="center"/>
              <w:rPr>
                <w:rFonts w:ascii="仿宋" w:hAnsi="仿宋" w:eastAsia="仿宋" w:cs="宋体"/>
                <w:b/>
                <w:bCs/>
                <w:kern w:val="0"/>
              </w:rPr>
            </w:pPr>
            <w:r>
              <w:rPr>
                <w:rFonts w:hint="eastAsia" w:ascii="仿宋" w:hAnsi="仿宋" w:eastAsia="仿宋" w:cs="宋体"/>
                <w:b/>
                <w:bCs/>
                <w:kern w:val="0"/>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32" w:type="pct"/>
            <w:vMerge w:val="restart"/>
            <w:noWrap/>
            <w:vAlign w:val="center"/>
          </w:tcPr>
          <w:p>
            <w:pPr>
              <w:widowControl/>
              <w:spacing w:line="300" w:lineRule="auto"/>
              <w:jc w:val="center"/>
              <w:rPr>
                <w:rFonts w:ascii="仿宋" w:hAnsi="仿宋" w:eastAsia="仿宋" w:cs="宋体"/>
                <w:kern w:val="0"/>
              </w:rPr>
            </w:pPr>
            <w:r>
              <w:rPr>
                <w:rFonts w:hint="eastAsia" w:ascii="仿宋" w:hAnsi="仿宋" w:eastAsia="仿宋" w:cs="宋体"/>
                <w:kern w:val="0"/>
              </w:rPr>
              <w:t>安全事件管理</w:t>
            </w: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事件列表数据呈现内容主要包括事件编号、事件标题、事件分类、上报时间、威胁程度、攻陷结果、持续时长、影响实体类型、影响范围、影响实体数量、攻击者/组织、攻击者国家、关联告警数量、利用恶意代码数量、利用漏洞数量、利用工具手段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232" w:type="pct"/>
            <w:vMerge w:val="continue"/>
            <w:noWrap/>
            <w:vAlign w:val="center"/>
          </w:tcPr>
          <w:p>
            <w:pPr>
              <w:widowControl/>
              <w:spacing w:line="300" w:lineRule="auto"/>
              <w:jc w:val="center"/>
              <w:rPr>
                <w:rFonts w:ascii="仿宋" w:hAnsi="仿宋" w:eastAsia="仿宋" w:cs="宋体"/>
                <w:kern w:val="0"/>
              </w:rPr>
            </w:pP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基本信息维护包括事件编号、发现单位、事件类型、事件等级、事件描述、事件解决方案，事件的附件信息等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232" w:type="pct"/>
            <w:vMerge w:val="continue"/>
            <w:noWrap/>
            <w:vAlign w:val="center"/>
          </w:tcPr>
          <w:p>
            <w:pPr>
              <w:widowControl/>
              <w:spacing w:line="300" w:lineRule="auto"/>
              <w:jc w:val="center"/>
              <w:rPr>
                <w:rFonts w:ascii="仿宋" w:hAnsi="仿宋" w:eastAsia="仿宋" w:cs="宋体"/>
                <w:kern w:val="0"/>
              </w:rPr>
            </w:pP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添加、编辑，详情功能从事件的四类信息进行维护与展示包括基本信息、受害者信息、攻击者信息、黑客能力、举证信息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232" w:type="pct"/>
            <w:vMerge w:val="continue"/>
            <w:noWrap/>
            <w:vAlign w:val="center"/>
          </w:tcPr>
          <w:p>
            <w:pPr>
              <w:widowControl/>
              <w:spacing w:line="300" w:lineRule="auto"/>
              <w:jc w:val="center"/>
              <w:rPr>
                <w:rFonts w:ascii="仿宋" w:hAnsi="仿宋" w:eastAsia="仿宋" w:cs="宋体"/>
                <w:kern w:val="0"/>
              </w:rPr>
            </w:pP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基本信息维护包括事件的编号、发现单位、事件标题、上报时间、事件分类、事件发生起至时间、时段描述、事件描述、事件等级、解决方案。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232" w:type="pct"/>
            <w:vMerge w:val="continue"/>
            <w:noWrap/>
            <w:vAlign w:val="center"/>
          </w:tcPr>
          <w:p>
            <w:pPr>
              <w:widowControl/>
              <w:spacing w:line="300" w:lineRule="auto"/>
              <w:jc w:val="center"/>
              <w:rPr>
                <w:rFonts w:ascii="仿宋" w:hAnsi="仿宋" w:eastAsia="仿宋" w:cs="宋体"/>
                <w:kern w:val="0"/>
              </w:rPr>
            </w:pP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受害者信息维保包括事件的影响范围、受害实体数目、受害者实体类型、受害者实体的数据添加删除维护，其中受害者实体信息包括实体名称、实体编码、实体描述。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232" w:type="pct"/>
            <w:vMerge w:val="continue"/>
            <w:noWrap/>
            <w:vAlign w:val="center"/>
          </w:tcPr>
          <w:p>
            <w:pPr>
              <w:widowControl/>
              <w:spacing w:line="300" w:lineRule="auto"/>
              <w:jc w:val="center"/>
              <w:rPr>
                <w:rFonts w:ascii="仿宋" w:hAnsi="仿宋" w:eastAsia="仿宋" w:cs="宋体"/>
                <w:kern w:val="0"/>
              </w:rPr>
            </w:pP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攻击者信息维护包括攻击者的攻击动机、是否是攻击组织、攻击者组织名称、攻击者组织国家、攻击者组织分类、攻击者组织描述。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232" w:type="pct"/>
            <w:vMerge w:val="continue"/>
            <w:noWrap/>
            <w:vAlign w:val="center"/>
          </w:tcPr>
          <w:p>
            <w:pPr>
              <w:widowControl/>
              <w:spacing w:line="300" w:lineRule="auto"/>
              <w:jc w:val="center"/>
              <w:rPr>
                <w:rFonts w:ascii="仿宋" w:hAnsi="仿宋" w:eastAsia="仿宋" w:cs="宋体"/>
                <w:kern w:val="0"/>
              </w:rPr>
            </w:pPr>
          </w:p>
        </w:tc>
        <w:tc>
          <w:tcPr>
            <w:tcW w:w="3768" w:type="pct"/>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事件举证信息维护，包括流量的上行、下行维护、PCAP包文件上传、说明文件上传、图片上传、图片描述信息，是否被攻陷、危害信息、攻击链阶段、事件包含的告警列表</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95" w:name="_Toc86405240"/>
      <w:bookmarkStart w:id="96" w:name="_Toc80779102"/>
      <w:bookmarkStart w:id="97" w:name="_Toc79159437"/>
      <w:bookmarkStart w:id="98" w:name="_Toc88725869"/>
      <w:bookmarkStart w:id="99" w:name="_Toc88727563"/>
      <w:r>
        <w:rPr>
          <w:rFonts w:hint="eastAsia" w:ascii="仿宋" w:hAnsi="仿宋" w:eastAsia="仿宋"/>
          <w:b/>
          <w:sz w:val="32"/>
          <w:szCs w:val="32"/>
        </w:rPr>
        <w:t>应急指挥</w:t>
      </w:r>
      <w:bookmarkEnd w:id="95"/>
      <w:bookmarkEnd w:id="96"/>
      <w:bookmarkEnd w:id="97"/>
      <w:r>
        <w:rPr>
          <w:rFonts w:hint="eastAsia" w:ascii="仿宋" w:hAnsi="仿宋" w:eastAsia="仿宋"/>
          <w:b/>
          <w:sz w:val="32"/>
          <w:szCs w:val="32"/>
        </w:rPr>
        <w:t>模块</w:t>
      </w:r>
      <w:bookmarkEnd w:id="98"/>
      <w:bookmarkEnd w:id="99"/>
    </w:p>
    <w:p>
      <w:pPr>
        <w:spacing w:line="460" w:lineRule="exact"/>
        <w:ind w:firstLine="420" w:firstLineChars="200"/>
        <w:rPr>
          <w:rFonts w:ascii="仿宋" w:hAnsi="仿宋" w:eastAsia="仿宋"/>
        </w:rPr>
      </w:pPr>
      <w:r>
        <w:rPr>
          <w:rFonts w:hint="eastAsia" w:ascii="仿宋" w:hAnsi="仿宋" w:eastAsia="仿宋"/>
        </w:rPr>
        <w:t>淳安县数据资源管理中心作为全县网络安全事件应急总指挥，通过应急指挥模块迅速定位事件发生源，已经当前各单位的处置响应情况，一屏掌控全链路监管。</w:t>
      </w:r>
    </w:p>
    <w:p>
      <w:pPr>
        <w:spacing w:line="460" w:lineRule="exact"/>
        <w:ind w:firstLine="420" w:firstLineChars="200"/>
        <w:rPr>
          <w:rFonts w:ascii="仿宋" w:hAnsi="仿宋" w:eastAsia="仿宋"/>
        </w:rPr>
      </w:pPr>
      <w:r>
        <w:rPr>
          <w:rFonts w:hint="eastAsia" w:ascii="仿宋" w:hAnsi="仿宋" w:eastAsia="仿宋"/>
        </w:rPr>
        <w:t>通过全链路网络安全监管平台安全监测的事件向应急指挥推送基础数据，基础数据通过事件管理模块进行汇聚。</w:t>
      </w:r>
    </w:p>
    <w:p>
      <w:pPr>
        <w:spacing w:line="460" w:lineRule="exact"/>
        <w:ind w:firstLine="420" w:firstLineChars="200"/>
        <w:rPr>
          <w:rFonts w:ascii="仿宋" w:hAnsi="仿宋" w:eastAsia="仿宋"/>
        </w:rPr>
      </w:pPr>
      <w:r>
        <w:rPr>
          <w:rFonts w:hint="eastAsia" w:ascii="仿宋" w:hAnsi="仿宋" w:eastAsia="仿宋"/>
        </w:rPr>
        <w:t>报送的事件通过研判和决策，确定为应急事件后，通过应急任务管理，启动应急响应任务，同时通过预警、通报和应急处置启动应急响应流程。</w:t>
      </w:r>
    </w:p>
    <w:p>
      <w:pPr>
        <w:spacing w:line="460" w:lineRule="exact"/>
        <w:ind w:firstLine="420" w:firstLineChars="200"/>
        <w:rPr>
          <w:rFonts w:ascii="仿宋" w:hAnsi="仿宋" w:eastAsia="仿宋"/>
        </w:rPr>
      </w:pPr>
      <w:r>
        <w:rPr>
          <w:rFonts w:hint="eastAsia" w:ascii="仿宋" w:hAnsi="仿宋" w:eastAsia="仿宋"/>
        </w:rPr>
        <w:t>在重要会议或重大活动期间，加强网络安保人员调度，全方位全天候掌握淳安县电子政务外网网络、系统和网站安全状况，安全情况实时监测，以及重保任务的全生命周期管理，覆盖筹备阶段、临战阶段、决战阶段、战后总结等多个环节，及时通报预警网络安全隐患，高效处置网络安全事件，并对监测过程所产生的数据及结果进行管理，协同多家技术支撑单位、互联网安全厂商及网络安全专家保障整个过程的网络安全和数据安全，提升重大活动的安全保障能力</w:t>
      </w:r>
      <w:r>
        <w:rPr>
          <w:rFonts w:ascii="仿宋" w:hAnsi="仿宋" w:eastAsia="仿宋"/>
        </w:rPr>
        <w:t>。</w:t>
      </w:r>
    </w:p>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技术指标要求：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7" w:type="dxa"/>
            <w:noWrap/>
            <w:vAlign w:val="center"/>
          </w:tcPr>
          <w:p>
            <w:pPr>
              <w:spacing w:before="202" w:beforeLines="65" w:after="156" w:afterLines="50" w:line="300" w:lineRule="auto"/>
              <w:ind w:firstLine="480"/>
              <w:jc w:val="center"/>
              <w:rPr>
                <w:rFonts w:ascii="仿宋" w:hAnsi="仿宋" w:eastAsia="仿宋" w:cs="Calibri"/>
                <w:b/>
                <w:bCs/>
                <w:kern w:val="0"/>
                <w:szCs w:val="21"/>
              </w:rPr>
            </w:pPr>
            <w:r>
              <w:rPr>
                <w:rFonts w:hint="eastAsia" w:ascii="仿宋" w:hAnsi="仿宋" w:eastAsia="仿宋" w:cs="Calibri"/>
                <w:b/>
                <w:bCs/>
                <w:kern w:val="0"/>
                <w:szCs w:val="21"/>
              </w:rPr>
              <w:t>技术指标</w:t>
            </w:r>
          </w:p>
        </w:tc>
        <w:tc>
          <w:tcPr>
            <w:tcW w:w="6633" w:type="dxa"/>
            <w:noWrap w:val="0"/>
            <w:vAlign w:val="center"/>
          </w:tcPr>
          <w:p>
            <w:pPr>
              <w:spacing w:before="202" w:beforeLines="65" w:after="156" w:afterLines="50" w:line="300" w:lineRule="auto"/>
              <w:ind w:firstLine="480"/>
              <w:jc w:val="center"/>
              <w:rPr>
                <w:rFonts w:ascii="仿宋" w:hAnsi="仿宋" w:eastAsia="仿宋" w:cs="Calibri"/>
                <w:b/>
                <w:bCs/>
                <w:kern w:val="0"/>
                <w:szCs w:val="21"/>
              </w:rPr>
            </w:pPr>
            <w:r>
              <w:rPr>
                <w:rFonts w:hint="eastAsia" w:ascii="仿宋" w:hAnsi="仿宋" w:eastAsia="仿宋" w:cs="Calibri"/>
                <w:b/>
                <w:bCs/>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单次活动管理</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支持用户新增安保活动并对该活动进行管理，支持下钻到具体某个活动，查看活动详情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作战台</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展示活动进程、信息公告、待办工作/跟进工作、快捷方式、个人信息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里程碑管理</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支持对单次活动的里程碑进行管理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指挥中心</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提供安保活动指挥单位和人员的选择添加、查看、退出活动、查询功能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安保目标</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提供安保活动重点保障单位、人员和系统的选择添加、查看、退出活动、查询功能。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支撑力量</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协助安保组完成该次安保活动的单位和人员，提供选择添加、查看、退出活动、查询功能。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信息公告</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提供以指挥人员发布正式的公开的信息至该次活动全部参与单位、人员以便实现重大安全事件信息的及时披露和共享。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安保制度</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支持指挥人员维护该次安保活动的各项规章制度，并支持安保活动各方参与人员查看对应的规章制度。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应急预案</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应急预案支持针对预先定义的预案名称、预案等级、预案分类、提交单位、提交时间和对应的操作项进行相应操作，并可以查询统计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安保驻点端</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系统提供驻点小组安排本小组的值守排班计划的功能。对于驻点小组主要需要管理安保期间，每一天，每一个班次的人员，因此该部分模块展示的该小组每一天、每一个班次的值守人员通过修改等操作可以设置该次安保活动的排班频率，并可以对各个安保驻点上报驻点的排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指挥中心端</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安保组视角，对于安保组主要需要查看每一天每个驻点是由谁值守，并能查看该驻点当天的排班计划支持宏观查看活动期间的排班数量情况、报平安数量情况，以及深度查看安保期间每天，每个驻点每个班次的人员值班情况、签到签退时间、报平安状态、每个驻点在安保期间的排班计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值守移动端协同</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平台支持安保值守人员使用在手机APP钉钉上完成确定驻点各个班次的人员及签到、签退和报平安等操作。上述信息会同步到平台，并进行统计。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547" w:type="dxa"/>
            <w:noWrap w:val="0"/>
            <w:vAlign w:val="top"/>
          </w:tcPr>
          <w:p>
            <w:pPr>
              <w:widowControl/>
              <w:spacing w:before="202" w:beforeLines="65" w:after="156" w:afterLines="50" w:line="300" w:lineRule="auto"/>
              <w:ind w:firstLine="480"/>
              <w:jc w:val="center"/>
              <w:rPr>
                <w:rFonts w:ascii="仿宋" w:hAnsi="仿宋" w:eastAsia="仿宋" w:cs="宋体"/>
                <w:kern w:val="0"/>
                <w:szCs w:val="21"/>
              </w:rPr>
            </w:pPr>
            <w:r>
              <w:rPr>
                <w:rFonts w:hint="eastAsia" w:ascii="仿宋" w:hAnsi="仿宋" w:eastAsia="仿宋" w:cs="宋体"/>
                <w:kern w:val="0"/>
                <w:szCs w:val="21"/>
              </w:rPr>
              <w:t>指挥调度</w:t>
            </w:r>
          </w:p>
        </w:tc>
        <w:tc>
          <w:tcPr>
            <w:tcW w:w="6633" w:type="dxa"/>
            <w:noWrap w:val="0"/>
            <w:vAlign w:val="top"/>
          </w:tcPr>
          <w:p>
            <w:pPr>
              <w:widowControl/>
              <w:spacing w:before="202" w:beforeLines="65" w:after="156" w:afterLines="50" w:line="320" w:lineRule="exact"/>
              <w:ind w:firstLine="480"/>
              <w:jc w:val="left"/>
              <w:rPr>
                <w:rFonts w:ascii="仿宋" w:hAnsi="仿宋" w:eastAsia="仿宋" w:cs="宋体"/>
                <w:kern w:val="0"/>
                <w:szCs w:val="21"/>
              </w:rPr>
            </w:pPr>
            <w:r>
              <w:rPr>
                <w:rFonts w:hint="eastAsia" w:ascii="仿宋" w:hAnsi="仿宋" w:eastAsia="仿宋" w:cs="宋体"/>
                <w:kern w:val="0"/>
                <w:szCs w:val="21"/>
              </w:rPr>
              <w:t>指挥中心通过切换总览、监测调度、通报、值守视图，来统筹协调赛事期间的网络安全事件处理。</w:t>
            </w:r>
            <w:r>
              <w:rPr>
                <w:rFonts w:hint="eastAsia" w:ascii="仿宋" w:hAnsi="仿宋" w:eastAsia="仿宋" w:cs="宋体"/>
                <w:kern w:val="0"/>
                <w:szCs w:val="21"/>
              </w:rPr>
              <w:br w:type="textWrapping"/>
            </w:r>
            <w:r>
              <w:rPr>
                <w:rFonts w:hint="eastAsia" w:ascii="仿宋" w:hAnsi="仿宋" w:eastAsia="仿宋" w:cs="宋体"/>
                <w:kern w:val="0"/>
                <w:szCs w:val="21"/>
              </w:rPr>
              <w:t>支持查看战前各重点保障单位的安保检查情况，战时回复和处置报平安情况、安全事件上报及通报情况、查看下发的应急处置任务进展情况，战后通过活动快照查看历史活动成果。</w:t>
            </w:r>
            <w:r>
              <w:rPr>
                <w:rFonts w:hint="eastAsia" w:ascii="仿宋" w:hAnsi="仿宋" w:eastAsia="仿宋" w:cs="宋体"/>
                <w:kern w:val="0"/>
                <w:szCs w:val="21"/>
              </w:rPr>
              <w:br w:type="textWrapping"/>
            </w:r>
            <w:r>
              <w:rPr>
                <w:rFonts w:hint="eastAsia" w:ascii="仿宋" w:hAnsi="仿宋" w:eastAsia="仿宋" w:cs="宋体"/>
                <w:kern w:val="0"/>
                <w:szCs w:val="21"/>
              </w:rPr>
              <w:t>借助视图切换，一键下发通报、检查、指令，联动移动端组织调度，运用应急预案响应应急处置。</w:t>
            </w:r>
          </w:p>
        </w:tc>
      </w:tr>
    </w:tbl>
    <w:p>
      <w:pPr>
        <w:ind w:firstLine="420" w:firstLineChars="200"/>
        <w:rPr>
          <w:rFonts w:ascii="仿宋" w:hAnsi="仿宋" w:eastAsia="仿宋"/>
        </w:rPr>
      </w:pPr>
    </w:p>
    <w:p>
      <w:pPr>
        <w:pStyle w:val="82"/>
        <w:numPr>
          <w:ilvl w:val="0"/>
          <w:numId w:val="5"/>
        </w:numPr>
        <w:spacing w:line="360" w:lineRule="auto"/>
        <w:ind w:firstLineChars="0"/>
        <w:outlineLvl w:val="2"/>
        <w:rPr>
          <w:rFonts w:ascii="仿宋" w:hAnsi="仿宋" w:eastAsia="仿宋"/>
          <w:b/>
          <w:sz w:val="32"/>
          <w:szCs w:val="32"/>
        </w:rPr>
      </w:pPr>
      <w:bookmarkStart w:id="100" w:name="_Toc535421712"/>
      <w:bookmarkEnd w:id="100"/>
      <w:bookmarkStart w:id="101" w:name="_Toc86405243"/>
      <w:bookmarkStart w:id="102" w:name="_Toc88725870"/>
      <w:bookmarkStart w:id="103" w:name="_Toc88727564"/>
      <w:bookmarkStart w:id="104" w:name="_Toc82639704"/>
      <w:bookmarkStart w:id="105" w:name="_Toc80779104"/>
      <w:bookmarkStart w:id="106" w:name="_Toc86405241"/>
      <w:bookmarkStart w:id="107" w:name="_Toc79159439"/>
      <w:bookmarkStart w:id="108" w:name="_Toc10016360"/>
      <w:bookmarkStart w:id="109" w:name="_Toc80779121"/>
      <w:r>
        <w:rPr>
          <w:rFonts w:hint="eastAsia" w:ascii="仿宋" w:hAnsi="仿宋" w:eastAsia="仿宋"/>
          <w:b/>
          <w:sz w:val="32"/>
          <w:szCs w:val="32"/>
        </w:rPr>
        <w:t>与杭州市主平台对接</w:t>
      </w:r>
      <w:bookmarkEnd w:id="101"/>
      <w:r>
        <w:rPr>
          <w:rFonts w:hint="eastAsia" w:ascii="仿宋" w:hAnsi="仿宋" w:eastAsia="仿宋"/>
          <w:b/>
          <w:sz w:val="32"/>
          <w:szCs w:val="32"/>
        </w:rPr>
        <w:t>开发</w:t>
      </w:r>
      <w:bookmarkEnd w:id="102"/>
      <w:bookmarkEnd w:id="103"/>
    </w:p>
    <w:p>
      <w:pPr>
        <w:spacing w:line="460" w:lineRule="exact"/>
        <w:ind w:firstLine="422" w:firstLineChars="200"/>
        <w:rPr>
          <w:rFonts w:ascii="仿宋" w:hAnsi="仿宋" w:eastAsia="仿宋"/>
        </w:rPr>
      </w:pPr>
      <w:r>
        <w:rPr>
          <w:rFonts w:hint="eastAsia" w:ascii="仿宋" w:hAnsi="仿宋" w:eastAsia="仿宋"/>
          <w:b/>
          <w:bCs/>
        </w:rPr>
        <w:t>本项目需满足浙江省大数据发展管理局下发的《浙江省政务外网安全运行监测指标（试行）》的全链路安全监测体系要求，支持满足后续五年杭州市数据资源管理局对于市-区（县）数据安全管控平台区县对接指标规范，</w:t>
      </w:r>
      <w:r>
        <w:rPr>
          <w:rFonts w:hint="eastAsia" w:ascii="仿宋" w:hAnsi="仿宋" w:eastAsia="仿宋"/>
        </w:rPr>
        <w:t>满足相关考核指标，采用接口的方式，将相关安全数据推送至杭州市数据安全管控平台，满足杭州市对下属区县的监管要求。同时，预留开放“云、网、端、边界、数据、应用”六大维度数据对接的接口，为后续全面对接提供技术保障，对接接口根据杭州市局指导按需合规设计开发。</w:t>
      </w:r>
    </w:p>
    <w:p>
      <w:pPr>
        <w:pStyle w:val="82"/>
        <w:numPr>
          <w:ilvl w:val="0"/>
          <w:numId w:val="5"/>
        </w:numPr>
        <w:spacing w:line="360" w:lineRule="auto"/>
        <w:ind w:firstLineChars="0"/>
        <w:outlineLvl w:val="2"/>
        <w:rPr>
          <w:rFonts w:ascii="仿宋" w:hAnsi="仿宋" w:eastAsia="仿宋"/>
          <w:b/>
          <w:sz w:val="32"/>
          <w:szCs w:val="32"/>
        </w:rPr>
      </w:pPr>
      <w:bookmarkStart w:id="110" w:name="_Toc86405242"/>
      <w:bookmarkStart w:id="111" w:name="_Toc88725871"/>
      <w:bookmarkStart w:id="112" w:name="_Toc88727565"/>
      <w:r>
        <w:rPr>
          <w:rFonts w:hint="eastAsia" w:ascii="仿宋" w:hAnsi="仿宋" w:eastAsia="仿宋"/>
          <w:b/>
          <w:sz w:val="32"/>
          <w:szCs w:val="32"/>
        </w:rPr>
        <w:t>浙政钉安全协同</w:t>
      </w:r>
      <w:bookmarkEnd w:id="110"/>
      <w:r>
        <w:rPr>
          <w:rFonts w:hint="eastAsia" w:ascii="仿宋" w:hAnsi="仿宋" w:eastAsia="仿宋"/>
          <w:b/>
          <w:sz w:val="32"/>
          <w:szCs w:val="32"/>
        </w:rPr>
        <w:t>对接开发</w:t>
      </w:r>
      <w:bookmarkEnd w:id="111"/>
      <w:bookmarkEnd w:id="112"/>
    </w:p>
    <w:p>
      <w:pPr>
        <w:spacing w:line="460" w:lineRule="exact"/>
        <w:ind w:firstLine="420" w:firstLineChars="200"/>
        <w:rPr>
          <w:rFonts w:ascii="仿宋" w:hAnsi="仿宋" w:eastAsia="仿宋"/>
        </w:rPr>
      </w:pPr>
      <w:r>
        <w:rPr>
          <w:rFonts w:hint="eastAsia" w:ascii="仿宋" w:hAnsi="仿宋" w:eastAsia="仿宋"/>
        </w:rPr>
        <w:t>对接浙政钉，以展示淳安县全域的安全风险情况、事件总数、事件分类、事件处置情况、及时处置率等方面，支持展示各单位安全风险及处置情况和</w:t>
      </w:r>
      <w:r>
        <w:rPr>
          <w:rFonts w:ascii="仿宋" w:hAnsi="仿宋" w:eastAsia="仿宋"/>
        </w:rPr>
        <w:t>TOP 10</w:t>
      </w:r>
      <w:r>
        <w:rPr>
          <w:rFonts w:hint="eastAsia" w:ascii="仿宋" w:hAnsi="仿宋" w:eastAsia="仿宋"/>
        </w:rPr>
        <w:t>排名。此外，处置通报信息可通过移动驾驶舱下发到各责任人，实现态势呈现集约化，事件通报便捷化，安全运营移动化。</w:t>
      </w:r>
    </w:p>
    <w:p>
      <w:pPr>
        <w:spacing w:line="460" w:lineRule="exact"/>
        <w:ind w:firstLine="420" w:firstLineChars="200"/>
        <w:rPr>
          <w:rFonts w:ascii="仿宋" w:hAnsi="仿宋" w:eastAsia="仿宋"/>
        </w:rPr>
      </w:pPr>
      <w:r>
        <w:rPr>
          <w:rFonts w:hint="eastAsia" w:ascii="仿宋" w:hAnsi="仿宋" w:eastAsia="仿宋"/>
        </w:rPr>
        <w:t>通过浙政钉相关规范主要了解其组织架构，全链路网络安全监管平台根据浙政钉的组织架构形成平台内部组织架构树，方便资产、告警管理和组织架构的关系对应，后期在通报及工单处置时可通过浙政钉为主要方式进行传达，以及各单位处置后的反馈。</w:t>
      </w:r>
    </w:p>
    <w:p>
      <w:pPr>
        <w:spacing w:line="460" w:lineRule="exact"/>
        <w:ind w:firstLine="420" w:firstLineChars="200"/>
        <w:rPr>
          <w:rFonts w:ascii="仿宋" w:hAnsi="仿宋" w:eastAsia="仿宋"/>
        </w:rPr>
      </w:pPr>
      <w:r>
        <w:rPr>
          <w:rFonts w:hint="eastAsia" w:ascii="仿宋" w:hAnsi="仿宋" w:eastAsia="仿宋"/>
        </w:rPr>
        <w:t>移动端安全驾驶舱通过</w:t>
      </w:r>
      <w:r>
        <w:rPr>
          <w:rFonts w:ascii="仿宋" w:hAnsi="仿宋" w:eastAsia="仿宋"/>
        </w:rPr>
        <w:t>URL</w:t>
      </w:r>
      <w:r>
        <w:rPr>
          <w:rFonts w:hint="eastAsia" w:ascii="仿宋" w:hAnsi="仿宋" w:eastAsia="仿宋"/>
        </w:rPr>
        <w:t>链接对接方式内置在浙政钉里，利用驾驶舱主要方便让领导一眼就能看明白网络安全及数据安全重点风险在哪里、哪些单位安全做的更好、接下来一段时间的安全形势走向，以便及时做出精准判断，有效决策。</w:t>
      </w:r>
    </w:p>
    <w:p>
      <w:pPr>
        <w:spacing w:line="460" w:lineRule="exact"/>
        <w:ind w:firstLine="420" w:firstLineChars="200"/>
        <w:rPr>
          <w:rFonts w:ascii="仿宋" w:hAnsi="仿宋" w:eastAsia="仿宋"/>
        </w:rPr>
      </w:pPr>
      <w:r>
        <w:rPr>
          <w:rFonts w:hint="eastAsia" w:ascii="仿宋" w:hAnsi="仿宋" w:eastAsia="仿宋"/>
        </w:rPr>
        <w:t>通报、工单处置及移动端安全驾驶舱应用跟浙政钉的对接方式按照《浙政钉2.0应用上架迁移流程》进行申请上线。</w:t>
      </w:r>
    </w:p>
    <w:p>
      <w:pPr>
        <w:pStyle w:val="82"/>
        <w:numPr>
          <w:ilvl w:val="0"/>
          <w:numId w:val="4"/>
        </w:numPr>
        <w:spacing w:line="360" w:lineRule="auto"/>
        <w:ind w:firstLineChars="0"/>
        <w:outlineLvl w:val="1"/>
        <w:rPr>
          <w:rFonts w:ascii="仿宋" w:hAnsi="仿宋" w:eastAsia="仿宋"/>
          <w:b/>
          <w:sz w:val="32"/>
          <w:szCs w:val="32"/>
        </w:rPr>
      </w:pPr>
      <w:bookmarkStart w:id="113" w:name="_Toc88727566"/>
      <w:bookmarkStart w:id="114" w:name="_Toc75082650"/>
      <w:bookmarkStart w:id="115" w:name="_Toc79159428"/>
      <w:bookmarkStart w:id="116" w:name="_Toc80779093"/>
      <w:bookmarkStart w:id="117" w:name="_Toc87950631"/>
      <w:r>
        <w:rPr>
          <w:rFonts w:hint="eastAsia" w:ascii="仿宋" w:hAnsi="仿宋" w:eastAsia="仿宋"/>
          <w:b/>
          <w:sz w:val="32"/>
          <w:szCs w:val="32"/>
        </w:rPr>
        <w:t>全链路</w:t>
      </w:r>
      <w:r>
        <w:rPr>
          <w:rFonts w:ascii="仿宋" w:hAnsi="仿宋" w:eastAsia="仿宋"/>
          <w:b/>
          <w:sz w:val="32"/>
          <w:szCs w:val="32"/>
        </w:rPr>
        <w:t>可视化</w:t>
      </w:r>
      <w:r>
        <w:rPr>
          <w:rFonts w:hint="eastAsia" w:ascii="仿宋" w:hAnsi="仿宋" w:eastAsia="仿宋"/>
          <w:b/>
          <w:sz w:val="32"/>
          <w:szCs w:val="32"/>
        </w:rPr>
        <w:t>大屏开发建设</w:t>
      </w:r>
      <w:bookmarkEnd w:id="113"/>
    </w:p>
    <w:p>
      <w:pPr>
        <w:spacing w:line="460" w:lineRule="exact"/>
        <w:ind w:firstLine="420" w:firstLineChars="200"/>
        <w:rPr>
          <w:rFonts w:ascii="仿宋" w:hAnsi="仿宋" w:eastAsia="仿宋"/>
        </w:rPr>
      </w:pPr>
      <w:bookmarkStart w:id="118" w:name="_Hlk33030264"/>
      <w:r>
        <w:rPr>
          <w:rFonts w:hint="eastAsia" w:ascii="仿宋" w:hAnsi="仿宋" w:eastAsia="仿宋"/>
        </w:rPr>
        <w:t>淳安县全链路网络安全监管平台可视化大屏是根据浙江省大数据发展管理电子政务安全监测相关指标要求以及浙江省一体化智能化公共数据平台建设方案当中建立全链路安全监管机制的要求进行设计。</w:t>
      </w:r>
    </w:p>
    <w:p>
      <w:pPr>
        <w:spacing w:line="460" w:lineRule="exact"/>
        <w:ind w:firstLine="420" w:firstLineChars="200"/>
        <w:rPr>
          <w:rFonts w:ascii="仿宋" w:hAnsi="仿宋" w:eastAsia="仿宋"/>
        </w:rPr>
      </w:pPr>
      <w:r>
        <w:rPr>
          <w:rFonts w:hint="eastAsia" w:ascii="仿宋" w:hAnsi="仿宋" w:eastAsia="仿宋"/>
        </w:rPr>
        <w:t>全链路网络安全监管平台以网络安全、云安全、数据安全、物理感知网安全以及威胁风险管理为驱动，基于多维态势可视化技术，对网络空间安全相关信息进行汇聚融合，形成针对人、物、地、事、数据、资产的多维视图，从不同视角出发感知安全态势，为三年规划的“一张网通览、一块屏通析、一朵云通防”建设目标提供可视化展示能力。</w:t>
      </w:r>
    </w:p>
    <w:p>
      <w:pPr>
        <w:spacing w:line="460" w:lineRule="exact"/>
        <w:ind w:firstLine="420" w:firstLineChars="200"/>
        <w:rPr>
          <w:rFonts w:ascii="仿宋" w:hAnsi="仿宋" w:eastAsia="仿宋"/>
        </w:rPr>
      </w:pPr>
      <w:r>
        <w:rPr>
          <w:rFonts w:hint="eastAsia" w:ascii="仿宋" w:hAnsi="仿宋" w:eastAsia="仿宋"/>
        </w:rPr>
        <w:t>全链路网络安全监管平台（数据安全管控淳安子平台）向上对接杭州市数据安全管控主平台，向下对接“云、网、端、边界、数据、应用”子平台。横向对接云内安全相关资产的告警信息，并对资产从“云、网、数、用、端”等维度进行整体展示。</w:t>
      </w:r>
    </w:p>
    <w:p>
      <w:pPr>
        <w:spacing w:line="460" w:lineRule="exact"/>
        <w:ind w:firstLine="420" w:firstLineChars="200"/>
        <w:rPr>
          <w:rFonts w:ascii="仿宋" w:hAnsi="仿宋" w:eastAsia="仿宋"/>
        </w:rPr>
      </w:pPr>
      <w:r>
        <w:rPr>
          <w:rFonts w:hint="eastAsia" w:ascii="仿宋" w:hAnsi="仿宋" w:eastAsia="仿宋"/>
        </w:rPr>
        <w:t>全链路</w:t>
      </w:r>
      <w:r>
        <w:rPr>
          <w:rFonts w:ascii="仿宋" w:hAnsi="仿宋" w:eastAsia="仿宋"/>
        </w:rPr>
        <w:t>可视化</w:t>
      </w:r>
      <w:r>
        <w:rPr>
          <w:rFonts w:hint="eastAsia" w:ascii="仿宋" w:hAnsi="仿宋" w:eastAsia="仿宋"/>
        </w:rPr>
        <w:t>大屏展现指标如下：</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云内安全监测</w:t>
      </w:r>
    </w:p>
    <w:p>
      <w:pPr>
        <w:spacing w:line="460" w:lineRule="exact"/>
        <w:ind w:firstLine="420" w:firstLineChars="200"/>
        <w:rPr>
          <w:rFonts w:ascii="仿宋" w:hAnsi="仿宋" w:eastAsia="仿宋"/>
        </w:rPr>
      </w:pPr>
      <w:r>
        <w:rPr>
          <w:rFonts w:hint="eastAsia" w:ascii="仿宋" w:hAnsi="仿宋" w:eastAsia="仿宋"/>
        </w:rPr>
        <w:t>云内安全监测，监测主要包括目前目前淳安县全域云内活动资产（各类型实例）平台可用率（省里要求），以及云内安全事件近期发展趋势</w:t>
      </w:r>
      <w:r>
        <w:rPr>
          <w:rFonts w:ascii="仿宋" w:hAnsi="仿宋" w:eastAsia="仿宋"/>
        </w:rPr>
        <w:t>,点击更多跳转查看专项云安全态势。</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应用系统监测</w:t>
      </w:r>
    </w:p>
    <w:p>
      <w:pPr>
        <w:spacing w:line="460" w:lineRule="exact"/>
        <w:ind w:firstLine="420" w:firstLineChars="200"/>
        <w:rPr>
          <w:rFonts w:ascii="仿宋" w:hAnsi="仿宋" w:eastAsia="仿宋"/>
        </w:rPr>
      </w:pPr>
      <w:r>
        <w:rPr>
          <w:rFonts w:hint="eastAsia" w:ascii="仿宋" w:hAnsi="仿宋" w:eastAsia="仿宋"/>
        </w:rPr>
        <w:t>应用系统监测，监测内容包括淳安县全域政务云上应用、互联网应用、政务外网应用，主要从应用的脆弱性进行安全指标的展示，并对系统新增与否进行监测（省里要求）。</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网络安全监测</w:t>
      </w:r>
    </w:p>
    <w:p>
      <w:pPr>
        <w:spacing w:line="460" w:lineRule="exact"/>
        <w:ind w:firstLine="420" w:firstLineChars="200"/>
        <w:rPr>
          <w:rFonts w:ascii="仿宋" w:hAnsi="仿宋" w:eastAsia="仿宋"/>
        </w:rPr>
      </w:pPr>
      <w:r>
        <w:rPr>
          <w:rFonts w:hint="eastAsia" w:ascii="仿宋" w:hAnsi="仿宋" w:eastAsia="仿宋"/>
        </w:rPr>
        <w:t>网络安全监测，主要从两个维度，会跳动，包括设备告警趋势，以及资产的数量与类型分布占比。点击更多跳转查看应用安全态势。</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数据安全监测</w:t>
      </w:r>
    </w:p>
    <w:p>
      <w:pPr>
        <w:spacing w:line="460" w:lineRule="exact"/>
        <w:ind w:firstLine="420" w:firstLineChars="200"/>
        <w:rPr>
          <w:rFonts w:ascii="仿宋" w:hAnsi="仿宋" w:eastAsia="仿宋"/>
        </w:rPr>
      </w:pPr>
      <w:r>
        <w:rPr>
          <w:rFonts w:hint="eastAsia" w:ascii="仿宋" w:hAnsi="仿宋" w:eastAsia="仿宋"/>
        </w:rPr>
        <w:t>数据安全监测情况，主要包括数据资产（数据库、数据表、</w:t>
      </w:r>
      <w:r>
        <w:rPr>
          <w:rFonts w:ascii="仿宋" w:hAnsi="仿宋" w:eastAsia="仿宋"/>
        </w:rPr>
        <w:t>API）数量情况，并对告警数量趋势、数据库可用率（省要求），以及各类类型的分布进行展示。点击更多跳转查看数据安全态势。</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终端安全监测</w:t>
      </w:r>
    </w:p>
    <w:p>
      <w:pPr>
        <w:spacing w:line="460" w:lineRule="exact"/>
        <w:ind w:firstLine="420" w:firstLineChars="200"/>
        <w:rPr>
          <w:rFonts w:ascii="仿宋" w:hAnsi="仿宋" w:eastAsia="仿宋"/>
        </w:rPr>
      </w:pPr>
      <w:r>
        <w:rPr>
          <w:rFonts w:hint="eastAsia" w:ascii="仿宋" w:hAnsi="仿宋" w:eastAsia="仿宋"/>
        </w:rPr>
        <w:t>终端安全监测，监测不同终端类型的安全资产安装情况以及违规外联情况（省要求），点击更多跳转查看终端安全态势。</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监管中心</w:t>
      </w:r>
    </w:p>
    <w:p>
      <w:pPr>
        <w:spacing w:line="460" w:lineRule="exact"/>
        <w:ind w:firstLine="420" w:firstLineChars="200"/>
        <w:rPr>
          <w:rFonts w:ascii="仿宋" w:hAnsi="仿宋" w:eastAsia="仿宋"/>
        </w:rPr>
      </w:pPr>
      <w:r>
        <w:rPr>
          <w:rFonts w:hint="eastAsia" w:ascii="仿宋" w:hAnsi="仿宋" w:eastAsia="仿宋"/>
        </w:rPr>
        <w:t>大屏中心是监管中心，主要从安全监管、技术防御、防控运营、应急指挥、制度规范等维度进行下钻，可下钻至不同的板块进行详细功能的展示。</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实时通报情况</w:t>
      </w:r>
    </w:p>
    <w:p>
      <w:pPr>
        <w:spacing w:line="460" w:lineRule="exact"/>
        <w:ind w:firstLine="420" w:firstLineChars="200"/>
        <w:rPr>
          <w:rFonts w:ascii="仿宋" w:hAnsi="仿宋" w:eastAsia="仿宋"/>
        </w:rPr>
      </w:pPr>
      <w:r>
        <w:rPr>
          <w:rFonts w:hint="eastAsia" w:ascii="仿宋" w:hAnsi="仿宋" w:eastAsia="仿宋"/>
        </w:rPr>
        <w:t>实时通报情况，实时轮播展示淳安县全域未处置的工单情况，并对逾期工单进行标签提醒，确保事件闭环。点击该板块可以下钻至流程板块，该板块可以通过浙政钉进行通报和事件整改的通知。</w:t>
      </w:r>
    </w:p>
    <w:p>
      <w:pPr>
        <w:pStyle w:val="82"/>
        <w:numPr>
          <w:ilvl w:val="0"/>
          <w:numId w:val="7"/>
        </w:numPr>
        <w:spacing w:line="460" w:lineRule="exact"/>
        <w:ind w:left="426" w:firstLine="0" w:firstLineChars="0"/>
        <w:rPr>
          <w:rFonts w:ascii="仿宋" w:hAnsi="仿宋" w:eastAsia="仿宋"/>
          <w:b/>
        </w:rPr>
      </w:pPr>
      <w:r>
        <w:rPr>
          <w:rFonts w:hint="eastAsia" w:ascii="仿宋" w:hAnsi="仿宋" w:eastAsia="仿宋"/>
          <w:b/>
        </w:rPr>
        <w:t>制度建设情况</w:t>
      </w:r>
    </w:p>
    <w:p>
      <w:pPr>
        <w:spacing w:line="460" w:lineRule="exact"/>
        <w:ind w:firstLine="420" w:firstLineChars="200"/>
        <w:rPr>
          <w:rFonts w:ascii="仿宋" w:hAnsi="仿宋" w:eastAsia="仿宋"/>
        </w:rPr>
      </w:pPr>
      <w:r>
        <w:rPr>
          <w:rFonts w:hint="eastAsia" w:ascii="仿宋" w:hAnsi="仿宋" w:eastAsia="仿宋"/>
        </w:rPr>
        <w:t>制度建设情况，检查淳安县全域考核排名，制度规范建设和人员情况（人员主要是运营人员保密协议签订等信息）</w:t>
      </w:r>
    </w:p>
    <w:bookmarkEnd w:id="104"/>
    <w:bookmarkEnd w:id="105"/>
    <w:bookmarkEnd w:id="106"/>
    <w:bookmarkEnd w:id="107"/>
    <w:bookmarkEnd w:id="114"/>
    <w:bookmarkEnd w:id="115"/>
    <w:bookmarkEnd w:id="116"/>
    <w:bookmarkEnd w:id="117"/>
    <w:bookmarkEnd w:id="118"/>
    <w:p>
      <w:pPr>
        <w:pStyle w:val="82"/>
        <w:numPr>
          <w:ilvl w:val="0"/>
          <w:numId w:val="4"/>
        </w:numPr>
        <w:spacing w:line="360" w:lineRule="auto"/>
        <w:ind w:firstLineChars="0"/>
        <w:outlineLvl w:val="1"/>
        <w:rPr>
          <w:rFonts w:ascii="仿宋" w:hAnsi="仿宋" w:eastAsia="仿宋"/>
          <w:b/>
          <w:sz w:val="32"/>
          <w:szCs w:val="32"/>
        </w:rPr>
      </w:pPr>
      <w:bookmarkStart w:id="119" w:name="_Toc86405244"/>
      <w:bookmarkStart w:id="120" w:name="_Toc88727567"/>
      <w:bookmarkStart w:id="121" w:name="_Toc80779110"/>
      <w:bookmarkStart w:id="122" w:name="_Toc80779105"/>
      <w:bookmarkStart w:id="123" w:name="_Toc79159440"/>
      <w:r>
        <w:rPr>
          <w:rFonts w:hint="eastAsia" w:ascii="仿宋" w:hAnsi="仿宋" w:eastAsia="仿宋"/>
          <w:b/>
          <w:sz w:val="32"/>
          <w:szCs w:val="32"/>
        </w:rPr>
        <w:t>应用安全开发检测体系设计</w:t>
      </w:r>
      <w:bookmarkEnd w:id="119"/>
      <w:bookmarkEnd w:id="120"/>
    </w:p>
    <w:p>
      <w:pPr>
        <w:pStyle w:val="82"/>
        <w:numPr>
          <w:ilvl w:val="0"/>
          <w:numId w:val="8"/>
        </w:numPr>
        <w:spacing w:line="360" w:lineRule="auto"/>
        <w:ind w:firstLineChars="0"/>
        <w:outlineLvl w:val="2"/>
        <w:rPr>
          <w:rFonts w:ascii="仿宋" w:hAnsi="仿宋" w:eastAsia="仿宋"/>
          <w:b/>
          <w:sz w:val="32"/>
          <w:szCs w:val="32"/>
        </w:rPr>
      </w:pPr>
      <w:bookmarkStart w:id="124" w:name="_Toc88725874"/>
      <w:bookmarkStart w:id="125" w:name="_Toc88727568"/>
      <w:bookmarkStart w:id="126" w:name="_Toc86405245"/>
      <w:r>
        <w:rPr>
          <w:rFonts w:hint="eastAsia" w:ascii="仿宋" w:hAnsi="仿宋" w:eastAsia="仿宋"/>
          <w:b/>
          <w:sz w:val="32"/>
          <w:szCs w:val="32"/>
        </w:rPr>
        <w:t>业务上云前源代码审计</w:t>
      </w:r>
      <w:bookmarkEnd w:id="124"/>
      <w:bookmarkEnd w:id="125"/>
      <w:bookmarkEnd w:id="126"/>
    </w:p>
    <w:p>
      <w:pPr>
        <w:spacing w:line="460" w:lineRule="exact"/>
        <w:ind w:firstLine="420" w:firstLineChars="200"/>
        <w:rPr>
          <w:rFonts w:ascii="仿宋" w:hAnsi="仿宋" w:eastAsia="仿宋"/>
        </w:rPr>
      </w:pPr>
      <w:r>
        <w:rPr>
          <w:rFonts w:hint="eastAsia" w:ascii="仿宋" w:hAnsi="仿宋" w:eastAsia="仿宋"/>
        </w:rPr>
        <w:t>为了解决因开发人员能力不足、存在开发陋习等问题，可能导致代码存在算法、逻辑等漏洞，所以淳安县政务业务系统上云前前需要进行源代码安全测试审查。由于测试人员、测试工具、测试标准、测试环境等种种原因，代码测试结果中往往存在一定的误报。导致应用存在先天安全漏洞，因此需要建立一套行之有效的代码安全测试体系，解决后续业务上线存在大量漏洞无法修复或不能修复的问题。</w:t>
      </w:r>
    </w:p>
    <w:p>
      <w:pPr>
        <w:spacing w:line="460" w:lineRule="exact"/>
        <w:ind w:firstLine="420" w:firstLineChars="200"/>
        <w:rPr>
          <w:rFonts w:ascii="仿宋" w:hAnsi="仿宋" w:eastAsia="仿宋"/>
        </w:rPr>
      </w:pPr>
      <w:r>
        <w:rPr>
          <w:rFonts w:hint="eastAsia" w:ascii="仿宋" w:hAnsi="仿宋" w:eastAsia="仿宋"/>
        </w:rPr>
        <w:t>本</w:t>
      </w:r>
      <w:r>
        <w:rPr>
          <w:rFonts w:ascii="仿宋" w:hAnsi="仿宋" w:eastAsia="仿宋"/>
        </w:rPr>
        <w:t>项目</w:t>
      </w:r>
      <w:r>
        <w:rPr>
          <w:rFonts w:hint="eastAsia" w:ascii="仿宋" w:hAnsi="仿宋" w:eastAsia="仿宋"/>
        </w:rPr>
        <w:t>通过构建源代码审计平台，提供源代码安全检测能力，协助开发人员补齐测试能力，通过人工+自动化的方式对开发代码进行全面、深入测试，保障代码安全。通过安全检测确保上线应用安全补齐所有安全短板。防止先天代码漏洞，让后续的所有安全防护手段都丧失作用，导致数据泄露。</w:t>
      </w:r>
    </w:p>
    <w:p>
      <w:pPr>
        <w:spacing w:line="460" w:lineRule="exact"/>
        <w:ind w:firstLine="420" w:firstLineChars="200"/>
        <w:rPr>
          <w:rFonts w:ascii="仿宋" w:hAnsi="仿宋" w:eastAsia="仿宋"/>
        </w:rPr>
      </w:pPr>
      <w:r>
        <w:rPr>
          <w:rFonts w:hint="eastAsia" w:ascii="仿宋" w:hAnsi="仿宋" w:eastAsia="仿宋"/>
        </w:rPr>
        <w:t>应用开发过程以及系统上线之前源代码安全分析技术对应用源代码进行自动化分析，从源代码层面发现软件中的安全缺陷。不同应用开发人员采用的开发语言可能多种多样，平台实现多种编程语言开发的软件源代码的缺陷检测。</w:t>
      </w:r>
    </w:p>
    <w:p>
      <w:pPr>
        <w:spacing w:line="460" w:lineRule="exact"/>
        <w:ind w:firstLine="420" w:firstLineChars="200"/>
        <w:rPr>
          <w:rFonts w:ascii="仿宋" w:hAnsi="仿宋" w:eastAsia="仿宋"/>
        </w:rPr>
      </w:pPr>
      <w:r>
        <w:rPr>
          <w:rFonts w:hint="eastAsia" w:ascii="仿宋" w:hAnsi="仿宋" w:eastAsia="仿宋"/>
        </w:rPr>
        <w:t>通过多套源代码分析引擎技术，能在分析精度，速度，深度等方面均衡得到较好的分析结果。能够自动寻找软件的编码错误，无需构造测试用例，无需人工干预，在发现缺陷的同时还能给出问题的触发过程。这样可以让程序员迅速理解和修复问题，从而投入更多的时间到创造性的工作中。帮助企业在软件的开发环节中和程序员密切交互，在软件制造早期帮助开发人员集中精力完成开发进度的同时提高软件质量，大幅减少生产成本，提高研发效能。</w:t>
      </w:r>
    </w:p>
    <w:p>
      <w:pPr>
        <w:spacing w:line="460" w:lineRule="exact"/>
        <w:ind w:firstLine="422" w:firstLineChars="200"/>
        <w:rPr>
          <w:rFonts w:ascii="仿宋" w:hAnsi="仿宋" w:eastAsia="仿宋"/>
          <w:b/>
          <w:bCs/>
        </w:rPr>
      </w:pPr>
      <w:r>
        <w:rPr>
          <w:rFonts w:hint="eastAsia" w:ascii="仿宋" w:hAnsi="仿宋" w:eastAsia="仿宋"/>
          <w:b/>
          <w:bCs/>
        </w:rPr>
        <w:t>在</w:t>
      </w:r>
      <w:r>
        <w:rPr>
          <w:rFonts w:ascii="仿宋" w:hAnsi="仿宋" w:eastAsia="仿宋"/>
          <w:b/>
          <w:bCs/>
        </w:rPr>
        <w:t>本项目服务周期内</w:t>
      </w:r>
      <w:r>
        <w:rPr>
          <w:rFonts w:hint="eastAsia" w:ascii="仿宋" w:hAnsi="仿宋" w:eastAsia="仿宋"/>
          <w:b/>
          <w:bCs/>
        </w:rPr>
        <w:t>，</w:t>
      </w:r>
      <w:r>
        <w:rPr>
          <w:rFonts w:ascii="仿宋" w:hAnsi="仿宋" w:eastAsia="仿宋"/>
          <w:b/>
          <w:bCs/>
        </w:rPr>
        <w:t>提供</w:t>
      </w:r>
      <w:r>
        <w:rPr>
          <w:rFonts w:hint="eastAsia" w:ascii="仿宋" w:hAnsi="仿宋" w:eastAsia="仿宋"/>
          <w:b/>
          <w:bCs/>
        </w:rPr>
        <w:t>源</w:t>
      </w:r>
      <w:r>
        <w:rPr>
          <w:rFonts w:ascii="仿宋" w:hAnsi="仿宋" w:eastAsia="仿宋"/>
          <w:b/>
          <w:bCs/>
        </w:rPr>
        <w:t>代码审</w:t>
      </w:r>
      <w:r>
        <w:rPr>
          <w:rFonts w:hint="eastAsia" w:ascii="仿宋" w:hAnsi="仿宋" w:eastAsia="仿宋"/>
          <w:b/>
          <w:bCs/>
        </w:rPr>
        <w:t>计次数</w:t>
      </w:r>
      <w:r>
        <w:rPr>
          <w:rFonts w:ascii="仿宋" w:hAnsi="仿宋" w:eastAsia="仿宋"/>
          <w:b/>
          <w:bCs/>
        </w:rPr>
        <w:t>不限。</w:t>
      </w:r>
    </w:p>
    <w:p>
      <w:pPr>
        <w:spacing w:line="460" w:lineRule="exact"/>
        <w:ind w:firstLine="420" w:firstLineChars="200"/>
        <w:rPr>
          <w:rFonts w:ascii="仿宋" w:hAnsi="仿宋" w:eastAsia="仿宋"/>
        </w:rPr>
      </w:pPr>
      <w:r>
        <w:rPr>
          <w:rFonts w:hint="eastAsia" w:ascii="仿宋" w:hAnsi="仿宋" w:eastAsia="仿宋"/>
        </w:rPr>
        <w:t>技术指标要求：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3"/>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77" w:type="pct"/>
            <w:noWrap w:val="0"/>
            <w:vAlign w:val="top"/>
          </w:tcPr>
          <w:p>
            <w:pPr>
              <w:pStyle w:val="186"/>
              <w:spacing w:line="300" w:lineRule="auto"/>
              <w:jc w:val="center"/>
              <w:rPr>
                <w:rFonts w:ascii="仿宋" w:hAnsi="仿宋" w:eastAsia="仿宋"/>
                <w:b/>
                <w:spacing w:val="-5"/>
                <w:sz w:val="21"/>
                <w:szCs w:val="21"/>
              </w:rPr>
            </w:pPr>
            <w:bookmarkStart w:id="127" w:name="_Hlk87884759"/>
            <w:r>
              <w:rPr>
                <w:rFonts w:hint="eastAsia" w:ascii="仿宋" w:hAnsi="仿宋" w:eastAsia="仿宋"/>
                <w:b/>
                <w:spacing w:val="-5"/>
                <w:sz w:val="21"/>
                <w:szCs w:val="21"/>
              </w:rPr>
              <w:t>技术指标</w:t>
            </w:r>
          </w:p>
        </w:tc>
        <w:tc>
          <w:tcPr>
            <w:tcW w:w="4123" w:type="pct"/>
            <w:noWrap w:val="0"/>
            <w:vAlign w:val="top"/>
          </w:tcPr>
          <w:p>
            <w:pPr>
              <w:pStyle w:val="186"/>
              <w:spacing w:line="300" w:lineRule="auto"/>
              <w:ind w:left="841" w:right="2346" w:hanging="211"/>
              <w:jc w:val="center"/>
              <w:rPr>
                <w:rFonts w:ascii="仿宋" w:hAnsi="仿宋" w:eastAsia="仿宋"/>
                <w:b/>
                <w:spacing w:val="-5"/>
                <w:sz w:val="21"/>
                <w:szCs w:val="21"/>
              </w:rPr>
            </w:pPr>
            <w:r>
              <w:rPr>
                <w:rFonts w:hint="eastAsia" w:ascii="仿宋" w:hAnsi="仿宋" w:eastAsia="仿宋"/>
                <w:b/>
                <w:spacing w:val="-5"/>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877" w:type="pct"/>
            <w:noWrap w:val="0"/>
            <w:vAlign w:val="top"/>
          </w:tcPr>
          <w:p>
            <w:pPr>
              <w:pStyle w:val="186"/>
              <w:spacing w:line="300" w:lineRule="auto"/>
              <w:jc w:val="center"/>
              <w:rPr>
                <w:rFonts w:ascii="仿宋" w:hAnsi="仿宋" w:eastAsia="仿宋"/>
                <w:spacing w:val="-5"/>
                <w:sz w:val="21"/>
                <w:szCs w:val="21"/>
              </w:rPr>
            </w:pPr>
            <w:r>
              <w:rPr>
                <w:rFonts w:hint="eastAsia" w:ascii="仿宋" w:hAnsi="仿宋" w:eastAsia="仿宋"/>
                <w:spacing w:val="-5"/>
                <w:sz w:val="21"/>
                <w:szCs w:val="21"/>
              </w:rPr>
              <w:t>部署方式</w:t>
            </w:r>
          </w:p>
        </w:tc>
        <w:tc>
          <w:tcPr>
            <w:tcW w:w="4123" w:type="pct"/>
            <w:noWrap w:val="0"/>
            <w:vAlign w:val="top"/>
          </w:tcPr>
          <w:p>
            <w:pPr>
              <w:pStyle w:val="186"/>
              <w:spacing w:line="300" w:lineRule="auto"/>
              <w:rPr>
                <w:rFonts w:ascii="仿宋" w:hAnsi="仿宋" w:eastAsia="仿宋"/>
                <w:spacing w:val="-5"/>
                <w:sz w:val="21"/>
                <w:szCs w:val="21"/>
              </w:rPr>
            </w:pPr>
            <w:r>
              <w:rPr>
                <w:rFonts w:hint="eastAsia" w:ascii="仿宋" w:hAnsi="仿宋" w:eastAsia="仿宋"/>
                <w:spacing w:val="-5"/>
                <w:sz w:val="21"/>
                <w:szCs w:val="21"/>
              </w:rPr>
              <w:t>支持无服务化运行；支持虚拟化部署；支持</w:t>
            </w:r>
            <w:r>
              <w:rPr>
                <w:rFonts w:ascii="仿宋" w:hAnsi="仿宋" w:eastAsia="仿宋"/>
                <w:spacing w:val="-5"/>
                <w:sz w:val="21"/>
                <w:szCs w:val="21"/>
              </w:rPr>
              <w:t xml:space="preserve"> Linux 部署；</w:t>
            </w:r>
            <w:r>
              <w:rPr>
                <w:rFonts w:hint="eastAsia" w:ascii="仿宋" w:hAnsi="仿宋" w:eastAsia="仿宋"/>
                <w:spacing w:val="-5"/>
                <w:sz w:val="21"/>
                <w:szCs w:val="21"/>
              </w:rPr>
              <w:t>支持容器化部署；支持集群部署。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877" w:type="pct"/>
            <w:vMerge w:val="restart"/>
            <w:noWrap w:val="0"/>
            <w:vAlign w:val="top"/>
          </w:tcPr>
          <w:p>
            <w:pPr>
              <w:pStyle w:val="186"/>
              <w:spacing w:line="300" w:lineRule="auto"/>
              <w:jc w:val="center"/>
              <w:rPr>
                <w:rFonts w:ascii="仿宋" w:hAnsi="仿宋" w:eastAsia="仿宋"/>
                <w:spacing w:val="-5"/>
                <w:sz w:val="21"/>
                <w:szCs w:val="21"/>
              </w:rPr>
            </w:pPr>
            <w:r>
              <w:rPr>
                <w:rFonts w:ascii="仿宋" w:hAnsi="仿宋" w:eastAsia="仿宋"/>
                <w:spacing w:val="-5"/>
                <w:sz w:val="21"/>
                <w:szCs w:val="21"/>
              </w:rPr>
              <w:t>源代码缺陷分析功能</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 C、C++、Java、JavaScript、JSP、PHP、Android、 Python、Shell、GO、SQL等主流编程语言开发的软件源代码的缺陷检测。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ind w:right="-15"/>
              <w:rPr>
                <w:rFonts w:ascii="仿宋" w:hAnsi="仿宋" w:eastAsia="仿宋"/>
                <w:spacing w:val="-5"/>
                <w:sz w:val="21"/>
                <w:szCs w:val="21"/>
              </w:rPr>
            </w:pPr>
            <w:r>
              <w:rPr>
                <w:rFonts w:ascii="仿宋" w:hAnsi="仿宋" w:eastAsia="仿宋"/>
                <w:spacing w:val="-5"/>
                <w:sz w:val="21"/>
                <w:szCs w:val="21"/>
              </w:rPr>
              <w:t>支持代码注入、跨站脚本、输入验证、危险函数、代码质量、API 误用、密码管理、异常处理等常见安全缺陷问题的检测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支持用户对源代码缺陷分析模板的灵活配置。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支持函数白名单功能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支持文件/文件夹白名单功能，可以对多个文件或文件夹进行过滤，不统计该文件和文件夹下检测的问题结果，提高系统检测精准性。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支持对检测失败的任务重新发起检测，无需重新上传代码。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支持单个检测任务的检测日志下载。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检测完成后，系统能够自动以邮件方式将检测结果通知到指定人员。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restart"/>
            <w:noWrap w:val="0"/>
            <w:vAlign w:val="top"/>
          </w:tcPr>
          <w:p>
            <w:pPr>
              <w:pStyle w:val="186"/>
              <w:spacing w:line="300" w:lineRule="auto"/>
              <w:jc w:val="center"/>
              <w:rPr>
                <w:rFonts w:ascii="仿宋" w:hAnsi="仿宋" w:eastAsia="仿宋"/>
                <w:spacing w:val="-5"/>
                <w:sz w:val="21"/>
                <w:szCs w:val="21"/>
              </w:rPr>
            </w:pPr>
            <w:r>
              <w:rPr>
                <w:rFonts w:ascii="仿宋" w:hAnsi="仿宋" w:eastAsia="仿宋"/>
                <w:spacing w:val="-5"/>
                <w:sz w:val="21"/>
                <w:szCs w:val="21"/>
              </w:rPr>
              <w:t>源代码缺陷审计功能</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能够对源代码安全扫描结果进行汇总，并按照问题的严重性和可能性进行威胁级别的划分，如高、中、低等多个级别。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能够迅速定位某一特定源代码安全问题所在源代码行，对问题产生的整个过程进行跟踪。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能够提供中文的源代码安全问题分类、问题描述及修复建议。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能够对当前问题进行审计，修改问题等级以及修改问题状态为是问题、不是问题、遗留问题。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能够记录结果的审计信息，包括人员、时间和审计信息等。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能够对检测结果按照缺陷类型、审计状态、文件名进行过滤查询。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restar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项目管理功能</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支持项目目标的设定，项目目标应包括缺陷类型、缺陷密度项。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支持配置自动化检测策略，能够按天或周进行自动化周期性检测。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能够对项目中每次检测结果与项目目标以及多次检测的结果进行对比，形成趋势分析。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支持自动化审计信息携带，能够将上一次的审计结果携带到下一次的检测结果中，降低审计成本。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能够对项目中源代码缺陷检测结果按照源代码提交者信息进行自动化分配，开发人员可查看自己的缺陷。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restar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统计分析功能</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能够根据检测时间、检测方式、任务类型、缺陷等级选择一至多个检测任务进行统计，统计显示任务数、总代码行数、缺陷总数、平均缺陷密度等信息。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统计结果以柱状图显示，分别展示缺陷总数和缺陷密度最高和最低的 TOP10 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能够以饼状图显示所有统计数据缺陷次数出现最多的 TOP10类型及数量。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restar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系统管理功能</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系统为 B/S 架构，支持多用户同时使用浏览器访问</w:t>
            </w:r>
            <w:r>
              <w:rPr>
                <w:rFonts w:hint="eastAsia" w:ascii="仿宋" w:hAnsi="仿宋" w:eastAsia="仿宋"/>
                <w:spacing w:val="-5"/>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支持自定义角色权限。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能够对检测队列进行管理，如删除正在执行的任务，调整任务优先级等。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能够提供系统操作日志，记录用户的关键操作；能够提供系统错误日志，记录关键的错误信息。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pStyle w:val="186"/>
              <w:spacing w:line="300" w:lineRule="auto"/>
              <w:rPr>
                <w:rFonts w:ascii="仿宋" w:hAnsi="仿宋" w:eastAsia="仿宋"/>
                <w:spacing w:val="-5"/>
                <w:sz w:val="21"/>
                <w:szCs w:val="21"/>
              </w:rPr>
            </w:pP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可支持通过系统界面下载系统日志和引擎日志。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界面</w:t>
            </w:r>
            <w:r>
              <w:rPr>
                <w:rFonts w:hint="eastAsia" w:ascii="仿宋" w:hAnsi="仿宋" w:eastAsia="仿宋"/>
                <w:spacing w:val="-5"/>
                <w:sz w:val="21"/>
                <w:szCs w:val="21"/>
              </w:rPr>
              <w:t>要求</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要求中文界面，易操作，具有中文问题描述、修复建议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restart"/>
            <w:noWrap w:val="0"/>
            <w:vAlign w:val="top"/>
          </w:tcPr>
          <w:p>
            <w:pPr>
              <w:spacing w:line="300" w:lineRule="auto"/>
              <w:rPr>
                <w:rFonts w:ascii="仿宋" w:hAnsi="仿宋" w:eastAsia="仿宋"/>
                <w:spacing w:val="-5"/>
                <w:kern w:val="0"/>
                <w:szCs w:val="21"/>
              </w:rPr>
            </w:pPr>
            <w:r>
              <w:rPr>
                <w:rFonts w:hint="eastAsia" w:ascii="仿宋" w:hAnsi="仿宋" w:eastAsia="仿宋" w:cs="宋体"/>
                <w:spacing w:val="-5"/>
                <w:kern w:val="0"/>
                <w:szCs w:val="21"/>
                <w:lang w:val="zh-CN" w:bidi="zh-CN"/>
              </w:rPr>
              <w:t>服务要求</w:t>
            </w:r>
          </w:p>
        </w:tc>
        <w:tc>
          <w:tcPr>
            <w:tcW w:w="4123" w:type="pct"/>
            <w:noWrap w:val="0"/>
            <w:vAlign w:val="top"/>
          </w:tcPr>
          <w:p>
            <w:pPr>
              <w:pStyle w:val="186"/>
              <w:spacing w:line="300" w:lineRule="auto"/>
              <w:rPr>
                <w:rFonts w:ascii="仿宋" w:hAnsi="仿宋" w:eastAsia="仿宋"/>
                <w:spacing w:val="-5"/>
                <w:sz w:val="21"/>
                <w:szCs w:val="21"/>
              </w:rPr>
            </w:pPr>
            <w:r>
              <w:rPr>
                <w:rFonts w:ascii="仿宋" w:hAnsi="仿宋" w:eastAsia="仿宋"/>
                <w:spacing w:val="-5"/>
                <w:sz w:val="21"/>
                <w:szCs w:val="21"/>
              </w:rPr>
              <w:t>提供</w:t>
            </w:r>
            <w:r>
              <w:rPr>
                <w:rFonts w:hint="eastAsia" w:ascii="仿宋" w:hAnsi="仿宋" w:eastAsia="仿宋"/>
                <w:spacing w:val="-5"/>
                <w:sz w:val="21"/>
                <w:szCs w:val="21"/>
              </w:rPr>
              <w:t>三</w:t>
            </w:r>
            <w:r>
              <w:rPr>
                <w:rFonts w:ascii="仿宋" w:hAnsi="仿宋" w:eastAsia="仿宋"/>
                <w:spacing w:val="-5"/>
                <w:sz w:val="21"/>
                <w:szCs w:val="21"/>
              </w:rPr>
              <w:t>年的</w:t>
            </w:r>
            <w:r>
              <w:rPr>
                <w:rFonts w:hint="eastAsia" w:ascii="仿宋" w:hAnsi="仿宋" w:eastAsia="仿宋"/>
                <w:spacing w:val="-5"/>
                <w:sz w:val="21"/>
                <w:szCs w:val="21"/>
              </w:rPr>
              <w:t>平台免费升级质保服务</w:t>
            </w:r>
            <w:r>
              <w:rPr>
                <w:rFonts w:ascii="仿宋" w:hAnsi="仿宋" w:eastAsia="仿宋"/>
                <w:spacing w:val="-5"/>
                <w:sz w:val="21"/>
                <w:szCs w:val="21"/>
              </w:rPr>
              <w:t>，提供</w:t>
            </w:r>
            <w:r>
              <w:rPr>
                <w:rFonts w:hint="eastAsia" w:ascii="仿宋" w:hAnsi="仿宋" w:eastAsia="仿宋"/>
                <w:spacing w:val="-5"/>
                <w:sz w:val="21"/>
                <w:szCs w:val="21"/>
              </w:rPr>
              <w:t>平台使用</w:t>
            </w:r>
            <w:r>
              <w:rPr>
                <w:rFonts w:ascii="仿宋" w:hAnsi="仿宋" w:eastAsia="仿宋"/>
                <w:spacing w:val="-5"/>
                <w:sz w:val="21"/>
                <w:szCs w:val="21"/>
              </w:rPr>
              <w:t>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877" w:type="pct"/>
            <w:vMerge w:val="continue"/>
            <w:noWrap w:val="0"/>
            <w:vAlign w:val="top"/>
          </w:tcPr>
          <w:p>
            <w:pPr>
              <w:spacing w:line="300" w:lineRule="auto"/>
              <w:rPr>
                <w:rFonts w:ascii="仿宋" w:hAnsi="仿宋" w:eastAsia="仿宋" w:cs="宋体"/>
                <w:spacing w:val="-5"/>
                <w:kern w:val="0"/>
                <w:szCs w:val="21"/>
                <w:lang w:val="zh-CN" w:bidi="zh-CN"/>
              </w:rPr>
            </w:pPr>
          </w:p>
        </w:tc>
        <w:tc>
          <w:tcPr>
            <w:tcW w:w="4123" w:type="pct"/>
            <w:noWrap w:val="0"/>
            <w:vAlign w:val="top"/>
          </w:tcPr>
          <w:p>
            <w:pPr>
              <w:pStyle w:val="186"/>
              <w:spacing w:line="300" w:lineRule="auto"/>
              <w:rPr>
                <w:rFonts w:ascii="仿宋" w:hAnsi="仿宋" w:eastAsia="仿宋"/>
                <w:spacing w:val="-5"/>
                <w:sz w:val="21"/>
                <w:szCs w:val="21"/>
              </w:rPr>
            </w:pPr>
            <w:r>
              <w:rPr>
                <w:rFonts w:hint="eastAsia" w:ascii="仿宋" w:hAnsi="仿宋" w:eastAsia="仿宋"/>
                <w:spacing w:val="-5"/>
                <w:sz w:val="21"/>
                <w:szCs w:val="21"/>
              </w:rPr>
              <w:t>支持并指导驻场人员日常源代码审计的平台使用</w:t>
            </w:r>
          </w:p>
        </w:tc>
      </w:tr>
      <w:bookmarkEnd w:id="127"/>
    </w:tbl>
    <w:p>
      <w:pPr>
        <w:ind w:firstLine="420" w:firstLineChars="200"/>
        <w:rPr>
          <w:rFonts w:ascii="仿宋" w:hAnsi="仿宋" w:eastAsia="仿宋"/>
        </w:rPr>
      </w:pPr>
    </w:p>
    <w:p>
      <w:pPr>
        <w:pStyle w:val="82"/>
        <w:numPr>
          <w:ilvl w:val="0"/>
          <w:numId w:val="8"/>
        </w:numPr>
        <w:spacing w:line="360" w:lineRule="auto"/>
        <w:ind w:firstLineChars="0"/>
        <w:outlineLvl w:val="2"/>
        <w:rPr>
          <w:rFonts w:ascii="仿宋" w:hAnsi="仿宋" w:eastAsia="仿宋"/>
          <w:b/>
          <w:sz w:val="32"/>
          <w:szCs w:val="32"/>
        </w:rPr>
      </w:pPr>
      <w:bookmarkStart w:id="128" w:name="_Toc88725875"/>
      <w:bookmarkStart w:id="129" w:name="_Toc88727569"/>
      <w:bookmarkStart w:id="130" w:name="_Toc86405246"/>
      <w:r>
        <w:rPr>
          <w:rFonts w:hint="eastAsia" w:ascii="仿宋" w:hAnsi="仿宋" w:eastAsia="仿宋"/>
          <w:b/>
          <w:sz w:val="32"/>
          <w:szCs w:val="32"/>
        </w:rPr>
        <w:t>业务上云前渗透测试</w:t>
      </w:r>
      <w:bookmarkEnd w:id="128"/>
      <w:bookmarkEnd w:id="129"/>
      <w:bookmarkEnd w:id="130"/>
    </w:p>
    <w:p>
      <w:pPr>
        <w:pStyle w:val="155"/>
        <w:spacing w:line="460" w:lineRule="exact"/>
        <w:ind w:firstLine="420" w:firstLineChars="200"/>
        <w:rPr>
          <w:rFonts w:ascii="仿宋" w:hAnsi="仿宋" w:eastAsia="仿宋"/>
        </w:rPr>
      </w:pPr>
      <w:r>
        <w:rPr>
          <w:rFonts w:hint="eastAsia" w:ascii="仿宋" w:hAnsi="仿宋" w:eastAsia="仿宋"/>
        </w:rPr>
        <w:t>为了保障淳安县政务业务系统上云前的系统处于安全的状态，依据等保的安全性要求，由专业的网络安全驻场人员和实施单位以黑客视角进行全流程访问的攻击测试，最大限度发现目前业务系统薄弱点和入侵途径，协助运维人员整改发现的安全问题并进行安全复测，确保安全漏洞被修复，形成安全闭环。</w:t>
      </w:r>
      <w:r>
        <w:rPr>
          <w:rFonts w:hint="eastAsia" w:ascii="仿宋" w:hAnsi="仿宋" w:eastAsia="仿宋"/>
          <w:b/>
          <w:bCs/>
          <w:kern w:val="2"/>
        </w:rPr>
        <w:t>在本项目服务周期内，业务上云前渗透测试次数不限。</w:t>
      </w:r>
    </w:p>
    <w:p>
      <w:pPr>
        <w:pStyle w:val="82"/>
        <w:numPr>
          <w:ilvl w:val="0"/>
          <w:numId w:val="4"/>
        </w:numPr>
        <w:spacing w:line="360" w:lineRule="auto"/>
        <w:ind w:firstLineChars="0"/>
        <w:outlineLvl w:val="1"/>
        <w:rPr>
          <w:rFonts w:ascii="仿宋" w:hAnsi="仿宋" w:eastAsia="仿宋"/>
          <w:b/>
          <w:sz w:val="32"/>
          <w:szCs w:val="32"/>
        </w:rPr>
      </w:pPr>
      <w:bookmarkStart w:id="131" w:name="_Toc88727570"/>
      <w:bookmarkStart w:id="132" w:name="_Toc86405247"/>
      <w:r>
        <w:rPr>
          <w:rFonts w:hint="eastAsia" w:ascii="仿宋" w:hAnsi="仿宋" w:eastAsia="仿宋"/>
          <w:b/>
          <w:sz w:val="32"/>
          <w:szCs w:val="32"/>
        </w:rPr>
        <w:t>数据安全制度管理体系设计</w:t>
      </w:r>
      <w:bookmarkEnd w:id="131"/>
      <w:bookmarkEnd w:id="132"/>
    </w:p>
    <w:p>
      <w:pPr>
        <w:pStyle w:val="155"/>
        <w:spacing w:line="460" w:lineRule="exact"/>
        <w:ind w:firstLine="495" w:firstLineChars="236"/>
        <w:rPr>
          <w:rFonts w:ascii="仿宋" w:hAnsi="仿宋" w:eastAsia="仿宋"/>
        </w:rPr>
      </w:pPr>
      <w:r>
        <w:rPr>
          <w:rFonts w:hint="eastAsia" w:ascii="仿宋" w:hAnsi="仿宋" w:eastAsia="仿宋"/>
        </w:rPr>
        <w:t>结合淳安县本地实际，建立健全公共数据安全制度规范体系，制定完善公共数据分类分级、访问权限、共享开放、脱敏销毁、日志审计、监督检查、安全事件应急处置、合作方及其人员管理等标准规范，指导各地各部门做好公共数据安全保障工作，促进公共数据安全管理工作标准化、流程化、规范化，使各项公共数据安全管理工作有规可依。</w:t>
      </w:r>
    </w:p>
    <w:p>
      <w:pPr>
        <w:pStyle w:val="155"/>
        <w:jc w:val="center"/>
        <w:rPr>
          <w:rFonts w:ascii="仿宋" w:hAnsi="仿宋" w:eastAsia="仿宋"/>
        </w:rPr>
      </w:pPr>
      <w:r>
        <w:rPr>
          <w:rFonts w:ascii="仿宋" w:hAnsi="仿宋" w:eastAsia="仿宋"/>
        </w:rPr>
        <w:drawing>
          <wp:inline distT="0" distB="0" distL="114300" distR="114300">
            <wp:extent cx="3533775" cy="2438400"/>
            <wp:effectExtent l="0" t="0" r="190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4"/>
                    <a:stretch>
                      <a:fillRect/>
                    </a:stretch>
                  </pic:blipFill>
                  <pic:spPr>
                    <a:xfrm>
                      <a:off x="0" y="0"/>
                      <a:ext cx="3533775" cy="2438400"/>
                    </a:xfrm>
                    <a:prstGeom prst="rect">
                      <a:avLst/>
                    </a:prstGeom>
                    <a:noFill/>
                    <a:ln>
                      <a:noFill/>
                    </a:ln>
                  </pic:spPr>
                </pic:pic>
              </a:graphicData>
            </a:graphic>
          </wp:inline>
        </w:drawing>
      </w:r>
    </w:p>
    <w:p>
      <w:pPr>
        <w:pStyle w:val="155"/>
        <w:spacing w:line="460" w:lineRule="exact"/>
        <w:rPr>
          <w:rFonts w:ascii="仿宋" w:hAnsi="仿宋" w:eastAsia="仿宋"/>
        </w:rPr>
      </w:pPr>
      <w:r>
        <w:rPr>
          <w:rFonts w:hint="eastAsia" w:ascii="仿宋" w:hAnsi="仿宋" w:eastAsia="仿宋"/>
        </w:rPr>
        <w:t>积极响应上级领导指示与要求，通过制定二级、三级制度以及配套的四级表单，完善数据安全制度管理体系；并作为后续整体中心运营提供理论流程依据。</w:t>
      </w:r>
    </w:p>
    <w:p>
      <w:pPr>
        <w:pStyle w:val="155"/>
        <w:jc w:val="center"/>
        <w:rPr>
          <w:rFonts w:ascii="仿宋" w:hAnsi="仿宋" w:eastAsia="仿宋"/>
        </w:rPr>
      </w:pPr>
      <w:r>
        <w:rPr>
          <w:rFonts w:ascii="仿宋" w:hAnsi="仿宋" w:eastAsia="仿宋"/>
        </w:rPr>
        <w:drawing>
          <wp:inline distT="0" distB="0" distL="114300" distR="114300">
            <wp:extent cx="4762500" cy="2343150"/>
            <wp:effectExtent l="0" t="0" r="7620" b="381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5"/>
                    <a:stretch>
                      <a:fillRect/>
                    </a:stretch>
                  </pic:blipFill>
                  <pic:spPr>
                    <a:xfrm>
                      <a:off x="0" y="0"/>
                      <a:ext cx="4762500" cy="2343150"/>
                    </a:xfrm>
                    <a:prstGeom prst="rect">
                      <a:avLst/>
                    </a:prstGeom>
                    <a:noFill/>
                    <a:ln>
                      <a:noFill/>
                    </a:ln>
                  </pic:spPr>
                </pic:pic>
              </a:graphicData>
            </a:graphic>
          </wp:inline>
        </w:drawing>
      </w:r>
    </w:p>
    <w:p>
      <w:pPr>
        <w:pStyle w:val="82"/>
        <w:numPr>
          <w:ilvl w:val="0"/>
          <w:numId w:val="4"/>
        </w:numPr>
        <w:spacing w:line="360" w:lineRule="auto"/>
        <w:ind w:firstLineChars="0"/>
        <w:outlineLvl w:val="1"/>
        <w:rPr>
          <w:rFonts w:ascii="仿宋" w:hAnsi="仿宋" w:eastAsia="仿宋"/>
          <w:b/>
          <w:sz w:val="32"/>
          <w:szCs w:val="32"/>
        </w:rPr>
      </w:pPr>
      <w:bookmarkStart w:id="133" w:name="_Toc86405248"/>
      <w:bookmarkStart w:id="134" w:name="_Toc88727571"/>
      <w:r>
        <w:rPr>
          <w:rFonts w:hint="eastAsia" w:ascii="仿宋" w:hAnsi="仿宋" w:eastAsia="仿宋"/>
          <w:b/>
          <w:sz w:val="32"/>
          <w:szCs w:val="32"/>
        </w:rPr>
        <w:t>数据安全运行管理体系设计</w:t>
      </w:r>
      <w:bookmarkEnd w:id="133"/>
      <w:bookmarkEnd w:id="134"/>
    </w:p>
    <w:p>
      <w:pPr>
        <w:pStyle w:val="82"/>
        <w:numPr>
          <w:ilvl w:val="0"/>
          <w:numId w:val="9"/>
        </w:numPr>
        <w:spacing w:line="360" w:lineRule="auto"/>
        <w:ind w:firstLineChars="0"/>
        <w:outlineLvl w:val="2"/>
        <w:rPr>
          <w:rFonts w:ascii="仿宋" w:hAnsi="仿宋" w:eastAsia="仿宋"/>
          <w:b/>
          <w:sz w:val="32"/>
          <w:szCs w:val="32"/>
        </w:rPr>
      </w:pPr>
      <w:bookmarkStart w:id="135" w:name="_Toc84437327"/>
      <w:bookmarkStart w:id="136" w:name="_Toc85029602"/>
      <w:bookmarkStart w:id="137" w:name="_Toc86405249"/>
      <w:bookmarkStart w:id="138" w:name="_Toc88727572"/>
      <w:bookmarkStart w:id="139" w:name="_Toc88725878"/>
      <w:r>
        <w:rPr>
          <w:rFonts w:hint="eastAsia" w:ascii="仿宋" w:hAnsi="仿宋" w:eastAsia="仿宋"/>
          <w:b/>
          <w:sz w:val="32"/>
          <w:szCs w:val="32"/>
        </w:rPr>
        <w:t>数据安全运行管理平台</w:t>
      </w:r>
      <w:bookmarkEnd w:id="135"/>
      <w:bookmarkEnd w:id="136"/>
      <w:bookmarkEnd w:id="137"/>
      <w:bookmarkEnd w:id="138"/>
      <w:bookmarkEnd w:id="139"/>
    </w:p>
    <w:p>
      <w:pPr>
        <w:spacing w:line="460" w:lineRule="exact"/>
        <w:ind w:firstLine="420"/>
        <w:rPr>
          <w:rFonts w:ascii="仿宋" w:hAnsi="仿宋" w:eastAsia="仿宋"/>
        </w:rPr>
      </w:pPr>
      <w:r>
        <w:rPr>
          <w:rFonts w:hint="eastAsia" w:ascii="仿宋" w:hAnsi="仿宋" w:eastAsia="仿宋" w:cs="仿宋_GB2312"/>
        </w:rPr>
        <w:t>数据运行安全的稳定性主要从隐患监控、日常运维、安全检测、集中告警、可视化展示几大维度定义。</w:t>
      </w:r>
      <w:r>
        <w:rPr>
          <w:rFonts w:ascii="仿宋" w:hAnsi="仿宋" w:eastAsia="仿宋"/>
        </w:rPr>
        <w:t>数据库承担数据的存储、读取等功能，是信息系统内极其重要组成部分，数据库故障可能导致信息系统全面瘫痪，对运营和安全生产的威胁极大，数据资产的丢失也会造成不可挽回的影响</w:t>
      </w:r>
      <w:r>
        <w:rPr>
          <w:rFonts w:hint="eastAsia" w:ascii="仿宋" w:hAnsi="仿宋" w:eastAsia="仿宋"/>
        </w:rPr>
        <w:t>，保障数据的运行环境稳定健康，提前预知隐患、问题快速定位、故障高效解决是必要的</w:t>
      </w:r>
      <w:r>
        <w:rPr>
          <w:rFonts w:ascii="仿宋" w:hAnsi="仿宋" w:eastAsia="仿宋"/>
        </w:rPr>
        <w:t>。</w:t>
      </w:r>
    </w:p>
    <w:p>
      <w:pPr>
        <w:spacing w:line="460" w:lineRule="exact"/>
        <w:ind w:firstLine="560"/>
        <w:rPr>
          <w:rFonts w:ascii="仿宋" w:hAnsi="仿宋" w:eastAsia="仿宋" w:cs="仿宋_GB2312"/>
        </w:rPr>
      </w:pPr>
      <w:r>
        <w:rPr>
          <w:rFonts w:hint="eastAsia" w:ascii="仿宋" w:hAnsi="仿宋" w:eastAsia="仿宋" w:cs="仿宋_GB2312"/>
        </w:rPr>
        <w:t>数据运行安全监控管理平台主要包括以下内容：</w:t>
      </w:r>
    </w:p>
    <w:p>
      <w:pPr>
        <w:numPr>
          <w:ilvl w:val="0"/>
          <w:numId w:val="10"/>
        </w:numPr>
        <w:spacing w:line="460" w:lineRule="exact"/>
        <w:rPr>
          <w:rFonts w:ascii="仿宋" w:hAnsi="仿宋" w:eastAsia="仿宋" w:cs="仿宋_GB2312"/>
        </w:rPr>
      </w:pPr>
      <w:r>
        <w:rPr>
          <w:rFonts w:hint="eastAsia" w:ascii="仿宋" w:hAnsi="仿宋" w:eastAsia="仿宋" w:cs="仿宋_GB2312"/>
        </w:rPr>
        <w:t>健康度监控：</w:t>
      </w:r>
      <w:r>
        <w:rPr>
          <w:rFonts w:hint="eastAsia" w:ascii="仿宋" w:hAnsi="仿宋" w:eastAsia="仿宋"/>
        </w:rPr>
        <w:t>从5大健康指数（可用性、错误、性能、变化和可靠性）、SQL执行生命周期（登录、解析、执行、提交）的监控以及关联资源（数据库资源如：process\session\jobs等，锁资源，主机资源）的监控，实现精准定位影响数据库健康和性能缓慢的根因。</w:t>
      </w:r>
    </w:p>
    <w:p>
      <w:pPr>
        <w:numPr>
          <w:ilvl w:val="0"/>
          <w:numId w:val="10"/>
        </w:numPr>
        <w:spacing w:line="460" w:lineRule="exact"/>
        <w:rPr>
          <w:rFonts w:ascii="仿宋" w:hAnsi="仿宋" w:eastAsia="仿宋" w:cs="仿宋_GB2312"/>
        </w:rPr>
      </w:pPr>
      <w:r>
        <w:rPr>
          <w:rFonts w:hint="eastAsia" w:ascii="仿宋" w:hAnsi="仿宋" w:eastAsia="仿宋" w:cs="仿宋_GB2312"/>
        </w:rPr>
        <w:t>智能自动运维组件：</w:t>
      </w:r>
      <w:r>
        <w:rPr>
          <w:rFonts w:ascii="仿宋" w:hAnsi="仿宋" w:eastAsia="仿宋" w:cs="仿宋_GB2312"/>
        </w:rPr>
        <w:t>工具箱提供诸如：性能分析、锁处理等、错误日志多种多样的数据库运维工具，</w:t>
      </w:r>
      <w:r>
        <w:rPr>
          <w:rFonts w:hint="eastAsia" w:ascii="仿宋" w:hAnsi="仿宋" w:eastAsia="仿宋"/>
        </w:rPr>
        <w:t>诸如：性能分析、TOP SQL、SQL诊断、锁处理、容量预测、表空间扩容、归档日志清理等等，方便运维人员快速完成日常数据库运维工作，提升运维效率。</w:t>
      </w:r>
      <w:r>
        <w:rPr>
          <w:rFonts w:ascii="仿宋" w:hAnsi="仿宋" w:eastAsia="仿宋" w:cs="仿宋_GB2312"/>
        </w:rPr>
        <w:t>帮助数据库运维人员能够简单而又高效快捷的完成日常的数据库运维工作，以保证数据库能够稳定运行，从而为整个</w:t>
      </w:r>
      <w:r>
        <w:rPr>
          <w:rFonts w:hint="eastAsia" w:ascii="仿宋" w:hAnsi="仿宋" w:eastAsia="仿宋" w:cs="仿宋_GB2312"/>
        </w:rPr>
        <w:t>数据管理中心</w:t>
      </w:r>
      <w:r>
        <w:rPr>
          <w:rFonts w:ascii="仿宋" w:hAnsi="仿宋" w:eastAsia="仿宋" w:cs="仿宋_GB2312"/>
        </w:rPr>
        <w:t>的信息化业务系统稳定可靠的运转提供保障。</w:t>
      </w:r>
    </w:p>
    <w:p>
      <w:pPr>
        <w:numPr>
          <w:ilvl w:val="0"/>
          <w:numId w:val="10"/>
        </w:numPr>
        <w:spacing w:line="460" w:lineRule="exact"/>
        <w:rPr>
          <w:rFonts w:ascii="仿宋" w:hAnsi="仿宋" w:eastAsia="仿宋" w:cs="仿宋_GB2312"/>
        </w:rPr>
      </w:pPr>
      <w:r>
        <w:rPr>
          <w:rFonts w:hint="eastAsia" w:ascii="仿宋" w:hAnsi="仿宋" w:eastAsia="仿宋" w:cs="仿宋_GB2312"/>
        </w:rPr>
        <w:t>安全检测：</w:t>
      </w:r>
      <w:r>
        <w:rPr>
          <w:rFonts w:ascii="仿宋" w:hAnsi="仿宋" w:eastAsia="仿宋" w:cs="仿宋_GB2312"/>
        </w:rPr>
        <w:t>对用户、变更、主机链接、DB-Link图谱、SCN、比特币等数据库常见运行安全隐患进行检测，保证数据库的平稳运行</w:t>
      </w:r>
      <w:r>
        <w:rPr>
          <w:rFonts w:hint="eastAsia" w:ascii="仿宋" w:hAnsi="仿宋" w:eastAsia="仿宋" w:cs="仿宋_GB2312"/>
        </w:rPr>
        <w:t>。</w:t>
      </w:r>
    </w:p>
    <w:p>
      <w:pPr>
        <w:numPr>
          <w:ilvl w:val="0"/>
          <w:numId w:val="10"/>
        </w:numPr>
        <w:spacing w:line="460" w:lineRule="exact"/>
        <w:rPr>
          <w:rFonts w:ascii="仿宋" w:hAnsi="仿宋" w:eastAsia="仿宋" w:cs="仿宋_GB2312"/>
        </w:rPr>
      </w:pPr>
      <w:r>
        <w:rPr>
          <w:rFonts w:hint="eastAsia" w:ascii="仿宋" w:hAnsi="仿宋" w:eastAsia="仿宋" w:cs="仿宋_GB2312"/>
        </w:rPr>
        <w:t>可视化展示：</w:t>
      </w:r>
      <w:r>
        <w:rPr>
          <w:rFonts w:hint="eastAsia" w:ascii="仿宋" w:hAnsi="仿宋" w:eastAsia="仿宋"/>
        </w:rPr>
        <w:t>支持平台内已配置的所有对象聚合监控及单一对象的详细监控。聚合监控从：最近24小时告警数量、最近24小时变更数量、过去7天可用性、会话数、繁忙度、健康度等多个维度，实现全面、丰富、深度地数据库聚合监控。利用聚合监控大屏，运维人员可以直观清晰地了解到各数据库对象及其对应的业务系统整体运行情况，确保业务系统的连续稳定可用</w:t>
      </w:r>
      <w:r>
        <w:rPr>
          <w:rFonts w:hint="eastAsia" w:ascii="仿宋" w:hAnsi="仿宋" w:eastAsia="仿宋" w:cs="仿宋_GB2312"/>
        </w:rPr>
        <w:t>。</w:t>
      </w:r>
    </w:p>
    <w:p>
      <w:pPr>
        <w:numPr>
          <w:ilvl w:val="0"/>
          <w:numId w:val="10"/>
        </w:numPr>
        <w:spacing w:line="460" w:lineRule="exact"/>
        <w:rPr>
          <w:rFonts w:ascii="仿宋" w:hAnsi="仿宋" w:eastAsia="仿宋" w:cs="仿宋_GB2312"/>
        </w:rPr>
      </w:pPr>
      <w:r>
        <w:rPr>
          <w:rFonts w:hint="eastAsia" w:ascii="仿宋" w:hAnsi="仿宋" w:eastAsia="仿宋" w:cs="仿宋_GB2312"/>
        </w:rPr>
        <w:t>数据风险事件告警：</w:t>
      </w:r>
      <w:r>
        <w:rPr>
          <w:rFonts w:ascii="仿宋" w:hAnsi="仿宋" w:eastAsia="仿宋" w:cs="仿宋_GB2312"/>
        </w:rPr>
        <w:t>威胁信息主要包括外部第三方威胁，如最新的SQL注入病毒，数据库漏洞，系统漏洞，勒索病毒等，要求数据安全管控平台对外提供接口，能够及时发现这些漏洞，并能提供报警能力，外部威胁信息分析库支持离线以及在线两种方式进行更新，保证系统可用可靠。</w:t>
      </w:r>
      <w:r>
        <w:rPr>
          <w:rFonts w:hint="eastAsia" w:ascii="仿宋" w:hAnsi="仿宋" w:eastAsia="仿宋" w:cs="仿宋_GB2312"/>
        </w:rPr>
        <w:t>实时展示数据风控系统最新发现的敏感数据泄露风险告警事件，内容包含：敏感内容、敏感级别、访问账号、业务系统等。</w:t>
      </w:r>
    </w:p>
    <w:p>
      <w:pPr>
        <w:pStyle w:val="82"/>
        <w:numPr>
          <w:ilvl w:val="0"/>
          <w:numId w:val="9"/>
        </w:numPr>
        <w:spacing w:line="360" w:lineRule="auto"/>
        <w:ind w:firstLineChars="0"/>
        <w:outlineLvl w:val="2"/>
        <w:rPr>
          <w:rFonts w:ascii="仿宋" w:hAnsi="仿宋" w:eastAsia="仿宋"/>
          <w:b/>
          <w:sz w:val="32"/>
          <w:szCs w:val="32"/>
        </w:rPr>
      </w:pPr>
      <w:bookmarkStart w:id="140" w:name="_Toc88725879"/>
      <w:bookmarkStart w:id="141" w:name="_Toc88727573"/>
      <w:r>
        <w:rPr>
          <w:rFonts w:hint="eastAsia" w:ascii="仿宋" w:hAnsi="仿宋" w:eastAsia="仿宋"/>
          <w:b/>
          <w:sz w:val="32"/>
          <w:szCs w:val="32"/>
        </w:rPr>
        <w:t>数据发现与分类分级平台</w:t>
      </w:r>
      <w:bookmarkEnd w:id="140"/>
      <w:bookmarkEnd w:id="141"/>
    </w:p>
    <w:p>
      <w:pPr>
        <w:spacing w:line="460" w:lineRule="exact"/>
        <w:ind w:firstLine="420" w:firstLineChars="200"/>
        <w:rPr>
          <w:rFonts w:ascii="仿宋" w:hAnsi="仿宋" w:eastAsia="仿宋"/>
        </w:rPr>
      </w:pPr>
      <w:r>
        <w:rPr>
          <w:rFonts w:hint="eastAsia" w:ascii="仿宋" w:hAnsi="仿宋" w:eastAsia="仿宋"/>
        </w:rPr>
        <w:t>在数据安全治理过程中，数据分类分级是基础工作，并且至关重要，只有将数据资产有效分类分级，发现敏感数据、重要数据、个人信息等类型及其重要级别，盘点清楚有什么，需要保护什么，保护程度是什么，才能在数据安全防护中实施更合理和精细化的措施，进而在数据全生命周期中实现动态、开放、可视的数据安全治理。</w:t>
      </w:r>
    </w:p>
    <w:p>
      <w:pPr>
        <w:spacing w:line="460" w:lineRule="exact"/>
        <w:ind w:firstLine="420" w:firstLineChars="200"/>
        <w:rPr>
          <w:rFonts w:ascii="仿宋" w:hAnsi="仿宋" w:eastAsia="仿宋"/>
        </w:rPr>
      </w:pPr>
      <w:r>
        <w:rPr>
          <w:rFonts w:hint="eastAsia" w:ascii="仿宋" w:hAnsi="仿宋" w:eastAsia="仿宋"/>
        </w:rPr>
        <w:t>数据分类分级是确定数据保护和利用之间平衡点的重要依据，为后续数据应用和安全措施落地奠定了基础。数据分类分级涉及组织全部数据，在工作开启之前，需要明确该项工作的实施流程，包括建立组织保障、数据资源梳理和识别、数据分类、数据分级、数据分类分级策略、数据分类分级落地，具体如下所示：</w:t>
      </w:r>
    </w:p>
    <w:p>
      <w:pPr>
        <w:rPr>
          <w:rFonts w:ascii="仿宋" w:hAnsi="仿宋" w:eastAsia="仿宋"/>
        </w:rPr>
      </w:pPr>
      <w:r>
        <w:rPr>
          <w:rFonts w:ascii="仿宋" w:hAnsi="仿宋" w:eastAsia="仿宋"/>
        </w:rPr>
        <w:drawing>
          <wp:inline distT="0" distB="0" distL="114300" distR="114300">
            <wp:extent cx="5286375" cy="2371725"/>
            <wp:effectExtent l="0" t="0" r="0" b="5715"/>
            <wp:docPr id="4" name="图片 12" descr="文本  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文本  描述已自动生成"/>
                    <pic:cNvPicPr>
                      <a:picLocks noChangeAspect="1"/>
                    </pic:cNvPicPr>
                  </pic:nvPicPr>
                  <pic:blipFill>
                    <a:blip r:embed="rId16"/>
                    <a:stretch>
                      <a:fillRect/>
                    </a:stretch>
                  </pic:blipFill>
                  <pic:spPr>
                    <a:xfrm>
                      <a:off x="0" y="0"/>
                      <a:ext cx="5286375" cy="2371725"/>
                    </a:xfrm>
                    <a:prstGeom prst="rect">
                      <a:avLst/>
                    </a:prstGeom>
                    <a:noFill/>
                    <a:ln>
                      <a:noFill/>
                    </a:ln>
                  </pic:spPr>
                </pic:pic>
              </a:graphicData>
            </a:graphic>
          </wp:inline>
        </w:drawing>
      </w:r>
    </w:p>
    <w:p>
      <w:pPr>
        <w:spacing w:line="460" w:lineRule="exact"/>
        <w:ind w:firstLine="420" w:firstLineChars="200"/>
        <w:rPr>
          <w:rFonts w:ascii="仿宋" w:hAnsi="仿宋" w:eastAsia="仿宋"/>
        </w:rPr>
      </w:pPr>
      <w:r>
        <w:rPr>
          <w:rFonts w:hint="eastAsia" w:ascii="仿宋" w:hAnsi="仿宋" w:eastAsia="仿宋"/>
        </w:rPr>
        <w:t>根据省厅《数字化改革公共数据分类分级指南》的要求，需要从数据产生频率、数据产生方式、数据结构化特征、数据存储方式、数据质量要求、数据应用领域、数据共享属性、数据开放属性、数据使用频率、安全保护维度、数据对象纬度等十一个维度来对现有的数据进行分类分级。</w:t>
      </w:r>
    </w:p>
    <w:p>
      <w:pPr>
        <w:spacing w:line="460" w:lineRule="exact"/>
        <w:ind w:firstLine="422" w:firstLineChars="200"/>
        <w:rPr>
          <w:rFonts w:ascii="仿宋" w:hAnsi="仿宋" w:eastAsia="仿宋"/>
          <w:b/>
          <w:bCs/>
        </w:rPr>
      </w:pPr>
      <w:r>
        <w:rPr>
          <w:rFonts w:hint="eastAsia" w:ascii="仿宋" w:hAnsi="仿宋" w:eastAsia="仿宋"/>
          <w:b/>
          <w:bCs/>
        </w:rPr>
        <w:t>构建数据发现与分类分级平台，面向数据挖掘并进行自动化数据识别、分析、分类、分级。</w:t>
      </w:r>
      <w:r>
        <w:rPr>
          <w:rFonts w:hint="eastAsia" w:ascii="仿宋" w:hAnsi="仿宋" w:eastAsia="仿宋"/>
        </w:rPr>
        <w:t>平台可接入淳安县数据资源中心内网，盘点数据资产，认识数据，实现自动化的元数据采集、识别数据格式和语义内容、实现敏感数据发现和分类分级。</w:t>
      </w:r>
    </w:p>
    <w:p>
      <w:pPr>
        <w:spacing w:line="460" w:lineRule="exact"/>
        <w:ind w:firstLine="420" w:firstLineChars="200"/>
        <w:rPr>
          <w:rFonts w:ascii="仿宋" w:hAnsi="仿宋" w:eastAsia="仿宋"/>
        </w:rPr>
      </w:pPr>
      <w:r>
        <w:rPr>
          <w:rFonts w:hint="eastAsia" w:ascii="仿宋" w:hAnsi="仿宋" w:eastAsia="仿宋"/>
        </w:rPr>
        <w:t>对于数据在哪里，平台提供手动添加、批量导入、自动发现三种方式。对于连接成功的数据源，支持用户开展资产发现作业。对于数据管理中心归集的数据规模、格式不一的各部委数据，可使用数据发现与分类分级平台定期通过扫描</w:t>
      </w:r>
      <w:r>
        <w:rPr>
          <w:rFonts w:ascii="仿宋" w:hAnsi="仿宋" w:eastAsia="仿宋"/>
        </w:rPr>
        <w:t>IP范围的方式去自动化发现政务数据网内部有多少数据库，确保对完整数据源的统一管理。</w:t>
      </w:r>
    </w:p>
    <w:p>
      <w:pPr>
        <w:spacing w:line="460" w:lineRule="exact"/>
        <w:ind w:firstLine="420" w:firstLineChars="200"/>
        <w:rPr>
          <w:rFonts w:ascii="仿宋" w:hAnsi="仿宋" w:eastAsia="仿宋"/>
        </w:rPr>
      </w:pPr>
      <w:r>
        <w:rPr>
          <w:rFonts w:hint="eastAsia" w:ascii="仿宋" w:hAnsi="仿宋" w:eastAsia="仿宋"/>
        </w:rPr>
        <w:t>对于有那些数据数据发现与分类分级平台可实现通过数据库用户，扫描用户名下数据表、字段，并获取相关元数据信息。发现结果确认之后可同步到总览中进行查看，也可以通过接口提供给其他平台，包括一体化智能化公共数据，安全产品以及数据资产管理等工具。</w:t>
      </w:r>
    </w:p>
    <w:p>
      <w:pPr>
        <w:spacing w:line="460" w:lineRule="exact"/>
        <w:ind w:firstLine="420" w:firstLineChars="200"/>
        <w:rPr>
          <w:rFonts w:ascii="仿宋" w:hAnsi="仿宋" w:eastAsia="仿宋"/>
        </w:rPr>
      </w:pPr>
      <w:r>
        <w:rPr>
          <w:rFonts w:hint="eastAsia" w:ascii="仿宋" w:hAnsi="仿宋" w:eastAsia="仿宋"/>
        </w:rPr>
        <w:t>采用数据发现与分类分级平台对现有的所有数据表和字段进行逐个字段的分类分级实施有可能出现工具无法正常识别的情况，需要人工对表和字段进行发现和分类分级以及对分类分级的结果进行人工确认，保障分类分级工作的准确和质量。</w:t>
      </w:r>
    </w:p>
    <w:p>
      <w:pPr>
        <w:spacing w:line="460" w:lineRule="exact"/>
        <w:ind w:firstLine="420" w:firstLineChars="200"/>
        <w:rPr>
          <w:rFonts w:ascii="仿宋" w:hAnsi="仿宋" w:eastAsia="仿宋"/>
        </w:rPr>
      </w:pPr>
      <w:r>
        <w:rPr>
          <w:rFonts w:hint="eastAsia" w:ascii="仿宋" w:hAnsi="仿宋" w:eastAsia="仿宋"/>
        </w:rPr>
        <w:t>发现结果确认包括：</w:t>
      </w:r>
    </w:p>
    <w:p>
      <w:pPr>
        <w:pStyle w:val="82"/>
        <w:numPr>
          <w:ilvl w:val="1"/>
          <w:numId w:val="11"/>
        </w:numPr>
        <w:spacing w:line="460" w:lineRule="exact"/>
        <w:ind w:firstLineChars="0"/>
        <w:rPr>
          <w:rFonts w:ascii="仿宋" w:hAnsi="仿宋" w:eastAsia="仿宋"/>
        </w:rPr>
      </w:pPr>
      <w:r>
        <w:rPr>
          <w:rFonts w:hint="eastAsia" w:ascii="仿宋" w:hAnsi="仿宋" w:eastAsia="仿宋"/>
        </w:rPr>
        <w:t>确认业务类型识别结果：确认已识别的业务类型，确认空数据和脏数据，确认自动字典和自动规则的业务类型，确认未识别和其他类型的业务类型，</w:t>
      </w:r>
    </w:p>
    <w:p>
      <w:pPr>
        <w:pStyle w:val="82"/>
        <w:numPr>
          <w:ilvl w:val="1"/>
          <w:numId w:val="11"/>
        </w:numPr>
        <w:spacing w:line="460" w:lineRule="exact"/>
        <w:ind w:firstLineChars="0"/>
        <w:rPr>
          <w:rFonts w:ascii="仿宋" w:hAnsi="仿宋" w:eastAsia="仿宋"/>
        </w:rPr>
      </w:pPr>
      <w:r>
        <w:rPr>
          <w:rFonts w:hint="eastAsia" w:ascii="仿宋" w:hAnsi="仿宋" w:eastAsia="仿宋"/>
        </w:rPr>
        <w:t>新增业务类型及发现规则，新增业务类型，新增发现规则，</w:t>
      </w:r>
    </w:p>
    <w:p>
      <w:pPr>
        <w:pStyle w:val="82"/>
        <w:numPr>
          <w:ilvl w:val="1"/>
          <w:numId w:val="11"/>
        </w:numPr>
        <w:spacing w:line="460" w:lineRule="exact"/>
        <w:ind w:firstLineChars="0"/>
        <w:rPr>
          <w:rFonts w:ascii="仿宋" w:hAnsi="仿宋" w:eastAsia="仿宋"/>
        </w:rPr>
      </w:pPr>
      <w:r>
        <w:rPr>
          <w:rFonts w:hint="eastAsia" w:ascii="仿宋" w:hAnsi="仿宋" w:eastAsia="仿宋"/>
        </w:rPr>
        <w:t>分类结果确认，给未分类的字段添加分类分级，给业务类型对应多个分类的字段确认唯一分类，</w:t>
      </w:r>
    </w:p>
    <w:p>
      <w:pPr>
        <w:pStyle w:val="82"/>
        <w:numPr>
          <w:ilvl w:val="1"/>
          <w:numId w:val="11"/>
        </w:numPr>
        <w:spacing w:line="460" w:lineRule="exact"/>
        <w:ind w:firstLineChars="0"/>
        <w:rPr>
          <w:rFonts w:ascii="仿宋" w:hAnsi="仿宋" w:eastAsia="仿宋"/>
        </w:rPr>
      </w:pPr>
      <w:r>
        <w:rPr>
          <w:rFonts w:hint="eastAsia" w:ascii="仿宋" w:hAnsi="仿宋" w:eastAsia="仿宋"/>
        </w:rPr>
        <w:t>再次运行和规则完善，将新增的业务类型添加到发现模版，导出自定义的数据字典和发现规则，提供给研发完善发现模型。</w:t>
      </w:r>
    </w:p>
    <w:p>
      <w:pPr>
        <w:spacing w:line="460" w:lineRule="exact"/>
        <w:ind w:firstLine="422" w:firstLineChars="200"/>
        <w:rPr>
          <w:rFonts w:ascii="仿宋" w:hAnsi="仿宋" w:eastAsia="仿宋"/>
          <w:b/>
          <w:bCs/>
        </w:rPr>
      </w:pPr>
      <w:r>
        <w:rPr>
          <w:rFonts w:hint="eastAsia" w:ascii="仿宋" w:hAnsi="仿宋" w:eastAsia="仿宋"/>
          <w:b/>
          <w:bCs/>
        </w:rPr>
        <w:t>与数据安全系统联动，可通过API方式为数据治理和数据安全治理提供分类分级成果和规则，为数据业务和数据安全提供必要基础安全能力。</w:t>
      </w:r>
    </w:p>
    <w:p>
      <w:pPr>
        <w:pStyle w:val="82"/>
        <w:numPr>
          <w:ilvl w:val="0"/>
          <w:numId w:val="4"/>
        </w:numPr>
        <w:spacing w:line="360" w:lineRule="auto"/>
        <w:ind w:firstLineChars="0"/>
        <w:outlineLvl w:val="1"/>
        <w:rPr>
          <w:rFonts w:ascii="仿宋" w:hAnsi="仿宋" w:eastAsia="仿宋"/>
          <w:b/>
          <w:sz w:val="32"/>
          <w:szCs w:val="32"/>
        </w:rPr>
      </w:pPr>
      <w:bookmarkStart w:id="142" w:name="_Toc88727574"/>
      <w:bookmarkStart w:id="143" w:name="_Toc86405251"/>
      <w:r>
        <w:rPr>
          <w:rFonts w:hint="eastAsia" w:ascii="仿宋" w:hAnsi="仿宋" w:eastAsia="仿宋"/>
          <w:b/>
          <w:sz w:val="32"/>
          <w:szCs w:val="32"/>
        </w:rPr>
        <w:t>整体平台安全运营服务设计</w:t>
      </w:r>
      <w:bookmarkEnd w:id="121"/>
      <w:bookmarkEnd w:id="142"/>
      <w:bookmarkEnd w:id="143"/>
    </w:p>
    <w:p>
      <w:pPr>
        <w:pStyle w:val="82"/>
        <w:numPr>
          <w:ilvl w:val="0"/>
          <w:numId w:val="12"/>
        </w:numPr>
        <w:spacing w:line="360" w:lineRule="auto"/>
        <w:ind w:firstLineChars="0"/>
        <w:outlineLvl w:val="2"/>
        <w:rPr>
          <w:rFonts w:ascii="仿宋" w:hAnsi="仿宋" w:eastAsia="仿宋"/>
          <w:b/>
          <w:sz w:val="32"/>
          <w:szCs w:val="32"/>
        </w:rPr>
      </w:pPr>
      <w:bookmarkStart w:id="144" w:name="_Toc88727575"/>
      <w:bookmarkStart w:id="145" w:name="_Toc88725881"/>
      <w:bookmarkStart w:id="146" w:name="_Toc86405252"/>
      <w:bookmarkStart w:id="147" w:name="_Toc80779111"/>
      <w:bookmarkStart w:id="148" w:name="_Toc79159442"/>
      <w:r>
        <w:rPr>
          <w:rFonts w:hint="eastAsia" w:ascii="仿宋" w:hAnsi="仿宋" w:eastAsia="仿宋"/>
          <w:b/>
          <w:sz w:val="32"/>
          <w:szCs w:val="32"/>
        </w:rPr>
        <w:t>驻场运营</w:t>
      </w:r>
      <w:bookmarkEnd w:id="144"/>
      <w:bookmarkEnd w:id="145"/>
      <w:bookmarkEnd w:id="146"/>
      <w:bookmarkEnd w:id="147"/>
      <w:bookmarkEnd w:id="148"/>
    </w:p>
    <w:p>
      <w:pPr>
        <w:spacing w:line="460" w:lineRule="exact"/>
        <w:ind w:firstLine="420" w:firstLineChars="200"/>
        <w:rPr>
          <w:rFonts w:ascii="仿宋" w:hAnsi="仿宋" w:eastAsia="仿宋"/>
        </w:rPr>
      </w:pPr>
      <w:r>
        <w:rPr>
          <w:rFonts w:hint="eastAsia" w:ascii="仿宋" w:hAnsi="仿宋" w:eastAsia="仿宋"/>
        </w:rPr>
        <w:t>本项目要求安排一名驻场运营服务人员进行淳安县全链路网络安全监管平台安全运行及维护保障。具体的驻场服务包括但不限于：</w:t>
      </w:r>
    </w:p>
    <w:p>
      <w:pPr>
        <w:pStyle w:val="82"/>
        <w:numPr>
          <w:ilvl w:val="0"/>
          <w:numId w:val="13"/>
        </w:numPr>
        <w:spacing w:line="460" w:lineRule="exact"/>
        <w:ind w:left="0" w:firstLine="480" w:firstLineChars="0"/>
        <w:rPr>
          <w:rFonts w:ascii="仿宋" w:hAnsi="仿宋" w:eastAsia="仿宋"/>
        </w:rPr>
      </w:pPr>
      <w:r>
        <w:rPr>
          <w:rFonts w:hint="eastAsia" w:ascii="仿宋" w:hAnsi="仿宋" w:eastAsia="仿宋"/>
        </w:rPr>
        <w:t>日常处理与全链路网络安全监管平台的对接工作，包括但不限于需求讨论、问题协助处理等；</w:t>
      </w:r>
    </w:p>
    <w:p>
      <w:pPr>
        <w:pStyle w:val="82"/>
        <w:numPr>
          <w:ilvl w:val="0"/>
          <w:numId w:val="13"/>
        </w:numPr>
        <w:spacing w:line="460" w:lineRule="exact"/>
        <w:ind w:left="0" w:firstLine="480" w:firstLineChars="0"/>
        <w:rPr>
          <w:rFonts w:ascii="仿宋" w:hAnsi="仿宋" w:eastAsia="仿宋"/>
        </w:rPr>
      </w:pPr>
      <w:r>
        <w:rPr>
          <w:rFonts w:hint="eastAsia" w:ascii="仿宋" w:hAnsi="仿宋" w:eastAsia="仿宋"/>
        </w:rPr>
        <w:t>根据全链路网络</w:t>
      </w:r>
      <w:r>
        <w:rPr>
          <w:rFonts w:ascii="仿宋" w:hAnsi="仿宋" w:eastAsia="仿宋"/>
        </w:rPr>
        <w:t>安全监管平台获取到的</w:t>
      </w:r>
      <w:r>
        <w:rPr>
          <w:rFonts w:hint="eastAsia" w:ascii="仿宋" w:hAnsi="仿宋" w:eastAsia="仿宋"/>
        </w:rPr>
        <w:t>漏洞及安全事件数据信息，向相关负责人汇报，汇报完成后，根据相关负责人指示授权开展进一步工单处置及协助复核工作；</w:t>
      </w:r>
    </w:p>
    <w:p>
      <w:pPr>
        <w:pStyle w:val="82"/>
        <w:numPr>
          <w:ilvl w:val="0"/>
          <w:numId w:val="13"/>
        </w:numPr>
        <w:spacing w:line="460" w:lineRule="exact"/>
        <w:ind w:left="0" w:firstLine="480" w:firstLineChars="0"/>
        <w:rPr>
          <w:rFonts w:ascii="仿宋" w:hAnsi="仿宋" w:eastAsia="仿宋"/>
        </w:rPr>
      </w:pPr>
      <w:r>
        <w:rPr>
          <w:rFonts w:hint="eastAsia" w:ascii="仿宋" w:hAnsi="仿宋" w:eastAsia="仿宋"/>
        </w:rPr>
        <w:t>对系统进行维护时，详细记录操作日志，包括重要的日常操作、运行维护记录、参数的设置和修改等内容，严禁进行未经授权的操作；</w:t>
      </w:r>
    </w:p>
    <w:p>
      <w:pPr>
        <w:pStyle w:val="82"/>
        <w:numPr>
          <w:ilvl w:val="0"/>
          <w:numId w:val="13"/>
        </w:numPr>
        <w:spacing w:line="460" w:lineRule="exact"/>
        <w:ind w:left="0" w:firstLine="480" w:firstLineChars="0"/>
        <w:rPr>
          <w:rFonts w:ascii="仿宋" w:hAnsi="仿宋" w:eastAsia="仿宋"/>
        </w:rPr>
      </w:pPr>
      <w:r>
        <w:rPr>
          <w:rFonts w:hint="eastAsia" w:ascii="仿宋" w:hAnsi="仿宋" w:eastAsia="仿宋"/>
        </w:rPr>
        <w:t>定期对全链路网络安全监管平台相关数据进行日常巡检及问题发现，以便及时发现异常行为。</w:t>
      </w:r>
    </w:p>
    <w:p>
      <w:pPr>
        <w:pStyle w:val="82"/>
        <w:numPr>
          <w:ilvl w:val="0"/>
          <w:numId w:val="13"/>
        </w:numPr>
        <w:spacing w:line="460" w:lineRule="exact"/>
        <w:ind w:left="0" w:firstLine="480" w:firstLineChars="0"/>
        <w:rPr>
          <w:rFonts w:ascii="仿宋" w:hAnsi="仿宋" w:eastAsia="仿宋"/>
        </w:rPr>
      </w:pPr>
      <w:r>
        <w:rPr>
          <w:rFonts w:hint="eastAsia" w:ascii="仿宋" w:hAnsi="仿宋" w:eastAsia="仿宋"/>
        </w:rPr>
        <w:t>定期对全链路网络安全监管平台进行报告输出，报告内容包括但不限于安全事件情况、处置情况、考核情况等。</w:t>
      </w:r>
    </w:p>
    <w:p>
      <w:pPr>
        <w:pStyle w:val="82"/>
        <w:numPr>
          <w:ilvl w:val="0"/>
          <w:numId w:val="13"/>
        </w:numPr>
        <w:spacing w:line="460" w:lineRule="exact"/>
        <w:ind w:left="0" w:firstLine="480" w:firstLineChars="0"/>
        <w:rPr>
          <w:rFonts w:ascii="仿宋" w:hAnsi="仿宋" w:eastAsia="仿宋"/>
          <w:b/>
          <w:bCs/>
        </w:rPr>
      </w:pPr>
      <w:r>
        <w:rPr>
          <w:rFonts w:hint="eastAsia" w:ascii="仿宋" w:hAnsi="仿宋" w:eastAsia="仿宋"/>
          <w:b/>
          <w:bCs/>
        </w:rPr>
        <w:t>驻场人员需具备渗透测试、漏洞扫描、协助安全加固、应急服务、普通安全重保服务的能力，工作频次根据淳安县数据资源管理中心的实际工作评估要求完成。</w:t>
      </w:r>
    </w:p>
    <w:p>
      <w:pPr>
        <w:pStyle w:val="82"/>
        <w:numPr>
          <w:ilvl w:val="0"/>
          <w:numId w:val="13"/>
        </w:numPr>
        <w:spacing w:line="460" w:lineRule="exact"/>
        <w:ind w:left="0" w:firstLine="480" w:firstLineChars="0"/>
        <w:rPr>
          <w:rFonts w:ascii="仿宋" w:hAnsi="仿宋" w:eastAsia="仿宋"/>
          <w:b/>
          <w:bCs/>
        </w:rPr>
      </w:pPr>
      <w:r>
        <w:rPr>
          <w:rFonts w:hint="eastAsia" w:ascii="仿宋" w:hAnsi="仿宋" w:eastAsia="仿宋"/>
          <w:b/>
          <w:bCs/>
        </w:rPr>
        <w:t>驻场人员的工作作息时间与淳安县数据资源管理中心一致，由淳安县数据资源管理中心进行人力管理。</w:t>
      </w:r>
    </w:p>
    <w:p>
      <w:pPr>
        <w:pStyle w:val="82"/>
        <w:numPr>
          <w:ilvl w:val="0"/>
          <w:numId w:val="12"/>
        </w:numPr>
        <w:spacing w:line="360" w:lineRule="auto"/>
        <w:ind w:firstLineChars="0"/>
        <w:outlineLvl w:val="2"/>
        <w:rPr>
          <w:rFonts w:ascii="仿宋" w:hAnsi="仿宋" w:eastAsia="仿宋"/>
          <w:b/>
          <w:sz w:val="32"/>
          <w:szCs w:val="32"/>
        </w:rPr>
      </w:pPr>
      <w:bookmarkStart w:id="149" w:name="_Toc88725882"/>
      <w:bookmarkStart w:id="150" w:name="_Toc86405253"/>
      <w:bookmarkStart w:id="151" w:name="_Toc88727576"/>
      <w:r>
        <w:rPr>
          <w:rFonts w:hint="eastAsia" w:ascii="仿宋" w:hAnsi="仿宋" w:eastAsia="仿宋"/>
          <w:b/>
          <w:sz w:val="32"/>
          <w:szCs w:val="32"/>
        </w:rPr>
        <w:t>渗透测试</w:t>
      </w:r>
      <w:bookmarkEnd w:id="149"/>
      <w:bookmarkEnd w:id="150"/>
      <w:bookmarkEnd w:id="151"/>
    </w:p>
    <w:p>
      <w:pPr>
        <w:spacing w:line="460" w:lineRule="exact"/>
        <w:ind w:firstLine="495" w:firstLineChars="236"/>
        <w:rPr>
          <w:rFonts w:ascii="仿宋" w:hAnsi="仿宋" w:eastAsia="仿宋"/>
        </w:rPr>
      </w:pPr>
      <w:r>
        <w:rPr>
          <w:rFonts w:hint="eastAsia" w:ascii="仿宋" w:hAnsi="仿宋" w:eastAsia="仿宋"/>
        </w:rPr>
        <w:t>本项目要求实施单位以黑客视角进行全流程访问的攻击测试，最大限度发现目前安全建设薄弱点和入侵途径，协助运维人员整改发现的安全问题并进行安全复测，确保安全漏洞被修复，形成安全闭环，增强平台业务安全对抗能力。由驻场人员实施，要求每年不少于4次（平均每季度一次）渗透测试。</w:t>
      </w:r>
    </w:p>
    <w:p>
      <w:pPr>
        <w:pStyle w:val="82"/>
        <w:numPr>
          <w:ilvl w:val="0"/>
          <w:numId w:val="12"/>
        </w:numPr>
        <w:spacing w:line="360" w:lineRule="auto"/>
        <w:ind w:firstLineChars="0"/>
        <w:outlineLvl w:val="2"/>
        <w:rPr>
          <w:rFonts w:ascii="仿宋" w:hAnsi="仿宋" w:eastAsia="仿宋"/>
          <w:b/>
          <w:sz w:val="32"/>
          <w:szCs w:val="32"/>
        </w:rPr>
      </w:pPr>
      <w:bookmarkStart w:id="152" w:name="_Toc79159443"/>
      <w:bookmarkStart w:id="153" w:name="_Toc86405254"/>
      <w:bookmarkStart w:id="154" w:name="_Toc88725883"/>
      <w:bookmarkStart w:id="155" w:name="_Toc80779112"/>
      <w:bookmarkStart w:id="156" w:name="_Toc88727577"/>
      <w:r>
        <w:rPr>
          <w:rFonts w:hint="eastAsia" w:ascii="仿宋" w:hAnsi="仿宋" w:eastAsia="仿宋"/>
          <w:b/>
          <w:sz w:val="32"/>
          <w:szCs w:val="32"/>
        </w:rPr>
        <w:t>安全加固与演练</w:t>
      </w:r>
      <w:bookmarkEnd w:id="152"/>
      <w:bookmarkEnd w:id="153"/>
      <w:bookmarkEnd w:id="154"/>
      <w:bookmarkEnd w:id="155"/>
      <w:bookmarkEnd w:id="156"/>
    </w:p>
    <w:p>
      <w:pPr>
        <w:spacing w:line="460" w:lineRule="exact"/>
        <w:ind w:firstLine="482"/>
        <w:rPr>
          <w:rFonts w:ascii="仿宋" w:hAnsi="仿宋" w:eastAsia="仿宋"/>
        </w:rPr>
      </w:pPr>
      <w:r>
        <w:rPr>
          <w:rFonts w:ascii="仿宋" w:hAnsi="仿宋" w:eastAsia="仿宋"/>
        </w:rPr>
        <w:t>基于构建的</w:t>
      </w:r>
      <w:r>
        <w:rPr>
          <w:rFonts w:hint="eastAsia" w:ascii="仿宋" w:hAnsi="仿宋" w:eastAsia="仿宋"/>
        </w:rPr>
        <w:t>全链路网络安全监管平台</w:t>
      </w:r>
      <w:r>
        <w:rPr>
          <w:rFonts w:ascii="仿宋" w:hAnsi="仿宋" w:eastAsia="仿宋"/>
        </w:rPr>
        <w:t>，通过</w:t>
      </w:r>
      <w:r>
        <w:rPr>
          <w:rFonts w:hint="eastAsia" w:ascii="仿宋" w:hAnsi="仿宋" w:eastAsia="仿宋"/>
        </w:rPr>
        <w:t>自动化的安全编排，将安全风险发现的问题及时进行处置，将安全流程或预案，利用数字化管理起来形成安全剧本。联动业务环境当中已经部署的安全防护措施，用自动化完成其中所有可能自动化的动作，无法自动的仍然交由人来处理，通过可视化编排工具将人、技术和流程有机的结合起来，形成标准统一的、可重复的、更高效的安全运营流程。同时</w:t>
      </w:r>
      <w:r>
        <w:rPr>
          <w:rFonts w:ascii="仿宋" w:hAnsi="仿宋" w:eastAsia="仿宋"/>
        </w:rPr>
        <w:t>对分析、响应处置过程中各种复杂的分析流程和处理平台进行整合，形成自动化的能力集成，实现从静态事件响应到动态工作流跟踪的转变，提升整体的协调及决策能力。</w:t>
      </w:r>
    </w:p>
    <w:p>
      <w:pPr>
        <w:spacing w:line="460" w:lineRule="exact"/>
        <w:ind w:firstLine="482"/>
        <w:rPr>
          <w:rFonts w:ascii="仿宋" w:hAnsi="仿宋" w:eastAsia="仿宋"/>
        </w:rPr>
      </w:pPr>
      <w:r>
        <w:rPr>
          <w:rFonts w:hint="eastAsia" w:ascii="仿宋" w:hAnsi="仿宋" w:eastAsia="仿宋"/>
        </w:rPr>
        <w:t>本项目要求每年不少于4次（平均每季度一次）的定期对安全设备、安全产品进行巡检，分析其运行参数和运行结果，发现、研判、清除设备故障风险点，预防设备运行异常和宕机罢工，维持安全设备、安全产品的长效稳定运行。</w:t>
      </w:r>
    </w:p>
    <w:p>
      <w:pPr>
        <w:spacing w:line="460" w:lineRule="exact"/>
        <w:ind w:firstLine="482"/>
        <w:rPr>
          <w:rFonts w:ascii="仿宋" w:hAnsi="仿宋" w:eastAsia="仿宋"/>
        </w:rPr>
      </w:pPr>
      <w:r>
        <w:rPr>
          <w:rFonts w:hint="eastAsia" w:ascii="仿宋" w:hAnsi="仿宋" w:eastAsia="仿宋"/>
        </w:rPr>
        <w:t>根据安全巡检结果，针对所发现的安全漏洞及安全风险，安全运营人员提出可操作性强、效果佳的整改建议，并协助用户完成安全整改。</w:t>
      </w:r>
    </w:p>
    <w:p>
      <w:pPr>
        <w:spacing w:line="460" w:lineRule="exact"/>
        <w:ind w:firstLine="482"/>
        <w:rPr>
          <w:rFonts w:ascii="仿宋" w:hAnsi="仿宋" w:eastAsia="仿宋"/>
          <w:szCs w:val="32"/>
        </w:rPr>
      </w:pPr>
      <w:r>
        <w:rPr>
          <w:rFonts w:hint="eastAsia" w:ascii="仿宋" w:hAnsi="仿宋" w:eastAsia="仿宋"/>
          <w:szCs w:val="32"/>
        </w:rPr>
        <w:t>业务应用在在一体化智能化公共数据平台上线后，应定期对应用系统进行风险评估，通过漏洞扫描、渗透测试、访谈调研、安全审计等手段，主动识别技术、管理安全风险并协助加固整改，完善应用安全体系。</w:t>
      </w:r>
    </w:p>
    <w:p>
      <w:pPr>
        <w:pStyle w:val="82"/>
        <w:numPr>
          <w:ilvl w:val="0"/>
          <w:numId w:val="12"/>
        </w:numPr>
        <w:spacing w:line="360" w:lineRule="auto"/>
        <w:ind w:firstLineChars="0"/>
        <w:outlineLvl w:val="2"/>
        <w:rPr>
          <w:rFonts w:ascii="仿宋" w:hAnsi="仿宋" w:eastAsia="仿宋"/>
          <w:b/>
          <w:sz w:val="32"/>
          <w:szCs w:val="32"/>
        </w:rPr>
      </w:pPr>
      <w:bookmarkStart w:id="157" w:name="_Toc80779113"/>
      <w:bookmarkStart w:id="158" w:name="_Toc88727578"/>
      <w:bookmarkStart w:id="159" w:name="_Toc88725884"/>
      <w:bookmarkStart w:id="160" w:name="_Toc79159444"/>
      <w:bookmarkStart w:id="161" w:name="_Toc86405255"/>
      <w:r>
        <w:rPr>
          <w:rFonts w:hint="eastAsia" w:ascii="仿宋" w:hAnsi="仿宋" w:eastAsia="仿宋"/>
          <w:b/>
          <w:sz w:val="32"/>
          <w:szCs w:val="32"/>
        </w:rPr>
        <w:t>应急响应支撑</w:t>
      </w:r>
      <w:bookmarkEnd w:id="157"/>
      <w:bookmarkEnd w:id="158"/>
      <w:bookmarkEnd w:id="159"/>
      <w:bookmarkEnd w:id="160"/>
      <w:bookmarkEnd w:id="161"/>
    </w:p>
    <w:p>
      <w:pPr>
        <w:spacing w:line="460" w:lineRule="exact"/>
        <w:ind w:firstLine="482"/>
        <w:rPr>
          <w:rFonts w:ascii="仿宋" w:hAnsi="仿宋" w:eastAsia="仿宋"/>
          <w:szCs w:val="32"/>
        </w:rPr>
      </w:pPr>
      <w:r>
        <w:rPr>
          <w:rFonts w:hint="eastAsia" w:ascii="仿宋" w:hAnsi="仿宋" w:eastAsia="仿宋"/>
        </w:rPr>
        <w:t>本项目要求实施单位结合省市县应急预案要求，在省市规定应急演练次数基础上，另外增加每年两次以上的应急演练，</w:t>
      </w:r>
      <w:r>
        <w:rPr>
          <w:rFonts w:hint="eastAsia" w:ascii="仿宋" w:hAnsi="仿宋" w:eastAsia="仿宋"/>
          <w:szCs w:val="32"/>
        </w:rPr>
        <w:t>明确安全责任分工，控制安全事件范围，消除安全事件影响，确保指挥渠道畅通、响应部门高效处置，防止可能发生或已发生的事件影响相关业务及平台平稳、稳定运行。</w:t>
      </w:r>
    </w:p>
    <w:p>
      <w:pPr>
        <w:spacing w:line="460" w:lineRule="exact"/>
        <w:ind w:firstLine="482"/>
        <w:rPr>
          <w:rFonts w:ascii="仿宋" w:hAnsi="仿宋" w:eastAsia="仿宋"/>
          <w:szCs w:val="32"/>
        </w:rPr>
      </w:pPr>
      <w:r>
        <w:rPr>
          <w:rFonts w:hint="eastAsia" w:ascii="仿宋" w:hAnsi="仿宋" w:eastAsia="仿宋"/>
          <w:szCs w:val="32"/>
        </w:rPr>
        <w:t>打造一支能力突出的应急处置团队，</w:t>
      </w:r>
      <w:r>
        <w:rPr>
          <w:rFonts w:ascii="仿宋" w:hAnsi="仿宋" w:eastAsia="仿宋"/>
          <w:szCs w:val="32"/>
        </w:rPr>
        <w:t>引入第三方安全服务商做好应急响应支撑工作</w:t>
      </w:r>
      <w:r>
        <w:rPr>
          <w:rFonts w:hint="eastAsia" w:ascii="仿宋" w:hAnsi="仿宋" w:eastAsia="仿宋"/>
          <w:szCs w:val="32"/>
        </w:rPr>
        <w:t>，基于</w:t>
      </w:r>
      <w:r>
        <w:rPr>
          <w:rFonts w:hint="eastAsia" w:ascii="仿宋" w:hAnsi="仿宋" w:eastAsia="仿宋"/>
        </w:rPr>
        <w:t>全链路网络安全监管平台</w:t>
      </w:r>
      <w:r>
        <w:rPr>
          <w:rFonts w:hint="eastAsia" w:ascii="仿宋" w:hAnsi="仿宋" w:eastAsia="仿宋"/>
          <w:szCs w:val="32"/>
        </w:rPr>
        <w:t>，借助网络安全态势感知和通报预警技术及管理手段，将通报预警体系与应急响应体系进行有效整合，逐步建设成覆盖全县政务系统的应急响应及通报预警机制，实现全县安全事件的统一预警通报和应急指挥。</w:t>
      </w:r>
    </w:p>
    <w:p>
      <w:pPr>
        <w:spacing w:line="460" w:lineRule="exact"/>
        <w:ind w:firstLine="482"/>
        <w:rPr>
          <w:rFonts w:ascii="仿宋" w:hAnsi="仿宋" w:eastAsia="仿宋"/>
          <w:szCs w:val="32"/>
        </w:rPr>
      </w:pPr>
      <w:r>
        <w:rPr>
          <w:rFonts w:hint="eastAsia" w:ascii="仿宋" w:hAnsi="仿宋" w:eastAsia="仿宋"/>
          <w:szCs w:val="32"/>
        </w:rPr>
        <w:t>建立安全事件联动共享的机制，统一管理应用安全事件通报预警与应急响应。制定</w:t>
      </w:r>
      <w:r>
        <w:rPr>
          <w:rFonts w:ascii="仿宋" w:hAnsi="仿宋" w:eastAsia="仿宋"/>
          <w:szCs w:val="32"/>
        </w:rPr>
        <w:t>CC攻击、网站篡改、不良信息传播、系统入侵等安全事件的应急预案以及应急演练方案，并定期开展应急演练。</w:t>
      </w:r>
    </w:p>
    <w:p>
      <w:pPr>
        <w:pStyle w:val="82"/>
        <w:numPr>
          <w:ilvl w:val="0"/>
          <w:numId w:val="12"/>
        </w:numPr>
        <w:spacing w:line="360" w:lineRule="auto"/>
        <w:ind w:firstLineChars="0"/>
        <w:outlineLvl w:val="2"/>
        <w:rPr>
          <w:rFonts w:ascii="仿宋" w:hAnsi="仿宋" w:eastAsia="仿宋"/>
          <w:b/>
          <w:sz w:val="32"/>
          <w:szCs w:val="32"/>
        </w:rPr>
      </w:pPr>
      <w:bookmarkStart w:id="162" w:name="_Toc86405256"/>
      <w:bookmarkStart w:id="163" w:name="_Toc88725885"/>
      <w:bookmarkStart w:id="164" w:name="_Toc88727579"/>
      <w:r>
        <w:rPr>
          <w:rFonts w:hint="eastAsia" w:ascii="仿宋" w:hAnsi="仿宋" w:eastAsia="仿宋"/>
          <w:b/>
          <w:sz w:val="32"/>
          <w:szCs w:val="32"/>
        </w:rPr>
        <w:t>安全重保服务</w:t>
      </w:r>
      <w:bookmarkEnd w:id="162"/>
      <w:bookmarkEnd w:id="163"/>
      <w:bookmarkEnd w:id="164"/>
    </w:p>
    <w:p>
      <w:pPr>
        <w:spacing w:line="460" w:lineRule="exact"/>
        <w:ind w:firstLine="480"/>
        <w:rPr>
          <w:rFonts w:ascii="仿宋" w:hAnsi="仿宋" w:eastAsia="仿宋"/>
          <w:szCs w:val="32"/>
        </w:rPr>
      </w:pPr>
      <w:r>
        <w:rPr>
          <w:rFonts w:hint="eastAsia" w:ascii="仿宋" w:hAnsi="仿宋" w:eastAsia="仿宋"/>
          <w:szCs w:val="32"/>
        </w:rPr>
        <w:t>本项目需要实施单位加强安全防护措施、开展专项安全检查、抓好重点单位排查，制定多项网络安全应急保障预案，形成重大活动期间7*</w:t>
      </w:r>
      <w:r>
        <w:rPr>
          <w:rFonts w:ascii="仿宋" w:hAnsi="仿宋" w:eastAsia="仿宋"/>
          <w:szCs w:val="32"/>
        </w:rPr>
        <w:t>24</w:t>
      </w:r>
      <w:r>
        <w:rPr>
          <w:rFonts w:hint="eastAsia" w:ascii="仿宋" w:hAnsi="仿宋" w:eastAsia="仿宋"/>
          <w:szCs w:val="32"/>
        </w:rPr>
        <w:t>小时安全保障机制。通过建立保障队伍和制定保障计划，确定保障时间、管理范围、负责人及参与者、制定检查工作计划、制定保障演练计划、制定应急预案等。在重大活动保障期间，定期开展网络攻防应急演练，检验网络安全防御、监测预警及应急响应能力，做到“实战对抗、能力进化”。</w:t>
      </w:r>
    </w:p>
    <w:p>
      <w:pPr>
        <w:spacing w:line="460" w:lineRule="exact"/>
        <w:ind w:firstLine="420" w:firstLineChars="200"/>
        <w:rPr>
          <w:rFonts w:ascii="仿宋" w:hAnsi="仿宋" w:eastAsia="仿宋"/>
        </w:rPr>
      </w:pPr>
      <w:r>
        <w:rPr>
          <w:rFonts w:hint="eastAsia" w:ascii="仿宋" w:hAnsi="仿宋" w:eastAsia="仿宋"/>
        </w:rPr>
        <w:t>重大活动保障时期对平台业务系统可能存在的安全风险以及安全防御体系可能存在的薄弱环节，指导修复，以提升被保障单位信息系统安全防御能力。同时为重保期间网络安全提供有力保障，加强信息系统生命周期安全管理、协助淳安县建立全面的主动安全运营机制、提升淳安县数据驱动的威胁对抗能力。</w:t>
      </w:r>
    </w:p>
    <w:p>
      <w:pPr>
        <w:spacing w:line="460" w:lineRule="exact"/>
        <w:ind w:firstLine="420" w:firstLineChars="200"/>
        <w:rPr>
          <w:rFonts w:ascii="仿宋" w:hAnsi="仿宋" w:eastAsia="仿宋"/>
        </w:rPr>
      </w:pPr>
      <w:r>
        <w:rPr>
          <w:rFonts w:hint="eastAsia" w:ascii="仿宋" w:hAnsi="仿宋" w:eastAsia="仿宋"/>
        </w:rPr>
        <w:t>重大活动包括国家法定节期日和国家、省、市、县主办的重大活动，重大活动保障次数不限，以淳安县数据资源中心实际需求为准。</w:t>
      </w:r>
    </w:p>
    <w:p>
      <w:pPr>
        <w:pStyle w:val="82"/>
        <w:numPr>
          <w:ilvl w:val="0"/>
          <w:numId w:val="4"/>
        </w:numPr>
        <w:spacing w:line="360" w:lineRule="auto"/>
        <w:ind w:firstLineChars="0"/>
        <w:outlineLvl w:val="1"/>
        <w:rPr>
          <w:rFonts w:ascii="仿宋" w:hAnsi="仿宋" w:eastAsia="仿宋"/>
          <w:b/>
          <w:sz w:val="32"/>
          <w:szCs w:val="32"/>
        </w:rPr>
      </w:pPr>
      <w:bookmarkStart w:id="165" w:name="_Toc88727580"/>
      <w:r>
        <w:rPr>
          <w:rFonts w:hint="eastAsia" w:ascii="仿宋" w:hAnsi="仿宋" w:eastAsia="仿宋"/>
          <w:b/>
          <w:sz w:val="32"/>
          <w:szCs w:val="32"/>
        </w:rPr>
        <w:t>安全创新能力探索</w:t>
      </w:r>
      <w:bookmarkEnd w:id="165"/>
    </w:p>
    <w:p>
      <w:pPr>
        <w:spacing w:line="460" w:lineRule="exact"/>
        <w:ind w:firstLine="420" w:firstLineChars="200"/>
        <w:rPr>
          <w:rFonts w:ascii="仿宋" w:hAnsi="仿宋" w:eastAsia="仿宋"/>
        </w:rPr>
      </w:pPr>
      <w:r>
        <w:rPr>
          <w:rFonts w:hint="eastAsia" w:ascii="仿宋" w:hAnsi="仿宋" w:eastAsia="仿宋"/>
        </w:rPr>
        <w:t>淳安县数据资源中心拟与省内著名重点科研院所、承建单位三方联合打造服务于淳安县特别生态功能区的“全链路网络安全联合创新实验室”，实验室为开放性实验室，根据研究方向和路径可根据需要引入不同的优秀信息安全软硬件企业及业务建设类企业加入实验室，共建共创，共同打造国内一流水平集数据治理、安全管控与城市数字化安全保障一体的创新型实验室。实验室在淳安县落地，共同就网络安全和大数据安全进行创新探索，沉淀安全创新能力，打造具有淳安特色安全场景。</w:t>
      </w:r>
    </w:p>
    <w:p>
      <w:pPr>
        <w:spacing w:line="460" w:lineRule="exact"/>
        <w:ind w:firstLine="420" w:firstLineChars="200"/>
        <w:rPr>
          <w:rFonts w:ascii="仿宋" w:hAnsi="仿宋" w:eastAsia="仿宋"/>
        </w:rPr>
      </w:pPr>
      <w:r>
        <w:rPr>
          <w:rFonts w:hint="eastAsia" w:ascii="仿宋" w:hAnsi="仿宋" w:eastAsia="仿宋"/>
        </w:rPr>
        <w:t>网络安全创新探索：探索区块链、边缘计算、可信接入等新的技术理念，解决物联网设备发现、识别、接入、监管、告警等安全防护问题，达到“信任接入、接入可知、接入可管”，打造淳安县生态环境保护等领域物联感知体系，强化物联感知网络数据安全保障机制，孵化物联感知数据的分类分级与敏感数据鉴别打标工具，落地物联网数据区块链全流程审计平台，从而实现物联网云、端、数据、网络全链路的安全保障与监管机制。</w:t>
      </w:r>
    </w:p>
    <w:p>
      <w:pPr>
        <w:spacing w:line="460" w:lineRule="exact"/>
        <w:ind w:firstLine="420" w:firstLineChars="200"/>
        <w:rPr>
          <w:rFonts w:ascii="仿宋" w:hAnsi="仿宋" w:eastAsia="仿宋"/>
        </w:rPr>
      </w:pPr>
      <w:r>
        <w:rPr>
          <w:rFonts w:hint="eastAsia" w:ascii="仿宋" w:hAnsi="仿宋" w:eastAsia="仿宋"/>
        </w:rPr>
        <w:t>大数据安全：落地本地数据治理团队，开展数据异构融合和治理能力。形成异构数据融合安全治理规范，并按照标准完成本地异构数据融合工作。同时对淳安县一体化智能化公共数据平台数据安全进行全生命周期防护，打造“安全监管+政务数据”的智慧监管新模式，提高安全管理科学化、专业化、智能化、精细化水平，赋能淳安县安全监管，提升安全监管的数字化水平，初步形成一屏掌控全县安全的监管模式。</w:t>
      </w:r>
    </w:p>
    <w:p>
      <w:pPr>
        <w:spacing w:line="460" w:lineRule="exact"/>
        <w:ind w:firstLine="422" w:firstLineChars="200"/>
        <w:rPr>
          <w:rFonts w:ascii="仿宋" w:hAnsi="仿宋" w:eastAsia="仿宋"/>
        </w:rPr>
      </w:pPr>
      <w:r>
        <w:rPr>
          <w:rFonts w:hint="eastAsia" w:ascii="仿宋" w:hAnsi="仿宋" w:eastAsia="仿宋"/>
          <w:b/>
          <w:u w:val="single"/>
        </w:rPr>
        <w:t>具体要求：</w:t>
      </w:r>
      <w:r>
        <w:rPr>
          <w:rFonts w:hint="eastAsia" w:ascii="仿宋" w:hAnsi="仿宋" w:eastAsia="仿宋"/>
          <w:u w:val="single"/>
        </w:rPr>
        <w:t>联合创新实验室要紧紧围绕淳安县社会发展需要，项目验收前每年举办一次全县网络安全领域专题培训，承担市级课题研究一项以上，发表</w:t>
      </w:r>
      <w:r>
        <w:rPr>
          <w:rFonts w:ascii="仿宋" w:hAnsi="仿宋" w:eastAsia="仿宋"/>
          <w:u w:val="single"/>
        </w:rPr>
        <w:t>SCI（或EI）类高质量论文不少于三篇</w:t>
      </w:r>
      <w:r>
        <w:rPr>
          <w:rFonts w:hint="eastAsia" w:ascii="仿宋" w:hAnsi="仿宋" w:eastAsia="仿宋"/>
          <w:u w:val="single"/>
        </w:rPr>
        <w:t>，网络与数据安全领域孵化技术工具成果每年至少落地一项，并成果获得省市认可，成果可发布于浙江省数字化改革专刊或全国政务一体化平台建设专刊。</w:t>
      </w:r>
    </w:p>
    <w:p>
      <w:pPr>
        <w:pStyle w:val="2"/>
        <w:keepNext w:val="0"/>
        <w:keepLines w:val="0"/>
        <w:tabs>
          <w:tab w:val="clear" w:pos="360"/>
          <w:tab w:val="clear" w:pos="432"/>
        </w:tabs>
        <w:spacing w:before="156" w:beforeLines="50" w:after="156" w:afterLines="50" w:line="240" w:lineRule="auto"/>
        <w:ind w:left="0" w:firstLine="0"/>
        <w:rPr>
          <w:rFonts w:ascii="仿宋" w:hAnsi="仿宋" w:eastAsia="仿宋"/>
          <w:szCs w:val="32"/>
        </w:rPr>
      </w:pPr>
      <w:bookmarkStart w:id="166" w:name="_Toc82639705"/>
      <w:bookmarkStart w:id="167" w:name="_Toc86405257"/>
      <w:bookmarkStart w:id="168" w:name="_Toc88727581"/>
      <w:r>
        <w:rPr>
          <w:rFonts w:hint="eastAsia" w:ascii="仿宋" w:hAnsi="仿宋" w:eastAsia="仿宋"/>
        </w:rPr>
        <w:t>全链路网络安全</w:t>
      </w:r>
      <w:bookmarkEnd w:id="166"/>
      <w:r>
        <w:rPr>
          <w:rFonts w:hint="eastAsia" w:ascii="仿宋" w:hAnsi="仿宋" w:eastAsia="仿宋"/>
        </w:rPr>
        <w:t>监管平台能力对接说明</w:t>
      </w:r>
      <w:bookmarkEnd w:id="167"/>
      <w:bookmarkEnd w:id="168"/>
    </w:p>
    <w:p>
      <w:pPr>
        <w:spacing w:line="460" w:lineRule="exact"/>
        <w:ind w:firstLine="482"/>
        <w:rPr>
          <w:rFonts w:ascii="仿宋" w:hAnsi="仿宋" w:eastAsia="仿宋"/>
        </w:rPr>
      </w:pPr>
      <w:r>
        <w:rPr>
          <w:rFonts w:hint="eastAsia" w:ascii="仿宋" w:hAnsi="仿宋" w:eastAsia="仿宋"/>
        </w:rPr>
        <w:t>淳安县全链路网络安全监管平台作为顶层架构，为后续“云、网、数、用、端、边界”六大维度提供了一体化全链路统一监管平台，通过多维异构的安全厂商能力，构建整体完善的淳安县一体化智能安全防护体系。</w:t>
      </w:r>
    </w:p>
    <w:p>
      <w:pPr>
        <w:spacing w:line="460" w:lineRule="exact"/>
        <w:ind w:firstLine="482"/>
        <w:rPr>
          <w:rFonts w:ascii="仿宋" w:hAnsi="仿宋" w:eastAsia="仿宋"/>
        </w:rPr>
      </w:pPr>
      <w:r>
        <w:rPr>
          <w:rFonts w:hint="eastAsia" w:ascii="仿宋" w:hAnsi="仿宋" w:eastAsia="仿宋"/>
        </w:rPr>
        <w:t>各个体系的对接说明如下：</w:t>
      </w:r>
    </w:p>
    <w:p>
      <w:pPr>
        <w:pStyle w:val="82"/>
        <w:numPr>
          <w:ilvl w:val="0"/>
          <w:numId w:val="14"/>
        </w:numPr>
        <w:spacing w:line="360" w:lineRule="auto"/>
        <w:ind w:firstLineChars="0"/>
        <w:outlineLvl w:val="1"/>
        <w:rPr>
          <w:rFonts w:ascii="仿宋" w:hAnsi="仿宋" w:eastAsia="仿宋"/>
          <w:b/>
          <w:sz w:val="32"/>
          <w:szCs w:val="32"/>
        </w:rPr>
      </w:pPr>
      <w:bookmarkStart w:id="169" w:name="_Toc88725887"/>
      <w:bookmarkStart w:id="170" w:name="_Toc86405258"/>
      <w:bookmarkStart w:id="171" w:name="_Toc88727582"/>
      <w:r>
        <w:rPr>
          <w:rFonts w:hint="eastAsia" w:ascii="仿宋" w:hAnsi="仿宋" w:eastAsia="仿宋"/>
          <w:b/>
          <w:sz w:val="32"/>
          <w:szCs w:val="32"/>
        </w:rPr>
        <w:t>云安全-</w:t>
      </w:r>
      <w:r>
        <w:rPr>
          <w:rFonts w:ascii="仿宋" w:hAnsi="仿宋" w:eastAsia="仿宋"/>
          <w:b/>
          <w:sz w:val="32"/>
          <w:szCs w:val="32"/>
        </w:rPr>
        <w:t>--</w:t>
      </w:r>
      <w:r>
        <w:rPr>
          <w:rFonts w:hint="eastAsia" w:ascii="仿宋" w:hAnsi="仿宋" w:eastAsia="仿宋"/>
          <w:b/>
          <w:sz w:val="32"/>
          <w:szCs w:val="32"/>
        </w:rPr>
        <w:t>对接云安全防护平台</w:t>
      </w:r>
      <w:bookmarkEnd w:id="169"/>
      <w:bookmarkEnd w:id="170"/>
      <w:bookmarkEnd w:id="171"/>
    </w:p>
    <w:p>
      <w:pPr>
        <w:pStyle w:val="82"/>
        <w:numPr>
          <w:ilvl w:val="0"/>
          <w:numId w:val="15"/>
        </w:numPr>
        <w:spacing w:line="460" w:lineRule="exact"/>
        <w:ind w:left="426" w:firstLine="141" w:firstLineChars="0"/>
        <w:rPr>
          <w:rFonts w:ascii="仿宋" w:hAnsi="仿宋" w:eastAsia="仿宋"/>
          <w:b/>
        </w:rPr>
      </w:pPr>
      <w:r>
        <w:rPr>
          <w:rFonts w:hint="eastAsia" w:ascii="仿宋" w:hAnsi="仿宋" w:eastAsia="仿宋"/>
          <w:b/>
        </w:rPr>
        <w:t>漏洞扫描数据</w:t>
      </w:r>
    </w:p>
    <w:p>
      <w:pPr>
        <w:spacing w:line="460" w:lineRule="exact"/>
        <w:ind w:firstLine="482"/>
        <w:rPr>
          <w:rFonts w:ascii="仿宋" w:hAnsi="仿宋" w:eastAsia="仿宋"/>
        </w:rPr>
      </w:pPr>
      <w:r>
        <w:rPr>
          <w:rFonts w:hint="eastAsia" w:ascii="仿宋" w:hAnsi="仿宋" w:eastAsia="仿宋"/>
        </w:rPr>
        <w:t>对接扫描淳安县政务网内Web、数据库、基线核查、操作系统、软件存在的弱口令、端口与服务探测为辅助的漏洞检测信息。</w:t>
      </w:r>
    </w:p>
    <w:p>
      <w:pPr>
        <w:pStyle w:val="82"/>
        <w:numPr>
          <w:ilvl w:val="0"/>
          <w:numId w:val="15"/>
        </w:numPr>
        <w:spacing w:line="460" w:lineRule="exact"/>
        <w:ind w:left="426" w:firstLine="141" w:firstLineChars="0"/>
        <w:rPr>
          <w:rFonts w:ascii="仿宋" w:hAnsi="仿宋" w:eastAsia="仿宋"/>
          <w:b/>
        </w:rPr>
      </w:pPr>
      <w:r>
        <w:rPr>
          <w:rFonts w:hint="eastAsia" w:ascii="仿宋" w:hAnsi="仿宋" w:eastAsia="仿宋"/>
          <w:b/>
        </w:rPr>
        <w:t>主机安全及管理</w:t>
      </w:r>
    </w:p>
    <w:p>
      <w:pPr>
        <w:spacing w:line="460" w:lineRule="exact"/>
        <w:ind w:firstLine="482"/>
        <w:rPr>
          <w:rFonts w:ascii="仿宋" w:hAnsi="仿宋" w:eastAsia="仿宋"/>
        </w:rPr>
      </w:pPr>
      <w:r>
        <w:rPr>
          <w:rFonts w:hint="eastAsia" w:ascii="仿宋" w:hAnsi="仿宋" w:eastAsia="仿宋"/>
        </w:rPr>
        <w:t>对接日志集中化管理功能和多种类型的关联分析，为淳安县提供持续性安全监控能力和高效的攻击溯源分析技术平台。</w:t>
      </w:r>
    </w:p>
    <w:p>
      <w:pPr>
        <w:pStyle w:val="82"/>
        <w:numPr>
          <w:ilvl w:val="0"/>
          <w:numId w:val="15"/>
        </w:numPr>
        <w:spacing w:line="460" w:lineRule="exact"/>
        <w:ind w:left="426" w:firstLine="141" w:firstLineChars="0"/>
        <w:rPr>
          <w:rFonts w:ascii="仿宋" w:hAnsi="仿宋" w:eastAsia="仿宋"/>
          <w:b/>
        </w:rPr>
      </w:pPr>
      <w:r>
        <w:rPr>
          <w:rFonts w:hint="eastAsia" w:ascii="仿宋" w:hAnsi="仿宋" w:eastAsia="仿宋"/>
          <w:b/>
        </w:rPr>
        <w:t>日志审计能力</w:t>
      </w:r>
    </w:p>
    <w:p>
      <w:pPr>
        <w:spacing w:line="460" w:lineRule="exact"/>
        <w:ind w:firstLine="482"/>
        <w:rPr>
          <w:rFonts w:ascii="仿宋" w:hAnsi="仿宋" w:eastAsia="仿宋"/>
        </w:rPr>
      </w:pPr>
      <w:r>
        <w:rPr>
          <w:rFonts w:hint="eastAsia" w:ascii="仿宋" w:hAnsi="仿宋" w:eastAsia="仿宋"/>
        </w:rPr>
        <w:t>对接政务网内各类日志包括访问记录、潜在的威胁，起到追根索源的目的，并且记录服务器返回的内容，便于取证式分析，以及作为案件的取证材料。</w:t>
      </w:r>
    </w:p>
    <w:p>
      <w:pPr>
        <w:pStyle w:val="82"/>
        <w:numPr>
          <w:ilvl w:val="0"/>
          <w:numId w:val="15"/>
        </w:numPr>
        <w:spacing w:line="460" w:lineRule="exact"/>
        <w:ind w:left="426" w:firstLine="141" w:firstLineChars="0"/>
        <w:rPr>
          <w:rFonts w:ascii="仿宋" w:hAnsi="仿宋" w:eastAsia="仿宋"/>
          <w:b/>
        </w:rPr>
      </w:pPr>
      <w:r>
        <w:rPr>
          <w:rFonts w:hint="eastAsia" w:ascii="仿宋" w:hAnsi="仿宋" w:eastAsia="仿宋"/>
          <w:b/>
        </w:rPr>
        <w:t>数据库安全审计</w:t>
      </w:r>
    </w:p>
    <w:p>
      <w:pPr>
        <w:spacing w:line="460" w:lineRule="exact"/>
        <w:ind w:firstLine="482"/>
        <w:rPr>
          <w:rFonts w:ascii="仿宋" w:hAnsi="仿宋" w:eastAsia="仿宋"/>
        </w:rPr>
      </w:pPr>
      <w:r>
        <w:rPr>
          <w:rFonts w:hint="eastAsia" w:ascii="仿宋" w:hAnsi="仿宋" w:eastAsia="仿宋"/>
        </w:rPr>
        <w:t>对接淳安县进出核心数据库的访问流量进行数据报文字段级的解析操作，完全还原出操作的细节，并给出详尽的操作返回结果，以可视化的方式将所有的访问都呈现在管理者的面前，数据库不再处于不可知、不可控的情况，数据威胁将被迅速发现和响应。</w:t>
      </w:r>
    </w:p>
    <w:p>
      <w:pPr>
        <w:pStyle w:val="82"/>
        <w:numPr>
          <w:ilvl w:val="0"/>
          <w:numId w:val="14"/>
        </w:numPr>
        <w:spacing w:line="360" w:lineRule="auto"/>
        <w:ind w:firstLineChars="0"/>
        <w:outlineLvl w:val="1"/>
        <w:rPr>
          <w:rFonts w:ascii="仿宋" w:hAnsi="仿宋" w:eastAsia="仿宋"/>
          <w:b/>
          <w:sz w:val="32"/>
          <w:szCs w:val="32"/>
        </w:rPr>
      </w:pPr>
      <w:bookmarkStart w:id="172" w:name="_Toc88725888"/>
      <w:bookmarkStart w:id="173" w:name="_Toc88727583"/>
      <w:bookmarkStart w:id="174" w:name="_Toc86405259"/>
      <w:r>
        <w:rPr>
          <w:rFonts w:hint="eastAsia" w:ascii="仿宋" w:hAnsi="仿宋" w:eastAsia="仿宋"/>
          <w:b/>
          <w:sz w:val="32"/>
          <w:szCs w:val="32"/>
        </w:rPr>
        <w:t>网、边界安全-</w:t>
      </w:r>
      <w:r>
        <w:rPr>
          <w:rFonts w:ascii="仿宋" w:hAnsi="仿宋" w:eastAsia="仿宋"/>
          <w:b/>
          <w:sz w:val="32"/>
          <w:szCs w:val="32"/>
        </w:rPr>
        <w:t>--</w:t>
      </w:r>
      <w:r>
        <w:rPr>
          <w:rFonts w:hint="eastAsia" w:ascii="仿宋" w:hAnsi="仿宋" w:eastAsia="仿宋"/>
          <w:b/>
          <w:sz w:val="32"/>
          <w:szCs w:val="32"/>
        </w:rPr>
        <w:t>对接</w:t>
      </w:r>
      <w:r>
        <w:rPr>
          <w:rFonts w:ascii="仿宋" w:hAnsi="仿宋" w:eastAsia="仿宋"/>
          <w:b/>
          <w:sz w:val="32"/>
          <w:szCs w:val="32"/>
        </w:rPr>
        <w:t>云防护平台</w:t>
      </w:r>
      <w:r>
        <w:rPr>
          <w:rFonts w:hint="eastAsia" w:ascii="仿宋" w:hAnsi="仿宋" w:eastAsia="仿宋"/>
          <w:b/>
          <w:sz w:val="32"/>
          <w:szCs w:val="32"/>
        </w:rPr>
        <w:t>、网络安全大数据平台</w:t>
      </w:r>
      <w:bookmarkEnd w:id="172"/>
      <w:bookmarkEnd w:id="173"/>
      <w:bookmarkEnd w:id="174"/>
    </w:p>
    <w:p>
      <w:pPr>
        <w:pStyle w:val="82"/>
        <w:numPr>
          <w:ilvl w:val="0"/>
          <w:numId w:val="16"/>
        </w:numPr>
        <w:spacing w:line="360" w:lineRule="auto"/>
        <w:ind w:left="426" w:firstLine="0" w:firstLineChars="0"/>
        <w:rPr>
          <w:rFonts w:ascii="仿宋" w:hAnsi="仿宋" w:eastAsia="仿宋"/>
          <w:b/>
        </w:rPr>
      </w:pPr>
      <w:r>
        <w:rPr>
          <w:rFonts w:hint="eastAsia" w:ascii="仿宋" w:hAnsi="仿宋" w:eastAsia="仿宋"/>
          <w:b/>
        </w:rPr>
        <w:t>对接</w:t>
      </w:r>
      <w:r>
        <w:rPr>
          <w:rFonts w:ascii="仿宋" w:hAnsi="仿宋" w:eastAsia="仿宋"/>
          <w:b/>
        </w:rPr>
        <w:t>云防护平台</w:t>
      </w:r>
    </w:p>
    <w:p>
      <w:pPr>
        <w:pStyle w:val="82"/>
        <w:numPr>
          <w:ilvl w:val="0"/>
          <w:numId w:val="17"/>
        </w:numPr>
        <w:spacing w:line="460" w:lineRule="exact"/>
        <w:ind w:left="426" w:firstLine="0" w:firstLineChars="0"/>
        <w:rPr>
          <w:rFonts w:ascii="仿宋" w:hAnsi="仿宋" w:eastAsia="仿宋"/>
          <w:b/>
        </w:rPr>
      </w:pPr>
      <w:r>
        <w:rPr>
          <w:rFonts w:ascii="仿宋" w:hAnsi="仿宋" w:eastAsia="仿宋"/>
          <w:b/>
        </w:rPr>
        <w:t>白名单接口对接</w:t>
      </w:r>
    </w:p>
    <w:p>
      <w:pPr>
        <w:spacing w:line="460" w:lineRule="exact"/>
        <w:ind w:firstLine="482"/>
        <w:rPr>
          <w:rFonts w:ascii="仿宋" w:hAnsi="仿宋" w:eastAsia="仿宋"/>
        </w:rPr>
      </w:pPr>
      <w:r>
        <w:rPr>
          <w:rFonts w:ascii="仿宋" w:hAnsi="仿宋" w:eastAsia="仿宋"/>
        </w:rPr>
        <w:t>将</w:t>
      </w:r>
      <w:r>
        <w:rPr>
          <w:rFonts w:hint="eastAsia" w:ascii="仿宋" w:hAnsi="仿宋" w:eastAsia="仿宋"/>
        </w:rPr>
        <w:t>全链路网络安全监管</w:t>
      </w:r>
      <w:r>
        <w:rPr>
          <w:rFonts w:ascii="仿宋" w:hAnsi="仿宋" w:eastAsia="仿宋"/>
        </w:rPr>
        <w:t>平台推送过来的白名单IP加入云防护平台白名单，实现大数据平台和云防护平台策略下发的同步和联动</w:t>
      </w:r>
      <w:r>
        <w:rPr>
          <w:rFonts w:hint="eastAsia" w:ascii="仿宋" w:hAnsi="仿宋" w:eastAsia="仿宋"/>
        </w:rPr>
        <w:t>。</w:t>
      </w:r>
    </w:p>
    <w:p>
      <w:pPr>
        <w:pStyle w:val="82"/>
        <w:numPr>
          <w:ilvl w:val="0"/>
          <w:numId w:val="17"/>
        </w:numPr>
        <w:spacing w:line="460" w:lineRule="exact"/>
        <w:ind w:left="426" w:firstLine="0" w:firstLineChars="0"/>
        <w:rPr>
          <w:rFonts w:ascii="仿宋" w:hAnsi="仿宋" w:eastAsia="仿宋"/>
          <w:b/>
        </w:rPr>
      </w:pPr>
      <w:r>
        <w:rPr>
          <w:rFonts w:ascii="仿宋" w:hAnsi="仿宋" w:eastAsia="仿宋"/>
          <w:b/>
        </w:rPr>
        <w:t>黑名单接口对接</w:t>
      </w:r>
    </w:p>
    <w:p>
      <w:pPr>
        <w:spacing w:line="460" w:lineRule="exact"/>
        <w:ind w:firstLine="482"/>
        <w:rPr>
          <w:rFonts w:ascii="仿宋" w:hAnsi="仿宋" w:eastAsia="仿宋"/>
        </w:rPr>
      </w:pPr>
      <w:r>
        <w:rPr>
          <w:rFonts w:ascii="仿宋" w:hAnsi="仿宋" w:eastAsia="仿宋"/>
        </w:rPr>
        <w:t>将</w:t>
      </w:r>
      <w:r>
        <w:rPr>
          <w:rFonts w:hint="eastAsia" w:ascii="仿宋" w:hAnsi="仿宋" w:eastAsia="仿宋"/>
        </w:rPr>
        <w:t>全链路</w:t>
      </w:r>
      <w:r>
        <w:rPr>
          <w:rFonts w:ascii="仿宋" w:hAnsi="仿宋" w:eastAsia="仿宋"/>
        </w:rPr>
        <w:t>平台推送过来的黑名单IP加入云防护平台黑名单，实现大数据平台和云防护平台策略下发的同步和联动</w:t>
      </w:r>
      <w:r>
        <w:rPr>
          <w:rFonts w:hint="eastAsia" w:ascii="仿宋" w:hAnsi="仿宋" w:eastAsia="仿宋"/>
        </w:rPr>
        <w:t>。</w:t>
      </w:r>
    </w:p>
    <w:p>
      <w:pPr>
        <w:pStyle w:val="82"/>
        <w:numPr>
          <w:ilvl w:val="0"/>
          <w:numId w:val="17"/>
        </w:numPr>
        <w:spacing w:line="460" w:lineRule="exact"/>
        <w:ind w:left="426" w:firstLine="0" w:firstLineChars="0"/>
        <w:rPr>
          <w:rFonts w:ascii="仿宋" w:hAnsi="仿宋" w:eastAsia="仿宋"/>
          <w:b/>
        </w:rPr>
      </w:pPr>
      <w:r>
        <w:rPr>
          <w:rFonts w:ascii="仿宋" w:hAnsi="仿宋" w:eastAsia="仿宋"/>
          <w:b/>
        </w:rPr>
        <w:t>告警数据处理对接</w:t>
      </w:r>
    </w:p>
    <w:p>
      <w:pPr>
        <w:spacing w:line="460" w:lineRule="exact"/>
        <w:ind w:firstLine="482"/>
        <w:rPr>
          <w:rFonts w:ascii="仿宋" w:hAnsi="仿宋" w:eastAsia="仿宋"/>
        </w:rPr>
      </w:pPr>
      <w:r>
        <w:rPr>
          <w:rFonts w:ascii="仿宋" w:hAnsi="仿宋" w:eastAsia="仿宋"/>
        </w:rPr>
        <w:t>将云防护平台的攻击日志和拦截告警数据发送到</w:t>
      </w:r>
      <w:r>
        <w:rPr>
          <w:rFonts w:hint="eastAsia" w:ascii="仿宋" w:hAnsi="仿宋" w:eastAsia="仿宋"/>
        </w:rPr>
        <w:t>全链路</w:t>
      </w:r>
      <w:r>
        <w:rPr>
          <w:rFonts w:ascii="仿宋" w:hAnsi="仿宋" w:eastAsia="仿宋"/>
        </w:rPr>
        <w:t>平台，</w:t>
      </w:r>
      <w:r>
        <w:rPr>
          <w:rFonts w:hint="eastAsia" w:ascii="仿宋" w:hAnsi="仿宋" w:eastAsia="仿宋"/>
        </w:rPr>
        <w:t>全链路</w:t>
      </w:r>
      <w:r>
        <w:rPr>
          <w:rFonts w:ascii="仿宋" w:hAnsi="仿宋" w:eastAsia="仿宋"/>
        </w:rPr>
        <w:t>平台经过建模分析后进行展现，可提取出高风险攻击信息，提醒安全运维人员进行处置</w:t>
      </w:r>
      <w:r>
        <w:rPr>
          <w:rFonts w:hint="eastAsia" w:ascii="仿宋" w:hAnsi="仿宋" w:eastAsia="仿宋"/>
        </w:rPr>
        <w:t>。</w:t>
      </w:r>
    </w:p>
    <w:p>
      <w:pPr>
        <w:pStyle w:val="82"/>
        <w:numPr>
          <w:ilvl w:val="0"/>
          <w:numId w:val="16"/>
        </w:numPr>
        <w:spacing w:line="360" w:lineRule="auto"/>
        <w:ind w:left="426" w:firstLine="0" w:firstLineChars="0"/>
        <w:rPr>
          <w:rFonts w:ascii="仿宋" w:hAnsi="仿宋" w:eastAsia="仿宋"/>
          <w:b/>
        </w:rPr>
      </w:pPr>
      <w:r>
        <w:rPr>
          <w:rFonts w:hint="eastAsia" w:ascii="仿宋" w:hAnsi="仿宋" w:eastAsia="仿宋"/>
          <w:b/>
        </w:rPr>
        <w:t>网络安全大数据平台</w:t>
      </w:r>
    </w:p>
    <w:tbl>
      <w:tblPr>
        <w:tblStyle w:val="3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1"/>
        <w:gridCol w:w="2480"/>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序号</w:t>
            </w:r>
          </w:p>
        </w:tc>
        <w:tc>
          <w:tcPr>
            <w:tcW w:w="1342" w:type="pct"/>
            <w:noWrap w:val="0"/>
            <w:tcMar>
              <w:top w:w="15" w:type="dxa"/>
              <w:left w:w="15" w:type="dxa"/>
              <w:bottom w:w="0" w:type="dxa"/>
              <w:right w:w="15" w:type="dxa"/>
            </w:tcMar>
            <w:vAlign w:val="center"/>
          </w:tcPr>
          <w:p>
            <w:pPr>
              <w:ind w:firstLine="420" w:firstLineChars="200"/>
              <w:rPr>
                <w:rFonts w:ascii="仿宋" w:hAnsi="仿宋" w:eastAsia="仿宋"/>
              </w:rPr>
            </w:pPr>
            <w:r>
              <w:rPr>
                <w:rFonts w:hint="eastAsia" w:ascii="仿宋" w:hAnsi="仿宋" w:eastAsia="仿宋"/>
              </w:rPr>
              <w:t>接口名称</w:t>
            </w:r>
          </w:p>
        </w:tc>
        <w:tc>
          <w:tcPr>
            <w:tcW w:w="3154" w:type="pct"/>
            <w:noWrap w:val="0"/>
            <w:tcMar>
              <w:top w:w="15" w:type="dxa"/>
              <w:left w:w="15" w:type="dxa"/>
              <w:bottom w:w="0" w:type="dxa"/>
              <w:right w:w="15" w:type="dxa"/>
            </w:tcMar>
            <w:vAlign w:val="center"/>
          </w:tcPr>
          <w:p>
            <w:pPr>
              <w:ind w:firstLine="420" w:firstLineChars="200"/>
              <w:rPr>
                <w:rFonts w:ascii="仿宋" w:hAnsi="仿宋" w:eastAsia="仿宋"/>
              </w:rPr>
            </w:pPr>
            <w:r>
              <w:rPr>
                <w:rFonts w:hint="eastAsia" w:ascii="仿宋" w:hAnsi="仿宋" w:eastAsia="仿宋"/>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风险上报接口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上报频率至少为</w:t>
            </w:r>
            <w:r>
              <w:rPr>
                <w:rFonts w:ascii="仿宋" w:hAnsi="仿宋" w:eastAsia="仿宋"/>
              </w:rPr>
              <w:t>10</w:t>
            </w:r>
            <w:r>
              <w:rPr>
                <w:rFonts w:hint="eastAsia" w:ascii="仿宋" w:hAnsi="仿宋" w:eastAsia="仿宋"/>
              </w:rPr>
              <w:t>分钟一次，含安全域名称、风险值和风险等级。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2</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告警上报接口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网络安全一体化支撑平台应将本平台发现的告警信息通过告警上报接口向安全监管平台进行上报。含市级编码、告警时间、数据来源等。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3</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安全事件上报</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网络安全一体化支撑平台通过安全事件上报接口向安全监管平台进行安全事件上报。含事件等级、源目</w:t>
            </w:r>
            <w:r>
              <w:rPr>
                <w:rFonts w:ascii="仿宋" w:hAnsi="仿宋" w:eastAsia="仿宋"/>
              </w:rPr>
              <w:t>IP</w:t>
            </w:r>
            <w:r>
              <w:rPr>
                <w:rFonts w:hint="eastAsia" w:ascii="仿宋" w:hAnsi="仿宋" w:eastAsia="仿宋"/>
              </w:rPr>
              <w:t>、文件</w:t>
            </w:r>
            <w:r>
              <w:rPr>
                <w:rFonts w:ascii="仿宋" w:hAnsi="仿宋" w:eastAsia="仿宋"/>
              </w:rPr>
              <w:t>hash</w:t>
            </w:r>
            <w:r>
              <w:rPr>
                <w:rFonts w:hint="eastAsia" w:ascii="仿宋" w:hAnsi="仿宋" w:eastAsia="仿宋"/>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4</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资产上报接口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安全监管平台定时将资产信息上报到市级平台。含名称、</w:t>
            </w:r>
            <w:r>
              <w:rPr>
                <w:rFonts w:ascii="仿宋" w:hAnsi="仿宋" w:eastAsia="仿宋"/>
              </w:rPr>
              <w:t>IPv4/IP</w:t>
            </w:r>
            <w:r>
              <w:rPr>
                <w:rFonts w:hint="eastAsia" w:ascii="仿宋" w:hAnsi="仿宋" w:eastAsia="仿宋"/>
              </w:rPr>
              <w:t>v</w:t>
            </w:r>
            <w:r>
              <w:rPr>
                <w:rFonts w:ascii="仿宋" w:hAnsi="仿宋" w:eastAsia="仿宋"/>
              </w:rPr>
              <w:t>6</w:t>
            </w:r>
            <w:r>
              <w:rPr>
                <w:rFonts w:hint="eastAsia" w:ascii="仿宋" w:hAnsi="仿宋" w:eastAsia="仿宋"/>
              </w:rPr>
              <w:t>、</w:t>
            </w:r>
            <w:r>
              <w:rPr>
                <w:rFonts w:ascii="仿宋" w:hAnsi="仿宋" w:eastAsia="仿宋"/>
              </w:rPr>
              <w:t>MAC</w:t>
            </w:r>
            <w:r>
              <w:rPr>
                <w:rFonts w:hint="eastAsia" w:ascii="仿宋" w:hAnsi="仿宋" w:eastAsia="仿宋"/>
              </w:rPr>
              <w:t>、责任人、操作系统、部门等。</w:t>
            </w:r>
          </w:p>
        </w:tc>
      </w:tr>
    </w:tbl>
    <w:p>
      <w:pPr>
        <w:pStyle w:val="82"/>
        <w:numPr>
          <w:ilvl w:val="0"/>
          <w:numId w:val="16"/>
        </w:numPr>
        <w:spacing w:line="360" w:lineRule="auto"/>
        <w:ind w:left="426" w:firstLine="0" w:firstLineChars="0"/>
        <w:rPr>
          <w:rFonts w:ascii="仿宋" w:hAnsi="仿宋" w:eastAsia="仿宋"/>
          <w:b/>
        </w:rPr>
      </w:pPr>
      <w:r>
        <w:rPr>
          <w:rFonts w:hint="eastAsia" w:ascii="仿宋" w:hAnsi="仿宋" w:eastAsia="仿宋"/>
          <w:b/>
        </w:rPr>
        <w:t>对接市数据安全管控平台</w:t>
      </w:r>
    </w:p>
    <w:p>
      <w:pPr>
        <w:spacing w:line="460" w:lineRule="exact"/>
        <w:ind w:firstLine="482"/>
        <w:rPr>
          <w:rFonts w:ascii="仿宋" w:hAnsi="仿宋" w:eastAsia="仿宋"/>
        </w:rPr>
      </w:pPr>
      <w:r>
        <w:rPr>
          <w:rFonts w:hint="eastAsia" w:ascii="仿宋" w:hAnsi="仿宋" w:eastAsia="仿宋"/>
        </w:rPr>
        <w:t>淳安县全链路网络安全监管平台按照国家有关标准规范、结合《浙江省电子政务外网安全监测平台地市对接标准规范》，完成与杭州市数据安全管控平台的对接，逐步建立安全风险报告和情报共享机制。</w:t>
      </w:r>
    </w:p>
    <w:tbl>
      <w:tblPr>
        <w:tblStyle w:val="3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1"/>
        <w:gridCol w:w="2480"/>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序号</w:t>
            </w:r>
          </w:p>
        </w:tc>
        <w:tc>
          <w:tcPr>
            <w:tcW w:w="1342" w:type="pct"/>
            <w:noWrap w:val="0"/>
            <w:tcMar>
              <w:top w:w="15" w:type="dxa"/>
              <w:left w:w="15" w:type="dxa"/>
              <w:bottom w:w="0" w:type="dxa"/>
              <w:right w:w="15" w:type="dxa"/>
            </w:tcMar>
            <w:vAlign w:val="center"/>
          </w:tcPr>
          <w:p>
            <w:pPr>
              <w:ind w:firstLine="482"/>
              <w:jc w:val="center"/>
              <w:rPr>
                <w:rFonts w:ascii="仿宋" w:hAnsi="仿宋" w:eastAsia="仿宋"/>
              </w:rPr>
            </w:pPr>
            <w:r>
              <w:rPr>
                <w:rFonts w:hint="eastAsia" w:ascii="仿宋" w:hAnsi="仿宋" w:eastAsia="仿宋"/>
              </w:rPr>
              <w:t>接口名称</w:t>
            </w:r>
          </w:p>
        </w:tc>
        <w:tc>
          <w:tcPr>
            <w:tcW w:w="3154" w:type="pct"/>
            <w:noWrap w:val="0"/>
            <w:tcMar>
              <w:top w:w="15" w:type="dxa"/>
              <w:left w:w="15" w:type="dxa"/>
              <w:bottom w:w="0" w:type="dxa"/>
              <w:right w:w="15" w:type="dxa"/>
            </w:tcMar>
            <w:vAlign w:val="center"/>
          </w:tcPr>
          <w:p>
            <w:pPr>
              <w:ind w:firstLine="482"/>
              <w:rPr>
                <w:rFonts w:ascii="仿宋" w:hAnsi="仿宋" w:eastAsia="仿宋"/>
              </w:rPr>
            </w:pPr>
            <w:r>
              <w:rPr>
                <w:rFonts w:hint="eastAsia" w:ascii="仿宋" w:hAnsi="仿宋" w:eastAsia="仿宋"/>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级联认证接口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包括级联注册接口和级联注销接口。级联注册接口完成安全监管平台至市级平台的注册功能，保证平台之间通信的安全性。由市级平台进行平台间级联的注销，市级平台上注销后，停止与安全监管平台的通讯。含注册节点</w:t>
            </w:r>
            <w:r>
              <w:rPr>
                <w:rFonts w:ascii="仿宋" w:hAnsi="仿宋" w:eastAsia="仿宋"/>
              </w:rPr>
              <w:t>IP</w:t>
            </w:r>
            <w:r>
              <w:rPr>
                <w:rFonts w:hint="eastAsia" w:ascii="仿宋" w:hAnsi="仿宋" w:eastAsia="仿宋"/>
              </w:rPr>
              <w:t>、端口等。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2</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运行状态上报接口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市级平台对安全监管平台的上报接口实施周期检测。含运行状态、内存使用、</w:t>
            </w:r>
            <w:r>
              <w:rPr>
                <w:rFonts w:ascii="仿宋" w:hAnsi="仿宋" w:eastAsia="仿宋"/>
              </w:rPr>
              <w:t>CPU</w:t>
            </w:r>
            <w:r>
              <w:rPr>
                <w:rFonts w:hint="eastAsia" w:ascii="仿宋" w:hAnsi="仿宋" w:eastAsia="仿宋"/>
              </w:rPr>
              <w:t>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3</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风险上报接口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上报频率至少为</w:t>
            </w:r>
            <w:r>
              <w:rPr>
                <w:rFonts w:ascii="仿宋" w:hAnsi="仿宋" w:eastAsia="仿宋"/>
              </w:rPr>
              <w:t>10</w:t>
            </w:r>
            <w:r>
              <w:rPr>
                <w:rFonts w:hint="eastAsia" w:ascii="仿宋" w:hAnsi="仿宋" w:eastAsia="仿宋"/>
              </w:rPr>
              <w:t>分钟一次，含安全域名称、风险值和风险等级。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4</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告警统计上报接口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安全监管平台向市级平台上报前一天发现的告警统计数据信息。含告警数量、总数、漏洞病毒高中低危告警总数等。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5</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告警上报接口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安全监管平台应将本平台发现的告警信息通过告警上报接口向市级平台进行上报。含市级编码、告警时间、数据来源等。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6</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安全事件上报</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安全监管平台通过安全事件上报接口向市级平台进行安全事件上报。含事件等级、源目</w:t>
            </w:r>
            <w:r>
              <w:rPr>
                <w:rFonts w:ascii="仿宋" w:hAnsi="仿宋" w:eastAsia="仿宋"/>
              </w:rPr>
              <w:t>IP</w:t>
            </w:r>
            <w:r>
              <w:rPr>
                <w:rFonts w:hint="eastAsia" w:ascii="仿宋" w:hAnsi="仿宋" w:eastAsia="仿宋"/>
              </w:rPr>
              <w:t>、文件</w:t>
            </w:r>
            <w:r>
              <w:rPr>
                <w:rFonts w:ascii="仿宋" w:hAnsi="仿宋" w:eastAsia="仿宋"/>
              </w:rPr>
              <w:t>hash</w:t>
            </w:r>
            <w:r>
              <w:rPr>
                <w:rFonts w:hint="eastAsia" w:ascii="仿宋" w:hAnsi="仿宋" w:eastAsia="仿宋"/>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7</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案例上报接口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安全监管平台以文档方式进行安全事件汇总上报。含案例时间、标题、关键字、创始人、附件等。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8</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案例知识库查询接口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安全监管平台可查询市级平台的知识库共享内容。含关键字、开始、结束时间等。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9</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报表上报接口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安全监管平台应按要求向市级平台汇报本平台的月报报表汇总信息。含报表</w:t>
            </w:r>
            <w:r>
              <w:rPr>
                <w:rFonts w:ascii="仿宋" w:hAnsi="仿宋" w:eastAsia="仿宋"/>
              </w:rPr>
              <w:t>id</w:t>
            </w:r>
            <w:r>
              <w:rPr>
                <w:rFonts w:hint="eastAsia" w:ascii="仿宋" w:hAnsi="仿宋" w:eastAsia="仿宋"/>
              </w:rPr>
              <w:t>、名称、类似等。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10</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预警通报下发接口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市级平台定时将通报信息发送到安全监管平台中。含通报类型、描述、创建时间、附件等。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11</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威胁情报共享接口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安全监管平台可向市级节点查询威胁情报信息。含行政区划码、情报</w:t>
            </w:r>
            <w:r>
              <w:rPr>
                <w:rFonts w:ascii="仿宋" w:hAnsi="仿宋" w:eastAsia="仿宋"/>
              </w:rPr>
              <w:t>IOC</w:t>
            </w:r>
            <w:r>
              <w:rPr>
                <w:rFonts w:hint="eastAsia" w:ascii="仿宋" w:hAnsi="仿宋" w:eastAsia="仿宋"/>
              </w:rPr>
              <w:t>、</w:t>
            </w:r>
            <w:r>
              <w:rPr>
                <w:rFonts w:ascii="仿宋" w:hAnsi="仿宋" w:eastAsia="仿宋"/>
              </w:rPr>
              <w:t>IP</w:t>
            </w:r>
            <w:r>
              <w:rPr>
                <w:rFonts w:hint="eastAsia" w:ascii="仿宋" w:hAnsi="仿宋" w:eastAsia="仿宋"/>
              </w:rPr>
              <w:t>地址、文件</w:t>
            </w:r>
            <w:r>
              <w:rPr>
                <w:rFonts w:ascii="仿宋" w:hAnsi="仿宋" w:eastAsia="仿宋"/>
              </w:rPr>
              <w:t>hash</w:t>
            </w:r>
            <w:r>
              <w:rPr>
                <w:rFonts w:hint="eastAsia" w:ascii="仿宋" w:hAnsi="仿宋" w:eastAsia="仿宋"/>
              </w:rPr>
              <w:t>、情报类型级别等。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12</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漏洞上报接口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安全监管平台定时将漏洞信息上报到市级平台。含漏洞发布时间、级别、处置建议、参考链接等。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13</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漏洞信息共享</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安全监管平台可向市级节点查询漏洞信息，实现漏洞信息的共享。含关键字、开始、结束时间。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14</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资产上报接口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安全监管平台定时将资产信息上报到市级平台。含名称、</w:t>
            </w:r>
            <w:r>
              <w:rPr>
                <w:rFonts w:ascii="仿宋" w:hAnsi="仿宋" w:eastAsia="仿宋"/>
              </w:rPr>
              <w:t>IPv4/IP</w:t>
            </w:r>
            <w:r>
              <w:rPr>
                <w:rFonts w:hint="eastAsia" w:ascii="仿宋" w:hAnsi="仿宋" w:eastAsia="仿宋"/>
              </w:rPr>
              <w:t>v</w:t>
            </w:r>
            <w:r>
              <w:rPr>
                <w:rFonts w:ascii="仿宋" w:hAnsi="仿宋" w:eastAsia="仿宋"/>
              </w:rPr>
              <w:t>6</w:t>
            </w:r>
            <w:r>
              <w:rPr>
                <w:rFonts w:hint="eastAsia" w:ascii="仿宋" w:hAnsi="仿宋" w:eastAsia="仿宋"/>
              </w:rPr>
              <w:t>、</w:t>
            </w:r>
            <w:r>
              <w:rPr>
                <w:rFonts w:ascii="仿宋" w:hAnsi="仿宋" w:eastAsia="仿宋"/>
              </w:rPr>
              <w:t>MAC</w:t>
            </w:r>
            <w:r>
              <w:rPr>
                <w:rFonts w:hint="eastAsia" w:ascii="仿宋" w:hAnsi="仿宋" w:eastAsia="仿宋"/>
              </w:rPr>
              <w:t>、责任人、操作系统、部门等。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ascii="仿宋" w:hAnsi="仿宋" w:eastAsia="仿宋"/>
              </w:rPr>
              <w:t>15</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文件上传接口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各接口附件内容通过文件上传接口进行上传，各级平台通过</w:t>
            </w:r>
            <w:r>
              <w:rPr>
                <w:rFonts w:ascii="仿宋" w:hAnsi="仿宋" w:eastAsia="仿宋"/>
              </w:rPr>
              <w:t>HTTP</w:t>
            </w:r>
            <w:r>
              <w:rPr>
                <w:rFonts w:hint="eastAsia" w:ascii="仿宋" w:hAnsi="仿宋" w:eastAsia="仿宋"/>
              </w:rPr>
              <w:t>接口方式上传接口，市级平台获取时需要获取文件授权（授权有时效性）再获取文件，含状态码、返回消息、存储路径等。</w:t>
            </w:r>
          </w:p>
        </w:tc>
      </w:tr>
    </w:tbl>
    <w:p>
      <w:pPr>
        <w:pStyle w:val="82"/>
        <w:numPr>
          <w:ilvl w:val="0"/>
          <w:numId w:val="16"/>
        </w:numPr>
        <w:spacing w:line="360" w:lineRule="auto"/>
        <w:ind w:left="426" w:firstLine="0" w:firstLineChars="0"/>
        <w:rPr>
          <w:rFonts w:ascii="仿宋" w:hAnsi="仿宋" w:eastAsia="仿宋"/>
          <w:b/>
        </w:rPr>
      </w:pPr>
      <w:r>
        <w:rPr>
          <w:rFonts w:ascii="仿宋" w:hAnsi="仿宋" w:eastAsia="仿宋"/>
          <w:b/>
        </w:rPr>
        <w:t>自动编排与分析</w:t>
      </w:r>
    </w:p>
    <w:p>
      <w:pPr>
        <w:spacing w:line="460" w:lineRule="exact"/>
        <w:ind w:firstLine="482"/>
        <w:rPr>
          <w:rFonts w:ascii="仿宋" w:hAnsi="仿宋" w:eastAsia="仿宋"/>
        </w:rPr>
      </w:pPr>
      <w:r>
        <w:rPr>
          <w:rFonts w:hint="eastAsia" w:ascii="仿宋" w:hAnsi="仿宋" w:eastAsia="仿宋"/>
        </w:rPr>
        <w:t>通过自动化编排，把人、过程和技术整合起来，大幅提升安全运营工作效率，将分析人员从耗时且重复的分析工作中解放出来。</w:t>
      </w:r>
    </w:p>
    <w:p>
      <w:pPr>
        <w:spacing w:line="460" w:lineRule="exact"/>
        <w:ind w:firstLine="482"/>
        <w:rPr>
          <w:rFonts w:ascii="仿宋" w:hAnsi="仿宋" w:eastAsia="仿宋"/>
        </w:rPr>
      </w:pPr>
      <w:r>
        <w:rPr>
          <w:rFonts w:hint="eastAsia" w:ascii="仿宋" w:hAnsi="仿宋" w:eastAsia="仿宋"/>
        </w:rPr>
        <w:t>拖拽式交互设计安全风险分析研判策略和联动响应剧本，多种策略编排动作，包括但不限于关联验证、告警聚合、联动、阻断。</w:t>
      </w:r>
    </w:p>
    <w:p>
      <w:pPr>
        <w:spacing w:line="460" w:lineRule="exact"/>
        <w:ind w:firstLine="482"/>
        <w:rPr>
          <w:rFonts w:ascii="仿宋" w:hAnsi="仿宋" w:eastAsia="仿宋"/>
        </w:rPr>
      </w:pPr>
      <w:r>
        <w:rPr>
          <w:rFonts w:hint="eastAsia" w:ascii="仿宋" w:hAnsi="仿宋" w:eastAsia="仿宋"/>
        </w:rPr>
        <w:t>可以设置剧本的触发方式，包括事件触发（当系统监测到选中的事件发生时，则触发绑定的剧本），定时周期，定时单次（比如需要设置定期扫描等任务，可选择定时触发方式）三种，通过不同的触发方式触发绑定的剧本从而产生不同类型的案件，执行自动化的响应过程。</w:t>
      </w:r>
    </w:p>
    <w:p>
      <w:pPr>
        <w:pStyle w:val="82"/>
        <w:numPr>
          <w:ilvl w:val="0"/>
          <w:numId w:val="16"/>
        </w:numPr>
        <w:spacing w:line="360" w:lineRule="auto"/>
        <w:ind w:left="426" w:firstLine="0" w:firstLineChars="0"/>
        <w:rPr>
          <w:rFonts w:ascii="仿宋" w:hAnsi="仿宋" w:eastAsia="仿宋"/>
          <w:b/>
        </w:rPr>
      </w:pPr>
      <w:r>
        <w:rPr>
          <w:rFonts w:ascii="仿宋" w:hAnsi="仿宋" w:eastAsia="仿宋"/>
          <w:b/>
        </w:rPr>
        <w:t>应急处置联动</w:t>
      </w:r>
    </w:p>
    <w:p>
      <w:pPr>
        <w:spacing w:line="460" w:lineRule="exact"/>
        <w:ind w:firstLine="482"/>
        <w:rPr>
          <w:rFonts w:ascii="仿宋" w:hAnsi="仿宋" w:eastAsia="仿宋"/>
        </w:rPr>
      </w:pPr>
      <w:r>
        <w:rPr>
          <w:rFonts w:hint="eastAsia" w:ascii="仿宋" w:hAnsi="仿宋" w:eastAsia="仿宋"/>
        </w:rPr>
        <w:t>对接云防护平台、防火墙、E</w:t>
      </w:r>
      <w:r>
        <w:rPr>
          <w:rFonts w:ascii="仿宋" w:hAnsi="仿宋" w:eastAsia="仿宋"/>
        </w:rPr>
        <w:t>DR</w:t>
      </w:r>
      <w:r>
        <w:rPr>
          <w:rFonts w:hint="eastAsia" w:ascii="仿宋" w:hAnsi="仿宋" w:eastAsia="仿宋"/>
        </w:rPr>
        <w:t>等防护设备，实现一键封堵，支持输入单个I</w:t>
      </w:r>
      <w:r>
        <w:rPr>
          <w:rFonts w:ascii="仿宋" w:hAnsi="仿宋" w:eastAsia="仿宋"/>
        </w:rPr>
        <w:t>P</w:t>
      </w:r>
      <w:r>
        <w:rPr>
          <w:rFonts w:hint="eastAsia" w:ascii="仿宋" w:hAnsi="仿宋" w:eastAsia="仿宋"/>
        </w:rPr>
        <w:t>封堵、输入网段封堵、上传文件批量封堵等封堵操作。</w:t>
      </w:r>
    </w:p>
    <w:p>
      <w:pPr>
        <w:spacing w:line="460" w:lineRule="exact"/>
        <w:ind w:firstLine="482"/>
        <w:rPr>
          <w:rFonts w:ascii="仿宋" w:hAnsi="仿宋" w:eastAsia="仿宋"/>
        </w:rPr>
      </w:pPr>
      <w:r>
        <w:rPr>
          <w:rFonts w:hint="eastAsia" w:ascii="仿宋" w:hAnsi="仿宋" w:eastAsia="仿宋"/>
        </w:rPr>
        <w:t>能够配合自动化响应剧本，实现告警触发后自动识别受攻击资产，联动对应防护设备进行阻断。</w:t>
      </w:r>
    </w:p>
    <w:p>
      <w:pPr>
        <w:pStyle w:val="82"/>
        <w:numPr>
          <w:ilvl w:val="0"/>
          <w:numId w:val="14"/>
        </w:numPr>
        <w:spacing w:line="360" w:lineRule="auto"/>
        <w:ind w:firstLineChars="0"/>
        <w:outlineLvl w:val="1"/>
        <w:rPr>
          <w:rFonts w:ascii="仿宋" w:hAnsi="仿宋" w:eastAsia="仿宋"/>
          <w:b/>
          <w:sz w:val="32"/>
          <w:szCs w:val="32"/>
        </w:rPr>
      </w:pPr>
      <w:bookmarkStart w:id="175" w:name="_Toc88725889"/>
      <w:bookmarkStart w:id="176" w:name="_Toc88727584"/>
      <w:bookmarkStart w:id="177" w:name="_Toc86405260"/>
      <w:r>
        <w:rPr>
          <w:rFonts w:hint="eastAsia" w:ascii="仿宋" w:hAnsi="仿宋" w:eastAsia="仿宋"/>
          <w:b/>
          <w:sz w:val="32"/>
          <w:szCs w:val="32"/>
        </w:rPr>
        <w:t>终端安全-</w:t>
      </w:r>
      <w:r>
        <w:rPr>
          <w:rFonts w:ascii="仿宋" w:hAnsi="仿宋" w:eastAsia="仿宋"/>
          <w:b/>
          <w:sz w:val="32"/>
          <w:szCs w:val="32"/>
        </w:rPr>
        <w:t>--</w:t>
      </w:r>
      <w:r>
        <w:rPr>
          <w:rFonts w:hint="eastAsia" w:ascii="仿宋" w:hAnsi="仿宋" w:eastAsia="仿宋"/>
          <w:b/>
          <w:sz w:val="32"/>
          <w:szCs w:val="32"/>
        </w:rPr>
        <w:t>对接终端一体化安全平台</w:t>
      </w:r>
      <w:bookmarkEnd w:id="175"/>
      <w:bookmarkEnd w:id="176"/>
      <w:bookmarkEnd w:id="177"/>
    </w:p>
    <w:p>
      <w:pPr>
        <w:pStyle w:val="82"/>
        <w:numPr>
          <w:ilvl w:val="0"/>
          <w:numId w:val="18"/>
        </w:numPr>
        <w:spacing w:line="360" w:lineRule="auto"/>
        <w:ind w:left="426" w:firstLine="0" w:firstLineChars="0"/>
        <w:rPr>
          <w:rFonts w:ascii="仿宋" w:hAnsi="仿宋" w:eastAsia="仿宋"/>
          <w:b/>
        </w:rPr>
      </w:pPr>
      <w:r>
        <w:rPr>
          <w:rFonts w:hint="eastAsia" w:ascii="仿宋" w:hAnsi="仿宋" w:eastAsia="仿宋"/>
          <w:b/>
        </w:rPr>
        <w:t>网络终端</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39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序号</w:t>
            </w:r>
          </w:p>
        </w:tc>
        <w:tc>
          <w:tcPr>
            <w:tcW w:w="1288" w:type="pct"/>
            <w:noWrap w:val="0"/>
            <w:vAlign w:val="center"/>
          </w:tcPr>
          <w:p>
            <w:pPr>
              <w:spacing w:before="202" w:beforeLines="65" w:after="156" w:afterLines="50"/>
              <w:ind w:firstLine="480" w:firstLineChars="200"/>
              <w:jc w:val="center"/>
              <w:rPr>
                <w:rFonts w:ascii="仿宋" w:hAnsi="仿宋" w:eastAsia="仿宋" w:cs="Calibri"/>
                <w:kern w:val="0"/>
                <w:sz w:val="24"/>
              </w:rPr>
            </w:pPr>
            <w:r>
              <w:rPr>
                <w:rFonts w:hint="eastAsia" w:ascii="仿宋" w:hAnsi="仿宋" w:eastAsia="仿宋" w:cs="Calibri"/>
                <w:kern w:val="0"/>
                <w:sz w:val="24"/>
              </w:rPr>
              <w:t>接口名称</w:t>
            </w:r>
          </w:p>
        </w:tc>
        <w:tc>
          <w:tcPr>
            <w:tcW w:w="3150" w:type="pct"/>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jc w:val="center"/>
              <w:rPr>
                <w:rFonts w:ascii="仿宋" w:hAnsi="仿宋" w:eastAsia="仿宋" w:cs="Calibri"/>
                <w:kern w:val="0"/>
                <w:sz w:val="24"/>
              </w:rPr>
            </w:pPr>
            <w:r>
              <w:rPr>
                <w:rFonts w:ascii="仿宋" w:hAnsi="仿宋" w:eastAsia="仿宋" w:cs="Calibri"/>
                <w:kern w:val="0"/>
                <w:sz w:val="24"/>
              </w:rPr>
              <w:t>1</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告警事件上报接口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将发现的终端告警信息通过告警上报接口向安全监管平台进行上报。含告警类型、告警内容、告警等级、来源信息、目的信息、访问信息、告警时间、数据来源等。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jc w:val="center"/>
              <w:rPr>
                <w:rFonts w:ascii="仿宋" w:hAnsi="仿宋" w:eastAsia="仿宋" w:cs="Calibri"/>
                <w:kern w:val="0"/>
                <w:sz w:val="24"/>
              </w:rPr>
            </w:pPr>
            <w:r>
              <w:rPr>
                <w:rFonts w:ascii="仿宋" w:hAnsi="仿宋" w:eastAsia="仿宋" w:cs="Calibri"/>
                <w:kern w:val="0"/>
                <w:sz w:val="24"/>
              </w:rPr>
              <w:t>2</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终端资产上报接口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定时将终端资产信息上报到安全监管平台，含名称、类型、主机:端口、责任人、部门等。</w:t>
            </w:r>
          </w:p>
        </w:tc>
      </w:tr>
    </w:tbl>
    <w:p>
      <w:pPr>
        <w:pStyle w:val="82"/>
        <w:numPr>
          <w:ilvl w:val="0"/>
          <w:numId w:val="18"/>
        </w:numPr>
        <w:spacing w:line="360" w:lineRule="auto"/>
        <w:ind w:left="426" w:firstLine="0" w:firstLineChars="0"/>
        <w:rPr>
          <w:rFonts w:ascii="仿宋" w:hAnsi="仿宋" w:eastAsia="仿宋"/>
          <w:b/>
        </w:rPr>
      </w:pPr>
      <w:r>
        <w:rPr>
          <w:rFonts w:hint="eastAsia" w:ascii="仿宋" w:hAnsi="仿宋" w:eastAsia="仿宋"/>
          <w:b/>
        </w:rPr>
        <w:t>感知网终端</w:t>
      </w:r>
    </w:p>
    <w:tbl>
      <w:tblPr>
        <w:tblStyle w:val="3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1"/>
        <w:gridCol w:w="2480"/>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504" w:type="pct"/>
            <w:noWrap w:val="0"/>
            <w:tcMar>
              <w:top w:w="15" w:type="dxa"/>
              <w:left w:w="15" w:type="dxa"/>
              <w:bottom w:w="0" w:type="dxa"/>
              <w:right w:w="15" w:type="dxa"/>
            </w:tcMar>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序号</w:t>
            </w:r>
          </w:p>
        </w:tc>
        <w:tc>
          <w:tcPr>
            <w:tcW w:w="1342" w:type="pct"/>
            <w:noWrap w:val="0"/>
            <w:tcMar>
              <w:top w:w="15" w:type="dxa"/>
              <w:left w:w="15" w:type="dxa"/>
              <w:bottom w:w="0" w:type="dxa"/>
              <w:right w:w="15" w:type="dxa"/>
            </w:tcMar>
            <w:vAlign w:val="center"/>
          </w:tcPr>
          <w:p>
            <w:pPr>
              <w:ind w:firstLine="420" w:firstLineChars="200"/>
              <w:rPr>
                <w:rFonts w:ascii="仿宋" w:hAnsi="仿宋" w:eastAsia="仿宋"/>
              </w:rPr>
            </w:pPr>
            <w:r>
              <w:rPr>
                <w:rFonts w:hint="eastAsia" w:ascii="仿宋" w:hAnsi="仿宋" w:eastAsia="仿宋"/>
              </w:rPr>
              <w:t>接口名称</w:t>
            </w:r>
          </w:p>
        </w:tc>
        <w:tc>
          <w:tcPr>
            <w:tcW w:w="3154" w:type="pct"/>
            <w:noWrap w:val="0"/>
            <w:tcMar>
              <w:top w:w="15" w:type="dxa"/>
              <w:left w:w="15" w:type="dxa"/>
              <w:bottom w:w="0" w:type="dxa"/>
              <w:right w:w="15" w:type="dxa"/>
            </w:tcMar>
            <w:vAlign w:val="center"/>
          </w:tcPr>
          <w:p>
            <w:pPr>
              <w:ind w:firstLine="420" w:firstLineChars="200"/>
              <w:rPr>
                <w:rFonts w:ascii="仿宋" w:hAnsi="仿宋" w:eastAsia="仿宋"/>
              </w:rPr>
            </w:pPr>
            <w:r>
              <w:rPr>
                <w:rFonts w:hint="eastAsia" w:ascii="仿宋" w:hAnsi="仿宋" w:eastAsia="仿宋"/>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504" w:type="pct"/>
            <w:noWrap w:val="0"/>
            <w:tcMar>
              <w:top w:w="15" w:type="dxa"/>
              <w:left w:w="15" w:type="dxa"/>
              <w:bottom w:w="0" w:type="dxa"/>
              <w:right w:w="15" w:type="dxa"/>
            </w:tcMar>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1</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级联认证接口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包括级联注册接口和级联注销接口。级联注册接口完成安全网络安全支撑平台至安全监管平台的注册功能，保证平台之间通信的安全性。由安全监管平台进行平台间级联的注销，安全监管平台上注销后，停止与安全监管平台的通讯。含注册节点</w:t>
            </w:r>
            <w:r>
              <w:rPr>
                <w:rFonts w:ascii="仿宋" w:hAnsi="仿宋" w:eastAsia="仿宋"/>
              </w:rPr>
              <w:t>IP</w:t>
            </w:r>
            <w:r>
              <w:rPr>
                <w:rFonts w:hint="eastAsia" w:ascii="仿宋" w:hAnsi="仿宋" w:eastAsia="仿宋"/>
              </w:rPr>
              <w:t>、端口等。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504" w:type="pct"/>
            <w:noWrap w:val="0"/>
            <w:tcMar>
              <w:top w:w="15" w:type="dxa"/>
              <w:left w:w="15" w:type="dxa"/>
              <w:bottom w:w="0" w:type="dxa"/>
              <w:right w:w="15" w:type="dxa"/>
            </w:tcMar>
            <w:vAlign w:val="top"/>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2</w:t>
            </w:r>
          </w:p>
        </w:tc>
        <w:tc>
          <w:tcPr>
            <w:tcW w:w="1342" w:type="pct"/>
            <w:noWrap w:val="0"/>
            <w:tcMar>
              <w:top w:w="15" w:type="dxa"/>
              <w:left w:w="15" w:type="dxa"/>
              <w:bottom w:w="0" w:type="dxa"/>
              <w:right w:w="15" w:type="dxa"/>
            </w:tcMar>
            <w:vAlign w:val="top"/>
          </w:tcPr>
          <w:p>
            <w:pPr>
              <w:jc w:val="center"/>
              <w:rPr>
                <w:rFonts w:ascii="仿宋" w:hAnsi="仿宋" w:eastAsia="仿宋"/>
              </w:rPr>
            </w:pPr>
            <w:r>
              <w:rPr>
                <w:rFonts w:hint="eastAsia" w:ascii="仿宋" w:hAnsi="仿宋" w:eastAsia="仿宋"/>
              </w:rPr>
              <w:t>物联感知网资产上报接口</w:t>
            </w:r>
          </w:p>
        </w:tc>
        <w:tc>
          <w:tcPr>
            <w:tcW w:w="3154" w:type="pct"/>
            <w:noWrap w:val="0"/>
            <w:tcMar>
              <w:top w:w="15" w:type="dxa"/>
              <w:left w:w="15" w:type="dxa"/>
              <w:bottom w:w="0" w:type="dxa"/>
              <w:right w:w="15" w:type="dxa"/>
            </w:tcMar>
            <w:vAlign w:val="top"/>
          </w:tcPr>
          <w:p>
            <w:pPr>
              <w:rPr>
                <w:rFonts w:ascii="仿宋" w:hAnsi="仿宋" w:eastAsia="仿宋"/>
              </w:rPr>
            </w:pPr>
            <w:r>
              <w:rPr>
                <w:rFonts w:hint="eastAsia" w:ascii="仿宋" w:hAnsi="仿宋" w:eastAsia="仿宋"/>
              </w:rPr>
              <w:t>物联网安全支撑平台定时将物联网终端资产信息上报到安全监管平台，含厂商品牌、设备类型、操作系统类型、协议、平台等信息。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504" w:type="pct"/>
            <w:noWrap w:val="0"/>
            <w:tcMar>
              <w:top w:w="15" w:type="dxa"/>
              <w:left w:w="15" w:type="dxa"/>
              <w:bottom w:w="0" w:type="dxa"/>
              <w:right w:w="15" w:type="dxa"/>
            </w:tcMar>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3</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感知网终端设备运行状态上报接口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安全监管平台对物联网安全支撑平台的上报感知网终端设备实施周期检测。含运行状态、内存使用、</w:t>
            </w:r>
            <w:r>
              <w:rPr>
                <w:rFonts w:ascii="仿宋" w:hAnsi="仿宋" w:eastAsia="仿宋"/>
              </w:rPr>
              <w:t>CPU</w:t>
            </w:r>
            <w:r>
              <w:rPr>
                <w:rFonts w:hint="eastAsia" w:ascii="仿宋" w:hAnsi="仿宋" w:eastAsia="仿宋"/>
              </w:rPr>
              <w:t>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4</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风险上报接口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上报频率至少为</w:t>
            </w:r>
            <w:r>
              <w:rPr>
                <w:rFonts w:ascii="仿宋" w:hAnsi="仿宋" w:eastAsia="仿宋"/>
              </w:rPr>
              <w:t>10</w:t>
            </w:r>
            <w:r>
              <w:rPr>
                <w:rFonts w:hint="eastAsia" w:ascii="仿宋" w:hAnsi="仿宋" w:eastAsia="仿宋"/>
              </w:rPr>
              <w:t>分钟一次，含安全域名称、风险值和风险等级。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5</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告警统计上报接口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物联网安全支撑平台向安全监管平台上报前一天发现的告警统计数据信息。含告警数量、总数、漏洞病毒高中低危告警总数等。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6</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告警上报接口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物联网安全支撑平台应将本平台发现的告警信息通过告警上报接口向安全监管平台进行上报。含市级编码、告警时间、数据来源等。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7</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安全事件上报</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物联网安全支撑平台通过安全事件上报接口向安全监管平台进行安全事件上报。含事件等级、源目</w:t>
            </w:r>
            <w:r>
              <w:rPr>
                <w:rFonts w:ascii="仿宋" w:hAnsi="仿宋" w:eastAsia="仿宋"/>
              </w:rPr>
              <w:t>IP</w:t>
            </w:r>
            <w:r>
              <w:rPr>
                <w:rFonts w:hint="eastAsia" w:ascii="仿宋" w:hAnsi="仿宋" w:eastAsia="仿宋"/>
              </w:rPr>
              <w:t>、文件</w:t>
            </w:r>
            <w:r>
              <w:rPr>
                <w:rFonts w:ascii="仿宋" w:hAnsi="仿宋" w:eastAsia="仿宋"/>
              </w:rPr>
              <w:t>hash</w:t>
            </w:r>
            <w:r>
              <w:rPr>
                <w:rFonts w:hint="eastAsia" w:ascii="仿宋" w:hAnsi="仿宋" w:eastAsia="仿宋"/>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8</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案例上报接口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物联网安全支撑平台以文档方式进行安全事件汇总上报。含案例时间、标题、关键字、创始人、附件等。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9</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案例知识库查询接口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物联网安全支撑平台可查询安全监管平台的知识库共享内容。含关键字、开始、结束时间等。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10</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报表上报接口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物联网安全支撑平台应按要求向安全监管平台汇报本平台的月报报表汇总信息。含报表</w:t>
            </w:r>
            <w:r>
              <w:rPr>
                <w:rFonts w:ascii="仿宋" w:hAnsi="仿宋" w:eastAsia="仿宋"/>
              </w:rPr>
              <w:t>id</w:t>
            </w:r>
            <w:r>
              <w:rPr>
                <w:rFonts w:hint="eastAsia" w:ascii="仿宋" w:hAnsi="仿宋" w:eastAsia="仿宋"/>
              </w:rPr>
              <w:t>、名称、类似等。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11</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预警通报下发接口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安全监管平台定时将通报信息发送到物联网安全支撑平台中。含通报类型、描述、创建时间、附件等。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12</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威胁情报共享接口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物联网安全支撑平台可向安全监管平台查询威胁情报信息。含行政区划码、情报</w:t>
            </w:r>
            <w:r>
              <w:rPr>
                <w:rFonts w:ascii="仿宋" w:hAnsi="仿宋" w:eastAsia="仿宋"/>
              </w:rPr>
              <w:t>IOC</w:t>
            </w:r>
            <w:r>
              <w:rPr>
                <w:rFonts w:hint="eastAsia" w:ascii="仿宋" w:hAnsi="仿宋" w:eastAsia="仿宋"/>
              </w:rPr>
              <w:t>、</w:t>
            </w:r>
            <w:r>
              <w:rPr>
                <w:rFonts w:ascii="仿宋" w:hAnsi="仿宋" w:eastAsia="仿宋"/>
              </w:rPr>
              <w:t>IP</w:t>
            </w:r>
            <w:r>
              <w:rPr>
                <w:rFonts w:hint="eastAsia" w:ascii="仿宋" w:hAnsi="仿宋" w:eastAsia="仿宋"/>
              </w:rPr>
              <w:t>地址、文件</w:t>
            </w:r>
            <w:r>
              <w:rPr>
                <w:rFonts w:ascii="仿宋" w:hAnsi="仿宋" w:eastAsia="仿宋"/>
              </w:rPr>
              <w:t>hash</w:t>
            </w:r>
            <w:r>
              <w:rPr>
                <w:rFonts w:hint="eastAsia" w:ascii="仿宋" w:hAnsi="仿宋" w:eastAsia="仿宋"/>
              </w:rPr>
              <w:t>、情报类型级别等。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13</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漏洞上报接口</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物联网安全支撑平台定时将漏洞信息上报到安全监管平台平台。含漏洞发布时间、级别、处置建议、参考链接等。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4"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14</w:t>
            </w:r>
          </w:p>
        </w:tc>
        <w:tc>
          <w:tcPr>
            <w:tcW w:w="1342" w:type="pct"/>
            <w:noWrap w:val="0"/>
            <w:tcMar>
              <w:top w:w="15" w:type="dxa"/>
              <w:left w:w="15" w:type="dxa"/>
              <w:bottom w:w="0" w:type="dxa"/>
              <w:right w:w="15" w:type="dxa"/>
            </w:tcMar>
            <w:vAlign w:val="center"/>
          </w:tcPr>
          <w:p>
            <w:pPr>
              <w:jc w:val="center"/>
              <w:rPr>
                <w:rFonts w:ascii="仿宋" w:hAnsi="仿宋" w:eastAsia="仿宋"/>
              </w:rPr>
            </w:pPr>
            <w:r>
              <w:rPr>
                <w:rFonts w:hint="eastAsia" w:ascii="仿宋" w:hAnsi="仿宋" w:eastAsia="仿宋"/>
              </w:rPr>
              <w:t>漏洞信息共享</w:t>
            </w:r>
          </w:p>
        </w:tc>
        <w:tc>
          <w:tcPr>
            <w:tcW w:w="3154" w:type="pct"/>
            <w:noWrap w:val="0"/>
            <w:tcMar>
              <w:top w:w="15" w:type="dxa"/>
              <w:left w:w="15" w:type="dxa"/>
              <w:bottom w:w="0" w:type="dxa"/>
              <w:right w:w="15" w:type="dxa"/>
            </w:tcMar>
            <w:vAlign w:val="center"/>
          </w:tcPr>
          <w:p>
            <w:pPr>
              <w:rPr>
                <w:rFonts w:ascii="仿宋" w:hAnsi="仿宋" w:eastAsia="仿宋"/>
              </w:rPr>
            </w:pPr>
            <w:r>
              <w:rPr>
                <w:rFonts w:hint="eastAsia" w:ascii="仿宋" w:hAnsi="仿宋" w:eastAsia="仿宋"/>
              </w:rPr>
              <w:t>物联网安全支撑平台可向安全监管平台查询漏洞信息，实现漏洞信息的共享。含关键字、开始、结束时间。</w:t>
            </w:r>
          </w:p>
        </w:tc>
      </w:tr>
    </w:tbl>
    <w:p>
      <w:pPr>
        <w:pStyle w:val="82"/>
        <w:numPr>
          <w:ilvl w:val="0"/>
          <w:numId w:val="14"/>
        </w:numPr>
        <w:spacing w:line="360" w:lineRule="auto"/>
        <w:ind w:firstLineChars="0"/>
        <w:outlineLvl w:val="1"/>
        <w:rPr>
          <w:rFonts w:ascii="仿宋" w:hAnsi="仿宋" w:eastAsia="仿宋"/>
          <w:b/>
          <w:sz w:val="32"/>
          <w:szCs w:val="32"/>
        </w:rPr>
      </w:pPr>
      <w:bookmarkStart w:id="178" w:name="_Toc86405261"/>
      <w:bookmarkStart w:id="179" w:name="_Toc88725890"/>
      <w:bookmarkStart w:id="180" w:name="_Toc88727585"/>
      <w:r>
        <w:rPr>
          <w:rFonts w:hint="eastAsia" w:ascii="仿宋" w:hAnsi="仿宋" w:eastAsia="仿宋"/>
          <w:b/>
          <w:sz w:val="32"/>
          <w:szCs w:val="32"/>
        </w:rPr>
        <w:t>数据安全-</w:t>
      </w:r>
      <w:r>
        <w:rPr>
          <w:rFonts w:ascii="仿宋" w:hAnsi="仿宋" w:eastAsia="仿宋"/>
          <w:b/>
          <w:sz w:val="32"/>
          <w:szCs w:val="32"/>
        </w:rPr>
        <w:t>--</w:t>
      </w:r>
      <w:r>
        <w:rPr>
          <w:rFonts w:hint="eastAsia" w:ascii="仿宋" w:hAnsi="仿宋" w:eastAsia="仿宋"/>
          <w:b/>
          <w:sz w:val="32"/>
          <w:szCs w:val="32"/>
        </w:rPr>
        <w:t>对接数据安全管控淳安子平台</w:t>
      </w:r>
      <w:bookmarkEnd w:id="178"/>
      <w:bookmarkEnd w:id="179"/>
      <w:bookmarkEnd w:id="180"/>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39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序号</w:t>
            </w:r>
          </w:p>
        </w:tc>
        <w:tc>
          <w:tcPr>
            <w:tcW w:w="1288" w:type="pct"/>
            <w:noWrap w:val="0"/>
            <w:vAlign w:val="center"/>
          </w:tcPr>
          <w:p>
            <w:pPr>
              <w:spacing w:before="202" w:beforeLines="65" w:after="156" w:afterLines="50"/>
              <w:ind w:firstLine="480" w:firstLineChars="200"/>
              <w:jc w:val="center"/>
              <w:rPr>
                <w:rFonts w:ascii="仿宋" w:hAnsi="仿宋" w:eastAsia="仿宋" w:cs="Calibri"/>
                <w:kern w:val="0"/>
                <w:sz w:val="24"/>
              </w:rPr>
            </w:pPr>
            <w:r>
              <w:rPr>
                <w:rFonts w:hint="eastAsia" w:ascii="仿宋" w:hAnsi="仿宋" w:eastAsia="仿宋" w:cs="Calibri"/>
                <w:kern w:val="0"/>
                <w:sz w:val="24"/>
              </w:rPr>
              <w:t>接口名称</w:t>
            </w:r>
          </w:p>
        </w:tc>
        <w:tc>
          <w:tcPr>
            <w:tcW w:w="3150" w:type="pct"/>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1</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告警事件上报接口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数据安全管控淳安子平台应将本平台发现的告警信息通过告警上报接口向安全监管平台进行上报。含告警类型、告警内容、告警等级、来源信息、目的信息、访问信息、告警时间、数据来源等。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2</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数据资产上报接口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数据安全管控淳安子平台定时将数据资产信息上报到安全监管平台，含名称、类型、主机:端口、责任人、部门等。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3</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元数据分级分类接口上报接口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数据安全管控淳安子平台定时将元数据资产信息上报到安全监管平台。含表分级分类梳理结果、列敏感识别梳理结果等。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4</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应用服务资产上报接口</w:t>
            </w:r>
          </w:p>
        </w:tc>
        <w:tc>
          <w:tcPr>
            <w:tcW w:w="3150" w:type="pct"/>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数据安全管控淳安子平台定时将应用服务资产信息上报到安全监管平台。含名称、主机:端口、</w:t>
            </w:r>
            <w:r>
              <w:rPr>
                <w:rFonts w:ascii="仿宋" w:hAnsi="仿宋" w:eastAsia="仿宋" w:cs="Calibri"/>
                <w:kern w:val="0"/>
                <w:sz w:val="24"/>
              </w:rPr>
              <w:t>URL</w:t>
            </w:r>
            <w:r>
              <w:rPr>
                <w:rFonts w:hint="eastAsia" w:ascii="仿宋" w:hAnsi="仿宋" w:eastAsia="仿宋" w:cs="Calibri"/>
                <w:kern w:val="0"/>
                <w:sz w:val="24"/>
              </w:rPr>
              <w:t>、系统重要性、责任人、所属系统、部门等。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5</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API接口资产上报接口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数据安全管控淳安子平台定时将API接口资产信息上报到安全监管平台。含接口名称、接口地址、应用服务IP：端口等。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6</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人员账号资产上报接口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数据安全管控淳安子平台定时将人员账号资产信息上报到安全监管平台。含账号名、资产、使用人、部门等。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before="202" w:beforeLines="65" w:after="156" w:afterLines="50"/>
              <w:ind w:firstLine="480"/>
              <w:rPr>
                <w:rFonts w:ascii="仿宋" w:hAnsi="仿宋" w:eastAsia="仿宋" w:cs="Calibri"/>
                <w:kern w:val="0"/>
                <w:sz w:val="24"/>
              </w:rPr>
            </w:pPr>
            <w:r>
              <w:rPr>
                <w:rFonts w:ascii="仿宋" w:hAnsi="仿宋" w:eastAsia="仿宋" w:cs="Calibri"/>
                <w:kern w:val="0"/>
                <w:sz w:val="24"/>
              </w:rPr>
              <w:t>7</w:t>
            </w:r>
          </w:p>
        </w:tc>
        <w:tc>
          <w:tcPr>
            <w:tcW w:w="1288" w:type="pct"/>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文件上传接口</w:t>
            </w:r>
          </w:p>
        </w:tc>
        <w:tc>
          <w:tcPr>
            <w:tcW w:w="3150" w:type="pct"/>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各接口附件内容通过文件上传接口进行上传，各级平台通过</w:t>
            </w:r>
            <w:r>
              <w:rPr>
                <w:rFonts w:ascii="仿宋" w:hAnsi="仿宋" w:eastAsia="仿宋" w:cs="Calibri"/>
                <w:kern w:val="0"/>
                <w:sz w:val="24"/>
              </w:rPr>
              <w:t>HTTP</w:t>
            </w:r>
            <w:r>
              <w:rPr>
                <w:rFonts w:hint="eastAsia" w:ascii="仿宋" w:hAnsi="仿宋" w:eastAsia="仿宋" w:cs="Calibri"/>
                <w:kern w:val="0"/>
                <w:sz w:val="24"/>
              </w:rPr>
              <w:t>接口方式上传接口，安全监管平台获取时需要获取文件授权（授权有时效性）再获取文件，含状态码、返回消息、存储路径等。</w:t>
            </w:r>
          </w:p>
        </w:tc>
      </w:tr>
    </w:tbl>
    <w:p>
      <w:pPr>
        <w:pStyle w:val="2"/>
        <w:keepNext w:val="0"/>
        <w:keepLines w:val="0"/>
        <w:tabs>
          <w:tab w:val="clear" w:pos="360"/>
          <w:tab w:val="clear" w:pos="432"/>
        </w:tabs>
        <w:spacing w:before="156" w:beforeLines="50" w:after="156" w:afterLines="50" w:line="240" w:lineRule="auto"/>
        <w:ind w:left="0" w:firstLine="0"/>
        <w:rPr>
          <w:rFonts w:ascii="仿宋" w:hAnsi="仿宋" w:eastAsia="仿宋"/>
        </w:rPr>
      </w:pPr>
      <w:bookmarkStart w:id="181" w:name="_Toc86405262"/>
      <w:bookmarkStart w:id="182" w:name="_Toc88727586"/>
      <w:r>
        <w:rPr>
          <w:rFonts w:hint="eastAsia" w:ascii="仿宋" w:hAnsi="仿宋" w:eastAsia="仿宋"/>
        </w:rPr>
        <w:t>第三方监管单位对接</w:t>
      </w:r>
      <w:bookmarkEnd w:id="122"/>
      <w:bookmarkEnd w:id="123"/>
      <w:r>
        <w:rPr>
          <w:rFonts w:hint="eastAsia" w:ascii="仿宋" w:hAnsi="仿宋" w:eastAsia="仿宋"/>
        </w:rPr>
        <w:t>说明</w:t>
      </w:r>
      <w:bookmarkEnd w:id="181"/>
      <w:bookmarkEnd w:id="182"/>
    </w:p>
    <w:p>
      <w:pPr>
        <w:spacing w:line="460" w:lineRule="exact"/>
        <w:ind w:firstLine="482"/>
        <w:rPr>
          <w:rFonts w:ascii="仿宋" w:hAnsi="仿宋" w:eastAsia="仿宋"/>
        </w:rPr>
      </w:pPr>
      <w:r>
        <w:rPr>
          <w:rFonts w:hint="eastAsia" w:ascii="仿宋" w:hAnsi="仿宋" w:eastAsia="仿宋"/>
        </w:rPr>
        <w:t>平台同时具备与第三方监管单位对接的能力，为后期整体智治提供相应的统筹协调能力。对接接口清单与接口描述如下：</w:t>
      </w:r>
    </w:p>
    <w:p>
      <w:pPr>
        <w:pStyle w:val="82"/>
        <w:numPr>
          <w:ilvl w:val="0"/>
          <w:numId w:val="19"/>
        </w:numPr>
        <w:spacing w:line="360" w:lineRule="auto"/>
        <w:ind w:firstLineChars="0"/>
        <w:outlineLvl w:val="1"/>
        <w:rPr>
          <w:rFonts w:ascii="仿宋" w:hAnsi="仿宋" w:eastAsia="仿宋"/>
          <w:b/>
          <w:sz w:val="32"/>
          <w:szCs w:val="32"/>
        </w:rPr>
      </w:pPr>
      <w:bookmarkStart w:id="183" w:name="_Toc86405263"/>
      <w:bookmarkStart w:id="184" w:name="_Toc88727587"/>
      <w:bookmarkStart w:id="185" w:name="_Toc88725892"/>
      <w:r>
        <w:rPr>
          <w:rFonts w:hint="eastAsia" w:ascii="仿宋" w:hAnsi="仿宋" w:eastAsia="仿宋"/>
          <w:b/>
          <w:sz w:val="32"/>
          <w:szCs w:val="32"/>
        </w:rPr>
        <w:t>对接网信监管平台</w:t>
      </w:r>
      <w:bookmarkEnd w:id="183"/>
      <w:bookmarkEnd w:id="184"/>
      <w:bookmarkEnd w:id="185"/>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6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序号</w:t>
            </w:r>
          </w:p>
        </w:tc>
        <w:tc>
          <w:tcPr>
            <w:tcW w:w="2166" w:type="dxa"/>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接口名称</w:t>
            </w:r>
          </w:p>
        </w:tc>
        <w:tc>
          <w:tcPr>
            <w:tcW w:w="5953" w:type="dxa"/>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1</w:t>
            </w:r>
          </w:p>
        </w:tc>
        <w:tc>
          <w:tcPr>
            <w:tcW w:w="2166"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认证接口</w:t>
            </w:r>
          </w:p>
        </w:tc>
        <w:tc>
          <w:tcPr>
            <w:tcW w:w="5953"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包括级联注册接口和级联注销接口。级联注册接口完成安全监管平台至网信平台的注册功能，保证平台之间通信的安全性。由网信平台进行平台间级联的注销，网信平台上注销后，停止与安全监管平台的通讯。含注册节点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2</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运行状态上报接口</w:t>
            </w:r>
          </w:p>
        </w:tc>
        <w:tc>
          <w:tcPr>
            <w:tcW w:w="5953"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网信平台对安全监管平台的上报接口实施周期检测。含运行状态、内存使用、CPU使用、硬盘使用等。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3</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工单列表信息获取接口</w:t>
            </w:r>
          </w:p>
        </w:tc>
        <w:tc>
          <w:tcPr>
            <w:tcW w:w="5953"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安全监管平台定时将工单列表信息上报到网信平台。含工单主题、状态、优先级、时间、受理部门、人员、创建人等。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4</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工单详情信息获取接口</w:t>
            </w:r>
          </w:p>
        </w:tc>
        <w:tc>
          <w:tcPr>
            <w:tcW w:w="5953"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安全监管平台定时将工单详情信息上报到网信平台，含工单基本信息、工单详情、工单流程信息等。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5</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文件上传接口</w:t>
            </w:r>
          </w:p>
        </w:tc>
        <w:tc>
          <w:tcPr>
            <w:tcW w:w="5953"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各接口附件内容通过文件上传接口进行上传，各级平台通过</w:t>
            </w:r>
            <w:r>
              <w:rPr>
                <w:rFonts w:ascii="仿宋" w:hAnsi="仿宋" w:eastAsia="仿宋" w:cs="Calibri"/>
                <w:kern w:val="0"/>
                <w:sz w:val="24"/>
              </w:rPr>
              <w:t>HTTP</w:t>
            </w:r>
            <w:r>
              <w:rPr>
                <w:rFonts w:hint="eastAsia" w:ascii="仿宋" w:hAnsi="仿宋" w:eastAsia="仿宋" w:cs="Calibri"/>
                <w:kern w:val="0"/>
                <w:sz w:val="24"/>
              </w:rPr>
              <w:t>接口方式上传接口，网信平台获取时需要获取文件授权（授权有时效性）再获取文件。含状态码、返回消息、存储路径等。</w:t>
            </w:r>
          </w:p>
        </w:tc>
      </w:tr>
    </w:tbl>
    <w:p>
      <w:pPr>
        <w:rPr>
          <w:rFonts w:ascii="仿宋" w:hAnsi="仿宋" w:eastAsia="仿宋"/>
        </w:rPr>
      </w:pPr>
    </w:p>
    <w:p>
      <w:pPr>
        <w:pStyle w:val="82"/>
        <w:numPr>
          <w:ilvl w:val="0"/>
          <w:numId w:val="19"/>
        </w:numPr>
        <w:spacing w:line="360" w:lineRule="auto"/>
        <w:ind w:firstLineChars="0"/>
        <w:outlineLvl w:val="1"/>
        <w:rPr>
          <w:rFonts w:ascii="仿宋" w:hAnsi="仿宋" w:eastAsia="仿宋"/>
          <w:b/>
          <w:sz w:val="32"/>
          <w:szCs w:val="32"/>
        </w:rPr>
      </w:pPr>
      <w:bookmarkStart w:id="186" w:name="_Toc86405264"/>
      <w:bookmarkStart w:id="187" w:name="_Toc88725893"/>
      <w:bookmarkStart w:id="188" w:name="_Toc88727588"/>
      <w:r>
        <w:rPr>
          <w:rFonts w:hint="eastAsia" w:ascii="仿宋" w:hAnsi="仿宋" w:eastAsia="仿宋"/>
          <w:b/>
          <w:sz w:val="32"/>
          <w:szCs w:val="32"/>
        </w:rPr>
        <w:t>对接公安监管平台</w:t>
      </w:r>
      <w:bookmarkEnd w:id="186"/>
      <w:bookmarkEnd w:id="187"/>
      <w:bookmarkEnd w:id="188"/>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6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序号</w:t>
            </w:r>
          </w:p>
        </w:tc>
        <w:tc>
          <w:tcPr>
            <w:tcW w:w="2166" w:type="dxa"/>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接口名称</w:t>
            </w:r>
          </w:p>
        </w:tc>
        <w:tc>
          <w:tcPr>
            <w:tcW w:w="5811" w:type="dxa"/>
            <w:noWrap w:val="0"/>
            <w:vAlign w:val="center"/>
          </w:tcPr>
          <w:p>
            <w:pPr>
              <w:spacing w:before="202" w:beforeLines="65" w:after="156" w:afterLines="50"/>
              <w:ind w:firstLine="480" w:firstLineChars="200"/>
              <w:rPr>
                <w:rFonts w:ascii="仿宋" w:hAnsi="仿宋" w:eastAsia="仿宋" w:cs="Calibri"/>
                <w:kern w:val="0"/>
                <w:sz w:val="24"/>
              </w:rPr>
            </w:pPr>
            <w:r>
              <w:rPr>
                <w:rFonts w:hint="eastAsia" w:ascii="仿宋" w:hAnsi="仿宋" w:eastAsia="仿宋" w:cs="Calibri"/>
                <w:kern w:val="0"/>
                <w:sz w:val="24"/>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1</w:t>
            </w:r>
          </w:p>
        </w:tc>
        <w:tc>
          <w:tcPr>
            <w:tcW w:w="2166"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认证接口</w:t>
            </w:r>
          </w:p>
        </w:tc>
        <w:tc>
          <w:tcPr>
            <w:tcW w:w="5811"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包括级联注册接口和级联注销接口。级联注册接口完成安全监管平台至公安平台的注册功能，保证平台之间通信的安全性。由公安平台进行平台间级联的注销，公安平台上注销后，停止与安全监管平台的通讯。含注册节点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2</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运行状态上报接口</w:t>
            </w:r>
          </w:p>
        </w:tc>
        <w:tc>
          <w:tcPr>
            <w:tcW w:w="5811"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公安平台对安全监管平台的上报接口实施周期检测。含运行状态、内存使用、CPU使用、硬盘使用等。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3</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工单列表信息获取接口</w:t>
            </w:r>
          </w:p>
        </w:tc>
        <w:tc>
          <w:tcPr>
            <w:tcW w:w="5811"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安全监管平台定时将工单列表信息上报到公安平台。含工单主题、状态、优先级、时间、受理部门、人员、创建人等。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4</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工单详情信息获取接口</w:t>
            </w:r>
          </w:p>
        </w:tc>
        <w:tc>
          <w:tcPr>
            <w:tcW w:w="5811"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安全监管平台定时将工单详情信息上报到公安平台，含工单基本信息、工单详情、工单流程信息等。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before="202" w:beforeLines="65" w:after="156" w:afterLines="50"/>
              <w:jc w:val="center"/>
              <w:rPr>
                <w:rFonts w:ascii="仿宋" w:hAnsi="仿宋" w:eastAsia="仿宋" w:cs="Calibri"/>
                <w:kern w:val="0"/>
                <w:sz w:val="24"/>
              </w:rPr>
            </w:pPr>
            <w:r>
              <w:rPr>
                <w:rFonts w:hint="eastAsia" w:ascii="仿宋" w:hAnsi="仿宋" w:eastAsia="仿宋" w:cs="Calibri"/>
                <w:kern w:val="0"/>
                <w:sz w:val="24"/>
              </w:rPr>
              <w:t>5</w:t>
            </w:r>
          </w:p>
        </w:tc>
        <w:tc>
          <w:tcPr>
            <w:tcW w:w="2166" w:type="dxa"/>
            <w:noWrap w:val="0"/>
            <w:vAlign w:val="center"/>
          </w:tcPr>
          <w:p>
            <w:pPr>
              <w:spacing w:before="202" w:beforeLines="65" w:after="156" w:afterLines="50"/>
              <w:rPr>
                <w:rFonts w:ascii="仿宋" w:hAnsi="仿宋" w:eastAsia="仿宋" w:cs="Calibri"/>
                <w:kern w:val="0"/>
                <w:sz w:val="24"/>
              </w:rPr>
            </w:pPr>
            <w:r>
              <w:rPr>
                <w:rFonts w:hint="eastAsia" w:ascii="仿宋" w:hAnsi="仿宋" w:eastAsia="仿宋" w:cs="Calibri"/>
                <w:kern w:val="0"/>
                <w:sz w:val="24"/>
              </w:rPr>
              <w:t>文件上传接口</w:t>
            </w:r>
          </w:p>
        </w:tc>
        <w:tc>
          <w:tcPr>
            <w:tcW w:w="5811" w:type="dxa"/>
            <w:noWrap w:val="0"/>
            <w:vAlign w:val="center"/>
          </w:tcPr>
          <w:p>
            <w:pPr>
              <w:spacing w:before="202" w:beforeLines="65" w:after="156" w:afterLines="50"/>
              <w:ind w:firstLine="480"/>
              <w:rPr>
                <w:rFonts w:ascii="仿宋" w:hAnsi="仿宋" w:eastAsia="仿宋" w:cs="Calibri"/>
                <w:kern w:val="0"/>
                <w:sz w:val="24"/>
              </w:rPr>
            </w:pPr>
            <w:r>
              <w:rPr>
                <w:rFonts w:hint="eastAsia" w:ascii="仿宋" w:hAnsi="仿宋" w:eastAsia="仿宋" w:cs="Calibri"/>
                <w:kern w:val="0"/>
                <w:sz w:val="24"/>
              </w:rPr>
              <w:t>各接口附件内容通过文件上传接口进行上传，各级平台通过</w:t>
            </w:r>
            <w:r>
              <w:rPr>
                <w:rFonts w:ascii="仿宋" w:hAnsi="仿宋" w:eastAsia="仿宋" w:cs="Calibri"/>
                <w:kern w:val="0"/>
                <w:sz w:val="24"/>
              </w:rPr>
              <w:t>HTTP</w:t>
            </w:r>
            <w:r>
              <w:rPr>
                <w:rFonts w:hint="eastAsia" w:ascii="仿宋" w:hAnsi="仿宋" w:eastAsia="仿宋" w:cs="Calibri"/>
                <w:kern w:val="0"/>
                <w:sz w:val="24"/>
              </w:rPr>
              <w:t>接口方式上传接口，公安平台获取时需要获取文件授权（授权有时效性）再获取文件。含状态码、返回消息、存储路径等。</w:t>
            </w:r>
          </w:p>
        </w:tc>
      </w:tr>
      <w:bookmarkEnd w:id="108"/>
      <w:bookmarkEnd w:id="109"/>
    </w:tbl>
    <w:p>
      <w:pPr>
        <w:widowControl/>
        <w:jc w:val="left"/>
        <w:rPr>
          <w:rFonts w:ascii="仿宋" w:hAnsi="仿宋" w:eastAsia="仿宋"/>
          <w:b/>
          <w:sz w:val="32"/>
          <w:szCs w:val="32"/>
        </w:rPr>
      </w:pPr>
      <w:r>
        <w:rPr>
          <w:rFonts w:ascii="仿宋" w:hAnsi="仿宋" w:eastAsia="仿宋"/>
          <w:sz w:val="32"/>
          <w:szCs w:val="32"/>
        </w:rPr>
        <w:br w:type="page"/>
      </w:r>
      <w:bookmarkStart w:id="189" w:name="_Toc86405265"/>
      <w:bookmarkStart w:id="190" w:name="_Toc88727589"/>
      <w:r>
        <w:rPr>
          <w:rFonts w:hint="eastAsia" w:ascii="仿宋" w:hAnsi="仿宋" w:eastAsia="仿宋"/>
          <w:b/>
          <w:sz w:val="32"/>
          <w:szCs w:val="32"/>
        </w:rPr>
        <w:t>平台建设功能要求指标清单</w:t>
      </w:r>
      <w:bookmarkEnd w:id="189"/>
      <w:bookmarkEnd w:id="190"/>
    </w:p>
    <w:p>
      <w:pPr>
        <w:pStyle w:val="82"/>
        <w:numPr>
          <w:ilvl w:val="0"/>
          <w:numId w:val="20"/>
        </w:numPr>
        <w:spacing w:line="360" w:lineRule="auto"/>
        <w:ind w:firstLineChars="0"/>
        <w:outlineLvl w:val="1"/>
        <w:rPr>
          <w:rFonts w:ascii="仿宋" w:hAnsi="仿宋" w:eastAsia="仿宋"/>
          <w:b/>
          <w:sz w:val="32"/>
          <w:szCs w:val="32"/>
        </w:rPr>
      </w:pPr>
      <w:bookmarkStart w:id="191" w:name="_Toc88727590"/>
      <w:bookmarkStart w:id="192" w:name="_Toc88725895"/>
      <w:bookmarkStart w:id="193" w:name="_Toc86405266"/>
      <w:r>
        <w:rPr>
          <w:rFonts w:hint="eastAsia" w:ascii="仿宋" w:hAnsi="仿宋" w:eastAsia="仿宋"/>
          <w:b/>
          <w:sz w:val="32"/>
          <w:szCs w:val="32"/>
        </w:rPr>
        <w:t>全链路网络安全监管平台功能指标要求</w:t>
      </w:r>
      <w:bookmarkEnd w:id="191"/>
      <w:bookmarkEnd w:id="192"/>
      <w:bookmarkEnd w:id="193"/>
    </w:p>
    <w:tbl>
      <w:tblPr>
        <w:tblStyle w:val="34"/>
        <w:tblW w:w="9498" w:type="dxa"/>
        <w:tblInd w:w="-176" w:type="dxa"/>
        <w:tblLayout w:type="autofit"/>
        <w:tblCellMar>
          <w:top w:w="0" w:type="dxa"/>
          <w:left w:w="108" w:type="dxa"/>
          <w:bottom w:w="0" w:type="dxa"/>
          <w:right w:w="108" w:type="dxa"/>
        </w:tblCellMar>
      </w:tblPr>
      <w:tblGrid>
        <w:gridCol w:w="1086"/>
        <w:gridCol w:w="1296"/>
        <w:gridCol w:w="7116"/>
      </w:tblGrid>
      <w:tr>
        <w:tblPrEx>
          <w:tblCellMar>
            <w:top w:w="0" w:type="dxa"/>
            <w:left w:w="108" w:type="dxa"/>
            <w:bottom w:w="0" w:type="dxa"/>
            <w:right w:w="108" w:type="dxa"/>
          </w:tblCellMar>
        </w:tblPrEx>
        <w:trPr>
          <w:trHeight w:val="546" w:hRule="atLeast"/>
        </w:trPr>
        <w:tc>
          <w:tcPr>
            <w:tcW w:w="1086" w:type="dxa"/>
            <w:tcBorders>
              <w:top w:val="single" w:color="auto" w:sz="4" w:space="0"/>
              <w:left w:val="single" w:color="auto" w:sz="4" w:space="0"/>
              <w:bottom w:val="single" w:color="auto" w:sz="4" w:space="0"/>
              <w:right w:val="single" w:color="auto" w:sz="4" w:space="0"/>
            </w:tcBorders>
            <w:shd w:val="pct10" w:color="000000" w:fill="FFFFFF"/>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模块名称</w:t>
            </w:r>
          </w:p>
        </w:tc>
        <w:tc>
          <w:tcPr>
            <w:tcW w:w="1296" w:type="dxa"/>
            <w:tcBorders>
              <w:top w:val="single" w:color="auto" w:sz="4" w:space="0"/>
              <w:left w:val="nil"/>
              <w:bottom w:val="single" w:color="auto" w:sz="4" w:space="0"/>
              <w:right w:val="single" w:color="auto" w:sz="4" w:space="0"/>
            </w:tcBorders>
            <w:shd w:val="pct10" w:color="000000" w:fill="FFFFFF"/>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功能名称</w:t>
            </w:r>
          </w:p>
        </w:tc>
        <w:tc>
          <w:tcPr>
            <w:tcW w:w="7116" w:type="dxa"/>
            <w:tcBorders>
              <w:top w:val="single" w:color="auto" w:sz="4" w:space="0"/>
              <w:left w:val="nil"/>
              <w:bottom w:val="single" w:color="auto" w:sz="4" w:space="0"/>
              <w:right w:val="single" w:color="auto" w:sz="4" w:space="0"/>
            </w:tcBorders>
            <w:shd w:val="pct10" w:color="000000" w:fill="FFFFFF"/>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功能要求</w:t>
            </w:r>
          </w:p>
        </w:tc>
      </w:tr>
      <w:tr>
        <w:tblPrEx>
          <w:tblCellMar>
            <w:top w:w="0" w:type="dxa"/>
            <w:left w:w="108" w:type="dxa"/>
            <w:bottom w:w="0" w:type="dxa"/>
            <w:right w:w="108" w:type="dxa"/>
          </w:tblCellMar>
        </w:tblPrEx>
        <w:trPr>
          <w:trHeight w:val="660" w:hRule="atLeast"/>
        </w:trPr>
        <w:tc>
          <w:tcPr>
            <w:tcW w:w="10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资产管理</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单位档案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通过单位卡片提供单位问题情况一览，形成单位组织架构树，并支持按照架构树控制数据可见范围；提供单位的详细档案，刻画维度包括：单位信息、安全监测信息、人员信息、业务系统信息、IP资产信息等</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系统档案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系统卡片提供系统事件、隐患、被攻击情况概览，按照系统所属单位形成组织架构树，支持按照架构树控制数据可见范围；提供系统的详细档案，刻画维度包括：系统信息、安全监测信息、防护情况信息、供应链信息、基础网络信息、人员信息等。</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IP档案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通过IP资产卡片提供IP相关事件、隐患和攻击情况概览，按照系IP资产所属单位形成组织架构树；提供IP资产的详细档案，刻画维度包括：风险详情、访问关系、行为画像等</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机房档案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支持对机房信息进行增、删、改、查。</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大数据平台档案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支持对大数据平台信息进行增、删、改、查；配置经纬度信息后，大数据平台将可在相应大屏的地图上进行打点</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云平台档案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支持对云平台信息进行增、删、改、查；配置经纬度信息后，云平台将可在相应大屏的地图上进行打点</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物联网档案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支持对物联网LED设备信息进行增、删、改、查。</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APP画像</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展现相应APP所有详情信息，包括基础信息、关联资产和境外风险、APK威胁、APK漏洞、关联权限等。</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业务全景</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用户可通过拖拽方式形成各种样式和内容的网络拓扑图，支持画布尺寸、主题色的自主设置。</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人员档案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户可通过本菜单对本辖区涉及到网络安全的人员进行统一管理。提供增删改查功能，并支持将人员与单位、系统等资产进行关联。通过详情信息可查看该人员的具体档案，包括个人基础信息、关联业务系统信息和所属单位信息等。</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设备档案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对安全设备和引擎的数据接入情况进行统一管理和监控。</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待核验</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待核验单位、系统、IP数据展示，单位、系统、IP数据检索、新增、删除、核验、编辑、导入、导出等功能</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已核验</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已核验单位、系统、IP数据展示，单位、系统、IP数据检索、新增、删除、核验、编辑、导入、导出等功能</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无效数据</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无效单位、系统、IP数据展示，单位、系统、IP数据检索、新增、删除、核验、编辑、导入、导出等功能</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治理模型</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资产治理模型管理</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数据分析</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模型管理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可对所有安全模型进行管理，具体可进行新增、删除、启用、告警等具体操作</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指标管理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指标管理主要是将安全数据以某些条件过滤后进行统计，生成的指标信息可以作为大屏、统计模型及AI模型的模型指标项。可对指标进行新增、查询、删除等操作。</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黑白名单</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具备“检测项”和“过滤项”两种匹配原则，“检测项”仅分析（统计、模型）检测项配置匹配的数据，“过滤项”，不分析（统计、模型）过滤项配置匹配的数据，数据分析流程：数据（日志、流量）先通过“检测项”，后通过“过滤项”。“检测项”不配置时，所有数据通过“过滤项”</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数据字典</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数据字典统一管理平台上的字段信息包括：数据来源、数据的标准化字段格式说明、目标存储平台等基础信息以及攻击链、告警字典等数据。通过数据字典可以查询接入的数据对应的字段信息，包含表名，表字段信息。支持数据字典中数据信息的维护，包括数据信息的录入、修改、删除。</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资产概况</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对资产的概况信息进行展示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访问关系</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展示资产的网络关系</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行为画像</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展示资产的流量趋势、访问趋势等信息</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服务端口</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展示资产开放的端口详情</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访问端口</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展示资产访问的端口详情</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图表管理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通过图表方式对数据进行展示，具体支持报表查询、报表类型、报表新增、报表导出等操作。</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仪表盘管理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支持由多种图表组成的仪表盘进行展示和管理，具体包含仪表盘新增、仪表盘删除、仪表盘预览等操作</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实时监测</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事件成果</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展示平台的事件成果，支持展示事件等级、攻击者、威胁等级、发现厂商、事件来源、危害程度、事件报警源文件等信息</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风险成果</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展示平台风险成果，支持展示漏洞等级、URL、漏洞类型、发现厂商、风险来源等信息。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事件/风险检索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多字段组合检索，事件检索，支持按事件名称、受害者、处置状态、起始时间、单位名称、威胁级别、数据来源、所属区域等字段进行事件组合检索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事件/风险导入导出</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根据模版进行事件/风险导入、导出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事件处置</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事件/风险通报、批量处置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事件/风险详情展示</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展示事件/风险详细信息，包括受害者、攻击者、poc信息、原始信息等</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事件/风险联想</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同类型、同单位事件/风险联想</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事件验证</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展示带验证事件详情，包括事件名称、单位名称、威胁级别、发生时间、数据来源、验证状态和事件操作等信息</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风险验证</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展示带验证风险详情，包括漏洞资产、单位名称、漏洞等级、发现时间、数据来源、验证状态、风险操作等信息</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弱口令</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弱口令场景风险聚合，展示事件名称、单位名称、威胁等级、涉及账号、高危账号、登陆密码、api等信息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挖矿</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挖矿场景事件聚合，展示系统名称、单位信息、威胁级别、事件名称、来源IP、来源端口、目的IP、目的端口、传输协议、应用协议等信息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勒索病毒</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勒索病毒场景事件聚合，展示系统名称、单位信息、威胁级别、事件名称、来源IP、来源端口、目的IP、目的端口、传输协议、应用协议等信息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事件/风险检索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多字段组合检索，支持按单位名称、漏洞资产、验证状态、结束时间、漏洞名称、漏洞等级、数据来源、所属区域等字段进行组合检索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事件/风险验证</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事件/风险批量验证</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事件/风险导入导出</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根据模版进行事件/风险导入、导出</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事件搜索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展示事件信息，支持展示事件名称、威胁等级、受害者、模型名称、事件标签、单位名称、单位类型、所属行业、地理位置、事件时间、事件等级、资产域名、URL等字段信息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风险搜索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展示风险信息，支持展示漏洞名称、漏洞类型、漏洞等级、漏洞IP/域名、地理位置、更新时间、地址经纬度、省份、城市、区县、单位类型、资产域名、数据来源等字段信息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攻击搜索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可以使用不同查询条件对安全告警进行查询。当用户为租户时，只显示根据来源安全域过滤后的数据。具体可进行告警查询、检索保存、告警聚合、时序图查看、字段显示、告警导出、告警详情查看等功能</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原始日志</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可以使用不同查询条件对日志信息进行查询。当用户为租户时，只显示根据来源安全域过滤后的数据。具体可进行告警查询、检索保存、可视化、时序图查看、字段显示、日志导出、日志详情查看等功能</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数据检索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通过AiSQL检索所有数据，包括“与“、“或”、“包含”等不低于15种语法检索。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自定义字段展示</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自定义展示字段，可进行自主配置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生成风险/事件</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从攻击数据中生存事件和隐患</w:t>
            </w:r>
          </w:p>
        </w:tc>
      </w:tr>
      <w:tr>
        <w:tblPrEx>
          <w:tblCellMar>
            <w:top w:w="0" w:type="dxa"/>
            <w:left w:w="108" w:type="dxa"/>
            <w:bottom w:w="0" w:type="dxa"/>
            <w:right w:w="108" w:type="dxa"/>
          </w:tblCellMar>
        </w:tblPrEx>
        <w:trPr>
          <w:trHeight w:val="660" w:hRule="atLeast"/>
        </w:trPr>
        <w:tc>
          <w:tcPr>
            <w:tcW w:w="10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告警管理</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信息对接</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通过与各类探针对接，获取相关的攻击、漏洞、风险、隐患等告警数据并进行汇总，经过预处理之后的安全数据以结构化的形式进行存储，对外提供数据查询与统计服务，从而实现海量数据检索与挖掘。</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通报方式</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浙政钉、网页等。在发生严重情况时，如突发的安全事件、重大漏洞等，直接通过电话的方式进行传达；当系统监测到存在轻微的安全隐患时可通过浙政钉或网页进行预警提醒、或限期整改等。</w:t>
            </w:r>
          </w:p>
        </w:tc>
      </w:tr>
      <w:tr>
        <w:tblPrEx>
          <w:tblCellMar>
            <w:top w:w="0" w:type="dxa"/>
            <w:left w:w="108" w:type="dxa"/>
            <w:bottom w:w="0" w:type="dxa"/>
            <w:right w:w="108" w:type="dxa"/>
          </w:tblCellMar>
        </w:tblPrEx>
        <w:trPr>
          <w:trHeight w:val="66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检查督查</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检查总览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可按照用户需要针对某一次计划或者全部检查计划的任务信息进行统计，主要展现 三类检查任务的总量、进行中数量、逾期数量；展示备件差对象的行业分布情况，展示最新一次检查计划的进度，展示支撑单位对检查任务的支撑情况。</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计划本身管理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户可针对具体的检查工作新建检查计划，并对计划下的各种任务分派具体负责人；同时支持用户手动将检查计划进行归档办结。计划创建人、计划联络人、任务负责人可在计划详情页面进行各类检查任务的新增和检查任务的推进。</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现场检查任务</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现场检查任务功能支持监管方用户在现场检查中直接通过页面填写检查表并出具检查结果，也支持用户现场检查完毕之后向系统录入检查结果；若需要整改的还可将任务流转给被检查单位，由其完成相应的整改动作后将检查任务闭环。</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单位资自查任务</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单位自查任务功能支持监管用户将任务直接对自查单位进行下发，自查单位可通过平台页面直接填报自查表，也可线下提交检查表给监管方由监管方统一录入；结果提交后由任务负责人进行审核，通过后任务办结。</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远程检查任务</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远程检查任务支持监管用户将任务直接下发给支撑单位，由支撑单位对指定系统进行渗透测试并反馈漏洞发下情况；由监管用户确认检查结果后，由漏洞系统归属单位进行整改和结果提交，若整改审核通过则任务办结。</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检查模板管理-检查项管理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用户将检查表中的每一个检查项通过该页面维护至系统内，以支持后续组成相应检查表。</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检查模板管理-检查表管理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每一张检查表由若干检查模块组成，每一个检查模块又有相应检查项组成；每张检查表可配置是针对单位或是系统，同时可多选检查表对应的检查任务类型。</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检查对象管理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监管用户可根据实际检查业务对象范围，将被检查单位导入到检查对象管理中进行信息维护。支持检查对象的导入、查询、详情查看和移除。</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支撑单位管理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监管用户可根据实际业务支撑厂商情况，将厂商导入到支撑单位管理中进行信息维护。支持支撑单位的导入、查询、详情查看和移除。</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检查人员管理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监管用户可根据实际业务支撑人员情况，将厂商侧网安专家导入到支撑人员管理中进行信息维护。支持支撑人员的导入、查询、详情查看和移除。</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考核评估</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考评报告</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考评报告检索、查看、下载、删除，报告想起展示。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考评任务</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创建考评任务，展示任务详情，多字段任务检索，考评任务维护。</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考评规则</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考评规则打分设置。</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处置通报</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事项看板</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展示当前用户相关的通报和预警信息，包括待我处置、我跟踪的、抄送我的通报以及已读、未读的预警通知信息。</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通报总览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多维度统计展示通报预警工作开展情况，支持地区、行业、单位等维度统计展示。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通知管理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对日常工作相关事件发出通知信息，告知相关单位，可以索要已读回执。</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预警管理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对网络安全事件或威胁发出预警信息，警示相关单位，可以索要已读回执。</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通报管理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根据安全事件或风险隐患发布通报，督促相关单位妥善处置网络安全事件。</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规范文件</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展示通报预警模块相关法律规范依据文档。</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通报外发审批</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可以通报外发审批功能，支持新增事件通报、隐患通报、预警、通知等操作。</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通报文件导入</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导入加密的通报文件并查看，支持多维度列表查询。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上级督办</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展示上级下方的督办信息，支持对督办信息进行查看、督办等操作。</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督办管理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展示安全事件、风险隐患督办信息展示，可以查看详情，进行督办或者通报操作。</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通报归档</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对已完成的上下级平台通报进行归档，支持第三方通报归档。</w:t>
            </w:r>
          </w:p>
        </w:tc>
      </w:tr>
      <w:tr>
        <w:tblPrEx>
          <w:tblCellMar>
            <w:top w:w="0" w:type="dxa"/>
            <w:left w:w="108" w:type="dxa"/>
            <w:bottom w:w="0" w:type="dxa"/>
            <w:right w:w="108" w:type="dxa"/>
          </w:tblCellMar>
        </w:tblPrEx>
        <w:trPr>
          <w:trHeight w:val="132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　</w:t>
            </w:r>
          </w:p>
          <w:p>
            <w:pPr>
              <w:widowControl/>
              <w:jc w:val="center"/>
              <w:rPr>
                <w:rFonts w:ascii="仿宋" w:hAnsi="仿宋" w:eastAsia="仿宋"/>
              </w:rPr>
            </w:pPr>
            <w:r>
              <w:rPr>
                <w:rFonts w:hint="eastAsia" w:ascii="仿宋" w:hAnsi="仿宋" w:eastAsia="仿宋"/>
              </w:rPr>
              <w:t>上级通报系统对接</w:t>
            </w:r>
          </w:p>
          <w:p>
            <w:pPr>
              <w:widowControl/>
              <w:jc w:val="center"/>
              <w:rPr>
                <w:rFonts w:ascii="仿宋" w:hAnsi="仿宋" w:eastAsia="仿宋" w:cs="宋体"/>
                <w:kern w:val="0"/>
              </w:rPr>
            </w:pP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汇总展示上级平台下发通报、预警信息的。</w:t>
            </w:r>
            <w:r>
              <w:rPr>
                <w:rFonts w:hint="eastAsia" w:ascii="仿宋" w:hAnsi="仿宋" w:eastAsia="仿宋" w:cs="宋体"/>
                <w:kern w:val="0"/>
              </w:rPr>
              <w:br w:type="textWrapping"/>
            </w:r>
            <w:r>
              <w:rPr>
                <w:rFonts w:hint="eastAsia" w:ascii="仿宋" w:hAnsi="仿宋" w:eastAsia="仿宋" w:cs="宋体"/>
                <w:kern w:val="0"/>
              </w:rPr>
              <w:t>展示上级平台发布的安全事件或风险隐患通报。</w:t>
            </w:r>
            <w:r>
              <w:rPr>
                <w:rFonts w:hint="eastAsia" w:ascii="仿宋" w:hAnsi="仿宋" w:eastAsia="仿宋" w:cs="宋体"/>
                <w:kern w:val="0"/>
              </w:rPr>
              <w:br w:type="textWrapping"/>
            </w:r>
            <w:r>
              <w:rPr>
                <w:rFonts w:hint="eastAsia" w:ascii="仿宋" w:hAnsi="仿宋" w:eastAsia="仿宋" w:cs="宋体"/>
                <w:kern w:val="0"/>
              </w:rPr>
              <w:t>展示上级发出的通报信息，可以多维度检索、开启关闭通报信息。</w:t>
            </w:r>
            <w:r>
              <w:rPr>
                <w:rFonts w:hint="eastAsia" w:ascii="仿宋" w:hAnsi="仿宋" w:eastAsia="仿宋" w:cs="宋体"/>
                <w:kern w:val="0"/>
              </w:rPr>
              <w:br w:type="textWrapping"/>
            </w:r>
            <w:r>
              <w:rPr>
                <w:rFonts w:hint="eastAsia" w:ascii="仿宋" w:hAnsi="仿宋" w:eastAsia="仿宋" w:cs="宋体"/>
                <w:kern w:val="0"/>
              </w:rPr>
              <w:t>展示上级发出的预警信息，可以多维度检索和开启关闭预警信息。</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事件案例</w:t>
            </w:r>
          </w:p>
        </w:tc>
        <w:tc>
          <w:tcPr>
            <w:tcW w:w="1296" w:type="dxa"/>
            <w:tcBorders>
              <w:top w:val="nil"/>
              <w:left w:val="nil"/>
              <w:bottom w:val="single" w:color="auto" w:sz="4" w:space="0"/>
              <w:right w:val="single" w:color="auto" w:sz="4" w:space="0"/>
            </w:tcBorders>
            <w:noWrap w:val="0"/>
            <w:vAlign w:val="center"/>
          </w:tcPr>
          <w:p>
            <w:pPr>
              <w:widowControl/>
              <w:rPr>
                <w:rFonts w:ascii="仿宋" w:hAnsi="仿宋" w:eastAsia="仿宋"/>
              </w:rPr>
            </w:pPr>
            <w:r>
              <w:rPr>
                <w:rFonts w:hint="eastAsia" w:ascii="仿宋" w:hAnsi="仿宋" w:eastAsia="仿宋"/>
              </w:rPr>
              <w:t>智慧搜索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全平台数据资源的搜索和展示，支持全库搜、精准搜、场景搜等搜索方式。</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情报库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情报数据信息的检索、展示。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事件库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安全事件数据信息的检索、展示。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案件库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案件数据信息的检索、展示。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关基基础信息库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关基基础信息（单位、系统、人员、机房）数据信息的检索、展示。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网络资产库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网络资产数据信息的检索、展示。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木马病毒库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木马病毒库数据信息的检索、展示。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恶意IP库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恶意IP库数据信息的检索、展示。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恶意域名库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恶意域名库数据信息的检索、展示。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等级保护基础库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等级保护基础（单位、系统）数据信息的检索、展示。</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漏洞库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漏洞库数据信息的检索、展示。</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情报专刊</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根据互联网上的最新爆发的安全漏洞或者其他影响较大的安全隐患进行分析，对可能受到影响的资产进行分析，给各区域监管单位提供相关安全威胁隐患的数据</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情报查询</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通过输入IP、域名、文件HASH(MD5/SHA1/SHA256)、邮箱进行情报查询，展示查相关情报类型、情报源、情报标签、地理位置、置信度、运营商及组织名称信息。</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应急指挥</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单次活动管理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支持用户新增安保活动并对该活动进行管理，支持下钻到具体某个活动，查看活动详情</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作战台</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展示活动进程、信息公告、待办工作/跟进工作、快捷方式、个人信息</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里程碑管理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支持对单次活动的里程碑进行管理</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指挥中心</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提供安保活动指挥单位和人员的选择添加、查看、退出活动、查询功能</w:t>
            </w:r>
          </w:p>
        </w:tc>
      </w:tr>
      <w:tr>
        <w:tblPrEx>
          <w:tblCellMar>
            <w:top w:w="0" w:type="dxa"/>
            <w:left w:w="108" w:type="dxa"/>
            <w:bottom w:w="0" w:type="dxa"/>
            <w:right w:w="108" w:type="dxa"/>
          </w:tblCellMar>
        </w:tblPrEx>
        <w:trPr>
          <w:trHeight w:val="345"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安保目标</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提供安保活动重点保障单位、人员和系统的选择添加、查看、退出活动、查询功能。</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支撑力量</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协助安保组完成该次安保活动的单位和人员，提供选择添加、查看、退出活动、查询功能。</w:t>
            </w:r>
          </w:p>
        </w:tc>
      </w:tr>
      <w:tr>
        <w:tblPrEx>
          <w:tblCellMar>
            <w:top w:w="0" w:type="dxa"/>
            <w:left w:w="108" w:type="dxa"/>
            <w:bottom w:w="0" w:type="dxa"/>
            <w:right w:w="108" w:type="dxa"/>
          </w:tblCellMar>
        </w:tblPrEx>
        <w:trPr>
          <w:trHeight w:val="69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信息公告</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提供以指挥人员发布正式的公开的信息至该次活动全部参与单位、人员以便实现重大安全事件信息的及时披露和共享。</w:t>
            </w:r>
          </w:p>
        </w:tc>
      </w:tr>
      <w:tr>
        <w:tblPrEx>
          <w:tblCellMar>
            <w:top w:w="0" w:type="dxa"/>
            <w:left w:w="108" w:type="dxa"/>
            <w:bottom w:w="0" w:type="dxa"/>
            <w:right w:w="108" w:type="dxa"/>
          </w:tblCellMar>
        </w:tblPrEx>
        <w:trPr>
          <w:trHeight w:val="345"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安保制度</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支持指挥人员维护该次安保活动的各项规章制度，并支持安保活动各方参与人员查看对应的规章制度。</w:t>
            </w:r>
          </w:p>
        </w:tc>
      </w:tr>
      <w:tr>
        <w:tblPrEx>
          <w:tblCellMar>
            <w:top w:w="0" w:type="dxa"/>
            <w:left w:w="108" w:type="dxa"/>
            <w:bottom w:w="0" w:type="dxa"/>
            <w:right w:w="108" w:type="dxa"/>
          </w:tblCellMar>
        </w:tblPrEx>
        <w:trPr>
          <w:trHeight w:val="69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应急预案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应急预案支持针对预先定义的预案名称、预案等级、预案分类、提交单位、提交时间和对应的操作项进行相应操作，并可以查询统计</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安保驻点端</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系统提供驻点小组安排本小组的值守排班计划的功能。对于驻点小组主要需要管理安保期间，每一天，每一个班次的人员，因此该部分模块展示的该小组每一天、每一个班次的值守人员通过修改等操作可以设置该次安保活动的排班频率，并可以对各个安保驻点上报驻点的排班计划，</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指挥中心端</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安保组视角，对于安保组主要需要查看每一天每个驻点是由谁值守，并能查看该驻点当天的排班计划支持宏观查看活动期间的排班数量情况、报平安数量情况，以及深度查看安保期间每天，每个驻点每个班次的人员值班情况、签到签退时间、报平安状态、每个驻点在安保期间的排班计划等情况。</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值守移动端协同</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平台支持安保值守人员使用在手机APP钉钉上完成确定驻点各个班次的人员及签到、签退和报平安等操作。上述信息会同步到平台，并进行统计。</w:t>
            </w:r>
          </w:p>
        </w:tc>
      </w:tr>
      <w:tr>
        <w:tblPrEx>
          <w:tblCellMar>
            <w:top w:w="0" w:type="dxa"/>
            <w:left w:w="108" w:type="dxa"/>
            <w:bottom w:w="0" w:type="dxa"/>
            <w:right w:w="108" w:type="dxa"/>
          </w:tblCellMar>
        </w:tblPrEx>
        <w:trPr>
          <w:trHeight w:val="132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指挥调度</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指挥中心通过切换总览、监测调度、通报、值守视图，来统筹协调赛事期间的网络安全事件处理。</w:t>
            </w:r>
            <w:r>
              <w:rPr>
                <w:rFonts w:hint="eastAsia" w:ascii="仿宋" w:hAnsi="仿宋" w:eastAsia="仿宋" w:cs="宋体"/>
                <w:kern w:val="0"/>
              </w:rPr>
              <w:br w:type="textWrapping"/>
            </w:r>
            <w:r>
              <w:rPr>
                <w:rFonts w:hint="eastAsia" w:ascii="仿宋" w:hAnsi="仿宋" w:eastAsia="仿宋" w:cs="宋体"/>
                <w:kern w:val="0"/>
              </w:rPr>
              <w:t>支持查看战前各重点保障单位的安保检查情况，战时回复和处置报平安情况、安全事件上报及通报情况、查看下发的应急处置任务进展情况，战后通过活动快照查看历史活动成果。</w:t>
            </w:r>
            <w:r>
              <w:rPr>
                <w:rFonts w:hint="eastAsia" w:ascii="仿宋" w:hAnsi="仿宋" w:eastAsia="仿宋" w:cs="宋体"/>
                <w:kern w:val="0"/>
              </w:rPr>
              <w:br w:type="textWrapping"/>
            </w:r>
            <w:r>
              <w:rPr>
                <w:rFonts w:hint="eastAsia" w:ascii="仿宋" w:hAnsi="仿宋" w:eastAsia="仿宋" w:cs="宋体"/>
                <w:kern w:val="0"/>
              </w:rPr>
              <w:t>借助视图切换，一键下发通报、检查、指令，联动移动端组织调度，运用应急预案响应应急处置。</w:t>
            </w:r>
          </w:p>
        </w:tc>
      </w:tr>
      <w:tr>
        <w:tblPrEx>
          <w:tblCellMar>
            <w:top w:w="0" w:type="dxa"/>
            <w:left w:w="108" w:type="dxa"/>
            <w:bottom w:w="0" w:type="dxa"/>
            <w:right w:w="108" w:type="dxa"/>
          </w:tblCellMar>
        </w:tblPrEx>
        <w:trPr>
          <w:trHeight w:val="990" w:hRule="atLeast"/>
        </w:trPr>
        <w:tc>
          <w:tcPr>
            <w:tcW w:w="10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全链路可视化</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综合态势</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以监管运营视角出发，通过对管辖区域内单位、业务系统、IP资产、新业态资产摸底，结合多方安全数据情报、本地安全数据治理成果、业务开展情况数据，实现一张屏看清资产底数，实时掌握安全事件、风险隐患处置效率，并支持从区域、行业、境内、境外多维度展现安全情况。</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网络空间安全监测</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通过可视化的大屏展示辖区内设备部署情况、安全监测情况，方便用户掌握辖区内设备运行情况。</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大数据平台安全态势</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以大数据平台为切入点，通过对大数据平台资产、用途分类、服务范围、行业分布情况等多维度展示，全面解析全网大数据资产，实时监控大数据安全情况，达到全方位掌控大数据的安全情况。</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云平台安全态势</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以云平台为切入点，通过对云平台资产、用途分类、服务范围、行业分布情况等多维度展示，实时监控云平台安全情况，达到全方位掌控云平台的安全情况。</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Web业务系统态势</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数据大屏直观展示Web业务系统态势，实时统计分析当天Web业务系统态势相关数据，包括进出流量、访问量、攻击量、网站区域访问量、访问区域、访问IP排行、访问攻击路线、详细攻击信息、网站攻击趋势、被攻击网站排行、攻击IP排行、攻击类型排行等数据。</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攻击者追踪溯源</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攻击者可视化溯源分析大屏，为安全运维人员提供包括攻击行为分析、团伙分析、攻击取证信息、攻击趋势、攻击手段，攻击影响范围等信息；以攻击IP为中心，对该IP产生的告警类型、所攻击的受害主机IP，以及使用攻击手段类似相似IP等信息进行展示。支持任意攻击者信息查询，可生成详细的攻击者溯源报告，并能够一键导出报告。</w:t>
            </w:r>
          </w:p>
        </w:tc>
      </w:tr>
      <w:tr>
        <w:tblPrEx>
          <w:tblCellMar>
            <w:top w:w="0" w:type="dxa"/>
            <w:left w:w="108" w:type="dxa"/>
            <w:bottom w:w="0" w:type="dxa"/>
            <w:right w:w="108" w:type="dxa"/>
          </w:tblCellMar>
        </w:tblPrEx>
        <w:trPr>
          <w:trHeight w:val="99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资产威胁溯源</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资产威胁溯源大屏从资产的角度考虑，为安全运维人员提供包括被攻击行为分析、影响资产范围分析、攻击取证信息等；可呈现被访问趋势、被攻击趋势、被攻击手段、资产状态，资产评分等信息。帮助用户分析现有资产安全状况，了解资产被攻击详情，帮助事后取证溯源。</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行为轨迹溯源</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追踪网络实体的连接关系，发现访问行为的蛛丝马迹。大数据标签画像分析寻找相似的受害团体和黑客组织，AI算法加持发现观测指标中隐藏的未知威胁，情报、弱点信息辅助异常记录的追根溯源。</w:t>
            </w:r>
          </w:p>
        </w:tc>
      </w:tr>
      <w:tr>
        <w:tblPrEx>
          <w:tblCellMar>
            <w:top w:w="0" w:type="dxa"/>
            <w:left w:w="108" w:type="dxa"/>
            <w:bottom w:w="0" w:type="dxa"/>
            <w:right w:w="108" w:type="dxa"/>
          </w:tblCellMar>
        </w:tblPrEx>
        <w:trPr>
          <w:trHeight w:val="1320" w:hRule="atLeast"/>
        </w:trPr>
        <w:tc>
          <w:tcPr>
            <w:tcW w:w="10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AI异常分析</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通过模型管理支持针对不同类型的数据采集与处理（全部日志soc接收解析后统一放入原始日志中），配置对应的监控模型策略（规则模型、统计模型、关联模型、AI模型、其他）及告警策略（处理结果统一放入异常记录中，当模型中标记为安全时放入安全告警中）。在元数据统一管理下，用户可以根据不同的关注领域灵活操作，包括告警时，放入异常记录中同对数据处理逻辑的新增、删除、修改、查询、启动、停止等。</w:t>
            </w:r>
          </w:p>
        </w:tc>
      </w:tr>
      <w:tr>
        <w:tblPrEx>
          <w:tblCellMar>
            <w:top w:w="0" w:type="dxa"/>
            <w:left w:w="108" w:type="dxa"/>
            <w:bottom w:w="0" w:type="dxa"/>
            <w:right w:w="108" w:type="dxa"/>
          </w:tblCellMar>
        </w:tblPrEx>
        <w:trPr>
          <w:trHeight w:val="165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全链路可视化-全局概览</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地理环境</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以地理图谱为基础支持单位打点，并能对存在风险的单位进行特殊打点，点击支持查看单位概览信息</w:t>
            </w:r>
            <w:r>
              <w:rPr>
                <w:rFonts w:hint="eastAsia" w:ascii="仿宋" w:hAnsi="仿宋" w:eastAsia="仿宋" w:cs="宋体"/>
                <w:kern w:val="0"/>
              </w:rPr>
              <w:br w:type="textWrapping"/>
            </w:r>
            <w:r>
              <w:rPr>
                <w:rFonts w:hint="eastAsia" w:ascii="仿宋" w:hAnsi="仿宋" w:eastAsia="仿宋" w:cs="宋体"/>
                <w:kern w:val="0"/>
              </w:rPr>
              <w:t>支持对单位进行统计展示，包括风险单位量、重点单位量、全部单位量、单位行业统计信息，同时支持重点、风险单位切换功能</w:t>
            </w:r>
            <w:r>
              <w:rPr>
                <w:rFonts w:hint="eastAsia" w:ascii="仿宋" w:hAnsi="仿宋" w:eastAsia="仿宋" w:cs="宋体"/>
                <w:kern w:val="0"/>
              </w:rPr>
              <w:br w:type="textWrapping"/>
            </w:r>
            <w:r>
              <w:rPr>
                <w:rFonts w:hint="eastAsia" w:ascii="仿宋" w:hAnsi="仿宋" w:eastAsia="仿宋" w:cs="宋体"/>
                <w:kern w:val="0"/>
              </w:rPr>
              <w:t>支持查看单位档案详情信息，包括单位名称、所属行业、单位类型、所属监管单位、单位负责人、负责人职务等基本描述字段，同时支持对单位衍生内容的补充包括人员信息、等保相关信息、实时监测信息、归属系统、归属IP资产</w:t>
            </w:r>
          </w:p>
        </w:tc>
      </w:tr>
      <w:tr>
        <w:tblPrEx>
          <w:tblCellMar>
            <w:top w:w="0" w:type="dxa"/>
            <w:left w:w="108" w:type="dxa"/>
            <w:bottom w:w="0" w:type="dxa"/>
            <w:right w:w="108" w:type="dxa"/>
          </w:tblCellMar>
        </w:tblPrEx>
        <w:trPr>
          <w:trHeight w:val="231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网络环境</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支持系统、设备两类内容的打点</w:t>
            </w:r>
            <w:r>
              <w:rPr>
                <w:rFonts w:hint="eastAsia" w:ascii="仿宋" w:hAnsi="仿宋" w:eastAsia="仿宋" w:cs="宋体"/>
                <w:kern w:val="0"/>
              </w:rPr>
              <w:br w:type="textWrapping"/>
            </w:r>
            <w:r>
              <w:rPr>
                <w:rFonts w:hint="eastAsia" w:ascii="仿宋" w:hAnsi="仿宋" w:eastAsia="仿宋" w:cs="宋体"/>
                <w:kern w:val="0"/>
              </w:rPr>
              <w:t>支持系统进行地图打点，并能对其进行统计展示，包括重点系统量、全部系统量、系统风险变化趋势</w:t>
            </w:r>
            <w:r>
              <w:rPr>
                <w:rFonts w:hint="eastAsia" w:ascii="仿宋" w:hAnsi="仿宋" w:eastAsia="仿宋" w:cs="宋体"/>
                <w:kern w:val="0"/>
              </w:rPr>
              <w:br w:type="textWrapping"/>
            </w:r>
            <w:r>
              <w:rPr>
                <w:rFonts w:hint="eastAsia" w:ascii="仿宋" w:hAnsi="仿宋" w:eastAsia="仿宋" w:cs="宋体"/>
                <w:kern w:val="0"/>
              </w:rPr>
              <w:t>支持设备进行地图打点，并能对其进行统计展示，包括括设备在线情况、安全专项情况</w:t>
            </w:r>
            <w:r>
              <w:rPr>
                <w:rFonts w:hint="eastAsia" w:ascii="仿宋" w:hAnsi="仿宋" w:eastAsia="仿宋" w:cs="宋体"/>
                <w:kern w:val="0"/>
              </w:rPr>
              <w:br w:type="textWrapping"/>
            </w:r>
            <w:r>
              <w:rPr>
                <w:rFonts w:hint="eastAsia" w:ascii="仿宋" w:hAnsi="仿宋" w:eastAsia="仿宋" w:cs="宋体"/>
                <w:kern w:val="0"/>
              </w:rPr>
              <w:t>支持对系统进行全方位的描述，包括系统名称、系统域名、业务类型、归属单位、使用时间等基本描述字段，同时支持对系统衍生内容的补充包括人员信息、单位信息、等保相关信息、实时监测信息以及基础网络信息</w:t>
            </w:r>
            <w:r>
              <w:rPr>
                <w:rFonts w:hint="eastAsia" w:ascii="仿宋" w:hAnsi="仿宋" w:eastAsia="仿宋" w:cs="宋体"/>
                <w:kern w:val="0"/>
              </w:rPr>
              <w:br w:type="textWrapping"/>
            </w:r>
            <w:r>
              <w:rPr>
                <w:rFonts w:hint="eastAsia" w:ascii="仿宋" w:hAnsi="仿宋" w:eastAsia="仿宋" w:cs="宋体"/>
                <w:kern w:val="0"/>
              </w:rPr>
              <w:t>支持对设备进行全方位的描述，包括设备基本信息、部署单位信息、上报日志量、上报攻击量、上报趋势、覆盖系统信息、发现攻击列表信息、发现原始日志列表信息</w:t>
            </w:r>
          </w:p>
        </w:tc>
      </w:tr>
      <w:tr>
        <w:tblPrEx>
          <w:tblCellMar>
            <w:top w:w="0" w:type="dxa"/>
            <w:left w:w="108" w:type="dxa"/>
            <w:bottom w:w="0" w:type="dxa"/>
            <w:right w:w="108" w:type="dxa"/>
          </w:tblCellMar>
        </w:tblPrEx>
        <w:trPr>
          <w:trHeight w:val="132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rPr>
              <w:t>行为主体</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支持人员打点，点击支持查看人员概览信息</w:t>
            </w:r>
            <w:r>
              <w:rPr>
                <w:rFonts w:hint="eastAsia" w:ascii="仿宋" w:hAnsi="仿宋" w:eastAsia="仿宋" w:cs="宋体"/>
                <w:kern w:val="0"/>
              </w:rPr>
              <w:br w:type="textWrapping"/>
            </w:r>
            <w:r>
              <w:rPr>
                <w:rFonts w:hint="eastAsia" w:ascii="仿宋" w:hAnsi="仿宋" w:eastAsia="仿宋" w:cs="宋体"/>
                <w:kern w:val="0"/>
              </w:rPr>
              <w:t>支持对人员进行统计展示，包括重点人员量、风险人员量、全部人员量、人员行业分布、人员标签</w:t>
            </w:r>
            <w:r>
              <w:rPr>
                <w:rFonts w:hint="eastAsia" w:ascii="仿宋" w:hAnsi="仿宋" w:eastAsia="仿宋" w:cs="宋体"/>
                <w:kern w:val="0"/>
              </w:rPr>
              <w:br w:type="textWrapping"/>
            </w:r>
            <w:r>
              <w:rPr>
                <w:rFonts w:hint="eastAsia" w:ascii="仿宋" w:hAnsi="仿宋" w:eastAsia="仿宋" w:cs="宋体"/>
                <w:kern w:val="0"/>
              </w:rPr>
              <w:t>支持对人员进行全方位的描述，包括姓名、固定电话、移动电话、身份证号、曾用名等不少于12个基本描述字段，同时支持对人员衍生内容的补充包括网络身份、人物标签、所属单位、所负责系统</w:t>
            </w:r>
          </w:p>
        </w:tc>
      </w:tr>
      <w:tr>
        <w:tblPrEx>
          <w:tblCellMar>
            <w:top w:w="0" w:type="dxa"/>
            <w:left w:w="108" w:type="dxa"/>
            <w:bottom w:w="0" w:type="dxa"/>
            <w:right w:w="108" w:type="dxa"/>
          </w:tblCellMar>
        </w:tblPrEx>
        <w:trPr>
          <w:trHeight w:val="231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业务环境</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支持安全事件、风险隐患、通报管理、侦查调查四类内容的打点</w:t>
            </w:r>
            <w:r>
              <w:rPr>
                <w:rFonts w:hint="eastAsia" w:ascii="仿宋" w:hAnsi="仿宋" w:eastAsia="仿宋" w:cs="宋体"/>
                <w:kern w:val="0"/>
              </w:rPr>
              <w:br w:type="textWrapping"/>
            </w:r>
            <w:r>
              <w:rPr>
                <w:rFonts w:hint="eastAsia" w:ascii="仿宋" w:hAnsi="仿宋" w:eastAsia="仿宋" w:cs="宋体"/>
                <w:kern w:val="0"/>
              </w:rPr>
              <w:t>支持通报打点，点击支持查看通报概览信息并支持统计展示，包括通报总数、完成效率、平均耗时、通报状态情况</w:t>
            </w:r>
            <w:r>
              <w:rPr>
                <w:rFonts w:hint="eastAsia" w:ascii="仿宋" w:hAnsi="仿宋" w:eastAsia="仿宋" w:cs="宋体"/>
                <w:kern w:val="0"/>
              </w:rPr>
              <w:br w:type="textWrapping"/>
            </w:r>
            <w:r>
              <w:rPr>
                <w:rFonts w:hint="eastAsia" w:ascii="仿宋" w:hAnsi="仿宋" w:eastAsia="仿宋" w:cs="宋体"/>
                <w:kern w:val="0"/>
              </w:rPr>
              <w:t>支持调查打点，点击支持查看调查概览信息并支持对调查进行统计展示，包括调查总数、完成效率、平均耗时、调查状态</w:t>
            </w:r>
            <w:r>
              <w:rPr>
                <w:rFonts w:hint="eastAsia" w:ascii="仿宋" w:hAnsi="仿宋" w:eastAsia="仿宋" w:cs="宋体"/>
                <w:kern w:val="0"/>
              </w:rPr>
              <w:br w:type="textWrapping"/>
            </w:r>
            <w:r>
              <w:rPr>
                <w:rFonts w:hint="eastAsia" w:ascii="仿宋" w:hAnsi="仿宋" w:eastAsia="仿宋" w:cs="宋体"/>
                <w:kern w:val="0"/>
              </w:rPr>
              <w:t>支持事件打点，点击支持查看事件概览信息并支持对事件进行统计展示，包括事件总数、各级别事件数量、事件类型情况、事件趋势情况</w:t>
            </w:r>
            <w:r>
              <w:rPr>
                <w:rFonts w:hint="eastAsia" w:ascii="仿宋" w:hAnsi="仿宋" w:eastAsia="仿宋" w:cs="宋体"/>
                <w:kern w:val="0"/>
              </w:rPr>
              <w:br w:type="textWrapping"/>
            </w:r>
            <w:r>
              <w:rPr>
                <w:rFonts w:hint="eastAsia" w:ascii="仿宋" w:hAnsi="仿宋" w:eastAsia="仿宋" w:cs="宋体"/>
                <w:kern w:val="0"/>
              </w:rPr>
              <w:t>支持隐患打点，点击支持查看隐患概览信息并支持对隐患进行统计展示，包括隐患总数、各级别隐患数量、隐患类型情况、隐患趋势情况</w:t>
            </w:r>
          </w:p>
        </w:tc>
      </w:tr>
      <w:tr>
        <w:tblPrEx>
          <w:tblCellMar>
            <w:top w:w="0" w:type="dxa"/>
            <w:left w:w="108" w:type="dxa"/>
            <w:bottom w:w="0" w:type="dxa"/>
            <w:right w:w="108" w:type="dxa"/>
          </w:tblCellMar>
        </w:tblPrEx>
        <w:trPr>
          <w:trHeight w:val="330" w:hRule="atLeast"/>
        </w:trPr>
        <w:tc>
          <w:tcPr>
            <w:tcW w:w="1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rPr>
            </w:pPr>
            <w:r>
              <w:rPr>
                <w:rFonts w:hint="eastAsia" w:ascii="仿宋" w:hAnsi="仿宋" w:eastAsia="仿宋" w:cs="宋体"/>
                <w:b/>
                <w:bCs/>
                <w:kern w:val="0"/>
              </w:rPr>
              <w:t>系统管理</w:t>
            </w: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运维告警</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运维告警管理，告警趋势、告警详情展示，告警检索</w:t>
            </w:r>
          </w:p>
        </w:tc>
      </w:tr>
      <w:tr>
        <w:tblPrEx>
          <w:tblCellMar>
            <w:top w:w="0" w:type="dxa"/>
            <w:left w:w="108" w:type="dxa"/>
            <w:bottom w:w="0" w:type="dxa"/>
            <w:right w:w="108" w:type="dxa"/>
          </w:tblCellMar>
        </w:tblPrEx>
        <w:trPr>
          <w:trHeight w:val="66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健康检查</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对平台自身健康进行展示，对平台使用情况、组件节点状态、集群状态、接口开放状态等进行巡检，巡检结果以不同的图标进行展示，并加以结果描述及处置建议，使用户可精确定位系统故障并对其进行修复</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存储管理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对平台存储情况进行展示，展示磁盘使用情况和磁盘使用趋势</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故障日志</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可对系统日志进行下载，支持不同组件的区分下载。</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系统配置</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平台通用配置中心，包括对应系统配置、内部IP配置、钉钉微应用配置、界面配置、工作台配置、级联配置和门户配置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数据配置</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用于平台数据存储的生命周期管理。</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推送配置</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用于对告警信息的推送方式，支持邮件、短信、钉钉三种方式。</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升级管理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展示平台版本信息，导入升级包进行升级，查看平台升级历史</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许可证</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用于系统许可导入。</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监测总览</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监测数据总览，累计上报数据统计、检索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分级部署</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平台分级部署设置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上级协同</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注册上级单位，制定数据推送策略</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下级协同</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注册下级单位，制定数据推送策略</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流计算任务</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对系统当前的流计算任务进行管理与监控</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定时任务</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系统内置的定时任务，可对任务状态进行查询。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数据推送</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启动、关闭数据推送服务</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数据加载</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启动、关闭数据加载服务</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数据同步日志</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数据同步日志展示、查询</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数据安全大脑</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安全数据大脑对接配置和数据推送配置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移动互联网</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第三方厂家app数据对接配置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业务流程配置</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业务流程节点开关配置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网站监测</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网站监测平台对接配置和数据推送配置</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账号审批</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单位账号申请审核</w:t>
            </w:r>
          </w:p>
        </w:tc>
      </w:tr>
      <w:tr>
        <w:tblPrEx>
          <w:tblCellMar>
            <w:top w:w="0" w:type="dxa"/>
            <w:left w:w="108" w:type="dxa"/>
            <w:bottom w:w="0" w:type="dxa"/>
            <w:right w:w="108" w:type="dxa"/>
          </w:tblCellMar>
        </w:tblPrEx>
        <w:trPr>
          <w:trHeight w:val="330" w:hRule="atLeast"/>
        </w:trPr>
        <w:tc>
          <w:tcPr>
            <w:tcW w:w="1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kern w:val="0"/>
              </w:rPr>
            </w:pPr>
          </w:p>
        </w:tc>
        <w:tc>
          <w:tcPr>
            <w:tcW w:w="12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注册配置管理</w:t>
            </w:r>
          </w:p>
        </w:tc>
        <w:tc>
          <w:tcPr>
            <w:tcW w:w="7116" w:type="dxa"/>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注册服务、短信验证配置管理</w:t>
            </w:r>
          </w:p>
        </w:tc>
      </w:tr>
    </w:tbl>
    <w:p>
      <w:pPr>
        <w:pStyle w:val="82"/>
        <w:numPr>
          <w:ilvl w:val="0"/>
          <w:numId w:val="20"/>
        </w:numPr>
        <w:spacing w:line="360" w:lineRule="auto"/>
        <w:ind w:firstLineChars="0"/>
        <w:outlineLvl w:val="1"/>
        <w:rPr>
          <w:rFonts w:ascii="仿宋" w:hAnsi="仿宋" w:eastAsia="仿宋"/>
          <w:b/>
          <w:sz w:val="32"/>
          <w:szCs w:val="32"/>
        </w:rPr>
      </w:pPr>
      <w:bookmarkStart w:id="194" w:name="_Toc86405267"/>
      <w:bookmarkStart w:id="195" w:name="_Toc88727591"/>
      <w:bookmarkStart w:id="196" w:name="_Toc88725896"/>
      <w:r>
        <w:rPr>
          <w:rFonts w:hint="eastAsia" w:ascii="仿宋" w:hAnsi="仿宋" w:eastAsia="仿宋"/>
          <w:b/>
          <w:sz w:val="32"/>
          <w:szCs w:val="32"/>
        </w:rPr>
        <w:t>日志采集探针功能指标要求</w:t>
      </w:r>
      <w:bookmarkEnd w:id="194"/>
      <w:bookmarkEnd w:id="195"/>
      <w:bookmarkEnd w:id="196"/>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shd w:val="pct10" w:color="auto" w:fill="auto"/>
            <w:noWrap w:val="0"/>
            <w:vAlign w:val="top"/>
          </w:tcPr>
          <w:p>
            <w:pPr>
              <w:spacing w:before="158" w:after="158"/>
              <w:jc w:val="center"/>
              <w:rPr>
                <w:rFonts w:ascii="仿宋" w:hAnsi="仿宋" w:eastAsia="仿宋" w:cs="方正兰亭黑简体"/>
                <w:b/>
              </w:rPr>
            </w:pPr>
            <w:r>
              <w:rPr>
                <w:rFonts w:hint="eastAsia" w:ascii="仿宋" w:hAnsi="仿宋" w:eastAsia="仿宋" w:cs="方正兰亭黑简体"/>
                <w:b/>
              </w:rPr>
              <w:t>技术指标</w:t>
            </w:r>
          </w:p>
        </w:tc>
        <w:tc>
          <w:tcPr>
            <w:tcW w:w="4177" w:type="pct"/>
            <w:shd w:val="pct10" w:color="auto" w:fill="auto"/>
            <w:noWrap w:val="0"/>
            <w:vAlign w:val="top"/>
          </w:tcPr>
          <w:p>
            <w:pPr>
              <w:spacing w:before="158" w:after="158"/>
              <w:jc w:val="center"/>
              <w:rPr>
                <w:rFonts w:ascii="仿宋" w:hAnsi="仿宋" w:eastAsia="仿宋" w:cs="方正兰亭黑简体"/>
                <w:b/>
              </w:rPr>
            </w:pPr>
            <w:r>
              <w:rPr>
                <w:rFonts w:hint="eastAsia" w:ascii="仿宋" w:hAnsi="仿宋" w:eastAsia="仿宋" w:cs="方正兰亭黑简体"/>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功能扩展</w:t>
            </w:r>
          </w:p>
        </w:tc>
        <w:tc>
          <w:tcPr>
            <w:tcW w:w="4177" w:type="pct"/>
            <w:noWrap w:val="0"/>
            <w:vAlign w:val="top"/>
          </w:tcPr>
          <w:p>
            <w:pPr>
              <w:pStyle w:val="182"/>
              <w:spacing w:line="320" w:lineRule="exact"/>
              <w:rPr>
                <w:color w:val="auto"/>
              </w:rPr>
            </w:pPr>
            <w:r>
              <w:rPr>
                <w:rFonts w:hint="eastAsia"/>
                <w:color w:val="auto"/>
              </w:rPr>
              <w:t>采用解决方案包上传对产品进行功能扩展，无需要代码开发</w:t>
            </w:r>
          </w:p>
          <w:p>
            <w:pPr>
              <w:pStyle w:val="182"/>
              <w:spacing w:line="320" w:lineRule="exact"/>
              <w:rPr>
                <w:color w:val="auto"/>
              </w:rPr>
            </w:pPr>
            <w:r>
              <w:rPr>
                <w:rFonts w:hint="eastAsia"/>
                <w:color w:val="auto"/>
              </w:rPr>
              <w:t>支持ka**a日志接收转发、大数据安全域同步、APT沙箱报告转发等大数据联调功能，Ka**a收发支持SSL加密</w:t>
            </w:r>
          </w:p>
          <w:p>
            <w:pPr>
              <w:pStyle w:val="182"/>
              <w:spacing w:line="320" w:lineRule="exact"/>
              <w:rPr>
                <w:color w:val="auto"/>
              </w:rPr>
            </w:pPr>
            <w:r>
              <w:rPr>
                <w:rFonts w:hint="eastAsia"/>
                <w:color w:val="auto"/>
              </w:rPr>
              <w:t>支持手动或按周期自动备份系统配置，可随时对系统资产等配置进行还原操作，且自动备份周期与备份包个数可配；支持系统配置备份自动备份至远程服务器</w:t>
            </w:r>
          </w:p>
          <w:p>
            <w:pPr>
              <w:pStyle w:val="182"/>
              <w:spacing w:line="320" w:lineRule="exact"/>
              <w:rPr>
                <w:color w:val="auto"/>
              </w:rPr>
            </w:pPr>
            <w:r>
              <w:rPr>
                <w:color w:val="auto"/>
              </w:rPr>
              <w:t>支持通过界面自定义字段方式实现与第三方平台的数据共享，快速满足第三方平台个性化分析和对接需求。</w:t>
            </w:r>
          </w:p>
          <w:p>
            <w:pPr>
              <w:pStyle w:val="182"/>
              <w:spacing w:line="320" w:lineRule="exact"/>
              <w:rPr>
                <w:color w:val="auto"/>
              </w:rPr>
            </w:pPr>
            <w:r>
              <w:rPr>
                <w:rFonts w:hint="eastAsia"/>
                <w:color w:val="auto"/>
              </w:rPr>
              <w:t>支持配置平台信息，包括logo、名称及版权信息。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日志收集</w:t>
            </w:r>
          </w:p>
        </w:tc>
        <w:tc>
          <w:tcPr>
            <w:tcW w:w="4177" w:type="pct"/>
            <w:noWrap w:val="0"/>
            <w:vAlign w:val="top"/>
          </w:tcPr>
          <w:p>
            <w:pPr>
              <w:pStyle w:val="182"/>
              <w:spacing w:line="320" w:lineRule="exact"/>
              <w:rPr>
                <w:color w:val="auto"/>
              </w:rPr>
            </w:pPr>
            <w:r>
              <w:rPr>
                <w:rFonts w:hint="eastAsia"/>
                <w:color w:val="auto"/>
              </w:rPr>
              <w:t>支持Syslog、SNMP Trap、</w:t>
            </w:r>
            <w:r>
              <w:rPr>
                <w:color w:val="auto"/>
              </w:rPr>
              <w:t>HTTP</w:t>
            </w:r>
            <w:r>
              <w:rPr>
                <w:rFonts w:hint="eastAsia"/>
                <w:color w:val="auto"/>
              </w:rPr>
              <w:t>、</w:t>
            </w:r>
            <w:r>
              <w:rPr>
                <w:color w:val="auto"/>
              </w:rPr>
              <w:t>ODBC/JDBC、WMI、</w:t>
            </w:r>
            <w:r>
              <w:rPr>
                <w:rFonts w:hint="eastAsia"/>
                <w:color w:val="auto"/>
              </w:rPr>
              <w:t>FTP</w:t>
            </w:r>
            <w:r>
              <w:rPr>
                <w:color w:val="auto"/>
              </w:rPr>
              <w:t>、SFTP</w:t>
            </w:r>
            <w:r>
              <w:rPr>
                <w:rFonts w:hint="eastAsia"/>
                <w:color w:val="auto"/>
              </w:rPr>
              <w:t>协议日志收集；支持阿里云SLS日志的采集，提供截图证明。</w:t>
            </w:r>
          </w:p>
          <w:p>
            <w:pPr>
              <w:pStyle w:val="182"/>
              <w:spacing w:line="320" w:lineRule="exact"/>
              <w:rPr>
                <w:color w:val="auto"/>
              </w:rPr>
            </w:pPr>
            <w:r>
              <w:rPr>
                <w:rFonts w:hint="eastAsia"/>
                <w:color w:val="auto"/>
              </w:rPr>
              <w:t>可通过接收协议限制日志接收速率，包括Http接收、syslog接收、SNMPtrap接收、TCP接收、WMI接收、aliyun接收。</w:t>
            </w:r>
          </w:p>
          <w:p>
            <w:pPr>
              <w:pStyle w:val="182"/>
              <w:spacing w:line="320" w:lineRule="exact"/>
              <w:rPr>
                <w:color w:val="auto"/>
              </w:rPr>
            </w:pPr>
            <w:r>
              <w:rPr>
                <w:rFonts w:hint="eastAsia"/>
                <w:color w:val="auto"/>
              </w:rPr>
              <w:t>支持对Agent进行统一管控，包括卸载、升级、启动及停止操作，支持将日志收集策略统一分发。</w:t>
            </w:r>
          </w:p>
          <w:p>
            <w:pPr>
              <w:pStyle w:val="182"/>
              <w:spacing w:line="320" w:lineRule="exact"/>
              <w:rPr>
                <w:color w:val="auto"/>
              </w:rPr>
            </w:pPr>
            <w:r>
              <w:rPr>
                <w:rFonts w:hint="eastAsia"/>
                <w:color w:val="auto"/>
              </w:rPr>
              <w:t>支持目前主流的网络安全设备、交换设备、路由设备、操作系统、应用系统等；</w:t>
            </w:r>
          </w:p>
          <w:p>
            <w:pPr>
              <w:pStyle w:val="182"/>
              <w:spacing w:line="320" w:lineRule="exact"/>
              <w:rPr>
                <w:color w:val="auto"/>
              </w:rPr>
            </w:pPr>
            <w:r>
              <w:rPr>
                <w:rFonts w:hint="eastAsia"/>
                <w:color w:val="auto"/>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日志分析</w:t>
            </w:r>
          </w:p>
        </w:tc>
        <w:tc>
          <w:tcPr>
            <w:tcW w:w="4177" w:type="pct"/>
            <w:noWrap w:val="0"/>
            <w:vAlign w:val="top"/>
          </w:tcPr>
          <w:p>
            <w:pPr>
              <w:pStyle w:val="182"/>
              <w:spacing w:line="320" w:lineRule="exact"/>
              <w:rPr>
                <w:color w:val="auto"/>
              </w:rPr>
            </w:pPr>
            <w:r>
              <w:rPr>
                <w:rFonts w:hint="eastAsia"/>
                <w:color w:val="auto"/>
              </w:rPr>
              <w:t>内置</w:t>
            </w:r>
            <w:r>
              <w:rPr>
                <w:color w:val="auto"/>
              </w:rPr>
              <w:t>5000+</w:t>
            </w:r>
            <w:r>
              <w:rPr>
                <w:rFonts w:hint="eastAsia"/>
                <w:color w:val="auto"/>
              </w:rPr>
              <w:t>解析规则，支持对收集的</w:t>
            </w:r>
            <w:r>
              <w:rPr>
                <w:color w:val="auto"/>
              </w:rPr>
              <w:t>5000+</w:t>
            </w:r>
            <w:r>
              <w:rPr>
                <w:rFonts w:hint="eastAsia"/>
                <w:color w:val="auto"/>
              </w:rPr>
              <w:t>设备类型日志进行解析（标准化、归一化），解析维度多达</w:t>
            </w:r>
            <w:r>
              <w:rPr>
                <w:color w:val="auto"/>
              </w:rPr>
              <w:t>200+</w:t>
            </w:r>
            <w:r>
              <w:rPr>
                <w:rFonts w:hint="eastAsia"/>
                <w:color w:val="auto"/>
              </w:rPr>
              <w:t>，解析规则可以根据客户要求定制扩展；</w:t>
            </w:r>
          </w:p>
          <w:p>
            <w:pPr>
              <w:pStyle w:val="182"/>
              <w:spacing w:line="320" w:lineRule="exact"/>
              <w:rPr>
                <w:color w:val="auto"/>
              </w:rPr>
            </w:pPr>
            <w:r>
              <w:rPr>
                <w:rFonts w:hint="eastAsia"/>
                <w:color w:val="auto"/>
              </w:rPr>
              <w:t>内置设备异常、漏洞利用、横向渗透、权限提升、命令执行、可疑行为</w:t>
            </w:r>
            <w:r>
              <w:rPr>
                <w:color w:val="auto"/>
              </w:rPr>
              <w:t>6</w:t>
            </w:r>
            <w:r>
              <w:rPr>
                <w:rFonts w:hint="eastAsia"/>
                <w:color w:val="auto"/>
              </w:rPr>
              <w:t>大类5</w:t>
            </w:r>
            <w:r>
              <w:rPr>
                <w:color w:val="auto"/>
              </w:rPr>
              <w:t>0+</w:t>
            </w:r>
            <w:r>
              <w:rPr>
                <w:rFonts w:hint="eastAsia"/>
                <w:color w:val="auto"/>
              </w:rPr>
              <w:t>子类的安全分析场景</w:t>
            </w:r>
          </w:p>
          <w:p>
            <w:pPr>
              <w:pStyle w:val="182"/>
              <w:spacing w:line="320" w:lineRule="exact"/>
              <w:rPr>
                <w:color w:val="auto"/>
              </w:rPr>
            </w:pPr>
            <w:r>
              <w:rPr>
                <w:rFonts w:hint="eastAsia"/>
                <w:color w:val="auto"/>
              </w:rPr>
              <w:t>三维关联分析；支持通过资产、安全知识库、弱点库三个维度分析事件是否存在威胁，并形成关联事件，提供截图证明。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性能监控</w:t>
            </w:r>
          </w:p>
          <w:p>
            <w:pPr>
              <w:spacing w:before="158" w:after="158"/>
              <w:rPr>
                <w:rFonts w:ascii="仿宋" w:hAnsi="仿宋" w:eastAsia="仿宋" w:cs="方正兰亭黑简体"/>
              </w:rPr>
            </w:pPr>
          </w:p>
        </w:tc>
        <w:tc>
          <w:tcPr>
            <w:tcW w:w="4177" w:type="pct"/>
            <w:noWrap w:val="0"/>
            <w:vAlign w:val="top"/>
          </w:tcPr>
          <w:p>
            <w:pPr>
              <w:pStyle w:val="182"/>
              <w:spacing w:line="320" w:lineRule="exact"/>
              <w:rPr>
                <w:color w:val="auto"/>
              </w:rPr>
            </w:pPr>
            <w:r>
              <w:rPr>
                <w:rFonts w:hint="eastAsia"/>
                <w:color w:val="auto"/>
              </w:rPr>
              <w:t>支持监控设备自身CPU、内存、磁盘等工作运行状况；</w:t>
            </w:r>
          </w:p>
          <w:p>
            <w:pPr>
              <w:pStyle w:val="182"/>
              <w:spacing w:line="320" w:lineRule="exact"/>
              <w:rPr>
                <w:color w:val="auto"/>
              </w:rPr>
            </w:pPr>
            <w:r>
              <w:rPr>
                <w:rFonts w:hint="eastAsia"/>
                <w:color w:val="auto"/>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地理安全系统</w:t>
            </w:r>
          </w:p>
        </w:tc>
        <w:tc>
          <w:tcPr>
            <w:tcW w:w="4177" w:type="pct"/>
            <w:noWrap w:val="0"/>
            <w:vAlign w:val="top"/>
          </w:tcPr>
          <w:p>
            <w:pPr>
              <w:pStyle w:val="182"/>
              <w:spacing w:line="320" w:lineRule="exact"/>
              <w:rPr>
                <w:color w:val="auto"/>
              </w:rPr>
            </w:pPr>
            <w:r>
              <w:rPr>
                <w:rFonts w:hint="eastAsia"/>
                <w:color w:val="auto"/>
              </w:rPr>
              <w:t>内置GeoSec地理安全子系统，内置世界以及中国安全GIS地图；</w:t>
            </w:r>
          </w:p>
          <w:p>
            <w:pPr>
              <w:pStyle w:val="182"/>
              <w:spacing w:line="320" w:lineRule="exact"/>
              <w:rPr>
                <w:color w:val="auto"/>
              </w:rPr>
            </w:pPr>
            <w:r>
              <w:rPr>
                <w:rFonts w:hint="eastAsia"/>
                <w:color w:val="auto"/>
              </w:rPr>
              <w:t>支持用地理地图展示来源威胁的趋势；</w:t>
            </w:r>
          </w:p>
          <w:p>
            <w:pPr>
              <w:pStyle w:val="182"/>
              <w:spacing w:line="320" w:lineRule="exact"/>
              <w:rPr>
                <w:color w:val="auto"/>
              </w:rPr>
            </w:pPr>
            <w:r>
              <w:rPr>
                <w:rFonts w:hint="eastAsia"/>
                <w:color w:val="auto"/>
              </w:rPr>
              <w:t>支持用地理地图展示目的威胁的趋势；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综合查询及报表管理</w:t>
            </w:r>
          </w:p>
        </w:tc>
        <w:tc>
          <w:tcPr>
            <w:tcW w:w="4177" w:type="pct"/>
            <w:noWrap w:val="0"/>
            <w:vAlign w:val="top"/>
          </w:tcPr>
          <w:p>
            <w:pPr>
              <w:pStyle w:val="182"/>
              <w:spacing w:line="320" w:lineRule="exact"/>
              <w:rPr>
                <w:color w:val="auto"/>
              </w:rPr>
            </w:pPr>
            <w:r>
              <w:rPr>
                <w:rFonts w:hint="eastAsia"/>
                <w:color w:val="auto"/>
              </w:rPr>
              <w:t>内置合规性报表1000+种；</w:t>
            </w:r>
          </w:p>
          <w:p>
            <w:pPr>
              <w:pStyle w:val="182"/>
              <w:spacing w:line="320" w:lineRule="exact"/>
              <w:rPr>
                <w:color w:val="auto"/>
              </w:rPr>
            </w:pPr>
            <w:r>
              <w:rPr>
                <w:rFonts w:hint="eastAsia"/>
                <w:color w:val="auto"/>
              </w:rPr>
              <w:t>内置SOX、ISO27001、WEB安全等解决方案包；</w:t>
            </w:r>
          </w:p>
          <w:p>
            <w:pPr>
              <w:pStyle w:val="182"/>
              <w:spacing w:line="320" w:lineRule="exact"/>
              <w:rPr>
                <w:color w:val="auto"/>
              </w:rPr>
            </w:pPr>
            <w:r>
              <w:rPr>
                <w:rFonts w:hint="eastAsia"/>
                <w:color w:val="auto"/>
              </w:rPr>
              <w:t>内置完善的等级保护合规报表；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noWrap w:val="0"/>
            <w:vAlign w:val="top"/>
          </w:tcPr>
          <w:p>
            <w:pPr>
              <w:spacing w:before="158" w:after="158"/>
              <w:rPr>
                <w:rFonts w:ascii="仿宋" w:hAnsi="仿宋" w:eastAsia="仿宋" w:cs="方正兰亭黑简体"/>
              </w:rPr>
            </w:pPr>
            <w:r>
              <w:rPr>
                <w:rFonts w:hint="eastAsia" w:ascii="仿宋" w:hAnsi="仿宋" w:eastAsia="仿宋" w:cs="方正兰亭黑简体"/>
              </w:rPr>
              <w:t>用户管理</w:t>
            </w:r>
          </w:p>
        </w:tc>
        <w:tc>
          <w:tcPr>
            <w:tcW w:w="4177" w:type="pct"/>
            <w:noWrap w:val="0"/>
            <w:vAlign w:val="top"/>
          </w:tcPr>
          <w:p>
            <w:pPr>
              <w:pStyle w:val="182"/>
              <w:spacing w:line="320" w:lineRule="exact"/>
              <w:rPr>
                <w:color w:val="auto"/>
              </w:rPr>
            </w:pPr>
            <w:r>
              <w:rPr>
                <w:rFonts w:hint="eastAsia"/>
                <w:color w:val="auto"/>
              </w:rPr>
              <w:t>用户支持双因子认证登录，双因子认证令牌支持绑定至具体用户</w:t>
            </w:r>
          </w:p>
          <w:p>
            <w:pPr>
              <w:pStyle w:val="182"/>
              <w:spacing w:line="320" w:lineRule="exact"/>
              <w:rPr>
                <w:color w:val="auto"/>
              </w:rPr>
            </w:pPr>
            <w:r>
              <w:rPr>
                <w:rFonts w:hint="eastAsia"/>
                <w:color w:val="auto"/>
              </w:rPr>
              <w:t>提供一键式故障排除功能；</w:t>
            </w:r>
          </w:p>
          <w:p>
            <w:pPr>
              <w:pStyle w:val="182"/>
              <w:spacing w:line="320" w:lineRule="exact"/>
              <w:rPr>
                <w:color w:val="auto"/>
              </w:rPr>
            </w:pPr>
            <w:r>
              <w:rPr>
                <w:rFonts w:hint="eastAsia"/>
                <w:color w:val="auto"/>
              </w:rPr>
              <w:t>提供自助式的升级接口，支持对产品升级、规则升级。</w:t>
            </w:r>
          </w:p>
        </w:tc>
      </w:tr>
    </w:tbl>
    <w:p>
      <w:pPr>
        <w:pStyle w:val="182"/>
        <w:rPr>
          <w:color w:val="auto"/>
        </w:rPr>
      </w:pPr>
    </w:p>
    <w:p>
      <w:pPr>
        <w:pStyle w:val="82"/>
        <w:numPr>
          <w:ilvl w:val="0"/>
          <w:numId w:val="20"/>
        </w:numPr>
        <w:spacing w:line="360" w:lineRule="auto"/>
        <w:ind w:firstLineChars="0"/>
        <w:outlineLvl w:val="1"/>
        <w:rPr>
          <w:rFonts w:ascii="仿宋" w:hAnsi="仿宋" w:eastAsia="仿宋"/>
          <w:b/>
          <w:sz w:val="32"/>
          <w:szCs w:val="32"/>
        </w:rPr>
      </w:pPr>
      <w:bookmarkStart w:id="197" w:name="_Toc86405268"/>
      <w:bookmarkStart w:id="198" w:name="_Toc88725897"/>
      <w:bookmarkStart w:id="199" w:name="_Toc88727592"/>
      <w:r>
        <w:rPr>
          <w:rFonts w:hint="eastAsia" w:ascii="仿宋" w:hAnsi="仿宋" w:eastAsia="仿宋"/>
          <w:b/>
          <w:sz w:val="32"/>
          <w:szCs w:val="32"/>
        </w:rPr>
        <w:t>流量采集探针功能指标要求</w:t>
      </w:r>
      <w:bookmarkEnd w:id="197"/>
      <w:bookmarkEnd w:id="198"/>
      <w:bookmarkEnd w:id="199"/>
    </w:p>
    <w:tbl>
      <w:tblPr>
        <w:tblStyle w:val="34"/>
        <w:tblW w:w="8745" w:type="dxa"/>
        <w:jc w:val="center"/>
        <w:tblLayout w:type="fixed"/>
        <w:tblCellMar>
          <w:top w:w="0" w:type="dxa"/>
          <w:left w:w="108" w:type="dxa"/>
          <w:bottom w:w="0" w:type="dxa"/>
          <w:right w:w="108" w:type="dxa"/>
        </w:tblCellMar>
      </w:tblPr>
      <w:tblGrid>
        <w:gridCol w:w="1414"/>
        <w:gridCol w:w="7331"/>
      </w:tblGrid>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shd w:val="pct10" w:color="auto" w:fill="auto"/>
            <w:noWrap w:val="0"/>
            <w:vAlign w:val="top"/>
          </w:tcPr>
          <w:p>
            <w:pPr>
              <w:jc w:val="center"/>
              <w:rPr>
                <w:rFonts w:ascii="仿宋" w:hAnsi="仿宋" w:eastAsia="仿宋"/>
              </w:rPr>
            </w:pPr>
            <w:r>
              <w:rPr>
                <w:rFonts w:hint="eastAsia" w:ascii="仿宋" w:hAnsi="仿宋" w:eastAsia="仿宋" w:cs="方正兰亭黑简体"/>
                <w:b/>
              </w:rPr>
              <w:t>技术指标</w:t>
            </w:r>
          </w:p>
        </w:tc>
        <w:tc>
          <w:tcPr>
            <w:tcW w:w="7331" w:type="dxa"/>
            <w:tcBorders>
              <w:top w:val="single" w:color="auto" w:sz="4" w:space="0"/>
              <w:left w:val="single" w:color="auto" w:sz="4" w:space="0"/>
              <w:bottom w:val="single" w:color="auto" w:sz="4" w:space="0"/>
              <w:right w:val="single" w:color="auto" w:sz="4" w:space="0"/>
            </w:tcBorders>
            <w:shd w:val="pct10" w:color="auto" w:fill="auto"/>
            <w:noWrap w:val="0"/>
            <w:vAlign w:val="top"/>
          </w:tcPr>
          <w:p>
            <w:pPr>
              <w:jc w:val="center"/>
              <w:rPr>
                <w:rFonts w:ascii="仿宋" w:hAnsi="仿宋" w:eastAsia="仿宋"/>
              </w:rPr>
            </w:pPr>
            <w:r>
              <w:rPr>
                <w:rFonts w:hint="eastAsia" w:ascii="仿宋" w:hAnsi="仿宋" w:eastAsia="仿宋" w:cs="方正兰亭黑简体"/>
                <w:b/>
              </w:rPr>
              <w:t>技术要求</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全流量检测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支持全流量检测，可根据需求打开或关闭全流量检测功能</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IPv4 &amp; IPv6网络</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支持IPv4和IPv6网络环境下的部署，可同时对IPv4和IPv6网络流量分析检测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风险数据包保存</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支持风险数据包保存功能，可存留会话的请求和相应数据包，帮助用户还原攻击过程，进行取证和关联分析；并支持系统内置wireshark组件在线预览风险数据包</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数据包去重</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支持数据包去重功能，在原始流量存在重复包的情况下能够自动剔除重复的数据包，确保分析结果的准确性，数据包去重功能不影响设备的处理性能</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审计协议</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kern w:val="0"/>
              </w:rPr>
            </w:pPr>
            <w:r>
              <w:rPr>
                <w:rFonts w:hint="eastAsia" w:ascii="仿宋" w:hAnsi="仿宋" w:eastAsia="仿宋"/>
                <w:kern w:val="0"/>
              </w:rPr>
              <w:t>支持解析HTTP、FTP、SMTP、POP3、SMB、IMAP、DNS、HTTPS、SMTPS、POP3S、IMAPS、RADIUS、KRB5、SNMP、NETFLOW V9等协议报文（HTTPS、SMTPS、POP3S、IMAPS加密协议解析需要导入服务器私钥证书），并提供审计协议类型的端口号配置，可根据需要变更端口号；</w:t>
            </w:r>
          </w:p>
          <w:p>
            <w:pPr>
              <w:spacing w:line="320" w:lineRule="exact"/>
              <w:rPr>
                <w:rFonts w:ascii="仿宋" w:hAnsi="仿宋" w:eastAsia="仿宋"/>
                <w:kern w:val="0"/>
              </w:rPr>
            </w:pPr>
            <w:r>
              <w:rPr>
                <w:rFonts w:hint="eastAsia" w:ascii="仿宋" w:hAnsi="仿宋" w:eastAsia="仿宋"/>
                <w:kern w:val="0"/>
              </w:rPr>
              <w:t>支持识别QQ、WEB、LDAP、FTP、TELNET、邮件、SMB、RADMIN、ORACLE、MSSQL、SYBASE、MYSQL、DB2、postgreSQL、REDIS等登录行为；</w:t>
            </w:r>
          </w:p>
          <w:p>
            <w:pPr>
              <w:spacing w:line="320" w:lineRule="exact"/>
              <w:rPr>
                <w:rFonts w:ascii="仿宋" w:hAnsi="仿宋" w:eastAsia="仿宋"/>
                <w:kern w:val="0"/>
              </w:rPr>
            </w:pPr>
            <w:r>
              <w:rPr>
                <w:rFonts w:hint="eastAsia" w:ascii="仿宋" w:hAnsi="仿宋" w:eastAsia="仿宋"/>
                <w:kern w:val="0"/>
              </w:rPr>
              <w:t>支持多层 VLAN、VXLAN、MPLS、GRE、VN-Tag等网络流量的解析检测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协议自动识别</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宋体"/>
              </w:rPr>
              <w:t>支持非标端口下的常规协议自动识别、解析和威胁检测功能，包括HTTP/FTP/IMAP/SMTP/POP3/SSL/SMB/RDP等；可自定义是否启用该功能</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检测风险类别</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MS Mincho"/>
              </w:rPr>
              <w:t>支持</w:t>
            </w:r>
            <w:r>
              <w:rPr>
                <w:rFonts w:hint="eastAsia" w:ascii="仿宋" w:hAnsi="仿宋" w:eastAsia="仿宋" w:cs="宋体"/>
              </w:rPr>
              <w:t>检测</w:t>
            </w:r>
            <w:r>
              <w:rPr>
                <w:rFonts w:hint="eastAsia" w:ascii="仿宋" w:hAnsi="仿宋" w:eastAsia="仿宋"/>
              </w:rPr>
              <w:t>WEB</w:t>
            </w:r>
            <w:r>
              <w:rPr>
                <w:rFonts w:hint="eastAsia" w:ascii="仿宋" w:hAnsi="仿宋" w:eastAsia="仿宋" w:cs="MS Mincho"/>
              </w:rPr>
              <w:t>攻</w:t>
            </w:r>
            <w:r>
              <w:rPr>
                <w:rFonts w:hint="eastAsia" w:ascii="仿宋" w:hAnsi="仿宋" w:eastAsia="仿宋" w:cs="宋体"/>
              </w:rPr>
              <w:t>击</w:t>
            </w:r>
            <w:r>
              <w:rPr>
                <w:rFonts w:hint="eastAsia" w:ascii="仿宋" w:hAnsi="仿宋" w:eastAsia="仿宋"/>
              </w:rPr>
              <w:t>、</w:t>
            </w:r>
            <w:r>
              <w:rPr>
                <w:rFonts w:hint="eastAsia" w:ascii="仿宋" w:hAnsi="仿宋" w:eastAsia="仿宋" w:cs="宋体"/>
              </w:rPr>
              <w:t>恶意文件攻击</w:t>
            </w:r>
            <w:r>
              <w:rPr>
                <w:rFonts w:hint="eastAsia" w:ascii="仿宋" w:hAnsi="仿宋" w:eastAsia="仿宋"/>
              </w:rPr>
              <w:t>、</w:t>
            </w:r>
            <w:r>
              <w:rPr>
                <w:rFonts w:hint="eastAsia" w:ascii="仿宋" w:hAnsi="仿宋" w:eastAsia="仿宋" w:cs="宋体"/>
              </w:rPr>
              <w:t>远程控制</w:t>
            </w:r>
            <w:r>
              <w:rPr>
                <w:rFonts w:hint="eastAsia" w:ascii="仿宋" w:hAnsi="仿宋" w:eastAsia="仿宋"/>
              </w:rPr>
              <w:t>、WEB</w:t>
            </w:r>
            <w:r>
              <w:rPr>
                <w:rFonts w:hint="eastAsia" w:ascii="仿宋" w:hAnsi="仿宋" w:eastAsia="仿宋" w:cs="MS Mincho"/>
              </w:rPr>
              <w:t>后</w:t>
            </w:r>
            <w:r>
              <w:rPr>
                <w:rFonts w:hint="eastAsia" w:ascii="仿宋" w:hAnsi="仿宋" w:eastAsia="仿宋" w:cs="宋体"/>
              </w:rPr>
              <w:t>门访问</w:t>
            </w:r>
            <w:r>
              <w:rPr>
                <w:rFonts w:hint="eastAsia" w:ascii="仿宋" w:hAnsi="仿宋" w:eastAsia="仿宋"/>
              </w:rPr>
              <w:t>、行为分析、DGA</w:t>
            </w:r>
            <w:r>
              <w:rPr>
                <w:rFonts w:hint="eastAsia" w:ascii="仿宋" w:hAnsi="仿宋" w:eastAsia="仿宋" w:cs="MS Mincho"/>
              </w:rPr>
              <w:t>域名</w:t>
            </w:r>
            <w:r>
              <w:rPr>
                <w:rFonts w:hint="eastAsia" w:ascii="仿宋" w:hAnsi="仿宋" w:eastAsia="仿宋" w:cs="宋体"/>
              </w:rPr>
              <w:t>请求</w:t>
            </w:r>
            <w:r>
              <w:rPr>
                <w:rFonts w:hint="eastAsia" w:ascii="仿宋" w:hAnsi="仿宋" w:eastAsia="仿宋"/>
              </w:rPr>
              <w:t>、SMB</w:t>
            </w:r>
            <w:r>
              <w:rPr>
                <w:rFonts w:hint="eastAsia" w:ascii="仿宋" w:hAnsi="仿宋" w:eastAsia="仿宋" w:cs="宋体"/>
              </w:rPr>
              <w:t>远程溢出攻击</w:t>
            </w:r>
            <w:r>
              <w:rPr>
                <w:rFonts w:hint="eastAsia" w:ascii="仿宋" w:hAnsi="仿宋" w:eastAsia="仿宋"/>
              </w:rPr>
              <w:t>、</w:t>
            </w:r>
            <w:r>
              <w:rPr>
                <w:rFonts w:hint="eastAsia" w:ascii="仿宋" w:hAnsi="仿宋" w:eastAsia="仿宋" w:cs="MS Mincho"/>
              </w:rPr>
              <w:t>弱口令</w:t>
            </w:r>
            <w:r>
              <w:rPr>
                <w:rFonts w:hint="eastAsia" w:ascii="仿宋" w:hAnsi="仿宋" w:eastAsia="仿宋"/>
              </w:rPr>
              <w:t>、拒绝服务攻击、</w:t>
            </w:r>
            <w:r>
              <w:rPr>
                <w:rFonts w:hint="eastAsia" w:ascii="仿宋" w:hAnsi="仿宋" w:eastAsia="仿宋" w:cs="宋体"/>
              </w:rPr>
              <w:t>隧道通信</w:t>
            </w:r>
            <w:r>
              <w:rPr>
                <w:rFonts w:hint="eastAsia" w:ascii="仿宋" w:hAnsi="仿宋" w:eastAsia="仿宋"/>
              </w:rPr>
              <w:t>、</w:t>
            </w:r>
            <w:r>
              <w:rPr>
                <w:rFonts w:hint="eastAsia" w:ascii="仿宋" w:hAnsi="仿宋" w:eastAsia="仿宋" w:cs="MS Mincho"/>
              </w:rPr>
              <w:t>暴力破解</w:t>
            </w:r>
            <w:r>
              <w:rPr>
                <w:rFonts w:hint="eastAsia" w:ascii="仿宋" w:hAnsi="仿宋" w:eastAsia="仿宋"/>
              </w:rPr>
              <w:t>、</w:t>
            </w:r>
            <w:r>
              <w:rPr>
                <w:rFonts w:hint="eastAsia" w:ascii="仿宋" w:hAnsi="仿宋" w:eastAsia="仿宋" w:cs="MS Mincho"/>
              </w:rPr>
              <w:t>挖</w:t>
            </w:r>
            <w:r>
              <w:rPr>
                <w:rFonts w:hint="eastAsia" w:ascii="仿宋" w:hAnsi="仿宋" w:eastAsia="仿宋" w:cs="宋体"/>
              </w:rPr>
              <w:t>矿</w:t>
            </w:r>
            <w:r>
              <w:rPr>
                <w:rFonts w:hint="eastAsia" w:ascii="仿宋" w:hAnsi="仿宋" w:eastAsia="仿宋"/>
              </w:rPr>
              <w:t>、</w:t>
            </w:r>
            <w:r>
              <w:rPr>
                <w:rFonts w:hint="eastAsia" w:ascii="仿宋" w:hAnsi="仿宋" w:eastAsia="仿宋" w:cs="宋体"/>
              </w:rPr>
              <w:t>恶意工具利用</w:t>
            </w:r>
            <w:r>
              <w:rPr>
                <w:rFonts w:hint="eastAsia" w:ascii="仿宋" w:hAnsi="仿宋" w:eastAsia="仿宋"/>
              </w:rPr>
              <w:t>、扫描行为、漏洞利用、邮件社工攻击、ARP欺骗</w:t>
            </w:r>
            <w:r>
              <w:rPr>
                <w:rFonts w:hint="eastAsia" w:ascii="仿宋" w:hAnsi="仿宋" w:eastAsia="仿宋" w:cs="宋体"/>
              </w:rPr>
              <w:t>、密码明文形式传输</w:t>
            </w:r>
            <w:r>
              <w:rPr>
                <w:rFonts w:hint="eastAsia" w:ascii="仿宋" w:hAnsi="仿宋" w:eastAsia="仿宋" w:cs="MS Mincho"/>
              </w:rPr>
              <w:t>等行为</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弱口令风险检测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cs="MS Mincho"/>
              </w:rPr>
              <w:t>支持</w:t>
            </w:r>
            <w:r>
              <w:rPr>
                <w:rFonts w:hint="eastAsia" w:ascii="仿宋" w:hAnsi="仿宋" w:eastAsia="仿宋" w:cs="宋体"/>
              </w:rPr>
              <w:t>对</w:t>
            </w:r>
            <w:r>
              <w:rPr>
                <w:rFonts w:hint="eastAsia" w:ascii="仿宋" w:hAnsi="仿宋" w:eastAsia="仿宋"/>
              </w:rPr>
              <w:t>HTTP、IMAP、SMTP、POP3、Redis、Telnet、FTP</w:t>
            </w:r>
            <w:r>
              <w:rPr>
                <w:rFonts w:hint="eastAsia" w:ascii="仿宋" w:hAnsi="仿宋" w:eastAsia="仿宋" w:cs="MS Mincho"/>
              </w:rPr>
              <w:t>等</w:t>
            </w:r>
            <w:r>
              <w:rPr>
                <w:rFonts w:hint="eastAsia" w:ascii="仿宋" w:hAnsi="仿宋" w:eastAsia="仿宋" w:cs="宋体"/>
              </w:rPr>
              <w:t>协议</w:t>
            </w:r>
            <w:r>
              <w:rPr>
                <w:rFonts w:hint="eastAsia" w:ascii="仿宋" w:hAnsi="仿宋" w:eastAsia="仿宋" w:cs="MS Mincho"/>
              </w:rPr>
              <w:t>的弱口令</w:t>
            </w:r>
            <w:r>
              <w:rPr>
                <w:rFonts w:hint="eastAsia" w:ascii="仿宋" w:hAnsi="仿宋" w:eastAsia="仿宋" w:cs="宋体"/>
              </w:rPr>
              <w:t>检测</w:t>
            </w:r>
          </w:p>
          <w:p>
            <w:pPr>
              <w:spacing w:line="320" w:lineRule="exact"/>
              <w:rPr>
                <w:rFonts w:ascii="仿宋" w:hAnsi="仿宋" w:eastAsia="仿宋"/>
              </w:rPr>
            </w:pPr>
            <w:r>
              <w:rPr>
                <w:rFonts w:hint="eastAsia" w:ascii="仿宋" w:hAnsi="仿宋" w:eastAsia="仿宋"/>
              </w:rPr>
              <w:t>支持自定义弱口令规则配置（最短口令长度、最少字符类型数），自定义新增弱密码及其检测类型</w:t>
            </w:r>
          </w:p>
          <w:p>
            <w:pPr>
              <w:spacing w:line="320" w:lineRule="exact"/>
              <w:rPr>
                <w:rFonts w:ascii="仿宋" w:hAnsi="仿宋" w:eastAsia="仿宋"/>
              </w:rPr>
            </w:pPr>
            <w:r>
              <w:rPr>
                <w:rFonts w:hint="eastAsia" w:ascii="仿宋" w:hAnsi="仿宋" w:eastAsia="仿宋"/>
              </w:rPr>
              <w:t>支持对HTTP协议请求头中用户认证弱口令、对JSON格式(逗号分割和冒号区分键值)的用户信息提取和弱口令、明文口令和MD5加密口令碰撞的弱口令、BASE64加密口令的弱口令等进行检测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WEB登录</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支持自定义HTTP登录行为关键字，包括用户名和密码</w:t>
            </w:r>
          </w:p>
          <w:p>
            <w:pPr>
              <w:widowControl/>
              <w:spacing w:line="320" w:lineRule="exact"/>
              <w:jc w:val="left"/>
              <w:rPr>
                <w:rFonts w:ascii="仿宋" w:hAnsi="仿宋" w:eastAsia="仿宋"/>
                <w:kern w:val="0"/>
              </w:rPr>
            </w:pPr>
            <w:r>
              <w:rPr>
                <w:rFonts w:hint="eastAsia" w:ascii="仿宋" w:hAnsi="仿宋" w:eastAsia="仿宋"/>
                <w:shd w:val="clear" w:color="auto" w:fill="FFFFFF"/>
              </w:rPr>
              <w:t>支持自定义HTTP登录行为的用户名获取来源，包括但不限于请求头、URL、Cookie、POST-body；支持自定义配置状态码、返回内容与登陆成功/失败状态的绑定关系</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暴力破解检测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cs="MS Mincho"/>
              </w:rPr>
              <w:t>支持HTTP、</w:t>
            </w:r>
            <w:r>
              <w:rPr>
                <w:rFonts w:hint="eastAsia" w:ascii="仿宋" w:hAnsi="仿宋" w:eastAsia="仿宋"/>
              </w:rPr>
              <w:t>SMB、SMTP、IMAP、POP3、FTP、TELNET、RADMIN、SSH、RDP、ORACLE、MSSQL、SYBASE、MYSQL、DB2、PGSQL、LDAP</w:t>
            </w:r>
            <w:r>
              <w:rPr>
                <w:rFonts w:hint="eastAsia" w:ascii="仿宋" w:hAnsi="仿宋" w:eastAsia="仿宋" w:cs="MS Mincho"/>
              </w:rPr>
              <w:t>等</w:t>
            </w:r>
            <w:r>
              <w:rPr>
                <w:rFonts w:hint="eastAsia" w:ascii="仿宋" w:hAnsi="仿宋" w:eastAsia="仿宋" w:cs="宋体"/>
              </w:rPr>
              <w:t>协议</w:t>
            </w:r>
            <w:r>
              <w:rPr>
                <w:rFonts w:hint="eastAsia" w:ascii="仿宋" w:hAnsi="仿宋" w:eastAsia="仿宋" w:cs="MS Mincho"/>
              </w:rPr>
              <w:t>的暴力破解，能</w:t>
            </w:r>
            <w:r>
              <w:rPr>
                <w:rFonts w:hint="eastAsia" w:ascii="仿宋" w:hAnsi="仿宋" w:eastAsia="仿宋" w:cs="宋体"/>
              </w:rPr>
              <w:t>识别</w:t>
            </w:r>
            <w:r>
              <w:rPr>
                <w:rFonts w:hint="eastAsia" w:ascii="仿宋" w:hAnsi="仿宋" w:eastAsia="仿宋" w:cs="MS Mincho"/>
              </w:rPr>
              <w:t>出</w:t>
            </w:r>
            <w:r>
              <w:rPr>
                <w:rFonts w:hint="eastAsia" w:ascii="仿宋" w:hAnsi="仿宋" w:eastAsia="仿宋" w:cs="宋体"/>
              </w:rPr>
              <w:t>尝试</w:t>
            </w:r>
            <w:r>
              <w:rPr>
                <w:rFonts w:hint="eastAsia" w:ascii="仿宋" w:hAnsi="仿宋" w:eastAsia="仿宋" w:cs="MS Mincho"/>
              </w:rPr>
              <w:t>登</w:t>
            </w:r>
            <w:r>
              <w:rPr>
                <w:rFonts w:hint="eastAsia" w:ascii="仿宋" w:hAnsi="仿宋" w:eastAsia="仿宋" w:cs="宋体"/>
              </w:rPr>
              <w:t>录</w:t>
            </w:r>
            <w:r>
              <w:rPr>
                <w:rFonts w:hint="eastAsia" w:ascii="仿宋" w:hAnsi="仿宋" w:eastAsia="仿宋" w:cs="MS Mincho"/>
              </w:rPr>
              <w:t>次数、</w:t>
            </w:r>
            <w:r>
              <w:rPr>
                <w:rFonts w:hint="eastAsia" w:ascii="仿宋" w:hAnsi="仿宋" w:eastAsia="仿宋" w:cs="宋体"/>
              </w:rPr>
              <w:t>账户</w:t>
            </w:r>
            <w:r>
              <w:rPr>
                <w:rFonts w:hint="eastAsia" w:ascii="仿宋" w:hAnsi="仿宋" w:eastAsia="仿宋" w:cs="MS Mincho"/>
              </w:rPr>
              <w:t>信息、爆破成功与否的攻</w:t>
            </w:r>
            <w:r>
              <w:rPr>
                <w:rFonts w:hint="eastAsia" w:ascii="仿宋" w:hAnsi="仿宋" w:eastAsia="仿宋" w:cs="宋体"/>
              </w:rPr>
              <w:t>击</w:t>
            </w:r>
            <w:r>
              <w:rPr>
                <w:rFonts w:hint="eastAsia" w:ascii="仿宋" w:hAnsi="仿宋" w:eastAsia="仿宋" w:cs="MS Mincho"/>
              </w:rPr>
              <w:t>状</w:t>
            </w:r>
            <w:r>
              <w:rPr>
                <w:rFonts w:hint="eastAsia" w:ascii="仿宋" w:hAnsi="仿宋" w:eastAsia="仿宋" w:cs="宋体"/>
              </w:rPr>
              <w:t>态</w:t>
            </w:r>
          </w:p>
          <w:p>
            <w:pPr>
              <w:spacing w:line="320" w:lineRule="exact"/>
              <w:rPr>
                <w:rFonts w:ascii="仿宋" w:hAnsi="仿宋" w:eastAsia="仿宋"/>
              </w:rPr>
            </w:pPr>
            <w:r>
              <w:rPr>
                <w:rFonts w:hint="eastAsia" w:ascii="仿宋" w:hAnsi="仿宋" w:eastAsia="仿宋"/>
              </w:rPr>
              <w:t>支持自定义启用/禁用暴力破解模型；并支持自定义配置模型统计周期、登录次数、聚合维度、检测机制等参数</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扫描行为检测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支持IP、端口、SMB、Radmin、ICMP、ARP、传输层协议和漏洞扫描行为检测</w:t>
            </w:r>
          </w:p>
          <w:p>
            <w:pPr>
              <w:spacing w:line="320" w:lineRule="exact"/>
              <w:rPr>
                <w:rFonts w:ascii="仿宋" w:hAnsi="仿宋" w:eastAsia="仿宋"/>
              </w:rPr>
            </w:pPr>
            <w:r>
              <w:rPr>
                <w:rFonts w:hint="eastAsia" w:ascii="仿宋" w:hAnsi="仿宋" w:eastAsia="仿宋"/>
              </w:rPr>
              <w:t>支持自定义启用/禁用扫描行为模型；并支持自定义配置模型统计周期、访问次数等参数</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拒绝服务攻击检测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仿宋" w:hAnsi="仿宋" w:eastAsia="仿宋"/>
              </w:rPr>
            </w:pPr>
            <w:r>
              <w:rPr>
                <w:rFonts w:hint="eastAsia" w:ascii="仿宋" w:hAnsi="仿宋" w:eastAsia="仿宋"/>
              </w:rPr>
              <w:t>支持UDP FLOOD、DNS FLOOD、NTP FLOOD、Chargen FLOOD、SNMP FLOOD、SSDP FLOOD、</w:t>
            </w:r>
            <w:r>
              <w:rPr>
                <w:rFonts w:hint="eastAsia" w:ascii="宋体" w:hAnsi="宋体" w:eastAsia="宋体" w:cs="宋体"/>
              </w:rPr>
              <w:t> </w:t>
            </w:r>
            <w:r>
              <w:rPr>
                <w:rFonts w:hint="eastAsia" w:ascii="仿宋" w:hAnsi="仿宋" w:eastAsia="仿宋"/>
              </w:rPr>
              <w:t>Memcached FLOOD、SYN FLOOD、RST FLOOD、FIN FLOOD、ACK FLOOD、HTTP FLOOD、ICMP FLOOD、SEANET_FLOOD</w:t>
            </w:r>
          </w:p>
          <w:p>
            <w:pPr>
              <w:widowControl/>
              <w:spacing w:line="320" w:lineRule="exact"/>
              <w:jc w:val="left"/>
              <w:rPr>
                <w:rFonts w:ascii="仿宋" w:hAnsi="仿宋" w:eastAsia="仿宋"/>
              </w:rPr>
            </w:pPr>
            <w:r>
              <w:rPr>
                <w:rFonts w:hint="eastAsia" w:ascii="仿宋" w:hAnsi="仿宋" w:eastAsia="仿宋"/>
              </w:rPr>
              <w:t>检测</w:t>
            </w:r>
          </w:p>
          <w:p>
            <w:pPr>
              <w:widowControl/>
              <w:spacing w:line="320" w:lineRule="exact"/>
              <w:jc w:val="left"/>
              <w:rPr>
                <w:rFonts w:ascii="仿宋" w:hAnsi="仿宋" w:eastAsia="仿宋"/>
              </w:rPr>
            </w:pPr>
            <w:r>
              <w:rPr>
                <w:rFonts w:hint="eastAsia" w:ascii="仿宋" w:hAnsi="仿宋" w:eastAsia="仿宋"/>
              </w:rPr>
              <w:t>支持自定义启用/禁用拒绝服务攻击模型；并支持自定义配置模型统计周期、单包长度阈值、统计周期内包数量阈值等参数</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密码明文形式传播</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MS Mincho"/>
              </w:rPr>
              <w:t>支持</w:t>
            </w:r>
            <w:r>
              <w:rPr>
                <w:rFonts w:hint="eastAsia" w:ascii="仿宋" w:hAnsi="仿宋" w:eastAsia="仿宋"/>
              </w:rPr>
              <w:t>HTTP</w:t>
            </w:r>
            <w:r>
              <w:rPr>
                <w:rFonts w:hint="eastAsia" w:ascii="仿宋" w:hAnsi="仿宋" w:eastAsia="仿宋" w:cs="MS Mincho"/>
              </w:rPr>
              <w:t>密码明文传输和HTTP 密码Base64传输</w:t>
            </w:r>
            <w:r>
              <w:rPr>
                <w:rFonts w:hint="eastAsia" w:ascii="仿宋" w:hAnsi="仿宋" w:eastAsia="仿宋" w:cs="宋体"/>
              </w:rPr>
              <w:t>检测</w:t>
            </w:r>
            <w:r>
              <w:rPr>
                <w:rFonts w:hint="eastAsia" w:ascii="仿宋" w:hAnsi="仿宋" w:eastAsia="仿宋"/>
              </w:rPr>
              <w:t>，</w:t>
            </w:r>
            <w:r>
              <w:rPr>
                <w:rFonts w:hint="eastAsia" w:ascii="仿宋" w:hAnsi="仿宋" w:eastAsia="仿宋" w:cs="宋体"/>
              </w:rPr>
              <w:t>能识别出登录页面URL、账户和明文密码</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ARP欺骗检测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MS Mincho"/>
              </w:rPr>
            </w:pPr>
            <w:r>
              <w:rPr>
                <w:rFonts w:hint="eastAsia" w:ascii="仿宋" w:hAnsi="仿宋" w:eastAsia="仿宋"/>
              </w:rPr>
              <w:t>支持根据MAC与IP地址的绑定关系，分析网络中的ARP流量，判断ARP应答包中的IP和MAC地址是否匹配</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IP检测配置</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cs="MS Mincho"/>
              </w:rPr>
              <w:t>支持IP</w:t>
            </w:r>
            <w:r>
              <w:rPr>
                <w:rFonts w:hint="eastAsia" w:ascii="仿宋" w:hAnsi="仿宋" w:eastAsia="仿宋" w:cs="宋体"/>
              </w:rPr>
              <w:t>过滤</w:t>
            </w:r>
            <w:r>
              <w:rPr>
                <w:rFonts w:hint="eastAsia" w:ascii="仿宋" w:hAnsi="仿宋" w:eastAsia="仿宋" w:cs="MS Mincho"/>
              </w:rPr>
              <w:t>配置，可配置IP、端口或IP对和端口的方式</w:t>
            </w:r>
            <w:r>
              <w:rPr>
                <w:rFonts w:hint="eastAsia" w:ascii="仿宋" w:hAnsi="仿宋" w:eastAsia="仿宋" w:cs="宋体"/>
              </w:rPr>
              <w:t>对</w:t>
            </w:r>
            <w:r>
              <w:rPr>
                <w:rFonts w:hint="eastAsia" w:ascii="仿宋" w:hAnsi="仿宋" w:eastAsia="仿宋" w:cs="MS Mincho"/>
              </w:rPr>
              <w:t>网</w:t>
            </w:r>
            <w:r>
              <w:rPr>
                <w:rFonts w:hint="eastAsia" w:ascii="仿宋" w:hAnsi="仿宋" w:eastAsia="仿宋" w:cs="宋体"/>
              </w:rPr>
              <w:t>络</w:t>
            </w:r>
            <w:r>
              <w:rPr>
                <w:rFonts w:hint="eastAsia" w:ascii="仿宋" w:hAnsi="仿宋" w:eastAsia="仿宋" w:cs="MS Mincho"/>
              </w:rPr>
              <w:t>流量进行过滤；可通</w:t>
            </w:r>
            <w:r>
              <w:rPr>
                <w:rFonts w:hint="eastAsia" w:ascii="仿宋" w:hAnsi="仿宋" w:eastAsia="仿宋" w:cs="宋体"/>
              </w:rPr>
              <w:t>过新增、</w:t>
            </w:r>
            <w:r>
              <w:rPr>
                <w:rFonts w:hint="eastAsia" w:ascii="仿宋" w:hAnsi="仿宋" w:eastAsia="仿宋" w:cs="MS Mincho"/>
              </w:rPr>
              <w:t>批量</w:t>
            </w:r>
            <w:r>
              <w:rPr>
                <w:rFonts w:hint="eastAsia" w:ascii="仿宋" w:hAnsi="仿宋" w:eastAsia="仿宋" w:cs="宋体"/>
              </w:rPr>
              <w:t>导</w:t>
            </w:r>
            <w:r>
              <w:rPr>
                <w:rFonts w:hint="eastAsia" w:ascii="仿宋" w:hAnsi="仿宋" w:eastAsia="仿宋" w:cs="MS Mincho"/>
              </w:rPr>
              <w:t>入等方式</w:t>
            </w:r>
            <w:r>
              <w:rPr>
                <w:rFonts w:hint="eastAsia" w:ascii="仿宋" w:hAnsi="仿宋" w:eastAsia="仿宋" w:cs="宋体"/>
              </w:rPr>
              <w:t>完成IP过滤的配置</w:t>
            </w:r>
          </w:p>
          <w:p>
            <w:pPr>
              <w:spacing w:line="320" w:lineRule="exact"/>
              <w:rPr>
                <w:rFonts w:ascii="仿宋" w:hAnsi="仿宋" w:eastAsia="仿宋" w:cs="MS Mincho"/>
              </w:rPr>
            </w:pPr>
            <w:r>
              <w:rPr>
                <w:rFonts w:hint="eastAsia" w:ascii="仿宋" w:hAnsi="仿宋" w:eastAsia="仿宋" w:cs="MS Mincho"/>
              </w:rPr>
              <w:t>支持对指定IP进行流量检测，可通过新增、批量导入等方式完成指定IP检测的配置</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UDP端口过滤</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MS Mincho"/>
              </w:rPr>
            </w:pPr>
            <w:r>
              <w:rPr>
                <w:rFonts w:hint="eastAsia" w:ascii="仿宋" w:hAnsi="仿宋" w:eastAsia="仿宋" w:cs="MS Mincho"/>
              </w:rPr>
              <w:t>支持UDP端口</w:t>
            </w:r>
            <w:r>
              <w:rPr>
                <w:rFonts w:hint="eastAsia" w:ascii="仿宋" w:hAnsi="仿宋" w:eastAsia="仿宋" w:cs="宋体"/>
              </w:rPr>
              <w:t>过滤</w:t>
            </w:r>
            <w:r>
              <w:rPr>
                <w:rFonts w:hint="eastAsia" w:ascii="仿宋" w:hAnsi="仿宋" w:eastAsia="仿宋" w:cs="MS Mincho"/>
              </w:rPr>
              <w:t>配置</w:t>
            </w:r>
            <w:r>
              <w:rPr>
                <w:rFonts w:hint="eastAsia" w:ascii="仿宋" w:hAnsi="仿宋" w:eastAsia="仿宋"/>
              </w:rPr>
              <w:t>，</w:t>
            </w:r>
            <w:r>
              <w:rPr>
                <w:rFonts w:hint="eastAsia" w:ascii="仿宋" w:hAnsi="仿宋" w:eastAsia="仿宋" w:cs="宋体"/>
              </w:rPr>
              <w:t>对</w:t>
            </w:r>
            <w:r>
              <w:rPr>
                <w:rFonts w:hint="eastAsia" w:ascii="仿宋" w:hAnsi="仿宋" w:eastAsia="仿宋" w:cs="MS Mincho"/>
              </w:rPr>
              <w:t>指定端口的网</w:t>
            </w:r>
            <w:r>
              <w:rPr>
                <w:rFonts w:hint="eastAsia" w:ascii="仿宋" w:hAnsi="仿宋" w:eastAsia="仿宋" w:cs="宋体"/>
              </w:rPr>
              <w:t>络</w:t>
            </w:r>
            <w:r>
              <w:rPr>
                <w:rFonts w:hint="eastAsia" w:ascii="仿宋" w:hAnsi="仿宋" w:eastAsia="仿宋" w:cs="MS Mincho"/>
              </w:rPr>
              <w:t>流量不做分析</w:t>
            </w:r>
            <w:r>
              <w:rPr>
                <w:rFonts w:hint="eastAsia" w:ascii="仿宋" w:hAnsi="仿宋" w:eastAsia="仿宋" w:cs="宋体"/>
              </w:rPr>
              <w:t>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告警详细展现</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MS Mincho"/>
              </w:rPr>
              <w:t>支持</w:t>
            </w:r>
            <w:r>
              <w:rPr>
                <w:rFonts w:hint="eastAsia" w:ascii="仿宋" w:hAnsi="仿宋" w:eastAsia="仿宋" w:cs="宋体"/>
              </w:rPr>
              <w:t>详细</w:t>
            </w:r>
            <w:r>
              <w:rPr>
                <w:rFonts w:hint="eastAsia" w:ascii="仿宋" w:hAnsi="仿宋" w:eastAsia="仿宋" w:cs="MS Mincho"/>
              </w:rPr>
              <w:t>展</w:t>
            </w:r>
            <w:r>
              <w:rPr>
                <w:rFonts w:hint="eastAsia" w:ascii="仿宋" w:hAnsi="仿宋" w:eastAsia="仿宋" w:cs="宋体"/>
              </w:rPr>
              <w:t>现风险等级</w:t>
            </w:r>
            <w:r>
              <w:rPr>
                <w:rFonts w:hint="eastAsia" w:ascii="仿宋" w:hAnsi="仿宋" w:eastAsia="仿宋"/>
              </w:rPr>
              <w:t>、</w:t>
            </w:r>
            <w:r>
              <w:rPr>
                <w:rFonts w:hint="eastAsia" w:ascii="仿宋" w:hAnsi="仿宋" w:eastAsia="仿宋" w:cs="宋体"/>
              </w:rPr>
              <w:t>时间</w:t>
            </w:r>
            <w:r>
              <w:rPr>
                <w:rFonts w:hint="eastAsia" w:ascii="仿宋" w:hAnsi="仿宋" w:eastAsia="仿宋"/>
              </w:rPr>
              <w:t>、</w:t>
            </w:r>
            <w:r>
              <w:rPr>
                <w:rFonts w:hint="eastAsia" w:ascii="仿宋" w:hAnsi="仿宋" w:eastAsia="仿宋" w:cs="MS Mincho"/>
              </w:rPr>
              <w:t>威</w:t>
            </w:r>
            <w:r>
              <w:rPr>
                <w:rFonts w:hint="eastAsia" w:ascii="仿宋" w:hAnsi="仿宋" w:eastAsia="仿宋" w:cs="宋体"/>
              </w:rPr>
              <w:t>胁</w:t>
            </w:r>
            <w:r>
              <w:rPr>
                <w:rFonts w:hint="eastAsia" w:ascii="仿宋" w:hAnsi="仿宋" w:eastAsia="仿宋" w:cs="MS Mincho"/>
              </w:rPr>
              <w:t>名称</w:t>
            </w:r>
            <w:r>
              <w:rPr>
                <w:rFonts w:hint="eastAsia" w:ascii="仿宋" w:hAnsi="仿宋" w:eastAsia="仿宋"/>
              </w:rPr>
              <w:t>、</w:t>
            </w:r>
            <w:r>
              <w:rPr>
                <w:rFonts w:hint="eastAsia" w:ascii="仿宋" w:hAnsi="仿宋" w:eastAsia="仿宋" w:cs="MS Mincho"/>
              </w:rPr>
              <w:t>攻</w:t>
            </w:r>
            <w:r>
              <w:rPr>
                <w:rFonts w:hint="eastAsia" w:ascii="仿宋" w:hAnsi="仿宋" w:eastAsia="仿宋" w:cs="宋体"/>
              </w:rPr>
              <w:t>击</w:t>
            </w:r>
            <w:r>
              <w:rPr>
                <w:rFonts w:hint="eastAsia" w:ascii="仿宋" w:hAnsi="仿宋" w:eastAsia="仿宋" w:cs="MS Mincho"/>
              </w:rPr>
              <w:t>状</w:t>
            </w:r>
            <w:r>
              <w:rPr>
                <w:rFonts w:hint="eastAsia" w:ascii="仿宋" w:hAnsi="仿宋" w:eastAsia="仿宋" w:cs="宋体"/>
              </w:rPr>
              <w:t>态</w:t>
            </w:r>
            <w:r>
              <w:rPr>
                <w:rFonts w:hint="eastAsia" w:ascii="仿宋" w:hAnsi="仿宋" w:eastAsia="仿宋"/>
              </w:rPr>
              <w:t>、</w:t>
            </w:r>
            <w:r>
              <w:rPr>
                <w:rFonts w:hint="eastAsia" w:ascii="仿宋" w:hAnsi="仿宋" w:eastAsia="仿宋" w:cs="MS Mincho"/>
              </w:rPr>
              <w:t>攻</w:t>
            </w:r>
            <w:r>
              <w:rPr>
                <w:rFonts w:hint="eastAsia" w:ascii="仿宋" w:hAnsi="仿宋" w:eastAsia="仿宋" w:cs="宋体"/>
              </w:rPr>
              <w:t>击</w:t>
            </w:r>
            <w:r>
              <w:rPr>
                <w:rFonts w:hint="eastAsia" w:ascii="仿宋" w:hAnsi="仿宋" w:eastAsia="仿宋" w:cs="MS Mincho"/>
              </w:rPr>
              <w:t>方向</w:t>
            </w:r>
            <w:r>
              <w:rPr>
                <w:rFonts w:hint="eastAsia" w:ascii="仿宋" w:hAnsi="仿宋" w:eastAsia="仿宋"/>
              </w:rPr>
              <w:t>、</w:t>
            </w:r>
            <w:r>
              <w:rPr>
                <w:rFonts w:hint="eastAsia" w:ascii="仿宋" w:hAnsi="仿宋" w:eastAsia="仿宋" w:cs="MS Mincho"/>
              </w:rPr>
              <w:t>客</w:t>
            </w:r>
            <w:r>
              <w:rPr>
                <w:rFonts w:hint="eastAsia" w:ascii="仿宋" w:hAnsi="仿宋" w:eastAsia="仿宋" w:cs="宋体"/>
              </w:rPr>
              <w:t>户</w:t>
            </w:r>
            <w:r>
              <w:rPr>
                <w:rFonts w:hint="eastAsia" w:ascii="仿宋" w:hAnsi="仿宋" w:eastAsia="仿宋" w:cs="MS Mincho"/>
              </w:rPr>
              <w:t>端</w:t>
            </w:r>
            <w:r>
              <w:rPr>
                <w:rFonts w:hint="eastAsia" w:ascii="仿宋" w:hAnsi="仿宋" w:eastAsia="仿宋"/>
              </w:rPr>
              <w:t>IP、</w:t>
            </w:r>
            <w:r>
              <w:rPr>
                <w:rFonts w:hint="eastAsia" w:ascii="仿宋" w:hAnsi="仿宋" w:eastAsia="仿宋" w:cs="MS Mincho"/>
              </w:rPr>
              <w:t>客</w:t>
            </w:r>
            <w:r>
              <w:rPr>
                <w:rFonts w:hint="eastAsia" w:ascii="仿宋" w:hAnsi="仿宋" w:eastAsia="仿宋" w:cs="宋体"/>
              </w:rPr>
              <w:t>户</w:t>
            </w:r>
            <w:r>
              <w:rPr>
                <w:rFonts w:hint="eastAsia" w:ascii="仿宋" w:hAnsi="仿宋" w:eastAsia="仿宋" w:cs="MS Mincho"/>
              </w:rPr>
              <w:t>端</w:t>
            </w:r>
            <w:r>
              <w:rPr>
                <w:rFonts w:hint="eastAsia" w:ascii="仿宋" w:hAnsi="仿宋" w:eastAsia="仿宋"/>
              </w:rPr>
              <w:t>IP</w:t>
            </w:r>
            <w:r>
              <w:rPr>
                <w:rFonts w:hint="eastAsia" w:ascii="仿宋" w:hAnsi="仿宋" w:eastAsia="仿宋" w:cs="MS Mincho"/>
              </w:rPr>
              <w:t>所在地理位置</w:t>
            </w:r>
            <w:r>
              <w:rPr>
                <w:rFonts w:hint="eastAsia" w:ascii="仿宋" w:hAnsi="仿宋" w:eastAsia="仿宋"/>
              </w:rPr>
              <w:t>、</w:t>
            </w:r>
            <w:r>
              <w:rPr>
                <w:rFonts w:hint="eastAsia" w:ascii="仿宋" w:hAnsi="仿宋" w:eastAsia="仿宋" w:cs="MS Mincho"/>
              </w:rPr>
              <w:t>服</w:t>
            </w:r>
            <w:r>
              <w:rPr>
                <w:rFonts w:hint="eastAsia" w:ascii="仿宋" w:hAnsi="仿宋" w:eastAsia="仿宋" w:cs="宋体"/>
              </w:rPr>
              <w:t>务</w:t>
            </w:r>
            <w:r>
              <w:rPr>
                <w:rFonts w:hint="eastAsia" w:ascii="仿宋" w:hAnsi="仿宋" w:eastAsia="仿宋" w:cs="MS Mincho"/>
              </w:rPr>
              <w:t>端</w:t>
            </w:r>
            <w:r>
              <w:rPr>
                <w:rFonts w:hint="eastAsia" w:ascii="仿宋" w:hAnsi="仿宋" w:eastAsia="仿宋"/>
              </w:rPr>
              <w:t>IP、</w:t>
            </w:r>
            <w:r>
              <w:rPr>
                <w:rFonts w:hint="eastAsia" w:ascii="仿宋" w:hAnsi="仿宋" w:eastAsia="仿宋" w:cs="MS Mincho"/>
              </w:rPr>
              <w:t>服</w:t>
            </w:r>
            <w:r>
              <w:rPr>
                <w:rFonts w:hint="eastAsia" w:ascii="仿宋" w:hAnsi="仿宋" w:eastAsia="仿宋" w:cs="宋体"/>
              </w:rPr>
              <w:t>务</w:t>
            </w:r>
            <w:r>
              <w:rPr>
                <w:rFonts w:hint="eastAsia" w:ascii="仿宋" w:hAnsi="仿宋" w:eastAsia="仿宋" w:cs="MS Mincho"/>
              </w:rPr>
              <w:t>端</w:t>
            </w:r>
            <w:r>
              <w:rPr>
                <w:rFonts w:hint="eastAsia" w:ascii="仿宋" w:hAnsi="仿宋" w:eastAsia="仿宋"/>
              </w:rPr>
              <w:t>IP</w:t>
            </w:r>
            <w:r>
              <w:rPr>
                <w:rFonts w:hint="eastAsia" w:ascii="仿宋" w:hAnsi="仿宋" w:eastAsia="仿宋" w:cs="MS Mincho"/>
              </w:rPr>
              <w:t>所在地理位置</w:t>
            </w:r>
            <w:r>
              <w:rPr>
                <w:rFonts w:hint="eastAsia" w:ascii="仿宋" w:hAnsi="仿宋" w:eastAsia="仿宋"/>
              </w:rPr>
              <w:t>、端口、</w:t>
            </w:r>
            <w:r>
              <w:rPr>
                <w:rFonts w:hint="eastAsia" w:ascii="仿宋" w:hAnsi="仿宋" w:eastAsia="仿宋" w:cs="宋体"/>
              </w:rPr>
              <w:t>报文</w:t>
            </w:r>
            <w:r>
              <w:rPr>
                <w:rFonts w:hint="eastAsia" w:ascii="仿宋" w:hAnsi="仿宋" w:eastAsia="仿宋"/>
              </w:rPr>
              <w:t>、</w:t>
            </w:r>
            <w:r>
              <w:rPr>
                <w:rFonts w:hint="eastAsia" w:ascii="仿宋" w:hAnsi="仿宋" w:eastAsia="仿宋" w:cs="MS Mincho"/>
              </w:rPr>
              <w:t>操作等信息</w:t>
            </w:r>
            <w:r>
              <w:rPr>
                <w:rFonts w:hint="eastAsia" w:ascii="仿宋" w:hAnsi="仿宋" w:eastAsia="仿宋"/>
              </w:rPr>
              <w:t>，</w:t>
            </w:r>
            <w:r>
              <w:rPr>
                <w:rFonts w:hint="eastAsia" w:ascii="仿宋" w:hAnsi="仿宋" w:eastAsia="仿宋" w:cs="MS Mincho"/>
              </w:rPr>
              <w:t>包含</w:t>
            </w:r>
            <w:r>
              <w:rPr>
                <w:rFonts w:hint="eastAsia" w:ascii="仿宋" w:hAnsi="仿宋" w:eastAsia="仿宋" w:cs="宋体"/>
              </w:rPr>
              <w:t>请</w:t>
            </w:r>
            <w:r>
              <w:rPr>
                <w:rFonts w:hint="eastAsia" w:ascii="仿宋" w:hAnsi="仿宋" w:eastAsia="仿宋" w:cs="MS Mincho"/>
              </w:rPr>
              <w:t>求</w:t>
            </w:r>
            <w:r>
              <w:rPr>
                <w:rFonts w:hint="eastAsia" w:ascii="仿宋" w:hAnsi="仿宋" w:eastAsia="仿宋"/>
              </w:rPr>
              <w:t>URL、</w:t>
            </w:r>
            <w:r>
              <w:rPr>
                <w:rFonts w:hint="eastAsia" w:ascii="仿宋" w:hAnsi="仿宋" w:eastAsia="仿宋" w:cs="宋体"/>
              </w:rPr>
              <w:t>请求类型</w:t>
            </w:r>
            <w:r>
              <w:rPr>
                <w:rFonts w:hint="eastAsia" w:ascii="仿宋" w:hAnsi="仿宋" w:eastAsia="仿宋"/>
              </w:rPr>
              <w:t>、</w:t>
            </w:r>
            <w:r>
              <w:rPr>
                <w:rFonts w:hint="eastAsia" w:ascii="仿宋" w:hAnsi="仿宋" w:eastAsia="仿宋" w:cs="宋体"/>
              </w:rPr>
              <w:t>请求内容</w:t>
            </w:r>
            <w:r>
              <w:rPr>
                <w:rFonts w:hint="eastAsia" w:ascii="仿宋" w:hAnsi="仿宋" w:eastAsia="仿宋"/>
              </w:rPr>
              <w:t>、</w:t>
            </w:r>
            <w:r>
              <w:rPr>
                <w:rFonts w:hint="eastAsia" w:ascii="仿宋" w:hAnsi="仿宋" w:eastAsia="仿宋" w:cs="宋体"/>
              </w:rPr>
              <w:t>请求头</w:t>
            </w:r>
            <w:r>
              <w:rPr>
                <w:rFonts w:hint="eastAsia" w:ascii="仿宋" w:hAnsi="仿宋" w:eastAsia="仿宋"/>
              </w:rPr>
              <w:t>、Host、User-Agent、Accept、Accept-Language、Accept-Encoding、Accept-Charset、Keep-Alive、Connection、Cookie、</w:t>
            </w:r>
            <w:r>
              <w:rPr>
                <w:rFonts w:hint="eastAsia" w:ascii="仿宋" w:hAnsi="仿宋" w:eastAsia="仿宋" w:cs="宋体"/>
              </w:rPr>
              <w:t>请求参数</w:t>
            </w:r>
            <w:r>
              <w:rPr>
                <w:rFonts w:hint="eastAsia" w:ascii="仿宋" w:hAnsi="仿宋" w:eastAsia="仿宋"/>
              </w:rPr>
              <w:t>、</w:t>
            </w:r>
            <w:r>
              <w:rPr>
                <w:rFonts w:hint="eastAsia" w:ascii="仿宋" w:hAnsi="仿宋" w:eastAsia="仿宋" w:cs="MS Mincho"/>
              </w:rPr>
              <w:t>响</w:t>
            </w:r>
            <w:r>
              <w:rPr>
                <w:rFonts w:hint="eastAsia" w:ascii="仿宋" w:hAnsi="仿宋" w:eastAsia="仿宋" w:cs="宋体"/>
              </w:rPr>
              <w:t>应码</w:t>
            </w:r>
            <w:r>
              <w:rPr>
                <w:rFonts w:hint="eastAsia" w:ascii="仿宋" w:hAnsi="仿宋" w:eastAsia="仿宋"/>
              </w:rPr>
              <w:t>、</w:t>
            </w:r>
            <w:r>
              <w:rPr>
                <w:rFonts w:hint="eastAsia" w:ascii="仿宋" w:hAnsi="仿宋" w:eastAsia="仿宋" w:cs="MS Mincho"/>
              </w:rPr>
              <w:t>返回</w:t>
            </w:r>
            <w:r>
              <w:rPr>
                <w:rFonts w:hint="eastAsia" w:ascii="仿宋" w:hAnsi="仿宋" w:eastAsia="仿宋" w:cs="宋体"/>
              </w:rPr>
              <w:t>长</w:t>
            </w:r>
            <w:r>
              <w:rPr>
                <w:rFonts w:hint="eastAsia" w:ascii="仿宋" w:hAnsi="仿宋" w:eastAsia="仿宋" w:cs="MS Mincho"/>
              </w:rPr>
              <w:t>度、ATT&amp;CK矩阵等信息</w:t>
            </w:r>
            <w:r>
              <w:rPr>
                <w:rFonts w:hint="eastAsia" w:ascii="仿宋" w:hAnsi="仿宋" w:eastAsia="仿宋"/>
              </w:rPr>
              <w:t>，</w:t>
            </w:r>
            <w:r>
              <w:rPr>
                <w:rFonts w:hint="eastAsia" w:ascii="仿宋" w:hAnsi="仿宋" w:eastAsia="仿宋" w:cs="MS Mincho"/>
              </w:rPr>
              <w:t>并提供</w:t>
            </w:r>
            <w:r>
              <w:rPr>
                <w:rFonts w:hint="eastAsia" w:ascii="仿宋" w:hAnsi="仿宋" w:eastAsia="仿宋" w:cs="宋体"/>
              </w:rPr>
              <w:t>相应的数据包下载链接</w:t>
            </w:r>
          </w:p>
        </w:tc>
      </w:tr>
      <w:tr>
        <w:tblPrEx>
          <w:tblCellMar>
            <w:top w:w="0" w:type="dxa"/>
            <w:left w:w="108" w:type="dxa"/>
            <w:bottom w:w="0" w:type="dxa"/>
            <w:right w:w="108" w:type="dxa"/>
          </w:tblCellMar>
        </w:tblPrEx>
        <w:trPr>
          <w:cantSplit/>
          <w:trHeight w:val="454" w:hRule="atLeast"/>
          <w:jc w:val="center"/>
        </w:trPr>
        <w:tc>
          <w:tcPr>
            <w:tcW w:w="141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主机威胁分析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MS Mincho"/>
              </w:rPr>
              <w:t>支持</w:t>
            </w:r>
            <w:r>
              <w:rPr>
                <w:rFonts w:hint="eastAsia" w:ascii="仿宋" w:hAnsi="仿宋" w:eastAsia="仿宋" w:cs="宋体"/>
              </w:rPr>
              <w:t>对内网主机进</w:t>
            </w:r>
            <w:r>
              <w:rPr>
                <w:rFonts w:hint="eastAsia" w:ascii="仿宋" w:hAnsi="仿宋" w:eastAsia="仿宋" w:cs="MS Mincho"/>
              </w:rPr>
              <w:t>行主机威</w:t>
            </w:r>
            <w:r>
              <w:rPr>
                <w:rFonts w:hint="eastAsia" w:ascii="仿宋" w:hAnsi="仿宋" w:eastAsia="仿宋" w:cs="宋体"/>
              </w:rPr>
              <w:t>胁</w:t>
            </w:r>
            <w:r>
              <w:rPr>
                <w:rFonts w:hint="eastAsia" w:ascii="仿宋" w:hAnsi="仿宋" w:eastAsia="仿宋" w:cs="MS Mincho"/>
              </w:rPr>
              <w:t>分析</w:t>
            </w:r>
            <w:r>
              <w:rPr>
                <w:rFonts w:hint="eastAsia" w:ascii="仿宋" w:hAnsi="仿宋" w:eastAsia="仿宋" w:cs="宋体"/>
              </w:rPr>
              <w:t>，详细展示</w:t>
            </w:r>
            <w:r>
              <w:rPr>
                <w:rFonts w:hint="eastAsia" w:ascii="仿宋" w:hAnsi="仿宋" w:eastAsia="仿宋" w:cs="MS Mincho"/>
              </w:rPr>
              <w:t>具体的威</w:t>
            </w:r>
            <w:r>
              <w:rPr>
                <w:rFonts w:hint="eastAsia" w:ascii="仿宋" w:hAnsi="仿宋" w:eastAsia="仿宋" w:cs="宋体"/>
              </w:rPr>
              <w:t>胁</w:t>
            </w:r>
            <w:r>
              <w:rPr>
                <w:rFonts w:hint="eastAsia" w:ascii="仿宋" w:hAnsi="仿宋" w:eastAsia="仿宋" w:cs="MS Mincho"/>
              </w:rPr>
              <w:t>等</w:t>
            </w:r>
            <w:r>
              <w:rPr>
                <w:rFonts w:hint="eastAsia" w:ascii="仿宋" w:hAnsi="仿宋" w:eastAsia="仿宋" w:cs="宋体"/>
              </w:rPr>
              <w:t>级、</w:t>
            </w:r>
            <w:r>
              <w:rPr>
                <w:rFonts w:hint="eastAsia" w:ascii="仿宋" w:hAnsi="仿宋" w:eastAsia="仿宋" w:cs="MS Mincho"/>
              </w:rPr>
              <w:t>威</w:t>
            </w:r>
            <w:r>
              <w:rPr>
                <w:rFonts w:hint="eastAsia" w:ascii="仿宋" w:hAnsi="仿宋" w:eastAsia="仿宋" w:cs="宋体"/>
              </w:rPr>
              <w:t>胁</w:t>
            </w:r>
            <w:r>
              <w:rPr>
                <w:rFonts w:hint="eastAsia" w:ascii="仿宋" w:hAnsi="仿宋" w:eastAsia="仿宋" w:cs="MS Mincho"/>
              </w:rPr>
              <w:t>次数</w:t>
            </w:r>
            <w:r>
              <w:rPr>
                <w:rFonts w:hint="eastAsia" w:ascii="仿宋" w:hAnsi="仿宋" w:eastAsia="仿宋" w:cs="宋体"/>
              </w:rPr>
              <w:t>、</w:t>
            </w:r>
            <w:r>
              <w:rPr>
                <w:rFonts w:hint="eastAsia" w:ascii="仿宋" w:hAnsi="仿宋" w:eastAsia="仿宋" w:cs="MS Mincho"/>
              </w:rPr>
              <w:t>攻</w:t>
            </w:r>
            <w:r>
              <w:rPr>
                <w:rFonts w:hint="eastAsia" w:ascii="仿宋" w:hAnsi="仿宋" w:eastAsia="仿宋" w:cs="宋体"/>
              </w:rPr>
              <w:t>击</w:t>
            </w:r>
            <w:r>
              <w:rPr>
                <w:rFonts w:hint="eastAsia" w:ascii="仿宋" w:hAnsi="仿宋" w:eastAsia="仿宋" w:cs="MS Mincho"/>
              </w:rPr>
              <w:t>开始</w:t>
            </w:r>
            <w:r>
              <w:rPr>
                <w:rFonts w:hint="eastAsia" w:ascii="仿宋" w:hAnsi="仿宋" w:eastAsia="仿宋" w:cs="宋体"/>
              </w:rPr>
              <w:t>时间、</w:t>
            </w:r>
            <w:r>
              <w:rPr>
                <w:rFonts w:hint="eastAsia" w:ascii="仿宋" w:hAnsi="仿宋" w:eastAsia="仿宋" w:cs="MS Mincho"/>
              </w:rPr>
              <w:t>攻</w:t>
            </w:r>
            <w:r>
              <w:rPr>
                <w:rFonts w:hint="eastAsia" w:ascii="仿宋" w:hAnsi="仿宋" w:eastAsia="仿宋" w:cs="宋体"/>
              </w:rPr>
              <w:t>击结</w:t>
            </w:r>
            <w:r>
              <w:rPr>
                <w:rFonts w:hint="eastAsia" w:ascii="仿宋" w:hAnsi="仿宋" w:eastAsia="仿宋" w:cs="MS Mincho"/>
              </w:rPr>
              <w:t>束</w:t>
            </w:r>
            <w:r>
              <w:rPr>
                <w:rFonts w:hint="eastAsia" w:ascii="仿宋" w:hAnsi="仿宋" w:eastAsia="仿宋" w:cs="宋体"/>
              </w:rPr>
              <w:t>时间、</w:t>
            </w:r>
            <w:r>
              <w:rPr>
                <w:rFonts w:hint="eastAsia" w:ascii="仿宋" w:hAnsi="仿宋" w:eastAsia="仿宋" w:cs="MS Mincho"/>
              </w:rPr>
              <w:t>威</w:t>
            </w:r>
            <w:r>
              <w:rPr>
                <w:rFonts w:hint="eastAsia" w:ascii="仿宋" w:hAnsi="仿宋" w:eastAsia="仿宋" w:cs="宋体"/>
              </w:rPr>
              <w:t>胁</w:t>
            </w:r>
            <w:r>
              <w:rPr>
                <w:rFonts w:hint="eastAsia" w:ascii="仿宋" w:hAnsi="仿宋" w:eastAsia="仿宋" w:cs="MS Mincho"/>
              </w:rPr>
              <w:t>性指数</w:t>
            </w:r>
            <w:r>
              <w:rPr>
                <w:rFonts w:hint="eastAsia" w:ascii="仿宋" w:hAnsi="仿宋" w:eastAsia="仿宋" w:cs="宋体"/>
              </w:rPr>
              <w:t>统计</w:t>
            </w:r>
            <w:r>
              <w:rPr>
                <w:rFonts w:hint="eastAsia" w:ascii="仿宋" w:hAnsi="仿宋" w:eastAsia="仿宋" w:cs="MS Mincho"/>
              </w:rPr>
              <w:t>等</w:t>
            </w:r>
            <w:r>
              <w:rPr>
                <w:rFonts w:hint="eastAsia" w:ascii="仿宋" w:hAnsi="仿宋" w:eastAsia="仿宋"/>
              </w:rPr>
              <w:t>（</w:t>
            </w:r>
            <w:r>
              <w:rPr>
                <w:rFonts w:hint="eastAsia" w:ascii="仿宋" w:hAnsi="仿宋" w:eastAsia="仿宋" w:cs="MS Mincho"/>
              </w:rPr>
              <w:t>提供截</w:t>
            </w:r>
            <w:r>
              <w:rPr>
                <w:rFonts w:hint="eastAsia" w:ascii="仿宋" w:hAnsi="仿宋" w:eastAsia="仿宋" w:cs="宋体"/>
              </w:rPr>
              <w:t>图证</w:t>
            </w:r>
            <w:r>
              <w:rPr>
                <w:rFonts w:hint="eastAsia" w:ascii="仿宋" w:hAnsi="仿宋" w:eastAsia="仿宋" w:cs="MS Mincho"/>
              </w:rPr>
              <w:t>明</w:t>
            </w:r>
            <w:r>
              <w:rPr>
                <w:rFonts w:hint="eastAsia" w:ascii="仿宋" w:hAnsi="仿宋" w:eastAsia="仿宋"/>
              </w:rPr>
              <w:t>）</w:t>
            </w:r>
          </w:p>
          <w:p>
            <w:pPr>
              <w:spacing w:line="320" w:lineRule="exact"/>
              <w:rPr>
                <w:rFonts w:ascii="仿宋" w:hAnsi="仿宋" w:eastAsia="仿宋" w:cs="宋体"/>
              </w:rPr>
            </w:pPr>
            <w:r>
              <w:rPr>
                <w:rFonts w:hint="eastAsia" w:ascii="仿宋" w:hAnsi="仿宋" w:eastAsia="仿宋"/>
                <w:kern w:val="0"/>
              </w:rPr>
              <w:t>可按攻击链阶段（弱点探测、渗透入侵、获取权限、命令与控制、数据盗取）详细展示主机相关事件数量</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cs="宋体"/>
              </w:rPr>
              <w:t>可根据不同威胁指数的主机实现攻击溯源和攻击过程的可视化分析</w:t>
            </w:r>
          </w:p>
          <w:p>
            <w:pPr>
              <w:spacing w:line="320" w:lineRule="exact"/>
              <w:rPr>
                <w:rFonts w:ascii="仿宋" w:hAnsi="仿宋" w:eastAsia="仿宋" w:cs="宋体"/>
              </w:rPr>
            </w:pPr>
            <w:r>
              <w:rPr>
                <w:rFonts w:hint="eastAsia" w:ascii="仿宋" w:hAnsi="仿宋" w:eastAsia="仿宋" w:cs="宋体"/>
              </w:rPr>
              <w:t>支持攻击路径可视化，直观展示攻击过程和扩散过程，可呈现从外向内、从内向外和内部之间的攻击事件</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kern w:val="0"/>
              </w:rPr>
              <w:t>可通过攻击源、攻击目的对攻击路线进行统计，包括攻击的行为、告警，并以直观的图形化形式展示</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攻击者视角分析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kern w:val="0"/>
              </w:rPr>
            </w:pPr>
            <w:r>
              <w:rPr>
                <w:rFonts w:hint="eastAsia" w:ascii="仿宋" w:hAnsi="仿宋" w:eastAsia="仿宋"/>
              </w:rPr>
              <w:t>可基于该页面，快速获悉攻击者IP、攻击手段和攻击资产，并支持导出攻击者列表，便于威胁分析人员快速应对和处置</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受害者视角分析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rPr>
              <w:t>可基于该页面，快速获悉受攻击的资产，及其对应的攻击者数量、攻击手段、攻击次数等，并支持导出受害者列表，便于威胁分析人员快速应对和处置</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脆弱性分析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cs="宋体"/>
              </w:rPr>
              <w:t>从脆弱性角度，详细展示资产存在的弱口令、密码明文形式传输风险，以及自定义配置的特权账户是否存在弱口令风险</w:t>
            </w:r>
          </w:p>
          <w:p>
            <w:pPr>
              <w:spacing w:line="320" w:lineRule="exact"/>
              <w:rPr>
                <w:rFonts w:ascii="仿宋" w:hAnsi="仿宋" w:eastAsia="仿宋" w:cs="宋体"/>
              </w:rPr>
            </w:pPr>
            <w:r>
              <w:rPr>
                <w:rFonts w:hint="eastAsia" w:ascii="仿宋" w:hAnsi="仿宋" w:eastAsia="仿宋" w:cs="宋体"/>
              </w:rPr>
              <w:t>支持导出资产IP、资产标签、被请求域名、首次发生时间、最近一次发生时间等信息，便于威胁分析人员快速统计和上报资产脆弱性风险</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威胁情报检索</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cs="宋体"/>
              </w:rPr>
              <w:t>支持对IP、域名、恶意文件SHA256进行威胁情报检索，或跳转第三方链接（Whois、VirusTotal）进行检索</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敏感信息分析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MS Mincho"/>
              </w:rPr>
            </w:pPr>
            <w:r>
              <w:rPr>
                <w:rFonts w:hint="eastAsia" w:ascii="仿宋" w:hAnsi="仿宋" w:eastAsia="仿宋" w:cs="MS Mincho"/>
              </w:rPr>
              <w:t>支持识别流量中的个人敏感信息，包括身份证、银行卡、手机号、港澳通行证等，并展示传输信息的协议、网站域名、URL、客户端IP、服务端IP，便于用户发现敏感信息的传输安全隐患和处置</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攻击地图展示</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MS Mincho"/>
              </w:rPr>
              <w:t>可通</w:t>
            </w:r>
            <w:r>
              <w:rPr>
                <w:rFonts w:hint="eastAsia" w:ascii="仿宋" w:hAnsi="仿宋" w:eastAsia="仿宋" w:cs="宋体"/>
              </w:rPr>
              <w:t>过</w:t>
            </w:r>
            <w:r>
              <w:rPr>
                <w:rFonts w:hint="eastAsia" w:ascii="仿宋" w:hAnsi="仿宋" w:eastAsia="仿宋" w:cs="MS Mincho"/>
              </w:rPr>
              <w:t>攻</w:t>
            </w:r>
            <w:r>
              <w:rPr>
                <w:rFonts w:hint="eastAsia" w:ascii="仿宋" w:hAnsi="仿宋" w:eastAsia="仿宋" w:cs="宋体"/>
              </w:rPr>
              <w:t>击源和目</w:t>
            </w:r>
            <w:r>
              <w:rPr>
                <w:rFonts w:hint="eastAsia" w:ascii="仿宋" w:hAnsi="仿宋" w:eastAsia="仿宋" w:cs="MS Mincho"/>
              </w:rPr>
              <w:t>的的地理位置信息</w:t>
            </w:r>
            <w:r>
              <w:rPr>
                <w:rFonts w:hint="eastAsia" w:ascii="仿宋" w:hAnsi="仿宋" w:eastAsia="仿宋"/>
              </w:rPr>
              <w:t>，</w:t>
            </w:r>
            <w:r>
              <w:rPr>
                <w:rFonts w:hint="eastAsia" w:ascii="仿宋" w:hAnsi="仿宋" w:eastAsia="仿宋" w:cs="MS Mincho"/>
              </w:rPr>
              <w:t>以世界地</w:t>
            </w:r>
            <w:r>
              <w:rPr>
                <w:rFonts w:hint="eastAsia" w:ascii="仿宋" w:hAnsi="仿宋" w:eastAsia="仿宋" w:cs="宋体"/>
              </w:rPr>
              <w:t>图</w:t>
            </w:r>
            <w:r>
              <w:rPr>
                <w:rFonts w:hint="eastAsia" w:ascii="仿宋" w:hAnsi="仿宋" w:eastAsia="仿宋" w:cs="MS Mincho"/>
              </w:rPr>
              <w:t>和中国地</w:t>
            </w:r>
            <w:r>
              <w:rPr>
                <w:rFonts w:hint="eastAsia" w:ascii="仿宋" w:hAnsi="仿宋" w:eastAsia="仿宋" w:cs="宋体"/>
              </w:rPr>
              <w:t>图</w:t>
            </w:r>
            <w:r>
              <w:rPr>
                <w:rFonts w:hint="eastAsia" w:ascii="仿宋" w:hAnsi="仿宋" w:eastAsia="仿宋" w:cs="MS Mincho"/>
              </w:rPr>
              <w:t>的形式展示</w:t>
            </w:r>
            <w:r>
              <w:rPr>
                <w:rFonts w:hint="eastAsia" w:ascii="仿宋" w:hAnsi="仿宋" w:eastAsia="仿宋"/>
              </w:rPr>
              <w:t>，</w:t>
            </w:r>
            <w:r>
              <w:rPr>
                <w:rFonts w:hint="eastAsia" w:ascii="仿宋" w:hAnsi="仿宋" w:eastAsia="仿宋" w:cs="MS Mincho"/>
              </w:rPr>
              <w:t>并可切</w:t>
            </w:r>
            <w:r>
              <w:rPr>
                <w:rFonts w:hint="eastAsia" w:ascii="仿宋" w:hAnsi="仿宋" w:eastAsia="仿宋" w:cs="宋体"/>
              </w:rPr>
              <w:t>换</w:t>
            </w:r>
            <w:r>
              <w:rPr>
                <w:rFonts w:hint="eastAsia" w:ascii="仿宋" w:hAnsi="仿宋" w:eastAsia="仿宋" w:cs="MS Mincho"/>
              </w:rPr>
              <w:t>世界地</w:t>
            </w:r>
            <w:r>
              <w:rPr>
                <w:rFonts w:hint="eastAsia" w:ascii="仿宋" w:hAnsi="仿宋" w:eastAsia="仿宋" w:cs="宋体"/>
              </w:rPr>
              <w:t>图</w:t>
            </w:r>
            <w:r>
              <w:rPr>
                <w:rFonts w:hint="eastAsia" w:ascii="仿宋" w:hAnsi="仿宋" w:eastAsia="仿宋" w:cs="MS Mincho"/>
              </w:rPr>
              <w:t>和中国地</w:t>
            </w:r>
            <w:r>
              <w:rPr>
                <w:rFonts w:hint="eastAsia" w:ascii="仿宋" w:hAnsi="仿宋" w:eastAsia="仿宋" w:cs="宋体"/>
              </w:rPr>
              <w:t>图</w:t>
            </w:r>
            <w:r>
              <w:rPr>
                <w:rFonts w:hint="eastAsia" w:ascii="仿宋" w:hAnsi="仿宋" w:eastAsia="仿宋" w:cs="MS Mincho"/>
              </w:rPr>
              <w:t>以直</w:t>
            </w:r>
            <w:r>
              <w:rPr>
                <w:rFonts w:hint="eastAsia" w:ascii="仿宋" w:hAnsi="仿宋" w:eastAsia="仿宋" w:cs="宋体"/>
              </w:rPr>
              <w:t>观</w:t>
            </w:r>
            <w:r>
              <w:rPr>
                <w:rFonts w:hint="eastAsia" w:ascii="仿宋" w:hAnsi="仿宋" w:eastAsia="仿宋" w:cs="MS Mincho"/>
              </w:rPr>
              <w:t>展示攻</w:t>
            </w:r>
            <w:r>
              <w:rPr>
                <w:rFonts w:hint="eastAsia" w:ascii="仿宋" w:hAnsi="仿宋" w:eastAsia="仿宋" w:cs="宋体"/>
              </w:rPr>
              <w:t>击</w:t>
            </w:r>
            <w:r>
              <w:rPr>
                <w:rFonts w:hint="eastAsia" w:ascii="仿宋" w:hAnsi="仿宋" w:eastAsia="仿宋" w:cs="MS Mincho"/>
              </w:rPr>
              <w:t>路径</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PCAP文件上传</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支持上传PCAP包进行回放分析</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single" w:color="auto" w:sz="4" w:space="0"/>
              <w:left w:val="single" w:color="auto" w:sz="4" w:space="0"/>
              <w:bottom w:val="nil"/>
              <w:right w:val="single" w:color="auto" w:sz="4" w:space="0"/>
            </w:tcBorders>
            <w:shd w:val="clear" w:color="auto" w:fill="BFBFBF"/>
            <w:noWrap w:val="0"/>
            <w:vAlign w:val="center"/>
          </w:tcPr>
          <w:p>
            <w:pPr>
              <w:jc w:val="center"/>
              <w:rPr>
                <w:rFonts w:ascii="仿宋" w:hAnsi="仿宋" w:eastAsia="仿宋"/>
                <w:b/>
              </w:rPr>
            </w:pPr>
            <w:r>
              <w:rPr>
                <w:rFonts w:hint="eastAsia" w:ascii="仿宋" w:hAnsi="仿宋" w:eastAsia="仿宋"/>
                <w:b/>
              </w:rPr>
              <w:t>WEB攻击检测</w:t>
            </w:r>
          </w:p>
        </w:tc>
      </w:tr>
      <w:tr>
        <w:tblPrEx>
          <w:tblCellMar>
            <w:top w:w="0" w:type="dxa"/>
            <w:left w:w="108" w:type="dxa"/>
            <w:bottom w:w="0" w:type="dxa"/>
            <w:right w:w="108" w:type="dxa"/>
          </w:tblCellMar>
        </w:tblPrEx>
        <w:trPr>
          <w:cantSplit/>
          <w:trHeight w:val="90"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协议解析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rPr>
              <w:t>支持HTTP、HTTPS（需要导入服务器私钥证书）</w:t>
            </w:r>
            <w:r>
              <w:rPr>
                <w:rFonts w:hint="eastAsia" w:ascii="仿宋" w:hAnsi="仿宋" w:eastAsia="仿宋" w:cs="宋体"/>
              </w:rPr>
              <w:t>协议解析</w:t>
            </w:r>
            <w:r>
              <w:rPr>
                <w:rFonts w:hint="eastAsia" w:ascii="仿宋" w:hAnsi="仿宋" w:eastAsia="仿宋" w:cs="Damascus"/>
              </w:rPr>
              <w:t>，</w:t>
            </w:r>
            <w:r>
              <w:rPr>
                <w:rFonts w:hint="eastAsia" w:ascii="仿宋" w:hAnsi="仿宋" w:eastAsia="仿宋" w:cs="宋体"/>
              </w:rPr>
              <w:t>检测WEB攻击</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双向审计</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w:t>
            </w:r>
            <w:r>
              <w:rPr>
                <w:rFonts w:hint="eastAsia" w:ascii="仿宋" w:hAnsi="仿宋" w:eastAsia="仿宋" w:cs="宋体"/>
              </w:rPr>
              <w:t>双向审计</w:t>
            </w:r>
            <w:r>
              <w:rPr>
                <w:rFonts w:hint="eastAsia" w:ascii="仿宋" w:hAnsi="仿宋" w:eastAsia="仿宋" w:cs="Damascus"/>
              </w:rPr>
              <w:t>，对请求和响应都进行审计</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攻击检测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cs="宋体"/>
              </w:rPr>
              <w:t>支持SQL注入、命令注入、跨站脚本、代码注入、WEB扫描或爬虫、网页篡改、服务错误攻击检测</w:t>
            </w:r>
          </w:p>
          <w:p>
            <w:pPr>
              <w:spacing w:line="320" w:lineRule="exact"/>
              <w:rPr>
                <w:rFonts w:ascii="仿宋" w:hAnsi="仿宋" w:eastAsia="仿宋"/>
              </w:rPr>
            </w:pPr>
            <w:r>
              <w:rPr>
                <w:rFonts w:hint="eastAsia" w:ascii="仿宋" w:hAnsi="仿宋" w:eastAsia="仿宋" w:cs="宋体"/>
              </w:rPr>
              <w:t>支持</w:t>
            </w:r>
            <w:r>
              <w:rPr>
                <w:rFonts w:hint="eastAsia" w:ascii="仿宋" w:hAnsi="仿宋" w:eastAsia="仿宋"/>
              </w:rPr>
              <w:t>通过智能语义分析引擎，对XSS跨站脚本、SQL注入攻击和OGNL注入攻击进行检测</w:t>
            </w:r>
          </w:p>
          <w:p>
            <w:pPr>
              <w:spacing w:line="320" w:lineRule="exact"/>
              <w:rPr>
                <w:rFonts w:ascii="仿宋" w:hAnsi="仿宋" w:eastAsia="仿宋" w:cs="宋体"/>
              </w:rPr>
            </w:pPr>
            <w:r>
              <w:rPr>
                <w:rFonts w:hint="eastAsia" w:ascii="仿宋" w:hAnsi="仿宋" w:eastAsia="仿宋"/>
              </w:rPr>
              <w:t>支持通过智能语义分析引擎，检测JSP脚本文件上传和PHP脚本文件上传</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WEBSHELL检测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rPr>
              <w:t>支持WEB</w:t>
            </w:r>
            <w:r>
              <w:rPr>
                <w:rFonts w:hint="eastAsia" w:ascii="仿宋" w:hAnsi="仿宋" w:eastAsia="仿宋" w:cs="宋体"/>
              </w:rPr>
              <w:t>SHELL检测</w:t>
            </w:r>
            <w:r>
              <w:rPr>
                <w:rFonts w:hint="eastAsia" w:ascii="仿宋" w:hAnsi="仿宋" w:eastAsia="仿宋" w:cs="Damascus"/>
              </w:rPr>
              <w:t>，可检测访问</w:t>
            </w:r>
            <w:r>
              <w:rPr>
                <w:rFonts w:hint="eastAsia" w:ascii="仿宋" w:hAnsi="仿宋" w:eastAsia="仿宋"/>
              </w:rPr>
              <w:t>webshell</w:t>
            </w:r>
            <w:r>
              <w:rPr>
                <w:rFonts w:hint="eastAsia" w:ascii="仿宋" w:hAnsi="仿宋" w:eastAsia="仿宋" w:cs="宋体"/>
              </w:rPr>
              <w:t>的行为，包含具体对应的URL、返回码、返回数据包内容等，可显示一句话类webshell后门是否植入成功</w:t>
            </w:r>
            <w:r>
              <w:rPr>
                <w:rFonts w:hint="eastAsia" w:ascii="仿宋" w:hAnsi="仿宋" w:eastAsia="仿宋"/>
              </w:rPr>
              <w:t>（提供截图证明）</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自定义规则</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kern w:val="0"/>
              </w:rPr>
              <w:t>支持根据规则类型、协议、源IP/端口、目的IP/端口、流量方向、流量状态、风险类别、风险等级、风险阶段、攻击者、攻击状态、阈值、Flowbits、规则内容等自定义审计规则</w:t>
            </w:r>
          </w:p>
          <w:p>
            <w:pPr>
              <w:spacing w:line="320" w:lineRule="exact"/>
              <w:rPr>
                <w:rFonts w:ascii="仿宋" w:hAnsi="仿宋" w:eastAsia="仿宋"/>
              </w:rPr>
            </w:pPr>
            <w:r>
              <w:rPr>
                <w:rFonts w:hint="eastAsia" w:ascii="仿宋" w:hAnsi="仿宋" w:eastAsia="仿宋"/>
                <w:kern w:val="0"/>
              </w:rPr>
              <w:t>支持自定义配置旁路阻断规则，阻断TCP会话</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动态分析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cs="宋体"/>
              </w:rPr>
            </w:pPr>
            <w:r>
              <w:rPr>
                <w:rFonts w:hint="eastAsia" w:ascii="仿宋" w:hAnsi="仿宋" w:eastAsia="仿宋"/>
              </w:rPr>
              <w:t>自动关联</w:t>
            </w:r>
            <w:r>
              <w:rPr>
                <w:rFonts w:hint="eastAsia" w:ascii="仿宋" w:hAnsi="仿宋" w:eastAsia="仿宋" w:cs="宋体"/>
              </w:rPr>
              <w:t>行为分析</w:t>
            </w:r>
            <w:r>
              <w:rPr>
                <w:rFonts w:hint="eastAsia" w:ascii="仿宋" w:hAnsi="仿宋" w:eastAsia="仿宋" w:cs="Damascus"/>
              </w:rPr>
              <w:t>的详细展现，</w:t>
            </w:r>
            <w:r>
              <w:rPr>
                <w:rFonts w:hint="eastAsia" w:ascii="仿宋" w:hAnsi="仿宋" w:eastAsia="仿宋"/>
              </w:rPr>
              <w:t>包含SQL注入取数据、表单破解、XSS测试、目录穿越读取文件、多人访问Webshell、APT攻击等</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场景化分析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支持场景化的分析能力，对发现的告警进行二次关联，支持对勒索病毒、网站后门、邮件APT攻击等事件进行预警。</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DNS协议分析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具备DNS协议分析能力，发现受感染主机、危害程度、被感染病毒类型、回连C&amp;C域名、DNS返回详情、恶意主机明细等行为。</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与WAF联动</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支持将分析到的WEBSHELL攻击、木马回连和恶意攻击行为同步到WAF，实现APT深度威胁分析与WAF联动阻断（提供截图证明）</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与防火墙联动</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支持将分析到的SMB远程溢出攻击、扫描行为、Web后门访问、隧道通信、暴力破解、挖矿、远控工具利用等攻击成功事件同步到防火墙，实现APT深度威胁分析与防火墙联动阻断（提供截图证明）</w:t>
            </w:r>
          </w:p>
          <w:p>
            <w:pPr>
              <w:spacing w:line="320" w:lineRule="exact"/>
              <w:rPr>
                <w:rFonts w:ascii="仿宋" w:hAnsi="仿宋" w:eastAsia="仿宋"/>
              </w:rPr>
            </w:pPr>
            <w:r>
              <w:rPr>
                <w:rFonts w:hint="eastAsia" w:ascii="仿宋" w:hAnsi="仿宋" w:eastAsia="仿宋"/>
              </w:rPr>
              <w:t>支持自定义防火墙阻断时长，并展示最新联动状态、状态更新时间</w:t>
            </w:r>
          </w:p>
          <w:p>
            <w:pPr>
              <w:spacing w:line="320" w:lineRule="exact"/>
              <w:rPr>
                <w:rFonts w:ascii="仿宋" w:hAnsi="仿宋" w:eastAsia="仿宋"/>
              </w:rPr>
            </w:pPr>
            <w:r>
              <w:rPr>
                <w:rFonts w:hint="eastAsia" w:ascii="仿宋" w:hAnsi="仿宋" w:eastAsia="仿宋"/>
              </w:rPr>
              <w:t>支持查看阻断信息，阻断信息包括阻断IP、阻断开始时间、阻断结束时间、阻断状态等</w:t>
            </w:r>
          </w:p>
          <w:p>
            <w:pPr>
              <w:spacing w:line="320" w:lineRule="exact"/>
              <w:rPr>
                <w:rFonts w:ascii="仿宋" w:hAnsi="仿宋" w:eastAsia="仿宋"/>
              </w:rPr>
            </w:pPr>
            <w:r>
              <w:rPr>
                <w:rFonts w:hint="eastAsia" w:ascii="仿宋" w:hAnsi="仿宋" w:eastAsia="仿宋"/>
              </w:rPr>
              <w:t>支持自定义添加防火墙阻断IP白名单</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仿宋" w:hAnsi="仿宋" w:eastAsia="仿宋"/>
                <w:b/>
              </w:rPr>
            </w:pPr>
            <w:r>
              <w:rPr>
                <w:rFonts w:hint="eastAsia" w:ascii="仿宋" w:hAnsi="仿宋" w:eastAsia="仿宋"/>
                <w:b/>
              </w:rPr>
              <w:t>Mail攻击检测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Damascus"/>
              </w:rPr>
            </w:pPr>
            <w:r>
              <w:rPr>
                <w:rFonts w:hint="eastAsia" w:ascii="仿宋" w:hAnsi="仿宋" w:eastAsia="仿宋"/>
              </w:rPr>
              <w:t>协议解析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支持解析webmail、SMTP、POP3、IMAP、SMTPS、POP3S、IMAPS（加密协议需要导入服务器私钥证书）类型报文</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社工类攻击检测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对社工类攻击进行检测，检测内容包括：邮件头欺骗、邮件发件人欺骗、邮件钓鱼欺骗、邮件恶意链接（提供截图证明）</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恶意附件检测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支持邮件恶意附件行为检测</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仿宋" w:hAnsi="仿宋" w:eastAsia="仿宋"/>
              </w:rPr>
            </w:pPr>
            <w:r>
              <w:rPr>
                <w:rFonts w:hint="eastAsia" w:ascii="仿宋" w:hAnsi="仿宋" w:eastAsia="仿宋"/>
                <w:b/>
              </w:rPr>
              <w:t>文件攻击检测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rPr>
              <w:t>解析协议</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支持HTTP、FTP、SMB、SMTP、POP3、IMAP、NFS、TFTP、HTTPS、SMTPS、POP3S、IMAPS（加密协议需要导入服务器私钥证书）等协议传输文件检测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文件类型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支持doc, xls, ppt, swf, pdf, rar, zip, rar, exe, vbs, scr、ps1、elf等多种文件解析</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自定义分离文件类型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可添加或删除指定分离的文件类型，并可选择适用的协议类型（HTTP可进一步按GET、POST来配置）</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恶意文件MD5</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支持自定义新增或批量导入恶意文件MD5值进行文件威胁检测，可配置内容包括文件MD5、恶意信息描述和参考链接</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文件分析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支持自定义上传文件样本进行威胁分析</w:t>
            </w:r>
          </w:p>
          <w:p>
            <w:pPr>
              <w:spacing w:line="320" w:lineRule="exact"/>
              <w:rPr>
                <w:rFonts w:ascii="仿宋" w:hAnsi="仿宋" w:eastAsia="仿宋"/>
              </w:rPr>
            </w:pPr>
            <w:r>
              <w:rPr>
                <w:rFonts w:hint="eastAsia" w:ascii="仿宋" w:hAnsi="仿宋" w:eastAsia="仿宋"/>
              </w:rPr>
              <w:t>支持批量上传文件</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宋体"/>
              </w:rPr>
              <w:t>特征检测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对文件进行特征匹配，利用已知的特征库发现恶意的可执行文件及非可执行文件。</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Shellcode检测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通过分析文件中的二进制代码，找到文件溢出攻击的代码，并能找到APT攻击中的0day攻击（提供截图证明）</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多引擎在线检测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与国际领先的反病毒引擎深度结合，支持对文件的MD5值进行多引擎在线检测，检测结果中包括MD5、扫描时间、病毒引擎总数、引擎检出数、SHA1、SHA256和引擎检出列表</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动态沙箱检测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对存在恶意行为的文件输出完整的二进制动态分析报告</w:t>
            </w:r>
          </w:p>
          <w:p>
            <w:pPr>
              <w:spacing w:line="320" w:lineRule="exact"/>
              <w:rPr>
                <w:rFonts w:ascii="仿宋" w:hAnsi="仿宋" w:eastAsia="仿宋"/>
              </w:rPr>
            </w:pPr>
            <w:r>
              <w:rPr>
                <w:rFonts w:hint="eastAsia" w:ascii="仿宋" w:hAnsi="仿宋" w:eastAsia="仿宋"/>
              </w:rPr>
              <w:t>动态执行可疑文件，分析代码的注册表、进程、网络、文件等行为，分析其安全风险（提供截图证明）</w:t>
            </w:r>
          </w:p>
          <w:p>
            <w:pPr>
              <w:spacing w:line="320" w:lineRule="exact"/>
              <w:rPr>
                <w:rFonts w:ascii="仿宋" w:hAnsi="仿宋" w:eastAsia="仿宋"/>
              </w:rPr>
            </w:pPr>
            <w:r>
              <w:rPr>
                <w:rFonts w:hint="eastAsia" w:ascii="仿宋" w:hAnsi="仿宋" w:eastAsia="仿宋"/>
              </w:rPr>
              <w:t>可展示文件中版本信息、段信息、资源信息、导入表、字符串信息、删除文件信息等内容</w:t>
            </w:r>
          </w:p>
          <w:p>
            <w:pPr>
              <w:spacing w:line="320" w:lineRule="exact"/>
              <w:rPr>
                <w:rFonts w:ascii="仿宋" w:hAnsi="仿宋" w:eastAsia="仿宋"/>
              </w:rPr>
            </w:pPr>
            <w:r>
              <w:rPr>
                <w:rFonts w:hint="eastAsia" w:ascii="仿宋" w:hAnsi="仿宋" w:eastAsia="仿宋"/>
              </w:rPr>
              <w:t>可展示ROP行为检测</w:t>
            </w:r>
          </w:p>
          <w:p>
            <w:pPr>
              <w:spacing w:line="320" w:lineRule="exact"/>
              <w:rPr>
                <w:rFonts w:ascii="仿宋" w:hAnsi="仿宋" w:eastAsia="仿宋"/>
              </w:rPr>
            </w:pPr>
            <w:r>
              <w:rPr>
                <w:rFonts w:hint="eastAsia" w:ascii="仿宋" w:hAnsi="仿宋" w:eastAsia="仿宋"/>
              </w:rPr>
              <w:t>可展示具体文件的行为，包括所有的注册表行为、进程行为、互斥量、返回结果、返回值等信息</w:t>
            </w:r>
          </w:p>
          <w:p>
            <w:pPr>
              <w:spacing w:line="320" w:lineRule="exact"/>
              <w:rPr>
                <w:rFonts w:ascii="仿宋" w:hAnsi="仿宋" w:eastAsia="仿宋"/>
              </w:rPr>
            </w:pPr>
            <w:r>
              <w:rPr>
                <w:rFonts w:hint="eastAsia" w:ascii="仿宋" w:hAnsi="仿宋" w:eastAsia="仿宋"/>
              </w:rPr>
              <w:t>可显示文件运行过程中企图访问的IP、域名，以及域名及对应的IP</w:t>
            </w:r>
          </w:p>
          <w:p>
            <w:pPr>
              <w:spacing w:line="320" w:lineRule="exact"/>
              <w:rPr>
                <w:rFonts w:ascii="仿宋" w:hAnsi="仿宋" w:eastAsia="仿宋"/>
              </w:rPr>
            </w:pPr>
            <w:r>
              <w:rPr>
                <w:rFonts w:hint="eastAsia" w:ascii="仿宋" w:hAnsi="仿宋" w:eastAsia="仿宋"/>
              </w:rPr>
              <w:t>支持沙箱逃逸检测，当恶意文件进行逃逸尝试，在沙箱报告中进行体现</w:t>
            </w:r>
          </w:p>
          <w:p>
            <w:pPr>
              <w:spacing w:line="320" w:lineRule="exact"/>
              <w:rPr>
                <w:rFonts w:ascii="仿宋" w:hAnsi="仿宋" w:eastAsia="仿宋"/>
              </w:rPr>
            </w:pPr>
            <w:r>
              <w:rPr>
                <w:rFonts w:hint="eastAsia" w:ascii="仿宋" w:hAnsi="仿宋" w:eastAsia="仿宋"/>
              </w:rPr>
              <w:t>采用多并发沙箱检测技术，集成主流的操作系统winXP、win7、win10、linux等多种检测环境，结合平台内置反病毒引擎和静态分析技术对恶意特征文件、文件漏洞、未知威胁等深度关联分析</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子文件扫描</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对文件内部嵌入的子文件可进行二次扫描，分析安全性（提供截图证明）</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检测结果复用</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文件MD5值相同时，支持自定义配置检测结果是否复用</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压缩文件子文件格式识别</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支持自定义配置是否识别压缩文件中子文件的真实格式</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自定义YARA规则设置</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支持导入自定义YARA规则，可从静态文件和运行内存中检测文件威胁</w:t>
            </w:r>
          </w:p>
          <w:p>
            <w:pPr>
              <w:spacing w:line="320" w:lineRule="exact"/>
              <w:rPr>
                <w:rFonts w:ascii="仿宋" w:hAnsi="仿宋" w:eastAsia="仿宋"/>
              </w:rPr>
            </w:pPr>
            <w:r>
              <w:rPr>
                <w:rFonts w:hint="eastAsia" w:ascii="仿宋" w:hAnsi="仿宋" w:eastAsia="仿宋"/>
              </w:rPr>
              <w:t>支持单个规则或多个规则累加告警</w:t>
            </w:r>
          </w:p>
          <w:p>
            <w:pPr>
              <w:spacing w:line="320" w:lineRule="exact"/>
              <w:rPr>
                <w:rFonts w:ascii="仿宋" w:hAnsi="仿宋" w:eastAsia="仿宋"/>
              </w:rPr>
            </w:pPr>
            <w:r>
              <w:rPr>
                <w:rFonts w:hint="eastAsia" w:ascii="仿宋" w:hAnsi="仿宋" w:eastAsia="仿宋"/>
              </w:rPr>
              <w:t>支持从规则状态、类型、等级、描述等方面进行自定义配置</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rPr>
            </w:pPr>
            <w:r>
              <w:rPr>
                <w:rFonts w:hint="eastAsia" w:ascii="仿宋" w:hAnsi="仿宋" w:eastAsia="仿宋" w:cs="宋体"/>
              </w:rPr>
              <w:t>沙箱操作系统设置</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支持自定义配置不同沙箱操作系统的超时时间和检测文件类型</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攻击样本提取</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可以提取出攻击的完整样本文件，并提供对该文件下载的能力</w:t>
            </w:r>
          </w:p>
        </w:tc>
      </w:tr>
      <w:tr>
        <w:tblPrEx>
          <w:tblCellMar>
            <w:top w:w="0" w:type="dxa"/>
            <w:left w:w="108" w:type="dxa"/>
            <w:bottom w:w="0" w:type="dxa"/>
            <w:right w:w="108" w:type="dxa"/>
          </w:tblCellMar>
        </w:tblPrEx>
        <w:trPr>
          <w:cantSplit/>
          <w:trHeight w:val="454" w:hRule="atLeast"/>
          <w:jc w:val="center"/>
        </w:trPr>
        <w:tc>
          <w:tcPr>
            <w:tcW w:w="141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文件威胁指数</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可展示威胁程度最高的文件样本MD5、威胁指数、传播次数，病毒检测、静态检测和动态检测结果等内容</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根据文件传播情况分析受感染主机、接受云端威胁情报、关键威胁行为可视化、回连主机host和完整沙箱分析报告（提供截图证明）</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根据云端威胁情报展示云端是否确认、传播协议类型、传播次数、云端确认结果等</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回连域名/IP</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支持提取恶意文件在沙箱虚拟机中运行时回连的域名和IP，并支持将回连域名和IP添加进威胁情报</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nil"/>
              <w:left w:val="single" w:color="auto" w:sz="4" w:space="0"/>
              <w:bottom w:val="single" w:color="auto" w:sz="4" w:space="0"/>
              <w:right w:val="single" w:color="auto" w:sz="4" w:space="0"/>
            </w:tcBorders>
            <w:shd w:val="clear" w:color="auto" w:fill="D9D9D9"/>
            <w:noWrap w:val="0"/>
            <w:vAlign w:val="center"/>
          </w:tcPr>
          <w:p>
            <w:pPr>
              <w:jc w:val="center"/>
              <w:rPr>
                <w:rFonts w:ascii="仿宋" w:hAnsi="仿宋" w:eastAsia="仿宋"/>
                <w:b/>
              </w:rPr>
            </w:pPr>
            <w:r>
              <w:rPr>
                <w:rFonts w:hint="eastAsia" w:ascii="仿宋" w:hAnsi="仿宋" w:eastAsia="仿宋"/>
                <w:b/>
              </w:rPr>
              <w:t>失陷主机检测</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远程控制检测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支持根据威胁情报、DGA域名请求、IDS规则、用户配置数据，发现被远程控制的内部主机</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DGA域名请求检测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具备DNS协议解析功能，发现发起DGA域名请求的失陷主机</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挖矿行为检测</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可发现利用失陷主机挖矿的行为</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失陷主机分析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支持以失陷主机维度进行分析，分析内容包括失陷主机IP、MAC地址、攻击类型、访问次数、攻击开始时间、攻击结束时间</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nil"/>
              <w:left w:val="single" w:color="auto" w:sz="4" w:space="0"/>
              <w:bottom w:val="single" w:color="auto" w:sz="4" w:space="0"/>
              <w:right w:val="single" w:color="auto" w:sz="4" w:space="0"/>
            </w:tcBorders>
            <w:shd w:val="clear" w:color="auto" w:fill="D9D9D9"/>
            <w:noWrap w:val="0"/>
            <w:vAlign w:val="center"/>
          </w:tcPr>
          <w:p>
            <w:pPr>
              <w:jc w:val="center"/>
              <w:rPr>
                <w:rFonts w:ascii="仿宋" w:hAnsi="仿宋" w:eastAsia="仿宋"/>
                <w:b/>
              </w:rPr>
            </w:pPr>
            <w:r>
              <w:rPr>
                <w:rFonts w:hint="eastAsia" w:ascii="仿宋" w:hAnsi="仿宋" w:eastAsia="仿宋"/>
                <w:b/>
              </w:rPr>
              <w:t>威胁情报与APT云端</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本地威胁情报</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设备集成离线的高可用威胁情报库，支持离线环境下，根据威胁情报进行检测，增量威胁情报随策略升级包升级</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威胁情报检索</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支持对IP、域名、恶意文件SHA256进行威胁情报检索，或跳转第三方链接（Whois、VirusTotal）进行检索</w:t>
            </w:r>
          </w:p>
          <w:p>
            <w:pPr>
              <w:spacing w:line="320" w:lineRule="exact"/>
              <w:rPr>
                <w:rFonts w:ascii="仿宋" w:hAnsi="仿宋" w:eastAsia="仿宋"/>
              </w:rPr>
            </w:pPr>
            <w:r>
              <w:rPr>
                <w:rFonts w:hint="eastAsia" w:ascii="仿宋" w:hAnsi="仿宋" w:eastAsia="仿宋"/>
              </w:rPr>
              <w:t>支持在告警详情页面直接查询与告警IP、域名相关的威胁情报，获取样本通信记录、情报画像等信息</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云端威胁情报</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支持自动从APT云端获取最新威胁情报</w:t>
            </w:r>
          </w:p>
          <w:p>
            <w:pPr>
              <w:spacing w:line="320" w:lineRule="exact"/>
              <w:rPr>
                <w:rFonts w:ascii="仿宋" w:hAnsi="仿宋" w:eastAsia="仿宋"/>
              </w:rPr>
            </w:pPr>
            <w:r>
              <w:rPr>
                <w:rFonts w:hint="eastAsia" w:ascii="仿宋" w:hAnsi="仿宋" w:eastAsia="仿宋"/>
              </w:rPr>
              <w:t>支持域名白名单同步云端</w:t>
            </w:r>
          </w:p>
        </w:tc>
      </w:tr>
      <w:tr>
        <w:tblPrEx>
          <w:tblCellMar>
            <w:top w:w="0" w:type="dxa"/>
            <w:left w:w="108" w:type="dxa"/>
            <w:bottom w:w="0" w:type="dxa"/>
            <w:right w:w="108" w:type="dxa"/>
          </w:tblCellMar>
        </w:tblPrEx>
        <w:trPr>
          <w:cantSplit/>
          <w:trHeight w:val="454" w:hRule="atLeast"/>
          <w:jc w:val="center"/>
        </w:trPr>
        <w:tc>
          <w:tcPr>
            <w:tcW w:w="1414" w:type="dxa"/>
            <w:tcBorders>
              <w:top w:val="nil"/>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代理服务</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支持使用代理服务器访问云端；支持代理服务器认证</w:t>
            </w:r>
          </w:p>
        </w:tc>
      </w:tr>
      <w:tr>
        <w:tblPrEx>
          <w:tblCellMar>
            <w:top w:w="0" w:type="dxa"/>
            <w:left w:w="108" w:type="dxa"/>
            <w:bottom w:w="0" w:type="dxa"/>
            <w:right w:w="108" w:type="dxa"/>
          </w:tblCellMar>
        </w:tblPrEx>
        <w:trPr>
          <w:cantSplit/>
          <w:trHeight w:val="695" w:hRule="atLeast"/>
          <w:jc w:val="center"/>
        </w:trPr>
        <w:tc>
          <w:tcPr>
            <w:tcW w:w="8745" w:type="dxa"/>
            <w:gridSpan w:val="2"/>
            <w:tcBorders>
              <w:top w:val="single" w:color="auto" w:sz="4" w:space="0"/>
              <w:left w:val="single" w:color="auto" w:sz="4" w:space="0"/>
              <w:bottom w:val="single" w:color="auto" w:sz="4" w:space="0"/>
              <w:right w:val="single" w:color="auto" w:sz="4" w:space="0"/>
            </w:tcBorders>
            <w:shd w:val="clear" w:color="auto" w:fill="D0CECE"/>
            <w:noWrap w:val="0"/>
            <w:vAlign w:val="center"/>
          </w:tcPr>
          <w:p>
            <w:pPr>
              <w:jc w:val="center"/>
              <w:rPr>
                <w:rFonts w:ascii="仿宋" w:hAnsi="仿宋" w:eastAsia="仿宋"/>
                <w:b/>
              </w:rPr>
            </w:pPr>
            <w:r>
              <w:rPr>
                <w:rFonts w:hint="eastAsia" w:ascii="仿宋" w:hAnsi="仿宋" w:eastAsia="仿宋"/>
                <w:b/>
              </w:rPr>
              <w:t>抓包检测功能</w:t>
            </w:r>
          </w:p>
        </w:tc>
      </w:tr>
      <w:tr>
        <w:tblPrEx>
          <w:tblCellMar>
            <w:top w:w="0" w:type="dxa"/>
            <w:left w:w="108" w:type="dxa"/>
            <w:bottom w:w="0" w:type="dxa"/>
            <w:right w:w="108" w:type="dxa"/>
          </w:tblCellMar>
        </w:tblPrEx>
        <w:trPr>
          <w:cantSplit/>
          <w:trHeight w:val="695"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抓包任务</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kern w:val="0"/>
              </w:rPr>
            </w:pPr>
            <w:r>
              <w:rPr>
                <w:rFonts w:hint="eastAsia" w:ascii="仿宋" w:hAnsi="仿宋" w:eastAsia="仿宋"/>
              </w:rPr>
              <w:t>同时支持至少16个抓包任务抓包，每个抓包任务可配置抓包规则，按照IP、端口、协议等信息进行抓包，将抓取的原始流量包保存于本地以供后续分析和取证使用</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仿宋" w:hAnsi="仿宋" w:eastAsia="仿宋"/>
                <w:b/>
              </w:rPr>
            </w:pPr>
            <w:r>
              <w:rPr>
                <w:rFonts w:hint="eastAsia" w:ascii="仿宋" w:hAnsi="仿宋" w:eastAsia="仿宋"/>
                <w:b/>
              </w:rPr>
              <w:t>管理功能</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资产识别和管理</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对流量中的IP地址、端口等进行统计，快速识别未登记资产。可基于特定应用或服务对内部资产进行梳理（系统类型、IP、域名、端口等），查看资产端口暴露情况，特别是以非标端口提供的服务情况；可深入识别运行在资产上的设备类型、应用、服务信息详细情况（类型、版本、服务名称等）</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三权分立用户管理</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提供三权分立的用户管理能力：配置员、用户管理员、审计员相互独立，支持自定义管理用户权限和角色</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敏感信息管理</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支持自定义弱密码、暴力破解和密码明文形式传输等告警的密码查看权限</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风险处理</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支持根据需要对风险状态进行处理，包括处理中、处理完成、延迟处理、拒绝处理等至少四种选择模式，并支持对处理情况进行备注</w:t>
            </w:r>
          </w:p>
        </w:tc>
      </w:tr>
      <w:tr>
        <w:tblPrEx>
          <w:tblCellMar>
            <w:top w:w="0" w:type="dxa"/>
            <w:left w:w="108" w:type="dxa"/>
            <w:bottom w:w="0" w:type="dxa"/>
            <w:right w:w="108" w:type="dxa"/>
          </w:tblCellMar>
        </w:tblPrEx>
        <w:trPr>
          <w:cantSplit/>
          <w:trHeight w:val="962"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NAT地址解析</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支持自定义NAT转换前的IP字段名和字段位置，最多支持5个，并支持对字段名进行优先级排序；可配置不会被NAT转换的代理服务器资产IP</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rPr>
            </w:pPr>
            <w:r>
              <w:rPr>
                <w:rFonts w:hint="eastAsia" w:ascii="仿宋" w:hAnsi="仿宋" w:eastAsia="仿宋"/>
              </w:rPr>
              <w:t>一键登录排错</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支持一键登录排错平台，对系统进行深度配置和排错，支持一键检测故障、配置核对、表分区检查、表检测、信息收集等功能。</w:t>
            </w:r>
          </w:p>
          <w:p>
            <w:pPr>
              <w:spacing w:line="320" w:lineRule="exact"/>
              <w:rPr>
                <w:rFonts w:ascii="仿宋" w:hAnsi="仿宋" w:eastAsia="仿宋"/>
              </w:rPr>
            </w:pPr>
            <w:r>
              <w:rPr>
                <w:rFonts w:hint="eastAsia" w:ascii="仿宋" w:hAnsi="仿宋" w:eastAsia="仿宋"/>
              </w:rPr>
              <w:t>支持在页面实时查看物理内存、共享内存、硬盘分区、硬盘I/O、监听端口、内存占用TOP10进程、CPU占用TOP10进程，无需登录后台，提高设备安全性</w:t>
            </w:r>
          </w:p>
          <w:p>
            <w:pPr>
              <w:spacing w:line="320" w:lineRule="exact"/>
              <w:rPr>
                <w:rFonts w:ascii="仿宋" w:hAnsi="仿宋" w:eastAsia="仿宋"/>
              </w:rPr>
            </w:pPr>
            <w:r>
              <w:rPr>
                <w:rFonts w:hint="eastAsia" w:ascii="仿宋" w:hAnsi="仿宋" w:eastAsia="仿宋"/>
              </w:rPr>
              <w:t>支持自定义时间查询和导出设备内存、CPU、磁盘空间的使用状态日志</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rPr>
            </w:pPr>
            <w:r>
              <w:rPr>
                <w:rFonts w:hint="eastAsia" w:ascii="仿宋" w:hAnsi="仿宋" w:eastAsia="仿宋"/>
              </w:rPr>
              <w:t>设备状态监控</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支持对设备的CPU、内存等状态进行监控，可查看1个月内的系统资源数据，并通过折线图在界面中展示</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MS Mincho"/>
              </w:rPr>
              <w:t>数据外送至第三方平台</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具备风险数据外送至第三方平台的能力，支持以KA**A、FTP、SFTP、SYSLOG数据接口输出风险信息</w:t>
            </w:r>
          </w:p>
          <w:p>
            <w:pPr>
              <w:spacing w:line="320" w:lineRule="exact"/>
              <w:rPr>
                <w:rFonts w:ascii="仿宋" w:hAnsi="仿宋" w:eastAsia="仿宋"/>
              </w:rPr>
            </w:pPr>
            <w:r>
              <w:rPr>
                <w:rFonts w:hint="eastAsia" w:ascii="仿宋" w:hAnsi="仿宋" w:eastAsia="仿宋"/>
              </w:rPr>
              <w:t>具备元数据外送至第三方平台的能力，支持以KA**A、FTP、SFTP、SYSLOG数据接口输出审计信息、会话应用识别信息、会话应用流量统计信息、传输层流量统计、应用层统计信息、登录行为统计信息和文件检测信息</w:t>
            </w:r>
          </w:p>
          <w:p>
            <w:pPr>
              <w:spacing w:line="320" w:lineRule="exact"/>
              <w:rPr>
                <w:rFonts w:ascii="仿宋" w:hAnsi="仿宋" w:eastAsia="仿宋"/>
              </w:rPr>
            </w:pPr>
            <w:r>
              <w:rPr>
                <w:rFonts w:hint="eastAsia" w:ascii="仿宋" w:hAnsi="仿宋" w:eastAsia="仿宋"/>
              </w:rPr>
              <w:t>支持元数据按照服务器配置、发送配置、发送情况进行设置。KA**A发送配置可以按照发送状态、主题、服务器列表、服务器响应、服务器版本、加密认证方式、是否需要压缩。支持字段名称禁用和启用进行配置</w:t>
            </w:r>
          </w:p>
          <w:p>
            <w:pPr>
              <w:spacing w:line="320" w:lineRule="exact"/>
              <w:rPr>
                <w:rFonts w:ascii="仿宋" w:hAnsi="仿宋" w:eastAsia="仿宋"/>
              </w:rPr>
            </w:pPr>
            <w:r>
              <w:rPr>
                <w:rFonts w:hint="eastAsia" w:ascii="仿宋" w:hAnsi="仿宋" w:eastAsia="仿宋"/>
              </w:rPr>
              <w:t>支持分离流量中的原始文件并通过KA**A方式发送原始文件和文件审计数据</w:t>
            </w:r>
          </w:p>
          <w:p>
            <w:pPr>
              <w:spacing w:line="320" w:lineRule="exact"/>
              <w:rPr>
                <w:rFonts w:ascii="仿宋" w:hAnsi="仿宋" w:eastAsia="仿宋"/>
              </w:rPr>
            </w:pPr>
            <w:r>
              <w:rPr>
                <w:rFonts w:hint="eastAsia" w:ascii="仿宋" w:hAnsi="仿宋" w:eastAsia="仿宋"/>
              </w:rPr>
              <w:t>支持根据流量方向选择发送的元数据，包括外网到外网、外网到内网，内网到外网、内网到内网流量</w:t>
            </w:r>
          </w:p>
          <w:p>
            <w:pPr>
              <w:spacing w:line="320" w:lineRule="exact"/>
              <w:rPr>
                <w:rFonts w:ascii="仿宋" w:hAnsi="仿宋" w:eastAsia="仿宋"/>
              </w:rPr>
            </w:pPr>
            <w:r>
              <w:rPr>
                <w:rFonts w:hint="eastAsia" w:ascii="仿宋" w:hAnsi="仿宋" w:eastAsia="仿宋"/>
              </w:rPr>
              <w:t>支持根据流量属性选择发送的元数据，包括是否发送白名单IP流量数据、非告警流量数据等</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SNMP</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支持通过SNMP协议对设备的系统资源进行监控，包括内存、交换空间、CPU、系统分区、数据分区、探测器分区和入库缓冲分区</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仿宋" w:hAnsi="仿宋" w:eastAsia="仿宋"/>
                <w:b/>
              </w:rPr>
            </w:pPr>
            <w:r>
              <w:rPr>
                <w:rFonts w:hint="eastAsia" w:ascii="仿宋" w:hAnsi="仿宋" w:eastAsia="仿宋"/>
                <w:b/>
              </w:rPr>
              <w:t>日志报表</w:t>
            </w:r>
          </w:p>
        </w:tc>
      </w:tr>
      <w:tr>
        <w:tblPrEx>
          <w:tblCellMar>
            <w:top w:w="0" w:type="dxa"/>
            <w:left w:w="108" w:type="dxa"/>
            <w:bottom w:w="0" w:type="dxa"/>
            <w:right w:w="108" w:type="dxa"/>
          </w:tblCellMar>
        </w:tblPrEx>
        <w:trPr>
          <w:cantSplit/>
          <w:trHeight w:val="454" w:hRule="atLeast"/>
          <w:jc w:val="center"/>
        </w:trPr>
        <w:tc>
          <w:tcPr>
            <w:tcW w:w="141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告警与报表</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告警可详细展示风险级别、发生时间、告警名称、客户端IP、服务器IP、ATT&amp;CK矩阵、报文内容（URL、请求头、请求参数、请求内容）</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支持语音告警播报功能，可自定义播报告警的风险类别、风险级别、攻击状态等</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支持ka**a、短信、邮件、syslog、ftp、sftp、钉钉等数据外送方式</w:t>
            </w:r>
          </w:p>
          <w:p>
            <w:pPr>
              <w:spacing w:line="320" w:lineRule="exact"/>
              <w:rPr>
                <w:rFonts w:ascii="仿宋" w:hAnsi="仿宋" w:eastAsia="仿宋"/>
              </w:rPr>
            </w:pPr>
            <w:r>
              <w:rPr>
                <w:rFonts w:hint="eastAsia" w:ascii="仿宋" w:hAnsi="仿宋" w:eastAsia="仿宋"/>
              </w:rPr>
              <w:t>syslog、ka**a、sftp和ftp外送方式支持配置多个服务器，分别发送不同业务数据</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支持对ka**a、syslog发送的风险信息进行AES、SM4加密传输</w:t>
            </w:r>
          </w:p>
          <w:p>
            <w:pPr>
              <w:spacing w:line="320" w:lineRule="exact"/>
              <w:rPr>
                <w:rFonts w:ascii="仿宋" w:hAnsi="仿宋" w:eastAsia="仿宋"/>
              </w:rPr>
            </w:pPr>
            <w:r>
              <w:rPr>
                <w:rFonts w:hint="eastAsia" w:ascii="仿宋" w:hAnsi="仿宋" w:eastAsia="仿宋"/>
              </w:rPr>
              <w:t>KA**A服务器配置中协议类型支持明文、SSL、SASL认证+明文、SASL认证+SSL、Kerberos认证+SSL等方式</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 xml:space="preserve">支持同时发送多人、单条发送、发送统计等高级告警功能； </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支持在线预览报表，以及WORD、PDF、HTML等格式导出</w:t>
            </w:r>
          </w:p>
          <w:p>
            <w:pPr>
              <w:spacing w:line="320" w:lineRule="exact"/>
              <w:rPr>
                <w:rFonts w:ascii="仿宋" w:hAnsi="仿宋" w:eastAsia="仿宋"/>
              </w:rPr>
            </w:pPr>
            <w:r>
              <w:rPr>
                <w:rFonts w:hint="eastAsia" w:ascii="仿宋" w:hAnsi="仿宋" w:eastAsia="仿宋"/>
              </w:rPr>
              <w:t>设备内置多种维度的报表模版，可从外部攻击、内部主机、样本投递等维度生成报表，并支持自定义选择报表生成的时间范围、报表类型、报表格式</w:t>
            </w:r>
          </w:p>
          <w:p>
            <w:pPr>
              <w:spacing w:line="320" w:lineRule="exact"/>
              <w:rPr>
                <w:rFonts w:ascii="仿宋" w:hAnsi="仿宋" w:eastAsia="仿宋"/>
              </w:rPr>
            </w:pPr>
            <w:r>
              <w:rPr>
                <w:rFonts w:hint="eastAsia" w:ascii="仿宋" w:hAnsi="仿宋" w:eastAsia="仿宋"/>
              </w:rPr>
              <w:t>支持批量导出报表及报表订阅功能，可自定义单位名称和Logo，报表订阅的时间纬度包括日报、周报、月报</w:t>
            </w:r>
          </w:p>
        </w:tc>
      </w:tr>
      <w:tr>
        <w:tblPrEx>
          <w:tblCellMar>
            <w:top w:w="0" w:type="dxa"/>
            <w:left w:w="108" w:type="dxa"/>
            <w:bottom w:w="0" w:type="dxa"/>
            <w:right w:w="108" w:type="dxa"/>
          </w:tblCellMar>
        </w:tblPrEx>
        <w:trPr>
          <w:cantSplit/>
          <w:trHeight w:val="454" w:hRule="atLeast"/>
          <w:jc w:val="center"/>
        </w:trPr>
        <w:tc>
          <w:tcPr>
            <w:tcW w:w="141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日志数据管理</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审计数据保留策略应至少满足天数和百分比两个控制参数，支持web界面可配置，且恢复数据不影响正常的审计功能。对审计日志可自动备份并加密，无法通过撞库、混淆还原等方式解密，必须导入设备才能进行恢复查看，并可自动释放磁盘空间。</w:t>
            </w:r>
          </w:p>
          <w:p>
            <w:pPr>
              <w:spacing w:line="320" w:lineRule="exact"/>
              <w:rPr>
                <w:rFonts w:ascii="仿宋" w:hAnsi="仿宋" w:eastAsia="仿宋"/>
              </w:rPr>
            </w:pPr>
            <w:r>
              <w:rPr>
                <w:rFonts w:hint="eastAsia" w:ascii="仿宋" w:hAnsi="仿宋" w:eastAsia="仿宋"/>
              </w:rPr>
              <w:t>设备产生的数据重要程度至少分为3级，可自定义配置不同级别数据的清理比重</w:t>
            </w:r>
          </w:p>
        </w:tc>
      </w:tr>
      <w:tr>
        <w:tblPrEx>
          <w:tblCellMar>
            <w:top w:w="0" w:type="dxa"/>
            <w:left w:w="108" w:type="dxa"/>
            <w:bottom w:w="0" w:type="dxa"/>
            <w:right w:w="108" w:type="dxa"/>
          </w:tblCellMar>
        </w:tblPrEx>
        <w:trPr>
          <w:cantSplit/>
          <w:trHeight w:val="454" w:hRule="atLeast"/>
          <w:jc w:val="center"/>
        </w:trPr>
        <w:tc>
          <w:tcPr>
            <w:tcW w:w="8745" w:type="dxa"/>
            <w:gridSpan w:val="2"/>
            <w:tcBorders>
              <w:top w:val="single" w:color="auto" w:sz="4" w:space="0"/>
              <w:left w:val="single" w:color="auto" w:sz="4" w:space="0"/>
              <w:bottom w:val="nil"/>
              <w:right w:val="single" w:color="auto" w:sz="4" w:space="0"/>
            </w:tcBorders>
            <w:shd w:val="clear" w:color="auto" w:fill="BFBFBF"/>
            <w:noWrap w:val="0"/>
            <w:vAlign w:val="center"/>
          </w:tcPr>
          <w:p>
            <w:pPr>
              <w:jc w:val="center"/>
              <w:rPr>
                <w:rFonts w:ascii="仿宋" w:hAnsi="仿宋" w:eastAsia="仿宋"/>
                <w:b/>
              </w:rPr>
            </w:pPr>
            <w:r>
              <w:rPr>
                <w:rFonts w:hint="eastAsia" w:ascii="仿宋" w:hAnsi="仿宋" w:eastAsia="仿宋"/>
                <w:b/>
              </w:rPr>
              <w:t>服务要求</w:t>
            </w:r>
          </w:p>
        </w:tc>
      </w:tr>
      <w:tr>
        <w:tblPrEx>
          <w:tblCellMar>
            <w:top w:w="0" w:type="dxa"/>
            <w:left w:w="108" w:type="dxa"/>
            <w:bottom w:w="0" w:type="dxa"/>
            <w:right w:w="108" w:type="dxa"/>
          </w:tblCellMar>
        </w:tblPrEx>
        <w:trPr>
          <w:cantSplit/>
          <w:trHeight w:val="454" w:hRule="atLeast"/>
          <w:jc w:val="center"/>
        </w:trPr>
        <w:tc>
          <w:tcPr>
            <w:tcW w:w="1414" w:type="dxa"/>
            <w:vMerge w:val="restart"/>
            <w:tcBorders>
              <w:top w:val="single" w:color="auto" w:sz="4" w:space="0"/>
              <w:left w:val="single" w:color="auto" w:sz="4" w:space="0"/>
              <w:bottom w:val="nil"/>
              <w:right w:val="single" w:color="auto" w:sz="4" w:space="0"/>
            </w:tcBorders>
            <w:noWrap w:val="0"/>
            <w:vAlign w:val="center"/>
          </w:tcPr>
          <w:p>
            <w:pPr>
              <w:widowControl/>
              <w:rPr>
                <w:rFonts w:ascii="仿宋" w:hAnsi="仿宋" w:eastAsia="仿宋"/>
              </w:rPr>
            </w:pPr>
            <w:r>
              <w:rPr>
                <w:rFonts w:hint="eastAsia" w:ascii="仿宋" w:hAnsi="仿宋" w:eastAsia="仿宋"/>
              </w:rPr>
              <w:t>产品成熟度</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软件著作权证书</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销售许可证（必须是APT安全监测类）</w:t>
            </w:r>
          </w:p>
        </w:tc>
      </w:tr>
      <w:tr>
        <w:tblPrEx>
          <w:tblCellMar>
            <w:top w:w="0" w:type="dxa"/>
            <w:left w:w="108" w:type="dxa"/>
            <w:bottom w:w="0" w:type="dxa"/>
            <w:right w:w="108" w:type="dxa"/>
          </w:tblCellMar>
        </w:tblPrEx>
        <w:trPr>
          <w:cantSplit/>
          <w:trHeight w:val="454" w:hRule="atLeast"/>
          <w:jc w:val="center"/>
        </w:trPr>
        <w:tc>
          <w:tcPr>
            <w:tcW w:w="141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rPr>
              <w:t>售后服务</w:t>
            </w: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3年质保，提供</w:t>
            </w:r>
            <w:r>
              <w:rPr>
                <w:rFonts w:ascii="仿宋" w:hAnsi="仿宋" w:eastAsia="仿宋"/>
              </w:rPr>
              <w:t>3</w:t>
            </w:r>
            <w:r>
              <w:rPr>
                <w:rFonts w:hint="eastAsia" w:ascii="仿宋" w:hAnsi="仿宋" w:eastAsia="仿宋"/>
              </w:rPr>
              <w:t>年免费升级与维护服务</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提供24小时支持热线；</w:t>
            </w:r>
          </w:p>
        </w:tc>
      </w:tr>
      <w:tr>
        <w:tblPrEx>
          <w:tblCellMar>
            <w:top w:w="0" w:type="dxa"/>
            <w:left w:w="108" w:type="dxa"/>
            <w:bottom w:w="0" w:type="dxa"/>
            <w:right w:w="108" w:type="dxa"/>
          </w:tblCellMar>
        </w:tblPrEx>
        <w:trPr>
          <w:cantSplit/>
          <w:trHeight w:val="454" w:hRule="atLeast"/>
          <w:jc w:val="center"/>
        </w:trPr>
        <w:tc>
          <w:tcPr>
            <w:tcW w:w="1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73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 w:hAnsi="仿宋" w:eastAsia="仿宋"/>
              </w:rPr>
            </w:pPr>
            <w:r>
              <w:rPr>
                <w:rFonts w:hint="eastAsia" w:ascii="仿宋" w:hAnsi="仿宋" w:eastAsia="仿宋"/>
              </w:rPr>
              <w:t>提供高级技术分析服务</w:t>
            </w:r>
          </w:p>
        </w:tc>
      </w:tr>
    </w:tbl>
    <w:p>
      <w:pPr>
        <w:pStyle w:val="21"/>
        <w:snapToGrid w:val="0"/>
        <w:spacing w:before="156" w:beforeLines="50" w:after="156" w:afterLines="50" w:line="324" w:lineRule="auto"/>
        <w:outlineLvl w:val="0"/>
        <w:rPr>
          <w:rFonts w:ascii="仿宋" w:hAnsi="仿宋" w:eastAsia="仿宋" w:cs="Times New Roman"/>
          <w:sz w:val="24"/>
          <w:szCs w:val="24"/>
        </w:rPr>
      </w:pPr>
      <w:r>
        <w:rPr>
          <w:rFonts w:hint="eastAsia" w:ascii="仿宋" w:hAnsi="仿宋" w:eastAsia="仿宋"/>
          <w:b/>
          <w:sz w:val="24"/>
          <w:szCs w:val="24"/>
          <w:lang w:val="en-US"/>
        </w:rPr>
        <w:t>六、商务条款</w:t>
      </w:r>
    </w:p>
    <w:p>
      <w:pPr>
        <w:pStyle w:val="21"/>
        <w:snapToGrid w:val="0"/>
        <w:spacing w:before="156" w:beforeLines="50" w:after="156" w:afterLines="50" w:line="324" w:lineRule="auto"/>
        <w:ind w:firstLine="480" w:firstLineChars="200"/>
        <w:outlineLvl w:val="0"/>
        <w:rPr>
          <w:rFonts w:ascii="仿宋" w:hAnsi="仿宋" w:eastAsia="仿宋" w:cs="Times New Roman"/>
          <w:snapToGrid w:val="0"/>
          <w:sz w:val="24"/>
          <w:szCs w:val="24"/>
        </w:rPr>
      </w:pPr>
      <w:r>
        <w:rPr>
          <w:rFonts w:ascii="仿宋" w:hAnsi="仿宋" w:eastAsia="仿宋" w:cs="Times New Roman"/>
          <w:snapToGrid w:val="0"/>
          <w:sz w:val="24"/>
          <w:szCs w:val="24"/>
        </w:rPr>
        <w:t>1</w:t>
      </w:r>
      <w:r>
        <w:rPr>
          <w:rFonts w:hint="eastAsia" w:ascii="仿宋" w:hAnsi="仿宋" w:eastAsia="仿宋" w:cs="Times New Roman"/>
          <w:snapToGrid w:val="0"/>
          <w:sz w:val="24"/>
          <w:szCs w:val="24"/>
        </w:rPr>
        <w:t>、付款方式：</w:t>
      </w:r>
      <w:r>
        <w:rPr>
          <w:rFonts w:hint="eastAsia" w:ascii="仿宋" w:hAnsi="仿宋" w:eastAsia="仿宋"/>
          <w:sz w:val="24"/>
        </w:rPr>
        <w:t>在合同生效以及具备实施条件后</w:t>
      </w:r>
      <w:r>
        <w:rPr>
          <w:rFonts w:ascii="仿宋" w:hAnsi="仿宋" w:eastAsia="仿宋"/>
          <w:sz w:val="24"/>
        </w:rPr>
        <w:t>15</w:t>
      </w:r>
      <w:r>
        <w:rPr>
          <w:rFonts w:hint="eastAsia" w:ascii="仿宋" w:hAnsi="仿宋" w:eastAsia="仿宋"/>
          <w:sz w:val="24"/>
        </w:rPr>
        <w:t>日内预付合同总价的</w:t>
      </w:r>
      <w:r>
        <w:rPr>
          <w:rFonts w:ascii="仿宋" w:hAnsi="仿宋" w:eastAsia="仿宋"/>
          <w:sz w:val="24"/>
        </w:rPr>
        <w:t>30%</w:t>
      </w:r>
      <w:r>
        <w:rPr>
          <w:rFonts w:hint="eastAsia" w:ascii="仿宋" w:hAnsi="仿宋" w:eastAsia="仿宋"/>
          <w:sz w:val="24"/>
        </w:rPr>
        <w:t>，项目完成并验收合格后</w:t>
      </w:r>
      <w:r>
        <w:rPr>
          <w:rFonts w:ascii="仿宋" w:hAnsi="仿宋" w:eastAsia="仿宋"/>
          <w:sz w:val="24"/>
        </w:rPr>
        <w:t>30</w:t>
      </w:r>
      <w:r>
        <w:rPr>
          <w:rFonts w:hint="eastAsia" w:ascii="仿宋" w:hAnsi="仿宋" w:eastAsia="仿宋"/>
          <w:sz w:val="24"/>
        </w:rPr>
        <w:t>个工作日内支付合同总价的</w:t>
      </w:r>
      <w:r>
        <w:rPr>
          <w:rFonts w:ascii="仿宋" w:hAnsi="仿宋" w:eastAsia="仿宋"/>
          <w:sz w:val="24"/>
        </w:rPr>
        <w:t>65%</w:t>
      </w:r>
      <w:r>
        <w:rPr>
          <w:rFonts w:hint="eastAsia" w:ascii="仿宋" w:hAnsi="仿宋" w:eastAsia="仿宋"/>
          <w:sz w:val="24"/>
        </w:rPr>
        <w:t>，其余</w:t>
      </w:r>
      <w:r>
        <w:rPr>
          <w:rFonts w:ascii="仿宋" w:hAnsi="仿宋" w:eastAsia="仿宋"/>
          <w:sz w:val="24"/>
        </w:rPr>
        <w:t>5%</w:t>
      </w:r>
      <w:r>
        <w:rPr>
          <w:rFonts w:hint="eastAsia" w:ascii="仿宋" w:hAnsi="仿宋" w:eastAsia="仿宋"/>
          <w:sz w:val="24"/>
        </w:rPr>
        <w:t>作为质量保证金（不计息），在质保期满后无质量问题一个月内结清余款（余款不支付利息）。</w:t>
      </w:r>
    </w:p>
    <w:p>
      <w:pPr>
        <w:pStyle w:val="21"/>
        <w:spacing w:before="162" w:after="162" w:line="360" w:lineRule="auto"/>
        <w:ind w:right="-61" w:firstLine="480"/>
        <w:rPr>
          <w:rFonts w:ascii="仿宋" w:hAnsi="仿宋" w:eastAsia="仿宋" w:cs="Times New Roman"/>
          <w:snapToGrid w:val="0"/>
          <w:sz w:val="24"/>
          <w:szCs w:val="24"/>
          <w:lang w:val="en-US"/>
        </w:rPr>
      </w:pPr>
      <w:r>
        <w:rPr>
          <w:rFonts w:ascii="仿宋" w:hAnsi="仿宋" w:eastAsia="仿宋" w:cs="Times New Roman"/>
          <w:snapToGrid w:val="0"/>
          <w:sz w:val="24"/>
          <w:szCs w:val="24"/>
          <w:lang w:val="en-US"/>
        </w:rPr>
        <w:t>2</w:t>
      </w:r>
      <w:r>
        <w:rPr>
          <w:rFonts w:hint="eastAsia" w:ascii="仿宋" w:hAnsi="仿宋" w:eastAsia="仿宋" w:cs="Times New Roman"/>
          <w:snapToGrid w:val="0"/>
          <w:sz w:val="24"/>
          <w:szCs w:val="24"/>
          <w:lang w:val="en-US"/>
        </w:rPr>
        <w:t>、项目交货期：签订合同后6</w:t>
      </w:r>
      <w:r>
        <w:rPr>
          <w:rFonts w:ascii="仿宋" w:hAnsi="仿宋" w:eastAsia="仿宋" w:cs="Times New Roman"/>
          <w:snapToGrid w:val="0"/>
          <w:sz w:val="24"/>
          <w:szCs w:val="24"/>
          <w:lang w:val="en-US"/>
        </w:rPr>
        <w:t>0</w:t>
      </w:r>
      <w:r>
        <w:rPr>
          <w:rFonts w:hint="eastAsia" w:ascii="仿宋" w:hAnsi="仿宋" w:eastAsia="仿宋" w:cs="Times New Roman"/>
          <w:snapToGrid w:val="0"/>
          <w:sz w:val="24"/>
          <w:szCs w:val="24"/>
          <w:lang w:val="en-US"/>
        </w:rPr>
        <w:t>天内完成设备安装，调试，达到验收条件。</w:t>
      </w:r>
    </w:p>
    <w:p>
      <w:pPr>
        <w:snapToGrid w:val="0"/>
        <w:spacing w:line="400" w:lineRule="exact"/>
        <w:ind w:firstLine="480" w:firstLineChars="200"/>
        <w:rPr>
          <w:rFonts w:ascii="仿宋" w:hAnsi="仿宋" w:eastAsia="仿宋"/>
          <w:snapToGrid w:val="0"/>
          <w:sz w:val="24"/>
        </w:rPr>
      </w:pPr>
      <w:r>
        <w:rPr>
          <w:rFonts w:hint="eastAsia" w:ascii="仿宋" w:hAnsi="仿宋" w:eastAsia="仿宋"/>
          <w:snapToGrid w:val="0"/>
          <w:sz w:val="24"/>
        </w:rPr>
        <w:t>3、安装及验收</w:t>
      </w:r>
    </w:p>
    <w:p>
      <w:pPr>
        <w:spacing w:line="46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）交货及安装地点：用户指定地点与位置。</w:t>
      </w:r>
    </w:p>
    <w:p>
      <w:pPr>
        <w:spacing w:line="46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）供货时间：签订合同后60天内完成设备安装，调试，达到验收条件。</w:t>
      </w:r>
    </w:p>
    <w:p>
      <w:pPr>
        <w:spacing w:line="46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）安装标准：符合国家有关安全技术标准，以及所属行业通用技术要求。</w:t>
      </w:r>
    </w:p>
    <w:p>
      <w:pPr>
        <w:spacing w:line="46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）验收标准：相关货物据需提供原厂合格证或相关证明，设备包装完好</w:t>
      </w:r>
      <w:r>
        <w:rPr>
          <w:rFonts w:ascii="仿宋" w:hAnsi="仿宋" w:eastAsia="仿宋"/>
          <w:sz w:val="24"/>
        </w:rPr>
        <w:t>,</w:t>
      </w:r>
      <w:r>
        <w:rPr>
          <w:rFonts w:hint="eastAsia" w:ascii="仿宋" w:hAnsi="仿宋" w:eastAsia="仿宋"/>
          <w:sz w:val="24"/>
        </w:rPr>
        <w:t>设备为原包装以确保正品；系统必须经第三方检测，试运行后合格后，出具验收报告。</w:t>
      </w:r>
    </w:p>
    <w:p>
      <w:pPr>
        <w:spacing w:line="360" w:lineRule="auto"/>
        <w:jc w:val="center"/>
        <w:outlineLvl w:val="0"/>
        <w:rPr>
          <w:rFonts w:ascii="仿宋" w:hAnsi="仿宋" w:eastAsia="仿宋" w:cs="仿宋"/>
          <w:b/>
          <w:sz w:val="36"/>
          <w:szCs w:val="36"/>
        </w:rPr>
      </w:pPr>
      <w:r>
        <w:rPr>
          <w:rFonts w:ascii="仿宋" w:hAnsi="仿宋" w:eastAsia="仿宋" w:cs="仿宋"/>
          <w:b/>
          <w:sz w:val="36"/>
          <w:szCs w:val="36"/>
        </w:rPr>
        <w:br w:type="page"/>
      </w:r>
      <w:r>
        <w:rPr>
          <w:rFonts w:hint="eastAsia" w:ascii="仿宋" w:hAnsi="仿宋" w:eastAsia="仿宋" w:cs="仿宋"/>
          <w:b/>
          <w:sz w:val="36"/>
          <w:szCs w:val="36"/>
        </w:rPr>
        <w:t>第四部分评标方法及评分标准</w:t>
      </w:r>
    </w:p>
    <w:p>
      <w:pPr>
        <w:snapToGrid w:val="0"/>
        <w:spacing w:line="360" w:lineRule="auto"/>
        <w:jc w:val="center"/>
        <w:rPr>
          <w:rFonts w:ascii="仿宋" w:hAnsi="仿宋" w:eastAsia="仿宋" w:cs="仿宋"/>
          <w:b/>
          <w:sz w:val="28"/>
          <w:szCs w:val="28"/>
        </w:rPr>
      </w:pPr>
      <w:r>
        <w:rPr>
          <w:rFonts w:hint="eastAsia" w:ascii="仿宋" w:hAnsi="仿宋" w:eastAsia="仿宋" w:cs="仿宋"/>
          <w:b/>
          <w:sz w:val="32"/>
        </w:rPr>
        <w:t>一、评标方法</w:t>
      </w:r>
    </w:p>
    <w:p>
      <w:pPr>
        <w:spacing w:line="360" w:lineRule="auto"/>
        <w:rPr>
          <w:rFonts w:ascii="仿宋" w:hAnsi="仿宋" w:eastAsia="仿宋" w:cs="仿宋"/>
          <w:b/>
          <w:kern w:val="0"/>
          <w:sz w:val="24"/>
        </w:rPr>
      </w:pPr>
      <w:r>
        <w:rPr>
          <w:rFonts w:ascii="仿宋" w:hAnsi="仿宋" w:eastAsia="仿宋" w:cs="仿宋"/>
          <w:b/>
          <w:kern w:val="0"/>
          <w:sz w:val="24"/>
        </w:rPr>
        <w:t>1.</w:t>
      </w:r>
      <w:r>
        <w:rPr>
          <w:rFonts w:hint="eastAsia" w:ascii="仿宋" w:hAnsi="仿宋" w:eastAsia="仿宋" w:cs="仿宋"/>
          <w:b/>
          <w:kern w:val="0"/>
          <w:sz w:val="24"/>
        </w:rPr>
        <w:t>综合评分法。</w:t>
      </w:r>
    </w:p>
    <w:p>
      <w:pPr>
        <w:spacing w:line="360" w:lineRule="auto"/>
        <w:ind w:firstLine="420"/>
        <w:rPr>
          <w:rFonts w:ascii="仿宋" w:hAnsi="仿宋" w:eastAsia="仿宋" w:cs="仿宋"/>
          <w:kern w:val="0"/>
          <w:sz w:val="24"/>
        </w:rPr>
      </w:pP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 w:hAnsi="仿宋" w:eastAsia="仿宋" w:cs="仿宋"/>
          <w:b/>
          <w:sz w:val="32"/>
        </w:rPr>
      </w:pPr>
      <w:r>
        <w:rPr>
          <w:rFonts w:hint="eastAsia" w:ascii="仿宋" w:hAnsi="仿宋" w:eastAsia="仿宋" w:cs="仿宋"/>
          <w:b/>
          <w:sz w:val="32"/>
        </w:rPr>
        <w:t>二、评标委员会的组成</w:t>
      </w:r>
    </w:p>
    <w:p>
      <w:pPr>
        <w:snapToGrid w:val="0"/>
        <w:spacing w:line="360" w:lineRule="auto"/>
        <w:rPr>
          <w:rFonts w:ascii="仿宋" w:hAnsi="仿宋" w:eastAsia="仿宋" w:cs="仿宋"/>
          <w:b/>
          <w:kern w:val="0"/>
          <w:sz w:val="24"/>
        </w:rPr>
      </w:pPr>
      <w:r>
        <w:rPr>
          <w:rFonts w:ascii="仿宋" w:hAnsi="仿宋" w:eastAsia="仿宋" w:cs="仿宋"/>
          <w:b/>
          <w:kern w:val="0"/>
          <w:sz w:val="24"/>
        </w:rPr>
        <w:t>2.</w:t>
      </w:r>
      <w:r>
        <w:rPr>
          <w:rFonts w:hint="eastAsia" w:ascii="仿宋" w:hAnsi="仿宋" w:eastAsia="仿宋" w:cs="仿宋"/>
          <w:b/>
          <w:kern w:val="0"/>
          <w:sz w:val="24"/>
        </w:rPr>
        <w:t>评标委员会的组成。</w:t>
      </w:r>
    </w:p>
    <w:p>
      <w:pPr>
        <w:snapToGrid w:val="0"/>
        <w:spacing w:line="360" w:lineRule="auto"/>
        <w:ind w:firstLine="420"/>
        <w:rPr>
          <w:rFonts w:ascii="仿宋" w:hAnsi="仿宋" w:eastAsia="仿宋" w:cs="仿宋"/>
          <w:kern w:val="0"/>
          <w:sz w:val="24"/>
        </w:rPr>
      </w:pPr>
      <w:r>
        <w:rPr>
          <w:rFonts w:hint="eastAsia" w:ascii="仿宋" w:hAnsi="仿宋" w:eastAsia="仿宋" w:cs="仿宋"/>
          <w:kern w:val="0"/>
          <w:sz w:val="24"/>
        </w:rPr>
        <w:t>评标委员会由采购人代表和评审专家组成，成员人数为</w:t>
      </w:r>
      <w:r>
        <w:rPr>
          <w:rFonts w:ascii="仿宋" w:hAnsi="仿宋" w:eastAsia="仿宋" w:cs="仿宋"/>
          <w:kern w:val="0"/>
          <w:sz w:val="24"/>
        </w:rPr>
        <w:t>5</w:t>
      </w:r>
      <w:r>
        <w:rPr>
          <w:rFonts w:hint="eastAsia" w:ascii="仿宋" w:hAnsi="仿宋" w:eastAsia="仿宋" w:cs="仿宋"/>
          <w:kern w:val="0"/>
          <w:sz w:val="24"/>
        </w:rPr>
        <w:t>人以上单数，其中评审专家不少于成员总数的三分之二。</w:t>
      </w:r>
    </w:p>
    <w:p>
      <w:pPr>
        <w:snapToGrid w:val="0"/>
        <w:spacing w:line="360" w:lineRule="auto"/>
      </w:pPr>
      <w:r>
        <w:rPr>
          <w:rFonts w:ascii="仿宋" w:hAnsi="仿宋" w:eastAsia="仿宋" w:cs="仿宋"/>
          <w:b/>
          <w:kern w:val="0"/>
          <w:sz w:val="24"/>
          <w:szCs w:val="20"/>
        </w:rPr>
        <w:t>3.</w:t>
      </w:r>
      <w:r>
        <w:rPr>
          <w:rFonts w:hint="eastAsia" w:ascii="仿宋" w:hAnsi="仿宋" w:eastAsia="仿宋" w:cs="仿宋"/>
          <w:b/>
          <w:kern w:val="0"/>
          <w:sz w:val="24"/>
          <w:szCs w:val="20"/>
        </w:rPr>
        <w:t>评</w:t>
      </w:r>
      <w:r>
        <w:rPr>
          <w:rFonts w:hint="eastAsia" w:ascii="仿宋" w:hAnsi="仿宋" w:eastAsia="仿宋" w:cs="仿宋"/>
          <w:b/>
          <w:kern w:val="0"/>
          <w:sz w:val="24"/>
        </w:rPr>
        <w:t>标委员会的组成人员的回避。</w:t>
      </w:r>
    </w:p>
    <w:p>
      <w:pPr>
        <w:snapToGrid w:val="0"/>
        <w:spacing w:line="360" w:lineRule="auto"/>
        <w:ind w:firstLine="420"/>
        <w:rPr>
          <w:rFonts w:ascii="仿宋" w:hAnsi="仿宋" w:eastAsia="仿宋" w:cs="仿宋"/>
          <w:kern w:val="0"/>
          <w:sz w:val="24"/>
          <w:szCs w:val="20"/>
        </w:rPr>
      </w:pPr>
      <w:r>
        <w:rPr>
          <w:rFonts w:hint="eastAsia" w:ascii="仿宋" w:hAnsi="仿宋" w:eastAsia="仿宋" w:cs="仿宋"/>
          <w:kern w:val="0"/>
          <w:sz w:val="24"/>
          <w:szCs w:val="20"/>
        </w:rPr>
        <w:t>在政府采购活动中，评标委员会的组成人员与供应商有下列利害关系之一的，应当回避：</w:t>
      </w:r>
    </w:p>
    <w:p>
      <w:pPr>
        <w:snapToGrid w:val="0"/>
        <w:spacing w:line="360" w:lineRule="auto"/>
        <w:ind w:firstLine="420"/>
        <w:rPr>
          <w:rFonts w:ascii="仿宋" w:hAnsi="仿宋" w:eastAsia="仿宋" w:cs="仿宋"/>
          <w:kern w:val="0"/>
          <w:sz w:val="24"/>
          <w:szCs w:val="20"/>
        </w:rPr>
      </w:pPr>
      <w:r>
        <w:rPr>
          <w:rFonts w:ascii="仿宋" w:hAnsi="仿宋" w:eastAsia="仿宋" w:cs="仿宋"/>
          <w:kern w:val="0"/>
          <w:sz w:val="24"/>
          <w:szCs w:val="20"/>
        </w:rPr>
        <w:t>3.1</w:t>
      </w:r>
      <w:r>
        <w:rPr>
          <w:rFonts w:hint="eastAsia" w:ascii="仿宋" w:hAnsi="仿宋" w:eastAsia="仿宋" w:cs="仿宋"/>
          <w:kern w:val="0"/>
          <w:sz w:val="24"/>
          <w:szCs w:val="20"/>
        </w:rPr>
        <w:t>参加采购活动前</w:t>
      </w:r>
      <w:r>
        <w:rPr>
          <w:rFonts w:ascii="仿宋" w:hAnsi="仿宋" w:eastAsia="仿宋" w:cs="仿宋"/>
          <w:kern w:val="0"/>
          <w:sz w:val="24"/>
          <w:szCs w:val="20"/>
        </w:rPr>
        <w:t>3</w:t>
      </w:r>
      <w:r>
        <w:rPr>
          <w:rFonts w:hint="eastAsia" w:ascii="仿宋" w:hAnsi="仿宋" w:eastAsia="仿宋" w:cs="仿宋"/>
          <w:kern w:val="0"/>
          <w:sz w:val="24"/>
          <w:szCs w:val="20"/>
        </w:rPr>
        <w:t>年内与供应商存在劳动关系；</w:t>
      </w:r>
    </w:p>
    <w:p>
      <w:pPr>
        <w:snapToGrid w:val="0"/>
        <w:spacing w:line="360" w:lineRule="auto"/>
        <w:ind w:firstLine="420"/>
        <w:rPr>
          <w:rFonts w:ascii="仿宋" w:hAnsi="仿宋" w:eastAsia="仿宋" w:cs="仿宋"/>
          <w:kern w:val="0"/>
          <w:sz w:val="24"/>
          <w:szCs w:val="20"/>
        </w:rPr>
      </w:pPr>
      <w:r>
        <w:rPr>
          <w:rFonts w:ascii="仿宋" w:hAnsi="仿宋" w:eastAsia="仿宋" w:cs="仿宋"/>
          <w:kern w:val="0"/>
          <w:sz w:val="24"/>
          <w:szCs w:val="20"/>
        </w:rPr>
        <w:t>3.2</w:t>
      </w:r>
      <w:r>
        <w:rPr>
          <w:rFonts w:hint="eastAsia" w:ascii="仿宋" w:hAnsi="仿宋" w:eastAsia="仿宋" w:cs="仿宋"/>
          <w:kern w:val="0"/>
          <w:sz w:val="24"/>
          <w:szCs w:val="20"/>
        </w:rPr>
        <w:t>参加采购活动前</w:t>
      </w:r>
      <w:r>
        <w:rPr>
          <w:rFonts w:ascii="仿宋" w:hAnsi="仿宋" w:eastAsia="仿宋" w:cs="仿宋"/>
          <w:kern w:val="0"/>
          <w:sz w:val="24"/>
          <w:szCs w:val="20"/>
        </w:rPr>
        <w:t>3</w:t>
      </w:r>
      <w:r>
        <w:rPr>
          <w:rFonts w:hint="eastAsia" w:ascii="仿宋" w:hAnsi="仿宋" w:eastAsia="仿宋" w:cs="仿宋"/>
          <w:kern w:val="0"/>
          <w:sz w:val="24"/>
          <w:szCs w:val="20"/>
        </w:rPr>
        <w:t>年内担任供应商的董事、监事；</w:t>
      </w:r>
    </w:p>
    <w:p>
      <w:pPr>
        <w:snapToGrid w:val="0"/>
        <w:spacing w:line="360" w:lineRule="auto"/>
        <w:ind w:firstLine="420"/>
        <w:rPr>
          <w:rFonts w:ascii="仿宋" w:hAnsi="仿宋" w:eastAsia="仿宋" w:cs="仿宋"/>
          <w:kern w:val="0"/>
          <w:sz w:val="24"/>
          <w:szCs w:val="20"/>
        </w:rPr>
      </w:pPr>
      <w:r>
        <w:rPr>
          <w:rFonts w:ascii="仿宋" w:hAnsi="仿宋" w:eastAsia="仿宋" w:cs="仿宋"/>
          <w:kern w:val="0"/>
          <w:sz w:val="24"/>
          <w:szCs w:val="20"/>
        </w:rPr>
        <w:t>3.3</w:t>
      </w:r>
      <w:r>
        <w:rPr>
          <w:rFonts w:hint="eastAsia" w:ascii="仿宋" w:hAnsi="仿宋" w:eastAsia="仿宋" w:cs="仿宋"/>
          <w:kern w:val="0"/>
          <w:sz w:val="24"/>
          <w:szCs w:val="20"/>
        </w:rPr>
        <w:t>参加采购活动前</w:t>
      </w:r>
      <w:r>
        <w:rPr>
          <w:rFonts w:ascii="仿宋" w:hAnsi="仿宋" w:eastAsia="仿宋" w:cs="仿宋"/>
          <w:kern w:val="0"/>
          <w:sz w:val="24"/>
          <w:szCs w:val="20"/>
        </w:rPr>
        <w:t>3</w:t>
      </w:r>
      <w:r>
        <w:rPr>
          <w:rFonts w:hint="eastAsia" w:ascii="仿宋" w:hAnsi="仿宋" w:eastAsia="仿宋" w:cs="仿宋"/>
          <w:kern w:val="0"/>
          <w:sz w:val="24"/>
          <w:szCs w:val="20"/>
        </w:rPr>
        <w:t>年内是供应商的控股股东或者实际控制人；</w:t>
      </w:r>
    </w:p>
    <w:p>
      <w:pPr>
        <w:snapToGrid w:val="0"/>
        <w:spacing w:line="360" w:lineRule="auto"/>
        <w:ind w:firstLine="420"/>
        <w:rPr>
          <w:rFonts w:ascii="仿宋" w:hAnsi="仿宋" w:eastAsia="仿宋" w:cs="仿宋"/>
          <w:kern w:val="0"/>
          <w:sz w:val="24"/>
          <w:szCs w:val="20"/>
        </w:rPr>
      </w:pPr>
      <w:r>
        <w:rPr>
          <w:rFonts w:ascii="仿宋" w:hAnsi="仿宋" w:eastAsia="仿宋" w:cs="仿宋"/>
          <w:kern w:val="0"/>
          <w:sz w:val="24"/>
          <w:szCs w:val="20"/>
        </w:rPr>
        <w:t>3.4</w:t>
      </w:r>
      <w:r>
        <w:rPr>
          <w:rFonts w:hint="eastAsia" w:ascii="仿宋" w:hAnsi="仿宋" w:eastAsia="仿宋" w:cs="仿宋"/>
          <w:kern w:val="0"/>
          <w:sz w:val="24"/>
          <w:szCs w:val="20"/>
        </w:rPr>
        <w:t>与供应商的法定代表人或者负责人有夫妻、直系血亲、三代以内旁系血亲或者近姻亲关系；</w:t>
      </w:r>
    </w:p>
    <w:p>
      <w:pPr>
        <w:snapToGrid w:val="0"/>
        <w:spacing w:line="360" w:lineRule="auto"/>
        <w:ind w:firstLine="420"/>
        <w:rPr>
          <w:rFonts w:ascii="仿宋" w:hAnsi="仿宋" w:eastAsia="仿宋" w:cs="仿宋"/>
          <w:kern w:val="0"/>
          <w:sz w:val="24"/>
          <w:szCs w:val="20"/>
        </w:rPr>
      </w:pPr>
      <w:r>
        <w:rPr>
          <w:rFonts w:ascii="仿宋" w:hAnsi="仿宋" w:eastAsia="仿宋" w:cs="仿宋"/>
          <w:kern w:val="0"/>
          <w:sz w:val="24"/>
          <w:szCs w:val="20"/>
        </w:rPr>
        <w:t>3.5</w:t>
      </w:r>
      <w:r>
        <w:rPr>
          <w:rFonts w:hint="eastAsia" w:ascii="仿宋" w:hAnsi="仿宋" w:eastAsia="仿宋" w:cs="仿宋"/>
          <w:kern w:val="0"/>
          <w:sz w:val="24"/>
          <w:szCs w:val="20"/>
        </w:rPr>
        <w:t>与供应商有其他可能影响政府采购活动公平、公正进行的关系。</w:t>
      </w:r>
    </w:p>
    <w:p>
      <w:pPr>
        <w:snapToGrid w:val="0"/>
        <w:spacing w:line="360" w:lineRule="auto"/>
        <w:jc w:val="center"/>
        <w:rPr>
          <w:rFonts w:ascii="仿宋" w:hAnsi="仿宋" w:eastAsia="仿宋" w:cs="仿宋"/>
          <w:b/>
          <w:sz w:val="32"/>
          <w:szCs w:val="32"/>
        </w:rPr>
      </w:pPr>
      <w:r>
        <w:rPr>
          <w:rFonts w:hint="eastAsia" w:ascii="仿宋" w:hAnsi="仿宋" w:eastAsia="仿宋" w:cs="仿宋"/>
          <w:b/>
          <w:sz w:val="32"/>
        </w:rPr>
        <w:t>三、评标委员会的职责</w:t>
      </w:r>
    </w:p>
    <w:p>
      <w:pPr>
        <w:spacing w:line="360" w:lineRule="auto"/>
        <w:rPr>
          <w:rFonts w:ascii="仿宋" w:hAnsi="仿宋" w:eastAsia="仿宋" w:cs="仿宋"/>
          <w:b/>
          <w:kern w:val="0"/>
          <w:sz w:val="24"/>
        </w:rPr>
      </w:pPr>
      <w:r>
        <w:rPr>
          <w:rFonts w:ascii="仿宋" w:hAnsi="仿宋" w:eastAsia="仿宋" w:cs="仿宋"/>
          <w:b/>
          <w:kern w:val="0"/>
          <w:sz w:val="24"/>
        </w:rPr>
        <w:t>4.</w:t>
      </w:r>
      <w:r>
        <w:rPr>
          <w:rFonts w:hint="eastAsia" w:ascii="仿宋" w:hAnsi="仿宋" w:eastAsia="仿宋" w:cs="仿宋"/>
          <w:b/>
          <w:kern w:val="0"/>
          <w:sz w:val="24"/>
        </w:rPr>
        <w:t>评标委员会负责具体评标事务，并独立履行下列职责：</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4.1</w:t>
      </w:r>
      <w:r>
        <w:rPr>
          <w:rFonts w:hint="eastAsia" w:ascii="仿宋" w:hAnsi="仿宋" w:eastAsia="仿宋" w:cs="仿宋"/>
          <w:kern w:val="0"/>
          <w:sz w:val="24"/>
          <w:szCs w:val="20"/>
        </w:rPr>
        <w:t>审查、评价投标文件是否符合招标文件的商务、技术等实质性要求；</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4.2</w:t>
      </w:r>
      <w:r>
        <w:rPr>
          <w:rFonts w:hint="eastAsia" w:ascii="仿宋" w:hAnsi="仿宋" w:eastAsia="仿宋" w:cs="仿宋"/>
          <w:kern w:val="0"/>
          <w:sz w:val="24"/>
          <w:szCs w:val="20"/>
        </w:rPr>
        <w:t>要求投标人对投标文件有关事项作出澄清或者说明；</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4.3</w:t>
      </w:r>
      <w:r>
        <w:rPr>
          <w:rFonts w:hint="eastAsia" w:ascii="仿宋" w:hAnsi="仿宋" w:eastAsia="仿宋" w:cs="仿宋"/>
          <w:kern w:val="0"/>
          <w:sz w:val="24"/>
          <w:szCs w:val="20"/>
        </w:rPr>
        <w:t>对投标文件进行比较和评价；</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4.4</w:t>
      </w:r>
      <w:r>
        <w:rPr>
          <w:rFonts w:hint="eastAsia" w:ascii="仿宋" w:hAnsi="仿宋" w:eastAsia="仿宋" w:cs="仿宋"/>
          <w:kern w:val="0"/>
          <w:sz w:val="24"/>
          <w:szCs w:val="20"/>
        </w:rPr>
        <w:t>确定中标候选人名单，以及根据采购人委托直接确定中标人；</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4.5</w:t>
      </w:r>
      <w:r>
        <w:rPr>
          <w:rFonts w:hint="eastAsia" w:ascii="仿宋" w:hAnsi="仿宋" w:eastAsia="仿宋" w:cs="仿宋"/>
          <w:kern w:val="0"/>
          <w:sz w:val="24"/>
          <w:szCs w:val="20"/>
        </w:rPr>
        <w:t>向采购人、采购机构或者有关部门报告评标中发现的违法行为；</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4.6</w:t>
      </w:r>
      <w:r>
        <w:rPr>
          <w:rFonts w:hint="eastAsia" w:ascii="仿宋" w:hAnsi="仿宋" w:eastAsia="仿宋" w:cs="仿宋"/>
          <w:kern w:val="0"/>
          <w:sz w:val="24"/>
          <w:szCs w:val="20"/>
        </w:rPr>
        <w:t>法律、法规、规章、招标文件等规定的其它事项。</w:t>
      </w:r>
    </w:p>
    <w:p>
      <w:pPr>
        <w:spacing w:line="360" w:lineRule="auto"/>
        <w:rPr>
          <w:rFonts w:ascii="仿宋" w:hAnsi="仿宋" w:eastAsia="仿宋" w:cs="仿宋"/>
          <w:b/>
          <w:kern w:val="0"/>
          <w:sz w:val="24"/>
        </w:rPr>
      </w:pPr>
      <w:r>
        <w:rPr>
          <w:rFonts w:ascii="仿宋" w:hAnsi="仿宋" w:eastAsia="仿宋" w:cs="仿宋"/>
          <w:b/>
          <w:kern w:val="0"/>
          <w:sz w:val="24"/>
        </w:rPr>
        <w:t>5.</w:t>
      </w:r>
      <w:r>
        <w:rPr>
          <w:rFonts w:hint="eastAsia" w:ascii="仿宋" w:hAnsi="仿宋" w:eastAsia="仿宋" w:cs="仿宋"/>
          <w:b/>
          <w:kern w:val="0"/>
          <w:sz w:val="24"/>
        </w:rPr>
        <w:t>评标委员会及其成员不得有下列行为：</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5.1</w:t>
      </w:r>
      <w:r>
        <w:rPr>
          <w:rFonts w:hint="eastAsia" w:ascii="仿宋" w:hAnsi="仿宋" w:eastAsia="仿宋" w:cs="仿宋"/>
          <w:kern w:val="0"/>
          <w:sz w:val="24"/>
          <w:szCs w:val="20"/>
        </w:rPr>
        <w:t>确定参与评标至评标结束前私自接触投标人；</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5.2</w:t>
      </w:r>
      <w:r>
        <w:rPr>
          <w:rFonts w:hint="eastAsia" w:ascii="仿宋" w:hAnsi="仿宋" w:eastAsia="仿宋" w:cs="仿宋"/>
          <w:kern w:val="0"/>
          <w:sz w:val="24"/>
          <w:szCs w:val="20"/>
        </w:rPr>
        <w:t>接受投标人提出的与投标文件不一致的澄清或者说明，本办法第五十一条规定的情形除外；</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5.3</w:t>
      </w:r>
      <w:r>
        <w:rPr>
          <w:rFonts w:hint="eastAsia" w:ascii="仿宋" w:hAnsi="仿宋" w:eastAsia="仿宋" w:cs="仿宋"/>
          <w:kern w:val="0"/>
          <w:sz w:val="24"/>
          <w:szCs w:val="20"/>
        </w:rPr>
        <w:t>违反评标纪律发表倾向性意见或者征询采购人的倾向性意见；</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5.4</w:t>
      </w:r>
      <w:r>
        <w:rPr>
          <w:rFonts w:hint="eastAsia" w:ascii="仿宋" w:hAnsi="仿宋" w:eastAsia="仿宋" w:cs="仿宋"/>
          <w:kern w:val="0"/>
          <w:sz w:val="24"/>
          <w:szCs w:val="20"/>
        </w:rPr>
        <w:t>对需要专业判断的主观评审因素协商评分；</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5.5</w:t>
      </w:r>
      <w:r>
        <w:rPr>
          <w:rFonts w:hint="eastAsia" w:ascii="仿宋" w:hAnsi="仿宋" w:eastAsia="仿宋" w:cs="仿宋"/>
          <w:kern w:val="0"/>
          <w:sz w:val="24"/>
          <w:szCs w:val="20"/>
        </w:rPr>
        <w:t>在评标过程中擅离职守，影响评标程序正常进行的；</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5.6</w:t>
      </w:r>
      <w:r>
        <w:rPr>
          <w:rFonts w:hint="eastAsia" w:ascii="仿宋" w:hAnsi="仿宋" w:eastAsia="仿宋" w:cs="仿宋"/>
          <w:kern w:val="0"/>
          <w:sz w:val="24"/>
          <w:szCs w:val="20"/>
        </w:rPr>
        <w:t>记录、复制或者带走任何评标资料；</w:t>
      </w:r>
    </w:p>
    <w:p>
      <w:pPr>
        <w:spacing w:line="360" w:lineRule="auto"/>
        <w:ind w:firstLine="420"/>
        <w:rPr>
          <w:rFonts w:ascii="仿宋" w:hAnsi="仿宋" w:eastAsia="仿宋" w:cs="仿宋"/>
          <w:kern w:val="0"/>
          <w:sz w:val="24"/>
          <w:szCs w:val="20"/>
        </w:rPr>
      </w:pPr>
      <w:r>
        <w:rPr>
          <w:rFonts w:ascii="仿宋" w:hAnsi="仿宋" w:eastAsia="仿宋" w:cs="仿宋"/>
          <w:kern w:val="0"/>
          <w:sz w:val="24"/>
          <w:szCs w:val="20"/>
        </w:rPr>
        <w:t>5.7</w:t>
      </w:r>
      <w:r>
        <w:rPr>
          <w:rFonts w:hint="eastAsia" w:ascii="仿宋" w:hAnsi="仿宋" w:eastAsia="仿宋" w:cs="仿宋"/>
          <w:kern w:val="0"/>
          <w:sz w:val="24"/>
          <w:szCs w:val="20"/>
        </w:rPr>
        <w:t>其他不遵守评标纪律的行为。</w:t>
      </w:r>
    </w:p>
    <w:p>
      <w:pPr>
        <w:spacing w:line="360" w:lineRule="auto"/>
        <w:ind w:firstLine="420"/>
        <w:rPr>
          <w:rFonts w:ascii="仿宋" w:hAnsi="仿宋" w:eastAsia="仿宋" w:cs="仿宋"/>
          <w:kern w:val="0"/>
          <w:sz w:val="24"/>
          <w:szCs w:val="20"/>
        </w:rPr>
      </w:pPr>
      <w:r>
        <w:rPr>
          <w:rFonts w:hint="eastAsia" w:ascii="仿宋" w:hAnsi="仿宋" w:eastAsia="仿宋" w:cs="仿宋"/>
          <w:kern w:val="0"/>
          <w:sz w:val="24"/>
          <w:szCs w:val="20"/>
        </w:rPr>
        <w:t>评标委员会成员有</w:t>
      </w:r>
      <w:r>
        <w:rPr>
          <w:rFonts w:ascii="仿宋" w:hAnsi="仿宋" w:eastAsia="仿宋" w:cs="仿宋"/>
          <w:kern w:val="0"/>
          <w:sz w:val="24"/>
          <w:szCs w:val="20"/>
        </w:rPr>
        <w:t>5.1-5.5</w:t>
      </w:r>
      <w:r>
        <w:rPr>
          <w:rFonts w:hint="eastAsia" w:ascii="仿宋" w:hAnsi="仿宋" w:eastAsia="仿宋" w:cs="仿宋"/>
          <w:kern w:val="0"/>
          <w:sz w:val="24"/>
          <w:szCs w:val="20"/>
        </w:rPr>
        <w:t>行为之一的，其评审意见无效，并不得获取评审劳务报酬和报销异地评审差旅费。</w:t>
      </w:r>
    </w:p>
    <w:p>
      <w:pPr>
        <w:snapToGrid w:val="0"/>
        <w:spacing w:line="360" w:lineRule="auto"/>
        <w:ind w:firstLine="482"/>
        <w:jc w:val="center"/>
        <w:rPr>
          <w:rFonts w:ascii="仿宋" w:hAnsi="仿宋" w:eastAsia="仿宋" w:cs="仿宋"/>
          <w:b/>
          <w:sz w:val="32"/>
        </w:rPr>
      </w:pPr>
      <w:r>
        <w:rPr>
          <w:rFonts w:hint="eastAsia" w:ascii="仿宋" w:hAnsi="仿宋" w:eastAsia="仿宋" w:cs="仿宋"/>
          <w:b/>
          <w:sz w:val="32"/>
        </w:rPr>
        <w:t>四、评审程序</w:t>
      </w:r>
    </w:p>
    <w:p>
      <w:pPr>
        <w:spacing w:line="360" w:lineRule="auto"/>
        <w:rPr>
          <w:rFonts w:ascii="仿宋" w:hAnsi="仿宋" w:eastAsia="仿宋" w:cs="仿宋"/>
          <w:b/>
          <w:kern w:val="0"/>
          <w:sz w:val="24"/>
        </w:rPr>
      </w:pPr>
      <w:r>
        <w:rPr>
          <w:rFonts w:ascii="仿宋" w:hAnsi="仿宋" w:eastAsia="仿宋" w:cs="仿宋"/>
          <w:b/>
          <w:kern w:val="0"/>
          <w:sz w:val="24"/>
        </w:rPr>
        <w:t>6.</w:t>
      </w:r>
      <w:r>
        <w:rPr>
          <w:rFonts w:hint="eastAsia" w:ascii="仿宋" w:hAnsi="仿宋" w:eastAsia="仿宋" w:cs="仿宋"/>
          <w:b/>
          <w:kern w:val="0"/>
          <w:sz w:val="24"/>
        </w:rPr>
        <w:t>符合性审查。</w:t>
      </w:r>
    </w:p>
    <w:p>
      <w:pPr>
        <w:spacing w:line="360" w:lineRule="auto"/>
        <w:ind w:firstLine="420"/>
        <w:rPr>
          <w:rFonts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评标委员会应当对符合资格的投标人的投标文件进行符合性审查，以确定其是否满足招标文件的实质性要求。符合投标无效情形的，投标无效。</w:t>
      </w:r>
    </w:p>
    <w:p>
      <w:pPr>
        <w:spacing w:line="360" w:lineRule="auto"/>
        <w:rPr>
          <w:rFonts w:ascii="仿宋" w:hAnsi="仿宋" w:eastAsia="仿宋" w:cs="仿宋"/>
          <w:b/>
          <w:kern w:val="0"/>
          <w:sz w:val="24"/>
        </w:rPr>
      </w:pPr>
      <w:r>
        <w:rPr>
          <w:rFonts w:ascii="仿宋" w:hAnsi="仿宋" w:eastAsia="仿宋" w:cs="仿宋"/>
          <w:b/>
          <w:kern w:val="0"/>
          <w:sz w:val="24"/>
        </w:rPr>
        <w:t>7.</w:t>
      </w:r>
      <w:r>
        <w:rPr>
          <w:rFonts w:hint="eastAsia" w:ascii="仿宋" w:hAnsi="仿宋" w:eastAsia="仿宋" w:cs="仿宋"/>
          <w:b/>
          <w:kern w:val="0"/>
          <w:sz w:val="24"/>
        </w:rPr>
        <w:t>投标人澄清、说明或者补正。</w:t>
      </w:r>
    </w:p>
    <w:p>
      <w:pPr>
        <w:spacing w:line="360" w:lineRule="auto"/>
        <w:ind w:firstLine="420"/>
        <w:rPr>
          <w:rFonts w:ascii="仿宋" w:hAnsi="仿宋" w:eastAsia="仿宋" w:cs="仿宋"/>
          <w:kern w:val="0"/>
          <w:sz w:val="24"/>
        </w:rPr>
      </w:pPr>
      <w:r>
        <w:rPr>
          <w:rFonts w:hint="eastAsia" w:ascii="仿宋" w:hAnsi="仿宋" w:eastAsia="仿宋" w:cs="仿宋"/>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rPr>
          <w:rFonts w:ascii="仿宋" w:hAnsi="仿宋" w:eastAsia="仿宋" w:cs="仿宋"/>
          <w:b/>
          <w:kern w:val="0"/>
          <w:sz w:val="24"/>
        </w:rPr>
      </w:pPr>
      <w:r>
        <w:rPr>
          <w:rFonts w:ascii="仿宋" w:hAnsi="仿宋" w:eastAsia="仿宋" w:cs="仿宋"/>
          <w:b/>
          <w:kern w:val="0"/>
          <w:sz w:val="24"/>
        </w:rPr>
        <w:t>8.</w:t>
      </w:r>
      <w:r>
        <w:rPr>
          <w:rFonts w:hint="eastAsia" w:ascii="仿宋" w:hAnsi="仿宋" w:eastAsia="仿宋" w:cs="仿宋"/>
          <w:b/>
          <w:kern w:val="0"/>
          <w:sz w:val="24"/>
        </w:rPr>
        <w:t>比较与评价。</w:t>
      </w:r>
    </w:p>
    <w:p>
      <w:pPr>
        <w:spacing w:line="360" w:lineRule="auto"/>
        <w:ind w:firstLine="420"/>
        <w:rPr>
          <w:rFonts w:ascii="仿宋" w:hAnsi="仿宋" w:eastAsia="仿宋" w:cs="仿宋"/>
          <w:kern w:val="0"/>
          <w:sz w:val="24"/>
        </w:rPr>
      </w:pPr>
      <w:r>
        <w:rPr>
          <w:rFonts w:hint="eastAsia" w:ascii="仿宋" w:hAnsi="仿宋" w:eastAsia="仿宋" w:cs="仿宋"/>
          <w:kern w:val="0"/>
          <w:sz w:val="24"/>
        </w:rPr>
        <w:t>评标委员会应当按照评标标准，对符合性审查合格的投标文件进行商务和技术评估，综合比较与评价。</w:t>
      </w:r>
    </w:p>
    <w:p>
      <w:pPr>
        <w:spacing w:line="360" w:lineRule="auto"/>
        <w:rPr>
          <w:rFonts w:ascii="仿宋" w:hAnsi="仿宋" w:eastAsia="仿宋" w:cs="仿宋"/>
          <w:b/>
          <w:kern w:val="0"/>
          <w:sz w:val="24"/>
        </w:rPr>
      </w:pPr>
      <w:r>
        <w:rPr>
          <w:rFonts w:ascii="仿宋" w:hAnsi="仿宋" w:eastAsia="仿宋" w:cs="仿宋"/>
          <w:b/>
          <w:kern w:val="0"/>
          <w:sz w:val="24"/>
        </w:rPr>
        <w:t>9.</w:t>
      </w:r>
      <w:r>
        <w:rPr>
          <w:rFonts w:hint="eastAsia" w:ascii="仿宋" w:hAnsi="仿宋" w:eastAsia="仿宋" w:cs="仿宋"/>
          <w:b/>
          <w:kern w:val="0"/>
          <w:sz w:val="24"/>
        </w:rPr>
        <w:t>汇总（商务技术得分情况）。</w:t>
      </w:r>
    </w:p>
    <w:p>
      <w:pPr>
        <w:spacing w:line="360" w:lineRule="auto"/>
        <w:ind w:firstLine="420"/>
        <w:rPr>
          <w:rFonts w:ascii="仿宋" w:hAnsi="仿宋" w:eastAsia="仿宋" w:cs="仿宋"/>
          <w:kern w:val="0"/>
          <w:sz w:val="24"/>
        </w:rPr>
      </w:pP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rPr>
          <w:rFonts w:ascii="仿宋" w:hAnsi="仿宋" w:eastAsia="仿宋" w:cs="仿宋"/>
          <w:b/>
          <w:kern w:val="0"/>
          <w:sz w:val="24"/>
        </w:rPr>
      </w:pPr>
      <w:r>
        <w:rPr>
          <w:rFonts w:ascii="仿宋" w:hAnsi="仿宋" w:eastAsia="仿宋" w:cs="仿宋"/>
          <w:b/>
          <w:kern w:val="0"/>
          <w:sz w:val="24"/>
        </w:rPr>
        <w:t>10.</w:t>
      </w:r>
      <w:r>
        <w:rPr>
          <w:rFonts w:hint="eastAsia" w:ascii="仿宋" w:hAnsi="仿宋" w:eastAsia="仿宋" w:cs="仿宋"/>
          <w:b/>
          <w:kern w:val="0"/>
          <w:sz w:val="24"/>
        </w:rPr>
        <w:t>报价审核。</w:t>
      </w:r>
    </w:p>
    <w:p>
      <w:pPr>
        <w:spacing w:line="360" w:lineRule="auto"/>
        <w:ind w:firstLine="420"/>
        <w:rPr>
          <w:rFonts w:ascii="仿宋" w:hAnsi="仿宋" w:eastAsia="仿宋" w:cs="仿宋"/>
          <w:kern w:val="0"/>
          <w:sz w:val="24"/>
        </w:rPr>
      </w:pPr>
      <w:r>
        <w:rPr>
          <w:rFonts w:hint="eastAsia" w:ascii="仿宋" w:hAnsi="仿宋" w:eastAsia="仿宋" w:cs="仿宋"/>
          <w:kern w:val="0"/>
          <w:sz w:val="24"/>
        </w:rPr>
        <w:t>对经商务和技术评审符合采购需求的投标人的报价的合理性、准确性等进行审查核实。</w:t>
      </w:r>
    </w:p>
    <w:p>
      <w:pPr>
        <w:spacing w:line="360" w:lineRule="auto"/>
        <w:ind w:firstLine="420"/>
        <w:rPr>
          <w:rFonts w:ascii="仿宋" w:hAnsi="仿宋" w:eastAsia="仿宋" w:cs="仿宋"/>
          <w:kern w:val="0"/>
          <w:sz w:val="24"/>
        </w:rPr>
      </w:pPr>
      <w:r>
        <w:rPr>
          <w:rFonts w:ascii="仿宋" w:hAnsi="仿宋" w:eastAsia="仿宋" w:cs="仿宋"/>
          <w:kern w:val="0"/>
          <w:sz w:val="24"/>
        </w:rPr>
        <w:t>10.1</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评标委员会认为投标人的报价明显低于其他通过符合性审查投标人的报价，有可能影响产品质量或者不能诚信履约的，应当要求其在合理的时间内提供书面说明，必要时提交相关证明材料。</w:t>
      </w:r>
    </w:p>
    <w:p>
      <w:pPr>
        <w:spacing w:line="360" w:lineRule="auto"/>
        <w:ind w:firstLine="420"/>
        <w:rPr>
          <w:rFonts w:ascii="仿宋" w:hAnsi="仿宋" w:eastAsia="仿宋" w:cs="仿宋"/>
          <w:kern w:val="0"/>
          <w:sz w:val="24"/>
        </w:rPr>
      </w:pPr>
      <w:r>
        <w:rPr>
          <w:rFonts w:ascii="仿宋" w:hAnsi="仿宋" w:eastAsia="仿宋" w:cs="仿宋"/>
          <w:kern w:val="0"/>
          <w:sz w:val="24"/>
        </w:rPr>
        <w:t>10.2</w:t>
      </w:r>
      <w:r>
        <w:rPr>
          <w:rFonts w:hint="eastAsia" w:ascii="仿宋" w:hAnsi="仿宋" w:eastAsia="仿宋" w:cs="仿宋"/>
          <w:kern w:val="0"/>
          <w:sz w:val="24"/>
        </w:rPr>
        <w:t>根据财政部发布的《政府采购促进中小企业发展暂行办法》规定，对于非专门面向中小企业的项目，对小型和微型企业产品的价格给予一定的扣除，用扣除后的价格参与评审。</w:t>
      </w:r>
    </w:p>
    <w:p>
      <w:pPr>
        <w:spacing w:line="360" w:lineRule="auto"/>
        <w:ind w:firstLine="420"/>
        <w:rPr>
          <w:rFonts w:ascii="仿宋" w:hAnsi="仿宋" w:eastAsia="仿宋" w:cs="仿宋"/>
          <w:kern w:val="0"/>
          <w:sz w:val="24"/>
        </w:rPr>
      </w:pPr>
      <w:r>
        <w:rPr>
          <w:rFonts w:ascii="仿宋" w:hAnsi="仿宋" w:eastAsia="仿宋" w:cs="仿宋"/>
          <w:kern w:val="0"/>
          <w:sz w:val="24"/>
        </w:rPr>
        <w:t>10.3</w:t>
      </w:r>
      <w:r>
        <w:rPr>
          <w:rFonts w:hint="eastAsia" w:ascii="仿宋" w:hAnsi="仿宋" w:eastAsia="仿宋" w:cs="仿宋"/>
          <w:kern w:val="0"/>
          <w:sz w:val="24"/>
        </w:rPr>
        <w:t>投标价格的修正原则。投标文件报价出现前后不一致的，按照下列规定修正：</w:t>
      </w:r>
    </w:p>
    <w:p>
      <w:pPr>
        <w:spacing w:line="360" w:lineRule="auto"/>
        <w:ind w:firstLine="420"/>
        <w:rPr>
          <w:rFonts w:ascii="仿宋" w:hAnsi="仿宋" w:eastAsia="仿宋" w:cs="仿宋"/>
          <w:kern w:val="0"/>
          <w:sz w:val="24"/>
        </w:rPr>
      </w:pPr>
      <w:r>
        <w:rPr>
          <w:rFonts w:ascii="仿宋" w:hAnsi="仿宋" w:eastAsia="仿宋" w:cs="仿宋"/>
          <w:kern w:val="0"/>
          <w:sz w:val="24"/>
        </w:rPr>
        <w:t>10.3.1</w:t>
      </w:r>
      <w:r>
        <w:rPr>
          <w:rFonts w:hint="eastAsia" w:ascii="仿宋" w:hAnsi="仿宋" w:eastAsia="仿宋" w:cs="仿宋"/>
          <w:kern w:val="0"/>
          <w:sz w:val="24"/>
        </w:rPr>
        <w:t>投标文件中开标一览表</w:t>
      </w:r>
      <w:r>
        <w:rPr>
          <w:rFonts w:ascii="仿宋" w:hAnsi="仿宋" w:eastAsia="仿宋" w:cs="仿宋"/>
          <w:kern w:val="0"/>
          <w:sz w:val="24"/>
        </w:rPr>
        <w:t>(</w:t>
      </w:r>
      <w:r>
        <w:rPr>
          <w:rFonts w:hint="eastAsia" w:ascii="仿宋" w:hAnsi="仿宋" w:eastAsia="仿宋" w:cs="仿宋"/>
          <w:kern w:val="0"/>
          <w:sz w:val="24"/>
        </w:rPr>
        <w:t>报价表</w:t>
      </w:r>
      <w:r>
        <w:rPr>
          <w:rFonts w:ascii="仿宋" w:hAnsi="仿宋" w:eastAsia="仿宋" w:cs="仿宋"/>
          <w:kern w:val="0"/>
          <w:sz w:val="24"/>
        </w:rPr>
        <w:t>)</w:t>
      </w:r>
      <w:r>
        <w:rPr>
          <w:rFonts w:hint="eastAsia" w:ascii="仿宋" w:hAnsi="仿宋" w:eastAsia="仿宋" w:cs="仿宋"/>
          <w:kern w:val="0"/>
          <w:sz w:val="24"/>
        </w:rPr>
        <w:t>内容与投标文件中相应内容不一致的，以开标一览表</w:t>
      </w:r>
      <w:r>
        <w:rPr>
          <w:rFonts w:ascii="仿宋" w:hAnsi="仿宋" w:eastAsia="仿宋" w:cs="仿宋"/>
          <w:kern w:val="0"/>
          <w:sz w:val="24"/>
        </w:rPr>
        <w:t>(</w:t>
      </w:r>
      <w:r>
        <w:rPr>
          <w:rFonts w:hint="eastAsia" w:ascii="仿宋" w:hAnsi="仿宋" w:eastAsia="仿宋" w:cs="仿宋"/>
          <w:kern w:val="0"/>
          <w:sz w:val="24"/>
        </w:rPr>
        <w:t>报价表</w:t>
      </w:r>
      <w:r>
        <w:rPr>
          <w:rFonts w:ascii="仿宋" w:hAnsi="仿宋" w:eastAsia="仿宋" w:cs="仿宋"/>
          <w:kern w:val="0"/>
          <w:sz w:val="24"/>
        </w:rPr>
        <w:t>)</w:t>
      </w:r>
      <w:r>
        <w:rPr>
          <w:rFonts w:hint="eastAsia" w:ascii="仿宋" w:hAnsi="仿宋" w:eastAsia="仿宋" w:cs="仿宋"/>
          <w:kern w:val="0"/>
          <w:sz w:val="24"/>
        </w:rPr>
        <w:t>为准</w:t>
      </w:r>
      <w:r>
        <w:rPr>
          <w:rFonts w:ascii="仿宋" w:hAnsi="仿宋" w:eastAsia="仿宋" w:cs="仿宋"/>
          <w:kern w:val="0"/>
          <w:sz w:val="24"/>
        </w:rPr>
        <w:t>;</w:t>
      </w:r>
    </w:p>
    <w:p>
      <w:pPr>
        <w:spacing w:line="360" w:lineRule="auto"/>
        <w:ind w:firstLine="420"/>
        <w:rPr>
          <w:rFonts w:ascii="仿宋" w:hAnsi="仿宋" w:eastAsia="仿宋" w:cs="仿宋"/>
          <w:kern w:val="0"/>
          <w:sz w:val="24"/>
        </w:rPr>
      </w:pPr>
      <w:r>
        <w:rPr>
          <w:rFonts w:ascii="仿宋" w:hAnsi="仿宋" w:eastAsia="仿宋" w:cs="仿宋"/>
          <w:kern w:val="0"/>
          <w:sz w:val="24"/>
        </w:rPr>
        <w:t>10.3.2</w:t>
      </w:r>
      <w:r>
        <w:rPr>
          <w:rFonts w:hint="eastAsia" w:ascii="仿宋" w:hAnsi="仿宋" w:eastAsia="仿宋" w:cs="仿宋"/>
          <w:kern w:val="0"/>
          <w:sz w:val="24"/>
        </w:rPr>
        <w:t>大写金额和小写金额不一致的，以大写金额为准</w:t>
      </w:r>
      <w:r>
        <w:rPr>
          <w:rFonts w:ascii="仿宋" w:hAnsi="仿宋" w:eastAsia="仿宋" w:cs="仿宋"/>
          <w:kern w:val="0"/>
          <w:sz w:val="24"/>
        </w:rPr>
        <w:t>;</w:t>
      </w:r>
    </w:p>
    <w:p>
      <w:pPr>
        <w:spacing w:line="360" w:lineRule="auto"/>
        <w:ind w:firstLine="420"/>
        <w:rPr>
          <w:rFonts w:ascii="仿宋" w:hAnsi="仿宋" w:eastAsia="仿宋" w:cs="仿宋"/>
          <w:kern w:val="0"/>
          <w:sz w:val="24"/>
        </w:rPr>
      </w:pPr>
      <w:r>
        <w:rPr>
          <w:rFonts w:ascii="仿宋" w:hAnsi="仿宋" w:eastAsia="仿宋" w:cs="仿宋"/>
          <w:kern w:val="0"/>
          <w:sz w:val="24"/>
        </w:rPr>
        <w:t>10.3.3</w:t>
      </w:r>
      <w:r>
        <w:rPr>
          <w:rFonts w:hint="eastAsia" w:ascii="仿宋" w:hAnsi="仿宋" w:eastAsia="仿宋" w:cs="仿宋"/>
          <w:kern w:val="0"/>
          <w:sz w:val="24"/>
        </w:rPr>
        <w:t>单价金额小数点或者百分比有明显错位的，以开标一览表的总价为准，并修改单价</w:t>
      </w:r>
      <w:r>
        <w:rPr>
          <w:rFonts w:ascii="仿宋" w:hAnsi="仿宋" w:eastAsia="仿宋" w:cs="仿宋"/>
          <w:kern w:val="0"/>
          <w:sz w:val="24"/>
        </w:rPr>
        <w:t>;</w:t>
      </w:r>
    </w:p>
    <w:p>
      <w:pPr>
        <w:spacing w:line="360" w:lineRule="auto"/>
        <w:ind w:firstLine="420"/>
        <w:rPr>
          <w:rFonts w:ascii="仿宋" w:hAnsi="仿宋" w:eastAsia="仿宋" w:cs="仿宋"/>
          <w:kern w:val="0"/>
          <w:sz w:val="24"/>
        </w:rPr>
      </w:pPr>
      <w:r>
        <w:rPr>
          <w:rFonts w:ascii="仿宋" w:hAnsi="仿宋" w:eastAsia="仿宋" w:cs="仿宋"/>
          <w:kern w:val="0"/>
          <w:sz w:val="24"/>
        </w:rPr>
        <w:t>10.3.4</w:t>
      </w:r>
      <w:r>
        <w:rPr>
          <w:rFonts w:hint="eastAsia" w:ascii="仿宋" w:hAnsi="仿宋" w:eastAsia="仿宋" w:cs="仿宋"/>
          <w:kern w:val="0"/>
          <w:sz w:val="24"/>
        </w:rPr>
        <w:t>总价金额与按单价汇总金额不一致的，以单价金额计算结果为准。</w:t>
      </w:r>
    </w:p>
    <w:p>
      <w:pPr>
        <w:spacing w:line="360" w:lineRule="auto"/>
        <w:ind w:firstLine="420"/>
        <w:rPr>
          <w:rFonts w:ascii="仿宋" w:hAnsi="仿宋" w:eastAsia="仿宋" w:cs="仿宋"/>
          <w:kern w:val="0"/>
          <w:sz w:val="24"/>
        </w:rPr>
      </w:pPr>
      <w:r>
        <w:rPr>
          <w:rFonts w:ascii="仿宋" w:hAnsi="仿宋" w:eastAsia="仿宋" w:cs="仿宋"/>
          <w:kern w:val="0"/>
          <w:sz w:val="24"/>
        </w:rPr>
        <w:t>10.3.5</w:t>
      </w:r>
      <w:r>
        <w:rPr>
          <w:rFonts w:hint="eastAsia" w:ascii="仿宋" w:hAnsi="仿宋" w:eastAsia="仿宋" w:cs="仿宋"/>
          <w:kern w:val="0"/>
          <w:sz w:val="24"/>
        </w:rPr>
        <w:t>同时出现两种以上不一致的，按照前款规定的顺序修正。修正后的报价按照财政部第</w:t>
      </w:r>
      <w:r>
        <w:rPr>
          <w:rFonts w:ascii="仿宋" w:hAnsi="仿宋" w:eastAsia="仿宋" w:cs="仿宋"/>
          <w:kern w:val="0"/>
          <w:sz w:val="24"/>
        </w:rPr>
        <w:t>87</w:t>
      </w:r>
      <w:r>
        <w:rPr>
          <w:rFonts w:hint="eastAsia" w:ascii="仿宋" w:hAnsi="仿宋" w:eastAsia="仿宋" w:cs="仿宋"/>
          <w:kern w:val="0"/>
          <w:sz w:val="24"/>
        </w:rPr>
        <w:t>号令《政府采购货物和服务招标投标管理办法》第五十一条第二款的规定经投标人确认后产生约束力。</w:t>
      </w:r>
    </w:p>
    <w:p>
      <w:pPr>
        <w:spacing w:line="360" w:lineRule="auto"/>
      </w:pPr>
      <w:r>
        <w:rPr>
          <w:rFonts w:hint="eastAsia" w:ascii="仿宋" w:hAnsi="仿宋" w:eastAsia="仿宋" w:cs="仿宋"/>
          <w:bCs/>
          <w:sz w:val="24"/>
        </w:rPr>
        <w:t>▲</w:t>
      </w:r>
      <w:r>
        <w:rPr>
          <w:rFonts w:hint="eastAsia" w:ascii="仿宋" w:hAnsi="仿宋" w:eastAsia="仿宋" w:cs="仿宋"/>
          <w:b/>
          <w:bCs/>
          <w:sz w:val="24"/>
        </w:rPr>
        <w:t>投标人对根据修正原则修正后的报价不确认的，投标无效。</w:t>
      </w:r>
    </w:p>
    <w:p>
      <w:pPr>
        <w:spacing w:line="360" w:lineRule="auto"/>
        <w:rPr>
          <w:rFonts w:ascii="仿宋" w:hAnsi="仿宋" w:eastAsia="仿宋" w:cs="仿宋"/>
          <w:b/>
          <w:kern w:val="0"/>
          <w:sz w:val="24"/>
        </w:rPr>
      </w:pPr>
      <w:r>
        <w:rPr>
          <w:rFonts w:ascii="仿宋" w:hAnsi="仿宋" w:eastAsia="仿宋" w:cs="仿宋"/>
          <w:b/>
          <w:kern w:val="0"/>
          <w:sz w:val="24"/>
        </w:rPr>
        <w:t>11.</w:t>
      </w:r>
      <w:r>
        <w:rPr>
          <w:rFonts w:hint="eastAsia" w:ascii="仿宋" w:hAnsi="仿宋" w:eastAsia="仿宋" w:cs="仿宋"/>
          <w:b/>
          <w:kern w:val="0"/>
          <w:sz w:val="24"/>
        </w:rPr>
        <w:t>汇总得分。</w:t>
      </w:r>
    </w:p>
    <w:p>
      <w:pPr>
        <w:spacing w:line="360" w:lineRule="auto"/>
        <w:ind w:firstLine="420"/>
        <w:rPr>
          <w:rFonts w:ascii="仿宋" w:hAnsi="仿宋" w:eastAsia="仿宋" w:cs="仿宋"/>
          <w:kern w:val="0"/>
          <w:sz w:val="24"/>
        </w:rPr>
      </w:pPr>
      <w:r>
        <w:rPr>
          <w:rFonts w:hint="eastAsia" w:ascii="仿宋" w:hAnsi="仿宋" w:eastAsia="仿宋" w:cs="仿宋"/>
          <w:kern w:val="0"/>
          <w:sz w:val="24"/>
        </w:rPr>
        <w:t>评标委员会各成员应当独立对每个投标人的投标文件进行评价，并汇总每个投标人的得分。</w:t>
      </w:r>
    </w:p>
    <w:p>
      <w:pPr>
        <w:spacing w:line="360" w:lineRule="auto"/>
        <w:rPr>
          <w:rFonts w:ascii="仿宋" w:hAnsi="仿宋" w:eastAsia="仿宋" w:cs="仿宋"/>
          <w:b/>
          <w:kern w:val="0"/>
          <w:sz w:val="24"/>
        </w:rPr>
      </w:pPr>
      <w:r>
        <w:rPr>
          <w:rFonts w:ascii="仿宋" w:hAnsi="仿宋" w:eastAsia="仿宋" w:cs="仿宋"/>
          <w:b/>
          <w:kern w:val="0"/>
          <w:sz w:val="24"/>
        </w:rPr>
        <w:t>12.</w:t>
      </w:r>
      <w:r>
        <w:rPr>
          <w:rFonts w:hint="eastAsia" w:ascii="仿宋" w:hAnsi="仿宋" w:eastAsia="仿宋" w:cs="仿宋"/>
          <w:b/>
          <w:kern w:val="0"/>
          <w:sz w:val="24"/>
        </w:rPr>
        <w:t>顺序排列与中标候选推荐。</w:t>
      </w:r>
    </w:p>
    <w:p>
      <w:pPr>
        <w:spacing w:line="360" w:lineRule="auto"/>
        <w:ind w:firstLine="420"/>
        <w:rPr>
          <w:rFonts w:ascii="仿宋" w:hAnsi="仿宋" w:eastAsia="仿宋" w:cs="仿宋"/>
          <w:sz w:val="24"/>
          <w:szCs w:val="21"/>
        </w:rPr>
      </w:pPr>
      <w:r>
        <w:rPr>
          <w:rFonts w:ascii="仿宋" w:hAnsi="仿宋" w:eastAsia="仿宋" w:cs="仿宋"/>
          <w:sz w:val="24"/>
          <w:szCs w:val="21"/>
        </w:rPr>
        <w:t>12.1</w:t>
      </w:r>
      <w:r>
        <w:rPr>
          <w:rFonts w:hint="eastAsia" w:ascii="仿宋" w:hAnsi="仿宋" w:eastAsia="仿宋" w:cs="仿宋"/>
          <w:sz w:val="24"/>
          <w:szCs w:val="21"/>
        </w:rPr>
        <w:t>评标结果按评审后得分由高到低顺序排列。得分相同的，按投标报价由低到高顺序排列。得分且投标报价相同的，按技术指标优劣顺序排列。得分最高的投标人为排名第一的中标候选人。</w:t>
      </w:r>
    </w:p>
    <w:p>
      <w:pPr>
        <w:spacing w:line="360" w:lineRule="auto"/>
        <w:ind w:firstLine="420"/>
        <w:rPr>
          <w:rFonts w:ascii="仿宋" w:hAnsi="仿宋" w:eastAsia="仿宋" w:cs="仿宋"/>
          <w:sz w:val="24"/>
          <w:szCs w:val="21"/>
        </w:rPr>
      </w:pPr>
      <w:r>
        <w:rPr>
          <w:rFonts w:ascii="仿宋" w:hAnsi="仿宋" w:eastAsia="仿宋" w:cs="仿宋"/>
          <w:sz w:val="24"/>
          <w:szCs w:val="21"/>
        </w:rPr>
        <w:t>12.2</w:t>
      </w:r>
      <w:r>
        <w:rPr>
          <w:rFonts w:hint="eastAsia" w:ascii="仿宋" w:hAnsi="仿宋" w:eastAsia="仿宋" w:cs="仿宋"/>
          <w:sz w:val="24"/>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left="559" w:hanging="559"/>
        <w:rPr>
          <w:rFonts w:ascii="仿宋" w:hAnsi="仿宋" w:eastAsia="仿宋" w:cs="仿宋"/>
          <w:b/>
          <w:spacing w:val="20"/>
          <w:sz w:val="24"/>
        </w:rPr>
      </w:pPr>
      <w:r>
        <w:rPr>
          <w:rFonts w:ascii="仿宋" w:hAnsi="仿宋" w:eastAsia="仿宋" w:cs="仿宋"/>
          <w:b/>
          <w:spacing w:val="20"/>
          <w:sz w:val="24"/>
        </w:rPr>
        <w:t>13.</w:t>
      </w:r>
      <w:r>
        <w:rPr>
          <w:rFonts w:hint="eastAsia" w:ascii="仿宋" w:hAnsi="仿宋" w:eastAsia="仿宋" w:cs="仿宋"/>
          <w:b/>
          <w:spacing w:val="20"/>
          <w:sz w:val="24"/>
        </w:rPr>
        <w:t>投标无效。</w:t>
      </w:r>
    </w:p>
    <w:p>
      <w:pPr>
        <w:spacing w:line="360" w:lineRule="auto"/>
        <w:ind w:left="15" w:firstLine="403"/>
        <w:rPr>
          <w:rFonts w:ascii="仿宋" w:hAnsi="仿宋" w:eastAsia="仿宋" w:cs="仿宋"/>
          <w:sz w:val="24"/>
        </w:rPr>
      </w:pPr>
      <w:r>
        <w:rPr>
          <w:rFonts w:hint="eastAsia" w:ascii="仿宋" w:hAnsi="仿宋" w:eastAsia="仿宋" w:cs="仿宋"/>
          <w:sz w:val="24"/>
        </w:rPr>
        <w:t>有下列情况之一的，投标无效：</w:t>
      </w:r>
    </w:p>
    <w:p>
      <w:pPr>
        <w:spacing w:line="360" w:lineRule="auto"/>
        <w:ind w:firstLine="480"/>
        <w:rPr>
          <w:rFonts w:ascii="仿宋" w:hAnsi="仿宋" w:eastAsia="仿宋" w:cs="仿宋"/>
          <w:sz w:val="24"/>
        </w:rPr>
      </w:pPr>
      <w:r>
        <w:rPr>
          <w:rFonts w:ascii="仿宋" w:hAnsi="仿宋" w:eastAsia="仿宋" w:cs="仿宋"/>
          <w:sz w:val="24"/>
        </w:rPr>
        <w:t>13.1</w:t>
      </w:r>
      <w:r>
        <w:rPr>
          <w:rFonts w:hint="eastAsia" w:ascii="仿宋" w:hAnsi="仿宋" w:eastAsia="仿宋" w:cs="仿宋"/>
          <w:sz w:val="24"/>
        </w:rPr>
        <w:t>单位负责人为同一人或者存在直接控股、管理关系的不同供应商参加同一合同项下的政府采购活动的（均无效）；</w:t>
      </w:r>
    </w:p>
    <w:p>
      <w:pPr>
        <w:spacing w:line="360" w:lineRule="auto"/>
        <w:ind w:firstLine="480"/>
        <w:rPr>
          <w:rFonts w:ascii="仿宋" w:hAnsi="仿宋" w:eastAsia="仿宋" w:cs="仿宋"/>
          <w:sz w:val="24"/>
        </w:rPr>
      </w:pPr>
      <w:r>
        <w:rPr>
          <w:rFonts w:ascii="仿宋" w:hAnsi="仿宋" w:eastAsia="仿宋" w:cs="仿宋"/>
          <w:sz w:val="24"/>
        </w:rPr>
        <w:t>13.2</w:t>
      </w:r>
      <w:r>
        <w:rPr>
          <w:rFonts w:hint="eastAsia" w:ascii="仿宋" w:hAnsi="仿宋" w:eastAsia="仿宋" w:cs="仿宋"/>
          <w:sz w:val="24"/>
        </w:rPr>
        <w:t>为采购项目提供整体设计、规范编制或者项目管理、监理、检测等服务的供应商再参加该采购项目的其他采购活动的；</w:t>
      </w:r>
    </w:p>
    <w:p>
      <w:pPr>
        <w:spacing w:line="360" w:lineRule="auto"/>
        <w:ind w:firstLine="480"/>
        <w:rPr>
          <w:rFonts w:ascii="仿宋" w:hAnsi="仿宋" w:eastAsia="仿宋" w:cs="仿宋"/>
          <w:sz w:val="24"/>
        </w:rPr>
      </w:pPr>
      <w:r>
        <w:rPr>
          <w:rFonts w:ascii="仿宋" w:hAnsi="仿宋" w:eastAsia="仿宋" w:cs="仿宋"/>
          <w:sz w:val="24"/>
        </w:rPr>
        <w:t>13.3</w:t>
      </w:r>
      <w:r>
        <w:rPr>
          <w:rFonts w:hint="eastAsia" w:ascii="仿宋" w:hAnsi="仿宋" w:eastAsia="仿宋" w:cs="仿宋"/>
          <w:sz w:val="24"/>
        </w:rPr>
        <w:t>投标人不具备招标文件中规定的资格要求的（投标人未提供有效的资格证明文件的，视为投标人不具备招标文件中规定的资格要求）；</w:t>
      </w:r>
    </w:p>
    <w:p>
      <w:pPr>
        <w:spacing w:line="360" w:lineRule="auto"/>
        <w:ind w:firstLine="480"/>
        <w:rPr>
          <w:rFonts w:ascii="仿宋" w:hAnsi="仿宋" w:eastAsia="仿宋" w:cs="仿宋"/>
          <w:sz w:val="24"/>
        </w:rPr>
      </w:pPr>
      <w:r>
        <w:rPr>
          <w:rFonts w:ascii="仿宋" w:hAnsi="仿宋" w:eastAsia="仿宋" w:cs="仿宋"/>
          <w:sz w:val="24"/>
        </w:rPr>
        <w:t>13.4</w:t>
      </w:r>
      <w:r>
        <w:rPr>
          <w:rFonts w:hint="eastAsia" w:ascii="仿宋" w:hAnsi="仿宋" w:eastAsia="仿宋" w:cs="仿宋"/>
          <w:sz w:val="24"/>
        </w:rPr>
        <w:t>如以联合体形式参加政府采购活动的，联合体协议不符合招标文件规定的联合体协议要求的；</w:t>
      </w:r>
    </w:p>
    <w:p>
      <w:pPr>
        <w:spacing w:line="360" w:lineRule="auto"/>
        <w:ind w:firstLine="480"/>
        <w:rPr>
          <w:rFonts w:ascii="仿宋" w:hAnsi="仿宋" w:eastAsia="仿宋" w:cs="仿宋"/>
          <w:sz w:val="24"/>
        </w:rPr>
      </w:pPr>
      <w:r>
        <w:rPr>
          <w:rFonts w:ascii="仿宋" w:hAnsi="仿宋" w:eastAsia="仿宋" w:cs="仿宋"/>
          <w:sz w:val="24"/>
        </w:rPr>
        <w:t>13.5</w:t>
      </w:r>
      <w:r>
        <w:rPr>
          <w:rFonts w:hint="eastAsia" w:ascii="仿宋" w:hAnsi="仿宋" w:eastAsia="仿宋" w:cs="仿宋"/>
          <w:sz w:val="24"/>
        </w:rPr>
        <w:t>投标文件未按规定的格式编制的；</w:t>
      </w:r>
    </w:p>
    <w:p>
      <w:pPr>
        <w:spacing w:line="360" w:lineRule="auto"/>
        <w:ind w:firstLine="480"/>
        <w:rPr>
          <w:rFonts w:ascii="仿宋" w:hAnsi="仿宋" w:eastAsia="仿宋" w:cs="仿宋"/>
          <w:sz w:val="24"/>
        </w:rPr>
      </w:pPr>
      <w:r>
        <w:rPr>
          <w:rFonts w:ascii="仿宋" w:hAnsi="仿宋" w:eastAsia="仿宋" w:cs="仿宋"/>
          <w:sz w:val="24"/>
        </w:rPr>
        <w:t>13.6</w:t>
      </w:r>
      <w:r>
        <w:rPr>
          <w:rFonts w:hint="eastAsia" w:ascii="仿宋" w:hAnsi="仿宋" w:eastAsia="仿宋" w:cs="仿宋"/>
          <w:sz w:val="24"/>
        </w:rPr>
        <w:t>投标文件未按招标文件的澄清、修改的内容编制，又不符合实质性要求的；</w:t>
      </w:r>
    </w:p>
    <w:p>
      <w:pPr>
        <w:spacing w:line="360" w:lineRule="auto"/>
        <w:ind w:firstLine="480"/>
        <w:rPr>
          <w:rFonts w:ascii="仿宋" w:hAnsi="仿宋" w:eastAsia="仿宋" w:cs="仿宋"/>
          <w:sz w:val="24"/>
        </w:rPr>
      </w:pPr>
      <w:r>
        <w:rPr>
          <w:rFonts w:ascii="仿宋" w:hAnsi="仿宋" w:eastAsia="仿宋" w:cs="仿宋"/>
          <w:sz w:val="24"/>
        </w:rPr>
        <w:t>13.7</w:t>
      </w:r>
      <w:r>
        <w:rPr>
          <w:rFonts w:hint="eastAsia" w:ascii="仿宋" w:hAnsi="仿宋" w:eastAsia="仿宋" w:cs="仿宋"/>
          <w:sz w:val="24"/>
        </w:rPr>
        <w:t>投标文件组成漏项，内容不全或内容字迹模糊辨认不清的；</w:t>
      </w:r>
    </w:p>
    <w:p>
      <w:pPr>
        <w:spacing w:line="360" w:lineRule="auto"/>
        <w:ind w:firstLine="480"/>
        <w:rPr>
          <w:rFonts w:ascii="仿宋" w:hAnsi="仿宋" w:eastAsia="仿宋" w:cs="仿宋"/>
          <w:sz w:val="24"/>
        </w:rPr>
      </w:pPr>
      <w:r>
        <w:rPr>
          <w:rFonts w:ascii="仿宋" w:hAnsi="仿宋" w:eastAsia="仿宋" w:cs="仿宋"/>
          <w:sz w:val="24"/>
        </w:rPr>
        <w:t>13.8</w:t>
      </w:r>
      <w:r>
        <w:rPr>
          <w:rFonts w:hint="eastAsia" w:ascii="仿宋" w:hAnsi="仿宋" w:eastAsia="仿宋" w:cs="仿宋"/>
          <w:sz w:val="24"/>
        </w:rPr>
        <w:t>投标文件中法人授权书所载内容与本项目内容有异的；</w:t>
      </w:r>
    </w:p>
    <w:p>
      <w:pPr>
        <w:spacing w:line="360" w:lineRule="auto"/>
        <w:ind w:firstLine="480"/>
        <w:rPr>
          <w:rFonts w:ascii="仿宋" w:hAnsi="仿宋" w:eastAsia="仿宋" w:cs="仿宋"/>
          <w:sz w:val="24"/>
        </w:rPr>
      </w:pPr>
      <w:r>
        <w:rPr>
          <w:rFonts w:ascii="仿宋" w:hAnsi="仿宋" w:eastAsia="仿宋" w:cs="仿宋"/>
          <w:sz w:val="24"/>
        </w:rPr>
        <w:t>13.9</w:t>
      </w:r>
      <w:r>
        <w:rPr>
          <w:rFonts w:hint="eastAsia" w:ascii="仿宋" w:hAnsi="仿宋" w:eastAsia="仿宋" w:cs="仿宋"/>
          <w:sz w:val="24"/>
        </w:rPr>
        <w:t>投标文件未按照招标文件要求签署、盖章的；</w:t>
      </w:r>
    </w:p>
    <w:p>
      <w:pPr>
        <w:spacing w:line="360" w:lineRule="auto"/>
        <w:ind w:firstLine="480"/>
        <w:rPr>
          <w:rFonts w:ascii="仿宋" w:hAnsi="仿宋" w:eastAsia="仿宋" w:cs="仿宋"/>
          <w:sz w:val="24"/>
        </w:rPr>
      </w:pPr>
      <w:r>
        <w:rPr>
          <w:rFonts w:ascii="仿宋" w:hAnsi="仿宋" w:eastAsia="仿宋" w:cs="仿宋"/>
          <w:sz w:val="24"/>
        </w:rPr>
        <w:t>13.10</w:t>
      </w:r>
      <w:r>
        <w:rPr>
          <w:rFonts w:hint="eastAsia" w:ascii="仿宋" w:hAnsi="仿宋" w:eastAsia="仿宋" w:cs="仿宋"/>
          <w:sz w:val="24"/>
        </w:rPr>
        <w:t>招标文件要求提供样品（含小样），投标人没有提供样品（含小样）的；</w:t>
      </w:r>
    </w:p>
    <w:p>
      <w:pPr>
        <w:spacing w:line="360" w:lineRule="auto"/>
        <w:ind w:firstLine="480"/>
        <w:rPr>
          <w:rFonts w:ascii="仿宋" w:hAnsi="仿宋" w:eastAsia="仿宋" w:cs="仿宋"/>
          <w:b/>
          <w:sz w:val="24"/>
        </w:rPr>
      </w:pPr>
      <w:r>
        <w:rPr>
          <w:rFonts w:ascii="仿宋" w:hAnsi="仿宋" w:eastAsia="仿宋" w:cs="仿宋"/>
          <w:sz w:val="24"/>
        </w:rPr>
        <w:t>13.11</w:t>
      </w:r>
      <w:r>
        <w:rPr>
          <w:rFonts w:hint="eastAsia" w:ascii="仿宋" w:hAnsi="仿宋" w:eastAsia="仿宋" w:cs="仿宋"/>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rPr>
          <w:rFonts w:ascii="仿宋" w:hAnsi="仿宋" w:eastAsia="仿宋" w:cs="仿宋"/>
          <w:sz w:val="24"/>
        </w:rPr>
      </w:pPr>
      <w:r>
        <w:rPr>
          <w:rFonts w:ascii="仿宋" w:hAnsi="仿宋" w:eastAsia="仿宋" w:cs="仿宋"/>
          <w:sz w:val="24"/>
        </w:rPr>
        <w:t>13.12</w:t>
      </w:r>
      <w:r>
        <w:rPr>
          <w:rFonts w:hint="eastAsia" w:ascii="仿宋" w:hAnsi="仿宋" w:eastAsia="仿宋" w:cs="仿宋"/>
          <w:sz w:val="24"/>
        </w:rPr>
        <w:t>投标文件含有采购人不能接受的附加条件的；</w:t>
      </w:r>
    </w:p>
    <w:p>
      <w:pPr>
        <w:spacing w:line="360" w:lineRule="auto"/>
        <w:ind w:firstLine="480"/>
        <w:rPr>
          <w:rFonts w:ascii="仿宋" w:hAnsi="仿宋" w:eastAsia="仿宋" w:cs="仿宋"/>
          <w:sz w:val="24"/>
        </w:rPr>
      </w:pPr>
      <w:r>
        <w:rPr>
          <w:rFonts w:ascii="仿宋" w:hAnsi="仿宋" w:eastAsia="仿宋" w:cs="仿宋"/>
          <w:sz w:val="24"/>
        </w:rPr>
        <w:t>13.13</w:t>
      </w:r>
      <w:r>
        <w:rPr>
          <w:rFonts w:hint="eastAsia" w:ascii="仿宋" w:hAnsi="仿宋" w:eastAsia="仿宋" w:cs="仿宋"/>
          <w:sz w:val="24"/>
        </w:rPr>
        <w:t>投标文件中承诺的投标有效期少于招标文件中载明的投标有效期的；</w:t>
      </w:r>
    </w:p>
    <w:p>
      <w:pPr>
        <w:spacing w:line="360" w:lineRule="auto"/>
        <w:ind w:firstLine="480"/>
        <w:rPr>
          <w:rFonts w:ascii="仿宋" w:hAnsi="仿宋" w:eastAsia="仿宋" w:cs="仿宋"/>
          <w:sz w:val="24"/>
        </w:rPr>
      </w:pPr>
      <w:r>
        <w:rPr>
          <w:rFonts w:ascii="仿宋" w:hAnsi="仿宋" w:eastAsia="仿宋" w:cs="仿宋"/>
          <w:sz w:val="24"/>
        </w:rPr>
        <w:t>13.14</w:t>
      </w:r>
      <w:r>
        <w:rPr>
          <w:rFonts w:hint="eastAsia" w:ascii="仿宋" w:hAnsi="仿宋" w:eastAsia="仿宋" w:cs="仿宋"/>
          <w:sz w:val="24"/>
        </w:rPr>
        <w:t>投标人所投内容不符合采购需求中实质性要求的；</w:t>
      </w:r>
    </w:p>
    <w:p>
      <w:pPr>
        <w:spacing w:line="360" w:lineRule="auto"/>
        <w:ind w:firstLine="480"/>
        <w:rPr>
          <w:rFonts w:ascii="仿宋" w:hAnsi="仿宋" w:eastAsia="仿宋" w:cs="仿宋"/>
          <w:sz w:val="24"/>
        </w:rPr>
      </w:pPr>
      <w:r>
        <w:rPr>
          <w:rFonts w:ascii="仿宋" w:hAnsi="仿宋" w:eastAsia="仿宋" w:cs="仿宋"/>
          <w:sz w:val="24"/>
        </w:rPr>
        <w:t>13.15</w:t>
      </w:r>
      <w:r>
        <w:rPr>
          <w:rFonts w:hint="eastAsia" w:ascii="仿宋" w:hAnsi="仿宋" w:eastAsia="仿宋" w:cs="仿宋"/>
          <w:sz w:val="24"/>
        </w:rPr>
        <w:t>投标文件出现不是唯一的、有选择性投标报价的</w:t>
      </w:r>
      <w:r>
        <w:rPr>
          <w:rFonts w:ascii="仿宋" w:hAnsi="仿宋" w:eastAsia="仿宋" w:cs="仿宋"/>
          <w:sz w:val="24"/>
        </w:rPr>
        <w:t>;</w:t>
      </w:r>
    </w:p>
    <w:p>
      <w:pPr>
        <w:spacing w:line="360" w:lineRule="auto"/>
        <w:ind w:firstLine="480"/>
        <w:rPr>
          <w:rFonts w:ascii="仿宋" w:hAnsi="仿宋" w:eastAsia="仿宋" w:cs="仿宋"/>
          <w:sz w:val="24"/>
        </w:rPr>
      </w:pPr>
      <w:r>
        <w:rPr>
          <w:rFonts w:ascii="仿宋" w:hAnsi="仿宋" w:eastAsia="仿宋" w:cs="仿宋"/>
          <w:sz w:val="24"/>
        </w:rPr>
        <w:t>13.16</w:t>
      </w:r>
      <w:r>
        <w:rPr>
          <w:rFonts w:hint="eastAsia" w:ascii="仿宋" w:hAnsi="仿宋" w:eastAsia="仿宋" w:cs="仿宋"/>
          <w:sz w:val="24"/>
        </w:rPr>
        <w:t>投标报价高于本项目采购预算或者最高限价的</w:t>
      </w:r>
      <w:r>
        <w:rPr>
          <w:rFonts w:ascii="仿宋" w:hAnsi="仿宋" w:eastAsia="仿宋" w:cs="仿宋"/>
          <w:sz w:val="24"/>
        </w:rPr>
        <w:t>;</w:t>
      </w:r>
    </w:p>
    <w:p>
      <w:pPr>
        <w:spacing w:line="360" w:lineRule="auto"/>
        <w:ind w:firstLine="480"/>
        <w:rPr>
          <w:rFonts w:ascii="仿宋" w:hAnsi="仿宋" w:eastAsia="仿宋" w:cs="仿宋"/>
          <w:sz w:val="24"/>
          <w:szCs w:val="21"/>
        </w:rPr>
      </w:pPr>
      <w:r>
        <w:rPr>
          <w:rFonts w:ascii="仿宋" w:hAnsi="仿宋" w:eastAsia="仿宋" w:cs="仿宋"/>
          <w:sz w:val="24"/>
        </w:rPr>
        <w:t>13.17</w:t>
      </w:r>
      <w:r>
        <w:rPr>
          <w:rFonts w:hint="eastAsia" w:ascii="仿宋" w:hAnsi="仿宋" w:eastAsia="仿宋" w:cs="仿宋"/>
          <w:sz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sz w:val="24"/>
        </w:rPr>
        <w:t>;</w:t>
      </w:r>
    </w:p>
    <w:p>
      <w:pPr>
        <w:spacing w:line="360" w:lineRule="auto"/>
        <w:ind w:firstLine="480"/>
        <w:rPr>
          <w:rFonts w:ascii="仿宋" w:hAnsi="仿宋" w:eastAsia="仿宋" w:cs="仿宋"/>
          <w:sz w:val="24"/>
          <w:szCs w:val="21"/>
        </w:rPr>
      </w:pPr>
      <w:r>
        <w:rPr>
          <w:rFonts w:ascii="仿宋" w:hAnsi="仿宋" w:eastAsia="仿宋" w:cs="仿宋"/>
          <w:sz w:val="24"/>
          <w:szCs w:val="21"/>
        </w:rPr>
        <w:t>13.18</w:t>
      </w:r>
      <w:r>
        <w:rPr>
          <w:rFonts w:hint="eastAsia" w:ascii="仿宋" w:hAnsi="仿宋" w:eastAsia="仿宋" w:cs="仿宋"/>
          <w:sz w:val="24"/>
          <w:szCs w:val="21"/>
        </w:rPr>
        <w:t>《投标（开标）一览表》填写不完整或字迹不能辨认或有漏项的；</w:t>
      </w:r>
    </w:p>
    <w:p>
      <w:pPr>
        <w:spacing w:line="360" w:lineRule="auto"/>
        <w:ind w:firstLine="480"/>
        <w:rPr>
          <w:rFonts w:ascii="仿宋" w:hAnsi="仿宋" w:eastAsia="仿宋" w:cs="仿宋"/>
          <w:sz w:val="24"/>
          <w:szCs w:val="21"/>
        </w:rPr>
      </w:pPr>
      <w:r>
        <w:rPr>
          <w:rFonts w:ascii="仿宋" w:hAnsi="仿宋" w:eastAsia="仿宋" w:cs="仿宋"/>
          <w:sz w:val="24"/>
          <w:szCs w:val="21"/>
        </w:rPr>
        <w:t>13.19</w:t>
      </w:r>
      <w:r>
        <w:rPr>
          <w:rFonts w:hint="eastAsia" w:ascii="仿宋" w:hAnsi="仿宋" w:eastAsia="仿宋" w:cs="仿宋"/>
          <w:sz w:val="24"/>
          <w:szCs w:val="21"/>
        </w:rPr>
        <w:t>投标人对根据修正原则修正后的报价不确认的；</w:t>
      </w:r>
    </w:p>
    <w:p>
      <w:pPr>
        <w:spacing w:line="360" w:lineRule="auto"/>
        <w:ind w:firstLine="480"/>
        <w:rPr>
          <w:rFonts w:ascii="仿宋" w:hAnsi="仿宋" w:eastAsia="仿宋" w:cs="仿宋"/>
          <w:sz w:val="24"/>
          <w:szCs w:val="21"/>
        </w:rPr>
      </w:pPr>
      <w:r>
        <w:rPr>
          <w:rFonts w:ascii="仿宋" w:hAnsi="仿宋" w:eastAsia="仿宋" w:cs="仿宋"/>
          <w:sz w:val="24"/>
          <w:szCs w:val="21"/>
        </w:rPr>
        <w:t>13.20</w:t>
      </w:r>
      <w:r>
        <w:rPr>
          <w:rFonts w:hint="eastAsia" w:ascii="仿宋" w:hAnsi="仿宋" w:eastAsia="仿宋" w:cs="仿宋"/>
          <w:sz w:val="24"/>
          <w:szCs w:val="21"/>
        </w:rPr>
        <w:t>投标人提供虚假材料投标的（包括但不限于以下情节）；</w:t>
      </w:r>
    </w:p>
    <w:p>
      <w:pPr>
        <w:spacing w:line="360" w:lineRule="auto"/>
        <w:ind w:firstLine="600"/>
        <w:rPr>
          <w:rFonts w:ascii="仿宋" w:hAnsi="仿宋" w:eastAsia="仿宋" w:cs="仿宋"/>
          <w:sz w:val="24"/>
        </w:rPr>
      </w:pPr>
      <w:r>
        <w:rPr>
          <w:rFonts w:ascii="仿宋" w:hAnsi="仿宋" w:eastAsia="仿宋" w:cs="仿宋"/>
          <w:sz w:val="24"/>
        </w:rPr>
        <w:t>13.20.1</w:t>
      </w:r>
      <w:r>
        <w:rPr>
          <w:rFonts w:hint="eastAsia" w:ascii="仿宋" w:hAnsi="仿宋" w:eastAsia="仿宋" w:cs="仿宋"/>
          <w:sz w:val="24"/>
        </w:rPr>
        <w:t>使用伪造、变造的许可证件；</w:t>
      </w:r>
    </w:p>
    <w:p>
      <w:pPr>
        <w:spacing w:line="360" w:lineRule="auto"/>
        <w:ind w:firstLine="600"/>
        <w:rPr>
          <w:rFonts w:ascii="仿宋" w:hAnsi="仿宋" w:eastAsia="仿宋" w:cs="仿宋"/>
          <w:sz w:val="24"/>
        </w:rPr>
      </w:pPr>
      <w:r>
        <w:rPr>
          <w:rFonts w:ascii="仿宋" w:hAnsi="仿宋" w:eastAsia="仿宋" w:cs="仿宋"/>
          <w:sz w:val="24"/>
        </w:rPr>
        <w:t>13.20.2</w:t>
      </w:r>
      <w:r>
        <w:rPr>
          <w:rFonts w:hint="eastAsia" w:ascii="仿宋" w:hAnsi="仿宋" w:eastAsia="仿宋" w:cs="仿宋"/>
          <w:sz w:val="24"/>
        </w:rPr>
        <w:t>提供虚假的财务状况或者业绩；</w:t>
      </w:r>
    </w:p>
    <w:p>
      <w:pPr>
        <w:spacing w:line="360" w:lineRule="auto"/>
        <w:ind w:firstLine="600"/>
        <w:rPr>
          <w:rFonts w:ascii="仿宋" w:hAnsi="仿宋" w:eastAsia="仿宋" w:cs="仿宋"/>
          <w:sz w:val="24"/>
        </w:rPr>
      </w:pPr>
      <w:r>
        <w:rPr>
          <w:rFonts w:ascii="仿宋" w:hAnsi="仿宋" w:eastAsia="仿宋" w:cs="仿宋"/>
          <w:sz w:val="24"/>
        </w:rPr>
        <w:t>13.20.3</w:t>
      </w:r>
      <w:r>
        <w:rPr>
          <w:rFonts w:hint="eastAsia" w:ascii="仿宋" w:hAnsi="仿宋" w:eastAsia="仿宋" w:cs="仿宋"/>
          <w:sz w:val="24"/>
        </w:rPr>
        <w:t>提供虚假的项目负责人或者主要技术人员简历、劳动关系证明；</w:t>
      </w:r>
    </w:p>
    <w:p>
      <w:pPr>
        <w:spacing w:line="360" w:lineRule="auto"/>
        <w:ind w:firstLine="600"/>
        <w:rPr>
          <w:rFonts w:ascii="仿宋" w:hAnsi="仿宋" w:eastAsia="仿宋" w:cs="仿宋"/>
          <w:sz w:val="24"/>
        </w:rPr>
      </w:pPr>
      <w:r>
        <w:rPr>
          <w:rFonts w:ascii="仿宋" w:hAnsi="仿宋" w:eastAsia="仿宋" w:cs="仿宋"/>
          <w:sz w:val="24"/>
        </w:rPr>
        <w:t>13.20.4</w:t>
      </w:r>
      <w:r>
        <w:rPr>
          <w:rFonts w:hint="eastAsia" w:ascii="仿宋" w:hAnsi="仿宋" w:eastAsia="仿宋" w:cs="仿宋"/>
          <w:sz w:val="24"/>
        </w:rPr>
        <w:t>提供虚假的信用状况；</w:t>
      </w:r>
    </w:p>
    <w:p>
      <w:pPr>
        <w:spacing w:line="360" w:lineRule="auto"/>
        <w:ind w:firstLine="600"/>
        <w:rPr>
          <w:rFonts w:ascii="仿宋" w:hAnsi="仿宋" w:eastAsia="仿宋" w:cs="仿宋"/>
          <w:sz w:val="24"/>
        </w:rPr>
      </w:pPr>
      <w:r>
        <w:rPr>
          <w:rFonts w:ascii="仿宋" w:hAnsi="仿宋" w:eastAsia="仿宋" w:cs="仿宋"/>
          <w:sz w:val="24"/>
        </w:rPr>
        <w:t>13.20.5</w:t>
      </w:r>
      <w:r>
        <w:rPr>
          <w:rFonts w:hint="eastAsia" w:ascii="仿宋" w:hAnsi="仿宋" w:eastAsia="仿宋" w:cs="仿宋"/>
          <w:sz w:val="24"/>
        </w:rPr>
        <w:t>其他弄虚作假的行为。</w:t>
      </w:r>
    </w:p>
    <w:p>
      <w:pPr>
        <w:spacing w:line="360" w:lineRule="auto"/>
        <w:ind w:firstLine="480"/>
      </w:pPr>
      <w:r>
        <w:rPr>
          <w:rFonts w:ascii="仿宋" w:hAnsi="仿宋" w:eastAsia="仿宋" w:cs="仿宋"/>
          <w:sz w:val="24"/>
          <w:szCs w:val="21"/>
        </w:rPr>
        <w:t>13.21</w:t>
      </w:r>
      <w:r>
        <w:rPr>
          <w:rFonts w:hint="eastAsia" w:ascii="仿宋" w:hAnsi="仿宋" w:eastAsia="仿宋" w:cs="仿宋"/>
          <w:sz w:val="24"/>
          <w:szCs w:val="21"/>
        </w:rPr>
        <w:t>投标人有恶意串通、妨碍其他投标人的竞争行为、损害采购人或者其他投标人的合法权益情形的；有下列情形之一的，属于或视为恶意串通，其投标无效：</w:t>
      </w:r>
    </w:p>
    <w:p>
      <w:pPr>
        <w:spacing w:line="360" w:lineRule="auto"/>
        <w:ind w:firstLine="600"/>
        <w:rPr>
          <w:rFonts w:ascii="仿宋" w:hAnsi="仿宋" w:eastAsia="仿宋" w:cs="仿宋"/>
          <w:sz w:val="24"/>
        </w:rPr>
      </w:pPr>
      <w:r>
        <w:rPr>
          <w:rFonts w:ascii="仿宋" w:hAnsi="仿宋" w:eastAsia="仿宋" w:cs="仿宋"/>
          <w:sz w:val="24"/>
        </w:rPr>
        <w:t>13.21.1</w:t>
      </w:r>
      <w:r>
        <w:rPr>
          <w:rFonts w:hint="eastAsia" w:ascii="仿宋" w:hAnsi="仿宋" w:eastAsia="仿宋" w:cs="仿宋"/>
          <w:sz w:val="24"/>
        </w:rPr>
        <w:t>供应商直接或者间接从采购人或者采购机构处获得其他供应商的相关情况并修改其投标文件或者响应文件；</w:t>
      </w:r>
    </w:p>
    <w:p>
      <w:pPr>
        <w:spacing w:line="360" w:lineRule="auto"/>
        <w:ind w:firstLine="600"/>
        <w:rPr>
          <w:rFonts w:ascii="仿宋" w:hAnsi="仿宋" w:eastAsia="仿宋" w:cs="仿宋"/>
          <w:sz w:val="24"/>
        </w:rPr>
      </w:pPr>
      <w:r>
        <w:rPr>
          <w:rFonts w:ascii="仿宋" w:hAnsi="仿宋" w:eastAsia="仿宋" w:cs="仿宋"/>
          <w:sz w:val="24"/>
        </w:rPr>
        <w:t>13.21.2</w:t>
      </w:r>
      <w:r>
        <w:rPr>
          <w:rFonts w:hint="eastAsia" w:ascii="仿宋" w:hAnsi="仿宋" w:eastAsia="仿宋" w:cs="仿宋"/>
          <w:sz w:val="24"/>
        </w:rPr>
        <w:t>供应商按照采购人或者采购机构的授意撤换、修改投标文件或者响应文件；</w:t>
      </w:r>
    </w:p>
    <w:p>
      <w:pPr>
        <w:spacing w:line="360" w:lineRule="auto"/>
        <w:ind w:firstLine="600"/>
        <w:rPr>
          <w:rFonts w:ascii="仿宋" w:hAnsi="仿宋" w:eastAsia="仿宋" w:cs="仿宋"/>
          <w:sz w:val="24"/>
        </w:rPr>
      </w:pPr>
      <w:r>
        <w:rPr>
          <w:rFonts w:ascii="仿宋" w:hAnsi="仿宋" w:eastAsia="仿宋" w:cs="仿宋"/>
          <w:sz w:val="24"/>
        </w:rPr>
        <w:t>13.21.3</w:t>
      </w:r>
      <w:r>
        <w:rPr>
          <w:rFonts w:hint="eastAsia" w:ascii="仿宋" w:hAnsi="仿宋" w:eastAsia="仿宋" w:cs="仿宋"/>
          <w:sz w:val="24"/>
        </w:rPr>
        <w:t>供应商之间协商报价、技术方案等投标文件或者响应文件的实质性内容；</w:t>
      </w:r>
    </w:p>
    <w:p>
      <w:pPr>
        <w:spacing w:line="360" w:lineRule="auto"/>
        <w:ind w:firstLine="600"/>
        <w:rPr>
          <w:rFonts w:ascii="仿宋" w:hAnsi="仿宋" w:eastAsia="仿宋" w:cs="仿宋"/>
          <w:sz w:val="24"/>
        </w:rPr>
      </w:pPr>
      <w:r>
        <w:rPr>
          <w:rFonts w:ascii="仿宋" w:hAnsi="仿宋" w:eastAsia="仿宋" w:cs="仿宋"/>
          <w:sz w:val="24"/>
        </w:rPr>
        <w:t>13.21.4</w:t>
      </w:r>
      <w:r>
        <w:rPr>
          <w:rFonts w:hint="eastAsia" w:ascii="仿宋" w:hAnsi="仿宋" w:eastAsia="仿宋" w:cs="仿宋"/>
          <w:sz w:val="24"/>
        </w:rPr>
        <w:t>属于同一集团、协会、商会等组织成员的供应商按照该组织要求协同参加政府采购活动；</w:t>
      </w:r>
    </w:p>
    <w:p>
      <w:pPr>
        <w:spacing w:line="360" w:lineRule="auto"/>
        <w:ind w:firstLine="600"/>
        <w:rPr>
          <w:rFonts w:ascii="仿宋" w:hAnsi="仿宋" w:eastAsia="仿宋" w:cs="仿宋"/>
          <w:sz w:val="24"/>
        </w:rPr>
      </w:pPr>
      <w:r>
        <w:rPr>
          <w:rFonts w:ascii="仿宋" w:hAnsi="仿宋" w:eastAsia="仿宋" w:cs="仿宋"/>
          <w:sz w:val="24"/>
        </w:rPr>
        <w:t>13.21.5</w:t>
      </w:r>
      <w:r>
        <w:rPr>
          <w:rFonts w:hint="eastAsia" w:ascii="仿宋" w:hAnsi="仿宋" w:eastAsia="仿宋" w:cs="仿宋"/>
          <w:sz w:val="24"/>
        </w:rPr>
        <w:t>供应商之间事先约定由某一特定供应商中标、成交；</w:t>
      </w:r>
    </w:p>
    <w:p>
      <w:pPr>
        <w:spacing w:line="360" w:lineRule="auto"/>
        <w:ind w:firstLine="600"/>
        <w:rPr>
          <w:rFonts w:ascii="仿宋" w:hAnsi="仿宋" w:eastAsia="仿宋" w:cs="仿宋"/>
          <w:sz w:val="24"/>
        </w:rPr>
      </w:pPr>
      <w:r>
        <w:rPr>
          <w:rFonts w:ascii="仿宋" w:hAnsi="仿宋" w:eastAsia="仿宋" w:cs="仿宋"/>
          <w:sz w:val="24"/>
        </w:rPr>
        <w:t>13.21.6</w:t>
      </w:r>
      <w:r>
        <w:rPr>
          <w:rFonts w:hint="eastAsia" w:ascii="仿宋" w:hAnsi="仿宋" w:eastAsia="仿宋" w:cs="仿宋"/>
          <w:sz w:val="24"/>
        </w:rPr>
        <w:t>供应商之间商定部分供应商放弃参加政府采购活动或者放弃中标、成交；</w:t>
      </w:r>
    </w:p>
    <w:p>
      <w:pPr>
        <w:spacing w:line="360" w:lineRule="auto"/>
        <w:ind w:firstLine="600"/>
        <w:rPr>
          <w:rFonts w:ascii="仿宋" w:hAnsi="仿宋" w:eastAsia="仿宋" w:cs="仿宋"/>
          <w:sz w:val="24"/>
        </w:rPr>
      </w:pPr>
      <w:r>
        <w:rPr>
          <w:rFonts w:ascii="仿宋" w:hAnsi="仿宋" w:eastAsia="仿宋" w:cs="仿宋"/>
          <w:sz w:val="24"/>
        </w:rPr>
        <w:t>13.21.7</w:t>
      </w:r>
      <w:r>
        <w:rPr>
          <w:rFonts w:hint="eastAsia" w:ascii="仿宋" w:hAnsi="仿宋" w:eastAsia="仿宋" w:cs="仿宋"/>
          <w:sz w:val="24"/>
        </w:rPr>
        <w:t>供应商与采购人或者采购机构之间、供应商相互之间，为谋求特定供应商中标、成交或者排斥其他供应商的其他串通行为。</w:t>
      </w:r>
    </w:p>
    <w:p>
      <w:pPr>
        <w:spacing w:line="360" w:lineRule="auto"/>
        <w:ind w:firstLine="600"/>
        <w:rPr>
          <w:rFonts w:ascii="仿宋" w:hAnsi="仿宋" w:eastAsia="仿宋" w:cs="仿宋"/>
          <w:sz w:val="24"/>
        </w:rPr>
      </w:pPr>
      <w:r>
        <w:rPr>
          <w:rFonts w:ascii="仿宋" w:hAnsi="仿宋" w:eastAsia="仿宋" w:cs="仿宋"/>
          <w:sz w:val="24"/>
        </w:rPr>
        <w:t>13.21.8</w:t>
      </w:r>
      <w:r>
        <w:rPr>
          <w:rFonts w:hint="eastAsia" w:ascii="仿宋" w:hAnsi="仿宋" w:eastAsia="仿宋" w:cs="仿宋"/>
          <w:sz w:val="24"/>
        </w:rPr>
        <w:t>不同投标人的投标文件由同一单位或者个人编制；</w:t>
      </w:r>
    </w:p>
    <w:p>
      <w:pPr>
        <w:spacing w:line="360" w:lineRule="auto"/>
        <w:ind w:firstLine="600"/>
        <w:rPr>
          <w:rFonts w:ascii="仿宋" w:hAnsi="仿宋" w:eastAsia="仿宋" w:cs="仿宋"/>
          <w:sz w:val="24"/>
        </w:rPr>
      </w:pPr>
      <w:r>
        <w:rPr>
          <w:rFonts w:ascii="仿宋" w:hAnsi="仿宋" w:eastAsia="仿宋" w:cs="仿宋"/>
          <w:sz w:val="24"/>
        </w:rPr>
        <w:t>13.21.9</w:t>
      </w:r>
      <w:r>
        <w:rPr>
          <w:rFonts w:hint="eastAsia" w:ascii="仿宋" w:hAnsi="仿宋" w:eastAsia="仿宋" w:cs="仿宋"/>
          <w:sz w:val="24"/>
        </w:rPr>
        <w:t>不同投标人委托同一单位或者个人办理投标事宜；</w:t>
      </w:r>
    </w:p>
    <w:p>
      <w:pPr>
        <w:spacing w:line="360" w:lineRule="auto"/>
        <w:ind w:firstLine="600"/>
        <w:rPr>
          <w:rFonts w:ascii="仿宋" w:hAnsi="仿宋" w:eastAsia="仿宋" w:cs="仿宋"/>
          <w:sz w:val="24"/>
        </w:rPr>
      </w:pPr>
      <w:r>
        <w:rPr>
          <w:rFonts w:ascii="仿宋" w:hAnsi="仿宋" w:eastAsia="仿宋" w:cs="仿宋"/>
          <w:sz w:val="24"/>
        </w:rPr>
        <w:t>13.21.10</w:t>
      </w:r>
      <w:r>
        <w:rPr>
          <w:rFonts w:hint="eastAsia" w:ascii="仿宋" w:hAnsi="仿宋" w:eastAsia="仿宋" w:cs="仿宋"/>
          <w:sz w:val="24"/>
        </w:rPr>
        <w:t>不同投标人的投标文件载明的项目管理成员或者联系人员为同一人；</w:t>
      </w:r>
    </w:p>
    <w:p>
      <w:pPr>
        <w:spacing w:line="360" w:lineRule="auto"/>
        <w:ind w:firstLine="600"/>
        <w:rPr>
          <w:rFonts w:ascii="仿宋" w:hAnsi="仿宋" w:eastAsia="仿宋" w:cs="仿宋"/>
          <w:sz w:val="24"/>
        </w:rPr>
      </w:pPr>
      <w:r>
        <w:rPr>
          <w:rFonts w:ascii="仿宋" w:hAnsi="仿宋" w:eastAsia="仿宋" w:cs="仿宋"/>
          <w:sz w:val="24"/>
        </w:rPr>
        <w:t>13.21.11</w:t>
      </w:r>
      <w:r>
        <w:rPr>
          <w:rFonts w:hint="eastAsia" w:ascii="仿宋" w:hAnsi="仿宋" w:eastAsia="仿宋" w:cs="仿宋"/>
          <w:sz w:val="24"/>
        </w:rPr>
        <w:t>不同投标人的投标文件异常一致或者投标报价呈规律性差异；</w:t>
      </w:r>
    </w:p>
    <w:p>
      <w:pPr>
        <w:spacing w:line="360" w:lineRule="auto"/>
        <w:ind w:firstLine="600"/>
        <w:rPr>
          <w:rFonts w:ascii="仿宋" w:hAnsi="仿宋" w:eastAsia="仿宋" w:cs="仿宋"/>
          <w:sz w:val="24"/>
        </w:rPr>
      </w:pPr>
      <w:r>
        <w:rPr>
          <w:rFonts w:ascii="仿宋" w:hAnsi="仿宋" w:eastAsia="仿宋" w:cs="仿宋"/>
          <w:sz w:val="24"/>
        </w:rPr>
        <w:t>13.21.12</w:t>
      </w:r>
      <w:r>
        <w:rPr>
          <w:rFonts w:hint="eastAsia" w:ascii="仿宋" w:hAnsi="仿宋" w:eastAsia="仿宋" w:cs="仿宋"/>
          <w:sz w:val="24"/>
        </w:rPr>
        <w:t>不同投标人的投标文件相互混装；</w:t>
      </w:r>
    </w:p>
    <w:p>
      <w:pPr>
        <w:spacing w:line="360" w:lineRule="auto"/>
        <w:ind w:firstLine="480"/>
        <w:rPr>
          <w:rFonts w:ascii="仿宋" w:hAnsi="仿宋" w:eastAsia="仿宋" w:cs="仿宋"/>
          <w:sz w:val="24"/>
        </w:rPr>
      </w:pPr>
      <w:r>
        <w:rPr>
          <w:rFonts w:ascii="仿宋" w:hAnsi="仿宋" w:eastAsia="仿宋" w:cs="仿宋"/>
          <w:sz w:val="24"/>
        </w:rPr>
        <w:t>13.22</w:t>
      </w:r>
      <w:r>
        <w:rPr>
          <w:rFonts w:hint="eastAsia" w:ascii="仿宋" w:hAnsi="仿宋" w:eastAsia="仿宋" w:cs="仿宋"/>
          <w:sz w:val="24"/>
        </w:rPr>
        <w:t>投标人仅提交备份投标文件，没有在电子交易平台传输递交投标文件的，投标无效；</w:t>
      </w:r>
    </w:p>
    <w:p>
      <w:pPr>
        <w:spacing w:line="360" w:lineRule="auto"/>
        <w:ind w:firstLine="480"/>
        <w:rPr>
          <w:rFonts w:ascii="仿宋" w:hAnsi="仿宋" w:eastAsia="仿宋" w:cs="仿宋"/>
          <w:sz w:val="24"/>
          <w:szCs w:val="21"/>
        </w:rPr>
      </w:pPr>
      <w:r>
        <w:rPr>
          <w:rFonts w:ascii="仿宋" w:hAnsi="仿宋" w:eastAsia="仿宋" w:cs="仿宋"/>
          <w:sz w:val="24"/>
        </w:rPr>
        <w:t>13.23</w:t>
      </w:r>
      <w:r>
        <w:rPr>
          <w:rFonts w:hint="eastAsia" w:ascii="仿宋" w:hAnsi="仿宋" w:eastAsia="仿宋" w:cs="仿宋"/>
          <w:sz w:val="24"/>
        </w:rPr>
        <w:t>法律、法规、规章（适用本市的）及省级以上规范性文件（适用本市的）规定的其他无效情形。</w:t>
      </w:r>
    </w:p>
    <w:p>
      <w:pPr>
        <w:snapToGrid w:val="0"/>
        <w:spacing w:line="360" w:lineRule="auto"/>
        <w:jc w:val="center"/>
        <w:rPr>
          <w:rFonts w:ascii="仿宋" w:hAnsi="仿宋" w:eastAsia="仿宋" w:cs="仿宋"/>
          <w:b/>
          <w:sz w:val="32"/>
        </w:rPr>
      </w:pPr>
      <w:r>
        <w:rPr>
          <w:rFonts w:hint="eastAsia" w:ascii="仿宋" w:hAnsi="仿宋" w:eastAsia="仿宋" w:cs="仿宋"/>
          <w:b/>
          <w:sz w:val="32"/>
        </w:rPr>
        <w:t>五、评标报告</w:t>
      </w:r>
    </w:p>
    <w:p>
      <w:pPr>
        <w:spacing w:line="360" w:lineRule="auto"/>
        <w:rPr>
          <w:rFonts w:ascii="仿宋" w:hAnsi="仿宋" w:eastAsia="仿宋" w:cs="仿宋"/>
          <w:b/>
          <w:sz w:val="24"/>
        </w:rPr>
      </w:pPr>
      <w:r>
        <w:rPr>
          <w:rFonts w:ascii="仿宋" w:hAnsi="仿宋" w:eastAsia="仿宋" w:cs="仿宋"/>
          <w:b/>
          <w:sz w:val="24"/>
        </w:rPr>
        <w:t xml:space="preserve">14. </w:t>
      </w:r>
      <w:r>
        <w:rPr>
          <w:rFonts w:hint="eastAsia" w:ascii="仿宋" w:hAnsi="仿宋" w:eastAsia="仿宋" w:cs="仿宋"/>
          <w:b/>
          <w:sz w:val="24"/>
        </w:rPr>
        <w:t>评标报告与推荐中标候选人。</w:t>
      </w:r>
    </w:p>
    <w:p>
      <w:pPr>
        <w:spacing w:line="360" w:lineRule="auto"/>
        <w:ind w:firstLine="420"/>
        <w:rPr>
          <w:rFonts w:ascii="仿宋" w:hAnsi="仿宋" w:eastAsia="仿宋" w:cs="仿宋"/>
          <w:sz w:val="24"/>
        </w:rPr>
      </w:pPr>
      <w:r>
        <w:rPr>
          <w:rFonts w:hint="eastAsia" w:ascii="仿宋" w:hAnsi="仿宋" w:eastAsia="仿宋" w:cs="仿宋"/>
          <w:sz w:val="24"/>
        </w:rPr>
        <w:t>评标委员会根据原始评标记录和评标结果编写评标报告，并通过电子交易平台向采购人、采购机构提交。</w:t>
      </w:r>
    </w:p>
    <w:p>
      <w:pPr>
        <w:widowControl/>
        <w:spacing w:line="360" w:lineRule="auto"/>
        <w:jc w:val="left"/>
        <w:rPr>
          <w:rFonts w:ascii="仿宋" w:hAnsi="仿宋" w:eastAsia="仿宋" w:cs="仿宋"/>
          <w:b/>
          <w:sz w:val="24"/>
        </w:rPr>
      </w:pPr>
      <w:r>
        <w:rPr>
          <w:rFonts w:ascii="仿宋" w:hAnsi="仿宋" w:eastAsia="仿宋" w:cs="仿宋"/>
          <w:b/>
          <w:sz w:val="24"/>
        </w:rPr>
        <w:t xml:space="preserve">15. </w:t>
      </w:r>
      <w:r>
        <w:rPr>
          <w:rFonts w:hint="eastAsia" w:ascii="仿宋" w:hAnsi="仿宋" w:eastAsia="仿宋" w:cs="仿宋"/>
          <w:b/>
          <w:sz w:val="24"/>
        </w:rPr>
        <w:t>评标争议事项处理。</w:t>
      </w:r>
    </w:p>
    <w:p>
      <w:pPr>
        <w:widowControl/>
        <w:spacing w:line="360" w:lineRule="auto"/>
        <w:ind w:firstLine="420"/>
        <w:jc w:val="left"/>
        <w:rPr>
          <w:rFonts w:ascii="仿宋" w:hAnsi="仿宋" w:eastAsia="仿宋" w:cs="仿宋"/>
          <w:sz w:val="24"/>
        </w:rPr>
      </w:pPr>
      <w:r>
        <w:rPr>
          <w:rFonts w:hint="eastAsia" w:ascii="仿宋" w:hAnsi="仿宋" w:eastAsia="仿宋" w:cs="仿宋"/>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line="360" w:lineRule="auto"/>
        <w:jc w:val="center"/>
        <w:rPr>
          <w:rFonts w:ascii="仿宋" w:hAnsi="仿宋" w:eastAsia="仿宋" w:cs="仿宋"/>
          <w:b/>
          <w:sz w:val="32"/>
        </w:rPr>
      </w:pPr>
      <w:r>
        <w:rPr>
          <w:rFonts w:hint="eastAsia" w:ascii="仿宋" w:hAnsi="仿宋" w:eastAsia="仿宋" w:cs="仿宋"/>
          <w:b/>
          <w:sz w:val="32"/>
        </w:rPr>
        <w:t>六、废标</w:t>
      </w:r>
    </w:p>
    <w:p>
      <w:pPr>
        <w:snapToGrid w:val="0"/>
        <w:spacing w:line="360" w:lineRule="auto"/>
        <w:rPr>
          <w:rFonts w:ascii="仿宋" w:hAnsi="仿宋" w:eastAsia="仿宋" w:cs="仿宋"/>
          <w:b/>
          <w:sz w:val="24"/>
        </w:rPr>
      </w:pPr>
      <w:r>
        <w:rPr>
          <w:rFonts w:ascii="仿宋" w:hAnsi="仿宋" w:eastAsia="仿宋" w:cs="仿宋"/>
          <w:b/>
          <w:sz w:val="24"/>
        </w:rPr>
        <w:t>16.</w:t>
      </w:r>
      <w:r>
        <w:rPr>
          <w:rFonts w:hint="eastAsia" w:ascii="仿宋" w:hAnsi="仿宋" w:eastAsia="仿宋" w:cs="仿宋"/>
          <w:b/>
          <w:sz w:val="24"/>
        </w:rPr>
        <w:t>废标。</w:t>
      </w:r>
    </w:p>
    <w:p>
      <w:pPr>
        <w:snapToGrid w:val="0"/>
        <w:spacing w:line="360" w:lineRule="auto"/>
        <w:ind w:firstLine="420"/>
        <w:rPr>
          <w:rFonts w:ascii="仿宋" w:hAnsi="仿宋" w:eastAsia="仿宋" w:cs="仿宋"/>
          <w:sz w:val="24"/>
        </w:rPr>
      </w:pPr>
      <w:r>
        <w:rPr>
          <w:rFonts w:hint="eastAsia" w:ascii="仿宋" w:hAnsi="仿宋" w:eastAsia="仿宋" w:cs="仿宋"/>
          <w:sz w:val="24"/>
        </w:rPr>
        <w:t>根据《中华人民共和国政府采购法》第三十六条之规定，在采购中，出现下列情形之一的，应予废标：</w:t>
      </w:r>
    </w:p>
    <w:p>
      <w:pPr>
        <w:snapToGrid w:val="0"/>
        <w:spacing w:line="360" w:lineRule="auto"/>
        <w:ind w:firstLine="480"/>
        <w:rPr>
          <w:rFonts w:ascii="仿宋" w:hAnsi="仿宋" w:eastAsia="仿宋" w:cs="仿宋"/>
          <w:sz w:val="24"/>
        </w:rPr>
      </w:pPr>
      <w:r>
        <w:rPr>
          <w:rFonts w:ascii="仿宋" w:hAnsi="仿宋" w:eastAsia="仿宋" w:cs="仿宋"/>
          <w:sz w:val="24"/>
        </w:rPr>
        <w:t>16.1</w:t>
      </w:r>
      <w:r>
        <w:rPr>
          <w:rFonts w:hint="eastAsia" w:ascii="仿宋" w:hAnsi="仿宋" w:eastAsia="仿宋" w:cs="仿宋"/>
          <w:sz w:val="24"/>
        </w:rPr>
        <w:t>符合专业条件的供应商或者对招标文件作实质响应的供应商不足</w:t>
      </w:r>
      <w:r>
        <w:rPr>
          <w:rFonts w:ascii="仿宋" w:hAnsi="仿宋" w:eastAsia="仿宋" w:cs="仿宋"/>
          <w:sz w:val="24"/>
        </w:rPr>
        <w:t>3</w:t>
      </w:r>
      <w:r>
        <w:rPr>
          <w:rFonts w:hint="eastAsia" w:ascii="仿宋" w:hAnsi="仿宋" w:eastAsia="仿宋" w:cs="仿宋"/>
          <w:sz w:val="24"/>
        </w:rPr>
        <w:t>家的；</w:t>
      </w:r>
    </w:p>
    <w:p>
      <w:pPr>
        <w:snapToGrid w:val="0"/>
        <w:spacing w:line="360" w:lineRule="auto"/>
        <w:ind w:firstLine="480"/>
        <w:rPr>
          <w:rFonts w:ascii="仿宋" w:hAnsi="仿宋" w:eastAsia="仿宋" w:cs="仿宋"/>
          <w:sz w:val="24"/>
        </w:rPr>
      </w:pPr>
      <w:r>
        <w:rPr>
          <w:rFonts w:ascii="仿宋" w:hAnsi="仿宋" w:eastAsia="仿宋" w:cs="仿宋"/>
          <w:sz w:val="24"/>
        </w:rPr>
        <w:t>16.2</w:t>
      </w:r>
      <w:r>
        <w:rPr>
          <w:rFonts w:hint="eastAsia" w:ascii="仿宋" w:hAnsi="仿宋" w:eastAsia="仿宋" w:cs="仿宋"/>
          <w:sz w:val="24"/>
        </w:rPr>
        <w:t>出现影响采购公正的违法、违规行为的；</w:t>
      </w:r>
    </w:p>
    <w:p>
      <w:pPr>
        <w:snapToGrid w:val="0"/>
        <w:spacing w:line="360" w:lineRule="auto"/>
        <w:ind w:firstLine="480"/>
        <w:rPr>
          <w:rFonts w:ascii="仿宋" w:hAnsi="仿宋" w:eastAsia="仿宋" w:cs="仿宋"/>
          <w:sz w:val="24"/>
        </w:rPr>
      </w:pPr>
      <w:r>
        <w:rPr>
          <w:rFonts w:ascii="仿宋" w:hAnsi="仿宋" w:eastAsia="仿宋" w:cs="仿宋"/>
          <w:sz w:val="24"/>
        </w:rPr>
        <w:t>16.3</w:t>
      </w:r>
      <w:r>
        <w:rPr>
          <w:rFonts w:hint="eastAsia" w:ascii="仿宋" w:hAnsi="仿宋" w:eastAsia="仿宋" w:cs="仿宋"/>
          <w:sz w:val="24"/>
        </w:rPr>
        <w:t>投标人的报价均超过了采购预算，采购人不能支付的；</w:t>
      </w:r>
    </w:p>
    <w:p>
      <w:pPr>
        <w:snapToGrid w:val="0"/>
        <w:spacing w:line="360" w:lineRule="auto"/>
        <w:ind w:firstLine="480"/>
        <w:rPr>
          <w:rFonts w:ascii="仿宋" w:hAnsi="仿宋" w:eastAsia="仿宋" w:cs="仿宋"/>
          <w:sz w:val="24"/>
        </w:rPr>
      </w:pPr>
      <w:r>
        <w:rPr>
          <w:rFonts w:ascii="仿宋" w:hAnsi="仿宋" w:eastAsia="仿宋" w:cs="仿宋"/>
          <w:sz w:val="24"/>
        </w:rPr>
        <w:t>16.4</w:t>
      </w:r>
      <w:r>
        <w:rPr>
          <w:rFonts w:hint="eastAsia" w:ascii="仿宋" w:hAnsi="仿宋" w:eastAsia="仿宋" w:cs="仿宋"/>
          <w:sz w:val="24"/>
        </w:rPr>
        <w:t>因重大变故，采购任务取消的。</w:t>
      </w:r>
    </w:p>
    <w:p>
      <w:pPr>
        <w:snapToGrid w:val="0"/>
        <w:spacing w:line="360" w:lineRule="auto"/>
        <w:ind w:firstLine="480"/>
        <w:rPr>
          <w:rFonts w:ascii="仿宋" w:hAnsi="仿宋" w:eastAsia="仿宋" w:cs="仿宋"/>
          <w:sz w:val="24"/>
        </w:rPr>
      </w:pPr>
      <w:r>
        <w:rPr>
          <w:rFonts w:hint="eastAsia" w:ascii="仿宋" w:hAnsi="仿宋" w:eastAsia="仿宋" w:cs="仿宋"/>
          <w:sz w:val="24"/>
        </w:rPr>
        <w:t>废标后，采购机构应当将废标理由通知所有投标人。</w:t>
      </w:r>
    </w:p>
    <w:p>
      <w:pPr>
        <w:snapToGrid w:val="0"/>
        <w:spacing w:line="360" w:lineRule="auto"/>
        <w:jc w:val="center"/>
        <w:rPr>
          <w:rFonts w:ascii="仿宋" w:hAnsi="仿宋" w:eastAsia="仿宋" w:cs="仿宋"/>
          <w:b/>
          <w:sz w:val="32"/>
        </w:rPr>
      </w:pPr>
      <w:r>
        <w:rPr>
          <w:rFonts w:hint="eastAsia" w:ascii="仿宋" w:hAnsi="仿宋" w:eastAsia="仿宋" w:cs="仿宋"/>
          <w:b/>
          <w:sz w:val="32"/>
        </w:rPr>
        <w:t>七、重新组织采购</w:t>
      </w:r>
    </w:p>
    <w:p>
      <w:pPr>
        <w:snapToGrid w:val="0"/>
        <w:spacing w:line="360" w:lineRule="auto"/>
        <w:rPr>
          <w:rFonts w:ascii="仿宋" w:hAnsi="仿宋" w:eastAsia="仿宋" w:cs="仿宋"/>
          <w:b/>
          <w:sz w:val="24"/>
        </w:rPr>
      </w:pPr>
      <w:r>
        <w:rPr>
          <w:rFonts w:ascii="仿宋" w:hAnsi="仿宋" w:eastAsia="仿宋" w:cs="仿宋"/>
          <w:b/>
          <w:sz w:val="24"/>
        </w:rPr>
        <w:t>17.</w:t>
      </w:r>
      <w:r>
        <w:rPr>
          <w:rFonts w:hint="eastAsia" w:ascii="仿宋" w:hAnsi="仿宋" w:eastAsia="仿宋" w:cs="仿宋"/>
          <w:b/>
          <w:sz w:val="24"/>
        </w:rPr>
        <w:t>修改招标文件，重新组织采购活动。</w:t>
      </w:r>
    </w:p>
    <w:p>
      <w:pPr>
        <w:snapToGrid w:val="0"/>
        <w:spacing w:line="360" w:lineRule="auto"/>
        <w:ind w:firstLine="420"/>
        <w:rPr>
          <w:rFonts w:ascii="仿宋" w:hAnsi="仿宋" w:eastAsia="仿宋" w:cs="仿宋"/>
          <w:sz w:val="24"/>
        </w:rPr>
      </w:pP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rPr>
          <w:rFonts w:ascii="仿宋" w:hAnsi="仿宋" w:eastAsia="仿宋" w:cs="仿宋"/>
          <w:b/>
          <w:kern w:val="0"/>
          <w:sz w:val="24"/>
        </w:rPr>
      </w:pPr>
      <w:r>
        <w:rPr>
          <w:rFonts w:ascii="仿宋" w:hAnsi="仿宋" w:eastAsia="仿宋" w:cs="仿宋"/>
          <w:b/>
          <w:sz w:val="24"/>
        </w:rPr>
        <w:t>18.</w:t>
      </w:r>
      <w:r>
        <w:rPr>
          <w:rFonts w:hint="eastAsia" w:ascii="仿宋" w:hAnsi="仿宋" w:eastAsia="仿宋" w:cs="仿宋"/>
          <w:b/>
          <w:sz w:val="24"/>
        </w:rPr>
        <w:t>重新开展采购。</w:t>
      </w:r>
    </w:p>
    <w:p>
      <w:pPr>
        <w:snapToGrid w:val="0"/>
        <w:spacing w:line="360" w:lineRule="auto"/>
        <w:ind w:firstLine="480"/>
        <w:rPr>
          <w:rFonts w:ascii="仿宋" w:hAnsi="仿宋" w:eastAsia="仿宋" w:cs="仿宋"/>
          <w:sz w:val="24"/>
        </w:rPr>
      </w:pPr>
      <w:r>
        <w:rPr>
          <w:rFonts w:hint="eastAsia" w:ascii="仿宋" w:hAnsi="仿宋" w:eastAsia="仿宋" w:cs="仿宋"/>
          <w:sz w:val="24"/>
        </w:rPr>
        <w:t>有政府采购法第七十一条、第七十二条规定的违法行为之一，影响或者可能影响中标、成交结果的，依照下列规定处理：</w:t>
      </w:r>
    </w:p>
    <w:p>
      <w:pPr>
        <w:snapToGrid w:val="0"/>
        <w:spacing w:line="360" w:lineRule="auto"/>
        <w:ind w:firstLine="480"/>
        <w:rPr>
          <w:rFonts w:ascii="仿宋" w:hAnsi="仿宋" w:eastAsia="仿宋" w:cs="仿宋"/>
          <w:sz w:val="24"/>
        </w:rPr>
      </w:pPr>
      <w:r>
        <w:rPr>
          <w:rFonts w:ascii="仿宋" w:hAnsi="仿宋" w:eastAsia="仿宋" w:cs="仿宋"/>
          <w:sz w:val="24"/>
        </w:rPr>
        <w:t>18.1</w:t>
      </w:r>
      <w:r>
        <w:rPr>
          <w:rFonts w:hint="eastAsia" w:ascii="仿宋" w:hAnsi="仿宋" w:eastAsia="仿宋" w:cs="仿宋"/>
          <w:sz w:val="24"/>
        </w:rPr>
        <w:t>未确定中标或者成交供应商的，终止本次政府采购活动，重新开展政府采购活动。</w:t>
      </w:r>
    </w:p>
    <w:p>
      <w:pPr>
        <w:snapToGrid w:val="0"/>
        <w:spacing w:line="360" w:lineRule="auto"/>
        <w:ind w:firstLine="480"/>
        <w:rPr>
          <w:rFonts w:ascii="仿宋" w:hAnsi="仿宋" w:eastAsia="仿宋" w:cs="仿宋"/>
          <w:sz w:val="24"/>
        </w:rPr>
      </w:pPr>
      <w:r>
        <w:rPr>
          <w:rFonts w:ascii="仿宋" w:hAnsi="仿宋" w:eastAsia="仿宋" w:cs="仿宋"/>
          <w:sz w:val="24"/>
        </w:rPr>
        <w:t>18.2</w:t>
      </w:r>
      <w:r>
        <w:rPr>
          <w:rFonts w:hint="eastAsia" w:ascii="仿宋" w:hAnsi="仿宋" w:eastAsia="仿宋" w:cs="仿宋"/>
          <w:sz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snapToGrid w:val="0"/>
        <w:spacing w:line="360" w:lineRule="auto"/>
        <w:ind w:firstLine="480"/>
        <w:rPr>
          <w:rFonts w:ascii="仿宋" w:hAnsi="仿宋" w:eastAsia="仿宋" w:cs="仿宋"/>
          <w:sz w:val="24"/>
        </w:rPr>
      </w:pPr>
      <w:r>
        <w:rPr>
          <w:rFonts w:ascii="仿宋" w:hAnsi="仿宋" w:eastAsia="仿宋" w:cs="仿宋"/>
          <w:sz w:val="24"/>
        </w:rPr>
        <w:t>18.3</w:t>
      </w:r>
      <w:r>
        <w:rPr>
          <w:rFonts w:hint="eastAsia" w:ascii="仿宋" w:hAnsi="仿宋" w:eastAsia="仿宋" w:cs="仿宋"/>
          <w:sz w:val="24"/>
        </w:rPr>
        <w:t>政府采购合同已签订但尚未履行的，撤销合同，从合格的中标或者成交候选人中另行确定中标或者成交供应商；没有合格的中标或者成交候选人的，重新开展政府采购活动。</w:t>
      </w:r>
    </w:p>
    <w:p>
      <w:pPr>
        <w:snapToGrid w:val="0"/>
        <w:spacing w:line="360" w:lineRule="auto"/>
        <w:ind w:firstLine="480"/>
        <w:rPr>
          <w:rFonts w:ascii="仿宋" w:hAnsi="仿宋" w:eastAsia="仿宋" w:cs="仿宋"/>
          <w:sz w:val="24"/>
        </w:rPr>
      </w:pPr>
      <w:r>
        <w:rPr>
          <w:rFonts w:ascii="仿宋" w:hAnsi="仿宋" w:eastAsia="仿宋" w:cs="仿宋"/>
          <w:sz w:val="24"/>
        </w:rPr>
        <w:t>18.4</w:t>
      </w:r>
      <w:r>
        <w:rPr>
          <w:rFonts w:hint="eastAsia" w:ascii="仿宋" w:hAnsi="仿宋" w:eastAsia="仿宋" w:cs="仿宋"/>
          <w:sz w:val="24"/>
        </w:rPr>
        <w:t>政府采购合同已经履行，给采购人、供应商造成损失的，由责任人承担赔偿责任。</w:t>
      </w:r>
    </w:p>
    <w:p>
      <w:pPr>
        <w:snapToGrid w:val="0"/>
        <w:spacing w:line="360" w:lineRule="auto"/>
        <w:ind w:firstLine="480"/>
        <w:rPr>
          <w:rFonts w:ascii="仿宋" w:hAnsi="仿宋" w:eastAsia="仿宋" w:cs="仿宋"/>
          <w:sz w:val="24"/>
        </w:rPr>
      </w:pPr>
      <w:r>
        <w:rPr>
          <w:rFonts w:ascii="仿宋" w:hAnsi="仿宋" w:eastAsia="仿宋" w:cs="仿宋"/>
          <w:sz w:val="24"/>
        </w:rPr>
        <w:t>18.5</w:t>
      </w:r>
      <w:r>
        <w:rPr>
          <w:rFonts w:hint="eastAsia" w:ascii="仿宋" w:hAnsi="仿宋" w:eastAsia="仿宋" w:cs="仿宋"/>
          <w:sz w:val="24"/>
        </w:rPr>
        <w:t>政府采购当事人有其他违反政府采购法或者本条例规定的行为，经改正后仍然影响或者可能影响中标、成交结果或者依法被认定为中标、成交无效的，依照</w:t>
      </w:r>
      <w:r>
        <w:rPr>
          <w:rFonts w:ascii="仿宋" w:hAnsi="仿宋" w:eastAsia="仿宋" w:cs="仿宋"/>
          <w:sz w:val="24"/>
        </w:rPr>
        <w:t>18.1-18.4</w:t>
      </w:r>
      <w:r>
        <w:rPr>
          <w:rFonts w:hint="eastAsia" w:ascii="仿宋" w:hAnsi="仿宋" w:eastAsia="仿宋" w:cs="仿宋"/>
          <w:sz w:val="24"/>
        </w:rPr>
        <w:t>规定处理。</w:t>
      </w:r>
    </w:p>
    <w:p>
      <w:pPr>
        <w:snapToGrid w:val="0"/>
        <w:spacing w:line="360" w:lineRule="auto"/>
        <w:jc w:val="center"/>
        <w:rPr>
          <w:rFonts w:ascii="仿宋" w:hAnsi="仿宋" w:eastAsia="仿宋" w:cs="仿宋"/>
          <w:b/>
          <w:sz w:val="32"/>
        </w:rPr>
      </w:pPr>
      <w:r>
        <w:rPr>
          <w:rFonts w:hint="eastAsia" w:ascii="仿宋" w:hAnsi="仿宋" w:eastAsia="仿宋" w:cs="仿宋"/>
          <w:b/>
          <w:sz w:val="32"/>
        </w:rPr>
        <w:t>八、评审过程的保密与录像</w:t>
      </w:r>
    </w:p>
    <w:p>
      <w:pPr>
        <w:snapToGrid w:val="0"/>
        <w:spacing w:line="360" w:lineRule="auto"/>
        <w:rPr>
          <w:rFonts w:ascii="仿宋" w:hAnsi="仿宋" w:eastAsia="仿宋" w:cs="仿宋"/>
          <w:b/>
          <w:sz w:val="24"/>
        </w:rPr>
      </w:pPr>
      <w:r>
        <w:rPr>
          <w:rFonts w:ascii="仿宋" w:hAnsi="仿宋" w:eastAsia="仿宋" w:cs="仿宋"/>
          <w:b/>
          <w:sz w:val="24"/>
        </w:rPr>
        <w:t>19.</w:t>
      </w:r>
      <w:r>
        <w:rPr>
          <w:rFonts w:hint="eastAsia" w:ascii="仿宋" w:hAnsi="仿宋" w:eastAsia="仿宋" w:cs="仿宋"/>
          <w:b/>
          <w:sz w:val="24"/>
        </w:rPr>
        <w:t>保密。</w:t>
      </w:r>
    </w:p>
    <w:p>
      <w:pPr>
        <w:widowControl/>
        <w:spacing w:line="360" w:lineRule="auto"/>
        <w:ind w:firstLine="480"/>
        <w:rPr>
          <w:rFonts w:ascii="仿宋" w:hAnsi="仿宋" w:eastAsia="仿宋" w:cs="仿宋"/>
          <w:sz w:val="24"/>
        </w:rPr>
      </w:pPr>
      <w:r>
        <w:rPr>
          <w:rFonts w:hint="eastAsia" w:ascii="仿宋" w:hAnsi="仿宋" w:eastAsia="仿宋" w:cs="仿宋"/>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napToGrid w:val="0"/>
        <w:spacing w:before="312" w:beforeLines="100" w:line="360" w:lineRule="auto"/>
        <w:rPr>
          <w:rFonts w:ascii="仿宋" w:hAnsi="仿宋" w:eastAsia="仿宋" w:cs="仿宋"/>
          <w:b/>
          <w:sz w:val="24"/>
        </w:rPr>
      </w:pPr>
      <w:r>
        <w:rPr>
          <w:rFonts w:ascii="仿宋" w:hAnsi="仿宋" w:eastAsia="仿宋" w:cs="仿宋"/>
          <w:b/>
          <w:sz w:val="24"/>
        </w:rPr>
        <w:t>20.</w:t>
      </w:r>
      <w:r>
        <w:rPr>
          <w:rFonts w:hint="eastAsia" w:ascii="仿宋" w:hAnsi="仿宋" w:eastAsia="仿宋" w:cs="仿宋"/>
          <w:b/>
          <w:sz w:val="24"/>
        </w:rPr>
        <w:t>录音录像。</w:t>
      </w:r>
    </w:p>
    <w:p>
      <w:pPr>
        <w:widowControl/>
        <w:spacing w:line="360" w:lineRule="auto"/>
        <w:ind w:firstLine="480"/>
        <w:rPr>
          <w:rFonts w:ascii="仿宋" w:hAnsi="仿宋" w:eastAsia="仿宋" w:cs="仿宋"/>
          <w:sz w:val="24"/>
        </w:rPr>
      </w:pPr>
      <w:r>
        <w:rPr>
          <w:rFonts w:hint="eastAsia" w:ascii="仿宋" w:hAnsi="仿宋" w:eastAsia="仿宋" w:cs="仿宋"/>
          <w:sz w:val="24"/>
        </w:rPr>
        <w:t>采购机构对评审工作现场进行全过程录音录像，录音录像资料作为采购项目文件随其他文件一并存档。</w:t>
      </w:r>
    </w:p>
    <w:p>
      <w:pPr>
        <w:snapToGrid w:val="0"/>
        <w:spacing w:line="360" w:lineRule="auto"/>
        <w:jc w:val="center"/>
        <w:rPr>
          <w:rFonts w:ascii="仿宋" w:hAnsi="仿宋" w:eastAsia="仿宋" w:cs="仿宋"/>
          <w:b/>
          <w:sz w:val="32"/>
        </w:rPr>
      </w:pPr>
      <w:r>
        <w:rPr>
          <w:rFonts w:hint="eastAsia" w:ascii="仿宋" w:hAnsi="仿宋" w:eastAsia="仿宋" w:cs="仿宋"/>
          <w:b/>
          <w:sz w:val="32"/>
        </w:rPr>
        <w:t>九、具体评标标准</w:t>
      </w:r>
    </w:p>
    <w:p>
      <w:pPr>
        <w:snapToGrid w:val="0"/>
        <w:spacing w:line="360" w:lineRule="auto"/>
      </w:pPr>
      <w:r>
        <w:rPr>
          <w:rFonts w:ascii="仿宋" w:hAnsi="仿宋" w:eastAsia="仿宋" w:cs="仿宋"/>
          <w:b/>
          <w:sz w:val="24"/>
        </w:rPr>
        <w:t>21</w:t>
      </w:r>
      <w:r>
        <w:rPr>
          <w:rFonts w:hint="eastAsia" w:ascii="仿宋" w:hAnsi="仿宋" w:eastAsia="仿宋" w:cs="仿宋"/>
          <w:b/>
          <w:sz w:val="24"/>
        </w:rPr>
        <w:t>、本项目采用综合评分法</w:t>
      </w:r>
    </w:p>
    <w:p>
      <w:pPr>
        <w:autoSpaceDE w:val="0"/>
        <w:spacing w:line="360" w:lineRule="auto"/>
        <w:ind w:firstLine="480"/>
      </w:pPr>
      <w:r>
        <w:rPr>
          <w:rFonts w:hint="eastAsia" w:ascii="仿宋" w:hAnsi="仿宋" w:eastAsia="仿宋" w:cs="仿宋"/>
          <w:sz w:val="24"/>
        </w:rPr>
        <w:t>评标委员会将对各投标人的投标报价、</w:t>
      </w:r>
      <w:r>
        <w:rPr>
          <w:rFonts w:hint="eastAsia" w:ascii="仿宋" w:hAnsi="仿宋" w:eastAsia="仿宋" w:cs="仿宋"/>
          <w:bCs/>
          <w:sz w:val="24"/>
        </w:rPr>
        <w:t>技术和服务方案</w:t>
      </w:r>
      <w:r>
        <w:rPr>
          <w:rFonts w:hint="eastAsia" w:ascii="仿宋" w:hAnsi="仿宋" w:eastAsia="仿宋" w:cs="仿宋"/>
          <w:sz w:val="24"/>
        </w:rPr>
        <w:t>、投标人提供的资质和业绩情况等方面进行综合评审，评标委员会各成员应当独立对每个有效投标人的投标文件进行评价、打分。经统计，得出各投标人的最终评审分</w:t>
      </w:r>
      <w:r>
        <w:rPr>
          <w:rFonts w:ascii="仿宋" w:hAnsi="仿宋" w:eastAsia="仿宋" w:cs="仿宋"/>
          <w:sz w:val="24"/>
        </w:rPr>
        <w:t>,</w:t>
      </w:r>
      <w:r>
        <w:rPr>
          <w:rFonts w:hint="eastAsia" w:ascii="仿宋" w:hAnsi="仿宋" w:eastAsia="仿宋" w:cs="仿宋"/>
          <w:sz w:val="24"/>
        </w:rPr>
        <w:t>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，按技术指标优劣顺序排列，并形成评标意见。</w:t>
      </w:r>
    </w:p>
    <w:p>
      <w:pPr>
        <w:autoSpaceDE w:val="0"/>
        <w:spacing w:line="360" w:lineRule="auto"/>
        <w:ind w:firstLine="482"/>
        <w:rPr>
          <w:rFonts w:ascii="仿宋" w:hAnsi="仿宋" w:eastAsia="仿宋" w:cs="仿宋"/>
          <w:b/>
          <w:sz w:val="24"/>
        </w:rPr>
      </w:pPr>
      <w:r>
        <w:rPr>
          <w:rFonts w:hint="eastAsia" w:ascii="仿宋" w:hAnsi="仿宋" w:eastAsia="仿宋" w:cs="仿宋"/>
          <w:b/>
          <w:sz w:val="24"/>
        </w:rPr>
        <w:t>公示结束后，经采购人确定，原则上选择第一中标候选人为成交供应商，如第一中标候选人出现无法履约等情形，可选择第二中标候选人为成交供应商。</w:t>
      </w:r>
    </w:p>
    <w:p>
      <w:pPr>
        <w:snapToGrid w:val="0"/>
        <w:spacing w:before="312" w:beforeLines="100" w:line="360" w:lineRule="auto"/>
      </w:pPr>
      <w:r>
        <w:rPr>
          <w:rFonts w:ascii="仿宋" w:hAnsi="仿宋" w:eastAsia="仿宋" w:cs="仿宋"/>
          <w:b/>
          <w:sz w:val="24"/>
        </w:rPr>
        <w:t>22</w:t>
      </w:r>
      <w:r>
        <w:rPr>
          <w:rFonts w:hint="eastAsia" w:ascii="仿宋" w:hAnsi="仿宋" w:eastAsia="仿宋" w:cs="仿宋"/>
          <w:b/>
          <w:sz w:val="24"/>
        </w:rPr>
        <w:t>、分值的计算</w:t>
      </w:r>
    </w:p>
    <w:p>
      <w:pPr>
        <w:autoSpaceDE w:val="0"/>
        <w:spacing w:line="360" w:lineRule="auto"/>
        <w:ind w:firstLine="480"/>
      </w:pPr>
      <w:r>
        <w:rPr>
          <w:rFonts w:hint="eastAsia" w:ascii="仿宋" w:hAnsi="仿宋" w:eastAsia="仿宋" w:cs="仿宋"/>
          <w:sz w:val="24"/>
        </w:rPr>
        <w:t>报价得分</w:t>
      </w:r>
      <w:r>
        <w:rPr>
          <w:rFonts w:ascii="仿宋" w:hAnsi="仿宋" w:eastAsia="仿宋" w:cs="仿宋"/>
          <w:sz w:val="24"/>
        </w:rPr>
        <w:t xml:space="preserve"> = </w:t>
      </w:r>
      <w:r>
        <w:rPr>
          <w:rFonts w:hint="eastAsia" w:ascii="仿宋" w:hAnsi="仿宋" w:eastAsia="仿宋" w:cs="仿宋"/>
          <w:sz w:val="24"/>
        </w:rPr>
        <w:t>（基准价</w:t>
      </w:r>
      <w:r>
        <w:rPr>
          <w:rFonts w:ascii="仿宋" w:hAnsi="仿宋" w:eastAsia="仿宋" w:cs="仿宋"/>
          <w:sz w:val="24"/>
        </w:rPr>
        <w:t>/</w:t>
      </w:r>
      <w:r>
        <w:rPr>
          <w:rFonts w:hint="eastAsia" w:ascii="仿宋" w:hAnsi="仿宋" w:eastAsia="仿宋" w:cs="仿宋"/>
          <w:sz w:val="24"/>
        </w:rPr>
        <w:t>报价）×价格权值×</w:t>
      </w:r>
      <w:r>
        <w:rPr>
          <w:rFonts w:ascii="仿宋" w:hAnsi="仿宋" w:eastAsia="仿宋" w:cs="仿宋"/>
          <w:sz w:val="24"/>
        </w:rPr>
        <w:t xml:space="preserve"> 100(</w:t>
      </w:r>
      <w:r>
        <w:rPr>
          <w:rFonts w:hint="eastAsia" w:ascii="仿宋" w:hAnsi="仿宋" w:eastAsia="仿宋" w:cs="仿宋"/>
          <w:sz w:val="24"/>
        </w:rPr>
        <w:t>精确到小数点后二位，由采购机构当场统一计算</w:t>
      </w:r>
      <w:r>
        <w:rPr>
          <w:rFonts w:ascii="仿宋" w:hAnsi="仿宋" w:eastAsia="仿宋" w:cs="仿宋"/>
          <w:sz w:val="24"/>
        </w:rPr>
        <w:t>)</w:t>
      </w:r>
    </w:p>
    <w:p>
      <w:pPr>
        <w:autoSpaceDE w:val="0"/>
        <w:spacing w:line="360" w:lineRule="auto"/>
        <w:ind w:firstLine="480"/>
      </w:pPr>
      <w:r>
        <w:rPr>
          <w:rFonts w:hint="eastAsia" w:ascii="仿宋" w:hAnsi="仿宋" w:eastAsia="仿宋" w:cs="仿宋"/>
          <w:sz w:val="24"/>
        </w:rPr>
        <w:t>技术、资信、商务及其他分按照评审小组成员的独立评分结果汇总后的算术平均分计算，计算公式为：技术、资信商务及其他分</w:t>
      </w:r>
      <w:r>
        <w:rPr>
          <w:rFonts w:ascii="仿宋" w:hAnsi="仿宋" w:eastAsia="仿宋" w:cs="仿宋"/>
          <w:sz w:val="24"/>
        </w:rPr>
        <w:t xml:space="preserve"> = </w:t>
      </w:r>
      <w:r>
        <w:rPr>
          <w:rFonts w:hint="eastAsia" w:ascii="仿宋" w:hAnsi="仿宋" w:eastAsia="仿宋" w:cs="仿宋"/>
          <w:sz w:val="24"/>
        </w:rPr>
        <w:t>评审小组所有成员评分合计数</w:t>
      </w:r>
      <w:r>
        <w:rPr>
          <w:rFonts w:ascii="仿宋" w:hAnsi="仿宋" w:eastAsia="仿宋" w:cs="仿宋"/>
          <w:sz w:val="24"/>
        </w:rPr>
        <w:t>/</w:t>
      </w:r>
      <w:r>
        <w:rPr>
          <w:rFonts w:hint="eastAsia" w:ascii="仿宋" w:hAnsi="仿宋" w:eastAsia="仿宋" w:cs="仿宋"/>
          <w:sz w:val="24"/>
        </w:rPr>
        <w:t>评审小组成员组成人数</w:t>
      </w:r>
    </w:p>
    <w:p>
      <w:pPr>
        <w:autoSpaceDE w:val="0"/>
        <w:spacing w:line="360" w:lineRule="auto"/>
        <w:ind w:firstLine="482"/>
        <w:rPr>
          <w:rFonts w:ascii="仿宋" w:hAnsi="仿宋" w:eastAsia="仿宋" w:cs="仿宋"/>
          <w:b/>
          <w:sz w:val="24"/>
        </w:rPr>
      </w:pPr>
      <w:r>
        <w:rPr>
          <w:rFonts w:hint="eastAsia" w:ascii="仿宋" w:hAnsi="仿宋" w:eastAsia="仿宋" w:cs="仿宋"/>
          <w:b/>
          <w:sz w:val="24"/>
        </w:rPr>
        <w:t>各投标人综合得分</w:t>
      </w:r>
      <w:r>
        <w:rPr>
          <w:rFonts w:ascii="仿宋" w:hAnsi="仿宋" w:eastAsia="仿宋" w:cs="仿宋"/>
          <w:b/>
          <w:sz w:val="24"/>
        </w:rPr>
        <w:t xml:space="preserve"> = </w:t>
      </w:r>
      <w:r>
        <w:rPr>
          <w:rFonts w:hint="eastAsia" w:ascii="仿宋" w:hAnsi="仿宋" w:eastAsia="仿宋" w:cs="仿宋"/>
          <w:b/>
          <w:sz w:val="24"/>
        </w:rPr>
        <w:t>投标价格分</w:t>
      </w:r>
      <w:r>
        <w:rPr>
          <w:rFonts w:ascii="仿宋" w:hAnsi="仿宋" w:eastAsia="仿宋" w:cs="仿宋"/>
          <w:b/>
          <w:sz w:val="24"/>
        </w:rPr>
        <w:t xml:space="preserve"> + (</w:t>
      </w:r>
      <w:r>
        <w:rPr>
          <w:rFonts w:hint="eastAsia" w:ascii="仿宋" w:hAnsi="仿宋" w:eastAsia="仿宋" w:cs="仿宋"/>
          <w:b/>
          <w:sz w:val="24"/>
        </w:rPr>
        <w:t>技术</w:t>
      </w:r>
      <w:r>
        <w:rPr>
          <w:rFonts w:ascii="仿宋" w:hAnsi="仿宋" w:eastAsia="仿宋" w:cs="仿宋"/>
          <w:b/>
          <w:sz w:val="24"/>
        </w:rPr>
        <w:t xml:space="preserve"> + </w:t>
      </w:r>
      <w:r>
        <w:rPr>
          <w:rFonts w:hint="eastAsia" w:ascii="仿宋" w:hAnsi="仿宋" w:eastAsia="仿宋" w:cs="仿宋"/>
          <w:b/>
          <w:sz w:val="24"/>
        </w:rPr>
        <w:t>资信商务及其他分</w:t>
      </w:r>
      <w:r>
        <w:rPr>
          <w:rFonts w:ascii="仿宋" w:hAnsi="仿宋" w:eastAsia="仿宋" w:cs="仿宋"/>
          <w:b/>
          <w:sz w:val="24"/>
        </w:rPr>
        <w:t>)</w:t>
      </w:r>
    </w:p>
    <w:p>
      <w:pPr>
        <w:snapToGrid w:val="0"/>
        <w:spacing w:before="312" w:beforeLines="100" w:line="360" w:lineRule="auto"/>
      </w:pPr>
      <w:r>
        <w:rPr>
          <w:rFonts w:ascii="仿宋" w:hAnsi="仿宋" w:eastAsia="仿宋" w:cs="仿宋"/>
          <w:b/>
          <w:sz w:val="24"/>
        </w:rPr>
        <w:t>23</w:t>
      </w:r>
      <w:r>
        <w:rPr>
          <w:rFonts w:hint="eastAsia" w:ascii="仿宋" w:hAnsi="仿宋" w:eastAsia="仿宋" w:cs="仿宋"/>
          <w:b/>
          <w:sz w:val="24"/>
        </w:rPr>
        <w:t>、评审内容及标准</w:t>
      </w:r>
    </w:p>
    <w:p>
      <w:pPr>
        <w:autoSpaceDE w:val="0"/>
        <w:spacing w:line="360" w:lineRule="auto"/>
        <w:ind w:firstLine="482"/>
      </w:pPr>
      <w:r>
        <w:rPr>
          <w:rFonts w:ascii="仿宋" w:hAnsi="仿宋" w:eastAsia="仿宋" w:cs="仿宋"/>
          <w:b/>
          <w:sz w:val="24"/>
        </w:rPr>
        <w:t xml:space="preserve">23.1 </w:t>
      </w:r>
      <w:r>
        <w:rPr>
          <w:rFonts w:hint="eastAsia" w:ascii="仿宋" w:hAnsi="仿宋" w:eastAsia="仿宋" w:cs="仿宋"/>
          <w:b/>
          <w:sz w:val="24"/>
        </w:rPr>
        <w:t>价格部分（</w:t>
      </w:r>
      <w:r>
        <w:rPr>
          <w:rFonts w:ascii="仿宋" w:hAnsi="仿宋" w:eastAsia="仿宋" w:cs="仿宋"/>
          <w:b/>
          <w:sz w:val="24"/>
        </w:rPr>
        <w:t xml:space="preserve"> </w:t>
      </w:r>
      <w:r>
        <w:rPr>
          <w:rFonts w:hint="eastAsia" w:ascii="仿宋" w:hAnsi="仿宋" w:eastAsia="仿宋" w:cs="仿宋"/>
          <w:b/>
          <w:sz w:val="24"/>
        </w:rPr>
        <w:t>15</w:t>
      </w:r>
      <w:r>
        <w:rPr>
          <w:rFonts w:ascii="仿宋" w:hAnsi="仿宋" w:eastAsia="仿宋" w:cs="仿宋"/>
          <w:b/>
          <w:sz w:val="24"/>
        </w:rPr>
        <w:t xml:space="preserve"> </w:t>
      </w:r>
      <w:r>
        <w:rPr>
          <w:rFonts w:hint="eastAsia" w:ascii="仿宋" w:hAnsi="仿宋" w:eastAsia="仿宋" w:cs="仿宋"/>
          <w:b/>
          <w:sz w:val="24"/>
        </w:rPr>
        <w:t>分）</w:t>
      </w:r>
    </w:p>
    <w:p>
      <w:pPr>
        <w:autoSpaceDE w:val="0"/>
        <w:spacing w:line="360" w:lineRule="auto"/>
        <w:ind w:firstLine="480"/>
        <w:rPr>
          <w:rFonts w:ascii="仿宋" w:hAnsi="仿宋" w:eastAsia="仿宋" w:cs="仿宋"/>
          <w:sz w:val="24"/>
        </w:rPr>
      </w:pPr>
      <w:r>
        <w:rPr>
          <w:rFonts w:hint="eastAsia" w:ascii="仿宋" w:hAnsi="仿宋" w:eastAsia="仿宋" w:cs="仿宋"/>
          <w:sz w:val="24"/>
        </w:rPr>
        <w:t>价格分采用低价优先法计算，即满足招标文件要求且投标价格最低的投标报价为评标基准价，其价格分为满分。其他投标人的价格分按照下列公式计算：</w:t>
      </w:r>
    </w:p>
    <w:p>
      <w:pPr>
        <w:autoSpaceDE w:val="0"/>
        <w:spacing w:line="360" w:lineRule="auto"/>
        <w:ind w:firstLine="480"/>
      </w:pPr>
      <w:r>
        <w:rPr>
          <w:rFonts w:hint="eastAsia" w:ascii="仿宋" w:hAnsi="仿宋" w:eastAsia="仿宋" w:cs="仿宋"/>
          <w:sz w:val="24"/>
        </w:rPr>
        <w:t>价格分</w:t>
      </w:r>
      <w:r>
        <w:rPr>
          <w:rFonts w:ascii="仿宋" w:hAnsi="仿宋" w:eastAsia="仿宋" w:cs="仿宋"/>
          <w:sz w:val="24"/>
        </w:rPr>
        <w:t>=</w:t>
      </w:r>
      <w:r>
        <w:rPr>
          <w:rFonts w:hint="eastAsia" w:ascii="仿宋" w:hAnsi="仿宋" w:eastAsia="仿宋" w:cs="仿宋"/>
          <w:sz w:val="24"/>
        </w:rPr>
        <w:t>（评标基准价</w:t>
      </w:r>
      <w:r>
        <w:rPr>
          <w:rFonts w:ascii="仿宋" w:hAnsi="仿宋" w:eastAsia="仿宋" w:cs="仿宋"/>
          <w:sz w:val="24"/>
        </w:rPr>
        <w:t>/</w:t>
      </w:r>
      <w:r>
        <w:rPr>
          <w:rFonts w:hint="eastAsia" w:ascii="仿宋" w:hAnsi="仿宋" w:eastAsia="仿宋" w:cs="仿宋"/>
          <w:sz w:val="24"/>
        </w:rPr>
        <w:t>投标报价）×</w:t>
      </w:r>
      <w:r>
        <w:rPr>
          <w:rFonts w:ascii="仿宋" w:hAnsi="仿宋" w:eastAsia="仿宋" w:cs="仿宋"/>
          <w:sz w:val="24"/>
          <w:u w:val="single"/>
        </w:rPr>
        <w:t xml:space="preserve"> </w:t>
      </w:r>
      <w:r>
        <w:rPr>
          <w:rFonts w:hint="eastAsia" w:ascii="仿宋" w:hAnsi="仿宋" w:eastAsia="仿宋" w:cs="仿宋"/>
          <w:sz w:val="24"/>
          <w:u w:val="single"/>
        </w:rPr>
        <w:t>15</w:t>
      </w:r>
      <w:r>
        <w:rPr>
          <w:rFonts w:ascii="仿宋" w:hAnsi="仿宋" w:eastAsia="仿宋" w:cs="仿宋"/>
          <w:sz w:val="24"/>
          <w:u w:val="single"/>
        </w:rPr>
        <w:t>%</w:t>
      </w:r>
      <w:r>
        <w:rPr>
          <w:rFonts w:hint="eastAsia" w:ascii="仿宋" w:hAnsi="仿宋" w:eastAsia="仿宋" w:cs="仿宋"/>
          <w:sz w:val="24"/>
        </w:rPr>
        <w:t>×</w:t>
      </w:r>
      <w:r>
        <w:rPr>
          <w:rFonts w:ascii="仿宋" w:hAnsi="仿宋" w:eastAsia="仿宋" w:cs="仿宋"/>
          <w:sz w:val="24"/>
        </w:rPr>
        <w:t>100</w:t>
      </w:r>
    </w:p>
    <w:p>
      <w:pPr>
        <w:spacing w:line="360" w:lineRule="auto"/>
        <w:ind w:firstLine="472" w:firstLineChars="196"/>
        <w:rPr>
          <w:rFonts w:ascii="仿宋_GB2312" w:hAnsi="仿宋" w:eastAsia="仿宋_GB2312" w:cs="仿宋"/>
          <w:b/>
          <w:kern w:val="0"/>
          <w:sz w:val="24"/>
        </w:rPr>
      </w:pPr>
      <w:r>
        <w:rPr>
          <w:rFonts w:ascii="仿宋" w:hAnsi="仿宋" w:eastAsia="仿宋" w:cs="仿宋"/>
          <w:b/>
          <w:sz w:val="24"/>
        </w:rPr>
        <w:t xml:space="preserve">23.2 </w:t>
      </w:r>
      <w:r>
        <w:rPr>
          <w:rFonts w:hint="eastAsia" w:ascii="仿宋" w:hAnsi="仿宋" w:eastAsia="仿宋" w:cs="仿宋"/>
          <w:b/>
          <w:sz w:val="24"/>
        </w:rPr>
        <w:t>技术资信商务部分（85分）</w:t>
      </w:r>
      <w:bookmarkStart w:id="200" w:name="__RefHeading___Toc20075"/>
      <w:bookmarkEnd w:id="200"/>
    </w:p>
    <w:tbl>
      <w:tblPr>
        <w:tblStyle w:val="34"/>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93"/>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评审因素</w:t>
            </w:r>
          </w:p>
        </w:tc>
        <w:tc>
          <w:tcPr>
            <w:tcW w:w="893"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分值</w:t>
            </w:r>
          </w:p>
        </w:tc>
        <w:tc>
          <w:tcPr>
            <w:tcW w:w="7201"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9682" w:type="dxa"/>
            <w:gridSpan w:val="3"/>
            <w:noWrap w:val="0"/>
            <w:vAlign w:val="center"/>
          </w:tcPr>
          <w:p>
            <w:pPr>
              <w:spacing w:line="360" w:lineRule="auto"/>
              <w:rPr>
                <w:rFonts w:ascii="仿宋" w:hAnsi="仿宋" w:eastAsia="仿宋" w:cs="仿宋"/>
                <w:b/>
                <w:bCs/>
                <w:sz w:val="24"/>
              </w:rPr>
            </w:pPr>
            <w:r>
              <w:rPr>
                <w:rFonts w:hint="eastAsia" w:ascii="仿宋" w:hAnsi="仿宋" w:eastAsia="仿宋" w:cs="仿宋"/>
                <w:b/>
                <w:bCs/>
                <w:sz w:val="24"/>
              </w:rPr>
              <w:t>商务分（</w:t>
            </w:r>
            <w:r>
              <w:rPr>
                <w:rFonts w:ascii="仿宋" w:hAnsi="仿宋" w:eastAsia="仿宋" w:cs="仿宋"/>
                <w:b/>
                <w:bCs/>
                <w:sz w:val="24"/>
              </w:rPr>
              <w:t>25</w:t>
            </w:r>
            <w:r>
              <w:rPr>
                <w:rFonts w:hint="eastAsia" w:ascii="仿宋" w:hAnsi="仿宋" w:eastAsia="仿宋" w:cs="仿宋"/>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pStyle w:val="18"/>
              <w:spacing w:line="360" w:lineRule="auto"/>
              <w:ind w:firstLine="0"/>
              <w:jc w:val="center"/>
              <w:rPr>
                <w:rFonts w:ascii="仿宋" w:hAnsi="仿宋" w:eastAsia="仿宋" w:cs="仿宋"/>
                <w:b/>
                <w:bCs/>
                <w:lang w:val="en-US"/>
              </w:rPr>
            </w:pPr>
            <w:r>
              <w:rPr>
                <w:rFonts w:hint="eastAsia" w:ascii="仿宋" w:hAnsi="仿宋" w:eastAsia="仿宋" w:cs="仿宋"/>
                <w:b/>
                <w:bCs/>
                <w:lang w:val="en-US"/>
              </w:rPr>
              <w:t>投标人实力要求</w:t>
            </w:r>
          </w:p>
        </w:tc>
        <w:tc>
          <w:tcPr>
            <w:tcW w:w="893" w:type="dxa"/>
            <w:noWrap w:val="0"/>
            <w:vAlign w:val="center"/>
          </w:tcPr>
          <w:p>
            <w:pPr>
              <w:pStyle w:val="18"/>
              <w:spacing w:line="360" w:lineRule="auto"/>
              <w:ind w:firstLine="0"/>
              <w:jc w:val="center"/>
              <w:rPr>
                <w:rFonts w:hint="eastAsia" w:ascii="仿宋" w:hAnsi="仿宋" w:eastAsia="仿宋" w:cs="仿宋"/>
                <w:b/>
                <w:bCs/>
                <w:lang w:val="en-US"/>
              </w:rPr>
            </w:pPr>
            <w:r>
              <w:rPr>
                <w:rFonts w:hint="eastAsia" w:ascii="仿宋" w:hAnsi="仿宋" w:eastAsia="仿宋" w:cs="仿宋"/>
                <w:b/>
                <w:bCs/>
                <w:lang w:val="en-US"/>
              </w:rPr>
              <w:t>5</w:t>
            </w:r>
          </w:p>
        </w:tc>
        <w:tc>
          <w:tcPr>
            <w:tcW w:w="7201" w:type="dxa"/>
            <w:noWrap w:val="0"/>
            <w:vAlign w:val="center"/>
          </w:tcPr>
          <w:p>
            <w:pPr>
              <w:pStyle w:val="18"/>
              <w:spacing w:line="360" w:lineRule="auto"/>
              <w:ind w:firstLine="0"/>
              <w:jc w:val="left"/>
              <w:rPr>
                <w:rFonts w:hint="eastAsia" w:ascii="仿宋" w:hAnsi="仿宋" w:eastAsia="仿宋" w:cs="仿宋"/>
              </w:rPr>
            </w:pPr>
            <w:r>
              <w:rPr>
                <w:rFonts w:hint="eastAsia" w:ascii="仿宋" w:hAnsi="仿宋" w:eastAsia="仿宋" w:cs="仿宋"/>
              </w:rPr>
              <w:t>1.为保障项目质量，在本项目售后服务与维护期间，针对于本项目所产生的数据、模型以及各项成果，投标人具有CMMI 5证书，具备得1分；具有CMMI 4证书，具备得0.5分; 具有CMMI 3证书，具备得0.2分。（1分）</w:t>
            </w:r>
          </w:p>
          <w:p>
            <w:pPr>
              <w:pStyle w:val="18"/>
              <w:spacing w:line="360" w:lineRule="auto"/>
              <w:ind w:firstLine="0"/>
              <w:jc w:val="left"/>
            </w:pPr>
            <w:r>
              <w:rPr>
                <w:rFonts w:hint="eastAsia" w:ascii="仿宋" w:hAnsi="仿宋" w:eastAsia="仿宋" w:cs="仿宋"/>
              </w:rPr>
              <w:t>2.投入本项目的项目团</w:t>
            </w:r>
            <w:r>
              <w:rPr>
                <w:rFonts w:ascii="仿宋" w:hAnsi="仿宋" w:eastAsia="仿宋" w:cs="仿宋"/>
              </w:rPr>
              <w:t>队</w:t>
            </w:r>
            <w:r>
              <w:rPr>
                <w:rFonts w:hint="eastAsia" w:ascii="仿宋" w:hAnsi="仿宋" w:eastAsia="仿宋" w:cs="仿宋"/>
              </w:rPr>
              <w:t>需要具有ISO 27001 主任审核员认证证书、CI</w:t>
            </w:r>
            <w:r>
              <w:rPr>
                <w:rFonts w:ascii="仿宋" w:hAnsi="仿宋" w:eastAsia="仿宋" w:cs="仿宋"/>
              </w:rPr>
              <w:t>S</w:t>
            </w:r>
            <w:r>
              <w:rPr>
                <w:rFonts w:hint="eastAsia" w:ascii="仿宋" w:hAnsi="仿宋" w:eastAsia="仿宋" w:cs="仿宋"/>
              </w:rPr>
              <w:t>SP</w:t>
            </w:r>
            <w:r>
              <w:rPr>
                <w:rFonts w:ascii="仿宋" w:hAnsi="仿宋" w:eastAsia="仿宋" w:cs="仿宋"/>
              </w:rPr>
              <w:t>信息系统安全专业认证</w:t>
            </w:r>
            <w:r>
              <w:rPr>
                <w:rFonts w:hint="eastAsia" w:ascii="仿宋" w:hAnsi="仿宋" w:eastAsia="仿宋" w:cs="仿宋"/>
              </w:rPr>
              <w:t>证书、CCSK</w:t>
            </w:r>
            <w:r>
              <w:rPr>
                <w:rFonts w:ascii="仿宋" w:hAnsi="仿宋" w:eastAsia="仿宋" w:cs="仿宋"/>
              </w:rPr>
              <w:t>云安全人才认证</w:t>
            </w:r>
            <w:r>
              <w:rPr>
                <w:rFonts w:hint="eastAsia" w:ascii="仿宋" w:hAnsi="仿宋" w:eastAsia="仿宋" w:cs="仿宋"/>
              </w:rPr>
              <w:t>证书、CISP-BDSA</w:t>
            </w:r>
            <w:bookmarkStart w:id="201" w:name="_Toc12519913"/>
            <w:r>
              <w:rPr>
                <w:rFonts w:hint="eastAsia" w:ascii="仿宋" w:hAnsi="仿宋" w:eastAsia="仿宋" w:cs="仿宋"/>
              </w:rPr>
              <w:t>大数据安全分析师</w:t>
            </w:r>
            <w:bookmarkEnd w:id="201"/>
            <w:r>
              <w:rPr>
                <w:rFonts w:hint="eastAsia" w:ascii="仿宋" w:hAnsi="仿宋" w:eastAsia="仿宋" w:cs="仿宋"/>
              </w:rPr>
              <w:t>认证证书，每提供1项</w:t>
            </w:r>
            <w:r>
              <w:rPr>
                <w:rFonts w:ascii="仿宋" w:hAnsi="仿宋" w:eastAsia="仿宋" w:cs="仿宋"/>
              </w:rPr>
              <w:t>得</w:t>
            </w:r>
            <w:r>
              <w:rPr>
                <w:rFonts w:hint="eastAsia" w:ascii="仿宋" w:hAnsi="仿宋" w:eastAsia="仿宋" w:cs="仿宋"/>
              </w:rPr>
              <w:t>1分，本项最高得</w:t>
            </w:r>
            <w:r>
              <w:rPr>
                <w:rFonts w:ascii="仿宋" w:hAnsi="仿宋" w:eastAsia="仿宋" w:cs="仿宋"/>
              </w:rPr>
              <w:t>4</w:t>
            </w:r>
            <w:r>
              <w:rPr>
                <w:rFonts w:hint="eastAsia" w:ascii="仿宋" w:hAnsi="仿宋" w:eastAsia="仿宋" w:cs="仿宋"/>
              </w:rPr>
              <w:t>分。</w:t>
            </w:r>
          </w:p>
          <w:p>
            <w:pPr>
              <w:pStyle w:val="18"/>
              <w:spacing w:line="360" w:lineRule="auto"/>
              <w:ind w:firstLine="0"/>
              <w:jc w:val="left"/>
              <w:rPr>
                <w:rFonts w:ascii="仿宋" w:hAnsi="仿宋" w:eastAsia="仿宋" w:cs="仿宋"/>
              </w:rPr>
            </w:pPr>
            <w:r>
              <w:rPr>
                <w:rFonts w:hint="eastAsia" w:ascii="仿宋" w:hAnsi="仿宋" w:eastAsia="仿宋" w:cs="仿宋"/>
              </w:rPr>
              <w:t>（提供以上证书原件扫描件加盖投标单位公章，相关人员提供近6个月公司缴纳的社保证明加盖投标单位公章，不加盖公章不得分）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pStyle w:val="18"/>
              <w:spacing w:line="360" w:lineRule="auto"/>
              <w:ind w:firstLine="0"/>
              <w:jc w:val="center"/>
              <w:rPr>
                <w:rFonts w:ascii="仿宋" w:hAnsi="仿宋" w:eastAsia="仿宋" w:cs="仿宋"/>
                <w:b/>
                <w:bCs/>
                <w:lang w:val="en-US"/>
              </w:rPr>
            </w:pPr>
            <w:r>
              <w:rPr>
                <w:rFonts w:hint="eastAsia" w:ascii="仿宋" w:hAnsi="仿宋" w:eastAsia="仿宋" w:cs="仿宋"/>
                <w:b/>
                <w:bCs/>
              </w:rPr>
              <w:t>创新研究能力要求</w:t>
            </w:r>
          </w:p>
        </w:tc>
        <w:tc>
          <w:tcPr>
            <w:tcW w:w="893" w:type="dxa"/>
            <w:noWrap w:val="0"/>
            <w:vAlign w:val="center"/>
          </w:tcPr>
          <w:p>
            <w:pPr>
              <w:pStyle w:val="18"/>
              <w:spacing w:line="360" w:lineRule="auto"/>
              <w:ind w:firstLine="0"/>
              <w:jc w:val="center"/>
              <w:rPr>
                <w:rFonts w:hint="eastAsia"/>
              </w:rPr>
            </w:pPr>
            <w:r>
              <w:rPr>
                <w:rFonts w:hint="eastAsia" w:ascii="仿宋" w:hAnsi="仿宋" w:eastAsia="仿宋" w:cs="仿宋"/>
                <w:b/>
                <w:bCs/>
                <w:lang w:val="en-US"/>
              </w:rPr>
              <w:t>3</w:t>
            </w:r>
          </w:p>
        </w:tc>
        <w:tc>
          <w:tcPr>
            <w:tcW w:w="7201" w:type="dxa"/>
            <w:noWrap w:val="0"/>
            <w:vAlign w:val="center"/>
          </w:tcPr>
          <w:p>
            <w:pPr>
              <w:pStyle w:val="18"/>
              <w:spacing w:line="360" w:lineRule="auto"/>
              <w:ind w:firstLine="0"/>
              <w:jc w:val="left"/>
              <w:rPr>
                <w:rFonts w:hint="eastAsia" w:ascii="仿宋" w:hAnsi="仿宋" w:eastAsia="仿宋" w:cs="仿宋"/>
              </w:rPr>
            </w:pPr>
            <w:r>
              <w:rPr>
                <w:rFonts w:hint="eastAsia" w:ascii="仿宋" w:hAnsi="仿宋" w:eastAsia="仿宋" w:cs="仿宋"/>
              </w:rPr>
              <w:t>1.因本项目需要和淳安县数据资源中心及第三方共建网络安全创新实验室，投标人需具备一定的创新研究能力，对投标人实验室核心成员参与过市级</w:t>
            </w:r>
            <w:r>
              <w:rPr>
                <w:rFonts w:ascii="仿宋" w:hAnsi="仿宋" w:eastAsia="仿宋" w:cs="仿宋"/>
              </w:rPr>
              <w:t>以上</w:t>
            </w:r>
            <w:r>
              <w:rPr>
                <w:rFonts w:hint="eastAsia" w:ascii="仿宋" w:hAnsi="仿宋" w:eastAsia="仿宋" w:cs="仿宋"/>
              </w:rPr>
              <w:t>地方标准建设的进行评分，参与过省级及</w:t>
            </w:r>
            <w:r>
              <w:rPr>
                <w:rFonts w:ascii="仿宋" w:hAnsi="仿宋" w:eastAsia="仿宋" w:cs="仿宋"/>
              </w:rPr>
              <w:t>以上</w:t>
            </w:r>
            <w:r>
              <w:rPr>
                <w:rFonts w:hint="eastAsia" w:ascii="仿宋" w:hAnsi="仿宋" w:eastAsia="仿宋" w:cs="仿宋"/>
              </w:rPr>
              <w:t>标准的，每个得1分；参与过市级地方标准的，每个得0.5分；（1分）</w:t>
            </w:r>
          </w:p>
          <w:p>
            <w:pPr>
              <w:pStyle w:val="18"/>
              <w:spacing w:line="360" w:lineRule="auto"/>
              <w:ind w:firstLine="0"/>
              <w:jc w:val="left"/>
              <w:rPr>
                <w:rFonts w:hint="eastAsia" w:ascii="仿宋" w:hAnsi="仿宋" w:eastAsia="仿宋" w:cs="仿宋"/>
              </w:rPr>
            </w:pPr>
            <w:r>
              <w:rPr>
                <w:rFonts w:hint="eastAsia" w:ascii="仿宋" w:hAnsi="仿宋" w:eastAsia="仿宋" w:cs="仿宋"/>
              </w:rPr>
              <w:t>2.对投标人承担过市级及以上科研项目进行评分，参与过省级及</w:t>
            </w:r>
            <w:r>
              <w:rPr>
                <w:rFonts w:ascii="仿宋" w:hAnsi="仿宋" w:eastAsia="仿宋" w:cs="仿宋"/>
              </w:rPr>
              <w:t>以上</w:t>
            </w:r>
            <w:r>
              <w:rPr>
                <w:rFonts w:hint="eastAsia" w:ascii="仿宋" w:hAnsi="仿宋" w:eastAsia="仿宋" w:cs="仿宋"/>
              </w:rPr>
              <w:t>重大科研项目的，每个得</w:t>
            </w:r>
            <w:r>
              <w:rPr>
                <w:rFonts w:ascii="仿宋" w:hAnsi="仿宋" w:eastAsia="仿宋" w:cs="仿宋"/>
              </w:rPr>
              <w:t>1</w:t>
            </w:r>
            <w:r>
              <w:rPr>
                <w:rFonts w:hint="eastAsia" w:ascii="仿宋" w:hAnsi="仿宋" w:eastAsia="仿宋" w:cs="仿宋"/>
              </w:rPr>
              <w:t>分；参与过市级重大科研项目的，每个得0.</w:t>
            </w:r>
            <w:r>
              <w:rPr>
                <w:rFonts w:ascii="仿宋" w:hAnsi="仿宋" w:eastAsia="仿宋" w:cs="仿宋"/>
              </w:rPr>
              <w:t>5</w:t>
            </w:r>
            <w:r>
              <w:rPr>
                <w:rFonts w:hint="eastAsia" w:ascii="仿宋" w:hAnsi="仿宋" w:eastAsia="仿宋" w:cs="仿宋"/>
              </w:rPr>
              <w:t>分。（1分）</w:t>
            </w:r>
          </w:p>
          <w:p>
            <w:pPr>
              <w:pStyle w:val="18"/>
              <w:spacing w:line="360" w:lineRule="auto"/>
              <w:ind w:firstLine="0"/>
              <w:jc w:val="left"/>
              <w:rPr>
                <w:rFonts w:hint="eastAsia" w:ascii="仿宋" w:hAnsi="仿宋" w:eastAsia="仿宋" w:cs="仿宋"/>
              </w:rPr>
            </w:pPr>
            <w:r>
              <w:rPr>
                <w:rFonts w:hint="eastAsia" w:ascii="仿宋" w:hAnsi="仿宋" w:eastAsia="仿宋" w:cs="仿宋"/>
              </w:rPr>
              <w:t>3.对投标人建有市级及以上科研载体进行评分，市级及</w:t>
            </w:r>
            <w:r>
              <w:rPr>
                <w:rFonts w:ascii="仿宋" w:hAnsi="仿宋" w:eastAsia="仿宋" w:cs="仿宋"/>
              </w:rPr>
              <w:t>以上</w:t>
            </w:r>
            <w:r>
              <w:rPr>
                <w:rFonts w:hint="eastAsia" w:ascii="仿宋" w:hAnsi="仿宋" w:eastAsia="仿宋" w:cs="仿宋"/>
              </w:rPr>
              <w:t>重点企业研究院、市级技术研究中心，每个得0.5分。（</w:t>
            </w:r>
            <w:r>
              <w:rPr>
                <w:rFonts w:ascii="仿宋" w:hAnsi="仿宋" w:eastAsia="仿宋" w:cs="仿宋"/>
              </w:rPr>
              <w:t>1</w:t>
            </w:r>
            <w:r>
              <w:rPr>
                <w:rFonts w:hint="eastAsia" w:ascii="仿宋" w:hAnsi="仿宋" w:eastAsia="仿宋" w:cs="仿宋"/>
              </w:rPr>
              <w:t>分）</w:t>
            </w:r>
          </w:p>
          <w:p>
            <w:pPr>
              <w:rPr>
                <w:lang w:val="zh-CN"/>
              </w:rPr>
            </w:pPr>
            <w:r>
              <w:rPr>
                <w:rFonts w:hint="eastAsia" w:ascii="仿宋" w:hAnsi="仿宋" w:eastAsia="仿宋" w:cs="仿宋"/>
              </w:rPr>
              <w:t>（提供以上相关证明材料原件扫描件加盖投标单位公章，不盖公章不得分）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jc w:val="center"/>
        </w:trPr>
        <w:tc>
          <w:tcPr>
            <w:tcW w:w="1588" w:type="dxa"/>
            <w:noWrap w:val="0"/>
            <w:vAlign w:val="center"/>
          </w:tcPr>
          <w:p>
            <w:pPr>
              <w:pStyle w:val="18"/>
              <w:spacing w:line="360" w:lineRule="auto"/>
              <w:ind w:firstLine="0"/>
              <w:jc w:val="center"/>
              <w:rPr>
                <w:rFonts w:ascii="仿宋" w:hAnsi="仿宋" w:eastAsia="仿宋" w:cs="仿宋"/>
                <w:b/>
                <w:bCs/>
              </w:rPr>
            </w:pPr>
            <w:r>
              <w:rPr>
                <w:rFonts w:hint="eastAsia" w:ascii="仿宋" w:hAnsi="仿宋" w:eastAsia="仿宋" w:cs="仿宋"/>
                <w:b/>
                <w:bCs/>
              </w:rPr>
              <w:t>项目建设能力成熟度要求</w:t>
            </w:r>
          </w:p>
        </w:tc>
        <w:tc>
          <w:tcPr>
            <w:tcW w:w="893" w:type="dxa"/>
            <w:noWrap w:val="0"/>
            <w:vAlign w:val="center"/>
          </w:tcPr>
          <w:p>
            <w:pPr>
              <w:pStyle w:val="18"/>
              <w:spacing w:line="360" w:lineRule="auto"/>
              <w:ind w:firstLine="0"/>
              <w:jc w:val="center"/>
              <w:rPr>
                <w:rFonts w:hint="eastAsia" w:ascii="仿宋" w:hAnsi="仿宋" w:eastAsia="仿宋" w:cs="仿宋"/>
                <w:b/>
                <w:bCs/>
              </w:rPr>
            </w:pPr>
            <w:r>
              <w:rPr>
                <w:rFonts w:hint="eastAsia" w:ascii="仿宋" w:hAnsi="仿宋" w:eastAsia="仿宋" w:cs="仿宋"/>
                <w:b/>
                <w:bCs/>
              </w:rPr>
              <w:t>5</w:t>
            </w:r>
          </w:p>
        </w:tc>
        <w:tc>
          <w:tcPr>
            <w:tcW w:w="7201" w:type="dxa"/>
            <w:noWrap w:val="0"/>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为保证投标人充分理解并深度参与数据主管部门的业务体系，提供实现省市县三级贯通的同类合同的，每个得</w:t>
            </w:r>
            <w:r>
              <w:rPr>
                <w:rFonts w:ascii="仿宋" w:hAnsi="仿宋" w:eastAsia="仿宋" w:cs="仿宋"/>
                <w:sz w:val="24"/>
                <w:lang w:val="zh-CN"/>
              </w:rPr>
              <w:t>3</w:t>
            </w:r>
            <w:r>
              <w:rPr>
                <w:rFonts w:hint="eastAsia" w:ascii="仿宋" w:hAnsi="仿宋" w:eastAsia="仿宋" w:cs="仿宋"/>
                <w:sz w:val="24"/>
                <w:lang w:val="zh-CN"/>
              </w:rPr>
              <w:t>分；提供实现市县二级贯通的同类合同，每个加</w:t>
            </w:r>
            <w:r>
              <w:rPr>
                <w:rFonts w:ascii="仿宋" w:hAnsi="仿宋" w:eastAsia="仿宋" w:cs="仿宋"/>
                <w:sz w:val="24"/>
                <w:lang w:val="zh-CN"/>
              </w:rPr>
              <w:t>2</w:t>
            </w:r>
            <w:r>
              <w:rPr>
                <w:rFonts w:hint="eastAsia" w:ascii="仿宋" w:hAnsi="仿宋" w:eastAsia="仿宋" w:cs="仿宋"/>
                <w:sz w:val="24"/>
                <w:lang w:val="zh-CN"/>
              </w:rPr>
              <w:t>分，最</w:t>
            </w:r>
            <w:r>
              <w:rPr>
                <w:rFonts w:ascii="仿宋" w:hAnsi="仿宋" w:eastAsia="仿宋" w:cs="仿宋"/>
                <w:sz w:val="24"/>
                <w:lang w:val="zh-CN"/>
              </w:rPr>
              <w:t>高</w:t>
            </w:r>
            <w:r>
              <w:rPr>
                <w:rFonts w:hint="eastAsia" w:ascii="仿宋" w:hAnsi="仿宋" w:eastAsia="仿宋" w:cs="仿宋"/>
                <w:sz w:val="24"/>
                <w:lang w:val="zh-CN"/>
              </w:rPr>
              <w:t>得5分；</w:t>
            </w:r>
          </w:p>
          <w:p>
            <w:pPr>
              <w:pStyle w:val="18"/>
              <w:spacing w:line="360" w:lineRule="auto"/>
              <w:ind w:firstLine="0"/>
              <w:jc w:val="left"/>
              <w:rPr>
                <w:rFonts w:ascii="仿宋" w:hAnsi="仿宋" w:eastAsia="仿宋" w:cs="仿宋"/>
              </w:rPr>
            </w:pPr>
            <w:r>
              <w:rPr>
                <w:rFonts w:hint="eastAsia" w:ascii="仿宋" w:hAnsi="仿宋" w:eastAsia="仿宋" w:cs="仿宋"/>
              </w:rPr>
              <w:t>（证明材料：提供合同及验收证明材料复印件加盖公章，同一用户不累计得分。）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jc w:val="center"/>
        </w:trPr>
        <w:tc>
          <w:tcPr>
            <w:tcW w:w="1588" w:type="dxa"/>
            <w:noWrap w:val="0"/>
            <w:vAlign w:val="center"/>
          </w:tcPr>
          <w:p>
            <w:pPr>
              <w:pStyle w:val="18"/>
              <w:spacing w:line="360" w:lineRule="auto"/>
              <w:ind w:firstLine="0"/>
              <w:jc w:val="center"/>
              <w:rPr>
                <w:rFonts w:ascii="仿宋" w:hAnsi="仿宋" w:eastAsia="仿宋" w:cs="仿宋"/>
                <w:b/>
                <w:bCs/>
                <w:lang w:val="en-US"/>
              </w:rPr>
            </w:pPr>
            <w:r>
              <w:rPr>
                <w:rFonts w:hint="eastAsia" w:ascii="仿宋" w:hAnsi="仿宋" w:eastAsia="仿宋" w:cs="仿宋"/>
                <w:b/>
                <w:bCs/>
                <w:lang w:val="en-US"/>
              </w:rPr>
              <w:t>制度建设能力要求</w:t>
            </w:r>
          </w:p>
        </w:tc>
        <w:tc>
          <w:tcPr>
            <w:tcW w:w="893" w:type="dxa"/>
            <w:noWrap w:val="0"/>
            <w:vAlign w:val="center"/>
          </w:tcPr>
          <w:p>
            <w:pPr>
              <w:pStyle w:val="18"/>
              <w:spacing w:line="360" w:lineRule="auto"/>
              <w:ind w:firstLine="0"/>
              <w:jc w:val="center"/>
              <w:rPr>
                <w:rFonts w:ascii="仿宋" w:hAnsi="仿宋" w:eastAsia="仿宋" w:cs="仿宋"/>
                <w:b/>
                <w:bCs/>
              </w:rPr>
            </w:pPr>
            <w:r>
              <w:rPr>
                <w:rFonts w:ascii="仿宋" w:hAnsi="仿宋" w:eastAsia="仿宋" w:cs="仿宋"/>
                <w:b/>
                <w:bCs/>
              </w:rPr>
              <w:t>4</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结合本项目制度建设要求，投标人需提供对应的制度建设经验证明，包括但不限于数据安全制度验收清单，数据安全类合同（涵盖数据安全制度建设）等，每提供一项得</w:t>
            </w:r>
            <w:r>
              <w:rPr>
                <w:rFonts w:ascii="仿宋" w:hAnsi="仿宋" w:eastAsia="仿宋" w:cs="仿宋"/>
              </w:rPr>
              <w:t>2</w:t>
            </w:r>
            <w:r>
              <w:rPr>
                <w:rFonts w:hint="eastAsia" w:ascii="仿宋" w:hAnsi="仿宋" w:eastAsia="仿宋" w:cs="仿宋"/>
              </w:rPr>
              <w:t>分，不提供不得分，本项最高得</w:t>
            </w:r>
            <w:r>
              <w:rPr>
                <w:rFonts w:ascii="仿宋" w:hAnsi="仿宋" w:eastAsia="仿宋" w:cs="仿宋"/>
              </w:rPr>
              <w:t>4</w:t>
            </w:r>
            <w:r>
              <w:rPr>
                <w:rFonts w:hint="eastAsia" w:ascii="仿宋" w:hAnsi="仿宋" w:eastAsia="仿宋" w:cs="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9" w:hRule="atLeast"/>
          <w:jc w:val="center"/>
        </w:trPr>
        <w:tc>
          <w:tcPr>
            <w:tcW w:w="1588" w:type="dxa"/>
            <w:vMerge w:val="restart"/>
            <w:noWrap w:val="0"/>
            <w:vAlign w:val="center"/>
          </w:tcPr>
          <w:p>
            <w:pPr>
              <w:pStyle w:val="18"/>
              <w:spacing w:line="360" w:lineRule="auto"/>
              <w:ind w:firstLine="0"/>
              <w:jc w:val="center"/>
              <w:rPr>
                <w:rFonts w:hint="eastAsia" w:ascii="仿宋" w:hAnsi="仿宋" w:eastAsia="仿宋" w:cs="仿宋"/>
                <w:b/>
                <w:bCs/>
                <w:lang w:val="en-US"/>
              </w:rPr>
            </w:pPr>
            <w:r>
              <w:rPr>
                <w:rFonts w:hint="eastAsia" w:ascii="仿宋" w:hAnsi="仿宋" w:eastAsia="仿宋" w:cs="宋体"/>
                <w:b/>
                <w:kern w:val="0"/>
              </w:rPr>
              <w:t>售后服务</w:t>
            </w:r>
          </w:p>
        </w:tc>
        <w:tc>
          <w:tcPr>
            <w:tcW w:w="893" w:type="dxa"/>
            <w:noWrap w:val="0"/>
            <w:vAlign w:val="center"/>
          </w:tcPr>
          <w:p>
            <w:pPr>
              <w:pStyle w:val="18"/>
              <w:spacing w:line="360" w:lineRule="auto"/>
              <w:ind w:firstLine="0"/>
              <w:jc w:val="center"/>
              <w:rPr>
                <w:rFonts w:hint="eastAsia" w:ascii="仿宋" w:hAnsi="仿宋" w:eastAsia="仿宋" w:cs="仿宋"/>
                <w:b/>
                <w:bCs/>
              </w:rPr>
            </w:pPr>
            <w:r>
              <w:rPr>
                <w:rFonts w:hint="eastAsia" w:ascii="仿宋" w:hAnsi="仿宋" w:eastAsia="仿宋" w:cs="仿宋"/>
                <w:b/>
                <w:bCs/>
              </w:rPr>
              <w:t>4</w:t>
            </w:r>
          </w:p>
        </w:tc>
        <w:tc>
          <w:tcPr>
            <w:tcW w:w="7201" w:type="dxa"/>
            <w:noWrap w:val="0"/>
            <w:vAlign w:val="center"/>
          </w:tcPr>
          <w:p>
            <w:pPr>
              <w:widowControl/>
              <w:rPr>
                <w:rFonts w:ascii="仿宋" w:hAnsi="仿宋" w:eastAsia="仿宋" w:cs="宋体"/>
                <w:kern w:val="0"/>
                <w:sz w:val="24"/>
              </w:rPr>
            </w:pPr>
            <w:r>
              <w:rPr>
                <w:rFonts w:hint="eastAsia" w:ascii="仿宋" w:hAnsi="仿宋" w:eastAsia="仿宋" w:cs="宋体"/>
                <w:kern w:val="0"/>
                <w:sz w:val="24"/>
              </w:rPr>
              <w:t>投标人提供的售后服务方案、售后服务承诺的可行性、完整性以及服务承诺落实的保障措施，维护期内外的后续技术支持和维护能力情况等；对服务承诺的保障措施，是否满足采购人的要求等。4分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1" w:hRule="atLeast"/>
          <w:jc w:val="center"/>
        </w:trPr>
        <w:tc>
          <w:tcPr>
            <w:tcW w:w="1588" w:type="dxa"/>
            <w:vMerge w:val="continue"/>
            <w:noWrap w:val="0"/>
            <w:vAlign w:val="center"/>
          </w:tcPr>
          <w:p>
            <w:pPr>
              <w:pStyle w:val="18"/>
              <w:spacing w:line="360" w:lineRule="auto"/>
              <w:ind w:firstLine="0"/>
              <w:jc w:val="center"/>
              <w:rPr>
                <w:rFonts w:hint="eastAsia" w:ascii="仿宋" w:hAnsi="仿宋" w:eastAsia="仿宋" w:cs="仿宋"/>
                <w:b/>
                <w:bCs/>
                <w:lang w:val="en-US"/>
              </w:rPr>
            </w:pPr>
          </w:p>
        </w:tc>
        <w:tc>
          <w:tcPr>
            <w:tcW w:w="893" w:type="dxa"/>
            <w:noWrap w:val="0"/>
            <w:vAlign w:val="center"/>
          </w:tcPr>
          <w:p>
            <w:pPr>
              <w:pStyle w:val="18"/>
              <w:spacing w:line="360" w:lineRule="auto"/>
              <w:ind w:firstLine="0"/>
              <w:jc w:val="center"/>
              <w:rPr>
                <w:rFonts w:hint="eastAsia" w:ascii="仿宋" w:hAnsi="仿宋" w:eastAsia="仿宋" w:cs="仿宋"/>
                <w:b/>
                <w:bCs/>
              </w:rPr>
            </w:pPr>
            <w:r>
              <w:rPr>
                <w:rFonts w:hint="eastAsia" w:ascii="仿宋" w:hAnsi="仿宋" w:eastAsia="仿宋" w:cs="仿宋"/>
                <w:b/>
                <w:bCs/>
              </w:rPr>
              <w:t>3</w:t>
            </w:r>
          </w:p>
        </w:tc>
        <w:tc>
          <w:tcPr>
            <w:tcW w:w="7201" w:type="dxa"/>
            <w:noWrap w:val="0"/>
            <w:vAlign w:val="center"/>
          </w:tcPr>
          <w:p>
            <w:pPr>
              <w:widowControl/>
              <w:rPr>
                <w:rFonts w:ascii="仿宋" w:hAnsi="仿宋" w:eastAsia="仿宋" w:cs="宋体"/>
                <w:kern w:val="0"/>
                <w:sz w:val="24"/>
              </w:rPr>
            </w:pPr>
            <w:r>
              <w:rPr>
                <w:rFonts w:hint="eastAsia" w:ascii="仿宋" w:hAnsi="仿宋" w:eastAsia="仿宋" w:cs="宋体"/>
                <w:kern w:val="0"/>
                <w:sz w:val="24"/>
              </w:rPr>
              <w:t>投标人安</w:t>
            </w:r>
            <w:r>
              <w:rPr>
                <w:rFonts w:ascii="仿宋" w:hAnsi="仿宋" w:eastAsia="仿宋" w:cs="宋体"/>
                <w:kern w:val="0"/>
                <w:sz w:val="24"/>
              </w:rPr>
              <w:t>排驻</w:t>
            </w:r>
            <w:r>
              <w:rPr>
                <w:rFonts w:hint="eastAsia" w:ascii="仿宋" w:hAnsi="仿宋" w:eastAsia="仿宋" w:cs="宋体"/>
                <w:kern w:val="0"/>
                <w:sz w:val="24"/>
              </w:rPr>
              <w:t>场</w:t>
            </w:r>
            <w:r>
              <w:rPr>
                <w:rFonts w:ascii="仿宋" w:hAnsi="仿宋" w:eastAsia="仿宋" w:cs="宋体"/>
                <w:kern w:val="0"/>
                <w:sz w:val="24"/>
              </w:rPr>
              <w:t>人员工作履历情况及</w:t>
            </w:r>
            <w:r>
              <w:rPr>
                <w:rFonts w:hint="eastAsia" w:ascii="仿宋" w:hAnsi="仿宋" w:eastAsia="仿宋" w:cs="宋体"/>
                <w:kern w:val="0"/>
                <w:sz w:val="24"/>
              </w:rPr>
              <w:t>售后服务方案的响应时间、人员安排方案，根据投标人提供的售后服务承诺是否切实可行。3分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jc w:val="center"/>
        </w:trPr>
        <w:tc>
          <w:tcPr>
            <w:tcW w:w="1588" w:type="dxa"/>
            <w:vMerge w:val="continue"/>
            <w:noWrap w:val="0"/>
            <w:vAlign w:val="center"/>
          </w:tcPr>
          <w:p>
            <w:pPr>
              <w:pStyle w:val="18"/>
              <w:spacing w:line="360" w:lineRule="auto"/>
              <w:ind w:firstLine="0"/>
              <w:jc w:val="center"/>
              <w:rPr>
                <w:rFonts w:hint="eastAsia" w:ascii="仿宋" w:hAnsi="仿宋" w:eastAsia="仿宋" w:cs="仿宋"/>
                <w:b/>
                <w:bCs/>
                <w:lang w:val="en-US"/>
              </w:rPr>
            </w:pPr>
          </w:p>
        </w:tc>
        <w:tc>
          <w:tcPr>
            <w:tcW w:w="893" w:type="dxa"/>
            <w:noWrap w:val="0"/>
            <w:vAlign w:val="center"/>
          </w:tcPr>
          <w:p>
            <w:pPr>
              <w:pStyle w:val="18"/>
              <w:spacing w:line="360" w:lineRule="auto"/>
              <w:ind w:firstLine="0"/>
              <w:jc w:val="center"/>
              <w:rPr>
                <w:rFonts w:ascii="仿宋" w:hAnsi="仿宋" w:eastAsia="仿宋" w:cs="仿宋"/>
                <w:b/>
                <w:bCs/>
              </w:rPr>
            </w:pPr>
            <w:r>
              <w:rPr>
                <w:rFonts w:ascii="仿宋" w:hAnsi="仿宋" w:eastAsia="仿宋" w:cs="仿宋"/>
                <w:b/>
                <w:bCs/>
              </w:rPr>
              <w:t>1</w:t>
            </w:r>
          </w:p>
        </w:tc>
        <w:tc>
          <w:tcPr>
            <w:tcW w:w="7201" w:type="dxa"/>
            <w:noWrap w:val="0"/>
            <w:vAlign w:val="center"/>
          </w:tcPr>
          <w:p>
            <w:pPr>
              <w:widowControl/>
              <w:rPr>
                <w:rFonts w:hint="eastAsia" w:ascii="仿宋" w:hAnsi="仿宋" w:eastAsia="仿宋" w:cs="宋体"/>
                <w:kern w:val="0"/>
                <w:sz w:val="24"/>
              </w:rPr>
            </w:pPr>
            <w:r>
              <w:rPr>
                <w:rFonts w:hint="eastAsia" w:ascii="仿宋" w:hAnsi="仿宋" w:eastAsia="仿宋" w:cs="宋体"/>
                <w:kern w:val="0"/>
                <w:sz w:val="24"/>
              </w:rPr>
              <w:t>投</w:t>
            </w:r>
            <w:r>
              <w:rPr>
                <w:rFonts w:ascii="仿宋" w:hAnsi="仿宋" w:eastAsia="仿宋" w:cs="宋体"/>
                <w:kern w:val="0"/>
                <w:sz w:val="24"/>
              </w:rPr>
              <w:t>标人</w:t>
            </w:r>
            <w:r>
              <w:rPr>
                <w:rFonts w:hint="eastAsia" w:ascii="仿宋" w:hAnsi="仿宋" w:eastAsia="仿宋" w:cs="宋体"/>
                <w:kern w:val="0"/>
                <w:sz w:val="24"/>
              </w:rPr>
              <w:t>承诺</w:t>
            </w:r>
            <w:r>
              <w:rPr>
                <w:rFonts w:ascii="仿宋" w:hAnsi="仿宋" w:eastAsia="仿宋" w:cs="宋体"/>
                <w:kern w:val="0"/>
                <w:sz w:val="24"/>
              </w:rPr>
              <w:t>驻场</w:t>
            </w:r>
            <w:r>
              <w:rPr>
                <w:rFonts w:hint="eastAsia" w:ascii="仿宋" w:hAnsi="仿宋" w:eastAsia="仿宋" w:cs="宋体"/>
                <w:kern w:val="0"/>
                <w:sz w:val="24"/>
              </w:rPr>
              <w:t>人</w:t>
            </w:r>
            <w:r>
              <w:rPr>
                <w:rFonts w:ascii="仿宋" w:hAnsi="仿宋" w:eastAsia="仿宋" w:cs="宋体"/>
                <w:kern w:val="0"/>
                <w:sz w:val="24"/>
              </w:rPr>
              <w:t>员</w:t>
            </w:r>
            <w:r>
              <w:rPr>
                <w:rFonts w:hint="eastAsia" w:ascii="仿宋" w:hAnsi="仿宋" w:eastAsia="仿宋" w:cs="宋体"/>
                <w:kern w:val="0"/>
                <w:sz w:val="24"/>
              </w:rPr>
              <w:t>具备两</w:t>
            </w:r>
            <w:r>
              <w:rPr>
                <w:rFonts w:ascii="仿宋" w:hAnsi="仿宋" w:eastAsia="仿宋" w:cs="宋体"/>
                <w:kern w:val="0"/>
                <w:sz w:val="24"/>
              </w:rPr>
              <w:t>年以上</w:t>
            </w:r>
            <w:r>
              <w:rPr>
                <w:rFonts w:hint="eastAsia" w:ascii="仿宋" w:hAnsi="仿宋" w:eastAsia="仿宋" w:cs="宋体"/>
                <w:kern w:val="0"/>
                <w:sz w:val="24"/>
              </w:rPr>
              <w:t>同</w:t>
            </w:r>
            <w:r>
              <w:rPr>
                <w:rFonts w:ascii="仿宋" w:hAnsi="仿宋" w:eastAsia="仿宋" w:cs="宋体"/>
                <w:kern w:val="0"/>
                <w:sz w:val="24"/>
              </w:rPr>
              <w:t>类工作经</w:t>
            </w:r>
            <w:r>
              <w:rPr>
                <w:rFonts w:hint="eastAsia" w:ascii="仿宋" w:hAnsi="仿宋" w:eastAsia="仿宋" w:cs="宋体"/>
                <w:kern w:val="0"/>
                <w:sz w:val="24"/>
              </w:rPr>
              <w:t>验，并获得</w:t>
            </w:r>
            <w:r>
              <w:rPr>
                <w:rFonts w:ascii="仿宋" w:hAnsi="仿宋" w:eastAsia="仿宋" w:cs="宋体"/>
                <w:kern w:val="0"/>
                <w:sz w:val="24"/>
              </w:rPr>
              <w:t>国家软</w:t>
            </w:r>
            <w:r>
              <w:rPr>
                <w:rFonts w:hint="eastAsia" w:ascii="仿宋" w:hAnsi="仿宋" w:eastAsia="仿宋" w:cs="宋体"/>
                <w:kern w:val="0"/>
                <w:sz w:val="24"/>
              </w:rPr>
              <w:t>考网</w:t>
            </w:r>
            <w:r>
              <w:rPr>
                <w:rFonts w:ascii="仿宋" w:hAnsi="仿宋" w:eastAsia="仿宋" w:cs="宋体"/>
                <w:kern w:val="0"/>
                <w:sz w:val="24"/>
              </w:rPr>
              <w:t>络工程师证书</w:t>
            </w:r>
            <w:r>
              <w:rPr>
                <w:rFonts w:hint="eastAsia" w:ascii="仿宋" w:hAnsi="仿宋" w:eastAsia="仿宋" w:cs="宋体"/>
                <w:kern w:val="0"/>
                <w:sz w:val="24"/>
              </w:rPr>
              <w:t>或</w:t>
            </w:r>
            <w:r>
              <w:rPr>
                <w:rFonts w:ascii="仿宋" w:hAnsi="仿宋" w:eastAsia="仿宋" w:cs="宋体"/>
                <w:kern w:val="0"/>
                <w:sz w:val="24"/>
              </w:rPr>
              <w:t>CCRC</w:t>
            </w:r>
            <w:r>
              <w:rPr>
                <w:rFonts w:hint="eastAsia" w:ascii="仿宋" w:hAnsi="仿宋" w:eastAsia="仿宋" w:cs="宋体"/>
                <w:kern w:val="0"/>
                <w:sz w:val="24"/>
              </w:rPr>
              <w:t>证书或HCNP或同</w:t>
            </w:r>
            <w:r>
              <w:rPr>
                <w:rFonts w:ascii="仿宋" w:hAnsi="仿宋" w:eastAsia="仿宋" w:cs="宋体"/>
                <w:kern w:val="0"/>
                <w:sz w:val="24"/>
              </w:rPr>
              <w:t>等级别证书</w:t>
            </w:r>
            <w:r>
              <w:rPr>
                <w:rFonts w:hint="eastAsia" w:ascii="仿宋" w:hAnsi="仿宋" w:eastAsia="仿宋" w:cs="宋体"/>
                <w:kern w:val="0"/>
                <w:sz w:val="24"/>
              </w:rPr>
              <w:t>。得</w:t>
            </w:r>
            <w:r>
              <w:rPr>
                <w:rFonts w:ascii="仿宋" w:hAnsi="仿宋" w:eastAsia="仿宋" w:cs="宋体"/>
                <w:kern w:val="0"/>
                <w:sz w:val="24"/>
              </w:rPr>
              <w:t>1</w:t>
            </w:r>
            <w:r>
              <w:rPr>
                <w:rFonts w:hint="eastAsia" w:ascii="仿宋" w:hAnsi="仿宋" w:eastAsia="仿宋"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9682" w:type="dxa"/>
            <w:gridSpan w:val="3"/>
            <w:noWrap w:val="0"/>
            <w:vAlign w:val="center"/>
          </w:tcPr>
          <w:p>
            <w:pPr>
              <w:spacing w:line="360" w:lineRule="auto"/>
              <w:jc w:val="left"/>
              <w:rPr>
                <w:rFonts w:ascii="仿宋" w:hAnsi="仿宋" w:eastAsia="仿宋" w:cs="仿宋"/>
                <w:sz w:val="24"/>
                <w:lang w:val="zh-CN"/>
              </w:rPr>
            </w:pPr>
            <w:r>
              <w:rPr>
                <w:rFonts w:hint="eastAsia" w:ascii="仿宋" w:hAnsi="仿宋" w:eastAsia="仿宋" w:cs="仿宋"/>
                <w:b/>
                <w:sz w:val="24"/>
                <w:lang w:val="zh-CN"/>
              </w:rPr>
              <w:t>技术分</w:t>
            </w:r>
            <w:r>
              <w:rPr>
                <w:rFonts w:hint="eastAsia" w:ascii="仿宋" w:hAnsi="仿宋" w:eastAsia="仿宋" w:cs="仿宋"/>
                <w:sz w:val="24"/>
                <w:lang w:val="zh-CN"/>
              </w:rPr>
              <w:t>（</w:t>
            </w:r>
            <w:r>
              <w:rPr>
                <w:rFonts w:ascii="仿宋" w:hAnsi="仿宋" w:eastAsia="仿宋" w:cs="仿宋"/>
                <w:sz w:val="24"/>
                <w:lang w:val="zh-CN"/>
              </w:rPr>
              <w:t>60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投标产品响应程度</w:t>
            </w:r>
          </w:p>
        </w:tc>
        <w:tc>
          <w:tcPr>
            <w:tcW w:w="893" w:type="dxa"/>
            <w:noWrap w:val="0"/>
            <w:vAlign w:val="center"/>
          </w:tcPr>
          <w:p>
            <w:pPr>
              <w:spacing w:line="360" w:lineRule="auto"/>
              <w:jc w:val="center"/>
              <w:rPr>
                <w:rFonts w:ascii="仿宋" w:hAnsi="仿宋" w:eastAsia="仿宋" w:cs="仿宋"/>
                <w:b/>
                <w:bCs/>
                <w:sz w:val="24"/>
              </w:rPr>
            </w:pPr>
            <w:r>
              <w:rPr>
                <w:rFonts w:ascii="仿宋" w:hAnsi="仿宋" w:eastAsia="仿宋" w:cs="仿宋"/>
                <w:b/>
                <w:bCs/>
                <w:sz w:val="24"/>
              </w:rPr>
              <w:t>1</w:t>
            </w:r>
            <w:r>
              <w:rPr>
                <w:rFonts w:hint="eastAsia" w:ascii="仿宋" w:hAnsi="仿宋" w:eastAsia="仿宋" w:cs="仿宋"/>
                <w:b/>
                <w:bCs/>
                <w:sz w:val="24"/>
              </w:rPr>
              <w:t>8</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根据投标人提供的技术方案，与招标文件要求的技术标准要求符合性进行打分。满足招标文件明确的全部技术条款要求的得满分18分：产品截图等证明材料低于产品功能指标要求的（负偏离）的每项扣1分，扣完为止。</w:t>
            </w:r>
          </w:p>
          <w:p>
            <w:pPr>
              <w:pStyle w:val="18"/>
              <w:spacing w:line="360" w:lineRule="auto"/>
              <w:ind w:firstLine="0"/>
              <w:jc w:val="left"/>
              <w:rPr>
                <w:rFonts w:ascii="仿宋" w:hAnsi="仿宋" w:eastAsia="仿宋" w:cs="仿宋"/>
              </w:rPr>
            </w:pPr>
            <w:r>
              <w:rPr>
                <w:rFonts w:hint="eastAsia" w:ascii="仿宋" w:hAnsi="仿宋" w:eastAsia="仿宋" w:cs="仿宋"/>
              </w:rPr>
              <w:t>注：技术偏离表技术要求中响应规格与技术支持资料不一致的经评标委员会讨论后可被认定为负偏离。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技术服务方案</w:t>
            </w:r>
          </w:p>
        </w:tc>
        <w:tc>
          <w:tcPr>
            <w:tcW w:w="893" w:type="dxa"/>
            <w:noWrap w:val="0"/>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1</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投标人提供的技术服务方案中是否详细阐述了以下内容：</w:t>
            </w:r>
          </w:p>
          <w:p>
            <w:pPr>
              <w:pStyle w:val="18"/>
              <w:spacing w:line="360" w:lineRule="auto"/>
              <w:ind w:firstLine="0"/>
              <w:jc w:val="left"/>
              <w:rPr>
                <w:rFonts w:ascii="仿宋" w:hAnsi="仿宋" w:eastAsia="仿宋" w:cs="仿宋"/>
              </w:rPr>
            </w:pPr>
            <w:r>
              <w:rPr>
                <w:rFonts w:hint="eastAsia" w:ascii="仿宋" w:hAnsi="仿宋" w:eastAsia="仿宋" w:cs="仿宋"/>
              </w:rPr>
              <w:t>1.依据《浙江省政务外网安全运行监测指标（试行）》要求，从资产监测、可用性监测、事件监测、隐患监测、监测周期、监测方式几方面判定能否要求，服务方案能满足上述要求的得5分，服务方案能基本满足上述要求的得2分，服务方案不能满足上述要求的得不得分。（</w:t>
            </w:r>
            <w:r>
              <w:rPr>
                <w:rFonts w:ascii="仿宋" w:hAnsi="仿宋" w:eastAsia="仿宋" w:cs="仿宋"/>
              </w:rPr>
              <w:t>6</w:t>
            </w:r>
            <w:r>
              <w:rPr>
                <w:rFonts w:hint="eastAsia" w:ascii="仿宋" w:hAnsi="仿宋" w:eastAsia="仿宋" w:cs="仿宋"/>
              </w:rPr>
              <w:t>分）</w:t>
            </w:r>
          </w:p>
          <w:p>
            <w:pPr>
              <w:spacing w:line="360" w:lineRule="auto"/>
              <w:rPr>
                <w:rFonts w:ascii="仿宋" w:hAnsi="仿宋" w:eastAsia="仿宋" w:cs="仿宋"/>
                <w:sz w:val="24"/>
                <w:lang w:val="zh-CN"/>
              </w:rPr>
            </w:pPr>
            <w:r>
              <w:rPr>
                <w:rFonts w:hint="eastAsia" w:ascii="仿宋" w:hAnsi="仿宋" w:eastAsia="仿宋" w:cs="仿宋"/>
                <w:sz w:val="24"/>
                <w:lang w:val="zh-CN"/>
              </w:rPr>
              <w:t>2.为保障满足市局的数据安全监管要求，本项目需提供与上级数据管控平台的数据对接方案。对接要求的阐述全面、合理、针对性强的得5分，阐述理解不全面、针对性一般的得</w:t>
            </w:r>
            <w:r>
              <w:rPr>
                <w:rFonts w:ascii="仿宋" w:hAnsi="仿宋" w:eastAsia="仿宋" w:cs="仿宋"/>
                <w:sz w:val="24"/>
                <w:lang w:val="zh-CN"/>
              </w:rPr>
              <w:t>3</w:t>
            </w:r>
            <w:r>
              <w:rPr>
                <w:rFonts w:hint="eastAsia" w:ascii="仿宋" w:hAnsi="仿宋" w:eastAsia="仿宋" w:cs="仿宋"/>
                <w:sz w:val="24"/>
                <w:lang w:val="zh-CN"/>
              </w:rPr>
              <w:t>分，有明显缺陷或理解上有明显的逻辑性错误的得1分，不提供者不得分。（5分）</w:t>
            </w:r>
          </w:p>
          <w:p>
            <w:pPr>
              <w:pStyle w:val="18"/>
              <w:spacing w:line="360" w:lineRule="auto"/>
              <w:ind w:firstLine="0"/>
              <w:jc w:val="left"/>
              <w:rPr>
                <w:rFonts w:ascii="仿宋" w:hAnsi="仿宋" w:eastAsia="仿宋" w:cs="仿宋"/>
              </w:rPr>
            </w:pPr>
            <w:r>
              <w:rPr>
                <w:rFonts w:hint="eastAsia" w:ascii="仿宋" w:hAnsi="仿宋" w:eastAsia="仿宋" w:cs="仿宋"/>
              </w:rPr>
              <w:t>（根据以上每一项内容的合理性和响应程度进行打分）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服务质量</w:t>
            </w:r>
          </w:p>
        </w:tc>
        <w:tc>
          <w:tcPr>
            <w:tcW w:w="893" w:type="dxa"/>
            <w:noWrap w:val="0"/>
            <w:vAlign w:val="center"/>
          </w:tcPr>
          <w:p>
            <w:pPr>
              <w:spacing w:line="360" w:lineRule="auto"/>
              <w:jc w:val="center"/>
              <w:rPr>
                <w:rFonts w:ascii="仿宋" w:hAnsi="仿宋" w:eastAsia="仿宋" w:cs="仿宋"/>
                <w:b/>
                <w:bCs/>
                <w:sz w:val="24"/>
              </w:rPr>
            </w:pPr>
            <w:r>
              <w:rPr>
                <w:rFonts w:ascii="仿宋" w:hAnsi="仿宋" w:eastAsia="仿宋" w:cs="仿宋"/>
                <w:b/>
                <w:bCs/>
                <w:sz w:val="24"/>
              </w:rPr>
              <w:t>5</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投标人是否按招标人要求提出了明确的服务质量目标、服务质量保证措施等内容，由评审专家进行综合评议。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项目进度计划</w:t>
            </w:r>
          </w:p>
        </w:tc>
        <w:tc>
          <w:tcPr>
            <w:tcW w:w="893"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5</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投标人是否提出了详细的组织实施方案和实施进度计划，含工作时间进度计划、工作程序和步骤、管理和协调方法、关键步骤的思路和要点等，由评审专家综合评议。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培训计划</w:t>
            </w:r>
          </w:p>
        </w:tc>
        <w:tc>
          <w:tcPr>
            <w:tcW w:w="893" w:type="dxa"/>
            <w:noWrap w:val="0"/>
            <w:vAlign w:val="center"/>
          </w:tcPr>
          <w:p>
            <w:pPr>
              <w:spacing w:line="360" w:lineRule="auto"/>
              <w:jc w:val="center"/>
              <w:rPr>
                <w:rFonts w:ascii="仿宋" w:hAnsi="仿宋" w:eastAsia="仿宋" w:cs="仿宋"/>
                <w:b/>
                <w:bCs/>
                <w:sz w:val="24"/>
              </w:rPr>
            </w:pPr>
            <w:r>
              <w:rPr>
                <w:rFonts w:ascii="仿宋" w:hAnsi="仿宋" w:eastAsia="仿宋" w:cs="仿宋"/>
                <w:b/>
                <w:bCs/>
                <w:sz w:val="24"/>
              </w:rPr>
              <w:t>3</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投标人是否提出了详细的培训计划，含课程概要、课程目的、培训对象、教学方式、师资力量等，由评审专家综合评议。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服务承诺、响应</w:t>
            </w:r>
          </w:p>
        </w:tc>
        <w:tc>
          <w:tcPr>
            <w:tcW w:w="893" w:type="dxa"/>
            <w:noWrap w:val="0"/>
            <w:vAlign w:val="center"/>
          </w:tcPr>
          <w:p>
            <w:pPr>
              <w:spacing w:line="360" w:lineRule="auto"/>
              <w:jc w:val="center"/>
              <w:rPr>
                <w:rFonts w:ascii="仿宋" w:hAnsi="仿宋" w:eastAsia="仿宋" w:cs="仿宋"/>
                <w:b/>
                <w:bCs/>
                <w:sz w:val="24"/>
              </w:rPr>
            </w:pPr>
            <w:r>
              <w:rPr>
                <w:rFonts w:ascii="仿宋" w:hAnsi="仿宋" w:eastAsia="仿宋" w:cs="仿宋"/>
                <w:b/>
                <w:bCs/>
                <w:sz w:val="24"/>
              </w:rPr>
              <w:t>3</w:t>
            </w:r>
          </w:p>
        </w:tc>
        <w:tc>
          <w:tcPr>
            <w:tcW w:w="7201" w:type="dxa"/>
            <w:noWrap w:val="0"/>
            <w:vAlign w:val="center"/>
          </w:tcPr>
          <w:p>
            <w:pPr>
              <w:pStyle w:val="18"/>
              <w:spacing w:line="360" w:lineRule="auto"/>
              <w:ind w:firstLine="0"/>
              <w:jc w:val="left"/>
              <w:rPr>
                <w:rFonts w:ascii="仿宋" w:hAnsi="仿宋" w:eastAsia="仿宋" w:cs="仿宋"/>
              </w:rPr>
            </w:pPr>
            <w:r>
              <w:rPr>
                <w:rFonts w:hint="eastAsia" w:ascii="仿宋" w:hAnsi="仿宋" w:eastAsia="仿宋" w:cs="仿宋"/>
              </w:rPr>
              <w:t>投标人提供的售后服务方案、售后服务承诺的可行性、完整性以及服务承诺落实的保障措施，维护期内外的后续技术支持和维护能力情况等内容进行综合评价。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588"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系统演示</w:t>
            </w:r>
          </w:p>
        </w:tc>
        <w:tc>
          <w:tcPr>
            <w:tcW w:w="893" w:type="dxa"/>
            <w:noWrap w:val="0"/>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15</w:t>
            </w:r>
          </w:p>
        </w:tc>
        <w:tc>
          <w:tcPr>
            <w:tcW w:w="7201" w:type="dxa"/>
            <w:noWrap w:val="0"/>
            <w:vAlign w:val="top"/>
          </w:tcPr>
          <w:p>
            <w:pPr>
              <w:pStyle w:val="18"/>
              <w:spacing w:line="360" w:lineRule="auto"/>
              <w:ind w:firstLine="0"/>
              <w:jc w:val="left"/>
              <w:rPr>
                <w:rFonts w:ascii="仿宋" w:hAnsi="仿宋" w:eastAsia="仿宋" w:cs="仿宋"/>
              </w:rPr>
            </w:pPr>
            <w:r>
              <w:rPr>
                <w:rFonts w:hint="eastAsia" w:ascii="仿宋" w:hAnsi="仿宋" w:eastAsia="仿宋" w:cs="仿宋"/>
              </w:rPr>
              <w:t>投标人需对全链路网络安全监管平台进行演示，根据投标人演示的相应内容，由评审专家根据演示情况是否满足招标需求进行判定评分，最高得15分。演示时间不超过15分钟。（本项不接受图片、PPT、Axure等高保真演示。）1.一屏掌控能力：根据可视化演示“指令直达、层层钻钻、闭环处置”能力进行评分。（３分）　</w:t>
            </w:r>
          </w:p>
          <w:p>
            <w:pPr>
              <w:spacing w:line="360" w:lineRule="auto"/>
              <w:rPr>
                <w:rFonts w:ascii="仿宋" w:hAnsi="仿宋" w:eastAsia="仿宋" w:cs="仿宋"/>
                <w:sz w:val="24"/>
                <w:lang w:val="zh-CN"/>
              </w:rPr>
            </w:pPr>
            <w:r>
              <w:rPr>
                <w:rFonts w:hint="eastAsia" w:ascii="仿宋" w:hAnsi="仿宋" w:eastAsia="仿宋" w:cs="仿宋"/>
                <w:sz w:val="24"/>
                <w:lang w:val="zh-CN"/>
              </w:rPr>
              <w:t>2.监测指标维度：根据监测的“云、网、数、用、端”等维度进行评分。（３分）3.一体化能力：根据与省市级网络安全管控平台融合能力、与县级部门和乡镇向下颗粒度细化能力进行评分。（３分）4.网络安全应用能力：根据提供的全链路网络安全实战、实用、实效能力进行评分。（3分）</w:t>
            </w:r>
          </w:p>
          <w:p>
            <w:pPr>
              <w:spacing w:line="360" w:lineRule="auto"/>
              <w:rPr>
                <w:rFonts w:ascii="仿宋" w:hAnsi="仿宋" w:eastAsia="仿宋" w:cs="仿宋"/>
                <w:sz w:val="24"/>
                <w:lang w:val="zh-CN"/>
              </w:rPr>
            </w:pPr>
            <w:r>
              <w:rPr>
                <w:rFonts w:hint="eastAsia" w:ascii="仿宋" w:hAnsi="仿宋" w:eastAsia="仿宋" w:cs="仿宋"/>
                <w:sz w:val="24"/>
                <w:lang w:val="zh-CN"/>
              </w:rPr>
              <w:t>5.数据安全应用能力：根据提供的全生命周期数据安全实战、实用、实效能力进行评分。（3分）</w:t>
            </w:r>
          </w:p>
          <w:p>
            <w:pPr>
              <w:spacing w:line="360" w:lineRule="auto"/>
              <w:rPr>
                <w:rFonts w:hint="eastAsia" w:ascii="仿宋" w:hAnsi="仿宋" w:eastAsia="仿宋" w:cs="仿宋"/>
                <w:sz w:val="24"/>
                <w:lang w:val="zh-CN"/>
              </w:rPr>
            </w:pPr>
            <w:r>
              <w:rPr>
                <w:rFonts w:hint="eastAsia" w:ascii="仿宋" w:hAnsi="仿宋" w:eastAsia="仿宋" w:cs="仿宋"/>
                <w:sz w:val="24"/>
                <w:lang w:val="zh-CN"/>
              </w:rPr>
              <w:t>注：演示视频2</w:t>
            </w:r>
            <w:r>
              <w:rPr>
                <w:rFonts w:ascii="仿宋" w:hAnsi="仿宋" w:eastAsia="仿宋" w:cs="仿宋"/>
                <w:sz w:val="24"/>
                <w:lang w:val="zh-CN"/>
              </w:rPr>
              <w:t>0</w:t>
            </w:r>
            <w:r>
              <w:rPr>
                <w:rFonts w:hint="eastAsia" w:ascii="仿宋" w:hAnsi="仿宋" w:eastAsia="仿宋" w:cs="仿宋"/>
                <w:sz w:val="24"/>
                <w:lang w:val="zh-CN"/>
              </w:rPr>
              <w:t>分钟内。</w:t>
            </w:r>
          </w:p>
        </w:tc>
      </w:tr>
    </w:tbl>
    <w:p>
      <w:pPr>
        <w:spacing w:line="312" w:lineRule="auto"/>
        <w:textAlignment w:val="baseline"/>
        <w:rPr>
          <w:rFonts w:hint="eastAsia" w:ascii="仿宋" w:hAnsi="仿宋" w:eastAsia="仿宋" w:cs="仿宋"/>
          <w:b/>
          <w:kern w:val="0"/>
          <w:sz w:val="24"/>
        </w:rPr>
      </w:pPr>
    </w:p>
    <w:p>
      <w:pPr>
        <w:spacing w:line="312" w:lineRule="auto"/>
        <w:textAlignment w:val="baseline"/>
        <w:rPr>
          <w:rFonts w:ascii="仿宋" w:hAnsi="仿宋" w:eastAsia="仿宋" w:cs="仿宋"/>
          <w:b/>
          <w:bCs/>
          <w:sz w:val="24"/>
        </w:rPr>
      </w:pPr>
      <w:r>
        <w:rPr>
          <w:rFonts w:hint="eastAsia" w:ascii="仿宋" w:hAnsi="仿宋" w:eastAsia="仿宋" w:cs="仿宋"/>
          <w:b/>
          <w:kern w:val="0"/>
          <w:sz w:val="24"/>
        </w:rPr>
        <w:t>注：</w:t>
      </w:r>
      <w:r>
        <w:rPr>
          <w:rFonts w:hint="eastAsia" w:ascii="仿宋" w:hAnsi="仿宋" w:eastAsia="仿宋" w:cs="仿宋"/>
          <w:b/>
          <w:sz w:val="24"/>
        </w:rPr>
        <w:t>响应方所使用的资格、信誉、荣誉、业绩与企业认证必须为本法人所拥有（且在有效期内）。</w:t>
      </w:r>
    </w:p>
    <w:p>
      <w:pPr>
        <w:autoSpaceDE w:val="0"/>
        <w:spacing w:line="360" w:lineRule="auto"/>
        <w:ind w:firstLine="2530" w:firstLineChars="700"/>
        <w:rPr>
          <w:rFonts w:ascii="仿宋" w:hAnsi="仿宋" w:eastAsia="仿宋" w:cs="仿宋"/>
          <w:b/>
          <w:sz w:val="36"/>
        </w:rPr>
      </w:pPr>
      <w:r>
        <w:rPr>
          <w:rFonts w:hint="eastAsia" w:ascii="仿宋" w:hAnsi="仿宋" w:eastAsia="仿宋" w:cs="仿宋"/>
          <w:b/>
          <w:sz w:val="36"/>
          <w:szCs w:val="36"/>
        </w:rPr>
        <w:t>第五部分拟签订的合同文本</w:t>
      </w: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（以最终合同为准）</w:t>
      </w:r>
    </w:p>
    <w:p>
      <w:pPr>
        <w:spacing w:line="500" w:lineRule="exact"/>
        <w:jc w:val="center"/>
        <w:rPr>
          <w:rFonts w:ascii="仿宋" w:hAnsi="仿宋" w:eastAsia="仿宋" w:cs="仿宋"/>
          <w:b/>
          <w:bCs/>
          <w:spacing w:val="-2"/>
          <w:sz w:val="44"/>
          <w:szCs w:val="44"/>
        </w:rPr>
      </w:pPr>
      <w:r>
        <w:rPr>
          <w:rStyle w:val="71"/>
          <w:rFonts w:hint="eastAsia" w:ascii="仿宋" w:hAnsi="仿宋" w:eastAsia="仿宋" w:cs="仿宋"/>
          <w:sz w:val="44"/>
          <w:szCs w:val="44"/>
        </w:rPr>
        <w:t>淳安县政府采购合同</w:t>
      </w:r>
    </w:p>
    <w:p>
      <w:pPr>
        <w:pStyle w:val="21"/>
        <w:snapToGrid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（本合同为合同样稿，最终稿由双方协商后确定）</w:t>
      </w:r>
    </w:p>
    <w:p>
      <w:pPr>
        <w:pStyle w:val="21"/>
        <w:snapToGrid w:val="0"/>
        <w:spacing w:line="500" w:lineRule="exact"/>
        <w:jc w:val="center"/>
      </w:pPr>
      <w:r>
        <w:rPr>
          <w:rFonts w:hint="eastAsia" w:ascii="仿宋" w:hAnsi="仿宋" w:eastAsia="仿宋" w:cs="仿宋"/>
          <w:b/>
          <w:bCs/>
          <w:sz w:val="28"/>
          <w:szCs w:val="28"/>
        </w:rPr>
        <w:t>合同编号：</w:t>
      </w:r>
    </w:p>
    <w:p>
      <w:pPr>
        <w:snapToGrid w:val="0"/>
        <w:spacing w:line="360" w:lineRule="auto"/>
        <w:ind w:firstLine="480"/>
        <w:rPr>
          <w:rFonts w:ascii="仿宋" w:hAnsi="仿宋" w:eastAsia="仿宋" w:cs="仿宋"/>
          <w:b/>
          <w:bCs/>
          <w:sz w:val="24"/>
          <w:szCs w:val="28"/>
        </w:rPr>
      </w:pPr>
    </w:p>
    <w:p>
      <w:pPr>
        <w:snapToGrid w:val="0"/>
        <w:spacing w:line="360" w:lineRule="auto"/>
        <w:ind w:firstLine="480"/>
        <w:rPr>
          <w:rFonts w:ascii="仿宋" w:hAnsi="仿宋" w:eastAsia="仿宋" w:cs="仿宋"/>
          <w:b/>
          <w:sz w:val="24"/>
        </w:rPr>
      </w:pPr>
      <w:r>
        <w:rPr>
          <w:rFonts w:hint="eastAsia" w:ascii="仿宋" w:hAnsi="仿宋" w:eastAsia="仿宋" w:cs="仿宋"/>
          <w:sz w:val="24"/>
        </w:rPr>
        <w:t>根据《中华人民共和国政府采购法》和《中华人民共和国合同法》等相关法律、法规和政策，在平等、自愿、协商一致的基础上，就采购人委托中标人（</w:t>
      </w:r>
      <w:r>
        <w:rPr>
          <w:rFonts w:hint="eastAsia" w:ascii="仿宋" w:hAnsi="仿宋" w:eastAsia="仿宋" w:cs="仿宋"/>
          <w:sz w:val="24"/>
          <w:lang w:val="zh-CN"/>
        </w:rPr>
        <w:t>经评审最终确定的</w:t>
      </w:r>
      <w:r>
        <w:rPr>
          <w:rFonts w:hint="eastAsia" w:ascii="仿宋" w:hAnsi="仿宋" w:eastAsia="仿宋" w:cs="仿宋"/>
          <w:sz w:val="24"/>
        </w:rPr>
        <w:t xml:space="preserve">成交供应商）对淳安县全链路网络安全监管平台（一期）建设采购项目订立本合同。 </w:t>
      </w:r>
      <w:r>
        <w:rPr>
          <w:rFonts w:ascii="仿宋" w:hAnsi="仿宋" w:eastAsia="仿宋" w:cs="仿宋"/>
          <w:sz w:val="24"/>
        </w:rPr>
        <w:t xml:space="preserve">    </w:t>
      </w:r>
    </w:p>
    <w:p>
      <w:pPr>
        <w:snapToGrid w:val="0"/>
        <w:spacing w:line="360" w:lineRule="auto"/>
        <w:ind w:firstLine="482"/>
        <w:rPr>
          <w:rFonts w:ascii="仿宋" w:hAnsi="仿宋" w:eastAsia="仿宋" w:cs="仿宋"/>
          <w:b/>
          <w:sz w:val="24"/>
        </w:rPr>
      </w:pPr>
      <w:r>
        <w:rPr>
          <w:rFonts w:hint="eastAsia" w:ascii="仿宋" w:hAnsi="仿宋" w:eastAsia="仿宋" w:cs="仿宋"/>
          <w:b/>
          <w:sz w:val="24"/>
        </w:rPr>
        <w:t>第一条定义</w:t>
      </w:r>
    </w:p>
    <w:p>
      <w:pPr>
        <w:snapToGrid w:val="0"/>
        <w:spacing w:line="360" w:lineRule="auto"/>
        <w:ind w:firstLine="480"/>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仿宋"/>
          <w:kern w:val="0"/>
          <w:sz w:val="24"/>
          <w:lang w:val="zh-CN"/>
        </w:rPr>
        <w:t>合同”</w:t>
      </w:r>
      <w:r>
        <w:rPr>
          <w:rFonts w:hint="eastAsia" w:ascii="仿宋" w:hAnsi="仿宋" w:eastAsia="仿宋" w:cs="仿宋"/>
          <w:sz w:val="24"/>
        </w:rPr>
        <w:t>即由采购人、</w:t>
      </w:r>
      <w:r>
        <w:rPr>
          <w:rFonts w:hint="eastAsia" w:ascii="仿宋" w:hAnsi="仿宋" w:eastAsia="仿宋" w:cs="仿宋"/>
          <w:kern w:val="0"/>
          <w:sz w:val="24"/>
          <w:lang w:val="zh-CN"/>
        </w:rPr>
        <w:t>中标人</w:t>
      </w:r>
      <w:r>
        <w:rPr>
          <w:rFonts w:hint="eastAsia" w:ascii="仿宋" w:hAnsi="仿宋" w:eastAsia="仿宋" w:cs="仿宋"/>
          <w:sz w:val="24"/>
        </w:rPr>
        <w:t>共同签订的合同格式中的文件，包括所有的附件、附录和组成合同部分的所有其他文件。</w:t>
      </w:r>
    </w:p>
    <w:p>
      <w:pPr>
        <w:snapToGrid w:val="0"/>
        <w:spacing w:line="360" w:lineRule="auto"/>
        <w:ind w:firstLine="480"/>
      </w:pPr>
      <w:r>
        <w:rPr>
          <w:rFonts w:hint="eastAsia" w:ascii="仿宋" w:hAnsi="仿宋" w:eastAsia="仿宋" w:cs="仿宋"/>
          <w:sz w:val="24"/>
        </w:rPr>
        <w:t>合同将由采购人淳安县人民政府办公室（以下简称甲方）与经评审最终确定的中标人（以下简称乙方）结合本项目具体情况协商后分别签订</w:t>
      </w:r>
      <w:r>
        <w:rPr>
          <w:rFonts w:hint="eastAsia" w:ascii="仿宋" w:hAnsi="仿宋" w:eastAsia="仿宋" w:cs="仿宋"/>
          <w:kern w:val="0"/>
          <w:sz w:val="24"/>
          <w:lang w:val="zh-CN"/>
        </w:rPr>
        <w:t>。以下为甲方提出涉及乙方的主要条款，乙方在投标文件中应对其进行确认或拒绝。如乙方在其投标文件中未做拒绝或提出修改要求的，甲方将视作认同</w:t>
      </w:r>
      <w:r>
        <w:rPr>
          <w:rFonts w:hint="eastAsia" w:ascii="仿宋" w:hAnsi="仿宋" w:eastAsia="仿宋" w:cs="仿宋"/>
          <w:sz w:val="24"/>
        </w:rPr>
        <w:t>。</w:t>
      </w:r>
    </w:p>
    <w:p>
      <w:pPr>
        <w:snapToGrid w:val="0"/>
        <w:spacing w:line="360" w:lineRule="auto"/>
        <w:ind w:firstLine="48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“合同价格”系指根据合同规定，在乙方全面正确地履行合同义务时，甲方应支付给乙方的款项。</w:t>
      </w:r>
    </w:p>
    <w:p>
      <w:pPr>
        <w:snapToGrid w:val="0"/>
        <w:spacing w:line="360" w:lineRule="auto"/>
        <w:ind w:firstLine="480"/>
      </w:pPr>
      <w:r>
        <w:rPr>
          <w:rFonts w:ascii="仿宋" w:hAnsi="仿宋" w:eastAsia="仿宋" w:cs="仿宋"/>
          <w:sz w:val="24"/>
        </w:rPr>
        <w:t>3.</w:t>
      </w:r>
      <w:r>
        <w:rPr>
          <w:rFonts w:hint="eastAsia" w:ascii="仿宋" w:hAnsi="仿宋" w:eastAsia="仿宋" w:cs="仿宋"/>
          <w:sz w:val="24"/>
        </w:rPr>
        <w:t>“技术服务”系指乙方按投标文件规定，结合本项目的性质特点，对淳安县全链路网络安全监管平台（一期）建设采购项目运行管理定位、目标，为甲方提供优质的服务。</w:t>
      </w:r>
    </w:p>
    <w:p>
      <w:pPr>
        <w:snapToGrid w:val="0"/>
        <w:spacing w:line="360" w:lineRule="auto"/>
        <w:ind w:firstLine="48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“验收”系指甲方依据国家有关规定接受合同所依据的程序和条件。</w:t>
      </w:r>
    </w:p>
    <w:p>
      <w:pPr>
        <w:snapToGrid w:val="0"/>
        <w:spacing w:line="360" w:lineRule="auto"/>
        <w:ind w:firstLine="482"/>
        <w:rPr>
          <w:rFonts w:ascii="仿宋" w:hAnsi="仿宋" w:eastAsia="仿宋" w:cs="仿宋"/>
          <w:b/>
          <w:sz w:val="24"/>
        </w:rPr>
      </w:pPr>
      <w:r>
        <w:rPr>
          <w:rFonts w:hint="eastAsia" w:ascii="仿宋" w:hAnsi="仿宋" w:eastAsia="仿宋" w:cs="仿宋"/>
          <w:b/>
          <w:sz w:val="24"/>
        </w:rPr>
        <w:t>第二条适用范围</w:t>
      </w:r>
    </w:p>
    <w:p>
      <w:pPr>
        <w:snapToGrid w:val="0"/>
        <w:spacing w:line="360" w:lineRule="auto"/>
        <w:ind w:firstLine="480"/>
        <w:rPr>
          <w:rFonts w:ascii="仿宋" w:hAnsi="仿宋" w:eastAsia="仿宋" w:cs="仿宋"/>
          <w:sz w:val="24"/>
        </w:rPr>
      </w:pPr>
      <w:r>
        <w:rPr>
          <w:rFonts w:hint="eastAsia" w:ascii="仿宋" w:hAnsi="仿宋" w:eastAsia="仿宋" w:cs="仿宋"/>
          <w:sz w:val="24"/>
        </w:rPr>
        <w:t>本合同条款适用于本次采购活动。项目实施范围详见附件</w:t>
      </w:r>
      <w:r>
        <w:rPr>
          <w:rFonts w:ascii="仿宋" w:hAnsi="仿宋" w:eastAsia="仿宋" w:cs="仿宋"/>
          <w:sz w:val="24"/>
        </w:rPr>
        <w:t>——</w:t>
      </w:r>
      <w:r>
        <w:rPr>
          <w:rFonts w:hint="eastAsia" w:ascii="仿宋" w:hAnsi="仿宋" w:eastAsia="仿宋" w:cs="仿宋"/>
          <w:sz w:val="24"/>
        </w:rPr>
        <w:t>投标文件和投标文件及补充文件、承诺书等。</w:t>
      </w:r>
    </w:p>
    <w:p>
      <w:pPr>
        <w:snapToGrid w:val="0"/>
        <w:spacing w:line="360" w:lineRule="auto"/>
        <w:ind w:firstLine="482"/>
      </w:pPr>
      <w:r>
        <w:rPr>
          <w:rFonts w:hint="eastAsia" w:ascii="仿宋" w:hAnsi="仿宋" w:eastAsia="仿宋" w:cs="仿宋"/>
          <w:b/>
          <w:sz w:val="24"/>
        </w:rPr>
        <w:t>第三条委托事项</w:t>
      </w:r>
    </w:p>
    <w:p>
      <w:pPr>
        <w:snapToGrid w:val="0"/>
        <w:spacing w:line="360" w:lineRule="auto"/>
        <w:ind w:firstLine="480"/>
        <w:rPr>
          <w:rFonts w:ascii="仿宋" w:hAnsi="仿宋" w:eastAsia="仿宋" w:cs="仿宋"/>
          <w:sz w:val="24"/>
        </w:rPr>
      </w:pPr>
      <w:r>
        <w:rPr>
          <w:rFonts w:hint="eastAsia" w:ascii="仿宋" w:hAnsi="仿宋" w:eastAsia="仿宋" w:cs="仿宋"/>
          <w:sz w:val="24"/>
        </w:rPr>
        <w:t>（具体内容详见招标文件）。</w:t>
      </w:r>
    </w:p>
    <w:p>
      <w:pPr>
        <w:snapToGrid w:val="0"/>
        <w:spacing w:line="360" w:lineRule="auto"/>
        <w:ind w:firstLine="482"/>
        <w:rPr>
          <w:rFonts w:ascii="仿宋" w:hAnsi="仿宋" w:eastAsia="仿宋" w:cs="仿宋"/>
          <w:b/>
          <w:sz w:val="24"/>
        </w:rPr>
      </w:pPr>
      <w:r>
        <w:rPr>
          <w:rFonts w:hint="eastAsia" w:ascii="仿宋" w:hAnsi="仿宋" w:eastAsia="仿宋" w:cs="仿宋"/>
          <w:b/>
          <w:sz w:val="24"/>
        </w:rPr>
        <w:t>第四条服务期限</w:t>
      </w:r>
    </w:p>
    <w:p>
      <w:pPr>
        <w:pStyle w:val="73"/>
        <w:snapToGrid w:val="0"/>
        <w:spacing w:beforeLines="0"/>
        <w:ind w:firstLine="482"/>
        <w:rPr>
          <w:rFonts w:ascii="仿宋" w:hAnsi="仿宋" w:eastAsia="仿宋" w:cs="仿宋"/>
          <w:b/>
          <w:szCs w:val="24"/>
        </w:rPr>
      </w:pPr>
      <w:r>
        <w:rPr>
          <w:rFonts w:hint="eastAsia" w:ascii="仿宋" w:hAnsi="仿宋" w:eastAsia="仿宋" w:cs="仿宋"/>
          <w:b/>
          <w:szCs w:val="24"/>
        </w:rPr>
        <w:t>第五条费用结算方式</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第六条履约保证金</w:t>
      </w:r>
    </w:p>
    <w:p>
      <w:pPr>
        <w:snapToGrid w:val="0"/>
        <w:spacing w:line="360" w:lineRule="auto"/>
        <w:ind w:firstLine="480"/>
      </w:pPr>
      <w:r>
        <w:rPr>
          <w:rFonts w:hint="eastAsia" w:ascii="仿宋" w:hAnsi="仿宋" w:eastAsia="仿宋" w:cs="仿宋"/>
          <w:kern w:val="0"/>
          <w:sz w:val="24"/>
        </w:rPr>
        <w:t>本项目不需要交纳履约保证金。</w:t>
      </w:r>
    </w:p>
    <w:p>
      <w:pPr>
        <w:snapToGrid w:val="0"/>
        <w:spacing w:line="360" w:lineRule="auto"/>
        <w:ind w:firstLine="480"/>
        <w:rPr>
          <w:rFonts w:ascii="仿宋" w:hAnsi="仿宋" w:eastAsia="仿宋" w:cs="仿宋"/>
          <w:kern w:val="0"/>
          <w:sz w:val="24"/>
        </w:rPr>
      </w:pPr>
      <w:r>
        <w:rPr>
          <w:rFonts w:ascii="仿宋" w:hAnsi="仿宋" w:eastAsia="仿宋" w:cs="仿宋"/>
          <w:kern w:val="0"/>
          <w:sz w:val="24"/>
        </w:rPr>
        <w:t xml:space="preserve">3. </w:t>
      </w:r>
      <w:r>
        <w:rPr>
          <w:rFonts w:hint="eastAsia" w:ascii="仿宋" w:hAnsi="仿宋" w:eastAsia="仿宋" w:cs="仿宋"/>
          <w:kern w:val="0"/>
          <w:sz w:val="24"/>
        </w:rPr>
        <w:t>投标文件规定的其他内容。</w:t>
      </w:r>
    </w:p>
    <w:p>
      <w:pPr>
        <w:snapToGrid w:val="0"/>
        <w:spacing w:line="360" w:lineRule="auto"/>
        <w:ind w:firstLine="482"/>
      </w:pPr>
      <w:r>
        <w:rPr>
          <w:rFonts w:hint="eastAsia" w:ascii="仿宋" w:hAnsi="仿宋" w:eastAsia="仿宋" w:cs="仿宋"/>
          <w:b/>
          <w:sz w:val="24"/>
        </w:rPr>
        <w:t>第八条</w:t>
      </w:r>
      <w:r>
        <w:rPr>
          <w:rFonts w:hint="eastAsia" w:ascii="仿宋" w:hAnsi="仿宋" w:eastAsia="仿宋" w:cs="仿宋"/>
          <w:b/>
          <w:kern w:val="0"/>
          <w:sz w:val="24"/>
        </w:rPr>
        <w:t>乙方对甲方作出如下承诺</w:t>
      </w:r>
      <w:r>
        <w:rPr>
          <w:rFonts w:hint="eastAsia" w:ascii="仿宋" w:hAnsi="仿宋" w:eastAsia="仿宋" w:cs="仿宋"/>
          <w:kern w:val="0"/>
          <w:sz w:val="24"/>
        </w:rPr>
        <w:t>：</w:t>
      </w:r>
    </w:p>
    <w:p>
      <w:pPr>
        <w:snapToGrid w:val="0"/>
        <w:spacing w:line="360" w:lineRule="auto"/>
        <w:ind w:firstLine="482"/>
      </w:pPr>
      <w:r>
        <w:rPr>
          <w:rFonts w:hint="eastAsia" w:ascii="仿宋" w:hAnsi="仿宋" w:eastAsia="仿宋" w:cs="仿宋"/>
          <w:b/>
          <w:sz w:val="24"/>
        </w:rPr>
        <w:t>第九条</w:t>
      </w:r>
      <w:r>
        <w:rPr>
          <w:rFonts w:hint="eastAsia" w:ascii="仿宋" w:hAnsi="仿宋" w:eastAsia="仿宋" w:cs="仿宋"/>
          <w:b/>
          <w:kern w:val="0"/>
          <w:sz w:val="24"/>
        </w:rPr>
        <w:t>甲方对乙方作出如下承诺：</w:t>
      </w:r>
    </w:p>
    <w:p>
      <w:pPr>
        <w:snapToGrid w:val="0"/>
        <w:spacing w:line="360" w:lineRule="auto"/>
        <w:ind w:firstLine="482"/>
      </w:pPr>
      <w:r>
        <w:rPr>
          <w:rFonts w:hint="eastAsia" w:ascii="仿宋" w:hAnsi="仿宋" w:eastAsia="仿宋" w:cs="仿宋"/>
          <w:b/>
          <w:sz w:val="24"/>
        </w:rPr>
        <w:t>第十条</w:t>
      </w:r>
      <w:r>
        <w:rPr>
          <w:rFonts w:hint="eastAsia" w:ascii="仿宋" w:hAnsi="仿宋" w:eastAsia="仿宋" w:cs="仿宋"/>
          <w:b/>
          <w:kern w:val="0"/>
          <w:sz w:val="24"/>
        </w:rPr>
        <w:t>合同生效</w:t>
      </w:r>
      <w:r>
        <w:rPr>
          <w:rFonts w:hint="eastAsia" w:ascii="仿宋" w:hAnsi="仿宋" w:eastAsia="仿宋" w:cs="仿宋"/>
          <w:sz w:val="24"/>
        </w:rPr>
        <w:t>：</w:t>
      </w:r>
    </w:p>
    <w:p>
      <w:pPr>
        <w:snapToGrid w:val="0"/>
        <w:spacing w:line="360" w:lineRule="auto"/>
        <w:ind w:firstLine="480"/>
      </w:pPr>
      <w:r>
        <w:rPr>
          <w:rFonts w:hint="eastAsia" w:ascii="仿宋" w:hAnsi="仿宋" w:eastAsia="仿宋" w:cs="仿宋"/>
          <w:sz w:val="24"/>
        </w:rPr>
        <w:t>本合同经甲乙双方法定代表人或其授权代表签字盖章</w:t>
      </w:r>
      <w:r>
        <w:rPr>
          <w:rFonts w:hint="eastAsia" w:ascii="仿宋" w:hAnsi="仿宋" w:eastAsia="仿宋" w:cs="仿宋"/>
          <w:sz w:val="24"/>
          <w:lang w:val="zh-CN"/>
        </w:rPr>
        <w:t>后生效</w:t>
      </w:r>
      <w:r>
        <w:rPr>
          <w:rFonts w:hint="eastAsia" w:ascii="仿宋" w:hAnsi="仿宋" w:eastAsia="仿宋" w:cs="仿宋"/>
          <w:kern w:val="0"/>
          <w:sz w:val="24"/>
        </w:rPr>
        <w:t>。</w:t>
      </w:r>
    </w:p>
    <w:p>
      <w:pPr>
        <w:snapToGrid w:val="0"/>
        <w:spacing w:line="360" w:lineRule="auto"/>
        <w:ind w:firstLine="482"/>
      </w:pPr>
      <w:r>
        <w:rPr>
          <w:rFonts w:hint="eastAsia" w:ascii="仿宋" w:hAnsi="仿宋" w:eastAsia="仿宋" w:cs="仿宋"/>
          <w:b/>
          <w:sz w:val="24"/>
        </w:rPr>
        <w:t>第十一条</w:t>
      </w:r>
      <w:r>
        <w:rPr>
          <w:rFonts w:hint="eastAsia" w:ascii="仿宋" w:hAnsi="仿宋" w:eastAsia="仿宋" w:cs="仿宋"/>
          <w:b/>
          <w:kern w:val="0"/>
          <w:sz w:val="24"/>
        </w:rPr>
        <w:t>双方权利义务</w:t>
      </w:r>
    </w:p>
    <w:p>
      <w:pPr>
        <w:snapToGrid w:val="0"/>
        <w:spacing w:line="360" w:lineRule="auto"/>
        <w:ind w:firstLine="482"/>
        <w:rPr>
          <w:rFonts w:ascii="仿宋" w:hAnsi="仿宋" w:eastAsia="仿宋" w:cs="仿宋"/>
          <w:b/>
          <w:kern w:val="0"/>
          <w:sz w:val="24"/>
        </w:rPr>
      </w:pPr>
      <w:r>
        <w:rPr>
          <w:rFonts w:ascii="仿宋" w:hAnsi="仿宋" w:eastAsia="仿宋" w:cs="仿宋"/>
          <w:b/>
          <w:kern w:val="0"/>
          <w:sz w:val="24"/>
        </w:rPr>
        <w:t xml:space="preserve">1. </w:t>
      </w:r>
      <w:r>
        <w:rPr>
          <w:rFonts w:hint="eastAsia" w:ascii="仿宋" w:hAnsi="仿宋" w:eastAsia="仿宋" w:cs="仿宋"/>
          <w:b/>
          <w:kern w:val="0"/>
          <w:sz w:val="24"/>
        </w:rPr>
        <w:t>甲方权利义务</w:t>
      </w:r>
    </w:p>
    <w:p>
      <w:pPr>
        <w:snapToGrid w:val="0"/>
        <w:spacing w:line="360" w:lineRule="auto"/>
        <w:ind w:firstLine="482"/>
        <w:rPr>
          <w:rFonts w:ascii="仿宋" w:hAnsi="仿宋" w:eastAsia="仿宋" w:cs="仿宋"/>
          <w:b/>
          <w:kern w:val="0"/>
          <w:sz w:val="24"/>
        </w:rPr>
      </w:pPr>
      <w:r>
        <w:rPr>
          <w:rFonts w:ascii="仿宋" w:hAnsi="仿宋" w:eastAsia="仿宋" w:cs="仿宋"/>
          <w:b/>
          <w:kern w:val="0"/>
          <w:sz w:val="24"/>
        </w:rPr>
        <w:t xml:space="preserve">2.  </w:t>
      </w:r>
      <w:r>
        <w:rPr>
          <w:rFonts w:hint="eastAsia" w:ascii="仿宋" w:hAnsi="仿宋" w:eastAsia="仿宋" w:cs="仿宋"/>
          <w:b/>
          <w:kern w:val="0"/>
          <w:sz w:val="24"/>
        </w:rPr>
        <w:t>乙方权利义务</w:t>
      </w:r>
    </w:p>
    <w:p>
      <w:pPr>
        <w:snapToGrid w:val="0"/>
        <w:spacing w:line="360" w:lineRule="auto"/>
        <w:ind w:firstLine="482"/>
        <w:rPr>
          <w:rFonts w:ascii="仿宋" w:hAnsi="仿宋" w:eastAsia="仿宋" w:cs="仿宋"/>
          <w:kern w:val="0"/>
          <w:sz w:val="24"/>
        </w:rPr>
      </w:pPr>
      <w:r>
        <w:rPr>
          <w:rFonts w:hint="eastAsia" w:ascii="仿宋" w:hAnsi="仿宋" w:eastAsia="仿宋" w:cs="仿宋"/>
          <w:b/>
          <w:sz w:val="24"/>
        </w:rPr>
        <w:t>第十二条</w:t>
      </w:r>
      <w:r>
        <w:rPr>
          <w:rFonts w:hint="eastAsia" w:ascii="仿宋" w:hAnsi="仿宋" w:eastAsia="仿宋" w:cs="仿宋"/>
          <w:b/>
          <w:kern w:val="0"/>
          <w:sz w:val="24"/>
        </w:rPr>
        <w:t>乙方的人员配置</w:t>
      </w:r>
    </w:p>
    <w:p>
      <w:pPr>
        <w:autoSpaceDE w:val="0"/>
        <w:snapToGrid w:val="0"/>
        <w:spacing w:line="360" w:lineRule="auto"/>
        <w:ind w:firstLine="482"/>
        <w:jc w:val="left"/>
      </w:pPr>
      <w:r>
        <w:rPr>
          <w:rFonts w:hint="eastAsia" w:ascii="仿宋" w:hAnsi="仿宋" w:eastAsia="仿宋" w:cs="仿宋"/>
          <w:b/>
          <w:sz w:val="24"/>
        </w:rPr>
        <w:t>第十三条</w:t>
      </w:r>
      <w:r>
        <w:rPr>
          <w:rFonts w:hint="eastAsia" w:ascii="仿宋" w:hAnsi="仿宋" w:eastAsia="仿宋" w:cs="仿宋"/>
          <w:b/>
          <w:kern w:val="0"/>
          <w:sz w:val="24"/>
          <w:lang w:val="zh-CN"/>
        </w:rPr>
        <w:t>争议处理</w:t>
      </w:r>
    </w:p>
    <w:p>
      <w:pPr>
        <w:autoSpaceDE w:val="0"/>
        <w:snapToGrid w:val="0"/>
        <w:spacing w:line="360" w:lineRule="auto"/>
        <w:ind w:firstLine="480"/>
        <w:jc w:val="left"/>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仿宋"/>
          <w:kern w:val="0"/>
          <w:sz w:val="24"/>
          <w:lang w:val="zh-CN"/>
        </w:rPr>
        <w:t>合同在履行过程中发生争议时，甲方与乙方及时协商解决。协商不成时，提请淳安仲裁委员会根据仲裁规则仲裁。</w:t>
      </w:r>
    </w:p>
    <w:p>
      <w:pPr>
        <w:snapToGrid w:val="0"/>
        <w:spacing w:line="360" w:lineRule="auto"/>
        <w:ind w:firstLine="480"/>
        <w:rPr>
          <w:rFonts w:ascii="仿宋" w:hAnsi="仿宋" w:eastAsia="仿宋" w:cs="仿宋"/>
          <w:b/>
          <w:kern w:val="0"/>
          <w:sz w:val="24"/>
          <w:lang w:val="zh-CN"/>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kern w:val="0"/>
          <w:sz w:val="24"/>
          <w:lang w:val="zh-CN"/>
        </w:rPr>
        <w:t>对于因违反或终止合同而引起的损失、损害的赔偿，由甲方与乙方友好协商解决，经协商仍未能达成一致的，提交淳安仲裁委员会仲裁。</w:t>
      </w:r>
    </w:p>
    <w:p>
      <w:pPr>
        <w:autoSpaceDE w:val="0"/>
        <w:snapToGrid w:val="0"/>
        <w:spacing w:line="360" w:lineRule="auto"/>
        <w:ind w:firstLine="482"/>
        <w:jc w:val="left"/>
      </w:pPr>
      <w:r>
        <w:rPr>
          <w:rFonts w:hint="eastAsia" w:ascii="仿宋" w:hAnsi="仿宋" w:eastAsia="仿宋" w:cs="仿宋"/>
          <w:b/>
          <w:sz w:val="24"/>
        </w:rPr>
        <w:t>第十四条</w:t>
      </w:r>
      <w:r>
        <w:rPr>
          <w:rFonts w:hint="eastAsia" w:ascii="仿宋" w:hAnsi="仿宋" w:eastAsia="仿宋" w:cs="仿宋"/>
          <w:b/>
          <w:kern w:val="0"/>
          <w:sz w:val="24"/>
          <w:lang w:val="zh-CN"/>
        </w:rPr>
        <w:t>其他</w:t>
      </w:r>
    </w:p>
    <w:p>
      <w:pPr>
        <w:autoSpaceDE w:val="0"/>
        <w:spacing w:line="360" w:lineRule="auto"/>
        <w:ind w:firstLine="480"/>
        <w:jc w:val="left"/>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仿宋"/>
          <w:kern w:val="0"/>
          <w:sz w:val="24"/>
          <w:lang w:val="zh-CN"/>
        </w:rPr>
        <w:t>未经过甲方的书面同意，乙方不得转让其应履行的合同项下的义务，和将部分合同项下的义务分包给其他单位完成。</w:t>
      </w:r>
    </w:p>
    <w:p>
      <w:pPr>
        <w:autoSpaceDE w:val="0"/>
        <w:spacing w:line="360" w:lineRule="auto"/>
        <w:ind w:firstLine="480"/>
        <w:jc w:val="left"/>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kern w:val="0"/>
          <w:sz w:val="24"/>
          <w:lang w:val="zh-CN"/>
        </w:rPr>
        <w:t>乙方不得参与可能与合同规定的与甲方的利益相冲突的任何活动。</w:t>
      </w:r>
    </w:p>
    <w:p>
      <w:pPr>
        <w:autoSpaceDE w:val="0"/>
        <w:spacing w:line="360" w:lineRule="auto"/>
        <w:ind w:firstLine="480"/>
        <w:jc w:val="left"/>
      </w:pPr>
      <w:r>
        <w:rPr>
          <w:rFonts w:ascii="仿宋" w:hAnsi="仿宋" w:eastAsia="仿宋" w:cs="仿宋"/>
          <w:sz w:val="24"/>
        </w:rPr>
        <w:t>3</w:t>
      </w:r>
      <w:r>
        <w:rPr>
          <w:rFonts w:hint="eastAsia" w:ascii="仿宋" w:hAnsi="仿宋" w:eastAsia="仿宋" w:cs="仿宋"/>
          <w:sz w:val="24"/>
        </w:rPr>
        <w:t>．</w:t>
      </w:r>
      <w:r>
        <w:rPr>
          <w:rFonts w:hint="eastAsia" w:ascii="仿宋" w:hAnsi="仿宋" w:eastAsia="仿宋" w:cs="仿宋"/>
          <w:kern w:val="0"/>
          <w:sz w:val="24"/>
          <w:lang w:val="zh-CN"/>
        </w:rPr>
        <w:t>乙方人员在甲方场地工作时，应遵守甲方相关规章、制度。</w:t>
      </w:r>
    </w:p>
    <w:p>
      <w:pPr>
        <w:autoSpaceDE w:val="0"/>
        <w:spacing w:line="360" w:lineRule="auto"/>
        <w:ind w:firstLine="48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．本合同任何一方给另一方的通知，都应以书面或电传</w:t>
      </w:r>
      <w:r>
        <w:rPr>
          <w:rFonts w:ascii="仿宋" w:hAnsi="仿宋" w:eastAsia="仿宋" w:cs="仿宋"/>
          <w:sz w:val="24"/>
        </w:rPr>
        <w:t>/</w:t>
      </w:r>
      <w:r>
        <w:rPr>
          <w:rFonts w:hint="eastAsia" w:ascii="仿宋" w:hAnsi="仿宋" w:eastAsia="仿宋" w:cs="仿宋"/>
          <w:sz w:val="24"/>
        </w:rPr>
        <w:t>传真</w:t>
      </w:r>
      <w:r>
        <w:rPr>
          <w:rFonts w:ascii="仿宋" w:hAnsi="仿宋" w:eastAsia="仿宋" w:cs="仿宋"/>
          <w:sz w:val="24"/>
        </w:rPr>
        <w:t>/</w:t>
      </w:r>
      <w:r>
        <w:rPr>
          <w:rFonts w:hint="eastAsia" w:ascii="仿宋" w:hAnsi="仿宋" w:eastAsia="仿宋" w:cs="仿宋"/>
          <w:sz w:val="24"/>
        </w:rPr>
        <w:t>电报的形式发送，而另一方应以书面形式确认并发送到对方明确的地址。</w:t>
      </w:r>
    </w:p>
    <w:p>
      <w:pPr>
        <w:autoSpaceDE w:val="0"/>
        <w:spacing w:line="360" w:lineRule="auto"/>
        <w:ind w:firstLine="480"/>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．合同履行期内甲乙双方均不得随意变更或解除合同。合同若有未尽事宜，需经双方共同协商，订立补充协议，补充协议与本合同有同等法律效力。</w:t>
      </w:r>
    </w:p>
    <w:p>
      <w:pPr>
        <w:autoSpaceDE w:val="0"/>
        <w:spacing w:line="360" w:lineRule="auto"/>
        <w:ind w:firstLine="48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．投标文件（编号：号）、投标文件及评标过程中形成的文字资料、询标纪要均作为本合同的组成部分，具有同等效力。</w:t>
      </w:r>
    </w:p>
    <w:p>
      <w:pPr>
        <w:autoSpaceDE w:val="0"/>
        <w:spacing w:line="360" w:lineRule="auto"/>
        <w:ind w:firstLine="480"/>
        <w:jc w:val="left"/>
      </w:pPr>
      <w:r>
        <w:rPr>
          <w:rFonts w:ascii="仿宋" w:hAnsi="仿宋" w:eastAsia="仿宋" w:cs="仿宋"/>
          <w:sz w:val="24"/>
        </w:rPr>
        <w:t>7</w:t>
      </w:r>
      <w:r>
        <w:rPr>
          <w:rFonts w:hint="eastAsia" w:ascii="仿宋" w:hAnsi="仿宋" w:eastAsia="仿宋" w:cs="仿宋"/>
          <w:sz w:val="24"/>
        </w:rPr>
        <w:t>．本合同一式份，甲方执份、乙方执份、采购代理机构执一份。</w:t>
      </w:r>
    </w:p>
    <w:p>
      <w:pPr>
        <w:snapToGrid w:val="0"/>
        <w:spacing w:line="360" w:lineRule="auto"/>
        <w:ind w:firstLine="48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．适用法律：本合同应按照中华人民共和国的法律进行解释。</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sz w:val="24"/>
        </w:rPr>
      </w:pPr>
      <w:r>
        <w:rPr>
          <w:rFonts w:hint="eastAsia" w:ascii="仿宋" w:hAnsi="仿宋" w:eastAsia="仿宋" w:cs="仿宋"/>
          <w:sz w:val="24"/>
        </w:rPr>
        <w:t>甲方（盖章）：乙方（盖章）：</w:t>
      </w:r>
    </w:p>
    <w:p>
      <w:pPr>
        <w:snapToGrid w:val="0"/>
        <w:spacing w:line="360" w:lineRule="auto"/>
        <w:ind w:firstLine="480"/>
        <w:rPr>
          <w:rFonts w:ascii="仿宋" w:hAnsi="仿宋" w:eastAsia="仿宋" w:cs="仿宋"/>
          <w:sz w:val="24"/>
        </w:rPr>
      </w:pPr>
      <w:r>
        <w:rPr>
          <w:rFonts w:hint="eastAsia" w:ascii="仿宋" w:hAnsi="仿宋" w:eastAsia="仿宋" w:cs="仿宋"/>
          <w:sz w:val="24"/>
        </w:rPr>
        <w:t>法定代表人或受委托人（签字）：法定代表人或受委托人（签字）：</w:t>
      </w:r>
    </w:p>
    <w:p>
      <w:pPr>
        <w:snapToGrid w:val="0"/>
        <w:spacing w:line="360" w:lineRule="auto"/>
        <w:ind w:firstLine="480"/>
        <w:rPr>
          <w:rFonts w:ascii="仿宋" w:hAnsi="仿宋" w:eastAsia="仿宋" w:cs="仿宋"/>
          <w:sz w:val="24"/>
        </w:rPr>
      </w:pPr>
      <w:r>
        <w:rPr>
          <w:rFonts w:hint="eastAsia" w:ascii="仿宋" w:hAnsi="仿宋" w:eastAsia="仿宋" w:cs="仿宋"/>
          <w:sz w:val="24"/>
        </w:rPr>
        <w:t>联系人：联系人：</w:t>
      </w:r>
    </w:p>
    <w:p>
      <w:pPr>
        <w:snapToGrid w:val="0"/>
        <w:spacing w:line="360" w:lineRule="auto"/>
        <w:ind w:firstLine="480"/>
        <w:rPr>
          <w:rFonts w:ascii="仿宋" w:hAnsi="仿宋" w:eastAsia="仿宋" w:cs="仿宋"/>
          <w:sz w:val="24"/>
        </w:rPr>
      </w:pPr>
      <w:r>
        <w:rPr>
          <w:rFonts w:hint="eastAsia" w:ascii="仿宋" w:hAnsi="仿宋" w:eastAsia="仿宋" w:cs="仿宋"/>
          <w:sz w:val="24"/>
        </w:rPr>
        <w:t>地址：地址：</w:t>
      </w:r>
    </w:p>
    <w:p>
      <w:pPr>
        <w:snapToGrid w:val="0"/>
        <w:spacing w:line="360" w:lineRule="auto"/>
        <w:ind w:firstLine="480"/>
        <w:rPr>
          <w:rFonts w:ascii="仿宋" w:hAnsi="仿宋" w:eastAsia="仿宋" w:cs="仿宋"/>
          <w:sz w:val="24"/>
        </w:rPr>
      </w:pPr>
      <w:r>
        <w:rPr>
          <w:rFonts w:hint="eastAsia" w:ascii="仿宋" w:hAnsi="仿宋" w:eastAsia="仿宋" w:cs="仿宋"/>
          <w:sz w:val="24"/>
        </w:rPr>
        <w:t>电话和传真：电话传真：</w:t>
      </w:r>
    </w:p>
    <w:p>
      <w:pPr>
        <w:snapToGrid w:val="0"/>
        <w:spacing w:line="360" w:lineRule="auto"/>
        <w:ind w:firstLine="480"/>
        <w:rPr>
          <w:rFonts w:ascii="仿宋" w:hAnsi="仿宋" w:eastAsia="仿宋" w:cs="仿宋"/>
          <w:sz w:val="24"/>
        </w:rPr>
      </w:pPr>
      <w:r>
        <w:rPr>
          <w:rFonts w:hint="eastAsia" w:ascii="仿宋" w:hAnsi="仿宋" w:eastAsia="仿宋" w:cs="仿宋"/>
          <w:sz w:val="24"/>
        </w:rPr>
        <w:t>开户银行：开户银行：</w:t>
      </w:r>
    </w:p>
    <w:p>
      <w:pPr>
        <w:snapToGrid w:val="0"/>
        <w:spacing w:line="360" w:lineRule="auto"/>
        <w:ind w:firstLine="480"/>
        <w:rPr>
          <w:rFonts w:ascii="仿宋" w:hAnsi="仿宋" w:eastAsia="仿宋" w:cs="仿宋"/>
          <w:sz w:val="24"/>
        </w:rPr>
      </w:pPr>
      <w:r>
        <w:rPr>
          <w:rFonts w:hint="eastAsia" w:ascii="仿宋" w:hAnsi="仿宋" w:eastAsia="仿宋" w:cs="仿宋"/>
          <w:sz w:val="24"/>
        </w:rPr>
        <w:t>帐号：帐号：</w:t>
      </w:r>
    </w:p>
    <w:p>
      <w:pPr>
        <w:snapToGrid w:val="0"/>
        <w:spacing w:line="360" w:lineRule="auto"/>
        <w:ind w:firstLine="480"/>
        <w:rPr>
          <w:rFonts w:ascii="仿宋" w:hAnsi="仿宋" w:eastAsia="仿宋" w:cs="仿宋"/>
          <w:sz w:val="24"/>
        </w:rPr>
      </w:pPr>
    </w:p>
    <w:p>
      <w:pPr>
        <w:snapToGrid w:val="0"/>
        <w:spacing w:line="360" w:lineRule="auto"/>
        <w:ind w:right="1920" w:firstLine="480"/>
        <w:jc w:val="center"/>
        <w:rPr>
          <w:rFonts w:ascii="仿宋" w:hAnsi="仿宋" w:eastAsia="仿宋" w:cs="仿宋"/>
          <w:sz w:val="24"/>
        </w:rPr>
      </w:pPr>
      <w:r>
        <w:rPr>
          <w:rFonts w:hint="eastAsia" w:ascii="仿宋" w:hAnsi="仿宋" w:eastAsia="仿宋" w:cs="仿宋"/>
          <w:sz w:val="24"/>
        </w:rPr>
        <w:t>签约地点：</w:t>
      </w:r>
    </w:p>
    <w:p>
      <w:pPr>
        <w:pStyle w:val="72"/>
        <w:snapToGrid w:val="0"/>
        <w:spacing w:line="360" w:lineRule="auto"/>
        <w:ind w:firstLine="480"/>
        <w:rPr>
          <w:rFonts w:ascii="仿宋" w:hAnsi="仿宋" w:eastAsia="仿宋" w:cs="仿宋"/>
        </w:rPr>
      </w:pPr>
      <w:r>
        <w:rPr>
          <w:rFonts w:hint="eastAsia" w:ascii="仿宋" w:hAnsi="仿宋" w:eastAsia="仿宋" w:cs="仿宋"/>
          <w:b w:val="0"/>
        </w:rPr>
        <w:t>签约日期：</w:t>
      </w:r>
      <w:r>
        <w:rPr>
          <w:rFonts w:ascii="仿宋" w:hAnsi="仿宋" w:eastAsia="仿宋" w:cs="仿宋"/>
          <w:b w:val="0"/>
        </w:rPr>
        <w:t>20</w:t>
      </w:r>
      <w:r>
        <w:rPr>
          <w:rFonts w:ascii="仿宋" w:hAnsi="仿宋" w:eastAsia="仿宋" w:cs="仿宋"/>
          <w:b w:val="0"/>
          <w:lang w:val="en-US"/>
        </w:rPr>
        <w:t>21</w:t>
      </w:r>
      <w:r>
        <w:rPr>
          <w:rFonts w:hint="eastAsia" w:ascii="仿宋" w:hAnsi="仿宋" w:eastAsia="仿宋" w:cs="仿宋"/>
          <w:b w:val="0"/>
        </w:rPr>
        <w:t>年月日</w:t>
      </w:r>
    </w:p>
    <w:p>
      <w:pPr>
        <w:autoSpaceDE w:val="0"/>
        <w:spacing w:line="460" w:lineRule="exact"/>
        <w:ind w:firstLine="480"/>
        <w:jc w:val="left"/>
        <w:rPr>
          <w:rFonts w:ascii="仿宋" w:hAnsi="仿宋" w:eastAsia="仿宋" w:cs="仿宋"/>
          <w:kern w:val="0"/>
          <w:sz w:val="24"/>
          <w:lang w:val="zh-CN"/>
        </w:rPr>
      </w:pPr>
    </w:p>
    <w:p>
      <w:pPr>
        <w:autoSpaceDE w:val="0"/>
        <w:spacing w:line="460" w:lineRule="exact"/>
        <w:jc w:val="left"/>
        <w:rPr>
          <w:rFonts w:ascii="仿宋" w:hAnsi="仿宋" w:eastAsia="仿宋" w:cs="仿宋"/>
          <w:kern w:val="0"/>
          <w:sz w:val="24"/>
          <w:lang w:val="zh-CN"/>
        </w:rPr>
      </w:pPr>
      <w:r>
        <w:rPr>
          <w:rFonts w:hint="eastAsia" w:ascii="仿宋" w:hAnsi="仿宋" w:eastAsia="仿宋" w:cs="仿宋"/>
          <w:kern w:val="0"/>
          <w:sz w:val="24"/>
          <w:lang w:val="zh-CN"/>
        </w:rPr>
        <w:t>鉴证方</w:t>
      </w:r>
      <w:r>
        <w:rPr>
          <w:rFonts w:hint="eastAsia" w:ascii="仿宋" w:hAnsi="仿宋" w:eastAsia="仿宋" w:cs="仿宋"/>
          <w:sz w:val="24"/>
        </w:rPr>
        <w:t>（盖章）：</w:t>
      </w:r>
    </w:p>
    <w:p>
      <w:pPr>
        <w:autoSpaceDE w:val="0"/>
        <w:spacing w:line="460" w:lineRule="exact"/>
        <w:jc w:val="left"/>
        <w:rPr>
          <w:rFonts w:ascii="仿宋" w:hAnsi="仿宋" w:eastAsia="仿宋" w:cs="仿宋"/>
          <w:kern w:val="0"/>
          <w:sz w:val="24"/>
          <w:lang w:val="zh-CN"/>
        </w:rPr>
      </w:pPr>
      <w:r>
        <w:rPr>
          <w:rFonts w:hint="eastAsia" w:ascii="仿宋" w:hAnsi="仿宋" w:eastAsia="仿宋" w:cs="仿宋"/>
          <w:sz w:val="24"/>
        </w:rPr>
        <w:t>法定代表人或受委托人（签字）：</w:t>
      </w:r>
    </w:p>
    <w:p>
      <w:pPr>
        <w:autoSpaceDE w:val="0"/>
        <w:spacing w:line="460" w:lineRule="exact"/>
        <w:jc w:val="left"/>
        <w:rPr>
          <w:rFonts w:ascii="仿宋" w:hAnsi="仿宋" w:eastAsia="仿宋" w:cs="仿宋"/>
          <w:kern w:val="0"/>
          <w:sz w:val="24"/>
          <w:lang w:val="zh-CN"/>
        </w:rPr>
      </w:pPr>
    </w:p>
    <w:p>
      <w:pPr>
        <w:pStyle w:val="21"/>
        <w:spacing w:line="360" w:lineRule="auto"/>
        <w:ind w:firstLine="480"/>
        <w:rPr>
          <w:rFonts w:ascii="仿宋" w:hAnsi="仿宋" w:eastAsia="仿宋" w:cs="仿宋"/>
          <w:sz w:val="24"/>
          <w:szCs w:val="24"/>
        </w:rPr>
      </w:pPr>
    </w:p>
    <w:p>
      <w:pPr>
        <w:spacing w:line="360" w:lineRule="auto"/>
        <w:jc w:val="right"/>
        <w:rPr>
          <w:rFonts w:ascii="仿宋" w:hAnsi="仿宋" w:eastAsia="仿宋" w:cs="仿宋"/>
          <w:sz w:val="24"/>
        </w:rPr>
      </w:pPr>
    </w:p>
    <w:p>
      <w:pPr>
        <w:pStyle w:val="78"/>
        <w:spacing w:before="202" w:after="202"/>
        <w:ind w:firstLine="482"/>
        <w:rPr>
          <w:rFonts w:ascii="仿宋" w:hAnsi="仿宋" w:eastAsia="仿宋" w:cs="仿宋"/>
          <w:sz w:val="24"/>
          <w:szCs w:val="24"/>
        </w:rPr>
      </w:pPr>
      <w:r>
        <w:rPr>
          <w:rFonts w:hint="eastAsia" w:ascii="仿宋" w:hAnsi="仿宋" w:eastAsia="仿宋" w:cs="仿宋"/>
          <w:sz w:val="24"/>
          <w:szCs w:val="24"/>
        </w:rPr>
        <w:t>★此仅为合同书样本，中标单位需根据实际情况和采购人签订相应的合同！</w:t>
      </w:r>
      <w:r>
        <w:br w:type="page"/>
      </w:r>
    </w:p>
    <w:p>
      <w:pPr>
        <w:snapToGrid w:val="0"/>
        <w:spacing w:line="360" w:lineRule="auto"/>
        <w:jc w:val="center"/>
        <w:outlineLvl w:val="0"/>
        <w:rPr>
          <w:rFonts w:ascii="仿宋" w:hAnsi="仿宋" w:eastAsia="仿宋" w:cs="仿宋"/>
          <w:b/>
          <w:sz w:val="36"/>
          <w:szCs w:val="20"/>
        </w:rPr>
      </w:pPr>
      <w:bookmarkStart w:id="202" w:name="__RefHeading___Toc16456"/>
      <w:bookmarkEnd w:id="202"/>
      <w:r>
        <w:rPr>
          <w:rFonts w:hint="eastAsia" w:ascii="仿宋" w:hAnsi="仿宋" w:eastAsia="仿宋" w:cs="仿宋"/>
          <w:b/>
          <w:sz w:val="36"/>
          <w:szCs w:val="20"/>
        </w:rPr>
        <w:t>第六部分应提交的有关格式范例</w:t>
      </w:r>
    </w:p>
    <w:p>
      <w:pPr>
        <w:spacing w:line="360" w:lineRule="auto"/>
        <w:ind w:firstLine="480"/>
        <w:rPr>
          <w:rFonts w:ascii="仿宋" w:hAnsi="仿宋" w:eastAsia="仿宋" w:cs="仿宋"/>
          <w:sz w:val="24"/>
        </w:rPr>
      </w:pPr>
      <w:r>
        <w:rPr>
          <w:rFonts w:hint="eastAsia" w:ascii="仿宋" w:hAnsi="仿宋" w:eastAsia="仿宋" w:cs="仿宋"/>
          <w:sz w:val="24"/>
        </w:rPr>
        <w:t>投标人按照以下格式编制投标文件。</w:t>
      </w:r>
    </w:p>
    <w:p>
      <w:pPr>
        <w:spacing w:line="360" w:lineRule="auto"/>
        <w:jc w:val="center"/>
        <w:rPr>
          <w:rFonts w:ascii="仿宋" w:hAnsi="仿宋" w:eastAsia="仿宋" w:cs="仿宋"/>
          <w:sz w:val="36"/>
          <w:szCs w:val="36"/>
          <w:lang w:val="zh-CN"/>
        </w:rPr>
      </w:pPr>
    </w:p>
    <w:p>
      <w:pPr>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w:t>
      </w:r>
      <w:r>
        <w:rPr>
          <w:rFonts w:hint="eastAsia" w:ascii="仿宋" w:hAnsi="仿宋" w:eastAsia="仿宋" w:cs="仿宋"/>
          <w:sz w:val="24"/>
        </w:rPr>
        <w:t>营业执照</w:t>
      </w:r>
      <w:r>
        <w:rPr>
          <w:rFonts w:ascii="仿宋" w:hAnsi="仿宋" w:eastAsia="仿宋" w:cs="仿宋"/>
          <w:sz w:val="24"/>
        </w:rPr>
        <w:t>(</w:t>
      </w:r>
      <w:r>
        <w:rPr>
          <w:rFonts w:hint="eastAsia" w:ascii="仿宋" w:hAnsi="仿宋" w:eastAsia="仿宋" w:cs="仿宋"/>
          <w:sz w:val="24"/>
        </w:rPr>
        <w:t>或事业法人登记证或其他工商等登记证明材料</w:t>
      </w:r>
      <w:r>
        <w:rPr>
          <w:rFonts w:ascii="仿宋" w:hAnsi="仿宋" w:eastAsia="仿宋" w:cs="仿宋"/>
          <w:sz w:val="24"/>
        </w:rPr>
        <w:t>)</w:t>
      </w:r>
      <w:r>
        <w:rPr>
          <w:rFonts w:hint="eastAsia" w:ascii="仿宋" w:hAnsi="仿宋" w:eastAsia="仿宋" w:cs="仿宋"/>
          <w:sz w:val="24"/>
        </w:rPr>
        <w:t>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r>
        <w:rPr>
          <w:rFonts w:hint="eastAsia" w:ascii="仿宋" w:hAnsi="仿宋" w:eastAsia="仿宋" w:cs="仿宋"/>
          <w:kern w:val="0"/>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）法人授权书………………………………………………………………（页码）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）授权代表的身份证（复印件）………………………………………………（页码）</w:t>
      </w:r>
    </w:p>
    <w:p>
      <w:pPr>
        <w:snapToGrid w:val="0"/>
        <w:spacing w:line="360" w:lineRule="auto"/>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w:t>
      </w:r>
      <w:r>
        <w:rPr>
          <w:rFonts w:hint="eastAsia" w:ascii="仿宋" w:hAnsi="仿宋" w:eastAsia="仿宋" w:cs="仿宋"/>
          <w:sz w:val="24"/>
        </w:rPr>
        <w:t>符合参与政府采购活动的资格条件并且没有税收缴纳、社会保障等方面的失信记录的承诺函…………………………………………………………………………（页码）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）具有履行合同所必需的设备和专业技术能力的承诺函……………………（页码）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）参加政府采购活动前三年内，在经营活动中没有重大违法记录的声明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）具有良好商业信誉特别声明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p>
    <w:p>
      <w:pPr>
        <w:spacing w:line="360" w:lineRule="auto"/>
        <w:ind w:firstLine="480"/>
        <w:rPr>
          <w:rFonts w:ascii="仿宋_GB2312;仿宋" w:hAnsi="仿宋_GB2312;仿宋" w:eastAsia="仿宋_GB2312;仿宋" w:cs="仿宋_GB2312;仿宋"/>
          <w:kern w:val="0"/>
          <w:sz w:val="24"/>
        </w:rPr>
      </w:pPr>
    </w:p>
    <w:p>
      <w:pPr>
        <w:snapToGrid w:val="0"/>
        <w:spacing w:line="360" w:lineRule="auto"/>
        <w:jc w:val="center"/>
        <w:rPr>
          <w:rFonts w:ascii="仿宋" w:hAnsi="仿宋" w:eastAsia="仿宋" w:cs="仿宋"/>
          <w:b/>
          <w:sz w:val="28"/>
          <w:szCs w:val="28"/>
        </w:rPr>
      </w:pPr>
      <w:r>
        <w:br w:type="page"/>
      </w:r>
      <w:r>
        <w:rPr>
          <w:rFonts w:hint="eastAsia" w:ascii="仿宋" w:hAnsi="仿宋" w:eastAsia="仿宋" w:cs="仿宋"/>
          <w:b/>
          <w:kern w:val="0"/>
          <w:sz w:val="28"/>
          <w:szCs w:val="28"/>
          <w:lang w:val="zh-CN"/>
        </w:rPr>
        <w:t>一、</w:t>
      </w:r>
      <w:r>
        <w:rPr>
          <w:rFonts w:hint="eastAsia" w:ascii="仿宋" w:hAnsi="仿宋" w:eastAsia="仿宋" w:cs="仿宋"/>
          <w:b/>
          <w:sz w:val="28"/>
          <w:szCs w:val="28"/>
        </w:rPr>
        <w:t>营业执照或事业法人登记证证明材料（复印件）</w:t>
      </w:r>
    </w:p>
    <w:p>
      <w:pPr>
        <w:spacing w:line="360" w:lineRule="auto"/>
        <w:jc w:val="center"/>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pacing w:line="360" w:lineRule="auto"/>
        <w:jc w:val="center"/>
        <w:rPr>
          <w:rFonts w:ascii="仿宋" w:hAnsi="仿宋" w:eastAsia="仿宋" w:cs="仿宋"/>
          <w:b/>
          <w:sz w:val="24"/>
        </w:rPr>
      </w:pPr>
      <w:r>
        <w:rPr>
          <w:rFonts w:hint="eastAsia" w:ascii="仿宋" w:hAnsi="仿宋" w:eastAsia="仿宋" w:cs="仿宋"/>
          <w:kern w:val="0"/>
          <w:sz w:val="24"/>
          <w:lang w:val="zh-CN"/>
        </w:rPr>
        <w:t>日期：年月</w:t>
      </w:r>
    </w:p>
    <w:p>
      <w:pPr>
        <w:spacing w:line="360" w:lineRule="auto"/>
        <w:jc w:val="center"/>
        <w:rPr>
          <w:rFonts w:ascii="仿宋" w:hAnsi="仿宋" w:eastAsia="仿宋" w:cs="仿宋"/>
          <w:b/>
          <w:sz w:val="24"/>
        </w:rPr>
      </w:pPr>
    </w:p>
    <w:p>
      <w:pPr>
        <w:pStyle w:val="32"/>
        <w:ind w:firstLine="210"/>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30"/>
          <w:szCs w:val="30"/>
          <w:lang w:val="zh-CN"/>
        </w:rPr>
      </w:pPr>
      <w:r>
        <w:rPr>
          <w:rFonts w:hint="eastAsia" w:ascii="仿宋" w:hAnsi="仿宋" w:eastAsia="仿宋" w:cs="仿宋"/>
          <w:b/>
          <w:kern w:val="0"/>
          <w:sz w:val="30"/>
          <w:szCs w:val="30"/>
          <w:lang w:val="zh-CN"/>
        </w:rPr>
        <w:t>二、法人授权书</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淳安县人民政府办公室</w:t>
      </w:r>
      <w:r>
        <w:rPr>
          <w:rFonts w:hint="eastAsia" w:ascii="仿宋" w:hAnsi="仿宋" w:eastAsia="仿宋" w:cs="仿宋"/>
          <w:sz w:val="24"/>
        </w:rPr>
        <w:t>、浙江辰光管理有限公司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兹委派我公司先生</w:t>
      </w:r>
      <w:r>
        <w:rPr>
          <w:rFonts w:ascii="仿宋" w:hAnsi="仿宋" w:eastAsia="仿宋" w:cs="仿宋"/>
          <w:kern w:val="0"/>
          <w:sz w:val="24"/>
          <w:lang w:val="zh-CN"/>
        </w:rPr>
        <w:t>/</w:t>
      </w:r>
      <w:r>
        <w:rPr>
          <w:rFonts w:hint="eastAsia" w:ascii="仿宋" w:hAnsi="仿宋" w:eastAsia="仿宋" w:cs="仿宋"/>
          <w:kern w:val="0"/>
          <w:sz w:val="24"/>
          <w:lang w:val="zh-CN"/>
        </w:rPr>
        <w:t>女士</w:t>
      </w:r>
      <w:r>
        <w:rPr>
          <w:rFonts w:ascii="仿宋" w:hAnsi="仿宋" w:eastAsia="仿宋" w:cs="仿宋"/>
          <w:kern w:val="0"/>
          <w:sz w:val="24"/>
          <w:lang w:val="zh-CN"/>
        </w:rPr>
        <w:t>(</w:t>
      </w:r>
      <w:r>
        <w:rPr>
          <w:rFonts w:hint="eastAsia" w:ascii="仿宋" w:hAnsi="仿宋" w:eastAsia="仿宋" w:cs="仿宋"/>
          <w:kern w:val="0"/>
          <w:sz w:val="24"/>
          <w:lang w:val="zh-CN"/>
        </w:rPr>
        <w:t>其在本公司的职务是：，联系电话：手机：传真：</w:t>
      </w:r>
      <w:r>
        <w:rPr>
          <w:rFonts w:ascii="仿宋" w:hAnsi="仿宋" w:eastAsia="仿宋" w:cs="仿宋"/>
          <w:kern w:val="0"/>
          <w:sz w:val="24"/>
          <w:lang w:val="zh-CN"/>
        </w:rPr>
        <w:t>)</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淳安县全链路网络安全监管平台（一期）建设采购项目【招标编号：</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本授权书有效期：自年月日起至年月日止。</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特此告知。</w:t>
      </w:r>
    </w:p>
    <w:p>
      <w:pPr>
        <w:pStyle w:val="76"/>
        <w:spacing w:before="202" w:after="156"/>
        <w:rPr>
          <w:rFonts w:ascii="仿宋" w:hAnsi="仿宋" w:eastAsia="仿宋" w:cs="仿宋"/>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签发日期：年月日</w:t>
      </w:r>
    </w:p>
    <w:p>
      <w:pPr>
        <w:snapToGrid w:val="0"/>
        <w:spacing w:line="360" w:lineRule="auto"/>
        <w:jc w:val="center"/>
        <w:rPr>
          <w:rFonts w:ascii="仿宋" w:hAnsi="仿宋" w:eastAsia="仿宋" w:cs="仿宋"/>
          <w:b/>
          <w:kern w:val="0"/>
          <w:sz w:val="24"/>
          <w:lang w:val="zh-CN"/>
        </w:rPr>
      </w:pPr>
    </w:p>
    <w:p>
      <w:pPr>
        <w:snapToGrid w:val="0"/>
        <w:spacing w:line="360" w:lineRule="auto"/>
        <w:jc w:val="center"/>
        <w:rPr>
          <w:rFonts w:ascii="仿宋" w:hAnsi="仿宋" w:eastAsia="仿宋" w:cs="仿宋"/>
          <w:b/>
          <w:kern w:val="0"/>
          <w:sz w:val="24"/>
          <w:lang w:val="zh-CN"/>
        </w:rPr>
      </w:pPr>
      <w:r>
        <w:rPr>
          <w:rFonts w:ascii="仿宋" w:hAnsi="仿宋" w:eastAsia="仿宋" w:cs="仿宋"/>
          <w:b/>
          <w:kern w:val="0"/>
          <w:sz w:val="24"/>
          <w:lang w:val="zh-CN"/>
        </w:rPr>
        <w:br w:type="page"/>
      </w:r>
    </w:p>
    <w:p>
      <w:pPr>
        <w:snapToGrid w:val="0"/>
        <w:spacing w:line="360" w:lineRule="auto"/>
        <w:jc w:val="center"/>
        <w:rPr>
          <w:rFonts w:ascii="仿宋" w:hAnsi="仿宋" w:eastAsia="仿宋" w:cs="仿宋"/>
          <w:b/>
          <w:kern w:val="0"/>
          <w:sz w:val="30"/>
          <w:szCs w:val="30"/>
          <w:lang w:val="zh-CN"/>
        </w:rPr>
      </w:pPr>
      <w:r>
        <w:rPr>
          <w:rFonts w:hint="eastAsia" w:ascii="仿宋" w:hAnsi="仿宋" w:eastAsia="仿宋" w:cs="仿宋"/>
          <w:b/>
          <w:kern w:val="0"/>
          <w:sz w:val="30"/>
          <w:szCs w:val="30"/>
          <w:lang w:val="zh-CN"/>
        </w:rPr>
        <w:t>联合体投标授权书（适用联合体投标）</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兹委派公司先生</w:t>
      </w:r>
      <w:r>
        <w:rPr>
          <w:rFonts w:ascii="仿宋" w:hAnsi="仿宋" w:eastAsia="仿宋" w:cs="仿宋"/>
          <w:kern w:val="0"/>
          <w:sz w:val="24"/>
          <w:lang w:val="zh-CN"/>
        </w:rPr>
        <w:t>/</w:t>
      </w:r>
      <w:r>
        <w:rPr>
          <w:rFonts w:hint="eastAsia" w:ascii="仿宋" w:hAnsi="仿宋" w:eastAsia="仿宋" w:cs="仿宋"/>
          <w:kern w:val="0"/>
          <w:sz w:val="24"/>
          <w:lang w:val="zh-CN"/>
        </w:rPr>
        <w:t>女士</w:t>
      </w:r>
      <w:r>
        <w:rPr>
          <w:rFonts w:ascii="仿宋" w:hAnsi="仿宋" w:eastAsia="仿宋" w:cs="仿宋"/>
          <w:kern w:val="0"/>
          <w:sz w:val="24"/>
          <w:lang w:val="zh-CN"/>
        </w:rPr>
        <w:t>(</w:t>
      </w:r>
      <w:r>
        <w:rPr>
          <w:rFonts w:hint="eastAsia" w:ascii="仿宋" w:hAnsi="仿宋" w:eastAsia="仿宋" w:cs="仿宋"/>
          <w:kern w:val="0"/>
          <w:sz w:val="24"/>
          <w:lang w:val="zh-CN"/>
        </w:rPr>
        <w:t>其在该公司的职务是：，联系电话：手机：传真：</w:t>
      </w:r>
      <w:r>
        <w:rPr>
          <w:rFonts w:ascii="仿宋" w:hAnsi="仿宋" w:eastAsia="仿宋" w:cs="仿宋"/>
          <w:kern w:val="0"/>
          <w:sz w:val="24"/>
          <w:lang w:val="zh-CN"/>
        </w:rPr>
        <w:t>)</w:t>
      </w:r>
      <w:r>
        <w:rPr>
          <w:rFonts w:hint="eastAsia" w:ascii="仿宋" w:hAnsi="仿宋" w:eastAsia="仿宋" w:cs="仿宋"/>
          <w:kern w:val="0"/>
          <w:sz w:val="24"/>
          <w:lang w:val="zh-CN"/>
        </w:rPr>
        <w:t>；……，代表本联合体全权处理</w:t>
      </w:r>
      <w:r>
        <w:rPr>
          <w:rFonts w:hint="eastAsia" w:ascii="仿宋" w:hAnsi="仿宋" w:eastAsia="仿宋" w:cs="仿宋"/>
          <w:kern w:val="0"/>
          <w:sz w:val="24"/>
          <w:u w:val="single"/>
          <w:lang w:val="zh-CN"/>
        </w:rPr>
        <w:t>淳安县全链路网络安全监管平台（一期）建设采购项目【招标编号：】</w:t>
      </w:r>
      <w:r>
        <w:rPr>
          <w:rFonts w:hint="eastAsia" w:ascii="仿宋" w:hAnsi="仿宋" w:eastAsia="仿宋" w:cs="仿宋"/>
          <w:kern w:val="0"/>
          <w:sz w:val="24"/>
          <w:lang w:val="zh-CN"/>
        </w:rPr>
        <w:t>政府采购投标的一切事项，若中标则全权代表本联合体签订相关合同，并负责处理合同履行等事宜。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本授权书有效期：自年月日起至年月日止。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单位：（电子签名）单位：（电子签名）</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日期：年月日日期：年月日</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pacing w:line="360" w:lineRule="auto"/>
        <w:rPr>
          <w:rFonts w:ascii="仿宋" w:hAnsi="仿宋" w:eastAsia="仿宋" w:cs="仿宋"/>
          <w:sz w:val="24"/>
        </w:rPr>
      </w:pPr>
    </w:p>
    <w:p>
      <w:pPr>
        <w:spacing w:line="360" w:lineRule="auto"/>
        <w:rPr>
          <w:rFonts w:ascii="仿宋" w:hAnsi="仿宋" w:eastAsia="仿宋" w:cs="仿宋"/>
          <w:sz w:val="24"/>
        </w:rPr>
      </w:pPr>
    </w:p>
    <w:p>
      <w:pPr>
        <w:autoSpaceDE w:val="0"/>
        <w:autoSpaceDN w:val="0"/>
        <w:spacing w:line="360" w:lineRule="auto"/>
        <w:jc w:val="center"/>
        <w:rPr>
          <w:rFonts w:ascii="仿宋" w:hAnsi="仿宋" w:eastAsia="仿宋" w:cs="仿宋"/>
          <w:b/>
          <w:bCs/>
          <w:sz w:val="24"/>
        </w:rPr>
      </w:pPr>
      <w:r>
        <w:rPr>
          <w:rFonts w:ascii="仿宋" w:hAnsi="仿宋" w:eastAsia="仿宋" w:cs="仿宋"/>
          <w:b/>
          <w:bCs/>
          <w:sz w:val="24"/>
        </w:rPr>
        <w:br w:type="page"/>
      </w:r>
    </w:p>
    <w:p>
      <w:pPr>
        <w:autoSpaceDE w:val="0"/>
        <w:autoSpaceDN w:val="0"/>
        <w:spacing w:line="360" w:lineRule="auto"/>
        <w:jc w:val="center"/>
        <w:rPr>
          <w:rFonts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授权代表的身份证（复印件）</w:t>
      </w:r>
    </w:p>
    <w:p>
      <w:pPr>
        <w:pStyle w:val="75"/>
        <w:spacing w:line="360" w:lineRule="auto"/>
        <w:rPr>
          <w:rFonts w:ascii="仿宋" w:hAnsi="仿宋" w:eastAsia="仿宋" w:cs="仿宋"/>
          <w:bCs/>
          <w:sz w:val="24"/>
          <w:szCs w:val="24"/>
        </w:rPr>
      </w:pPr>
      <w:r>
        <w:rPr>
          <w:rFonts w:hint="eastAsia" w:ascii="仿宋" w:hAnsi="仿宋" w:eastAsia="仿宋" w:cs="仿宋"/>
          <w:bCs/>
          <w:sz w:val="24"/>
          <w:szCs w:val="24"/>
        </w:rPr>
        <w:t>身份证件扫描件：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75"/>
              <w:spacing w:line="360" w:lineRule="auto"/>
              <w:rPr>
                <w:rFonts w:ascii="仿宋" w:hAnsi="仿宋" w:eastAsia="仿宋" w:cs="仿宋"/>
                <w:bCs/>
                <w:sz w:val="24"/>
                <w:szCs w:val="24"/>
              </w:rPr>
            </w:pPr>
            <w:r>
              <w:rPr>
                <w:rFonts w:hint="eastAsia" w:ascii="仿宋" w:hAnsi="仿宋" w:eastAsia="仿宋" w:cs="仿宋"/>
                <w:bCs/>
                <w:sz w:val="24"/>
                <w:szCs w:val="24"/>
              </w:rPr>
              <w:t>正面：反面：</w:t>
            </w:r>
          </w:p>
          <w:p>
            <w:pPr>
              <w:pStyle w:val="75"/>
              <w:spacing w:line="360" w:lineRule="auto"/>
              <w:rPr>
                <w:rFonts w:ascii="仿宋" w:hAnsi="仿宋" w:eastAsia="仿宋" w:cs="仿宋"/>
                <w:bCs/>
                <w:sz w:val="24"/>
                <w:szCs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日期：年月</w:t>
      </w:r>
    </w:p>
    <w:p>
      <w:pPr>
        <w:spacing w:line="360" w:lineRule="auto"/>
        <w:jc w:val="center"/>
        <w:rPr>
          <w:rFonts w:ascii="仿宋" w:hAnsi="仿宋" w:eastAsia="仿宋" w:cs="仿宋"/>
          <w:kern w:val="0"/>
          <w:sz w:val="24"/>
          <w:lang w:val="zh-CN"/>
        </w:rPr>
      </w:pPr>
    </w:p>
    <w:p>
      <w:pPr>
        <w:spacing w:line="360" w:lineRule="auto"/>
        <w:jc w:val="center"/>
        <w:rPr>
          <w:rFonts w:ascii="仿宋" w:hAnsi="仿宋" w:eastAsia="仿宋" w:cs="仿宋"/>
          <w:b/>
          <w:sz w:val="24"/>
        </w:rPr>
      </w:pPr>
    </w:p>
    <w:p>
      <w:pPr>
        <w:pStyle w:val="76"/>
        <w:spacing w:before="202" w:after="156"/>
        <w:rPr>
          <w:rFonts w:ascii="仿宋" w:hAnsi="仿宋" w:eastAsia="仿宋" w:cs="仿宋"/>
        </w:rPr>
      </w:pPr>
    </w:p>
    <w:p>
      <w:pPr>
        <w:snapToGrid w:val="0"/>
        <w:spacing w:line="360" w:lineRule="auto"/>
        <w:ind w:right="480"/>
        <w:jc w:val="center"/>
        <w:rPr>
          <w:rFonts w:ascii="仿宋" w:hAnsi="仿宋" w:eastAsia="仿宋" w:cs="仿宋"/>
          <w:b/>
          <w:sz w:val="28"/>
          <w:szCs w:val="28"/>
        </w:rPr>
      </w:pPr>
      <w:r>
        <w:rPr>
          <w:rFonts w:hint="eastAsia" w:ascii="仿宋" w:hAnsi="仿宋" w:eastAsia="仿宋" w:cs="仿宋"/>
          <w:b/>
          <w:sz w:val="28"/>
          <w:szCs w:val="28"/>
        </w:rPr>
        <w:t>四、符合参与政府采购活动的资格条件并且没有税收缴纳、社会保障等方面的失信记录的承诺函</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淳安县人民政府办公室</w:t>
      </w:r>
      <w:r>
        <w:rPr>
          <w:rFonts w:hint="eastAsia" w:ascii="仿宋" w:hAnsi="仿宋" w:eastAsia="仿宋" w:cs="仿宋"/>
          <w:sz w:val="24"/>
        </w:rPr>
        <w:t>、浙江辰光管理有限公司</w:t>
      </w:r>
      <w:r>
        <w:rPr>
          <w:rFonts w:hint="eastAsia" w:ascii="仿宋" w:hAnsi="仿宋" w:eastAsia="仿宋" w:cs="仿宋"/>
          <w:kern w:val="0"/>
          <w:sz w:val="24"/>
          <w:lang w:val="zh-CN"/>
        </w:rPr>
        <w:t>：</w:t>
      </w:r>
    </w:p>
    <w:p>
      <w:pPr>
        <w:spacing w:line="360" w:lineRule="auto"/>
        <w:ind w:firstLine="480" w:firstLineChars="200"/>
        <w:rPr>
          <w:rFonts w:ascii="仿宋_GB2312" w:hAnsi="仿宋" w:eastAsia="仿宋_GB2312" w:cs="仿宋_GB2312"/>
          <w:b/>
          <w:sz w:val="30"/>
          <w:szCs w:val="30"/>
        </w:rPr>
      </w:pPr>
      <w:r>
        <w:rPr>
          <w:rFonts w:hint="eastAsia" w:ascii="仿宋_GB2312" w:hAnsi="仿宋" w:eastAsia="仿宋_GB2312" w:cs="仿宋_GB2312"/>
          <w:sz w:val="24"/>
        </w:rPr>
        <w:t>我方郑重承诺，我方符合参与</w:t>
      </w:r>
      <w:r>
        <w:rPr>
          <w:rFonts w:hint="eastAsia" w:ascii="仿宋" w:hAnsi="仿宋" w:eastAsia="仿宋" w:cs="仿宋"/>
          <w:kern w:val="0"/>
          <w:sz w:val="24"/>
          <w:u w:val="single"/>
          <w:lang w:val="zh-CN"/>
        </w:rPr>
        <w:t>淳安县全链路网络安全监管平台（一期）建设采购项目</w:t>
      </w:r>
      <w:r>
        <w:rPr>
          <w:rFonts w:hint="eastAsia" w:ascii="仿宋" w:hAnsi="仿宋" w:eastAsia="仿宋" w:cs="仿宋"/>
          <w:sz w:val="24"/>
          <w:u w:val="single"/>
        </w:rPr>
        <w:t>【招标编号：</w:t>
      </w:r>
      <w:r>
        <w:rPr>
          <w:rFonts w:hint="eastAsia" w:ascii="仿宋" w:hAnsi="仿宋" w:eastAsia="仿宋" w:cs="仿宋"/>
          <w:sz w:val="24"/>
        </w:rPr>
        <w:t>】</w:t>
      </w:r>
      <w:r>
        <w:rPr>
          <w:rFonts w:hint="eastAsia" w:ascii="仿宋_GB2312" w:hAnsi="仿宋" w:eastAsia="仿宋_GB2312" w:cs="仿宋_GB2312"/>
          <w:sz w:val="24"/>
        </w:rPr>
        <w:t>政府采购活动的资格条件并且没有税收缴纳、社会保障等方面的失信记录。</w:t>
      </w:r>
    </w:p>
    <w:p>
      <w:pPr>
        <w:spacing w:line="360" w:lineRule="auto"/>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日期：年月</w:t>
      </w:r>
    </w:p>
    <w:p>
      <w:pPr>
        <w:spacing w:line="360" w:lineRule="auto"/>
        <w:rPr>
          <w:rFonts w:ascii="仿宋" w:hAnsi="仿宋" w:eastAsia="仿宋" w:cs="仿宋"/>
          <w:b/>
          <w:sz w:val="24"/>
        </w:rPr>
      </w:pPr>
    </w:p>
    <w:p>
      <w:pPr>
        <w:snapToGrid w:val="0"/>
        <w:spacing w:line="360" w:lineRule="auto"/>
        <w:ind w:right="480"/>
        <w:jc w:val="center"/>
        <w:rPr>
          <w:rFonts w:ascii="仿宋" w:hAnsi="仿宋" w:eastAsia="仿宋" w:cs="仿宋"/>
          <w:b/>
          <w:kern w:val="0"/>
          <w:sz w:val="24"/>
          <w:lang w:val="zh-CN"/>
        </w:rPr>
      </w:pPr>
    </w:p>
    <w:p>
      <w:pPr>
        <w:snapToGrid w:val="0"/>
        <w:spacing w:line="360" w:lineRule="auto"/>
        <w:ind w:right="480"/>
        <w:jc w:val="center"/>
        <w:rPr>
          <w:rFonts w:ascii="仿宋" w:hAnsi="仿宋" w:eastAsia="仿宋" w:cs="仿宋"/>
          <w:b/>
          <w:kern w:val="0"/>
          <w:sz w:val="30"/>
          <w:szCs w:val="30"/>
        </w:rPr>
      </w:pPr>
      <w:r>
        <w:rPr>
          <w:rFonts w:hint="eastAsia" w:ascii="仿宋" w:hAnsi="仿宋" w:eastAsia="仿宋" w:cs="仿宋"/>
          <w:b/>
          <w:kern w:val="0"/>
          <w:sz w:val="30"/>
          <w:szCs w:val="30"/>
        </w:rPr>
        <w:t>五、具有履行合同所必需的设备和专业技术能力的承诺函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淳安县人民政府办公室</w:t>
      </w:r>
      <w:r>
        <w:rPr>
          <w:rFonts w:hint="eastAsia" w:ascii="仿宋" w:hAnsi="仿宋" w:eastAsia="仿宋" w:cs="仿宋"/>
          <w:sz w:val="24"/>
        </w:rPr>
        <w:t>、浙江辰光管理有限公司：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淳安县全链路网络安全监管平台（一期）建设采购项目</w:t>
      </w:r>
      <w:r>
        <w:rPr>
          <w:rFonts w:hint="eastAsia" w:ascii="仿宋" w:hAnsi="仿宋" w:eastAsia="仿宋" w:cs="仿宋"/>
          <w:sz w:val="24"/>
          <w:u w:val="single"/>
        </w:rPr>
        <w:t>【招标编号：</w:t>
      </w:r>
      <w:r>
        <w:rPr>
          <w:rFonts w:hint="eastAsia" w:ascii="仿宋" w:hAnsi="仿宋" w:eastAsia="仿宋" w:cs="仿宋"/>
          <w:sz w:val="24"/>
        </w:rPr>
        <w:t>】合同所必需的设备和专业技术能力。如中标，我方将保证合同顺利履行。</w:t>
      </w:r>
    </w:p>
    <w:p>
      <w:pPr>
        <w:snapToGrid w:val="0"/>
        <w:spacing w:line="360" w:lineRule="auto"/>
        <w:rPr>
          <w:rFonts w:ascii="仿宋" w:hAnsi="仿宋" w:eastAsia="仿宋" w:cs="仿宋"/>
          <w:kern w:val="0"/>
          <w:sz w:val="24"/>
          <w:lang w:val="zh-CN"/>
        </w:rPr>
      </w:pP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pPr>
        <w:spacing w:line="360" w:lineRule="auto"/>
        <w:jc w:val="center"/>
        <w:rPr>
          <w:rFonts w:ascii="仿宋" w:hAnsi="仿宋" w:eastAsia="仿宋" w:cs="仿宋"/>
          <w:b/>
          <w:kern w:val="0"/>
          <w:sz w:val="24"/>
        </w:rPr>
      </w:pPr>
    </w:p>
    <w:p>
      <w:pPr>
        <w:pStyle w:val="76"/>
        <w:spacing w:before="202" w:after="156"/>
        <w:rPr>
          <w:rFonts w:ascii="仿宋" w:hAnsi="仿宋" w:eastAsia="仿宋" w:cs="仿宋"/>
          <w:b/>
        </w:rPr>
      </w:pPr>
    </w:p>
    <w:p>
      <w:pPr>
        <w:pStyle w:val="76"/>
        <w:spacing w:before="202" w:after="156"/>
        <w:rPr>
          <w:rFonts w:ascii="仿宋" w:hAnsi="仿宋" w:eastAsia="仿宋" w:cs="仿宋"/>
          <w:b/>
        </w:rPr>
      </w:pPr>
    </w:p>
    <w:p>
      <w:pPr>
        <w:numPr>
          <w:ilvl w:val="0"/>
          <w:numId w:val="21"/>
        </w:numPr>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参加政府采购活动前三年内，在经营活动中</w:t>
      </w:r>
    </w:p>
    <w:p>
      <w:pPr>
        <w:spacing w:line="360" w:lineRule="auto"/>
        <w:ind w:firstLine="301" w:firstLineChars="100"/>
        <w:jc w:val="center"/>
        <w:rPr>
          <w:rFonts w:ascii="仿宋" w:hAnsi="仿宋" w:eastAsia="仿宋" w:cs="仿宋"/>
          <w:b/>
          <w:kern w:val="0"/>
          <w:sz w:val="30"/>
          <w:szCs w:val="30"/>
        </w:rPr>
      </w:pPr>
      <w:r>
        <w:rPr>
          <w:rFonts w:hint="eastAsia" w:ascii="仿宋" w:hAnsi="仿宋" w:eastAsia="仿宋" w:cs="仿宋"/>
          <w:b/>
          <w:kern w:val="0"/>
          <w:sz w:val="30"/>
          <w:szCs w:val="30"/>
        </w:rPr>
        <w:t>没有重大违法记录的声明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淳安县人民政府办公室</w:t>
      </w:r>
      <w:r>
        <w:rPr>
          <w:rFonts w:hint="eastAsia" w:ascii="仿宋" w:hAnsi="仿宋" w:eastAsia="仿宋" w:cs="仿宋"/>
          <w:sz w:val="24"/>
        </w:rPr>
        <w:t>、浙江辰光管理有限公司：</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没有重大违法记录。</w:t>
      </w: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jc w:val="center"/>
        <w:rPr>
          <w:rFonts w:ascii="仿宋" w:hAnsi="仿宋" w:eastAsia="仿宋" w:cs="仿宋"/>
          <w:kern w:val="0"/>
          <w:sz w:val="24"/>
          <w:lang w:val="zh-CN"/>
        </w:rPr>
      </w:pPr>
      <w:r>
        <w:rPr>
          <w:rFonts w:ascii="仿宋" w:hAnsi="仿宋" w:eastAsia="仿宋" w:cs="仿宋"/>
          <w:kern w:val="0"/>
          <w:sz w:val="24"/>
          <w:lang w:val="zh-CN"/>
        </w:rPr>
        <w:br w:type="page"/>
      </w:r>
    </w:p>
    <w:p>
      <w:pPr>
        <w:snapToGrid w:val="0"/>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七、具有良好商业信誉特别声明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淳安县人民政府办公室</w:t>
      </w:r>
      <w:r>
        <w:rPr>
          <w:rFonts w:hint="eastAsia" w:ascii="仿宋" w:hAnsi="仿宋" w:eastAsia="仿宋" w:cs="仿宋"/>
          <w:sz w:val="24"/>
        </w:rPr>
        <w:t>、浙江辰光管理有限公司：</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73"/>
        <w:spacing w:before="202"/>
        <w:ind w:firstLine="440" w:firstLineChars="200"/>
        <w:rPr>
          <w:rFonts w:ascii="仿宋" w:hAnsi="仿宋" w:eastAsia="仿宋" w:cs="仿宋"/>
          <w:szCs w:val="24"/>
        </w:rPr>
      </w:pPr>
      <w:r>
        <w:rPr>
          <w:rFonts w:ascii="仿宋" w:hAnsi="仿宋" w:eastAsia="仿宋" w:cs="仿宋"/>
          <w:szCs w:val="24"/>
        </w:rPr>
        <w:t>1</w:t>
      </w:r>
      <w:r>
        <w:rPr>
          <w:rFonts w:hint="eastAsia" w:ascii="仿宋" w:hAnsi="仿宋" w:eastAsia="仿宋" w:cs="仿宋"/>
          <w:b/>
          <w:szCs w:val="24"/>
        </w:rPr>
        <w:t>、</w:t>
      </w:r>
      <w:r>
        <w:rPr>
          <w:rFonts w:hint="eastAsia" w:ascii="仿宋" w:hAnsi="仿宋" w:eastAsia="仿宋" w:cs="仿宋"/>
          <w:szCs w:val="24"/>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、截至投标截止时间，因违反《浙江省政府采购供应商注册及诚信管理暂行办法》而被列入‘黑名单’，在处罚有效期内。</w:t>
      </w:r>
    </w:p>
    <w:p>
      <w:pPr>
        <w:tabs>
          <w:tab w:val="left" w:pos="540"/>
        </w:tabs>
        <w:snapToGrid w:val="0"/>
        <w:spacing w:line="360" w:lineRule="auto"/>
        <w:ind w:firstLine="510"/>
        <w:rPr>
          <w:rFonts w:ascii="仿宋" w:hAnsi="仿宋" w:eastAsia="仿宋" w:cs="仿宋"/>
          <w:sz w:val="24"/>
        </w:rPr>
      </w:pPr>
    </w:p>
    <w:p>
      <w:pPr>
        <w:snapToGrid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八、特定资格条件要求的资质文件（复印件）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 w:hAnsi="仿宋" w:eastAsia="仿宋" w:cs="仿宋"/>
          <w:sz w:val="24"/>
        </w:rPr>
      </w:pPr>
    </w:p>
    <w:p>
      <w:pPr>
        <w:snapToGrid w:val="0"/>
        <w:spacing w:before="50" w:after="50" w:line="360" w:lineRule="auto"/>
        <w:jc w:val="center"/>
        <w:rPr>
          <w:rFonts w:ascii="仿宋" w:hAnsi="仿宋" w:eastAsia="仿宋" w:cs="仿宋_GB2312"/>
          <w:b/>
          <w:sz w:val="30"/>
          <w:szCs w:val="30"/>
        </w:rPr>
      </w:pPr>
      <w:r>
        <w:rPr>
          <w:rFonts w:ascii="仿宋" w:hAnsi="仿宋" w:eastAsia="仿宋" w:cs="仿宋"/>
          <w:sz w:val="24"/>
        </w:rPr>
        <w:br w:type="page"/>
      </w:r>
      <w:r>
        <w:rPr>
          <w:rFonts w:hint="eastAsia" w:ascii="仿宋" w:hAnsi="仿宋" w:eastAsia="仿宋" w:cs="仿宋_GB2312"/>
          <w:b/>
          <w:sz w:val="32"/>
          <w:szCs w:val="32"/>
        </w:rPr>
        <w:t>九</w:t>
      </w:r>
      <w:r>
        <w:rPr>
          <w:rFonts w:hint="eastAsia" w:ascii="仿宋" w:hAnsi="仿宋" w:eastAsia="仿宋" w:cs="仿宋_GB2312"/>
          <w:b/>
          <w:sz w:val="30"/>
          <w:szCs w:val="30"/>
        </w:rPr>
        <w:t>、联合体协议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w:t>
      </w:r>
      <w:r>
        <w:rPr>
          <w:rFonts w:hint="eastAsia" w:ascii="仿宋" w:hAnsi="仿宋" w:eastAsia="仿宋" w:cs="仿宋"/>
          <w:kern w:val="0"/>
          <w:sz w:val="24"/>
          <w:u w:val="single"/>
          <w:lang w:val="zh-CN"/>
        </w:rPr>
        <w:t>淳安县全链路网络安全监管平台（一期）建设采购项目</w:t>
      </w:r>
      <w:r>
        <w:rPr>
          <w:rFonts w:hint="eastAsia" w:ascii="仿宋" w:hAnsi="仿宋" w:eastAsia="仿宋" w:cs="仿宋_GB2312"/>
          <w:sz w:val="24"/>
        </w:rPr>
        <w:t>【招标编号：】</w:t>
      </w:r>
      <w:r>
        <w:rPr>
          <w:rFonts w:hint="eastAsia" w:ascii="仿宋" w:hAnsi="仿宋" w:eastAsia="仿宋" w:cs="仿宋_GB2312"/>
          <w:kern w:val="0"/>
          <w:sz w:val="24"/>
          <w:lang w:val="zh-CN"/>
        </w:rPr>
        <w:t>共同投标。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三、本次联合投标中，分工如下：甲方承担的工作和义务为：；乙方承担的工作和义务为：；……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w:t>
      </w:r>
      <w:r>
        <w:rPr>
          <w:rFonts w:hint="eastAsia" w:ascii="仿宋" w:hAnsi="仿宋" w:eastAsia="仿宋" w:cs="仿宋_GB2312"/>
          <w:kern w:val="0"/>
          <w:sz w:val="24"/>
          <w:lang w:val="zh-CN"/>
        </w:rPr>
        <w:t>、本协议提交采购人、采购机构后，联合体各方不得以任何形式对上述内容进行修改或撤销。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甲方单位：（电子签名）乙方单位：（电子签名）</w:t>
      </w:r>
    </w:p>
    <w:p>
      <w:pPr>
        <w:widowControl/>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日期：年月日日期：年月日</w:t>
      </w:r>
    </w:p>
    <w:p>
      <w:pPr>
        <w:pStyle w:val="32"/>
        <w:ind w:firstLine="240"/>
        <w:rPr>
          <w:rFonts w:ascii="仿宋" w:hAnsi="仿宋" w:eastAsia="仿宋" w:cs="仿宋_GB2312"/>
          <w:kern w:val="0"/>
          <w:sz w:val="24"/>
          <w:lang w:val="zh-CN"/>
        </w:rPr>
      </w:pPr>
    </w:p>
    <w:p>
      <w:pPr>
        <w:spacing w:line="360" w:lineRule="auto"/>
        <w:ind w:firstLine="480"/>
        <w:rPr>
          <w:rFonts w:ascii="仿宋" w:hAnsi="仿宋" w:eastAsia="仿宋" w:cs="仿宋"/>
          <w:b/>
          <w:sz w:val="32"/>
          <w:szCs w:val="32"/>
        </w:rPr>
      </w:pPr>
      <w:r>
        <w:br w:type="page"/>
      </w:r>
    </w:p>
    <w:p>
      <w:pPr>
        <w:snapToGrid w:val="0"/>
        <w:spacing w:before="62" w:beforeLines="20" w:after="62" w:afterLines="20" w:line="360" w:lineRule="auto"/>
        <w:jc w:val="left"/>
      </w:pPr>
    </w:p>
    <w:p>
      <w:pPr>
        <w:snapToGrid w:val="0"/>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24"/>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）投标响应函……………………………………………………（页码）</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）投标（开标）一览表…………………………………………（页码）</w:t>
      </w:r>
    </w:p>
    <w:p>
      <w:pPr>
        <w:spacing w:line="360" w:lineRule="auto"/>
        <w:rPr>
          <w:rFonts w:ascii="仿宋" w:hAnsi="仿宋" w:eastAsia="仿宋" w:cs="仿宋"/>
          <w:kern w:val="0"/>
          <w:sz w:val="24"/>
        </w:rPr>
      </w:pPr>
      <w:r>
        <w:rPr>
          <w:rFonts w:hint="eastAsia" w:ascii="仿宋" w:hAnsi="仿宋" w:eastAsia="仿宋" w:cs="仿宋_GB2312"/>
          <w:sz w:val="24"/>
        </w:rPr>
        <w:t>（3）提供中小企业声明函；…</w:t>
      </w:r>
      <w:r>
        <w:rPr>
          <w:rFonts w:hint="eastAsia" w:ascii="仿宋_GB2312" w:hAnsi="仿宋" w:eastAsia="仿宋_GB2312" w:cs="仿宋_GB2312"/>
          <w:kern w:val="0"/>
          <w:sz w:val="24"/>
        </w:rPr>
        <w:t>……………………………………</w:t>
      </w:r>
      <w:r>
        <w:rPr>
          <w:rFonts w:hint="eastAsia" w:ascii="仿宋" w:hAnsi="仿宋" w:eastAsia="仿宋" w:cs="仿宋_GB2312"/>
          <w:kern w:val="0"/>
          <w:sz w:val="24"/>
        </w:rPr>
        <w:t>（页码）</w:t>
      </w:r>
      <w:r>
        <w:br w:type="page"/>
      </w:r>
    </w:p>
    <w:p>
      <w:pPr>
        <w:snapToGrid w:val="0"/>
        <w:spacing w:line="360" w:lineRule="auto"/>
        <w:jc w:val="center"/>
      </w:pPr>
      <w:r>
        <w:rPr>
          <w:rFonts w:hint="eastAsia" w:ascii="仿宋" w:hAnsi="仿宋" w:eastAsia="仿宋" w:cs="仿宋"/>
          <w:b/>
          <w:kern w:val="0"/>
          <w:sz w:val="32"/>
          <w:szCs w:val="32"/>
        </w:rPr>
        <w:t>一、投标响应</w:t>
      </w:r>
      <w:r>
        <w:rPr>
          <w:rFonts w:hint="eastAsia" w:ascii="仿宋" w:hAnsi="仿宋" w:eastAsia="仿宋" w:cs="仿宋"/>
          <w:b/>
          <w:sz w:val="32"/>
          <w:szCs w:val="32"/>
        </w:rPr>
        <w:t>函</w:t>
      </w:r>
    </w:p>
    <w:p>
      <w:pPr>
        <w:snapToGrid w:val="0"/>
        <w:spacing w:line="360" w:lineRule="auto"/>
      </w:pPr>
      <w:r>
        <w:rPr>
          <w:rFonts w:hint="eastAsia" w:ascii="仿宋" w:hAnsi="仿宋" w:eastAsia="仿宋" w:cs="仿宋"/>
          <w:sz w:val="24"/>
        </w:rPr>
        <w:t>淳安县人民政府办公室、浙江辰光管理有限公司：</w:t>
      </w:r>
    </w:p>
    <w:p>
      <w:pPr>
        <w:snapToGrid w:val="0"/>
        <w:spacing w:line="360" w:lineRule="auto"/>
        <w:ind w:firstLine="480"/>
      </w:pPr>
      <w:r>
        <w:rPr>
          <w:rFonts w:ascii="仿宋" w:hAnsi="仿宋" w:eastAsia="仿宋" w:cs="仿宋"/>
          <w:sz w:val="24"/>
        </w:rPr>
        <w:t>(</w:t>
      </w:r>
      <w:r>
        <w:rPr>
          <w:rFonts w:hint="eastAsia" w:ascii="仿宋" w:hAnsi="仿宋" w:eastAsia="仿宋" w:cs="仿宋"/>
          <w:sz w:val="24"/>
        </w:rPr>
        <w:t>投标人全称</w:t>
      </w:r>
      <w:r>
        <w:rPr>
          <w:rFonts w:ascii="仿宋" w:hAnsi="仿宋" w:eastAsia="仿宋" w:cs="仿宋"/>
          <w:sz w:val="24"/>
        </w:rPr>
        <w:t>)</w:t>
      </w:r>
      <w:r>
        <w:rPr>
          <w:rFonts w:hint="eastAsia" w:ascii="仿宋" w:hAnsi="仿宋" w:eastAsia="仿宋" w:cs="仿宋"/>
          <w:sz w:val="24"/>
        </w:rPr>
        <w:t>授权</w:t>
      </w:r>
      <w:r>
        <w:rPr>
          <w:rFonts w:ascii="仿宋" w:hAnsi="仿宋" w:eastAsia="仿宋" w:cs="仿宋"/>
          <w:sz w:val="24"/>
        </w:rPr>
        <w:t>(</w:t>
      </w:r>
      <w:r>
        <w:rPr>
          <w:rFonts w:hint="eastAsia" w:ascii="仿宋" w:hAnsi="仿宋" w:eastAsia="仿宋" w:cs="仿宋"/>
          <w:sz w:val="24"/>
        </w:rPr>
        <w:t>全权代表姓名</w:t>
      </w:r>
      <w:r>
        <w:rPr>
          <w:rFonts w:ascii="仿宋" w:hAnsi="仿宋" w:eastAsia="仿宋" w:cs="仿宋"/>
          <w:sz w:val="24"/>
        </w:rPr>
        <w:t>)(</w:t>
      </w:r>
      <w:r>
        <w:rPr>
          <w:rFonts w:hint="eastAsia" w:ascii="仿宋" w:hAnsi="仿宋" w:eastAsia="仿宋" w:cs="仿宋"/>
          <w:sz w:val="24"/>
        </w:rPr>
        <w:t>职务、职称</w:t>
      </w:r>
      <w:r>
        <w:rPr>
          <w:rFonts w:ascii="仿宋" w:hAnsi="仿宋" w:eastAsia="仿宋" w:cs="仿宋"/>
          <w:sz w:val="24"/>
        </w:rPr>
        <w:t>)</w:t>
      </w:r>
      <w:r>
        <w:rPr>
          <w:rFonts w:hint="eastAsia" w:ascii="仿宋" w:hAnsi="仿宋" w:eastAsia="仿宋" w:cs="仿宋"/>
          <w:sz w:val="24"/>
        </w:rPr>
        <w:t>为全权代表，参加贵方组织的淳安县全链路网络安全监管平台（一期）建设采购项目【招标编号：</w:t>
      </w:r>
      <w:r>
        <w:rPr>
          <w:rFonts w:hint="eastAsia" w:ascii="仿宋" w:hAnsi="仿宋" w:eastAsia="仿宋" w:cs="仿宋"/>
          <w:b/>
          <w:sz w:val="24"/>
        </w:rPr>
        <w:t>号</w:t>
      </w:r>
      <w:r>
        <w:rPr>
          <w:rFonts w:hint="eastAsia" w:ascii="仿宋" w:hAnsi="仿宋" w:eastAsia="仿宋" w:cs="仿宋"/>
          <w:sz w:val="24"/>
        </w:rPr>
        <w:t>】招标的有关活动，并对此项目进行投标。为此：</w:t>
      </w:r>
    </w:p>
    <w:p>
      <w:pPr>
        <w:snapToGrid w:val="0"/>
        <w:spacing w:line="360" w:lineRule="auto"/>
        <w:ind w:firstLine="480"/>
      </w:pPr>
      <w:r>
        <w:rPr>
          <w:rFonts w:ascii="仿宋" w:hAnsi="仿宋" w:eastAsia="仿宋" w:cs="仿宋"/>
          <w:sz w:val="24"/>
        </w:rPr>
        <w:t>1</w:t>
      </w:r>
      <w:r>
        <w:rPr>
          <w:rFonts w:hint="eastAsia" w:ascii="仿宋" w:hAnsi="仿宋" w:eastAsia="仿宋" w:cs="仿宋"/>
          <w:sz w:val="24"/>
        </w:rPr>
        <w:t>、我方同意在投标人投标人须知规定的开标日期起遵守本投标文件中的承诺且在投标有效期满之前均具有约束力。</w:t>
      </w:r>
    </w:p>
    <w:p>
      <w:pPr>
        <w:snapToGrid w:val="0"/>
        <w:spacing w:line="360" w:lineRule="auto"/>
        <w:ind w:firstLine="48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、我方承诺已经具备《中华人民共和国政府采购法》中规定的参加政府采购活动的供应商应当具备的条件：</w:t>
      </w:r>
    </w:p>
    <w:p>
      <w:pPr>
        <w:snapToGrid w:val="0"/>
        <w:spacing w:line="360" w:lineRule="auto"/>
        <w:ind w:firstLine="48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w:t>
      </w:r>
    </w:p>
    <w:p>
      <w:pPr>
        <w:snapToGrid w:val="0"/>
        <w:spacing w:line="360" w:lineRule="auto"/>
        <w:ind w:firstLine="48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遵守国家法律、行政法规，具有良好的信誉和商业道德；</w:t>
      </w:r>
    </w:p>
    <w:p>
      <w:pPr>
        <w:snapToGrid w:val="0"/>
        <w:spacing w:line="360" w:lineRule="auto"/>
        <w:ind w:firstLine="48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具有履行合同的能力和良好的履行合同记录；</w:t>
      </w:r>
    </w:p>
    <w:p>
      <w:pPr>
        <w:snapToGrid w:val="0"/>
        <w:spacing w:line="360" w:lineRule="auto"/>
        <w:ind w:firstLine="48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良好的资金、财务状况；</w:t>
      </w:r>
    </w:p>
    <w:p>
      <w:pPr>
        <w:snapToGrid w:val="0"/>
        <w:spacing w:line="360" w:lineRule="auto"/>
        <w:ind w:firstLine="48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产品及生产所需装备符合中国政府规定的相应技术标准和环保标准；</w:t>
      </w:r>
    </w:p>
    <w:p>
      <w:pPr>
        <w:snapToGrid w:val="0"/>
        <w:spacing w:line="360" w:lineRule="auto"/>
        <w:ind w:firstLine="48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没有违反政府采购法规、政策的记录；</w:t>
      </w:r>
    </w:p>
    <w:p>
      <w:pPr>
        <w:snapToGrid w:val="0"/>
        <w:spacing w:line="360" w:lineRule="auto"/>
        <w:ind w:firstLine="48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没有发生重大经济纠纷和走私犯罪记录。</w:t>
      </w:r>
    </w:p>
    <w:p>
      <w:pPr>
        <w:snapToGrid w:val="0"/>
        <w:spacing w:line="360" w:lineRule="auto"/>
        <w:ind w:firstLine="480"/>
      </w:pPr>
      <w:r>
        <w:rPr>
          <w:rFonts w:ascii="仿宋" w:hAnsi="仿宋" w:eastAsia="仿宋" w:cs="仿宋"/>
          <w:sz w:val="24"/>
        </w:rPr>
        <w:t>3</w:t>
      </w:r>
      <w:r>
        <w:rPr>
          <w:rFonts w:hint="eastAsia" w:ascii="仿宋" w:hAnsi="仿宋" w:eastAsia="仿宋" w:cs="仿宋"/>
          <w:sz w:val="24"/>
        </w:rPr>
        <w:t>、我方中标后拟在中标后将工作分包，分包承担主体是，我方承诺分包承担主体具备相应资质条件，且不再次分包。（不再将工作进行分包或本项目不允许分包的，下划线处填写“</w:t>
      </w:r>
      <w:r>
        <w:rPr>
          <w:rFonts w:ascii="仿宋" w:hAnsi="仿宋" w:eastAsia="仿宋" w:cs="仿宋"/>
          <w:sz w:val="24"/>
        </w:rPr>
        <w:t>/</w:t>
      </w:r>
      <w:r>
        <w:rPr>
          <w:rFonts w:hint="eastAsia" w:ascii="仿宋" w:hAnsi="仿宋" w:eastAsia="仿宋" w:cs="仿宋"/>
          <w:sz w:val="24"/>
        </w:rPr>
        <w:t>”。）</w:t>
      </w:r>
    </w:p>
    <w:p>
      <w:pPr>
        <w:snapToGrid w:val="0"/>
        <w:spacing w:line="360" w:lineRule="auto"/>
        <w:ind w:firstLine="480"/>
      </w:pPr>
      <w:r>
        <w:rPr>
          <w:rFonts w:ascii="仿宋" w:hAnsi="仿宋" w:eastAsia="仿宋" w:cs="仿宋"/>
          <w:sz w:val="24"/>
          <w:szCs w:val="21"/>
        </w:rPr>
        <w:t>4</w:t>
      </w:r>
      <w:r>
        <w:rPr>
          <w:rFonts w:hint="eastAsia" w:ascii="仿宋" w:hAnsi="仿宋" w:eastAsia="仿宋" w:cs="仿宋"/>
          <w:sz w:val="24"/>
          <w:szCs w:val="21"/>
        </w:rPr>
        <w:t>、提供投标人须知规定的全部投标文件。具体内容为：</w:t>
      </w:r>
    </w:p>
    <w:p>
      <w:pPr>
        <w:snapToGrid w:val="0"/>
        <w:spacing w:line="360" w:lineRule="auto"/>
        <w:ind w:firstLine="48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投标</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w:t>
      </w:r>
    </w:p>
    <w:p>
      <w:pPr>
        <w:snapToGrid w:val="0"/>
        <w:spacing w:line="360" w:lineRule="auto"/>
        <w:ind w:firstLine="480"/>
      </w:pPr>
      <w:r>
        <w:rPr>
          <w:rFonts w:ascii="仿宋" w:hAnsi="仿宋" w:eastAsia="仿宋" w:cs="仿宋"/>
          <w:sz w:val="24"/>
        </w:rPr>
        <w:t>(2)</w:t>
      </w:r>
      <w:r>
        <w:rPr>
          <w:rFonts w:hint="eastAsia" w:ascii="仿宋" w:hAnsi="仿宋" w:eastAsia="仿宋" w:cs="仿宋"/>
          <w:sz w:val="24"/>
        </w:rPr>
        <w:t>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pPr>
      <w:r>
        <w:rPr>
          <w:rFonts w:ascii="仿宋" w:hAnsi="仿宋" w:eastAsia="仿宋" w:cs="仿宋"/>
          <w:sz w:val="24"/>
        </w:rPr>
        <w:t>(3)</w:t>
      </w:r>
      <w:r>
        <w:rPr>
          <w:rFonts w:hint="eastAsia" w:ascii="仿宋" w:hAnsi="仿宋" w:eastAsia="仿宋" w:cs="仿宋"/>
          <w:sz w:val="24"/>
        </w:rPr>
        <w:t>投标人须知要求投标人提交的全部文件；</w:t>
      </w:r>
    </w:p>
    <w:p>
      <w:pPr>
        <w:snapToGrid w:val="0"/>
        <w:spacing w:line="360" w:lineRule="auto"/>
        <w:ind w:firstLine="480"/>
        <w:rPr>
          <w:rFonts w:ascii="仿宋" w:hAnsi="仿宋" w:eastAsia="仿宋" w:cs="仿宋"/>
          <w:sz w:val="24"/>
        </w:rPr>
      </w:pPr>
      <w:r>
        <w:rPr>
          <w:rFonts w:ascii="仿宋" w:hAnsi="仿宋" w:eastAsia="仿宋" w:cs="仿宋"/>
          <w:sz w:val="24"/>
        </w:rPr>
        <w:t xml:space="preserve"> (4)</w:t>
      </w:r>
      <w:r>
        <w:rPr>
          <w:rFonts w:hint="eastAsia" w:ascii="仿宋" w:hAnsi="仿宋" w:eastAsia="仿宋" w:cs="仿宋"/>
          <w:sz w:val="24"/>
        </w:rPr>
        <w:t>按招标文件要求提供和交付的货物和服务的投标报价详见投标</w:t>
      </w:r>
      <w:r>
        <w:rPr>
          <w:rFonts w:ascii="仿宋" w:hAnsi="仿宋" w:eastAsia="仿宋" w:cs="仿宋"/>
          <w:sz w:val="24"/>
        </w:rPr>
        <w:t>(</w:t>
      </w:r>
      <w:r>
        <w:rPr>
          <w:rFonts w:hint="eastAsia" w:ascii="仿宋" w:hAnsi="仿宋" w:eastAsia="仿宋" w:cs="仿宋"/>
          <w:sz w:val="24"/>
        </w:rPr>
        <w:t>开标</w:t>
      </w:r>
      <w:r>
        <w:rPr>
          <w:rFonts w:ascii="仿宋" w:hAnsi="仿宋" w:eastAsia="仿宋" w:cs="仿宋"/>
          <w:sz w:val="24"/>
        </w:rPr>
        <w:t>)</w:t>
      </w:r>
      <w:r>
        <w:rPr>
          <w:rFonts w:hint="eastAsia" w:ascii="仿宋" w:hAnsi="仿宋" w:eastAsia="仿宋" w:cs="仿宋"/>
          <w:sz w:val="24"/>
        </w:rPr>
        <w:t>一览表；</w:t>
      </w:r>
    </w:p>
    <w:p>
      <w:pPr>
        <w:snapToGrid w:val="0"/>
        <w:spacing w:line="360" w:lineRule="auto"/>
        <w:ind w:firstLine="48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保证忠实地执行双方所签订的合同，并承担合同规定的责任和义务；</w:t>
      </w:r>
    </w:p>
    <w:p>
      <w:pPr>
        <w:snapToGrid w:val="0"/>
        <w:spacing w:line="360" w:lineRule="auto"/>
        <w:ind w:firstLine="48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保证遵守招标文件中的其他有关规定。</w:t>
      </w:r>
    </w:p>
    <w:p>
      <w:pPr>
        <w:snapToGrid w:val="0"/>
        <w:spacing w:line="360" w:lineRule="auto"/>
        <w:ind w:firstLine="480"/>
      </w:pPr>
      <w:r>
        <w:rPr>
          <w:rFonts w:ascii="仿宋" w:hAnsi="仿宋" w:eastAsia="仿宋" w:cs="仿宋"/>
          <w:sz w:val="24"/>
        </w:rPr>
        <w:t>5</w:t>
      </w:r>
      <w:r>
        <w:rPr>
          <w:rFonts w:hint="eastAsia" w:ascii="仿宋" w:hAnsi="仿宋" w:eastAsia="仿宋" w:cs="仿宋"/>
          <w:sz w:val="24"/>
        </w:rPr>
        <w:t>、我方承诺投标有效期从提交投标文件的截止之日起天，不少于招标文件中载明的投标有效期（从提交投标文件的截止之日起</w:t>
      </w:r>
      <w:r>
        <w:rPr>
          <w:rFonts w:ascii="仿宋" w:hAnsi="仿宋" w:eastAsia="仿宋" w:cs="仿宋"/>
          <w:sz w:val="24"/>
        </w:rPr>
        <w:t>90</w:t>
      </w:r>
      <w:r>
        <w:rPr>
          <w:rFonts w:hint="eastAsia" w:ascii="仿宋" w:hAnsi="仿宋" w:eastAsia="仿宋" w:cs="仿宋"/>
          <w:sz w:val="24"/>
        </w:rPr>
        <w:t>天）。</w:t>
      </w:r>
    </w:p>
    <w:p>
      <w:pPr>
        <w:snapToGrid w:val="0"/>
        <w:spacing w:line="360" w:lineRule="auto"/>
        <w:ind w:firstLine="48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、我方完全理解贵方不一定要接受最低价的投标。</w:t>
      </w:r>
    </w:p>
    <w:p>
      <w:pPr>
        <w:snapToGrid w:val="0"/>
        <w:spacing w:line="360" w:lineRule="auto"/>
        <w:ind w:firstLine="48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、我方愿意向贵方提供任何与该项投标有关的数据、情况和技术资料。若贵方需要，我方愿意提供我方作出的一切承诺的证明材料。</w:t>
      </w:r>
    </w:p>
    <w:p>
      <w:pPr>
        <w:snapToGrid w:val="0"/>
        <w:spacing w:line="360" w:lineRule="auto"/>
        <w:ind w:firstLine="48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、我方已详细审核全部招标文件，包括招标文件修改书</w:t>
      </w:r>
      <w:r>
        <w:rPr>
          <w:rFonts w:ascii="仿宋" w:hAnsi="仿宋" w:eastAsia="仿宋" w:cs="仿宋"/>
          <w:sz w:val="24"/>
        </w:rPr>
        <w:t>(</w:t>
      </w:r>
      <w:r>
        <w:rPr>
          <w:rFonts w:hint="eastAsia" w:ascii="仿宋" w:hAnsi="仿宋" w:eastAsia="仿宋" w:cs="仿宋"/>
          <w:sz w:val="24"/>
        </w:rPr>
        <w:t>如果有</w:t>
      </w:r>
      <w:r>
        <w:rPr>
          <w:rFonts w:ascii="仿宋" w:hAnsi="仿宋" w:eastAsia="仿宋" w:cs="仿宋"/>
          <w:sz w:val="24"/>
        </w:rPr>
        <w:t>)</w:t>
      </w:r>
      <w:r>
        <w:rPr>
          <w:rFonts w:hint="eastAsia" w:ascii="仿宋" w:hAnsi="仿宋" w:eastAsia="仿宋" w:cs="仿宋"/>
          <w:sz w:val="24"/>
        </w:rPr>
        <w:t>、参考资料及有关附件，确认无误。</w:t>
      </w:r>
    </w:p>
    <w:p>
      <w:pPr>
        <w:snapToGrid w:val="0"/>
        <w:spacing w:line="360" w:lineRule="auto"/>
        <w:ind w:firstLine="48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、我方将严格遵守《中华人民共和国政府采购法》第七十七条规定，供应商有下列情形之一的，处以采购金额</w:t>
      </w:r>
      <w:r>
        <w:rPr>
          <w:rFonts w:ascii="仿宋" w:hAnsi="仿宋" w:eastAsia="仿宋" w:cs="仿宋"/>
          <w:sz w:val="24"/>
        </w:rPr>
        <w:t>5</w:t>
      </w:r>
      <w:r>
        <w:rPr>
          <w:rFonts w:hint="eastAsia" w:ascii="仿宋" w:hAnsi="仿宋" w:eastAsia="仿宋" w:cs="仿宋"/>
          <w:sz w:val="24"/>
        </w:rPr>
        <w:t>‰以上</w:t>
      </w:r>
      <w:r>
        <w:rPr>
          <w:rFonts w:ascii="仿宋" w:hAnsi="仿宋" w:eastAsia="仿宋" w:cs="仿宋"/>
          <w:sz w:val="24"/>
        </w:rPr>
        <w:t>10</w:t>
      </w:r>
      <w:r>
        <w:rPr>
          <w:rFonts w:hint="eastAsia" w:ascii="仿宋" w:hAnsi="仿宋" w:eastAsia="仿宋" w:cs="仿宋"/>
          <w:sz w:val="24"/>
        </w:rPr>
        <w:t>‰以下的罚款，列入不良行为记录名单，在一至三年内禁止参加政府采购活动；有违法所得的，并处没收违法所得；情节严重的，由工商行政管理机关吊销营业执照；构成犯罪的，依法追究刑事责任：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rPr>
          <w:rFonts w:ascii="仿宋" w:hAnsi="仿宋" w:eastAsia="仿宋" w:cs="仿宋"/>
          <w:sz w:val="24"/>
        </w:rPr>
      </w:pPr>
      <w:r>
        <w:rPr>
          <w:rFonts w:ascii="仿宋" w:hAnsi="仿宋" w:eastAsia="仿宋" w:cs="仿宋"/>
          <w:sz w:val="24"/>
        </w:rPr>
        <w:t>a)</w:t>
      </w:r>
      <w:r>
        <w:rPr>
          <w:rFonts w:hint="eastAsia" w:ascii="仿宋" w:hAnsi="仿宋" w:eastAsia="仿宋" w:cs="仿宋"/>
          <w:sz w:val="24"/>
        </w:rPr>
        <w:t>提供虚假材料谋取中标、成交的；</w:t>
      </w:r>
    </w:p>
    <w:p>
      <w:pPr>
        <w:snapToGrid w:val="0"/>
        <w:spacing w:line="360" w:lineRule="auto"/>
        <w:ind w:firstLine="480"/>
        <w:rPr>
          <w:rFonts w:ascii="仿宋" w:hAnsi="仿宋" w:eastAsia="仿宋" w:cs="仿宋"/>
          <w:sz w:val="24"/>
        </w:rPr>
      </w:pPr>
      <w:r>
        <w:rPr>
          <w:rFonts w:ascii="仿宋" w:hAnsi="仿宋" w:eastAsia="仿宋" w:cs="仿宋"/>
          <w:sz w:val="24"/>
        </w:rPr>
        <w:t>b)</w:t>
      </w:r>
      <w:r>
        <w:rPr>
          <w:rFonts w:hint="eastAsia" w:ascii="仿宋" w:hAnsi="仿宋" w:eastAsia="仿宋" w:cs="仿宋"/>
          <w:sz w:val="24"/>
        </w:rPr>
        <w:t>采取不正当手段诋毁、排挤其他供应商的；</w:t>
      </w:r>
    </w:p>
    <w:p>
      <w:pPr>
        <w:snapToGrid w:val="0"/>
        <w:spacing w:line="360" w:lineRule="auto"/>
        <w:ind w:firstLine="480"/>
        <w:rPr>
          <w:rFonts w:ascii="仿宋" w:hAnsi="仿宋" w:eastAsia="仿宋" w:cs="仿宋"/>
          <w:sz w:val="24"/>
        </w:rPr>
      </w:pPr>
      <w:r>
        <w:rPr>
          <w:rFonts w:ascii="仿宋" w:hAnsi="仿宋" w:eastAsia="仿宋" w:cs="仿宋"/>
          <w:sz w:val="24"/>
        </w:rPr>
        <w:t>c)</w:t>
      </w:r>
      <w:r>
        <w:rPr>
          <w:rFonts w:hint="eastAsia" w:ascii="仿宋" w:hAnsi="仿宋" w:eastAsia="仿宋" w:cs="仿宋"/>
          <w:sz w:val="24"/>
        </w:rPr>
        <w:t>与采购人、其它供应商或者采购机构恶意串通的；</w:t>
      </w:r>
    </w:p>
    <w:p>
      <w:pPr>
        <w:snapToGrid w:val="0"/>
        <w:spacing w:line="360" w:lineRule="auto"/>
        <w:ind w:firstLine="480"/>
        <w:rPr>
          <w:rFonts w:ascii="仿宋" w:hAnsi="仿宋" w:eastAsia="仿宋" w:cs="仿宋"/>
          <w:sz w:val="24"/>
        </w:rPr>
      </w:pPr>
      <w:r>
        <w:rPr>
          <w:rFonts w:ascii="仿宋" w:hAnsi="仿宋" w:eastAsia="仿宋" w:cs="仿宋"/>
          <w:sz w:val="24"/>
        </w:rPr>
        <w:t>d)</w:t>
      </w:r>
      <w:r>
        <w:rPr>
          <w:rFonts w:hint="eastAsia" w:ascii="仿宋" w:hAnsi="仿宋" w:eastAsia="仿宋" w:cs="仿宋"/>
          <w:sz w:val="24"/>
        </w:rPr>
        <w:t>向采购人、采购机构行贿或者提供其他不正当利益的；</w:t>
      </w:r>
    </w:p>
    <w:p>
      <w:pPr>
        <w:snapToGrid w:val="0"/>
        <w:spacing w:line="360" w:lineRule="auto"/>
        <w:ind w:firstLine="480"/>
        <w:rPr>
          <w:rFonts w:ascii="仿宋" w:hAnsi="仿宋" w:eastAsia="仿宋" w:cs="仿宋"/>
          <w:sz w:val="24"/>
        </w:rPr>
      </w:pPr>
      <w:r>
        <w:rPr>
          <w:rFonts w:ascii="仿宋" w:hAnsi="仿宋" w:eastAsia="仿宋" w:cs="仿宋"/>
          <w:sz w:val="24"/>
        </w:rPr>
        <w:t>e)</w:t>
      </w:r>
      <w:r>
        <w:rPr>
          <w:rFonts w:hint="eastAsia" w:ascii="仿宋" w:hAnsi="仿宋" w:eastAsia="仿宋" w:cs="仿宋"/>
          <w:sz w:val="24"/>
        </w:rPr>
        <w:t>在招标采购过程中与采购人进行协商谈判的；</w:t>
      </w:r>
    </w:p>
    <w:p>
      <w:pPr>
        <w:snapToGrid w:val="0"/>
        <w:spacing w:line="360" w:lineRule="auto"/>
        <w:ind w:firstLine="480"/>
        <w:rPr>
          <w:rFonts w:ascii="仿宋" w:hAnsi="仿宋" w:eastAsia="仿宋" w:cs="仿宋"/>
          <w:sz w:val="24"/>
        </w:rPr>
      </w:pPr>
      <w:r>
        <w:rPr>
          <w:rFonts w:ascii="仿宋" w:hAnsi="仿宋" w:eastAsia="仿宋" w:cs="仿宋"/>
          <w:sz w:val="24"/>
        </w:rPr>
        <w:t>f)</w:t>
      </w:r>
      <w:r>
        <w:rPr>
          <w:rFonts w:hint="eastAsia" w:ascii="仿宋" w:hAnsi="仿宋" w:eastAsia="仿宋" w:cs="仿宋"/>
          <w:sz w:val="24"/>
        </w:rPr>
        <w:t>拒绝有关部门监督检查或提供虚假情况的。</w:t>
      </w:r>
    </w:p>
    <w:p>
      <w:pPr>
        <w:snapToGrid w:val="0"/>
        <w:spacing w:line="360" w:lineRule="auto"/>
        <w:ind w:firstLine="480"/>
        <w:rPr>
          <w:rFonts w:ascii="仿宋" w:hAnsi="仿宋" w:eastAsia="仿宋" w:cs="仿宋"/>
          <w:sz w:val="24"/>
        </w:rPr>
      </w:pPr>
      <w:r>
        <w:rPr>
          <w:rFonts w:hint="eastAsia" w:ascii="仿宋" w:hAnsi="仿宋" w:eastAsia="仿宋" w:cs="仿宋"/>
          <w:sz w:val="24"/>
        </w:rPr>
        <w:t>供应商有前款第</w:t>
      </w:r>
      <w:r>
        <w:rPr>
          <w:rFonts w:ascii="仿宋" w:hAnsi="仿宋" w:eastAsia="仿宋" w:cs="仿宋"/>
          <w:sz w:val="24"/>
        </w:rPr>
        <w:t>a)</w:t>
      </w:r>
      <w:r>
        <w:rPr>
          <w:rFonts w:hint="eastAsia" w:ascii="仿宋" w:hAnsi="仿宋" w:eastAsia="仿宋" w:cs="仿宋"/>
          <w:sz w:val="24"/>
        </w:rPr>
        <w:t>至</w:t>
      </w:r>
      <w:r>
        <w:rPr>
          <w:rFonts w:ascii="仿宋" w:hAnsi="仿宋" w:eastAsia="仿宋" w:cs="仿宋"/>
          <w:sz w:val="24"/>
        </w:rPr>
        <w:t>e)</w:t>
      </w:r>
      <w:r>
        <w:rPr>
          <w:rFonts w:hint="eastAsia" w:ascii="仿宋" w:hAnsi="仿宋" w:eastAsia="仿宋" w:cs="仿宋"/>
          <w:sz w:val="24"/>
        </w:rPr>
        <w:t>项情形之一的，中标、成交无效。</w:t>
      </w:r>
    </w:p>
    <w:p>
      <w:pPr>
        <w:snapToGrid w:val="0"/>
        <w:spacing w:line="360" w:lineRule="auto"/>
        <w:ind w:firstLine="5460"/>
        <w:rPr>
          <w:rFonts w:ascii="仿宋" w:hAnsi="仿宋" w:eastAsia="仿宋" w:cs="仿宋"/>
          <w:sz w:val="24"/>
        </w:rPr>
      </w:pPr>
      <w:r>
        <w:rPr>
          <w:rFonts w:hint="eastAsia" w:ascii="仿宋" w:hAnsi="仿宋" w:eastAsia="仿宋" w:cs="仿宋"/>
          <w:sz w:val="24"/>
        </w:rPr>
        <w:t>投标人名称</w:t>
      </w:r>
      <w:r>
        <w:rPr>
          <w:rFonts w:ascii="仿宋" w:hAnsi="仿宋" w:eastAsia="仿宋" w:cs="仿宋"/>
          <w:sz w:val="24"/>
        </w:rPr>
        <w:t>(</w:t>
      </w:r>
      <w:r>
        <w:rPr>
          <w:rFonts w:hint="eastAsia" w:ascii="仿宋" w:hAnsi="仿宋" w:eastAsia="仿宋" w:cs="仿宋"/>
          <w:sz w:val="24"/>
        </w:rPr>
        <w:t>电子签名</w:t>
      </w:r>
      <w:r>
        <w:rPr>
          <w:rFonts w:ascii="仿宋" w:hAnsi="仿宋" w:eastAsia="仿宋" w:cs="仿宋"/>
          <w:sz w:val="24"/>
        </w:rPr>
        <w:t>)</w:t>
      </w:r>
      <w:r>
        <w:rPr>
          <w:rFonts w:hint="eastAsia" w:ascii="仿宋" w:hAnsi="仿宋" w:eastAsia="仿宋" w:cs="仿宋"/>
          <w:sz w:val="24"/>
        </w:rPr>
        <w:t>：</w:t>
      </w:r>
    </w:p>
    <w:p>
      <w:pPr>
        <w:snapToGrid w:val="0"/>
        <w:spacing w:line="360" w:lineRule="auto"/>
        <w:ind w:firstLine="5460"/>
        <w:rPr>
          <w:rFonts w:ascii="仿宋" w:hAnsi="仿宋" w:eastAsia="仿宋" w:cs="仿宋"/>
          <w:kern w:val="0"/>
          <w:sz w:val="24"/>
          <w:u w:val="single"/>
          <w:lang w:val="zh-CN"/>
        </w:rPr>
      </w:pPr>
      <w:r>
        <w:rPr>
          <w:rFonts w:hint="eastAsia" w:ascii="仿宋" w:hAnsi="仿宋" w:eastAsia="仿宋" w:cs="仿宋"/>
          <w:sz w:val="24"/>
        </w:rPr>
        <w:t>日期：年月日</w:t>
      </w:r>
    </w:p>
    <w:p>
      <w:pPr>
        <w:snapToGrid w:val="0"/>
        <w:spacing w:line="360" w:lineRule="auto"/>
        <w:ind w:left="420"/>
        <w:rPr>
          <w:rFonts w:ascii="仿宋" w:hAnsi="仿宋" w:eastAsia="仿宋" w:cs="仿宋"/>
          <w:kern w:val="0"/>
          <w:sz w:val="24"/>
        </w:rPr>
      </w:pPr>
      <w:r>
        <w:rPr>
          <w:rFonts w:hint="eastAsia" w:ascii="仿宋" w:hAnsi="仿宋" w:eastAsia="仿宋" w:cs="仿宋"/>
          <w:kern w:val="0"/>
          <w:sz w:val="24"/>
          <w:lang w:val="zh-CN"/>
        </w:rPr>
        <w:t>联系人：联系电话：</w:t>
      </w:r>
    </w:p>
    <w:p>
      <w:pPr>
        <w:snapToGrid w:val="0"/>
        <w:spacing w:line="360" w:lineRule="auto"/>
        <w:ind w:left="420"/>
        <w:rPr>
          <w:rFonts w:ascii="仿宋" w:hAnsi="仿宋" w:eastAsia="仿宋" w:cs="仿宋"/>
          <w:kern w:val="0"/>
          <w:sz w:val="24"/>
        </w:rPr>
      </w:pPr>
      <w:r>
        <w:rPr>
          <w:rFonts w:hint="eastAsia" w:ascii="仿宋" w:hAnsi="仿宋" w:eastAsia="仿宋" w:cs="仿宋"/>
          <w:kern w:val="0"/>
          <w:sz w:val="24"/>
          <w:lang w:val="zh-CN"/>
        </w:rPr>
        <w:t>联系地址：</w:t>
      </w:r>
    </w:p>
    <w:p>
      <w:pPr>
        <w:snapToGrid w:val="0"/>
        <w:spacing w:line="360" w:lineRule="auto"/>
        <w:ind w:left="420"/>
        <w:rPr>
          <w:rFonts w:ascii="仿宋" w:hAnsi="仿宋" w:eastAsia="仿宋" w:cs="仿宋"/>
          <w:kern w:val="0"/>
          <w:sz w:val="24"/>
        </w:rPr>
      </w:pPr>
      <w:r>
        <w:rPr>
          <w:rFonts w:hint="eastAsia" w:ascii="仿宋" w:hAnsi="仿宋" w:eastAsia="仿宋" w:cs="仿宋"/>
          <w:kern w:val="0"/>
          <w:sz w:val="24"/>
          <w:lang w:val="zh-CN"/>
        </w:rPr>
        <w:t>邮政编码：传真号码：</w:t>
      </w:r>
    </w:p>
    <w:p>
      <w:pPr>
        <w:snapToGrid w:val="0"/>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注：未按照本投标响应函要求填报的将被视为非实质性响应投标，从而可能导致该投标被拒绝。</w:t>
      </w:r>
    </w:p>
    <w:p>
      <w:pPr>
        <w:rPr>
          <w:rFonts w:ascii="仿宋" w:hAnsi="仿宋" w:eastAsia="仿宋" w:cs="仿宋"/>
          <w:b/>
          <w:kern w:val="0"/>
          <w:sz w:val="24"/>
          <w:lang w:val="zh-CN"/>
        </w:rPr>
        <w:sectPr>
          <w:headerReference r:id="rId6" w:type="default"/>
          <w:footerReference r:id="rId7" w:type="default"/>
          <w:pgSz w:w="11906" w:h="16838"/>
          <w:pgMar w:top="1247" w:right="1417" w:bottom="1247" w:left="1417" w:header="851" w:footer="992" w:gutter="0"/>
          <w:cols w:space="720" w:num="1"/>
          <w:formProt w:val="0"/>
          <w:docGrid w:type="lines" w:linePitch="312" w:charSpace="0"/>
        </w:sect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二、投标</w:t>
      </w:r>
      <w:r>
        <w:rPr>
          <w:rFonts w:ascii="仿宋" w:hAnsi="仿宋" w:eastAsia="仿宋" w:cs="仿宋"/>
          <w:b/>
          <w:kern w:val="0"/>
          <w:sz w:val="32"/>
          <w:szCs w:val="32"/>
          <w:lang w:val="zh-CN"/>
        </w:rPr>
        <w:t>(</w:t>
      </w:r>
      <w:r>
        <w:rPr>
          <w:rFonts w:hint="eastAsia" w:ascii="仿宋" w:hAnsi="仿宋" w:eastAsia="仿宋" w:cs="仿宋"/>
          <w:b/>
          <w:kern w:val="0"/>
          <w:sz w:val="32"/>
          <w:szCs w:val="32"/>
          <w:lang w:val="zh-CN"/>
        </w:rPr>
        <w:t>开标</w:t>
      </w:r>
      <w:r>
        <w:rPr>
          <w:rFonts w:ascii="仿宋" w:hAnsi="仿宋" w:eastAsia="仿宋" w:cs="仿宋"/>
          <w:b/>
          <w:kern w:val="0"/>
          <w:sz w:val="32"/>
          <w:szCs w:val="32"/>
          <w:lang w:val="zh-CN"/>
        </w:rPr>
        <w:t>)</w:t>
      </w:r>
      <w:r>
        <w:rPr>
          <w:rFonts w:hint="eastAsia" w:ascii="仿宋" w:hAnsi="仿宋" w:eastAsia="仿宋" w:cs="仿宋"/>
          <w:b/>
          <w:kern w:val="0"/>
          <w:sz w:val="32"/>
          <w:szCs w:val="32"/>
          <w:lang w:val="zh-CN"/>
        </w:rPr>
        <w:t>一览表</w:t>
      </w:r>
    </w:p>
    <w:p>
      <w:pPr>
        <w:snapToGrid w:val="0"/>
        <w:spacing w:line="360" w:lineRule="auto"/>
        <w:rPr>
          <w:rFonts w:ascii="仿宋" w:hAnsi="仿宋" w:eastAsia="仿宋" w:cs="仿宋"/>
          <w:kern w:val="0"/>
          <w:sz w:val="24"/>
        </w:rPr>
      </w:pPr>
      <w:r>
        <w:rPr>
          <w:rFonts w:hint="eastAsia" w:ascii="仿宋" w:hAnsi="仿宋" w:eastAsia="仿宋" w:cs="仿宋"/>
          <w:sz w:val="24"/>
        </w:rPr>
        <w:t>淳安县人民政府办公室、浙江辰光管理有限公司</w:t>
      </w:r>
      <w:r>
        <w:rPr>
          <w:rFonts w:hint="eastAsia" w:ascii="仿宋" w:hAnsi="仿宋" w:eastAsia="仿宋" w:cs="仿宋"/>
          <w:kern w:val="0"/>
          <w:sz w:val="24"/>
          <w:lang w:val="zh-CN"/>
        </w:rPr>
        <w:t>：</w:t>
      </w:r>
    </w:p>
    <w:p>
      <w:pPr>
        <w:snapToGrid w:val="0"/>
        <w:spacing w:line="360" w:lineRule="auto"/>
        <w:ind w:firstLine="482"/>
      </w:pPr>
      <w:r>
        <w:rPr>
          <w:rFonts w:hint="eastAsia" w:ascii="仿宋" w:hAnsi="仿宋" w:eastAsia="仿宋" w:cs="仿宋"/>
          <w:kern w:val="0"/>
          <w:sz w:val="24"/>
          <w:lang w:val="zh-CN"/>
        </w:rPr>
        <w:t>按你方招标文件要求，我们，本投标文件签字方，谨此向你方发出要约如下：如你方接受本投标，我方承诺按照如下投标</w:t>
      </w:r>
      <w:r>
        <w:rPr>
          <w:rFonts w:ascii="仿宋" w:hAnsi="仿宋" w:eastAsia="仿宋" w:cs="仿宋"/>
          <w:kern w:val="0"/>
          <w:sz w:val="24"/>
          <w:lang w:val="zh-CN"/>
        </w:rPr>
        <w:t>(</w:t>
      </w:r>
      <w:r>
        <w:rPr>
          <w:rFonts w:hint="eastAsia" w:ascii="仿宋" w:hAnsi="仿宋" w:eastAsia="仿宋" w:cs="仿宋"/>
          <w:kern w:val="0"/>
          <w:sz w:val="24"/>
          <w:lang w:val="zh-CN"/>
        </w:rPr>
        <w:t>开标</w:t>
      </w:r>
      <w:r>
        <w:rPr>
          <w:rFonts w:ascii="仿宋" w:hAnsi="仿宋" w:eastAsia="仿宋" w:cs="仿宋"/>
          <w:kern w:val="0"/>
          <w:sz w:val="24"/>
          <w:lang w:val="zh-CN"/>
        </w:rPr>
        <w:t>)</w:t>
      </w:r>
      <w:r>
        <w:rPr>
          <w:rFonts w:hint="eastAsia" w:ascii="仿宋" w:hAnsi="仿宋" w:eastAsia="仿宋" w:cs="仿宋"/>
          <w:kern w:val="0"/>
          <w:sz w:val="24"/>
          <w:lang w:val="zh-CN"/>
        </w:rPr>
        <w:t>一览表的价格完成</w:t>
      </w:r>
      <w:r>
        <w:rPr>
          <w:rFonts w:hint="eastAsia" w:ascii="仿宋" w:hAnsi="仿宋" w:eastAsia="仿宋" w:cs="仿宋"/>
          <w:sz w:val="24"/>
        </w:rPr>
        <w:t>淳安县全链路网络安全监管平台（一期）建设采购项目</w:t>
      </w:r>
      <w:r>
        <w:rPr>
          <w:rFonts w:hint="eastAsia" w:ascii="仿宋" w:hAnsi="仿宋" w:eastAsia="仿宋" w:cs="仿宋"/>
          <w:kern w:val="0"/>
          <w:sz w:val="24"/>
          <w:lang w:val="zh-CN"/>
        </w:rPr>
        <w:t>【招标编号：</w:t>
      </w:r>
      <w:r>
        <w:rPr>
          <w:rFonts w:hint="eastAsia" w:ascii="仿宋" w:hAnsi="仿宋" w:eastAsia="仿宋" w:cs="仿宋"/>
          <w:b/>
          <w:sz w:val="24"/>
        </w:rPr>
        <w:t>号</w:t>
      </w:r>
      <w:r>
        <w:rPr>
          <w:rFonts w:hint="eastAsia" w:ascii="仿宋" w:hAnsi="仿宋" w:eastAsia="仿宋" w:cs="仿宋"/>
          <w:sz w:val="24"/>
        </w:rPr>
        <w:t>】的实施</w:t>
      </w:r>
      <w:r>
        <w:rPr>
          <w:rFonts w:hint="eastAsia" w:ascii="仿宋" w:hAnsi="仿宋" w:eastAsia="仿宋" w:cs="仿宋"/>
          <w:kern w:val="0"/>
          <w:sz w:val="24"/>
          <w:lang w:val="zh-CN"/>
        </w:rPr>
        <w:t>。</w:t>
      </w:r>
    </w:p>
    <w:p>
      <w:pPr>
        <w:snapToGrid w:val="0"/>
        <w:spacing w:before="62" w:beforeLines="20" w:after="62" w:afterLines="20" w:line="360" w:lineRule="auto"/>
        <w:ind w:firstLine="240"/>
        <w:rPr>
          <w:rFonts w:ascii="仿宋" w:hAnsi="仿宋" w:eastAsia="仿宋" w:cs="仿宋"/>
          <w:kern w:val="0"/>
          <w:sz w:val="24"/>
          <w:lang w:val="zh-CN"/>
        </w:rPr>
      </w:pPr>
    </w:p>
    <w:p>
      <w:pPr>
        <w:snapToGrid w:val="0"/>
        <w:spacing w:before="62" w:beforeLines="20" w:after="62" w:afterLines="20" w:line="360" w:lineRule="auto"/>
        <w:ind w:firstLine="240"/>
        <w:rPr>
          <w:rFonts w:ascii="仿宋" w:hAnsi="仿宋" w:eastAsia="仿宋" w:cs="仿宋"/>
          <w:sz w:val="24"/>
        </w:rPr>
      </w:pPr>
      <w:r>
        <w:rPr>
          <w:rFonts w:hint="eastAsia" w:ascii="仿宋" w:hAnsi="仿宋" w:eastAsia="仿宋" w:cs="仿宋"/>
          <w:sz w:val="24"/>
        </w:rPr>
        <w:t>项目名称：项目编号：</w:t>
      </w:r>
    </w:p>
    <w:p>
      <w:pPr>
        <w:snapToGrid w:val="0"/>
        <w:spacing w:before="62" w:beforeLines="20" w:after="62" w:afterLines="20" w:line="360" w:lineRule="auto"/>
        <w:ind w:firstLine="240"/>
        <w:rPr>
          <w:rFonts w:cs="仿宋"/>
        </w:rPr>
      </w:pPr>
      <w:r>
        <w:rPr>
          <w:rFonts w:hint="eastAsia" w:ascii="仿宋" w:hAnsi="仿宋" w:eastAsia="仿宋" w:cs="仿宋"/>
          <w:sz w:val="24"/>
          <w:szCs w:val="20"/>
        </w:rPr>
        <w:t>单位：元</w:t>
      </w:r>
    </w:p>
    <w:tbl>
      <w:tblPr>
        <w:tblStyle w:val="34"/>
        <w:tblW w:w="10006" w:type="dxa"/>
        <w:jc w:val="center"/>
        <w:tblLayout w:type="fixed"/>
        <w:tblCellMar>
          <w:top w:w="0" w:type="dxa"/>
          <w:left w:w="108" w:type="dxa"/>
          <w:bottom w:w="0" w:type="dxa"/>
          <w:right w:w="108" w:type="dxa"/>
        </w:tblCellMar>
      </w:tblPr>
      <w:tblGrid>
        <w:gridCol w:w="779"/>
        <w:gridCol w:w="2259"/>
        <w:gridCol w:w="3947"/>
        <w:gridCol w:w="1642"/>
        <w:gridCol w:w="1379"/>
      </w:tblGrid>
      <w:tr>
        <w:tblPrEx>
          <w:tblCellMar>
            <w:top w:w="0" w:type="dxa"/>
            <w:left w:w="108" w:type="dxa"/>
            <w:bottom w:w="0" w:type="dxa"/>
            <w:right w:w="108" w:type="dxa"/>
          </w:tblCellMar>
        </w:tblPrEx>
        <w:trPr>
          <w:cantSplit/>
          <w:trHeight w:val="956" w:hRule="atLeast"/>
          <w:jc w:val="center"/>
        </w:trPr>
        <w:tc>
          <w:tcPr>
            <w:tcW w:w="779" w:type="dxa"/>
            <w:tcBorders>
              <w:top w:val="single" w:color="000000" w:sz="12" w:space="0"/>
              <w:left w:val="single" w:color="000000" w:sz="12" w:space="0"/>
              <w:bottom w:val="single" w:color="000000" w:sz="6" w:space="0"/>
              <w:right w:val="single" w:color="000000" w:sz="6" w:space="0"/>
            </w:tcBorders>
            <w:noWrap w:val="0"/>
            <w:vAlign w:val="center"/>
          </w:tcPr>
          <w:p>
            <w:pPr>
              <w:spacing w:line="360" w:lineRule="auto"/>
              <w:ind w:right="-21"/>
              <w:jc w:val="center"/>
              <w:rPr>
                <w:rFonts w:ascii="仿宋" w:hAnsi="仿宋" w:eastAsia="仿宋" w:cs="仿宋"/>
                <w:sz w:val="24"/>
              </w:rPr>
            </w:pPr>
            <w:r>
              <w:rPr>
                <w:rFonts w:hint="eastAsia" w:ascii="仿宋" w:hAnsi="仿宋" w:eastAsia="仿宋" w:cs="仿宋"/>
                <w:sz w:val="24"/>
              </w:rPr>
              <w:t>序号</w:t>
            </w:r>
          </w:p>
        </w:tc>
        <w:tc>
          <w:tcPr>
            <w:tcW w:w="2259" w:type="dxa"/>
            <w:tcBorders>
              <w:top w:val="single" w:color="000000" w:sz="12" w:space="0"/>
              <w:left w:val="single" w:color="000000" w:sz="6" w:space="0"/>
              <w:bottom w:val="single" w:color="000000" w:sz="6" w:space="0"/>
              <w:right w:val="single" w:color="000000" w:sz="6" w:space="0"/>
            </w:tcBorders>
            <w:noWrap w:val="0"/>
            <w:vAlign w:val="center"/>
          </w:tcPr>
          <w:p>
            <w:pPr>
              <w:spacing w:line="360" w:lineRule="auto"/>
              <w:ind w:right="-21"/>
              <w:jc w:val="center"/>
              <w:rPr>
                <w:rFonts w:ascii="仿宋" w:hAnsi="仿宋" w:eastAsia="仿宋" w:cs="仿宋"/>
                <w:sz w:val="24"/>
              </w:rPr>
            </w:pPr>
            <w:r>
              <w:rPr>
                <w:rFonts w:hint="eastAsia" w:ascii="仿宋" w:hAnsi="仿宋" w:eastAsia="仿宋" w:cs="仿宋"/>
                <w:sz w:val="24"/>
              </w:rPr>
              <w:t>项目名称</w:t>
            </w:r>
          </w:p>
        </w:tc>
        <w:tc>
          <w:tcPr>
            <w:tcW w:w="3947" w:type="dxa"/>
            <w:tcBorders>
              <w:top w:val="single" w:color="000000" w:sz="12" w:space="0"/>
              <w:left w:val="single" w:color="000000" w:sz="6" w:space="0"/>
              <w:bottom w:val="single" w:color="000000" w:sz="6" w:space="0"/>
              <w:right w:val="single" w:color="000000" w:sz="4" w:space="0"/>
            </w:tcBorders>
            <w:noWrap w:val="0"/>
            <w:vAlign w:val="center"/>
          </w:tcPr>
          <w:p>
            <w:pPr>
              <w:spacing w:line="360" w:lineRule="auto"/>
              <w:ind w:right="-21"/>
              <w:jc w:val="center"/>
              <w:rPr>
                <w:rFonts w:ascii="仿宋" w:hAnsi="仿宋" w:eastAsia="仿宋" w:cs="仿宋"/>
                <w:sz w:val="24"/>
              </w:rPr>
            </w:pPr>
            <w:r>
              <w:rPr>
                <w:rFonts w:hint="eastAsia" w:ascii="仿宋" w:hAnsi="仿宋" w:eastAsia="仿宋" w:cs="仿宋"/>
                <w:sz w:val="24"/>
              </w:rPr>
              <w:t>投标报价（元）</w:t>
            </w:r>
          </w:p>
        </w:tc>
        <w:tc>
          <w:tcPr>
            <w:tcW w:w="1642" w:type="dxa"/>
            <w:tcBorders>
              <w:top w:val="single" w:color="000000" w:sz="12" w:space="0"/>
              <w:left w:val="single" w:color="000000" w:sz="4" w:space="0"/>
              <w:bottom w:val="single" w:color="000000" w:sz="6" w:space="0"/>
              <w:right w:val="single" w:color="000000" w:sz="4" w:space="0"/>
            </w:tcBorders>
            <w:noWrap w:val="0"/>
            <w:vAlign w:val="center"/>
          </w:tcPr>
          <w:p>
            <w:pPr>
              <w:spacing w:line="360" w:lineRule="auto"/>
              <w:ind w:right="-21"/>
              <w:jc w:val="center"/>
              <w:rPr>
                <w:rFonts w:ascii="仿宋" w:hAnsi="仿宋" w:eastAsia="仿宋" w:cs="仿宋"/>
                <w:sz w:val="24"/>
              </w:rPr>
            </w:pPr>
            <w:r>
              <w:rPr>
                <w:rFonts w:hint="eastAsia" w:ascii="仿宋" w:hAnsi="仿宋" w:eastAsia="仿宋" w:cs="仿宋"/>
                <w:sz w:val="24"/>
              </w:rPr>
              <w:t>项目负责人</w:t>
            </w:r>
          </w:p>
        </w:tc>
        <w:tc>
          <w:tcPr>
            <w:tcW w:w="1379" w:type="dxa"/>
            <w:tcBorders>
              <w:top w:val="single" w:color="000000" w:sz="12" w:space="0"/>
              <w:left w:val="single" w:color="000000" w:sz="4" w:space="0"/>
              <w:bottom w:val="single" w:color="000000" w:sz="6" w:space="0"/>
              <w:right w:val="single" w:color="000000" w:sz="12" w:space="0"/>
            </w:tcBorders>
            <w:noWrap w:val="0"/>
            <w:vAlign w:val="center"/>
          </w:tcPr>
          <w:p>
            <w:pPr>
              <w:spacing w:line="360" w:lineRule="auto"/>
              <w:ind w:right="-21"/>
              <w:jc w:val="center"/>
              <w:rPr>
                <w:rFonts w:ascii="仿宋" w:hAnsi="仿宋" w:eastAsia="仿宋" w:cs="仿宋"/>
                <w:sz w:val="24"/>
              </w:rPr>
            </w:pPr>
            <w:r>
              <w:rPr>
                <w:rFonts w:hint="eastAsia" w:ascii="仿宋" w:hAnsi="仿宋" w:eastAsia="仿宋" w:cs="仿宋"/>
                <w:sz w:val="24"/>
              </w:rPr>
              <w:t>服务期限</w:t>
            </w:r>
          </w:p>
        </w:tc>
      </w:tr>
      <w:tr>
        <w:tblPrEx>
          <w:tblCellMar>
            <w:top w:w="0" w:type="dxa"/>
            <w:left w:w="108" w:type="dxa"/>
            <w:bottom w:w="0" w:type="dxa"/>
            <w:right w:w="108" w:type="dxa"/>
          </w:tblCellMar>
        </w:tblPrEx>
        <w:trPr>
          <w:cantSplit/>
          <w:trHeight w:val="1725" w:hRule="atLeast"/>
          <w:jc w:val="center"/>
        </w:trPr>
        <w:tc>
          <w:tcPr>
            <w:tcW w:w="779" w:type="dxa"/>
            <w:tcBorders>
              <w:top w:val="single" w:color="000000" w:sz="6" w:space="0"/>
              <w:left w:val="single" w:color="000000" w:sz="12" w:space="0"/>
              <w:bottom w:val="single" w:color="000000" w:sz="12" w:space="0"/>
              <w:right w:val="single" w:color="000000" w:sz="6" w:space="0"/>
            </w:tcBorders>
            <w:noWrap w:val="0"/>
            <w:vAlign w:val="center"/>
          </w:tcPr>
          <w:p>
            <w:pPr>
              <w:spacing w:line="360" w:lineRule="auto"/>
              <w:ind w:right="-21"/>
              <w:jc w:val="center"/>
              <w:rPr>
                <w:rFonts w:ascii="仿宋" w:hAnsi="仿宋" w:eastAsia="仿宋" w:cs="仿宋"/>
                <w:sz w:val="24"/>
              </w:rPr>
            </w:pPr>
            <w:r>
              <w:rPr>
                <w:rFonts w:ascii="仿宋" w:hAnsi="仿宋" w:eastAsia="仿宋" w:cs="仿宋"/>
                <w:sz w:val="24"/>
              </w:rPr>
              <w:t>1</w:t>
            </w:r>
          </w:p>
        </w:tc>
        <w:tc>
          <w:tcPr>
            <w:tcW w:w="2259" w:type="dxa"/>
            <w:tcBorders>
              <w:top w:val="single" w:color="000000" w:sz="6" w:space="0"/>
              <w:left w:val="single" w:color="000000" w:sz="6" w:space="0"/>
              <w:bottom w:val="single" w:color="000000" w:sz="12" w:space="0"/>
              <w:right w:val="single" w:color="000000" w:sz="6" w:space="0"/>
            </w:tcBorders>
            <w:noWrap w:val="0"/>
            <w:vAlign w:val="center"/>
          </w:tcPr>
          <w:p>
            <w:pPr>
              <w:spacing w:line="360" w:lineRule="auto"/>
              <w:ind w:right="-21"/>
              <w:jc w:val="left"/>
              <w:rPr>
                <w:rFonts w:ascii="仿宋" w:hAnsi="仿宋" w:eastAsia="仿宋" w:cs="仿宋"/>
                <w:sz w:val="24"/>
              </w:rPr>
            </w:pPr>
            <w:r>
              <w:rPr>
                <w:rFonts w:hint="eastAsia" w:ascii="仿宋" w:hAnsi="仿宋" w:eastAsia="仿宋" w:cs="仿宋"/>
                <w:sz w:val="24"/>
              </w:rPr>
              <w:t>淳安县全链路网络安全监管平台（一期）建设采购项目</w:t>
            </w:r>
          </w:p>
        </w:tc>
        <w:tc>
          <w:tcPr>
            <w:tcW w:w="3947" w:type="dxa"/>
            <w:tcBorders>
              <w:top w:val="single" w:color="000000" w:sz="6" w:space="0"/>
              <w:left w:val="single" w:color="000000" w:sz="6" w:space="0"/>
              <w:bottom w:val="single" w:color="000000" w:sz="12" w:space="0"/>
              <w:right w:val="single" w:color="000000" w:sz="4" w:space="0"/>
            </w:tcBorders>
            <w:noWrap w:val="0"/>
            <w:vAlign w:val="center"/>
          </w:tcPr>
          <w:p>
            <w:pPr>
              <w:snapToGrid w:val="0"/>
              <w:spacing w:line="360" w:lineRule="auto"/>
              <w:ind w:right="-21"/>
              <w:rPr>
                <w:rFonts w:ascii="仿宋" w:hAnsi="仿宋" w:eastAsia="仿宋" w:cs="仿宋"/>
                <w:sz w:val="24"/>
              </w:rPr>
            </w:pPr>
          </w:p>
        </w:tc>
        <w:tc>
          <w:tcPr>
            <w:tcW w:w="1642" w:type="dxa"/>
            <w:tcBorders>
              <w:top w:val="single" w:color="000000" w:sz="6" w:space="0"/>
              <w:left w:val="single" w:color="000000" w:sz="4" w:space="0"/>
              <w:bottom w:val="single" w:color="000000" w:sz="12" w:space="0"/>
              <w:right w:val="single" w:color="000000" w:sz="4" w:space="0"/>
            </w:tcBorders>
            <w:noWrap w:val="0"/>
            <w:vAlign w:val="center"/>
          </w:tcPr>
          <w:p>
            <w:pPr>
              <w:snapToGrid w:val="0"/>
              <w:spacing w:line="360" w:lineRule="auto"/>
              <w:ind w:right="-21"/>
              <w:jc w:val="center"/>
              <w:rPr>
                <w:rFonts w:ascii="仿宋" w:hAnsi="仿宋" w:eastAsia="仿宋" w:cs="仿宋"/>
                <w:sz w:val="24"/>
              </w:rPr>
            </w:pPr>
          </w:p>
        </w:tc>
        <w:tc>
          <w:tcPr>
            <w:tcW w:w="1379" w:type="dxa"/>
            <w:tcBorders>
              <w:top w:val="single" w:color="000000" w:sz="6" w:space="0"/>
              <w:left w:val="single" w:color="000000" w:sz="4" w:space="0"/>
              <w:bottom w:val="single" w:color="000000" w:sz="12" w:space="0"/>
              <w:right w:val="single" w:color="000000" w:sz="12" w:space="0"/>
            </w:tcBorders>
            <w:noWrap w:val="0"/>
            <w:vAlign w:val="center"/>
          </w:tcPr>
          <w:p>
            <w:pPr>
              <w:snapToGrid w:val="0"/>
              <w:spacing w:line="360" w:lineRule="auto"/>
              <w:ind w:right="-21"/>
              <w:jc w:val="center"/>
              <w:rPr>
                <w:rFonts w:ascii="仿宋" w:hAnsi="仿宋" w:eastAsia="仿宋" w:cs="仿宋"/>
                <w:sz w:val="24"/>
              </w:rPr>
            </w:pPr>
          </w:p>
        </w:tc>
      </w:tr>
    </w:tbl>
    <w:p>
      <w:pPr>
        <w:snapToGrid w:val="0"/>
        <w:spacing w:before="62" w:beforeLines="20" w:after="62" w:afterLines="20" w:line="360" w:lineRule="auto"/>
        <w:jc w:val="left"/>
        <w:rPr>
          <w:rFonts w:ascii="仿宋" w:hAnsi="仿宋" w:eastAsia="仿宋" w:cs="仿宋"/>
          <w:sz w:val="24"/>
        </w:rPr>
      </w:pPr>
    </w:p>
    <w:p>
      <w:pPr>
        <w:snapToGrid w:val="0"/>
        <w:spacing w:before="62" w:beforeLines="20" w:after="62" w:afterLines="20" w:line="360" w:lineRule="auto"/>
        <w:jc w:val="left"/>
        <w:rPr>
          <w:rFonts w:ascii="仿宋" w:hAnsi="仿宋" w:eastAsia="仿宋" w:cs="仿宋"/>
          <w:sz w:val="24"/>
          <w:szCs w:val="20"/>
        </w:rPr>
      </w:pPr>
      <w:r>
        <w:rPr>
          <w:rFonts w:hint="eastAsia" w:ascii="仿宋" w:hAnsi="仿宋" w:eastAsia="仿宋" w:cs="仿宋"/>
          <w:sz w:val="24"/>
        </w:rPr>
        <w:t>注</w:t>
      </w:r>
      <w:r>
        <w:rPr>
          <w:rFonts w:ascii="仿宋" w:hAnsi="仿宋" w:eastAsia="仿宋" w:cs="仿宋"/>
          <w:sz w:val="24"/>
        </w:rPr>
        <w:t>: 1</w:t>
      </w:r>
      <w:r>
        <w:rPr>
          <w:rFonts w:hint="eastAsia" w:ascii="仿宋" w:hAnsi="仿宋" w:eastAsia="仿宋" w:cs="仿宋"/>
          <w:sz w:val="24"/>
        </w:rPr>
        <w:t>、报价一经涂改，应在涂改处加盖单位公章或者由法定代表人或授权委托人签字或盖章，否则其投标作无效标处理。</w:t>
      </w:r>
    </w:p>
    <w:p>
      <w:pPr>
        <w:snapToGrid w:val="0"/>
        <w:spacing w:before="62" w:beforeLines="20" w:after="62" w:afterLines="20" w:line="360" w:lineRule="auto"/>
        <w:ind w:right="-817" w:firstLine="48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、凡需用专用耗材的专用设备类采购项目，应按招标文件规定的耗材量或按耗材的常规试用量提供报价。</w:t>
      </w:r>
    </w:p>
    <w:p>
      <w:pPr>
        <w:snapToGrid w:val="0"/>
        <w:spacing w:before="62" w:beforeLines="20" w:after="62" w:afterLines="20" w:line="360" w:lineRule="auto"/>
        <w:ind w:right="-817" w:firstLine="480"/>
      </w:pPr>
      <w:r>
        <w:rPr>
          <w:rFonts w:ascii="仿宋" w:hAnsi="仿宋" w:eastAsia="仿宋" w:cs="仿宋"/>
          <w:sz w:val="24"/>
        </w:rPr>
        <w:t>3</w:t>
      </w:r>
      <w:r>
        <w:rPr>
          <w:rFonts w:hint="eastAsia" w:ascii="仿宋" w:hAnsi="仿宋" w:eastAsia="仿宋" w:cs="仿宋"/>
          <w:sz w:val="24"/>
        </w:rPr>
        <w:t>、投标总价包括项目实施所需的人工费、服务费、运输费、购买及制作标书费、税费、</w:t>
      </w:r>
      <w:r>
        <w:rPr>
          <w:rFonts w:hint="eastAsia" w:ascii="仿宋" w:hAnsi="仿宋" w:eastAsia="仿宋" w:cs="仿宋"/>
          <w:b/>
          <w:bCs/>
          <w:sz w:val="24"/>
        </w:rPr>
        <w:t>中标服务费、</w:t>
      </w:r>
      <w:r>
        <w:rPr>
          <w:rFonts w:hint="eastAsia" w:ascii="仿宋" w:hAnsi="仿宋" w:eastAsia="仿宋" w:cs="仿宋"/>
          <w:sz w:val="24"/>
        </w:rPr>
        <w:t>及其他一切费用。</w:t>
      </w:r>
    </w:p>
    <w:p>
      <w:pPr>
        <w:snapToGrid w:val="0"/>
        <w:spacing w:before="62" w:beforeLines="20" w:after="62" w:afterLines="20" w:line="360" w:lineRule="auto"/>
        <w:ind w:right="-817" w:firstLine="48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、以上报价应与“投标报价明细表”中的“投标总价”相一致。</w:t>
      </w:r>
    </w:p>
    <w:p>
      <w:pPr>
        <w:snapToGrid w:val="0"/>
        <w:spacing w:line="360" w:lineRule="auto"/>
        <w:rPr>
          <w:rFonts w:ascii="仿宋" w:hAnsi="仿宋" w:eastAsia="仿宋" w:cs="仿宋"/>
          <w:b/>
          <w:kern w:val="0"/>
          <w:sz w:val="24"/>
        </w:rPr>
      </w:pPr>
    </w:p>
    <w:p>
      <w:pPr>
        <w:ind w:firstLine="10500"/>
        <w:rPr>
          <w:rFonts w:ascii="仿宋" w:hAnsi="仿宋" w:eastAsia="仿宋" w:cs="仿宋"/>
          <w:sz w:val="24"/>
        </w:rPr>
      </w:pPr>
      <w:r>
        <w:rPr>
          <w:rFonts w:hint="eastAsia" w:ascii="仿宋" w:hAnsi="仿宋" w:eastAsia="仿宋" w:cs="仿宋"/>
          <w:sz w:val="24"/>
        </w:rPr>
        <w:t>投标人名称</w:t>
      </w:r>
      <w:r>
        <w:rPr>
          <w:rFonts w:ascii="仿宋" w:hAnsi="仿宋" w:eastAsia="仿宋" w:cs="仿宋"/>
          <w:sz w:val="24"/>
        </w:rPr>
        <w:t>(</w:t>
      </w:r>
      <w:r>
        <w:rPr>
          <w:rFonts w:hint="eastAsia" w:ascii="仿宋" w:hAnsi="仿宋" w:eastAsia="仿宋" w:cs="仿宋"/>
          <w:sz w:val="24"/>
        </w:rPr>
        <w:t>电子签名</w:t>
      </w:r>
      <w:r>
        <w:rPr>
          <w:rFonts w:ascii="仿宋" w:hAnsi="仿宋" w:eastAsia="仿宋" w:cs="仿宋"/>
          <w:sz w:val="24"/>
        </w:rPr>
        <w:t>)</w:t>
      </w:r>
      <w:r>
        <w:rPr>
          <w:rFonts w:hint="eastAsia" w:ascii="仿宋" w:hAnsi="仿宋" w:eastAsia="仿宋" w:cs="仿宋"/>
          <w:sz w:val="24"/>
        </w:rPr>
        <w:t>：</w:t>
      </w:r>
    </w:p>
    <w:p>
      <w:pPr>
        <w:ind w:firstLine="10500"/>
        <w:rPr>
          <w:rFonts w:ascii="仿宋" w:hAnsi="仿宋" w:eastAsia="仿宋" w:cs="仿宋"/>
          <w:sz w:val="24"/>
        </w:rPr>
      </w:pPr>
      <w:r>
        <w:rPr>
          <w:rFonts w:hint="eastAsia" w:ascii="仿宋" w:hAnsi="仿宋" w:eastAsia="仿宋" w:cs="仿宋"/>
          <w:sz w:val="24"/>
        </w:rPr>
        <w:t>日期：年月日</w:t>
      </w:r>
    </w:p>
    <w:p>
      <w:pPr>
        <w:pStyle w:val="6"/>
        <w:rPr>
          <w:rFonts w:ascii="仿宋" w:hAnsi="仿宋" w:eastAsia="仿宋" w:cs="仿宋"/>
        </w:rPr>
        <w:sectPr>
          <w:headerReference r:id="rId8" w:type="default"/>
          <w:footerReference r:id="rId9" w:type="default"/>
          <w:pgSz w:w="11906" w:h="16838"/>
          <w:pgMar w:top="1247" w:right="1417" w:bottom="1247" w:left="1417" w:header="851" w:footer="992" w:gutter="0"/>
          <w:cols w:space="720" w:num="1"/>
          <w:formProt w:val="0"/>
          <w:docGrid w:type="lines" w:linePitch="312" w:charSpace="0"/>
        </w:sectPr>
      </w:pPr>
    </w:p>
    <w:p>
      <w:pPr>
        <w:snapToGrid w:val="0"/>
        <w:spacing w:before="156" w:beforeLines="65" w:after="48" w:afterLines="20" w:line="300" w:lineRule="exact"/>
        <w:ind w:firstLine="3253"/>
        <w:rPr>
          <w:rFonts w:ascii="仿宋" w:hAnsi="仿宋" w:eastAsia="仿宋" w:cs="仿宋"/>
          <w:b/>
          <w:sz w:val="36"/>
          <w:szCs w:val="36"/>
        </w:rPr>
      </w:pPr>
      <w:r>
        <w:rPr>
          <w:rFonts w:hint="eastAsia" w:ascii="仿宋" w:hAnsi="仿宋" w:eastAsia="仿宋" w:cs="仿宋"/>
          <w:b/>
          <w:sz w:val="36"/>
          <w:szCs w:val="36"/>
        </w:rPr>
        <w:t>投标报价明细表</w:t>
      </w:r>
    </w:p>
    <w:p>
      <w:pPr>
        <w:pStyle w:val="15"/>
        <w:widowControl/>
        <w:snapToGrid w:val="0"/>
        <w:spacing w:before="151" w:after="158"/>
        <w:rPr>
          <w:rFonts w:ascii="仿宋" w:hAnsi="仿宋" w:eastAsia="仿宋" w:cs="仿宋"/>
          <w:sz w:val="24"/>
          <w:szCs w:val="24"/>
        </w:rPr>
      </w:pPr>
      <w:r>
        <w:rPr>
          <w:rFonts w:hint="eastAsia" w:ascii="仿宋" w:hAnsi="仿宋" w:eastAsia="仿宋" w:cs="仿宋"/>
          <w:sz w:val="24"/>
          <w:szCs w:val="24"/>
        </w:rPr>
        <w:t>投标人全称（公章）：</w:t>
      </w:r>
    </w:p>
    <w:p>
      <w:pPr>
        <w:pStyle w:val="15"/>
        <w:widowControl/>
        <w:snapToGrid w:val="0"/>
        <w:spacing w:before="151" w:after="158"/>
        <w:rPr>
          <w:rFonts w:ascii="仿宋" w:hAnsi="仿宋" w:eastAsia="仿宋" w:cs="仿宋"/>
          <w:sz w:val="24"/>
          <w:szCs w:val="24"/>
        </w:rPr>
      </w:pPr>
      <w:r>
        <w:rPr>
          <w:rFonts w:hint="eastAsia" w:ascii="仿宋" w:hAnsi="仿宋" w:eastAsia="仿宋" w:cs="仿宋"/>
          <w:sz w:val="24"/>
          <w:szCs w:val="24"/>
        </w:rPr>
        <w:t>项目编号：</w:t>
      </w:r>
    </w:p>
    <w:p>
      <w:pPr>
        <w:pStyle w:val="15"/>
        <w:widowControl/>
        <w:snapToGrid w:val="0"/>
        <w:spacing w:before="151" w:after="158"/>
      </w:pPr>
      <w:r>
        <w:rPr>
          <w:rFonts w:hint="eastAsia"/>
        </w:rPr>
        <w:t>单位：元</w:t>
      </w:r>
    </w:p>
    <w:tbl>
      <w:tblPr>
        <w:tblStyle w:val="34"/>
        <w:tblW w:w="9010" w:type="dxa"/>
        <w:tblInd w:w="-50" w:type="dxa"/>
        <w:tblLayout w:type="fixed"/>
        <w:tblCellMar>
          <w:top w:w="0" w:type="dxa"/>
          <w:left w:w="108" w:type="dxa"/>
          <w:bottom w:w="0" w:type="dxa"/>
          <w:right w:w="108" w:type="dxa"/>
        </w:tblCellMar>
      </w:tblPr>
      <w:tblGrid>
        <w:gridCol w:w="540"/>
        <w:gridCol w:w="1620"/>
        <w:gridCol w:w="1665"/>
        <w:gridCol w:w="1294"/>
        <w:gridCol w:w="1181"/>
        <w:gridCol w:w="1260"/>
        <w:gridCol w:w="1450"/>
      </w:tblGrid>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snapToGrid w:val="0"/>
              <w:spacing w:before="48" w:beforeLines="20" w:after="48" w:afterLines="20" w:line="460" w:lineRule="exact"/>
              <w:jc w:val="center"/>
              <w:rPr>
                <w:rFonts w:ascii="仿宋" w:hAnsi="仿宋" w:eastAsia="仿宋" w:cs="仿宋"/>
                <w:b/>
                <w:bCs/>
                <w:sz w:val="24"/>
              </w:rPr>
            </w:pPr>
            <w:r>
              <w:rPr>
                <w:rFonts w:hint="eastAsia" w:ascii="仿宋" w:hAnsi="仿宋" w:eastAsia="仿宋" w:cs="仿宋"/>
                <w:b/>
                <w:bCs/>
                <w:sz w:val="24"/>
              </w:rPr>
              <w:t>序号</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snapToGrid w:val="0"/>
              <w:spacing w:before="48" w:beforeLines="20" w:after="48" w:afterLines="20" w:line="460" w:lineRule="exact"/>
              <w:jc w:val="center"/>
              <w:rPr>
                <w:rFonts w:ascii="仿宋" w:hAnsi="仿宋" w:eastAsia="仿宋" w:cs="仿宋"/>
                <w:b/>
                <w:bCs/>
                <w:sz w:val="24"/>
              </w:rPr>
            </w:pPr>
            <w:r>
              <w:rPr>
                <w:rFonts w:hint="eastAsia" w:ascii="仿宋" w:hAnsi="仿宋" w:eastAsia="仿宋" w:cs="仿宋"/>
                <w:b/>
                <w:bCs/>
                <w:sz w:val="24"/>
              </w:rPr>
              <w:t>名称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rPr>
            </w:pPr>
            <w:r>
              <w:rPr>
                <w:rFonts w:hint="eastAsia" w:ascii="仿宋" w:hAnsi="仿宋" w:eastAsia="仿宋" w:cs="仿宋"/>
                <w:b/>
                <w:bCs/>
              </w:rPr>
              <w:t>服务内容（规格型号）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sz w:val="24"/>
              </w:rPr>
            </w:pPr>
            <w:r>
              <w:rPr>
                <w:rFonts w:hint="eastAsia" w:ascii="仿宋" w:hAnsi="仿宋" w:eastAsia="仿宋" w:cs="仿宋"/>
                <w:b/>
                <w:bCs/>
              </w:rPr>
              <w:t>数量</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sz w:val="24"/>
              </w:rPr>
            </w:pPr>
            <w:r>
              <w:rPr>
                <w:rFonts w:hint="eastAsia" w:ascii="仿宋" w:hAnsi="仿宋" w:eastAsia="仿宋" w:cs="仿宋"/>
                <w:b/>
                <w:bCs/>
              </w:rPr>
              <w:t>单位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snapToGrid w:val="0"/>
              <w:spacing w:before="48" w:beforeLines="20" w:after="48" w:afterLines="20" w:line="460" w:lineRule="exact"/>
              <w:jc w:val="center"/>
              <w:rPr>
                <w:rFonts w:ascii="仿宋" w:hAnsi="仿宋" w:eastAsia="仿宋" w:cs="仿宋"/>
                <w:b/>
                <w:bCs/>
                <w:sz w:val="24"/>
              </w:rPr>
            </w:pPr>
            <w:r>
              <w:rPr>
                <w:rFonts w:hint="eastAsia" w:ascii="仿宋" w:hAnsi="仿宋" w:eastAsia="仿宋" w:cs="仿宋"/>
                <w:b/>
                <w:bCs/>
                <w:sz w:val="24"/>
              </w:rPr>
              <w:t>金额（元）</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snapToGrid w:val="0"/>
              <w:spacing w:before="48" w:beforeLines="20" w:after="48" w:afterLines="20" w:line="460" w:lineRule="exact"/>
              <w:jc w:val="center"/>
              <w:rPr>
                <w:rFonts w:ascii="仿宋" w:hAnsi="仿宋" w:eastAsia="仿宋" w:cs="仿宋"/>
                <w:b/>
                <w:bCs/>
                <w:sz w:val="24"/>
              </w:rPr>
            </w:pPr>
            <w:r>
              <w:rPr>
                <w:rFonts w:hint="eastAsia" w:ascii="仿宋" w:hAnsi="仿宋" w:eastAsia="仿宋" w:cs="仿宋"/>
                <w:b/>
                <w:bCs/>
                <w:sz w:val="24"/>
              </w:rPr>
              <w:t>备注</w:t>
            </w: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b/>
                <w:bCs/>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369"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351"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r>
              <w:rPr>
                <w:rFonts w:hint="eastAsia" w:ascii="仿宋" w:hAnsi="仿宋" w:eastAsia="仿宋" w:cs="仿宋"/>
                <w:sz w:val="24"/>
              </w:rPr>
              <w:t>……</w:t>
            </w: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rPr>
          <w:trHeight w:val="475" w:hRule="atLeast"/>
        </w:trPr>
        <w:tc>
          <w:tcPr>
            <w:tcW w:w="54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665"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c>
          <w:tcPr>
            <w:tcW w:w="1450" w:type="dxa"/>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jc w:val="center"/>
              <w:rPr>
                <w:rFonts w:ascii="仿宋" w:hAnsi="仿宋" w:eastAsia="仿宋" w:cs="仿宋"/>
                <w:sz w:val="24"/>
              </w:rPr>
            </w:pPr>
          </w:p>
        </w:tc>
      </w:tr>
      <w:tr>
        <w:tblPrEx>
          <w:tblCellMar>
            <w:top w:w="0" w:type="dxa"/>
            <w:left w:w="108" w:type="dxa"/>
            <w:bottom w:w="0" w:type="dxa"/>
            <w:right w:w="108" w:type="dxa"/>
          </w:tblCellMar>
        </w:tblPrEx>
        <w:tc>
          <w:tcPr>
            <w:tcW w:w="382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418"/>
              </w:tabs>
              <w:snapToGrid w:val="0"/>
              <w:spacing w:before="48" w:beforeLines="20" w:after="48" w:afterLines="20" w:line="460" w:lineRule="exact"/>
              <w:jc w:val="center"/>
              <w:rPr>
                <w:rFonts w:ascii="仿宋" w:hAnsi="仿宋" w:eastAsia="仿宋" w:cs="仿宋"/>
                <w:sz w:val="24"/>
              </w:rPr>
            </w:pPr>
            <w:r>
              <w:rPr>
                <w:rFonts w:hint="eastAsia" w:ascii="仿宋" w:hAnsi="仿宋" w:eastAsia="仿宋" w:cs="仿宋"/>
                <w:sz w:val="24"/>
              </w:rPr>
              <w:t>投标总价</w:t>
            </w:r>
          </w:p>
        </w:tc>
        <w:tc>
          <w:tcPr>
            <w:tcW w:w="5185" w:type="dxa"/>
            <w:gridSpan w:val="4"/>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rPr>
                <w:rFonts w:ascii="仿宋" w:hAnsi="仿宋" w:eastAsia="仿宋" w:cs="仿宋"/>
                <w:sz w:val="24"/>
              </w:rPr>
            </w:pPr>
            <w:r>
              <w:rPr>
                <w:rFonts w:hint="eastAsia" w:ascii="仿宋" w:hAnsi="仿宋" w:eastAsia="仿宋" w:cs="仿宋"/>
                <w:sz w:val="24"/>
              </w:rPr>
              <w:t>小写：</w:t>
            </w:r>
          </w:p>
        </w:tc>
      </w:tr>
      <w:tr>
        <w:tblPrEx>
          <w:tblCellMar>
            <w:top w:w="0" w:type="dxa"/>
            <w:left w:w="108" w:type="dxa"/>
            <w:bottom w:w="0" w:type="dxa"/>
            <w:right w:w="108" w:type="dxa"/>
          </w:tblCellMar>
        </w:tblPrEx>
        <w:tc>
          <w:tcPr>
            <w:tcW w:w="382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 w:hAnsi="仿宋" w:eastAsia="仿宋" w:cs="仿宋"/>
                <w:sz w:val="20"/>
                <w:szCs w:val="20"/>
              </w:rPr>
            </w:pPr>
          </w:p>
        </w:tc>
        <w:tc>
          <w:tcPr>
            <w:tcW w:w="5185" w:type="dxa"/>
            <w:gridSpan w:val="4"/>
            <w:tcBorders>
              <w:top w:val="single" w:color="000000" w:sz="4" w:space="0"/>
              <w:left w:val="single" w:color="000000" w:sz="4" w:space="0"/>
              <w:bottom w:val="single" w:color="000000" w:sz="4" w:space="0"/>
              <w:right w:val="single" w:color="000000" w:sz="4" w:space="0"/>
            </w:tcBorders>
            <w:noWrap w:val="0"/>
            <w:vAlign w:val="top"/>
          </w:tcPr>
          <w:p>
            <w:pPr>
              <w:tabs>
                <w:tab w:val="left" w:pos="1418"/>
              </w:tabs>
              <w:snapToGrid w:val="0"/>
              <w:spacing w:before="48" w:beforeLines="20" w:after="48" w:afterLines="20" w:line="460" w:lineRule="exact"/>
              <w:rPr>
                <w:rFonts w:ascii="仿宋" w:hAnsi="仿宋" w:eastAsia="仿宋" w:cs="仿宋"/>
                <w:sz w:val="24"/>
              </w:rPr>
            </w:pPr>
            <w:r>
              <w:rPr>
                <w:rFonts w:hint="eastAsia" w:ascii="仿宋" w:hAnsi="仿宋" w:eastAsia="仿宋" w:cs="仿宋"/>
                <w:sz w:val="24"/>
              </w:rPr>
              <w:t>大写：</w:t>
            </w:r>
          </w:p>
        </w:tc>
      </w:tr>
    </w:tbl>
    <w:p>
      <w:pPr>
        <w:tabs>
          <w:tab w:val="left" w:pos="1418"/>
        </w:tabs>
        <w:snapToGrid w:val="0"/>
        <w:spacing w:before="48" w:beforeLines="20" w:after="48" w:afterLines="20" w:line="300" w:lineRule="exact"/>
        <w:rPr>
          <w:rFonts w:ascii="仿宋" w:hAnsi="仿宋" w:eastAsia="仿宋" w:cs="仿宋"/>
          <w:sz w:val="24"/>
        </w:rPr>
      </w:pPr>
      <w:r>
        <w:rPr>
          <w:rFonts w:hint="eastAsia" w:ascii="仿宋" w:hAnsi="仿宋" w:eastAsia="仿宋" w:cs="仿宋"/>
          <w:sz w:val="24"/>
          <w:lang w:val="zh-CN"/>
        </w:rPr>
        <w:t>注：</w:t>
      </w:r>
      <w:r>
        <w:rPr>
          <w:rFonts w:hint="eastAsia" w:ascii="仿宋" w:hAnsi="仿宋" w:eastAsia="仿宋" w:cs="仿宋"/>
          <w:b/>
          <w:sz w:val="24"/>
          <w:lang w:val="zh-CN"/>
        </w:rPr>
        <w:t>上述表格中各项费用可根据标项实际情况增减</w:t>
      </w:r>
      <w:r>
        <w:rPr>
          <w:rFonts w:ascii="仿宋" w:hAnsi="仿宋" w:eastAsia="仿宋" w:cs="仿宋"/>
          <w:b/>
          <w:sz w:val="24"/>
          <w:lang w:val="zh-CN"/>
        </w:rPr>
        <w:t>(</w:t>
      </w:r>
      <w:r>
        <w:rPr>
          <w:rFonts w:hint="eastAsia" w:ascii="仿宋" w:hAnsi="仿宋" w:eastAsia="仿宋" w:cs="仿宋"/>
          <w:b/>
          <w:sz w:val="24"/>
          <w:lang w:val="zh-CN"/>
        </w:rPr>
        <w:t>不得少于采购需求中的采购内容</w:t>
      </w:r>
      <w:r>
        <w:rPr>
          <w:rFonts w:ascii="仿宋" w:hAnsi="仿宋" w:eastAsia="仿宋" w:cs="仿宋"/>
          <w:b/>
          <w:sz w:val="24"/>
          <w:lang w:val="zh-CN"/>
        </w:rPr>
        <w:t>)</w:t>
      </w:r>
      <w:r>
        <w:rPr>
          <w:rFonts w:hint="eastAsia" w:ascii="仿宋" w:hAnsi="仿宋" w:eastAsia="仿宋" w:cs="仿宋"/>
          <w:b/>
          <w:sz w:val="24"/>
          <w:lang w:val="zh-CN"/>
        </w:rPr>
        <w:t>，若需进一步细分，栏数不够可自加。</w:t>
      </w:r>
    </w:p>
    <w:p>
      <w:pPr>
        <w:snapToGrid w:val="0"/>
        <w:spacing w:line="360" w:lineRule="auto"/>
        <w:ind w:firstLine="482"/>
        <w:jc w:val="right"/>
        <w:rPr>
          <w:rFonts w:ascii="仿宋" w:hAnsi="仿宋" w:eastAsia="仿宋" w:cs="仿宋"/>
          <w:b/>
          <w:kern w:val="0"/>
          <w:sz w:val="24"/>
        </w:rPr>
      </w:pPr>
    </w:p>
    <w:p>
      <w:pPr>
        <w:ind w:firstLine="10500"/>
        <w:rPr>
          <w:rFonts w:ascii="仿宋" w:hAnsi="仿宋" w:eastAsia="仿宋" w:cs="仿宋"/>
          <w:sz w:val="24"/>
        </w:rPr>
      </w:pPr>
      <w:r>
        <w:rPr>
          <w:rFonts w:hint="eastAsia" w:ascii="仿宋" w:hAnsi="仿宋" w:eastAsia="仿宋" w:cs="仿宋"/>
          <w:sz w:val="24"/>
        </w:rPr>
        <w:t>投标人名称</w:t>
      </w:r>
      <w:r>
        <w:rPr>
          <w:rFonts w:ascii="仿宋" w:hAnsi="仿宋" w:eastAsia="仿宋" w:cs="仿宋"/>
          <w:sz w:val="24"/>
        </w:rPr>
        <w:t>(</w:t>
      </w:r>
      <w:r>
        <w:rPr>
          <w:rFonts w:hint="eastAsia" w:ascii="仿宋" w:hAnsi="仿宋" w:eastAsia="仿宋" w:cs="仿宋"/>
          <w:sz w:val="24"/>
        </w:rPr>
        <w:t>电子签名</w:t>
      </w:r>
      <w:r>
        <w:rPr>
          <w:rFonts w:ascii="仿宋" w:hAnsi="仿宋" w:eastAsia="仿宋" w:cs="仿宋"/>
          <w:sz w:val="24"/>
        </w:rPr>
        <w:t>)</w:t>
      </w:r>
      <w:r>
        <w:rPr>
          <w:rFonts w:hint="eastAsia" w:ascii="仿宋" w:hAnsi="仿宋" w:eastAsia="仿宋" w:cs="仿宋"/>
          <w:sz w:val="24"/>
        </w:rPr>
        <w:t>：</w:t>
      </w:r>
    </w:p>
    <w:p>
      <w:pPr>
        <w:ind w:firstLine="10500"/>
        <w:rPr>
          <w:rFonts w:ascii="仿宋" w:hAnsi="仿宋" w:eastAsia="仿宋" w:cs="仿宋"/>
          <w:sz w:val="24"/>
        </w:rPr>
      </w:pPr>
      <w:r>
        <w:rPr>
          <w:rFonts w:hint="eastAsia" w:ascii="仿宋" w:hAnsi="仿宋" w:eastAsia="仿宋" w:cs="仿宋"/>
          <w:sz w:val="24"/>
        </w:rPr>
        <w:t>日期：年月日</w:t>
      </w:r>
    </w:p>
    <w:p>
      <w:pPr>
        <w:pStyle w:val="4"/>
        <w:spacing w:before="240" w:after="240"/>
        <w:jc w:val="center"/>
        <w:rPr>
          <w:rFonts w:ascii="仿宋" w:hAnsi="仿宋" w:eastAsia="仿宋" w:cs="宋体"/>
          <w:sz w:val="28"/>
          <w:szCs w:val="28"/>
          <w:lang w:val="zh-CN"/>
        </w:rPr>
      </w:pPr>
      <w:r>
        <w:br w:type="page"/>
      </w:r>
      <w:r>
        <w:br w:type="page"/>
      </w:r>
      <w:r>
        <w:rPr>
          <w:rFonts w:hint="eastAsia"/>
        </w:rPr>
        <w:t>三</w:t>
      </w:r>
      <w:r>
        <w:rPr>
          <w:rFonts w:hint="eastAsia" w:ascii="仿宋" w:hAnsi="仿宋" w:eastAsia="仿宋" w:cs="仿宋"/>
          <w:b w:val="0"/>
        </w:rPr>
        <w:t>、</w:t>
      </w:r>
      <w:r>
        <w:rPr>
          <w:rFonts w:hint="eastAsia" w:ascii="仿宋" w:hAnsi="仿宋" w:eastAsia="仿宋" w:cs="宋体"/>
          <w:sz w:val="28"/>
          <w:szCs w:val="28"/>
          <w:lang w:val="zh-CN"/>
        </w:rPr>
        <w:t>中小企业声明函</w:t>
      </w:r>
    </w:p>
    <w:p>
      <w:pPr>
        <w:snapToGrid w:val="0"/>
        <w:spacing w:before="48" w:beforeLines="20" w:after="48" w:afterLines="20" w:line="48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napToGrid w:val="0"/>
        <w:spacing w:before="48" w:beforeLines="20" w:after="48" w:afterLines="20" w:line="360" w:lineRule="auto"/>
        <w:ind w:firstLine="48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（采购单位名称）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pPr>
        <w:snapToGrid w:val="0"/>
        <w:spacing w:before="48" w:beforeLines="20" w:after="48" w:afterLines="20" w:line="360" w:lineRule="auto"/>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（软件与信息技术服务业）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w:t>
      </w:r>
      <w:r>
        <w:fldChar w:fldCharType="begin"/>
      </w:r>
      <w:r>
        <w:instrText xml:space="preserve"> HYPERLINK "file:///C:\\Users\\lenovo\\Documents\\WeChat%20Files\\wxid_gjllf995igxo21\\FileStorage\\File\\2021-12\\淳安县应急管理局乡、村级防汛应急物资（汽油发电机、4寸排水泵（含水带））采购项目---招标文件（发布）.docx" \l "_bookmark0" </w:instrText>
      </w:r>
      <w:r>
        <w:fldChar w:fldCharType="separate"/>
      </w:r>
      <w:r>
        <w:rPr>
          <w:rStyle w:val="70"/>
          <w:rFonts w:hint="eastAsia" w:ascii="仿宋" w:hAnsi="仿宋" w:eastAsia="仿宋" w:cs="仿宋"/>
          <w:color w:val="auto"/>
          <w:szCs w:val="18"/>
          <w:vertAlign w:val="superscript"/>
        </w:rPr>
        <w:t>1</w:t>
      </w:r>
      <w:r>
        <w:rPr>
          <w:rStyle w:val="70"/>
          <w:rFonts w:hint="eastAsia" w:ascii="仿宋" w:hAnsi="仿宋" w:eastAsia="仿宋" w:cs="仿宋"/>
          <w:color w:val="auto"/>
          <w:szCs w:val="18"/>
          <w:vertAlign w:val="superscript"/>
        </w:rPr>
        <w:fldChar w:fldCharType="end"/>
      </w:r>
      <w:r>
        <w:rPr>
          <w:rFonts w:hint="eastAsia" w:ascii="仿宋" w:hAnsi="仿宋" w:eastAsia="仿宋" w:cs="仿宋"/>
          <w:sz w:val="24"/>
        </w:rPr>
        <w:t>，属于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napToGrid w:val="0"/>
        <w:spacing w:before="48" w:beforeLines="20" w:after="48" w:afterLines="20"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napToGrid w:val="0"/>
        <w:spacing w:before="48" w:beforeLines="20" w:after="48" w:afterLines="20" w:line="360" w:lineRule="auto"/>
        <w:ind w:firstLine="480"/>
        <w:jc w:val="left"/>
        <w:rPr>
          <w:rFonts w:ascii="仿宋" w:hAnsi="仿宋" w:eastAsia="仿宋" w:cs="仿宋"/>
          <w:sz w:val="24"/>
        </w:rPr>
      </w:pPr>
      <w:r>
        <w:rPr>
          <w:rFonts w:hint="eastAsia" w:ascii="仿宋" w:hAnsi="仿宋" w:eastAsia="仿宋" w:cs="仿宋"/>
          <w:sz w:val="24"/>
        </w:rPr>
        <w:t>……</w:t>
      </w:r>
    </w:p>
    <w:p>
      <w:pPr>
        <w:snapToGrid w:val="0"/>
        <w:spacing w:before="48" w:beforeLines="20" w:after="48" w:afterLines="20" w:line="360" w:lineRule="auto"/>
        <w:ind w:firstLine="48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napToGrid w:val="0"/>
        <w:spacing w:before="48" w:beforeLines="20" w:after="48" w:afterLines="20" w:line="360" w:lineRule="auto"/>
        <w:ind w:firstLine="48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before="48" w:beforeLines="20" w:after="48" w:afterLines="20" w:line="360" w:lineRule="auto"/>
        <w:ind w:firstLine="480"/>
        <w:jc w:val="left"/>
        <w:rPr>
          <w:rFonts w:ascii="仿宋" w:hAnsi="仿宋" w:eastAsia="仿宋" w:cs="仿宋"/>
          <w:sz w:val="24"/>
        </w:rPr>
      </w:pPr>
    </w:p>
    <w:p>
      <w:pPr>
        <w:snapToGrid w:val="0"/>
        <w:spacing w:before="48" w:beforeLines="20" w:after="48" w:afterLines="20" w:line="360" w:lineRule="auto"/>
        <w:ind w:firstLine="4200"/>
        <w:jc w:val="left"/>
        <w:rPr>
          <w:rFonts w:ascii="仿宋" w:hAnsi="仿宋" w:eastAsia="仿宋" w:cs="仿宋"/>
          <w:sz w:val="24"/>
        </w:rPr>
      </w:pPr>
      <w:r>
        <w:rPr>
          <w:rFonts w:hint="eastAsia" w:ascii="仿宋" w:hAnsi="仿宋" w:eastAsia="仿宋" w:cs="仿宋"/>
          <w:sz w:val="24"/>
        </w:rPr>
        <w:t>企业名称（盖章）：</w:t>
      </w:r>
    </w:p>
    <w:p>
      <w:pPr>
        <w:snapToGrid w:val="0"/>
        <w:spacing w:before="48" w:beforeLines="20" w:after="48" w:afterLines="20" w:line="360" w:lineRule="auto"/>
        <w:ind w:firstLine="4080"/>
        <w:jc w:val="left"/>
        <w:rPr>
          <w:rFonts w:ascii="仿宋" w:hAnsi="仿宋" w:eastAsia="仿宋" w:cs="仿宋"/>
          <w:sz w:val="24"/>
        </w:rPr>
      </w:pPr>
      <w:r>
        <w:rPr>
          <w:rFonts w:hint="eastAsia" w:ascii="仿宋" w:hAnsi="仿宋" w:eastAsia="仿宋" w:cs="仿宋"/>
          <w:sz w:val="24"/>
        </w:rPr>
        <w:t>日期：年月日</w:t>
      </w:r>
    </w:p>
    <w:p>
      <w:pPr>
        <w:snapToGrid w:val="0"/>
        <w:spacing w:before="120" w:beforeLines="50" w:after="120" w:afterLines="50" w:line="360" w:lineRule="auto"/>
        <w:ind w:firstLine="643"/>
        <w:jc w:val="center"/>
        <w:rPr>
          <w:rFonts w:ascii="仿宋" w:hAnsi="仿宋" w:eastAsia="仿宋" w:cs="仿宋"/>
          <w:sz w:val="24"/>
        </w:rPr>
      </w:pPr>
      <w:r>
        <w:rPr>
          <w:rFonts w:hint="eastAsia" w:ascii="仿宋" w:hAnsi="仿宋" w:eastAsia="仿宋" w:cs="仿宋"/>
          <w:sz w:val="24"/>
        </w:rPr>
        <w:t>从业人员、营业收入、资产总额填报上一年度数据，无上一年度数据的新成立企</w:t>
      </w:r>
    </w:p>
    <w:p>
      <w:pPr>
        <w:snapToGrid w:val="0"/>
        <w:spacing w:before="120" w:beforeLines="50" w:after="120" w:afterLines="50" w:line="360" w:lineRule="auto"/>
        <w:rPr>
          <w:rFonts w:ascii="仿宋" w:hAnsi="仿宋" w:eastAsia="仿宋" w:cs="仿宋"/>
          <w:sz w:val="24"/>
        </w:rPr>
      </w:pPr>
      <w:r>
        <w:rPr>
          <w:rFonts w:hint="eastAsia" w:ascii="仿宋" w:hAnsi="仿宋" w:eastAsia="仿宋" w:cs="仿宋"/>
          <w:sz w:val="24"/>
        </w:rPr>
        <w:t>业可不填报。</w:t>
      </w:r>
    </w:p>
    <w:p>
      <w:pPr>
        <w:pStyle w:val="21"/>
        <w:widowControl/>
        <w:snapToGrid w:val="0"/>
        <w:spacing w:before="156" w:beforeLines="65" w:after="156" w:afterLines="65" w:line="300" w:lineRule="exact"/>
        <w:rPr>
          <w:rFonts w:ascii="仿宋" w:hAnsi="仿宋" w:eastAsia="仿宋" w:cs="仿宋"/>
          <w:sz w:val="24"/>
        </w:rPr>
      </w:pPr>
      <w:r>
        <w:rPr>
          <w:rFonts w:hint="eastAsia" w:ascii="仿宋" w:hAnsi="仿宋" w:eastAsia="仿宋" w:cs="仿宋"/>
          <w:sz w:val="24"/>
        </w:rPr>
        <w:t>注：投标人提供的中小企业声明函与实际情况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jc w:val="left"/>
        <w:rPr>
          <w:rFonts w:ascii="仿宋" w:hAnsi="仿宋" w:eastAsia="仿宋" w:cs="仿宋"/>
          <w:sz w:val="36"/>
          <w:szCs w:val="36"/>
          <w:lang w:val="zh-CN"/>
        </w:rPr>
      </w:pPr>
      <w:r>
        <w:rPr>
          <w:rFonts w:ascii="仿宋" w:hAnsi="仿宋" w:eastAsia="仿宋" w:cs="仿宋"/>
          <w:sz w:val="36"/>
          <w:szCs w:val="36"/>
          <w:lang w:val="zh-CN"/>
        </w:rPr>
        <w:br w:type="page"/>
      </w:r>
    </w:p>
    <w:p>
      <w:pPr>
        <w:snapToGrid w:val="0"/>
        <w:spacing w:before="120" w:beforeLines="50" w:after="120" w:afterLines="50" w:line="360" w:lineRule="auto"/>
        <w:ind w:firstLine="643"/>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szCs w:val="36"/>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目录</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w:t>
      </w:r>
      <w:r>
        <w:rPr>
          <w:rFonts w:hint="eastAsia" w:ascii="仿宋" w:eastAsia="仿宋" w:cs="仿宋_GB2312"/>
        </w:rPr>
        <w:t>）营业执照</w:t>
      </w:r>
      <w:r>
        <w:rPr>
          <w:rFonts w:ascii="仿宋" w:eastAsia="仿宋" w:cs="仿宋_GB2312"/>
        </w:rPr>
        <w:t>(</w:t>
      </w:r>
      <w:r>
        <w:rPr>
          <w:rFonts w:hint="eastAsia" w:ascii="仿宋" w:eastAsia="仿宋" w:cs="仿宋_GB2312"/>
        </w:rPr>
        <w:t>或事业法人登记证或其他工商等登记证明材料</w:t>
      </w:r>
      <w:r>
        <w:rPr>
          <w:rFonts w:ascii="仿宋" w:eastAsia="仿宋" w:cs="仿宋_GB2312"/>
        </w:rPr>
        <w:t>)</w:t>
      </w:r>
      <w:r>
        <w:rPr>
          <w:rFonts w:hint="eastAsia" w:ascii="仿宋" w:eastAsia="仿宋" w:cs="仿宋_GB2312"/>
        </w:rPr>
        <w:t>复印件（投标人为然人的，提供自然人的身份证明）………………………………………………（页码）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2</w:t>
      </w:r>
      <w:r>
        <w:rPr>
          <w:rFonts w:hint="eastAsia" w:ascii="仿宋" w:eastAsia="仿宋" w:cs="仿宋_GB2312"/>
        </w:rPr>
        <w:t>）联合体协议</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3</w:t>
      </w:r>
      <w:r>
        <w:rPr>
          <w:rFonts w:hint="eastAsia" w:ascii="仿宋" w:eastAsia="仿宋" w:cs="仿宋_GB2312"/>
        </w:rPr>
        <w:t>）资信文件复印件（如果要求提供）…………………………………（页码）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4</w:t>
      </w:r>
      <w:r>
        <w:rPr>
          <w:rFonts w:hint="eastAsia" w:ascii="仿宋" w:eastAsia="仿宋" w:cs="仿宋_GB2312"/>
        </w:rPr>
        <w:t>）</w:t>
      </w:r>
      <w:r>
        <w:rPr>
          <w:rFonts w:hint="eastAsia" w:ascii="仿宋" w:eastAsia="仿宋" w:cs="仿宋_GB2312"/>
          <w:lang w:val="zh-CN"/>
        </w:rPr>
        <w:t>主要业绩证明…………………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81"/>
        <w:spacing w:line="360" w:lineRule="auto"/>
        <w:rPr>
          <w:rFonts w:ascii="仿宋" w:eastAsia="仿宋" w:cs="仿宋_GB2312"/>
        </w:rPr>
      </w:pPr>
      <w:bookmarkStart w:id="203" w:name="OLE_LINK7"/>
      <w:bookmarkStart w:id="204" w:name="OLE_LINK6"/>
      <w:bookmarkStart w:id="205" w:name="OLE_LINK5"/>
      <w:r>
        <w:rPr>
          <w:rFonts w:hint="eastAsia" w:ascii="仿宋" w:eastAsia="仿宋" w:cs="仿宋_GB2312"/>
        </w:rPr>
        <w:t>（</w:t>
      </w:r>
      <w:r>
        <w:rPr>
          <w:rFonts w:ascii="仿宋" w:eastAsia="仿宋" w:cs="仿宋_GB2312"/>
        </w:rPr>
        <w:t>5</w:t>
      </w:r>
      <w:r>
        <w:rPr>
          <w:rFonts w:hint="eastAsia" w:ascii="仿宋" w:eastAsia="仿宋" w:cs="仿宋_GB2312"/>
        </w:rPr>
        <w:t>）其他商务文件或说明…………………………………………………（页码）</w:t>
      </w:r>
      <w:bookmarkEnd w:id="203"/>
      <w:bookmarkEnd w:id="204"/>
    </w:p>
    <w:bookmarkEnd w:id="205"/>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6</w:t>
      </w:r>
      <w:r>
        <w:rPr>
          <w:rFonts w:hint="eastAsia" w:ascii="仿宋" w:eastAsia="仿宋" w:cs="仿宋_GB2312"/>
        </w:rPr>
        <w:t>）技术解决方案…………………………………………………………（页码）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7</w:t>
      </w:r>
      <w:r>
        <w:rPr>
          <w:rFonts w:hint="eastAsia" w:ascii="仿宋" w:eastAsia="仿宋" w:cs="仿宋_GB2312"/>
        </w:rPr>
        <w:t>）技术偏离说明表………………………………………………………（页码）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8</w:t>
      </w:r>
      <w:r>
        <w:rPr>
          <w:rFonts w:hint="eastAsia" w:ascii="仿宋" w:eastAsia="仿宋" w:cs="仿宋_GB2312"/>
        </w:rPr>
        <w:t>）组织实施方案…………………………………………………………（页码）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9</w:t>
      </w:r>
      <w:r>
        <w:rPr>
          <w:rFonts w:hint="eastAsia" w:ascii="仿宋" w:eastAsia="仿宋" w:cs="仿宋_GB2312"/>
        </w:rPr>
        <w:t>）售后服务方案…………………………………………………………（页码）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10</w:t>
      </w:r>
      <w:r>
        <w:rPr>
          <w:rFonts w:hint="eastAsia" w:ascii="仿宋" w:eastAsia="仿宋" w:cs="仿宋_GB2312"/>
        </w:rPr>
        <w:t>）项目小组人员名单……………………………………………………（页码）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11</w:t>
      </w:r>
      <w:r>
        <w:rPr>
          <w:rFonts w:hint="eastAsia" w:ascii="仿宋" w:eastAsia="仿宋" w:cs="仿宋_GB2312"/>
        </w:rPr>
        <w:t>）优惠条件及特殊承诺…………………………………………………（页码）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12</w:t>
      </w:r>
      <w:r>
        <w:rPr>
          <w:rFonts w:hint="eastAsia" w:ascii="仿宋" w:eastAsia="仿宋" w:cs="仿宋_GB2312"/>
        </w:rPr>
        <w:t>）备品备件及供选择的配套零部件清单………………………………（页码）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13</w:t>
      </w:r>
      <w:r>
        <w:rPr>
          <w:rFonts w:hint="eastAsia" w:ascii="仿宋" w:eastAsia="仿宋" w:cs="仿宋_GB2312"/>
        </w:rPr>
        <w:t>）培训计划………………………………………………………………（页码）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14</w:t>
      </w:r>
      <w:r>
        <w:rPr>
          <w:rFonts w:hint="eastAsia" w:ascii="仿宋" w:eastAsia="仿宋" w:cs="仿宋_GB2312"/>
        </w:rPr>
        <w:t>）认为需要的其他技术文件或说明……………………………………（页码）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15</w:t>
      </w:r>
      <w:r>
        <w:rPr>
          <w:rFonts w:hint="eastAsia" w:ascii="仿宋" w:eastAsia="仿宋" w:cs="仿宋_GB2312"/>
        </w:rPr>
        <w:t>）关于对招标文件中商务、合同有关条款的拒绝声明………………（页码）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16</w:t>
      </w:r>
      <w:r>
        <w:rPr>
          <w:rFonts w:hint="eastAsia" w:ascii="仿宋" w:eastAsia="仿宋" w:cs="仿宋_GB2312"/>
        </w:rPr>
        <w:t>）政府采购供应商廉洁自律承诺书……………………………………（页码）</w:t>
      </w:r>
    </w:p>
    <w:p>
      <w:pPr>
        <w:pStyle w:val="81"/>
        <w:spacing w:line="360" w:lineRule="auto"/>
        <w:rPr>
          <w:rFonts w:ascii="仿宋" w:eastAsia="仿宋" w:cs="仿宋_GB2312"/>
        </w:rPr>
      </w:pPr>
      <w:r>
        <w:rPr>
          <w:rFonts w:hint="eastAsia" w:ascii="仿宋" w:eastAsia="仿宋" w:cs="仿宋_GB2312"/>
        </w:rPr>
        <w:t>（</w:t>
      </w:r>
      <w:r>
        <w:rPr>
          <w:rFonts w:ascii="仿宋" w:eastAsia="仿宋" w:cs="仿宋_GB2312"/>
        </w:rPr>
        <w:t>17</w:t>
      </w:r>
      <w:r>
        <w:rPr>
          <w:rFonts w:hint="eastAsia" w:ascii="仿宋" w:eastAsia="仿宋" w:cs="仿宋_GB2312"/>
        </w:rPr>
        <w:t>）廉政承诺书……………………………………………………………（页码）</w:t>
      </w:r>
    </w:p>
    <w:p>
      <w:pPr>
        <w:pStyle w:val="81"/>
        <w:spacing w:line="360" w:lineRule="auto"/>
        <w:ind w:firstLine="480"/>
        <w:rPr>
          <w:rFonts w:ascii="仿宋" w:eastAsia="仿宋" w:cs="仿宋_GB2312"/>
        </w:rPr>
      </w:pPr>
    </w:p>
    <w:p>
      <w:pPr>
        <w:pStyle w:val="81"/>
        <w:spacing w:line="360" w:lineRule="auto"/>
        <w:ind w:firstLine="480"/>
        <w:rPr>
          <w:rFonts w:ascii="仿宋" w:eastAsia="仿宋" w:cs="仿宋_GB2312"/>
        </w:rPr>
      </w:pPr>
      <w:r>
        <w:rPr>
          <w:rFonts w:hint="eastAsia" w:ascii="仿宋" w:eastAsia="仿宋" w:cs="仿宋_GB2312"/>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
          <w:b/>
          <w:kern w:val="0"/>
          <w:sz w:val="24"/>
          <w:lang w:val="zh-CN"/>
        </w:rPr>
      </w:pPr>
      <w:r>
        <w:rPr>
          <w:rFonts w:ascii="仿宋" w:hAnsi="仿宋" w:eastAsia="仿宋" w:cs="仿宋"/>
          <w:b/>
          <w:kern w:val="0"/>
          <w:sz w:val="24"/>
          <w:lang w:val="zh-CN"/>
        </w:rPr>
        <w:br w:type="page"/>
      </w:r>
    </w:p>
    <w:p>
      <w:pPr>
        <w:snapToGrid w:val="0"/>
        <w:spacing w:line="360" w:lineRule="auto"/>
        <w:rPr>
          <w:rFonts w:ascii="仿宋" w:hAnsi="仿宋" w:eastAsia="仿宋" w:cs="仿宋"/>
          <w:b/>
          <w:kern w:val="0"/>
          <w:sz w:val="30"/>
          <w:szCs w:val="30"/>
          <w:lang w:val="zh-CN"/>
        </w:rPr>
      </w:pPr>
    </w:p>
    <w:p>
      <w:pPr>
        <w:spacing w:line="360" w:lineRule="auto"/>
        <w:jc w:val="center"/>
        <w:rPr>
          <w:rFonts w:ascii="仿宋" w:hAnsi="仿宋" w:eastAsia="仿宋" w:cs="仿宋"/>
          <w:b/>
          <w:sz w:val="30"/>
          <w:szCs w:val="30"/>
        </w:rPr>
      </w:pPr>
      <w:r>
        <w:rPr>
          <w:rFonts w:hint="eastAsia" w:ascii="仿宋" w:hAnsi="仿宋" w:eastAsia="仿宋" w:cs="仿宋"/>
          <w:b/>
          <w:kern w:val="0"/>
          <w:sz w:val="30"/>
          <w:szCs w:val="30"/>
          <w:lang w:val="zh-CN"/>
        </w:rPr>
        <w:t>一、</w:t>
      </w:r>
      <w:r>
        <w:rPr>
          <w:rFonts w:hint="eastAsia" w:ascii="仿宋" w:hAnsi="仿宋" w:eastAsia="仿宋" w:cs="仿宋"/>
          <w:b/>
          <w:sz w:val="30"/>
          <w:szCs w:val="30"/>
        </w:rPr>
        <w:t>营业执照</w:t>
      </w:r>
      <w:r>
        <w:rPr>
          <w:rFonts w:ascii="仿宋" w:hAnsi="仿宋" w:eastAsia="仿宋" w:cs="仿宋"/>
          <w:b/>
          <w:sz w:val="30"/>
          <w:szCs w:val="30"/>
        </w:rPr>
        <w:t>(</w:t>
      </w:r>
      <w:r>
        <w:rPr>
          <w:rFonts w:hint="eastAsia" w:ascii="仿宋" w:hAnsi="仿宋" w:eastAsia="仿宋" w:cs="仿宋"/>
          <w:b/>
          <w:sz w:val="30"/>
          <w:szCs w:val="30"/>
        </w:rPr>
        <w:t>或事业法人登记证或其他工商等登记证明材料</w:t>
      </w:r>
      <w:r>
        <w:rPr>
          <w:rFonts w:ascii="仿宋" w:hAnsi="仿宋" w:eastAsia="仿宋" w:cs="仿宋"/>
          <w:b/>
          <w:sz w:val="30"/>
          <w:szCs w:val="30"/>
        </w:rPr>
        <w:t>)</w:t>
      </w:r>
      <w:r>
        <w:rPr>
          <w:rFonts w:hint="eastAsia" w:ascii="仿宋" w:hAnsi="仿宋" w:eastAsia="仿宋" w:cs="仿宋"/>
          <w:b/>
          <w:sz w:val="30"/>
          <w:szCs w:val="30"/>
        </w:rPr>
        <w:t>复印件（投标人为自然人的，提供自然人的身份证明）</w:t>
      </w:r>
    </w:p>
    <w:p>
      <w:pPr>
        <w:snapToGrid w:val="0"/>
        <w:spacing w:line="360" w:lineRule="auto"/>
        <w:jc w:val="center"/>
        <w:rPr>
          <w:rFonts w:ascii="仿宋" w:hAnsi="仿宋" w:eastAsia="仿宋" w:cs="仿宋"/>
          <w:b/>
          <w:kern w:val="0"/>
          <w:sz w:val="30"/>
          <w:szCs w:val="30"/>
          <w:lang w:val="zh-CN"/>
        </w:rPr>
      </w:pPr>
    </w:p>
    <w:p>
      <w:pPr>
        <w:snapToGrid w:val="0"/>
        <w:spacing w:line="360" w:lineRule="auto"/>
        <w:rPr>
          <w:rFonts w:ascii="仿宋" w:hAnsi="仿宋" w:eastAsia="仿宋" w:cs="仿宋"/>
          <w:b/>
          <w:kern w:val="0"/>
          <w:sz w:val="24"/>
          <w:lang w:val="zh-CN"/>
        </w:rPr>
      </w:pPr>
    </w:p>
    <w:p>
      <w:pPr>
        <w:snapToGrid w:val="0"/>
        <w:spacing w:line="360" w:lineRule="auto"/>
        <w:ind w:firstLine="1446" w:firstLineChars="600"/>
        <w:rPr>
          <w:rFonts w:ascii="仿宋" w:hAnsi="仿宋" w:eastAsia="仿宋" w:cs="仿宋"/>
          <w:b/>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ind w:firstLine="1440" w:firstLineChars="600"/>
        <w:rPr>
          <w:rFonts w:ascii="仿宋" w:hAnsi="仿宋" w:eastAsia="仿宋" w:cs="仿宋"/>
          <w:b/>
          <w:kern w:val="0"/>
          <w:sz w:val="24"/>
        </w:rPr>
      </w:pPr>
      <w:r>
        <w:rPr>
          <w:rFonts w:hint="eastAsia" w:ascii="仿宋" w:hAnsi="仿宋" w:eastAsia="仿宋" w:cs="仿宋"/>
          <w:kern w:val="0"/>
          <w:sz w:val="24"/>
          <w:lang w:val="zh-CN"/>
        </w:rPr>
        <w:t>日期：年月</w:t>
      </w:r>
      <w:r>
        <w:rPr>
          <w:rFonts w:hint="eastAsia" w:ascii="仿宋" w:hAnsi="仿宋" w:eastAsia="仿宋" w:cs="仿宋"/>
          <w:kern w:val="0"/>
          <w:sz w:val="24"/>
        </w:rPr>
        <w:t>日</w:t>
      </w:r>
    </w:p>
    <w:p>
      <w:pPr>
        <w:snapToGrid w:val="0"/>
        <w:spacing w:line="360" w:lineRule="auto"/>
        <w:rPr>
          <w:rFonts w:ascii="仿宋" w:hAnsi="仿宋" w:eastAsia="仿宋" w:cs="仿宋"/>
          <w:kern w:val="0"/>
          <w:sz w:val="24"/>
          <w:lang w:val="zh-CN"/>
        </w:rPr>
      </w:pPr>
    </w:p>
    <w:p>
      <w:pPr>
        <w:pStyle w:val="33"/>
        <w:spacing w:after="120"/>
        <w:rPr>
          <w:kern w:val="0"/>
        </w:rPr>
      </w:pPr>
      <w:r>
        <w:rPr>
          <w:kern w:val="0"/>
        </w:rPr>
        <w:br w:type="page"/>
      </w:r>
    </w:p>
    <w:p>
      <w:pPr>
        <w:snapToGrid w:val="0"/>
        <w:spacing w:before="50" w:after="50" w:line="360" w:lineRule="auto"/>
        <w:jc w:val="center"/>
        <w:rPr>
          <w:rFonts w:ascii="仿宋" w:hAnsi="仿宋" w:eastAsia="仿宋" w:cs="仿宋"/>
          <w:b/>
          <w:sz w:val="28"/>
          <w:szCs w:val="28"/>
        </w:rPr>
      </w:pPr>
      <w:r>
        <w:rPr>
          <w:rFonts w:hint="eastAsia" w:ascii="仿宋" w:hAnsi="仿宋" w:eastAsia="仿宋" w:cs="仿宋"/>
          <w:b/>
          <w:sz w:val="28"/>
          <w:szCs w:val="28"/>
        </w:rPr>
        <w:t>二、联合体协议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kern w:val="0"/>
          <w:sz w:val="24"/>
        </w:rPr>
        <w:t>浙江辰光管理有限公司</w:t>
      </w:r>
      <w:r>
        <w:rPr>
          <w:rFonts w:hint="eastAsia" w:ascii="仿宋" w:hAnsi="仿宋" w:eastAsia="仿宋" w:cs="仿宋"/>
          <w:kern w:val="0"/>
          <w:sz w:val="24"/>
          <w:lang w:val="zh-CN"/>
        </w:rPr>
        <w:t>组织实施的</w:t>
      </w:r>
      <w:r>
        <w:rPr>
          <w:rFonts w:hint="eastAsia" w:ascii="仿宋" w:hAnsi="仿宋" w:eastAsia="仿宋" w:cs="仿宋"/>
          <w:kern w:val="0"/>
          <w:sz w:val="24"/>
          <w:u w:val="single"/>
          <w:lang w:val="zh-CN"/>
        </w:rPr>
        <w:t>淳安县全链路网络安全监管平台（一期）建设采购项目【招标编号：</w:t>
      </w:r>
      <w:r>
        <w:rPr>
          <w:rFonts w:hint="eastAsia" w:ascii="仿宋" w:hAnsi="仿宋" w:eastAsia="仿宋" w:cs="仿宋"/>
          <w:kern w:val="0"/>
          <w:sz w:val="24"/>
          <w:lang w:val="zh-CN"/>
        </w:rPr>
        <w:t>】共同投标。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所有联合体成员各方法定代表人签署授权书，授权书载明的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三、本次联合投标中，分工如下：甲方承担的工作和义务为：；乙方承担的工作和义务为：；……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ascii="仿宋" w:hAnsi="仿宋" w:eastAsia="仿宋" w:cs="仿宋"/>
          <w:kern w:val="0"/>
          <w:sz w:val="24"/>
          <w:lang w:val="zh-CN"/>
        </w:rPr>
      </w:pPr>
      <w:r>
        <w:rPr>
          <w:rFonts w:ascii="仿宋" w:hAnsi="仿宋" w:eastAsia="仿宋" w:cs="仿宋"/>
          <w:kern w:val="0"/>
          <w:sz w:val="24"/>
          <w:lang w:val="zh-CN"/>
        </w:rPr>
        <w:t>1</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ascii="仿宋" w:hAnsi="仿宋" w:eastAsia="仿宋" w:cs="仿宋"/>
          <w:kern w:val="0"/>
          <w:sz w:val="24"/>
          <w:lang w:val="zh-CN"/>
        </w:rPr>
        <w:t>2</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ascii="仿宋" w:hAnsi="仿宋" w:eastAsia="仿宋" w:cs="仿宋"/>
          <w:kern w:val="0"/>
          <w:sz w:val="24"/>
          <w:lang w:val="zh-CN"/>
        </w:rPr>
        <w:t>3</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甲方单位：（公章）乙方单位：（公章）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日期：年月日日期：年月日</w:t>
      </w:r>
    </w:p>
    <w:p>
      <w:pPr>
        <w:snapToGrid w:val="0"/>
        <w:spacing w:line="360" w:lineRule="auto"/>
        <w:ind w:right="480"/>
        <w:jc w:val="center"/>
        <w:rPr>
          <w:rFonts w:ascii="仿宋" w:hAnsi="仿宋" w:eastAsia="仿宋" w:cs="仿宋"/>
          <w:b/>
          <w:kern w:val="0"/>
          <w:sz w:val="24"/>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三、资信文件复印件（如果要求提供）</w:t>
      </w:r>
    </w:p>
    <w:p>
      <w:pPr>
        <w:spacing w:line="360" w:lineRule="auto"/>
        <w:jc w:val="center"/>
        <w:rPr>
          <w:rFonts w:ascii="仿宋" w:hAnsi="仿宋" w:eastAsia="仿宋" w:cs="仿宋"/>
          <w:sz w:val="30"/>
          <w:szCs w:val="30"/>
        </w:rPr>
      </w:pPr>
      <w:r>
        <w:rPr>
          <w:rFonts w:hint="eastAsia" w:ascii="仿宋" w:hAnsi="仿宋" w:eastAsia="仿宋" w:cs="仿宋"/>
          <w:sz w:val="28"/>
          <w:szCs w:val="28"/>
        </w:rPr>
        <w:t>（由投标人根据采购需求及招标文件要求编制）</w:t>
      </w:r>
    </w:p>
    <w:p>
      <w:pPr>
        <w:spacing w:line="360" w:lineRule="auto"/>
        <w:jc w:val="center"/>
        <w:rPr>
          <w:rFonts w:ascii="仿宋" w:hAnsi="仿宋" w:eastAsia="仿宋" w:cs="仿宋"/>
          <w:b/>
          <w:bCs/>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pacing w:line="360" w:lineRule="auto"/>
        <w:jc w:val="center"/>
        <w:rPr>
          <w:rFonts w:ascii="仿宋" w:hAnsi="仿宋" w:eastAsia="仿宋" w:cs="仿宋"/>
          <w:b/>
          <w:bCs/>
          <w:sz w:val="24"/>
        </w:rPr>
      </w:pPr>
      <w:r>
        <w:rPr>
          <w:rFonts w:hint="eastAsia" w:ascii="仿宋" w:hAnsi="仿宋" w:eastAsia="仿宋" w:cs="仿宋"/>
          <w:kern w:val="0"/>
          <w:sz w:val="24"/>
          <w:lang w:val="zh-CN"/>
        </w:rPr>
        <w:t>日期：年月</w:t>
      </w:r>
      <w:r>
        <w:rPr>
          <w:rFonts w:hint="eastAsia" w:ascii="仿宋" w:hAnsi="仿宋" w:eastAsia="仿宋" w:cs="仿宋"/>
          <w:kern w:val="0"/>
          <w:sz w:val="24"/>
        </w:rPr>
        <w:t>日</w:t>
      </w:r>
    </w:p>
    <w:p>
      <w:pPr>
        <w:spacing w:line="360" w:lineRule="auto"/>
        <w:jc w:val="center"/>
        <w:rPr>
          <w:rFonts w:ascii="仿宋" w:hAnsi="仿宋" w:eastAsia="仿宋" w:cs="仿宋"/>
          <w:b/>
          <w:bCs/>
          <w:sz w:val="24"/>
        </w:rPr>
      </w:pPr>
    </w:p>
    <w:p>
      <w:pPr>
        <w:pStyle w:val="33"/>
        <w:spacing w:after="120"/>
        <w:rPr>
          <w:rFonts w:ascii="仿宋_GB2312" w:eastAsia="仿宋_GB2312"/>
          <w:b/>
          <w:sz w:val="32"/>
          <w:szCs w:val="32"/>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kern w:val="0"/>
          <w:sz w:val="28"/>
          <w:szCs w:val="28"/>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w:t>
      </w:r>
      <w:r>
        <w:rPr>
          <w:rFonts w:ascii="仿宋_GB2312" w:hAnsi="仿宋" w:eastAsia="仿宋_GB2312" w:cs="仿宋_GB2312"/>
          <w:b/>
          <w:sz w:val="24"/>
        </w:rPr>
        <w:t xml:space="preserve"> :</w:t>
      </w:r>
      <w:r>
        <w:rPr>
          <w:rFonts w:hint="eastAsia" w:ascii="仿宋_GB2312" w:hAnsi="仿宋" w:eastAsia="仿宋_GB2312" w:cs="仿宋_GB2312"/>
          <w:b/>
          <w:sz w:val="24"/>
        </w:rPr>
        <w:t>相关项目建设业绩一览表</w:t>
      </w:r>
    </w:p>
    <w:tbl>
      <w:tblPr>
        <w:tblStyle w:val="34"/>
        <w:tblW w:w="9356"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436"/>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4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3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3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3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3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3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bl>
    <w:p>
      <w:pPr>
        <w:pStyle w:val="33"/>
        <w:spacing w:after="120"/>
        <w:rPr>
          <w:rFonts w:ascii="仿宋_GB2312" w:hAnsi="仿宋" w:eastAsia="仿宋_GB2312" w:cs="仿宋_GB2312"/>
          <w:b/>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pStyle w:val="33"/>
        <w:spacing w:after="120"/>
        <w:rPr>
          <w:rFonts w:ascii="仿宋_GB2312" w:hAnsi="仿宋" w:eastAsia="仿宋_GB2312" w:cs="仿宋_GB2312"/>
          <w:b/>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日期：年月日</w:t>
      </w:r>
    </w:p>
    <w:p>
      <w:pPr>
        <w:spacing w:line="360" w:lineRule="auto"/>
        <w:rPr>
          <w:rFonts w:ascii="仿宋" w:hAnsi="仿宋" w:eastAsia="仿宋" w:cs="仿宋"/>
          <w:kern w:val="0"/>
          <w:sz w:val="24"/>
        </w:rPr>
      </w:pPr>
    </w:p>
    <w:p>
      <w:pPr>
        <w:pStyle w:val="80"/>
        <w:rPr>
          <w:rFonts w:ascii="仿宋" w:hAnsi="仿宋" w:eastAsia="仿宋" w:cs="仿宋"/>
          <w:kern w:val="0"/>
          <w:sz w:val="24"/>
        </w:rPr>
      </w:pPr>
    </w:p>
    <w:p>
      <w:pPr>
        <w:pStyle w:val="6"/>
        <w:rPr>
          <w:rFonts w:ascii="仿宋" w:hAnsi="仿宋" w:eastAsia="仿宋" w:cs="仿宋"/>
          <w:kern w:val="0"/>
        </w:rPr>
      </w:pPr>
    </w:p>
    <w:p>
      <w:pPr>
        <w:pStyle w:val="6"/>
        <w:rPr>
          <w:rFonts w:ascii="仿宋" w:hAnsi="仿宋" w:eastAsia="仿宋" w:cs="仿宋"/>
          <w:kern w:val="0"/>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五、</w:t>
      </w:r>
      <w:bookmarkStart w:id="206" w:name="OLE_LINK16"/>
      <w:bookmarkStart w:id="207" w:name="OLE_LINK17"/>
      <w:r>
        <w:rPr>
          <w:rFonts w:hint="eastAsia" w:ascii="仿宋" w:hAnsi="仿宋" w:eastAsia="仿宋" w:cs="仿宋"/>
          <w:b/>
          <w:bCs/>
          <w:sz w:val="28"/>
          <w:szCs w:val="28"/>
        </w:rPr>
        <w:t>其他商务文件或说明</w:t>
      </w:r>
    </w:p>
    <w:p>
      <w:pPr>
        <w:spacing w:line="360" w:lineRule="auto"/>
        <w:jc w:val="center"/>
        <w:rPr>
          <w:rFonts w:ascii="仿宋" w:hAnsi="仿宋" w:eastAsia="仿宋" w:cs="仿宋"/>
          <w:sz w:val="24"/>
        </w:rPr>
      </w:pPr>
      <w:r>
        <w:rPr>
          <w:rFonts w:hint="eastAsia" w:ascii="仿宋" w:hAnsi="仿宋" w:eastAsia="仿宋" w:cs="仿宋"/>
          <w:sz w:val="24"/>
        </w:rPr>
        <w:t>（</w:t>
      </w:r>
      <w:bookmarkStart w:id="208" w:name="OLE_LINK10"/>
      <w:bookmarkStart w:id="209" w:name="OLE_LINK11"/>
      <w:r>
        <w:rPr>
          <w:rFonts w:hint="eastAsia" w:ascii="仿宋" w:hAnsi="仿宋" w:eastAsia="仿宋" w:cs="仿宋"/>
          <w:sz w:val="24"/>
        </w:rPr>
        <w:t>其他商务文件或说明由投标人根据采购需求自行编制</w:t>
      </w:r>
      <w:bookmarkEnd w:id="208"/>
      <w:bookmarkEnd w:id="209"/>
      <w:r>
        <w:rPr>
          <w:rFonts w:hint="eastAsia" w:ascii="仿宋" w:hAnsi="仿宋" w:eastAsia="仿宋" w:cs="仿宋"/>
          <w:sz w:val="24"/>
        </w:rPr>
        <w:t>）</w:t>
      </w:r>
    </w:p>
    <w:bookmarkEnd w:id="206"/>
    <w:bookmarkEnd w:id="207"/>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lang w:val="zh-CN"/>
        </w:rPr>
        <w:t>投标人名称（电子签名）：</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lang w:val="zh-CN"/>
        </w:rPr>
      </w:pPr>
    </w:p>
    <w:p>
      <w:pPr>
        <w:spacing w:line="360" w:lineRule="auto"/>
        <w:jc w:val="center"/>
        <w:rPr>
          <w:rFonts w:ascii="仿宋" w:hAnsi="仿宋" w:eastAsia="仿宋" w:cs="仿宋"/>
          <w:b/>
          <w:bCs/>
          <w:sz w:val="28"/>
          <w:szCs w:val="28"/>
        </w:rPr>
      </w:pPr>
      <w:r>
        <w:rPr>
          <w:rFonts w:hint="eastAsia" w:ascii="仿宋" w:hAnsi="仿宋" w:eastAsia="仿宋" w:cs="仿宋"/>
          <w:b/>
          <w:sz w:val="28"/>
          <w:szCs w:val="28"/>
        </w:rPr>
        <w:t>六</w:t>
      </w:r>
      <w:r>
        <w:rPr>
          <w:rFonts w:hint="eastAsia" w:ascii="仿宋" w:hAnsi="仿宋" w:eastAsia="仿宋" w:cs="仿宋"/>
          <w:b/>
          <w:bCs/>
          <w:sz w:val="28"/>
          <w:szCs w:val="28"/>
        </w:rPr>
        <w:t>、技术解决方案</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（一）投标产品规格配置清单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31" w:type="dxa"/>
            <w:noWrap w:val="0"/>
            <w:vAlign w:val="center"/>
          </w:tcPr>
          <w:p>
            <w:pPr>
              <w:snapToGrid w:val="0"/>
              <w:spacing w:line="360" w:lineRule="auto"/>
              <w:jc w:val="center"/>
              <w:rPr>
                <w:rFonts w:ascii="仿宋_GB2312" w:hAnsi="仿宋" w:eastAsia="仿宋_GB2312" w:cs="仿宋_GB2312"/>
                <w:sz w:val="24"/>
              </w:rPr>
            </w:pPr>
          </w:p>
        </w:tc>
        <w:tc>
          <w:tcPr>
            <w:tcW w:w="2160" w:type="dxa"/>
            <w:noWrap w:val="0"/>
            <w:vAlign w:val="center"/>
          </w:tcPr>
          <w:p>
            <w:pPr>
              <w:snapToGrid w:val="0"/>
              <w:spacing w:line="360" w:lineRule="auto"/>
              <w:jc w:val="center"/>
              <w:rPr>
                <w:rFonts w:ascii="仿宋_GB2312" w:hAnsi="仿宋" w:eastAsia="仿宋_GB2312" w:cs="仿宋_GB2312"/>
                <w:sz w:val="24"/>
              </w:rPr>
            </w:pPr>
          </w:p>
        </w:tc>
        <w:tc>
          <w:tcPr>
            <w:tcW w:w="2340" w:type="dxa"/>
            <w:noWrap w:val="0"/>
            <w:vAlign w:val="center"/>
          </w:tcPr>
          <w:p>
            <w:pPr>
              <w:spacing w:line="360" w:lineRule="auto"/>
              <w:jc w:val="center"/>
              <w:rPr>
                <w:rFonts w:ascii="仿宋_GB2312" w:hAnsi="仿宋" w:eastAsia="仿宋_GB2312" w:cs="仿宋_GB2312"/>
                <w:sz w:val="24"/>
              </w:rPr>
            </w:pPr>
          </w:p>
        </w:tc>
        <w:tc>
          <w:tcPr>
            <w:tcW w:w="1080" w:type="dxa"/>
            <w:noWrap w:val="0"/>
            <w:vAlign w:val="center"/>
          </w:tcPr>
          <w:p>
            <w:pPr>
              <w:spacing w:line="360" w:lineRule="auto"/>
              <w:jc w:val="center"/>
              <w:rPr>
                <w:rFonts w:ascii="仿宋_GB2312" w:hAnsi="仿宋" w:eastAsia="仿宋_GB2312" w:cs="仿宋_GB2312"/>
                <w:sz w:val="24"/>
              </w:rPr>
            </w:pPr>
          </w:p>
        </w:tc>
        <w:tc>
          <w:tcPr>
            <w:tcW w:w="133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31" w:type="dxa"/>
            <w:noWrap w:val="0"/>
            <w:vAlign w:val="center"/>
          </w:tcPr>
          <w:p>
            <w:pPr>
              <w:snapToGrid w:val="0"/>
              <w:spacing w:line="360" w:lineRule="auto"/>
              <w:jc w:val="center"/>
              <w:rPr>
                <w:rFonts w:ascii="仿宋_GB2312" w:hAnsi="仿宋" w:eastAsia="仿宋_GB2312" w:cs="仿宋_GB2312"/>
                <w:sz w:val="24"/>
              </w:rPr>
            </w:pPr>
          </w:p>
        </w:tc>
        <w:tc>
          <w:tcPr>
            <w:tcW w:w="2160" w:type="dxa"/>
            <w:noWrap w:val="0"/>
            <w:vAlign w:val="center"/>
          </w:tcPr>
          <w:p>
            <w:pPr>
              <w:snapToGrid w:val="0"/>
              <w:spacing w:line="360" w:lineRule="auto"/>
              <w:jc w:val="center"/>
              <w:rPr>
                <w:rFonts w:ascii="仿宋_GB2312" w:hAnsi="仿宋" w:eastAsia="仿宋_GB2312" w:cs="仿宋_GB2312"/>
                <w:sz w:val="24"/>
              </w:rPr>
            </w:pPr>
          </w:p>
        </w:tc>
        <w:tc>
          <w:tcPr>
            <w:tcW w:w="2340" w:type="dxa"/>
            <w:noWrap w:val="0"/>
            <w:vAlign w:val="center"/>
          </w:tcPr>
          <w:p>
            <w:pPr>
              <w:spacing w:line="360" w:lineRule="auto"/>
              <w:jc w:val="center"/>
              <w:rPr>
                <w:rFonts w:ascii="仿宋_GB2312" w:hAnsi="仿宋" w:eastAsia="仿宋_GB2312" w:cs="仿宋_GB2312"/>
                <w:sz w:val="24"/>
              </w:rPr>
            </w:pPr>
          </w:p>
        </w:tc>
        <w:tc>
          <w:tcPr>
            <w:tcW w:w="1080" w:type="dxa"/>
            <w:noWrap w:val="0"/>
            <w:vAlign w:val="center"/>
          </w:tcPr>
          <w:p>
            <w:pPr>
              <w:spacing w:line="360" w:lineRule="auto"/>
              <w:jc w:val="center"/>
              <w:rPr>
                <w:rFonts w:ascii="仿宋_GB2312" w:hAnsi="仿宋" w:eastAsia="仿宋_GB2312" w:cs="仿宋_GB2312"/>
                <w:sz w:val="24"/>
              </w:rPr>
            </w:pPr>
          </w:p>
        </w:tc>
        <w:tc>
          <w:tcPr>
            <w:tcW w:w="1332"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noWrap w:val="0"/>
            <w:vAlign w:val="center"/>
          </w:tcPr>
          <w:p>
            <w:pPr>
              <w:snapToGrid w:val="0"/>
              <w:spacing w:line="360" w:lineRule="auto"/>
              <w:jc w:val="center"/>
              <w:rPr>
                <w:rFonts w:ascii="仿宋_GB2312" w:hAnsi="仿宋" w:eastAsia="仿宋_GB2312" w:cs="仿宋_GB2312"/>
                <w:sz w:val="24"/>
              </w:rPr>
            </w:pPr>
          </w:p>
        </w:tc>
        <w:tc>
          <w:tcPr>
            <w:tcW w:w="2160" w:type="dxa"/>
            <w:noWrap w:val="0"/>
            <w:vAlign w:val="center"/>
          </w:tcPr>
          <w:p>
            <w:pPr>
              <w:snapToGrid w:val="0"/>
              <w:spacing w:line="360" w:lineRule="auto"/>
              <w:jc w:val="center"/>
              <w:rPr>
                <w:rFonts w:ascii="仿宋_GB2312" w:hAnsi="仿宋" w:eastAsia="仿宋_GB2312" w:cs="仿宋_GB2312"/>
                <w:sz w:val="24"/>
              </w:rPr>
            </w:pPr>
          </w:p>
        </w:tc>
        <w:tc>
          <w:tcPr>
            <w:tcW w:w="2340" w:type="dxa"/>
            <w:noWrap w:val="0"/>
            <w:vAlign w:val="center"/>
          </w:tcPr>
          <w:p>
            <w:pPr>
              <w:spacing w:line="360" w:lineRule="auto"/>
              <w:jc w:val="center"/>
              <w:rPr>
                <w:rFonts w:ascii="仿宋_GB2312" w:hAnsi="仿宋" w:eastAsia="仿宋_GB2312" w:cs="仿宋_GB2312"/>
                <w:sz w:val="24"/>
              </w:rPr>
            </w:pPr>
          </w:p>
        </w:tc>
        <w:tc>
          <w:tcPr>
            <w:tcW w:w="1080" w:type="dxa"/>
            <w:noWrap w:val="0"/>
            <w:vAlign w:val="center"/>
          </w:tcPr>
          <w:p>
            <w:pPr>
              <w:spacing w:line="360" w:lineRule="auto"/>
              <w:jc w:val="center"/>
              <w:rPr>
                <w:rFonts w:ascii="仿宋_GB2312" w:hAnsi="仿宋" w:eastAsia="仿宋_GB2312" w:cs="仿宋_GB2312"/>
                <w:sz w:val="24"/>
              </w:rPr>
            </w:pPr>
          </w:p>
        </w:tc>
        <w:tc>
          <w:tcPr>
            <w:tcW w:w="1332" w:type="dxa"/>
            <w:noWrap w:val="0"/>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ascii="仿宋_GB2312" w:hAnsi="仿宋" w:eastAsia="仿宋_GB2312" w:cs="仿宋_GB2312"/>
          <w:b/>
          <w:bCs/>
          <w:kern w:val="0"/>
          <w:sz w:val="24"/>
          <w:lang w:val="zh-CN"/>
        </w:rPr>
        <w:tab/>
      </w:r>
      <w:r>
        <w:rPr>
          <w:rFonts w:ascii="仿宋_GB2312" w:hAnsi="仿宋" w:eastAsia="仿宋_GB2312" w:cs="仿宋_GB2312"/>
          <w:b/>
          <w:bCs/>
          <w:kern w:val="0"/>
          <w:sz w:val="24"/>
          <w:lang w:val="zh-CN"/>
        </w:rPr>
        <w:tab/>
      </w:r>
    </w:p>
    <w:p>
      <w:pPr>
        <w:spacing w:line="360" w:lineRule="auto"/>
        <w:ind w:firstLine="2276" w:firstLineChars="900"/>
        <w:jc w:val="left"/>
        <w:rPr>
          <w:rFonts w:ascii="仿宋_GB2312" w:hAnsi="仿宋" w:eastAsia="仿宋_GB2312"/>
          <w:b/>
          <w:spacing w:val="6"/>
          <w:sz w:val="24"/>
        </w:rPr>
      </w:pPr>
      <w:r>
        <w:rPr>
          <w:rFonts w:hint="eastAsia" w:ascii="仿宋_GB2312" w:hAnsi="仿宋" w:eastAsia="仿宋_GB2312"/>
          <w:b/>
          <w:spacing w:val="6"/>
          <w:sz w:val="24"/>
        </w:rPr>
        <w:t>（二）节能产品认证证书复印件（电子签名）</w:t>
      </w:r>
    </w:p>
    <w:p>
      <w:pPr>
        <w:spacing w:line="360" w:lineRule="auto"/>
        <w:ind w:firstLine="1012" w:firstLineChars="400"/>
        <w:jc w:val="left"/>
        <w:rPr>
          <w:rFonts w:ascii="仿宋_GB2312" w:hAnsi="仿宋" w:eastAsia="仿宋_GB2312"/>
          <w:b/>
          <w:spacing w:val="6"/>
          <w:sz w:val="24"/>
        </w:rPr>
      </w:pPr>
    </w:p>
    <w:p>
      <w:pPr>
        <w:spacing w:line="360" w:lineRule="auto"/>
        <w:rPr>
          <w:rFonts w:ascii="仿宋_GB2312" w:hAnsi="仿宋" w:eastAsia="仿宋_GB2312"/>
          <w:b/>
          <w:bCs/>
          <w:sz w:val="24"/>
        </w:rPr>
      </w:pPr>
    </w:p>
    <w:p>
      <w:pPr>
        <w:spacing w:line="360" w:lineRule="auto"/>
        <w:ind w:firstLine="2024" w:firstLineChars="800"/>
        <w:jc w:val="left"/>
        <w:rPr>
          <w:rFonts w:ascii="仿宋_GB2312" w:hAnsi="仿宋" w:eastAsia="仿宋_GB2312"/>
          <w:b/>
          <w:spacing w:val="6"/>
          <w:sz w:val="24"/>
        </w:rPr>
      </w:pPr>
      <w:r>
        <w:rPr>
          <w:rFonts w:hint="eastAsia" w:ascii="仿宋_GB2312" w:hAnsi="仿宋" w:eastAsia="仿宋_GB2312"/>
          <w:b/>
          <w:spacing w:val="6"/>
          <w:sz w:val="24"/>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日期：年月日</w:t>
      </w:r>
    </w:p>
    <w:p>
      <w:pPr>
        <w:spacing w:line="360" w:lineRule="auto"/>
        <w:jc w:val="center"/>
        <w:rPr>
          <w:rFonts w:ascii="仿宋" w:hAnsi="仿宋" w:eastAsia="仿宋" w:cs="仿宋"/>
          <w:b/>
          <w:bCs/>
          <w:sz w:val="28"/>
          <w:szCs w:val="28"/>
        </w:rPr>
      </w:pPr>
      <w:r>
        <w:rPr>
          <w:rFonts w:ascii="仿宋" w:hAnsi="仿宋" w:eastAsia="仿宋" w:cs="仿宋"/>
          <w:b/>
          <w:bCs/>
          <w:sz w:val="24"/>
        </w:rPr>
        <w:br w:type="page"/>
      </w:r>
      <w:r>
        <w:rPr>
          <w:rFonts w:hint="eastAsia" w:ascii="仿宋" w:hAnsi="仿宋" w:eastAsia="仿宋" w:cs="仿宋"/>
          <w:b/>
          <w:bCs/>
          <w:sz w:val="28"/>
          <w:szCs w:val="28"/>
        </w:rPr>
        <w:t>七、技术偏离说明表</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tcBorders>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tcBorders>
            <w:noWrap w:val="0"/>
            <w:vAlign w:val="to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tcBorders>
            <w:noWrap w:val="0"/>
            <w:vAlign w:val="top"/>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tcBorders>
            <w:noWrap w:val="0"/>
            <w:vAlign w:val="top"/>
          </w:tcPr>
          <w:p>
            <w:pPr>
              <w:spacing w:line="360" w:lineRule="auto"/>
              <w:jc w:val="center"/>
              <w:rPr>
                <w:rFonts w:ascii="仿宋" w:hAnsi="仿宋" w:eastAsia="仿宋" w:cs="仿宋"/>
                <w:sz w:val="24"/>
              </w:rPr>
            </w:pPr>
          </w:p>
        </w:tc>
      </w:tr>
    </w:tbl>
    <w:p>
      <w:pPr>
        <w:autoSpaceDE w:val="0"/>
        <w:autoSpaceDN w:val="0"/>
        <w:spacing w:line="360" w:lineRule="auto"/>
        <w:ind w:firstLine="5040" w:firstLineChars="2100"/>
        <w:rPr>
          <w:rFonts w:ascii="仿宋" w:hAnsi="仿宋" w:eastAsia="仿宋" w:cs="仿宋"/>
          <w:kern w:val="0"/>
          <w:sz w:val="24"/>
          <w:lang w:val="zh-CN"/>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投标人名称（电子签名）：</w:t>
      </w:r>
    </w:p>
    <w:p>
      <w:pPr>
        <w:autoSpaceDE w:val="0"/>
        <w:autoSpaceDN w:val="0"/>
        <w:spacing w:line="360" w:lineRule="auto"/>
        <w:rPr>
          <w:rFonts w:ascii="仿宋" w:hAnsi="仿宋" w:eastAsia="仿宋" w:cs="仿宋"/>
          <w:b/>
          <w:sz w:val="24"/>
        </w:rPr>
      </w:pPr>
      <w:r>
        <w:rPr>
          <w:rFonts w:hint="eastAsia" w:ascii="仿宋" w:hAnsi="仿宋" w:eastAsia="仿宋" w:cs="仿宋"/>
          <w:kern w:val="0"/>
          <w:sz w:val="24"/>
          <w:lang w:val="zh-CN"/>
        </w:rPr>
        <w:t>日期：年月日</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4"/>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八、组织实施方案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w:t>
      </w:r>
      <w:r>
        <w:rPr>
          <w:rFonts w:ascii="仿宋_GB2312" w:hAnsi="仿宋" w:eastAsia="仿宋_GB2312" w:cs="仿宋_GB2312"/>
          <w:b/>
          <w:bCs/>
          <w:kern w:val="0"/>
          <w:sz w:val="24"/>
          <w:lang w:val="zh-CN"/>
        </w:rPr>
        <w:t>:</w:t>
      </w:r>
      <w:r>
        <w:rPr>
          <w:rFonts w:hint="eastAsia" w:ascii="仿宋_GB2312" w:hAnsi="仿宋" w:eastAsia="仿宋_GB2312" w:cs="仿宋_GB2312"/>
          <w:b/>
          <w:bCs/>
          <w:kern w:val="0"/>
          <w:sz w:val="24"/>
          <w:lang w:val="zh-CN"/>
        </w:rPr>
        <w:t>项目实施进度计划表</w:t>
      </w:r>
      <w:r>
        <w:rPr>
          <w:rFonts w:ascii="仿宋_GB2312" w:hAnsi="仿宋" w:eastAsia="仿宋_GB2312" w:cs="仿宋_GB2312"/>
          <w:b/>
          <w:sz w:val="24"/>
        </w:rPr>
        <w:t>(</w:t>
      </w:r>
      <w:r>
        <w:rPr>
          <w:rFonts w:hint="eastAsia" w:ascii="仿宋_GB2312" w:hAnsi="仿宋" w:eastAsia="仿宋_GB2312" w:cs="仿宋_GB2312"/>
          <w:b/>
          <w:sz w:val="24"/>
        </w:rPr>
        <w:t>以生效日算起</w:t>
      </w:r>
      <w:r>
        <w:rPr>
          <w:rFonts w:ascii="仿宋_GB2312" w:hAnsi="仿宋" w:eastAsia="仿宋_GB2312" w:cs="仿宋_GB2312"/>
          <w:b/>
          <w:sz w:val="24"/>
        </w:rPr>
        <w:t xml:space="preserve">) </w:t>
      </w:r>
    </w:p>
    <w:tbl>
      <w:tblPr>
        <w:tblStyle w:val="3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pPr>
              <w:spacing w:line="360" w:lineRule="auto"/>
              <w:rPr>
                <w:rFonts w:ascii="仿宋_GB2312" w:hAnsi="仿宋" w:eastAsia="仿宋_GB2312" w:cs="仿宋_GB2312"/>
                <w:sz w:val="24"/>
              </w:rPr>
            </w:pPr>
            <w: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ascii="宋体" w:hAnsi="宋体" w:eastAsia="宋体" w:cs="宋体"/>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ascii="宋体" w:hAnsi="宋体" w:eastAsia="宋体" w:cs="宋体"/>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ascii="宋体" w:hAnsi="宋体" w:eastAsia="宋体" w:cs="宋体"/>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Ow5pPBQDAABKCwAADgAAAGRycy9lMm9Eb2MueG1s7VbL bhMxFN0j8Q+W93QykyejTqo2pQWpQKWWdeV4PA8xYxvbyaSsWbDkf/gexG9wbc8kaSogAkFZkMXE r3t97znH1z48WtUVWjKlS8ETHB70MGKcirTkeYLfXJ89mWCkDeEpqQRnCb5lGh9NHz86bGTMIlGI KmUKgROu40YmuDBGxkGgacFqog+EZBwmM6FqYqCr8iBVpAHvdRVEvd4oaIRKpRKUaQ2jp34Stx7V Pg5FlpWUnQq6qBk33qtiFTGQki5KqfHURZtljJrXWaaZQVWCIVPjvrAJtOf2G0wPSZwrIouStiGQ fULYyakmJYdN165OiSFoocp7ruqSKqFFZg6oqAOfiEMEsgh7O9icK7GQLpc8bnK5Bh2I2kH9l93S V8tLhcoUlACQcFID418/f/jy6SOCAUCnkXkMi86VvJKXqh3Ifc8mvMpUbf8hFbRyuN6ucWUrgygM jgeTXh/cU5gKw0kY9lrgaQHs3DOjxbPWMAzHoEZnNhk5m2CzI3P0XmgDQQU2zHVUjQRp6g1e+vfw uiqIZI4GbaHo8Ao7vG5urp/fXEQeLbdkxluodKwBNTRvXooUkCULI5xM9kHth8lLpc05EzWyjQRX JbcRkpgsW0BI3C2xw1yclVXlxF5x1CR41B/2nIEWVZnaSbtMq3w+qxRaEntc3M9mBaDfWQay5Kkf r7i126HCZ221o+O5SG8dGECRY8UP/3l6ojv0nIRhf4sgq2VkVicC1Bl6HOSFoG814mJWEJ6zY6VE UzCSgnhCB4KNH+i3pj6HvagdDIcYWd1HTiCAVavtaNj30o5GLrItZXfMteQqqGJ7k3uHbfD5U4LM ar4CLjdcISV8mYRLAhqFUO8xaqBEJli/WxDFMKpecIDF1tOuobrGvGsQTsE0wQYj35wZX3cXUpV5 AZ498Fwcw6nIyvYYd4pxZ/qvCgbo8PXPneeTMBo8iGBGAwgEBDMIn9r9/wsG/auCGewIpj98EMFM +nATgWDG4fi7gnG153+FaYuKv5O2K4x7P8ATy9117XPQvuG2+2795gk8/Q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FBQAAW0NvbnRlbnRfVHlw ZXNdLnhtbFBLAQIUAAoAAAAAAIdO4kAAAAAAAAAAAAAAAAAGAAAAAAAAAAAAEAAAAGcEAABfcmVs cy9QSwECFAAUAAAACACHTuJAihRmPNEAAACUAQAACwAAAAAAAAABACAAAACLBAAAX3JlbHMvLnJl bHNQSwECFAAKAAAAAACHTuJAAAAAAAAAAAAAAAAABAAAAAAAAAAAABAAAAAAAAAAZHJzL1BLAQIU ABQAAAAIAIdO4kD1y1ye2AAAAAgBAAAPAAAAAAAAAAEAIAAAACIAAABkcnMvZG93bnJldi54bWxQ SwECFAAUAAAACACHTuJAOw5pPBQDAABKCwAADgAAAAAAAAABACAAAAAnAQAAZHJzL2Uyb0RvYy54 bWxQSwUGAAAAAAYABgBZAQAArQYAAAAA ">
                      <o:lock v:ext="edit" aspectratio="f"/>
                      <v:line id="__TH_L2" o:spid="_x0000_s1026" o:spt="20" style="position:absolute;left:0;top:0;height:1860;width:1178;" o:connectortype="straight" filled="f" stroked="t" coordsize="21600,21600"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4c+MgMIAAADbAAAADwAAAGRycy9kb3ducmV2LnhtbERPS2vCQBC+F/wPywje6sYSSkhdxQeC 4KFEvfQ2ZKdJanY27G5N4q/vFgq9zcf3nOV6MK24k/ONZQWLeQKCuLS64UrB9XJ4zkD4gKyxtUwK RvKwXk2elphr23NB93OoRAxhn6OCOoQul9KXNRn0c9sRR+7TOoMhQldJ7bCP4aaVL0nyKg02HBtq 7GhXU3k7fxsF2aXz+3H3cbDv7utRnNKCUtwqNZsOmzcQgYbwL/5zH3Wcv4DfX+IBcvUD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4c+MgMIAAADbAAAADwAAAAAAAAAAAAAA AAChAgAAZHJzL2Rvd25yZXYueG1sUEsFBgAAAAAEAAQA+QAAAJADAA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qeZW8EA AADbAAAADwAAAGRycy9kb3ducmV2LnhtbERPTYvCMBC9C/sfwizsTVM9iHaNIrKCICzWevA424xt sJl0m6j13xtB8DaP9zmzRWdrcaXWG8cKhoMEBHHhtOFSwSFf9ycgfEDWWDsmBXfysJh/9GaYanfj jK77UIoYwj5FBVUITSqlLyqy6AeuIY7cybUWQ4RtKXWLtxhuazlKkrG0aDg2VNjQqqLivL9YBcsj Zz/m//dvl50yk+fThLfjs1Jfn93yG0SgLrzFL/dGx/kjeP4SD5DzBwAAAP//AwBQSwECLQAUAAYA CAAAACEA8PeKu/0AAADiAQAAEwAAAAAAAAAAAAAAAAAAAAAAW0NvbnRlbnRfVHlwZXNdLnhtbFBL AQItABQABgAIAAAAIQAx3V9h0gAAAI8BAAALAAAAAAAAAAAAAAAAAC4BAABfcmVscy8ucmVsc1BL AQItABQABgAIAAAAIQAzLwWeQQAAADkAAAAQAAAAAAAAAAAAAAAAACkCAABkcnMvc2hhcGV4bWwu eG1sUEsBAi0AFAAGAAgAAAAhAIqnmVvBAAAA2wAAAA8AAAAAAAAAAAAAAAAAmAIAAGRycy9kb3du cmV2LnhtbFBLBQYAAAAABAAEAPUAAACGAwAAAAA= ">
                        <v:fill on="f" focussize="0,0"/>
                        <v:stroke on="f"/>
                        <v:imagedata o:title=""/>
                        <o:lock v:ext="edit" aspectratio="f"/>
                        <v:textbox inset="0mm,0mm,0mm,0mm">
                          <w:txbxContent>
                            <w:p>
                              <w:pPr>
                                <w:snapToGrid w:val="0"/>
                              </w:pPr>
                              <w:r>
                                <w:rPr>
                                  <w:rFonts w:hint="eastAsia" w:ascii="宋体" w:hAnsi="宋体" w:eastAsia="宋体" w:cs="宋体"/>
                                </w:rPr>
                                <w:t>工</w:t>
                              </w:r>
                            </w:p>
                          </w:txbxContent>
                        </v:textbox>
                      </v:shape>
                      <v:shape id="__TH_B124" o:spid="_x0000_s1026" o:spt="202" type="#_x0000_t202" style="position:absolute;left:643;top:419;height:263;width:253;" filled="f" stroked="f" coordsize="21600,21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es8wMEA AADbAAAADwAAAGRycy9kb3ducmV2LnhtbERPTYvCMBC9L/gfwgje1tQVZK1GEXFhQVis9eBxbMY2 2Exqk9X67zfCgrd5vM+ZLztbixu13jhWMBomIIgLpw2XCg751/snCB+QNdaOScGDPCwXvbc5ptrd OaPbPpQihrBPUUEVQpNK6YuKLPqha4gjd3atxRBhW0rd4j2G21p+JMlEWjQcGypsaF1Rcdn/WgWr I2cbc/057bJzZvJ8mvB2clFq0O9WMxCBuvAS/7u/dZw/hucv8QC5+AMAAP//AwBQSwECLQAUAAYA CAAAACEA8PeKu/0AAADiAQAAEwAAAAAAAAAAAAAAAAAAAAAAW0NvbnRlbnRfVHlwZXNdLnhtbFBL AQItABQABgAIAAAAIQAx3V9h0gAAAI8BAAALAAAAAAAAAAAAAAAAAC4BAABfcmVscy8ucmVsc1BL AQItABQABgAIAAAAIQAzLwWeQQAAADkAAAAQAAAAAAAAAAAAAAAAACkCAABkcnMvc2hhcGV4bWwu eG1sUEsBAi0AFAAGAAgAAAAhAOXrPMDBAAAA2wAAAA8AAAAAAAAAAAAAAAAAmAIAAGRycy9kb3du cmV2LnhtbFBLBQYAAAAABAAEAPUAAACGAwAAAAA= ">
                        <v:fill on="f" focussize="0,0"/>
                        <v:stroke on="f"/>
                        <v:imagedata o:title=""/>
                        <o:lock v:ext="edit" aspectratio="f"/>
                        <v:textbox inset="0mm,0mm,0mm,0mm">
                          <w:txbxContent>
                            <w:p>
                              <w:pPr>
                                <w:snapToGrid w:val="0"/>
                              </w:pPr>
                              <w:r>
                                <w:rPr>
                                  <w:rFonts w:hint="eastAsia" w:ascii="宋体" w:hAnsi="宋体" w:eastAsia="宋体" w:cs="宋体"/>
                                </w:rPr>
                                <w:t>作</w:t>
                              </w:r>
                            </w:p>
                          </w:txbxContent>
                        </v:textbox>
                      </v:shape>
                      <v:shape id="__TH_B135" o:spid="_x0000_s1026" o:spt="202" type="#_x0000_t202" style="position:absolute;left:831;top:717;height:262;width:253;" filled="f" stroked="f" coordsize="21600,21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gKktMEA AADbAAAADwAAAGRycy9kb3ducmV2LnhtbERPTYvCMBC9L/gfwgje1tRFZK1GEXFhQVis9eBxbMY2 2Exqk9X67zfCgrd5vM+ZLztbixu13jhWMBomIIgLpw2XCg751/snCB+QNdaOScGDPCwXvbc5ptrd OaPbPpQihrBPUUEVQpNK6YuKLPqha4gjd3atxRBhW0rd4j2G21p+JMlEWjQcGypsaF1Rcdn/WgWr I2cbc/057bJzZvJ8mvB2clFq0O9WMxCBuvAS/7u/dZw/hucv8QC5+AMAAP//AwBQSwECLQAUAAYA CAAAACEA8PeKu/0AAADiAQAAEwAAAAAAAAAAAAAAAAAAAAAAW0NvbnRlbnRfVHlwZXNdLnhtbFBL AQItABQABgAIAAAAIQAx3V9h0gAAAI8BAAALAAAAAAAAAAAAAAAAAC4BAABfcmVscy8ucmVsc1BL AQItABQABgAIAAAAIQAzLwWeQQAAADkAAAAQAAAAAAAAAAAAAAAAACkCAABkcnMvc2hhcGV4bWwu eG1sUEsBAi0AFAAGAAgAAAAhAGoCpLTBAAAA2wAAAA8AAAAAAAAAAAAAAAAAmAIAAGRycy9kb3du cmV2LnhtbFBLBQYAAAAABAAEAPUAAACGAwAAAAA= ">
                        <v:fill on="f" focussize="0,0"/>
                        <v:stroke on="f"/>
                        <v:imagedata o:title=""/>
                        <o:lock v:ext="edit" aspectratio="f"/>
                        <v:textbox inset="0mm,0mm,0mm,0mm">
                          <w:txbxContent>
                            <w:p>
                              <w:pPr>
                                <w:snapToGrid w:val="0"/>
                              </w:pPr>
                              <w:r>
                                <w:rPr>
                                  <w:rFonts w:hint="eastAsia" w:ascii="宋体" w:hAnsi="宋体" w:eastAsia="宋体" w:cs="宋体"/>
                                </w:rPr>
                                <w:t>日</w:t>
                              </w:r>
                            </w:p>
                          </w:txbxContent>
                        </v:textbox>
                      </v:shape>
                    </v:group>
                  </w:pict>
                </mc:Fallback>
              </mc:AlternateConten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w:t>
            </w:r>
          </w:p>
        </w:tc>
        <w:tc>
          <w:tcPr>
            <w:tcW w:w="552"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2</w:t>
            </w:r>
          </w:p>
        </w:tc>
        <w:tc>
          <w:tcPr>
            <w:tcW w:w="552"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3</w:t>
            </w:r>
          </w:p>
        </w:tc>
        <w:tc>
          <w:tcPr>
            <w:tcW w:w="552"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4</w:t>
            </w:r>
          </w:p>
        </w:tc>
        <w:tc>
          <w:tcPr>
            <w:tcW w:w="552"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5</w:t>
            </w:r>
          </w:p>
        </w:tc>
        <w:tc>
          <w:tcPr>
            <w:tcW w:w="552"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6</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7</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8</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9</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10</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11</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12</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13</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14</w:t>
            </w:r>
          </w:p>
        </w:tc>
        <w:tc>
          <w:tcPr>
            <w:tcW w:w="553" w:type="dxa"/>
            <w:noWrap w:val="0"/>
            <w:vAlign w:val="center"/>
          </w:tcPr>
          <w:p>
            <w:pPr>
              <w:spacing w:line="360" w:lineRule="auto"/>
              <w:rPr>
                <w:rFonts w:ascii="仿宋_GB2312" w:hAnsi="仿宋" w:eastAsia="仿宋_GB2312" w:cs="仿宋_GB2312"/>
                <w:sz w:val="24"/>
              </w:rPr>
            </w:pPr>
            <w:r>
              <w:rPr>
                <w:rFonts w:ascii="仿宋_GB2312" w:hAnsi="仿宋" w:eastAsia="仿宋_GB2312" w:cs="仿宋_GB2312"/>
                <w:sz w:val="24"/>
              </w:rPr>
              <w:t>15</w:t>
            </w:r>
          </w:p>
        </w:tc>
        <w:tc>
          <w:tcPr>
            <w:tcW w:w="553" w:type="dxa"/>
            <w:noWrap w:val="0"/>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2"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c>
          <w:tcPr>
            <w:tcW w:w="553" w:type="dxa"/>
            <w:noWrap w:val="0"/>
            <w:vAlign w:val="top"/>
          </w:tcPr>
          <w:p>
            <w:pPr>
              <w:spacing w:line="360" w:lineRule="auto"/>
              <w:rPr>
                <w:rFonts w:ascii="仿宋_GB2312" w:hAnsi="仿宋" w:eastAsia="仿宋_GB2312" w:cs="仿宋_GB2312"/>
                <w:sz w:val="24"/>
              </w:rPr>
            </w:pPr>
          </w:p>
        </w:tc>
      </w:tr>
    </w:tbl>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w:t>
      </w:r>
    </w:p>
    <w:p>
      <w:pPr>
        <w:autoSpaceDE w:val="0"/>
        <w:autoSpaceDN w:val="0"/>
        <w:spacing w:line="360" w:lineRule="auto"/>
        <w:rPr>
          <w:rFonts w:ascii="仿宋" w:hAnsi="仿宋" w:eastAsia="仿宋" w:cs="仿宋"/>
          <w:b/>
          <w:bCs/>
          <w:sz w:val="24"/>
        </w:rPr>
      </w:pPr>
      <w:r>
        <w:rPr>
          <w:rFonts w:hint="eastAsia" w:ascii="仿宋" w:hAnsi="仿宋" w:eastAsia="仿宋" w:cs="仿宋"/>
          <w:kern w:val="0"/>
          <w:sz w:val="24"/>
          <w:lang w:val="zh-CN"/>
        </w:rPr>
        <w:t>日期：年月日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九、售后服务方案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w:t>
      </w:r>
      <w:r>
        <w:rPr>
          <w:rFonts w:ascii="仿宋_GB2312" w:hAnsi="仿宋" w:eastAsia="仿宋_GB2312" w:cs="仿宋_GB2312"/>
          <w:b/>
          <w:sz w:val="24"/>
        </w:rPr>
        <w:t>A:</w:t>
      </w:r>
      <w:r>
        <w:rPr>
          <w:rFonts w:hint="eastAsia" w:ascii="仿宋_GB2312" w:hAnsi="仿宋" w:eastAsia="仿宋_GB2312" w:cs="仿宋_GB2312"/>
          <w:b/>
          <w:sz w:val="24"/>
        </w:rPr>
        <w:t>售后服务机构情况表</w:t>
      </w:r>
      <w:r>
        <w:rPr>
          <w:rFonts w:hint="eastAsia" w:ascii="仿宋_GB2312" w:hAnsi="仿宋" w:eastAsia="仿宋_GB2312" w:cs="仿宋_GB2312"/>
          <w:sz w:val="24"/>
        </w:rPr>
        <w:t>（按此格式自制）</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noWrap w:val="0"/>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noWrap w:val="0"/>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noWrap w:val="0"/>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noWrap w:val="0"/>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noWrap w:val="0"/>
            <w:vAlign w:val="top"/>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sz w:val="24"/>
              </w:rPr>
            </w:pPr>
          </w:p>
        </w:tc>
        <w:tc>
          <w:tcPr>
            <w:tcW w:w="2340" w:type="dxa"/>
            <w:noWrap w:val="0"/>
            <w:vAlign w:val="top"/>
          </w:tcPr>
          <w:p>
            <w:pPr>
              <w:autoSpaceDE w:val="0"/>
              <w:autoSpaceDN w:val="0"/>
              <w:spacing w:line="360" w:lineRule="auto"/>
              <w:jc w:val="center"/>
              <w:rPr>
                <w:rFonts w:ascii="仿宋_GB2312" w:hAnsi="仿宋" w:eastAsia="仿宋_GB2312" w:cs="仿宋_GB2312"/>
                <w:sz w:val="24"/>
              </w:rPr>
            </w:pPr>
          </w:p>
        </w:tc>
        <w:tc>
          <w:tcPr>
            <w:tcW w:w="1095" w:type="dxa"/>
            <w:noWrap w:val="0"/>
            <w:vAlign w:val="top"/>
          </w:tcPr>
          <w:p>
            <w:pPr>
              <w:autoSpaceDE w:val="0"/>
              <w:autoSpaceDN w:val="0"/>
              <w:spacing w:line="360" w:lineRule="auto"/>
              <w:jc w:val="center"/>
              <w:rPr>
                <w:rFonts w:ascii="仿宋_GB2312" w:hAnsi="仿宋" w:eastAsia="仿宋_GB2312" w:cs="仿宋_GB2312"/>
                <w:sz w:val="24"/>
              </w:rPr>
            </w:pPr>
          </w:p>
        </w:tc>
        <w:tc>
          <w:tcPr>
            <w:tcW w:w="1245" w:type="dxa"/>
            <w:noWrap w:val="0"/>
            <w:vAlign w:val="top"/>
          </w:tcPr>
          <w:p>
            <w:pPr>
              <w:autoSpaceDE w:val="0"/>
              <w:autoSpaceDN w:val="0"/>
              <w:spacing w:line="360" w:lineRule="auto"/>
              <w:jc w:val="center"/>
              <w:rPr>
                <w:rFonts w:ascii="仿宋_GB2312" w:hAnsi="仿宋" w:eastAsia="仿宋_GB2312" w:cs="仿宋_GB2312"/>
                <w:sz w:val="24"/>
              </w:rPr>
            </w:pPr>
          </w:p>
        </w:tc>
        <w:tc>
          <w:tcPr>
            <w:tcW w:w="1980" w:type="dxa"/>
            <w:noWrap w:val="0"/>
            <w:vAlign w:val="top"/>
          </w:tcPr>
          <w:p>
            <w:pPr>
              <w:autoSpaceDE w:val="0"/>
              <w:autoSpaceDN w:val="0"/>
              <w:spacing w:line="360" w:lineRule="auto"/>
              <w:jc w:val="center"/>
              <w:rPr>
                <w:rFonts w:ascii="仿宋_GB2312" w:hAnsi="仿宋" w:eastAsia="仿宋_GB2312" w:cs="仿宋_GB2312"/>
                <w:sz w:val="24"/>
              </w:rPr>
            </w:pPr>
          </w:p>
        </w:tc>
        <w:tc>
          <w:tcPr>
            <w:tcW w:w="1260" w:type="dxa"/>
            <w:noWrap w:val="0"/>
            <w:vAlign w:val="top"/>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sz w:val="24"/>
              </w:rPr>
            </w:pPr>
          </w:p>
        </w:tc>
        <w:tc>
          <w:tcPr>
            <w:tcW w:w="2340" w:type="dxa"/>
            <w:noWrap w:val="0"/>
            <w:vAlign w:val="top"/>
          </w:tcPr>
          <w:p>
            <w:pPr>
              <w:autoSpaceDE w:val="0"/>
              <w:autoSpaceDN w:val="0"/>
              <w:spacing w:line="360" w:lineRule="auto"/>
              <w:jc w:val="center"/>
              <w:rPr>
                <w:rFonts w:ascii="仿宋_GB2312" w:hAnsi="仿宋" w:eastAsia="仿宋_GB2312" w:cs="仿宋_GB2312"/>
                <w:sz w:val="24"/>
              </w:rPr>
            </w:pPr>
          </w:p>
        </w:tc>
        <w:tc>
          <w:tcPr>
            <w:tcW w:w="1095" w:type="dxa"/>
            <w:noWrap w:val="0"/>
            <w:vAlign w:val="top"/>
          </w:tcPr>
          <w:p>
            <w:pPr>
              <w:autoSpaceDE w:val="0"/>
              <w:autoSpaceDN w:val="0"/>
              <w:spacing w:line="360" w:lineRule="auto"/>
              <w:jc w:val="center"/>
              <w:rPr>
                <w:rFonts w:ascii="仿宋_GB2312" w:hAnsi="仿宋" w:eastAsia="仿宋_GB2312" w:cs="仿宋_GB2312"/>
                <w:sz w:val="24"/>
              </w:rPr>
            </w:pPr>
          </w:p>
        </w:tc>
        <w:tc>
          <w:tcPr>
            <w:tcW w:w="1245" w:type="dxa"/>
            <w:noWrap w:val="0"/>
            <w:vAlign w:val="top"/>
          </w:tcPr>
          <w:p>
            <w:pPr>
              <w:autoSpaceDE w:val="0"/>
              <w:autoSpaceDN w:val="0"/>
              <w:spacing w:line="360" w:lineRule="auto"/>
              <w:jc w:val="center"/>
              <w:rPr>
                <w:rFonts w:ascii="仿宋_GB2312" w:hAnsi="仿宋" w:eastAsia="仿宋_GB2312" w:cs="仿宋_GB2312"/>
                <w:sz w:val="24"/>
              </w:rPr>
            </w:pPr>
          </w:p>
        </w:tc>
        <w:tc>
          <w:tcPr>
            <w:tcW w:w="1980" w:type="dxa"/>
            <w:noWrap w:val="0"/>
            <w:vAlign w:val="top"/>
          </w:tcPr>
          <w:p>
            <w:pPr>
              <w:autoSpaceDE w:val="0"/>
              <w:autoSpaceDN w:val="0"/>
              <w:spacing w:line="360" w:lineRule="auto"/>
              <w:jc w:val="center"/>
              <w:rPr>
                <w:rFonts w:ascii="仿宋_GB2312" w:hAnsi="仿宋" w:eastAsia="仿宋_GB2312" w:cs="仿宋_GB2312"/>
                <w:sz w:val="24"/>
              </w:rPr>
            </w:pPr>
          </w:p>
        </w:tc>
        <w:tc>
          <w:tcPr>
            <w:tcW w:w="1260" w:type="dxa"/>
            <w:noWrap w:val="0"/>
            <w:vAlign w:val="top"/>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spacing w:line="360" w:lineRule="auto"/>
              <w:jc w:val="center"/>
              <w:rPr>
                <w:rFonts w:ascii="仿宋_GB2312" w:hAnsi="仿宋" w:eastAsia="仿宋_GB2312" w:cs="仿宋_GB2312"/>
                <w:sz w:val="24"/>
              </w:rPr>
            </w:pPr>
          </w:p>
        </w:tc>
        <w:tc>
          <w:tcPr>
            <w:tcW w:w="2340" w:type="dxa"/>
            <w:noWrap w:val="0"/>
            <w:vAlign w:val="top"/>
          </w:tcPr>
          <w:p>
            <w:pPr>
              <w:autoSpaceDE w:val="0"/>
              <w:autoSpaceDN w:val="0"/>
              <w:spacing w:line="360" w:lineRule="auto"/>
              <w:jc w:val="center"/>
              <w:rPr>
                <w:rFonts w:ascii="仿宋_GB2312" w:hAnsi="仿宋" w:eastAsia="仿宋_GB2312" w:cs="仿宋_GB2312"/>
                <w:sz w:val="24"/>
              </w:rPr>
            </w:pPr>
          </w:p>
        </w:tc>
        <w:tc>
          <w:tcPr>
            <w:tcW w:w="1095" w:type="dxa"/>
            <w:noWrap w:val="0"/>
            <w:vAlign w:val="top"/>
          </w:tcPr>
          <w:p>
            <w:pPr>
              <w:autoSpaceDE w:val="0"/>
              <w:autoSpaceDN w:val="0"/>
              <w:spacing w:line="360" w:lineRule="auto"/>
              <w:jc w:val="center"/>
              <w:rPr>
                <w:rFonts w:ascii="仿宋_GB2312" w:hAnsi="仿宋" w:eastAsia="仿宋_GB2312" w:cs="仿宋_GB2312"/>
                <w:sz w:val="24"/>
              </w:rPr>
            </w:pPr>
          </w:p>
        </w:tc>
        <w:tc>
          <w:tcPr>
            <w:tcW w:w="1245" w:type="dxa"/>
            <w:noWrap w:val="0"/>
            <w:vAlign w:val="top"/>
          </w:tcPr>
          <w:p>
            <w:pPr>
              <w:autoSpaceDE w:val="0"/>
              <w:autoSpaceDN w:val="0"/>
              <w:spacing w:line="360" w:lineRule="auto"/>
              <w:jc w:val="center"/>
              <w:rPr>
                <w:rFonts w:ascii="仿宋_GB2312" w:hAnsi="仿宋" w:eastAsia="仿宋_GB2312" w:cs="仿宋_GB2312"/>
                <w:sz w:val="24"/>
              </w:rPr>
            </w:pPr>
          </w:p>
        </w:tc>
        <w:tc>
          <w:tcPr>
            <w:tcW w:w="1980" w:type="dxa"/>
            <w:noWrap w:val="0"/>
            <w:vAlign w:val="top"/>
          </w:tcPr>
          <w:p>
            <w:pPr>
              <w:autoSpaceDE w:val="0"/>
              <w:autoSpaceDN w:val="0"/>
              <w:spacing w:line="360" w:lineRule="auto"/>
              <w:jc w:val="center"/>
              <w:rPr>
                <w:rFonts w:ascii="仿宋_GB2312" w:hAnsi="仿宋" w:eastAsia="仿宋_GB2312" w:cs="仿宋_GB2312"/>
                <w:sz w:val="24"/>
              </w:rPr>
            </w:pPr>
          </w:p>
        </w:tc>
        <w:tc>
          <w:tcPr>
            <w:tcW w:w="1260" w:type="dxa"/>
            <w:noWrap w:val="0"/>
            <w:vAlign w:val="top"/>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w:t>
      </w:r>
      <w:r>
        <w:rPr>
          <w:rFonts w:ascii="仿宋_GB2312" w:hAnsi="仿宋" w:eastAsia="仿宋_GB2312" w:cs="仿宋_GB2312"/>
          <w:b/>
          <w:kern w:val="0"/>
          <w:sz w:val="24"/>
        </w:rPr>
        <w:t>B</w:t>
      </w:r>
      <w:r>
        <w:rPr>
          <w:rFonts w:hint="eastAsia" w:ascii="仿宋_GB2312" w:hAnsi="仿宋" w:eastAsia="仿宋_GB2312" w:cs="仿宋_GB2312"/>
          <w:b/>
          <w:kern w:val="0"/>
          <w:sz w:val="24"/>
        </w:rPr>
        <w:t>：售后服务人员情况表</w:t>
      </w:r>
      <w:r>
        <w:rPr>
          <w:rFonts w:hint="eastAsia" w:ascii="仿宋_GB2312" w:hAnsi="仿宋" w:eastAsia="仿宋_GB2312" w:cs="仿宋_GB2312"/>
          <w:sz w:val="24"/>
        </w:rPr>
        <w:t>（按此格式自制）</w:t>
      </w:r>
    </w:p>
    <w:tbl>
      <w:tblPr>
        <w:tblStyle w:val="34"/>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lang w:val="zh-CN"/>
        </w:rPr>
        <w:t>日期：年月日</w:t>
      </w:r>
    </w:p>
    <w:p>
      <w:pPr>
        <w:autoSpaceDE w:val="0"/>
        <w:autoSpaceDN w:val="0"/>
        <w:spacing w:line="360" w:lineRule="auto"/>
        <w:jc w:val="center"/>
        <w:rPr>
          <w:rFonts w:ascii="仿宋_GB2312" w:hAnsi="仿宋" w:eastAsia="仿宋_GB2312" w:cs="仿宋_GB2312"/>
          <w:b/>
          <w:bCs/>
          <w:sz w:val="28"/>
          <w:szCs w:val="28"/>
        </w:rPr>
      </w:pPr>
      <w:r>
        <w:rPr>
          <w:rFonts w:ascii="仿宋" w:hAnsi="仿宋" w:eastAsia="仿宋" w:cs="仿宋"/>
          <w:sz w:val="24"/>
        </w:rPr>
        <w:br w:type="page"/>
      </w:r>
      <w:r>
        <w:rPr>
          <w:rFonts w:hint="eastAsia" w:ascii="仿宋_GB2312" w:hAnsi="仿宋" w:eastAsia="仿宋_GB2312" w:cs="仿宋_GB2312"/>
          <w:b/>
          <w:bCs/>
          <w:sz w:val="28"/>
          <w:szCs w:val="28"/>
        </w:rPr>
        <w:t>十、项目小组人员名单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w:t>
      </w:r>
      <w:r>
        <w:rPr>
          <w:rFonts w:ascii="仿宋_GB2312" w:hAnsi="仿宋" w:eastAsia="仿宋_GB2312" w:cs="仿宋_GB2312"/>
          <w:b/>
          <w:sz w:val="24"/>
        </w:rPr>
        <w:t>A:</w:t>
      </w:r>
      <w:r>
        <w:rPr>
          <w:rFonts w:hint="eastAsia" w:ascii="仿宋_GB2312" w:hAnsi="仿宋" w:eastAsia="仿宋_GB2312" w:cs="仿宋_GB2312"/>
          <w:b/>
          <w:sz w:val="24"/>
        </w:rPr>
        <w:t>本项目的项目经理情况表</w:t>
      </w:r>
    </w:p>
    <w:tbl>
      <w:tblPr>
        <w:tblStyle w:val="34"/>
        <w:tblW w:w="0" w:type="auto"/>
        <w:tblInd w:w="0" w:type="dxa"/>
        <w:tblLayout w:type="fixed"/>
        <w:tblCellMar>
          <w:top w:w="0" w:type="dxa"/>
          <w:left w:w="108" w:type="dxa"/>
          <w:bottom w:w="0" w:type="dxa"/>
          <w:right w:w="108" w:type="dxa"/>
        </w:tblCellMar>
      </w:tblPr>
      <w:tblGrid>
        <w:gridCol w:w="2061"/>
        <w:gridCol w:w="1287"/>
        <w:gridCol w:w="1260"/>
        <w:gridCol w:w="4572"/>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ascii="仿宋_GB2312" w:hAnsi="仿宋" w:eastAsia="仿宋_GB2312" w:cs="仿宋_GB2312"/>
                <w:sz w:val="24"/>
              </w:rPr>
            </w:pPr>
          </w:p>
        </w:tc>
        <w:tc>
          <w:tcPr>
            <w:tcW w:w="4572"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w:t>
      </w:r>
      <w:r>
        <w:rPr>
          <w:rFonts w:ascii="仿宋_GB2312" w:hAnsi="仿宋" w:eastAsia="仿宋_GB2312" w:cs="仿宋_GB2312"/>
          <w:b/>
          <w:sz w:val="24"/>
        </w:rPr>
        <w:t>B:</w:t>
      </w:r>
      <w:r>
        <w:rPr>
          <w:rFonts w:hint="eastAsia" w:ascii="仿宋_GB2312" w:hAnsi="仿宋" w:eastAsia="仿宋_GB2312" w:cs="仿宋_GB2312"/>
          <w:b/>
          <w:sz w:val="24"/>
        </w:rPr>
        <w:t>本项目的项目小组人员情况表</w:t>
      </w:r>
      <w:r>
        <w:rPr>
          <w:rFonts w:hint="eastAsia" w:ascii="仿宋_GB2312" w:hAnsi="仿宋" w:eastAsia="仿宋_GB2312" w:cs="仿宋_GB2312"/>
          <w:sz w:val="24"/>
        </w:rPr>
        <w:t>（按此格式自制）</w:t>
      </w:r>
    </w:p>
    <w:tbl>
      <w:tblPr>
        <w:tblStyle w:val="3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ascii="仿宋_GB2312" w:hAnsi="仿宋" w:eastAsia="仿宋_GB2312" w:cs="仿宋_GB2312"/>
                <w:sz w:val="24"/>
              </w:rPr>
              <w:t>(</w:t>
            </w:r>
            <w:r>
              <w:rPr>
                <w:rFonts w:hint="eastAsia" w:ascii="仿宋_GB2312" w:hAnsi="仿宋" w:eastAsia="仿宋_GB2312" w:cs="仿宋_GB2312"/>
                <w:sz w:val="24"/>
              </w:rPr>
              <w:t>页码</w:t>
            </w:r>
            <w:r>
              <w:rPr>
                <w:rFonts w:ascii="仿宋_GB2312" w:hAnsi="仿宋" w:eastAsia="仿宋_GB2312" w:cs="仿宋_GB2312"/>
                <w:sz w:val="24"/>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ascii="仿宋_GB2312" w:hAnsi="仿宋" w:eastAsia="仿宋_GB2312" w:cs="仿宋_GB2312"/>
                <w:sz w:val="24"/>
              </w:rPr>
              <w:t>(</w:t>
            </w:r>
            <w:r>
              <w:rPr>
                <w:rFonts w:hint="eastAsia" w:ascii="仿宋_GB2312" w:hAnsi="仿宋" w:eastAsia="仿宋_GB2312" w:cs="仿宋_GB2312"/>
                <w:sz w:val="24"/>
              </w:rPr>
              <w:t>页码</w:t>
            </w:r>
            <w:r>
              <w:rPr>
                <w:rFonts w:ascii="仿宋_GB2312" w:hAnsi="仿宋" w:eastAsia="仿宋_GB2312" w:cs="仿宋_GB2312"/>
                <w:sz w:val="24"/>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ascii="仿宋_GB2312" w:hAnsi="仿宋" w:eastAsia="仿宋_GB2312" w:cs="仿宋_GB2312"/>
                <w:sz w:val="24"/>
              </w:rPr>
              <w:t>(</w:t>
            </w:r>
            <w:r>
              <w:rPr>
                <w:rFonts w:hint="eastAsia" w:ascii="仿宋_GB2312" w:hAnsi="仿宋" w:eastAsia="仿宋_GB2312" w:cs="仿宋_GB2312"/>
                <w:sz w:val="24"/>
              </w:rPr>
              <w:t>页码</w:t>
            </w:r>
            <w:r>
              <w:rPr>
                <w:rFonts w:ascii="仿宋_GB2312" w:hAnsi="仿宋" w:eastAsia="仿宋_GB2312" w:cs="仿宋_GB2312"/>
                <w:sz w:val="24"/>
              </w:rPr>
              <w:t>)</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w:t>
      </w:r>
      <w:r>
        <w:rPr>
          <w:rFonts w:ascii="仿宋_GB2312" w:hAnsi="仿宋" w:eastAsia="仿宋_GB2312" w:cs="仿宋_GB2312"/>
          <w:b/>
          <w:sz w:val="24"/>
        </w:rPr>
        <w:t>C:</w:t>
      </w:r>
      <w:r>
        <w:rPr>
          <w:rFonts w:hint="eastAsia" w:ascii="仿宋_GB2312" w:hAnsi="仿宋" w:eastAsia="仿宋_GB2312" w:cs="仿宋_GB2312"/>
          <w:b/>
          <w:sz w:val="24"/>
        </w:rPr>
        <w:t>本项目的项目经理和小组人员近</w:t>
      </w:r>
      <w:r>
        <w:rPr>
          <w:rFonts w:ascii="仿宋_GB2312" w:hAnsi="仿宋" w:eastAsia="仿宋_GB2312" w:cs="仿宋_GB2312"/>
          <w:b/>
          <w:sz w:val="24"/>
        </w:rPr>
        <w:t>3</w:t>
      </w:r>
      <w:r>
        <w:rPr>
          <w:rFonts w:hint="eastAsia" w:ascii="仿宋_GB2312" w:hAnsi="仿宋" w:eastAsia="仿宋_GB2312" w:cs="仿宋_GB2312"/>
          <w:b/>
          <w:sz w:val="24"/>
        </w:rPr>
        <w:t>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日期：年月日</w:t>
      </w:r>
    </w:p>
    <w:p>
      <w:pPr>
        <w:spacing w:line="360" w:lineRule="auto"/>
        <w:jc w:val="center"/>
        <w:rPr>
          <w:rFonts w:ascii="仿宋" w:hAnsi="仿宋" w:eastAsia="仿宋" w:cs="仿宋"/>
          <w:b/>
          <w:bCs/>
          <w:sz w:val="24"/>
        </w:rPr>
      </w:pPr>
    </w:p>
    <w:p>
      <w:pPr>
        <w:spacing w:line="360" w:lineRule="auto"/>
        <w:rPr>
          <w:rFonts w:ascii="仿宋" w:hAnsi="仿宋" w:eastAsia="仿宋" w:cs="仿宋"/>
          <w:b/>
          <w:bCs/>
          <w:sz w:val="24"/>
        </w:rPr>
      </w:pPr>
    </w:p>
    <w:p>
      <w:pPr>
        <w:pStyle w:val="80"/>
        <w:rPr>
          <w:rFonts w:ascii="仿宋" w:hAnsi="仿宋" w:eastAsia="仿宋" w:cs="仿宋"/>
          <w:b/>
          <w:bCs/>
          <w:sz w:val="24"/>
        </w:rPr>
      </w:pPr>
    </w:p>
    <w:p>
      <w:pPr>
        <w:spacing w:line="360" w:lineRule="auto"/>
        <w:jc w:val="center"/>
        <w:rPr>
          <w:rFonts w:ascii="仿宋_GB2312" w:hAnsi="仿宋" w:eastAsia="仿宋_GB2312" w:cs="仿宋_GB2312"/>
          <w:b/>
          <w:bCs/>
          <w:sz w:val="28"/>
          <w:szCs w:val="28"/>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28"/>
          <w:szCs w:val="28"/>
        </w:rPr>
        <w:t>十一、</w:t>
      </w:r>
      <w:r>
        <w:rPr>
          <w:rFonts w:hint="eastAsia" w:ascii="仿宋_GB2312" w:hAnsi="仿宋" w:eastAsia="仿宋_GB2312" w:cs="仿宋_GB2312"/>
          <w:b/>
          <w:kern w:val="0"/>
          <w:sz w:val="28"/>
          <w:szCs w:val="28"/>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lang w:val="zh-CN"/>
        </w:rPr>
        <w:t>日期：年月日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十二、</w:t>
      </w:r>
      <w:r>
        <w:rPr>
          <w:rFonts w:hint="eastAsia" w:ascii="仿宋_GB2312" w:hAnsi="仿宋" w:eastAsia="仿宋_GB2312" w:cs="仿宋_GB2312"/>
          <w:b/>
          <w:kern w:val="0"/>
          <w:sz w:val="28"/>
          <w:szCs w:val="28"/>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lang w:val="zh-CN"/>
        </w:rPr>
        <w:t>日期：年月日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十三、</w:t>
      </w:r>
      <w:r>
        <w:rPr>
          <w:rFonts w:hint="eastAsia" w:ascii="仿宋_GB2312" w:hAnsi="仿宋" w:eastAsia="仿宋_GB2312" w:cs="仿宋_GB2312"/>
          <w:b/>
          <w:kern w:val="0"/>
          <w:sz w:val="28"/>
          <w:szCs w:val="28"/>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w:t>
      </w:r>
      <w:r>
        <w:rPr>
          <w:rFonts w:ascii="仿宋_GB2312" w:hAnsi="仿宋" w:eastAsia="仿宋_GB2312" w:cs="仿宋_GB2312"/>
          <w:b/>
          <w:sz w:val="24"/>
        </w:rPr>
        <w:t xml:space="preserve">: </w:t>
      </w:r>
      <w:r>
        <w:rPr>
          <w:rFonts w:hint="eastAsia" w:ascii="仿宋_GB2312" w:hAnsi="仿宋" w:eastAsia="仿宋_GB2312" w:cs="仿宋_GB2312"/>
          <w:b/>
          <w:sz w:val="24"/>
        </w:rPr>
        <w:t>培训日程及费用</w:t>
      </w:r>
    </w:p>
    <w:tbl>
      <w:tblPr>
        <w:tblStyle w:val="34"/>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w:t>
      </w:r>
      <w:r>
        <w:rPr>
          <w:rFonts w:ascii="仿宋_GB2312" w:hAnsi="仿宋" w:eastAsia="仿宋_GB2312" w:cs="仿宋_GB2312"/>
          <w:sz w:val="24"/>
        </w:rPr>
        <w:t>:A</w:t>
      </w:r>
      <w:r>
        <w:rPr>
          <w:rFonts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2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ascii="仿宋_GB2312" w:hAnsi="仿宋" w:eastAsia="仿宋_GB2312" w:cs="仿宋_GB2312"/>
          <w:sz w:val="24"/>
        </w:rPr>
        <w:t xml:space="preserve">B  </w:t>
      </w:r>
      <w:r>
        <w:rPr>
          <w:rFonts w:hint="eastAsia" w:ascii="仿宋_GB2312" w:hAnsi="仿宋" w:eastAsia="仿宋_GB2312" w:cs="仿宋_GB2312"/>
          <w:sz w:val="24"/>
        </w:rPr>
        <w:t>按照附表</w:t>
      </w:r>
      <w:r>
        <w:rPr>
          <w:rFonts w:ascii="仿宋_GB2312" w:hAnsi="仿宋" w:eastAsia="仿宋_GB2312" w:cs="仿宋_GB2312"/>
          <w:sz w:val="24"/>
        </w:rPr>
        <w:t>A</w:t>
      </w:r>
      <w:r>
        <w:rPr>
          <w:rFonts w:hint="eastAsia" w:ascii="仿宋_GB2312" w:hAnsi="仿宋" w:eastAsia="仿宋_GB2312" w:cs="仿宋_GB2312"/>
          <w:sz w:val="24"/>
        </w:rPr>
        <w:t>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日期：年月日</w:t>
      </w:r>
    </w:p>
    <w:p>
      <w:pPr>
        <w:pStyle w:val="76"/>
        <w:spacing w:before="156" w:after="120"/>
        <w:rPr>
          <w:rFonts w:ascii="仿宋" w:hAnsi="仿宋" w:eastAsia="仿宋" w:cs="仿宋"/>
        </w:rPr>
      </w:pPr>
    </w:p>
    <w:p>
      <w:pPr>
        <w:pStyle w:val="76"/>
        <w:spacing w:before="156" w:after="120"/>
        <w:rPr>
          <w:rFonts w:ascii="仿宋" w:hAnsi="仿宋" w:eastAsia="仿宋" w:cs="仿宋"/>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十四、认为需要的其他技术文件或说明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lang w:val="zh-CN"/>
        </w:rPr>
        <w:t>日期：年月日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十五、关于</w:t>
      </w:r>
      <w:r>
        <w:rPr>
          <w:rFonts w:hint="eastAsia" w:ascii="仿宋_GB2312" w:hAnsi="仿宋" w:eastAsia="仿宋_GB2312" w:cs="仿宋_GB2312"/>
          <w:b/>
          <w:kern w:val="0"/>
          <w:sz w:val="28"/>
          <w:szCs w:val="28"/>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日期：年月日</w:t>
      </w: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r>
        <w:rPr>
          <w:rFonts w:hint="eastAsia" w:ascii="仿宋_GB2312" w:hAnsi="仿宋" w:eastAsia="仿宋_GB2312" w:cs="仿宋_GB2312"/>
          <w:b/>
          <w:bCs/>
          <w:sz w:val="30"/>
          <w:szCs w:val="30"/>
        </w:rPr>
        <w:t>十六、政府采购供应商廉洁自律承诺书</w:t>
      </w:r>
    </w:p>
    <w:p>
      <w:pPr>
        <w:spacing w:line="360" w:lineRule="auto"/>
        <w:jc w:val="center"/>
        <w:rPr>
          <w:rFonts w:ascii="仿宋_GB2312" w:hAnsi="仿宋" w:eastAsia="仿宋_GB2312" w:cs="仿宋_GB2312"/>
          <w:sz w:val="24"/>
        </w:rPr>
      </w:pPr>
      <w:r>
        <w:rPr>
          <w:rFonts w:ascii="宋体" w:eastAsia="宋体" w:cs="宋体"/>
          <w:sz w:val="24"/>
        </w:rPr>
        <w:t> </w:t>
      </w:r>
    </w:p>
    <w:p>
      <w:pPr>
        <w:snapToGrid w:val="0"/>
        <w:spacing w:line="360" w:lineRule="auto"/>
        <w:rPr>
          <w:rFonts w:ascii="仿宋" w:hAnsi="仿宋" w:eastAsia="仿宋" w:cs="仿宋"/>
          <w:kern w:val="0"/>
          <w:sz w:val="24"/>
        </w:rPr>
      </w:pPr>
      <w:r>
        <w:rPr>
          <w:rFonts w:hint="eastAsia" w:ascii="仿宋" w:hAnsi="仿宋" w:eastAsia="仿宋" w:cs="仿宋"/>
          <w:sz w:val="24"/>
        </w:rPr>
        <w:t>淳安县人民政府办公室、浙江辰光管理有限公司</w:t>
      </w:r>
      <w:r>
        <w:rPr>
          <w:rFonts w:hint="eastAsia" w:ascii="仿宋" w:hAnsi="仿宋" w:eastAsia="仿宋" w:cs="仿宋"/>
          <w:kern w:val="0"/>
          <w:sz w:val="24"/>
          <w:lang w:val="zh-CN"/>
        </w:rPr>
        <w:t>：</w:t>
      </w:r>
    </w:p>
    <w:p>
      <w:p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本单位合法参加</w:t>
      </w:r>
      <w:r>
        <w:rPr>
          <w:rFonts w:ascii="宋体" w:eastAsia="宋体" w:cs="宋体"/>
          <w:sz w:val="24"/>
          <w:u w:val="single"/>
        </w:rPr>
        <w:t>               </w:t>
      </w:r>
      <w:r>
        <w:rPr>
          <w:rFonts w:hint="eastAsia" w:ascii="仿宋_GB2312" w:hAnsi="仿宋" w:eastAsia="仿宋_GB2312" w:cs="仿宋_GB2312"/>
          <w:sz w:val="24"/>
        </w:rPr>
        <w:t>项目（编号：</w:t>
      </w:r>
      <w:r>
        <w:rPr>
          <w:rFonts w:ascii="宋体" w:eastAsia="宋体" w:cs="宋体"/>
          <w:sz w:val="24"/>
          <w:u w:val="single"/>
        </w:rPr>
        <w:t>       </w:t>
      </w:r>
      <w:r>
        <w:rPr>
          <w:rFonts w:hint="eastAsia" w:ascii="仿宋_GB2312" w:hAnsi="仿宋" w:eastAsia="仿宋_GB2312" w:cs="仿宋_GB2312"/>
          <w:sz w:val="24"/>
          <w:u w:val="single"/>
        </w:rPr>
        <w:t>）</w:t>
      </w:r>
      <w:r>
        <w:rPr>
          <w:rFonts w:hint="eastAsia" w:ascii="仿宋_GB2312" w:hAnsi="仿宋" w:eastAsia="仿宋_GB2312" w:cs="仿宋_GB2312"/>
          <w:sz w:val="24"/>
        </w:rPr>
        <w:t>政府采购活动，就有关廉洁自律和公平竞争事项郑重声明如下：</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一、本单位与采购人之间不存在利害关系，不存在行贿、串通等违法行为。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二、本单位与其他当事人之间不存在直接控股、管理关系等情况，不存在法定的不允许投标情形，不存在行贿、串通等违法行为。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三、本单位清楚知道并严格遵守政府采购法律法规、政策文件和相关纪律。</w:t>
      </w:r>
    </w:p>
    <w:p>
      <w:pPr>
        <w:pStyle w:val="33"/>
        <w:spacing w:after="120"/>
        <w:rPr>
          <w:rFonts w:ascii="仿宋_GB2312" w:hAnsi="仿宋" w:eastAsia="仿宋_GB2312" w:cs="仿宋_GB2312"/>
          <w:sz w:val="24"/>
        </w:rPr>
      </w:pPr>
    </w:p>
    <w:p>
      <w:pPr>
        <w:pStyle w:val="33"/>
        <w:spacing w:after="120"/>
        <w:rPr>
          <w:rFonts w:ascii="仿宋_GB2312" w:hAnsi="仿宋" w:eastAsia="仿宋_GB2312" w:cs="仿宋_GB2312"/>
          <w:sz w:val="24"/>
        </w:rPr>
      </w:pPr>
    </w:p>
    <w:p>
      <w:pPr>
        <w:autoSpaceDE w:val="0"/>
        <w:autoSpaceDN w:val="0"/>
        <w:spacing w:line="360" w:lineRule="auto"/>
        <w:ind w:firstLine="5040" w:firstLineChars="2100"/>
        <w:jc w:val="left"/>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autoSpaceDE w:val="0"/>
        <w:autoSpaceDN w:val="0"/>
        <w:spacing w:line="360" w:lineRule="auto"/>
        <w:ind w:right="960"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日期：年月日</w:t>
      </w: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十七、廉政承诺书</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法定代表人或其授权代表（签字）：</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年月日</w:t>
      </w:r>
    </w:p>
    <w:p>
      <w:pPr>
        <w:pStyle w:val="33"/>
        <w:spacing w:after="120"/>
      </w:pPr>
    </w:p>
    <w:p>
      <w:pPr>
        <w:autoSpaceDE w:val="0"/>
        <w:autoSpaceDN w:val="0"/>
        <w:spacing w:line="360" w:lineRule="auto"/>
        <w:ind w:firstLine="120"/>
        <w:rPr>
          <w:rFonts w:ascii="仿宋" w:hAnsi="仿宋" w:eastAsia="仿宋" w:cs="仿宋"/>
        </w:rPr>
      </w:pPr>
      <w:r>
        <w:rPr>
          <w:rFonts w:ascii="仿宋" w:hAnsi="仿宋" w:eastAsia="仿宋" w:cs="仿宋"/>
          <w:sz w:val="24"/>
        </w:rPr>
        <w:br w:type="page"/>
      </w: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jc w:val="center"/>
        <w:rPr>
          <w:rFonts w:ascii="仿宋" w:hAnsi="仿宋" w:eastAsia="仿宋" w:cs="仿宋"/>
          <w:b/>
          <w:bCs/>
          <w:sz w:val="24"/>
        </w:rPr>
      </w:pPr>
    </w:p>
    <w:p>
      <w:pPr>
        <w:pStyle w:val="33"/>
        <w:spacing w:after="120" w:line="600" w:lineRule="exact"/>
        <w:rPr>
          <w:rFonts w:ascii="仿宋" w:hAnsi="仿宋" w:eastAsia="仿宋" w:cs="仿宋_GB2312"/>
          <w:kern w:val="0"/>
          <w:sz w:val="24"/>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kern w:val="0"/>
          <w:sz w:val="24"/>
        </w:rPr>
        <w:t>为支持和促进中小企业发展，进一步发挥政府采购政策功能，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pStyle w:val="2"/>
        <w:keepNext w:val="0"/>
        <w:keepLines w:val="0"/>
        <w:pageBreakBefore/>
        <w:widowControl/>
        <w:spacing w:before="100" w:beforeAutospacing="1" w:after="100" w:afterAutospacing="1" w:line="360" w:lineRule="auto"/>
        <w:ind w:left="1290" w:firstLine="3012" w:firstLineChars="1000"/>
        <w:rPr>
          <w:rFonts w:ascii="仿宋" w:hAnsi="仿宋" w:eastAsia="仿宋" w:cs="仿宋"/>
          <w:sz w:val="30"/>
          <w:szCs w:val="30"/>
        </w:rPr>
      </w:pPr>
      <w:bookmarkStart w:id="210" w:name="_Toc465665161"/>
      <w:r>
        <w:rPr>
          <w:rFonts w:hint="eastAsia" w:ascii="仿宋" w:hAnsi="仿宋" w:eastAsia="仿宋" w:cs="仿宋"/>
          <w:sz w:val="30"/>
          <w:szCs w:val="30"/>
        </w:rPr>
        <w:t>附件</w:t>
      </w:r>
      <w:bookmarkEnd w:id="210"/>
    </w:p>
    <w:p>
      <w:pPr>
        <w:spacing w:line="360" w:lineRule="auto"/>
        <w:rPr>
          <w:rFonts w:ascii="仿宋" w:hAnsi="仿宋" w:eastAsia="仿宋" w:cs="仿宋"/>
          <w:b/>
          <w:spacing w:val="6"/>
          <w:sz w:val="24"/>
        </w:rPr>
      </w:pPr>
      <w:r>
        <w:rPr>
          <w:rFonts w:hint="eastAsia" w:ascii="仿宋" w:hAnsi="仿宋" w:eastAsia="仿宋" w:cs="仿宋"/>
          <w:b/>
          <w:spacing w:val="6"/>
          <w:sz w:val="24"/>
        </w:rPr>
        <w:t>附件</w:t>
      </w:r>
      <w:r>
        <w:rPr>
          <w:rFonts w:ascii="仿宋" w:hAnsi="仿宋" w:eastAsia="仿宋" w:cs="仿宋"/>
          <w:b/>
          <w:spacing w:val="6"/>
          <w:sz w:val="24"/>
        </w:rPr>
        <w:t>1</w:t>
      </w:r>
      <w:r>
        <w:rPr>
          <w:rFonts w:hint="eastAsia" w:ascii="仿宋" w:hAnsi="仿宋" w:eastAsia="仿宋" w:cs="仿宋"/>
          <w:b/>
          <w:spacing w:val="6"/>
          <w:sz w:val="24"/>
        </w:rPr>
        <w:t>：</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360" w:lineRule="auto"/>
        <w:rPr>
          <w:rFonts w:ascii="仿宋" w:hAnsi="仿宋" w:eastAsia="仿宋" w:cs="仿宋"/>
          <w:b/>
          <w:spacing w:val="6"/>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w:t>
      </w:r>
      <w:r>
        <w:rPr>
          <w:rFonts w:ascii="仿宋" w:hAnsi="仿宋" w:eastAsia="仿宋" w:cs="仿宋"/>
          <w:sz w:val="24"/>
        </w:rPr>
        <w:t>2017</w:t>
      </w:r>
      <w:r>
        <w:rPr>
          <w:rFonts w:hint="eastAsia" w:ascii="仿宋" w:hAnsi="仿宋" w:eastAsia="仿宋" w:cs="仿宋"/>
          <w:sz w:val="24"/>
        </w:rPr>
        <w:t>〕</w:t>
      </w:r>
      <w:r>
        <w:rPr>
          <w:rFonts w:ascii="仿宋" w:hAnsi="仿宋" w:eastAsia="仿宋" w:cs="仿宋"/>
          <w:sz w:val="24"/>
        </w:rPr>
        <w:t xml:space="preserve"> 141</w:t>
      </w:r>
      <w:r>
        <w:rPr>
          <w:rFonts w:hint="eastAsia" w:ascii="仿宋" w:hAnsi="仿宋" w:eastAsia="仿宋" w:cs="仿宋"/>
          <w:sz w:val="24"/>
        </w:rPr>
        <w:t>号）的规定，本单位为符合条件的残疾人福利性单位，且本单位参加</w:t>
      </w:r>
      <w:r>
        <w:rPr>
          <w:rFonts w:ascii="仿宋" w:hAnsi="仿宋" w:eastAsia="仿宋" w:cs="仿宋"/>
          <w:sz w:val="24"/>
        </w:rPr>
        <w:t>______</w:t>
      </w:r>
      <w:r>
        <w:rPr>
          <w:rFonts w:hint="eastAsia" w:ascii="仿宋" w:hAnsi="仿宋" w:eastAsia="仿宋" w:cs="仿宋"/>
          <w:sz w:val="24"/>
        </w:rPr>
        <w:t>单位的</w:t>
      </w:r>
      <w:r>
        <w:rPr>
          <w:rFonts w:ascii="仿宋" w:hAnsi="仿宋" w:eastAsia="仿宋" w:cs="仿宋"/>
          <w:sz w:val="24"/>
        </w:rPr>
        <w:t>______</w:t>
      </w:r>
      <w:r>
        <w:rPr>
          <w:rFonts w:hint="eastAsia" w:ascii="仿宋" w:hAnsi="仿宋" w:eastAsia="仿宋" w:cs="仿宋"/>
          <w:sz w:val="24"/>
        </w:rPr>
        <w:t>项目采购活动提供本单位制造的货物（由本单位承担工程</w:t>
      </w:r>
      <w:r>
        <w:rPr>
          <w:rFonts w:ascii="仿宋" w:hAnsi="仿宋" w:eastAsia="仿宋" w:cs="仿宋"/>
          <w:sz w:val="24"/>
        </w:rPr>
        <w:t>/</w:t>
      </w:r>
      <w:r>
        <w:rPr>
          <w:rFonts w:hint="eastAsia" w:ascii="仿宋" w:hAnsi="仿宋" w:eastAsia="仿宋" w:cs="仿宋"/>
          <w:sz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kern w:val="0"/>
          <w:sz w:val="24"/>
          <w:lang w:val="zh-CN"/>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ascii="仿宋" w:hAnsi="仿宋" w:eastAsia="仿宋" w:cs="仿宋"/>
          <w:b/>
          <w:sz w:val="24"/>
        </w:rPr>
        <w:br w:type="page"/>
      </w:r>
    </w:p>
    <w:p>
      <w:pPr>
        <w:spacing w:line="360" w:lineRule="auto"/>
        <w:jc w:val="left"/>
        <w:rPr>
          <w:rFonts w:ascii="仿宋" w:hAnsi="仿宋" w:eastAsia="仿宋" w:cs="仿宋"/>
          <w:b/>
          <w:spacing w:val="6"/>
          <w:sz w:val="24"/>
        </w:rPr>
      </w:pPr>
      <w:r>
        <w:rPr>
          <w:rFonts w:hint="eastAsia" w:ascii="仿宋" w:hAnsi="仿宋" w:eastAsia="仿宋" w:cs="仿宋"/>
          <w:b/>
          <w:spacing w:val="6"/>
          <w:sz w:val="24"/>
        </w:rPr>
        <w:t>附件</w:t>
      </w:r>
      <w:r>
        <w:rPr>
          <w:rFonts w:ascii="仿宋" w:hAnsi="仿宋" w:eastAsia="仿宋" w:cs="仿宋"/>
          <w:b/>
          <w:spacing w:val="6"/>
          <w:sz w:val="24"/>
        </w:rPr>
        <w:t>2</w:t>
      </w:r>
      <w:r>
        <w:rPr>
          <w:rFonts w:hint="eastAsia" w:ascii="仿宋" w:hAnsi="仿宋" w:eastAsia="仿宋" w:cs="仿宋"/>
          <w:b/>
          <w:spacing w:val="6"/>
          <w:sz w:val="24"/>
        </w:rPr>
        <w:t>：质疑函范本及制作说明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pPr>
        <w:snapToGrid w:val="0"/>
        <w:spacing w:before="312"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hint="eastAsia" w:ascii="仿宋" w:hAnsi="仿宋" w:eastAsia="仿宋" w:cs="仿宋"/>
          <w:sz w:val="24"/>
        </w:rPr>
        <w:t>：</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签字</w:t>
      </w:r>
      <w:r>
        <w:rPr>
          <w:rFonts w:ascii="仿宋" w:hAnsi="仿宋" w:eastAsia="仿宋" w:cs="仿宋"/>
          <w:sz w:val="24"/>
        </w:rPr>
        <w:t>(</w:t>
      </w:r>
      <w:r>
        <w:rPr>
          <w:rFonts w:hint="eastAsia" w:ascii="仿宋" w:hAnsi="仿宋" w:eastAsia="仿宋" w:cs="仿宋"/>
          <w:sz w:val="24"/>
        </w:rPr>
        <w:t>签章</w:t>
      </w:r>
      <w:r>
        <w:rPr>
          <w:rFonts w:ascii="仿宋" w:hAnsi="仿宋" w:eastAsia="仿宋" w:cs="仿宋"/>
          <w:sz w:val="24"/>
        </w:rPr>
        <w:t>)</w:t>
      </w:r>
      <w:r>
        <w:rPr>
          <w:rFonts w:hint="eastAsia" w:ascii="仿宋" w:hAnsi="仿宋" w:eastAsia="仿宋" w:cs="仿宋"/>
          <w:sz w:val="24"/>
        </w:rPr>
        <w:t>：公章：</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质疑函的质疑请求应与质疑事项相关。</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hAnsi="仿宋" w:eastAsia="仿宋" w:cs="仿宋"/>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pStyle w:val="80"/>
        <w:rPr>
          <w:rFonts w:ascii="仿宋" w:hAnsi="仿宋" w:eastAsia="仿宋" w:cs="仿宋"/>
          <w:b/>
          <w:spacing w:val="6"/>
          <w:sz w:val="24"/>
        </w:rPr>
      </w:pPr>
    </w:p>
    <w:p>
      <w:pPr>
        <w:pStyle w:val="6"/>
        <w:rPr>
          <w:rFonts w:ascii="仿宋" w:hAnsi="仿宋" w:eastAsia="仿宋" w:cs="仿宋"/>
          <w:b/>
          <w:spacing w:val="6"/>
        </w:rPr>
      </w:pPr>
    </w:p>
    <w:p>
      <w:pPr>
        <w:pStyle w:val="6"/>
        <w:rPr>
          <w:rFonts w:ascii="仿宋" w:hAnsi="仿宋" w:eastAsia="仿宋" w:cs="仿宋"/>
          <w:b/>
          <w:spacing w:val="6"/>
        </w:rPr>
      </w:pPr>
    </w:p>
    <w:p>
      <w:pPr>
        <w:pStyle w:val="6"/>
        <w:rPr>
          <w:rFonts w:ascii="仿宋" w:hAnsi="仿宋" w:eastAsia="仿宋" w:cs="仿宋"/>
          <w:b/>
          <w:spacing w:val="6"/>
        </w:rPr>
      </w:pPr>
    </w:p>
    <w:p>
      <w:pPr>
        <w:pStyle w:val="6"/>
        <w:rPr>
          <w:rFonts w:ascii="仿宋" w:hAnsi="仿宋" w:eastAsia="仿宋" w:cs="仿宋"/>
          <w:b/>
          <w:spacing w:val="6"/>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left"/>
        <w:rPr>
          <w:rFonts w:ascii="仿宋" w:hAnsi="仿宋" w:eastAsia="仿宋" w:cs="仿宋"/>
          <w:b/>
          <w:sz w:val="24"/>
        </w:rPr>
      </w:pPr>
      <w:r>
        <w:rPr>
          <w:rFonts w:hint="eastAsia" w:ascii="仿宋" w:hAnsi="仿宋" w:eastAsia="仿宋" w:cs="仿宋"/>
          <w:b/>
          <w:spacing w:val="6"/>
          <w:sz w:val="24"/>
        </w:rPr>
        <w:t>附件</w:t>
      </w:r>
      <w:r>
        <w:rPr>
          <w:rFonts w:ascii="仿宋" w:hAnsi="仿宋" w:eastAsia="仿宋" w:cs="仿宋"/>
          <w:b/>
          <w:spacing w:val="6"/>
          <w:sz w:val="24"/>
        </w:rPr>
        <w:t>3</w:t>
      </w:r>
      <w:r>
        <w:rPr>
          <w:rFonts w:hint="eastAsia" w:ascii="仿宋" w:hAnsi="仿宋" w:eastAsia="仿宋" w:cs="仿宋"/>
          <w:b/>
          <w:spacing w:val="6"/>
          <w:sz w:val="24"/>
        </w:rPr>
        <w:t>：投诉书范本及制作说明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w:t>
      </w:r>
      <w:r>
        <w:rPr>
          <w:rFonts w:ascii="仿宋" w:hAnsi="仿宋" w:eastAsia="仿宋" w:cs="仿宋"/>
          <w:sz w:val="24"/>
        </w:rPr>
        <w:t>/</w:t>
      </w:r>
      <w:r>
        <w:rPr>
          <w:rFonts w:hint="eastAsia" w:ascii="仿宋" w:hAnsi="仿宋" w:eastAsia="仿宋" w:cs="仿宋"/>
          <w:sz w:val="24"/>
        </w:rPr>
        <w:t>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w:t>
      </w:r>
      <w:r>
        <w:rPr>
          <w:rFonts w:ascii="仿宋" w:hAnsi="仿宋" w:eastAsia="仿宋" w:cs="仿宋"/>
          <w:sz w:val="24"/>
        </w:rPr>
        <w:t>1</w:t>
      </w: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w:t>
      </w:r>
      <w:r>
        <w:rPr>
          <w:rFonts w:ascii="仿宋" w:hAnsi="仿宋" w:eastAsia="仿宋" w:cs="仿宋"/>
          <w:sz w:val="24"/>
        </w:rPr>
        <w:t>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ascii="仿宋" w:hAnsi="仿宋" w:eastAsia="仿宋" w:cs="仿宋"/>
          <w:sz w:val="24"/>
        </w:rPr>
        <w:t>:</w:t>
      </w:r>
      <w:r>
        <w:rPr>
          <w:rFonts w:hint="eastAsia" w:ascii="仿宋" w:hAnsi="仿宋" w:eastAsia="仿宋" w:cs="仿宋"/>
          <w:sz w:val="24"/>
          <w:u w:val="dotted"/>
        </w:rPr>
        <w:t>是</w:t>
      </w:r>
      <w:r>
        <w:rPr>
          <w:rFonts w:ascii="仿宋" w:hAnsi="仿宋" w:eastAsia="仿宋" w:cs="仿宋"/>
          <w:sz w:val="24"/>
          <w:u w:val="dotted"/>
        </w:rPr>
        <w:t>/</w:t>
      </w:r>
      <w:r>
        <w:rPr>
          <w:rFonts w:hint="eastAsia" w:ascii="仿宋" w:hAnsi="仿宋" w:eastAsia="仿宋" w:cs="仿宋"/>
          <w:sz w:val="24"/>
          <w:u w:val="dotted"/>
        </w:rPr>
        <w:t>否</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ascii="仿宋" w:hAnsi="仿宋" w:eastAsia="仿宋" w:cs="仿宋"/>
          <w:sz w:val="24"/>
        </w:rPr>
        <w:t>:</w:t>
      </w:r>
      <w:r>
        <w:rPr>
          <w:rFonts w:hint="eastAsia" w:ascii="仿宋" w:hAnsi="仿宋" w:eastAsia="仿宋" w:cs="仿宋"/>
          <w:sz w:val="24"/>
          <w:u w:val="dotted"/>
        </w:rPr>
        <w:t>是</w:t>
      </w:r>
      <w:r>
        <w:rPr>
          <w:rFonts w:ascii="仿宋" w:hAnsi="仿宋" w:eastAsia="仿宋" w:cs="仿宋"/>
          <w:sz w:val="24"/>
          <w:u w:val="dotted"/>
        </w:rPr>
        <w:t>/</w:t>
      </w:r>
      <w:r>
        <w:rPr>
          <w:rFonts w:hint="eastAsia" w:ascii="仿宋" w:hAnsi="仿宋" w:eastAsia="仿宋" w:cs="仿宋"/>
          <w:sz w:val="24"/>
          <w:u w:val="dotted"/>
        </w:rPr>
        <w:t>否</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w:t>
      </w:r>
      <w:r>
        <w:rPr>
          <w:rFonts w:ascii="仿宋" w:hAnsi="仿宋" w:eastAsia="仿宋" w:cs="仿宋"/>
          <w:sz w:val="24"/>
        </w:rPr>
        <w:t>,</w:t>
      </w:r>
      <w:r>
        <w:rPr>
          <w:rFonts w:hint="eastAsia" w:ascii="仿宋" w:hAnsi="仿宋" w:eastAsia="仿宋" w:cs="仿宋"/>
          <w:sz w:val="24"/>
        </w:rPr>
        <w:t>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w:t>
      </w:r>
      <w:r>
        <w:rPr>
          <w:rFonts w:ascii="仿宋" w:hAnsi="仿宋" w:eastAsia="仿宋" w:cs="仿宋"/>
          <w:sz w:val="24"/>
          <w:u w:val="dotted"/>
        </w:rPr>
        <w:t>/</w:t>
      </w:r>
      <w:r>
        <w:rPr>
          <w:rFonts w:hint="eastAsia" w:ascii="仿宋" w:hAnsi="仿宋" w:eastAsia="仿宋" w:cs="仿宋"/>
          <w:sz w:val="24"/>
          <w:u w:val="dotted"/>
        </w:rPr>
        <w:t>代理机构</w:t>
      </w:r>
      <w:r>
        <w:rPr>
          <w:rFonts w:hint="eastAsia" w:ascii="仿宋" w:hAnsi="仿宋" w:eastAsia="仿宋" w:cs="仿宋"/>
          <w:sz w:val="24"/>
        </w:rPr>
        <w:t>于年月日</w:t>
      </w:r>
      <w:r>
        <w:rPr>
          <w:rFonts w:ascii="仿宋" w:hAnsi="仿宋" w:eastAsia="仿宋" w:cs="仿宋"/>
          <w:sz w:val="24"/>
        </w:rPr>
        <w:t>,</w:t>
      </w:r>
      <w:r>
        <w:rPr>
          <w:rFonts w:hint="eastAsia" w:ascii="仿宋" w:hAnsi="仿宋" w:eastAsia="仿宋" w:cs="仿宋"/>
          <w:sz w:val="24"/>
        </w:rPr>
        <w:t>就质疑事项作出了答复</w:t>
      </w:r>
      <w:r>
        <w:rPr>
          <w:rFonts w:ascii="仿宋" w:hAnsi="仿宋" w:eastAsia="仿宋" w:cs="仿宋"/>
          <w:sz w:val="24"/>
        </w:rPr>
        <w:t>/</w:t>
      </w:r>
      <w:r>
        <w:rPr>
          <w:rFonts w:hint="eastAsia" w:ascii="仿宋" w:hAnsi="仿宋" w:eastAsia="仿宋" w:cs="仿宋"/>
          <w:sz w:val="24"/>
        </w:rPr>
        <w:t>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w:t>
      </w:r>
      <w:r>
        <w:rPr>
          <w:rFonts w:ascii="仿宋" w:hAnsi="仿宋" w:eastAsia="仿宋" w:cs="仿宋"/>
          <w:sz w:val="24"/>
        </w:rPr>
        <w:t xml:space="preserve"> 1</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w:t>
      </w:r>
      <w:r>
        <w:rPr>
          <w:rFonts w:ascii="仿宋" w:hAnsi="仿宋" w:eastAsia="仿宋" w:cs="仿宋"/>
          <w:sz w:val="24"/>
        </w:rPr>
        <w:t>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签字</w:t>
      </w:r>
      <w:r>
        <w:rPr>
          <w:rFonts w:ascii="仿宋" w:hAnsi="仿宋" w:eastAsia="仿宋" w:cs="仿宋"/>
          <w:sz w:val="24"/>
        </w:rPr>
        <w:t>(</w:t>
      </w:r>
      <w:r>
        <w:rPr>
          <w:rFonts w:hint="eastAsia" w:ascii="仿宋" w:hAnsi="仿宋" w:eastAsia="仿宋" w:cs="仿宋"/>
          <w:sz w:val="24"/>
        </w:rPr>
        <w:t>签章</w:t>
      </w:r>
      <w:r>
        <w:rPr>
          <w:rFonts w:ascii="仿宋" w:hAnsi="仿宋" w:eastAsia="仿宋" w:cs="仿宋"/>
          <w:sz w:val="24"/>
        </w:rPr>
        <w:t>)</w:t>
      </w:r>
      <w:r>
        <w:rPr>
          <w:rFonts w:hint="eastAsia" w:ascii="仿宋" w:hAnsi="仿宋" w:eastAsia="仿宋" w:cs="仿宋"/>
          <w:sz w:val="24"/>
        </w:rPr>
        <w:t>：公章：</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ascii="仿宋" w:hAnsi="仿宋" w:eastAsia="仿宋" w:cs="仿宋"/>
          <w:sz w:val="24"/>
        </w:rPr>
        <w:t>1.</w:t>
      </w:r>
      <w:r>
        <w:rPr>
          <w:rFonts w:hint="eastAsia" w:ascii="仿宋" w:hAnsi="仿宋" w:eastAsia="仿宋" w:cs="仿宋"/>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ascii="仿宋" w:hAnsi="仿宋" w:eastAsia="仿宋" w:cs="仿宋"/>
          <w:sz w:val="24"/>
        </w:rPr>
        <w:t>2.</w:t>
      </w:r>
      <w:r>
        <w:rPr>
          <w:rFonts w:hint="eastAsia" w:ascii="仿宋" w:hAnsi="仿宋" w:eastAsia="仿宋" w:cs="仿宋"/>
          <w:sz w:val="24"/>
        </w:rPr>
        <w:t>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投诉书应简要列明质疑事项，质疑函、质疑答复等作为附件材料提供。</w:t>
      </w:r>
      <w:r>
        <w:rPr>
          <w:rFonts w:ascii="仿宋" w:hAnsi="仿宋" w:eastAsia="仿宋" w:cs="仿宋"/>
          <w:sz w:val="24"/>
        </w:rPr>
        <w:t>.</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投诉书的投诉请求应与投诉事项相关。</w:t>
      </w:r>
    </w:p>
    <w:p>
      <w:pPr>
        <w:widowControl/>
        <w:spacing w:line="360" w:lineRule="auto"/>
        <w:ind w:firstLine="480" w:firstLineChars="200"/>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kern w:val="0"/>
          <w:sz w:val="24"/>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SimSun">
    <w:altName w:val="Times New Roman"/>
    <w:panose1 w:val="00000000000000000000"/>
    <w:charset w:val="00"/>
    <w:family w:val="auto"/>
    <w:pitch w:val="default"/>
    <w:sig w:usb0="00000003"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黑体;SimHei">
    <w:altName w:val="宋体"/>
    <w:panose1 w:val="00000000000000000000"/>
    <w:charset w:val="86"/>
    <w:family w:val="roman"/>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OpenSansRegular">
    <w:altName w:val="Segoe Print"/>
    <w:panose1 w:val="00000000000000000000"/>
    <w:charset w:val="00"/>
    <w:family w:val="auto"/>
    <w:pitch w:val="default"/>
    <w:sig w:usb0="00000003"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方正兰亭黑简体">
    <w:altName w:val="黑体"/>
    <w:panose1 w:val="00000000000000000000"/>
    <w:charset w:val="86"/>
    <w:family w:val="auto"/>
    <w:pitch w:val="default"/>
    <w:sig w:usb0="00000001" w:usb1="080E0000" w:usb2="00000010" w:usb3="00000000" w:csb0="00040000" w:csb1="00000000"/>
  </w:font>
  <w:font w:name="MS Mincho">
    <w:altName w:val="Yu Gothic UI"/>
    <w:panose1 w:val="02020609040205080304"/>
    <w:charset w:val="80"/>
    <w:family w:val="modern"/>
    <w:pitch w:val="default"/>
    <w:sig w:usb0="A00002BF" w:usb1="68C7FCFB" w:usb2="00000010" w:usb3="00000000" w:csb0="0002009F" w:csb1="00000000"/>
  </w:font>
  <w:font w:name="Damascus">
    <w:altName w:val="Courier New"/>
    <w:panose1 w:val="00000000000000000000"/>
    <w:charset w:val="B2"/>
    <w:family w:val="auto"/>
    <w:pitch w:val="default"/>
    <w:sig w:usb0="00002001" w:usb1="00000000" w:usb2="00000000" w:usb3="00000000" w:csb0="00000040" w:csb1="00000000"/>
  </w:font>
  <w:font w:name="仿宋_GB2312;仿宋">
    <w:altName w:val="宋体"/>
    <w:panose1 w:val="00000000000000000000"/>
    <w:charset w:val="86"/>
    <w:family w:val="roma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3"/>
      <w:lvlText w:val="%1."/>
      <w:lvlJc w:val="left"/>
      <w:pPr>
        <w:tabs>
          <w:tab w:val="left" w:pos="360"/>
        </w:tabs>
        <w:ind w:left="360" w:hanging="360"/>
      </w:pPr>
    </w:lvl>
  </w:abstractNum>
  <w:abstractNum w:abstractNumId="1">
    <w:nsid w:val="E04B2668"/>
    <w:multiLevelType w:val="singleLevel"/>
    <w:tmpl w:val="E04B2668"/>
    <w:lvl w:ilvl="0" w:tentative="0">
      <w:start w:val="6"/>
      <w:numFmt w:val="chineseCounting"/>
      <w:suff w:val="nothing"/>
      <w:lvlText w:val="%1、"/>
      <w:lvlJc w:val="left"/>
      <w:rPr>
        <w:rFonts w:hint="eastAsia" w:cs="Times New Roman"/>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01B7D80"/>
    <w:multiLevelType w:val="multilevel"/>
    <w:tmpl w:val="101B7D80"/>
    <w:lvl w:ilvl="0" w:tentative="0">
      <w:start w:val="1"/>
      <w:numFmt w:val="chineseCountingThousand"/>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046952"/>
    <w:multiLevelType w:val="multilevel"/>
    <w:tmpl w:val="12046952"/>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9754F37"/>
    <w:multiLevelType w:val="multilevel"/>
    <w:tmpl w:val="19754F37"/>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D9C2CEF"/>
    <w:multiLevelType w:val="multilevel"/>
    <w:tmpl w:val="1D9C2CEF"/>
    <w:lvl w:ilvl="0" w:tentative="0">
      <w:start w:val="1"/>
      <w:numFmt w:val="decimalEnclosedCircle"/>
      <w:lvlText w:val="%1"/>
      <w:lvlJc w:val="left"/>
      <w:pPr>
        <w:ind w:left="1742" w:hanging="420"/>
      </w:pPr>
      <w:rPr>
        <w:rFonts w:hint="default" w:ascii="宋体" w:hAnsi="宋体"/>
      </w:rPr>
    </w:lvl>
    <w:lvl w:ilvl="1" w:tentative="0">
      <w:start w:val="6"/>
      <w:numFmt w:val="japaneseCounting"/>
      <w:lvlText w:val="%2、"/>
      <w:lvlJc w:val="left"/>
      <w:pPr>
        <w:ind w:left="2252" w:hanging="510"/>
      </w:pPr>
      <w:rPr>
        <w:rFonts w:hint="default" w:cs="Courier New"/>
        <w:b/>
      </w:rPr>
    </w:lvl>
    <w:lvl w:ilvl="2" w:tentative="0">
      <w:start w:val="1"/>
      <w:numFmt w:val="lowerRoman"/>
      <w:lvlText w:val="%3."/>
      <w:lvlJc w:val="right"/>
      <w:pPr>
        <w:ind w:left="2582" w:hanging="420"/>
      </w:pPr>
    </w:lvl>
    <w:lvl w:ilvl="3" w:tentative="0">
      <w:start w:val="1"/>
      <w:numFmt w:val="decimal"/>
      <w:lvlText w:val="%4."/>
      <w:lvlJc w:val="left"/>
      <w:pPr>
        <w:ind w:left="3002" w:hanging="420"/>
      </w:pPr>
    </w:lvl>
    <w:lvl w:ilvl="4" w:tentative="0">
      <w:start w:val="1"/>
      <w:numFmt w:val="lowerLetter"/>
      <w:lvlText w:val="%5)"/>
      <w:lvlJc w:val="left"/>
      <w:pPr>
        <w:ind w:left="3422" w:hanging="420"/>
      </w:pPr>
    </w:lvl>
    <w:lvl w:ilvl="5" w:tentative="0">
      <w:start w:val="1"/>
      <w:numFmt w:val="lowerRoman"/>
      <w:lvlText w:val="%6."/>
      <w:lvlJc w:val="right"/>
      <w:pPr>
        <w:ind w:left="3842" w:hanging="420"/>
      </w:pPr>
    </w:lvl>
    <w:lvl w:ilvl="6" w:tentative="0">
      <w:start w:val="1"/>
      <w:numFmt w:val="decimal"/>
      <w:lvlText w:val="%7."/>
      <w:lvlJc w:val="left"/>
      <w:pPr>
        <w:ind w:left="4262" w:hanging="420"/>
      </w:pPr>
    </w:lvl>
    <w:lvl w:ilvl="7" w:tentative="0">
      <w:start w:val="1"/>
      <w:numFmt w:val="lowerLetter"/>
      <w:lvlText w:val="%8)"/>
      <w:lvlJc w:val="left"/>
      <w:pPr>
        <w:ind w:left="4682" w:hanging="420"/>
      </w:pPr>
    </w:lvl>
    <w:lvl w:ilvl="8" w:tentative="0">
      <w:start w:val="1"/>
      <w:numFmt w:val="lowerRoman"/>
      <w:lvlText w:val="%9."/>
      <w:lvlJc w:val="right"/>
      <w:pPr>
        <w:ind w:left="5102" w:hanging="420"/>
      </w:pPr>
    </w:lvl>
  </w:abstractNum>
  <w:abstractNum w:abstractNumId="7">
    <w:nsid w:val="2B7B5B47"/>
    <w:multiLevelType w:val="multilevel"/>
    <w:tmpl w:val="2B7B5B47"/>
    <w:lvl w:ilvl="0" w:tentative="0">
      <w:start w:val="1"/>
      <w:numFmt w:val="decimal"/>
      <w:pStyle w:val="1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D4E4AFC"/>
    <w:multiLevelType w:val="multilevel"/>
    <w:tmpl w:val="2D4E4AFC"/>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decimalEnclosedCircle"/>
      <w:lvlText w:val="%3"/>
      <w:lvlJc w:val="left"/>
      <w:pPr>
        <w:ind w:left="1742" w:hanging="420"/>
      </w:pPr>
      <w:rPr>
        <w:rFonts w:hint="default" w:ascii="宋体" w:hAnsi="宋体"/>
      </w:r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3162301B"/>
    <w:multiLevelType w:val="multilevel"/>
    <w:tmpl w:val="3162301B"/>
    <w:lvl w:ilvl="0" w:tentative="0">
      <w:start w:val="1"/>
      <w:numFmt w:val="decimalEnclosedCircle"/>
      <w:lvlText w:val="%1"/>
      <w:lvlJc w:val="left"/>
      <w:pPr>
        <w:ind w:left="1742" w:hanging="42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20F2BEF"/>
    <w:multiLevelType w:val="multilevel"/>
    <w:tmpl w:val="320F2BEF"/>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2291BB8"/>
    <w:multiLevelType w:val="multilevel"/>
    <w:tmpl w:val="32291BB8"/>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ACE31A9"/>
    <w:multiLevelType w:val="multilevel"/>
    <w:tmpl w:val="3ACE31A9"/>
    <w:lvl w:ilvl="0" w:tentative="0">
      <w:start w:val="1"/>
      <w:numFmt w:val="decimalEnclosedCircle"/>
      <w:lvlText w:val="%1"/>
      <w:lvlJc w:val="left"/>
      <w:pPr>
        <w:ind w:left="420" w:hanging="42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133609"/>
    <w:multiLevelType w:val="multilevel"/>
    <w:tmpl w:val="41133609"/>
    <w:lvl w:ilvl="0" w:tentative="0">
      <w:start w:val="1"/>
      <w:numFmt w:val="bullet"/>
      <w:lvlText w:val="•"/>
      <w:lvlJc w:val="left"/>
      <w:pPr>
        <w:ind w:left="840" w:hanging="420"/>
      </w:pPr>
      <w:rPr>
        <w:rFonts w:hint="default" w:ascii="Arial" w:hAnsi="Arial"/>
      </w:rPr>
    </w:lvl>
    <w:lvl w:ilvl="1" w:tentative="0">
      <w:start w:val="1"/>
      <w:numFmt w:val="decimalEnclosedCircle"/>
      <w:lvlText w:val="%2"/>
      <w:lvlJc w:val="left"/>
      <w:pPr>
        <w:ind w:left="840" w:hanging="420"/>
      </w:pPr>
      <w:rPr>
        <w:rFonts w:hint="default" w:ascii="宋体" w:hAnsi="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44DC65C4"/>
    <w:multiLevelType w:val="multilevel"/>
    <w:tmpl w:val="44DC65C4"/>
    <w:lvl w:ilvl="0" w:tentative="0">
      <w:start w:val="1"/>
      <w:numFmt w:val="decimalEnclosedCircle"/>
      <w:lvlText w:val="%1"/>
      <w:lvlJc w:val="left"/>
      <w:pPr>
        <w:ind w:left="840" w:hanging="360"/>
      </w:pPr>
      <w:rPr>
        <w:rFonts w:hint="default" w:ascii="宋体"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C2F7D0D"/>
    <w:multiLevelType w:val="multilevel"/>
    <w:tmpl w:val="4C2F7D0D"/>
    <w:lvl w:ilvl="0" w:tentative="0">
      <w:start w:val="1"/>
      <w:numFmt w:val="chineseCountingThousand"/>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D7E2584"/>
    <w:multiLevelType w:val="multilevel"/>
    <w:tmpl w:val="4D7E2584"/>
    <w:lvl w:ilvl="0" w:tentative="0">
      <w:start w:val="1"/>
      <w:numFmt w:val="decimal"/>
      <w:lvlText w:val="%1."/>
      <w:lvlJc w:val="left"/>
      <w:pPr>
        <w:ind w:left="1742" w:hanging="420"/>
      </w:pPr>
    </w:lvl>
    <w:lvl w:ilvl="1" w:tentative="0">
      <w:start w:val="1"/>
      <w:numFmt w:val="lowerLetter"/>
      <w:lvlText w:val="%2)"/>
      <w:lvlJc w:val="left"/>
      <w:pPr>
        <w:ind w:left="2162" w:hanging="420"/>
      </w:pPr>
    </w:lvl>
    <w:lvl w:ilvl="2" w:tentative="0">
      <w:start w:val="1"/>
      <w:numFmt w:val="lowerRoman"/>
      <w:lvlText w:val="%3."/>
      <w:lvlJc w:val="right"/>
      <w:pPr>
        <w:ind w:left="2582" w:hanging="420"/>
      </w:pPr>
    </w:lvl>
    <w:lvl w:ilvl="3" w:tentative="0">
      <w:start w:val="1"/>
      <w:numFmt w:val="decimal"/>
      <w:lvlText w:val="%4."/>
      <w:lvlJc w:val="left"/>
      <w:pPr>
        <w:ind w:left="3002" w:hanging="420"/>
      </w:pPr>
    </w:lvl>
    <w:lvl w:ilvl="4" w:tentative="0">
      <w:start w:val="1"/>
      <w:numFmt w:val="lowerLetter"/>
      <w:lvlText w:val="%5)"/>
      <w:lvlJc w:val="left"/>
      <w:pPr>
        <w:ind w:left="3422" w:hanging="420"/>
      </w:pPr>
    </w:lvl>
    <w:lvl w:ilvl="5" w:tentative="0">
      <w:start w:val="1"/>
      <w:numFmt w:val="lowerRoman"/>
      <w:lvlText w:val="%6."/>
      <w:lvlJc w:val="right"/>
      <w:pPr>
        <w:ind w:left="3842" w:hanging="420"/>
      </w:pPr>
    </w:lvl>
    <w:lvl w:ilvl="6" w:tentative="0">
      <w:start w:val="1"/>
      <w:numFmt w:val="decimal"/>
      <w:lvlText w:val="%7."/>
      <w:lvlJc w:val="left"/>
      <w:pPr>
        <w:ind w:left="4262" w:hanging="420"/>
      </w:pPr>
    </w:lvl>
    <w:lvl w:ilvl="7" w:tentative="0">
      <w:start w:val="1"/>
      <w:numFmt w:val="lowerLetter"/>
      <w:lvlText w:val="%8)"/>
      <w:lvlJc w:val="left"/>
      <w:pPr>
        <w:ind w:left="4682" w:hanging="420"/>
      </w:pPr>
    </w:lvl>
    <w:lvl w:ilvl="8" w:tentative="0">
      <w:start w:val="1"/>
      <w:numFmt w:val="lowerRoman"/>
      <w:lvlText w:val="%9."/>
      <w:lvlJc w:val="right"/>
      <w:pPr>
        <w:ind w:left="5102" w:hanging="420"/>
      </w:pPr>
    </w:lvl>
  </w:abstractNum>
  <w:abstractNum w:abstractNumId="17">
    <w:nsid w:val="530E12F3"/>
    <w:multiLevelType w:val="multilevel"/>
    <w:tmpl w:val="530E12F3"/>
    <w:lvl w:ilvl="0" w:tentative="0">
      <w:start w:val="1"/>
      <w:numFmt w:val="chineseCountingThousand"/>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D4E3607"/>
    <w:multiLevelType w:val="multilevel"/>
    <w:tmpl w:val="5D4E3607"/>
    <w:lvl w:ilvl="0" w:tentative="0">
      <w:start w:val="1"/>
      <w:numFmt w:val="decimal"/>
      <w:lvlText w:val="%1."/>
      <w:lvlJc w:val="left"/>
      <w:pPr>
        <w:ind w:left="1742" w:hanging="420"/>
      </w:pPr>
    </w:lvl>
    <w:lvl w:ilvl="1" w:tentative="0">
      <w:start w:val="1"/>
      <w:numFmt w:val="lowerLetter"/>
      <w:lvlText w:val="%2)"/>
      <w:lvlJc w:val="left"/>
      <w:pPr>
        <w:ind w:left="2162" w:hanging="420"/>
      </w:pPr>
    </w:lvl>
    <w:lvl w:ilvl="2" w:tentative="0">
      <w:start w:val="1"/>
      <w:numFmt w:val="lowerRoman"/>
      <w:lvlText w:val="%3."/>
      <w:lvlJc w:val="right"/>
      <w:pPr>
        <w:ind w:left="2582" w:hanging="420"/>
      </w:pPr>
    </w:lvl>
    <w:lvl w:ilvl="3" w:tentative="0">
      <w:start w:val="1"/>
      <w:numFmt w:val="decimal"/>
      <w:lvlText w:val="%4."/>
      <w:lvlJc w:val="left"/>
      <w:pPr>
        <w:ind w:left="3002" w:hanging="420"/>
      </w:pPr>
    </w:lvl>
    <w:lvl w:ilvl="4" w:tentative="0">
      <w:start w:val="1"/>
      <w:numFmt w:val="lowerLetter"/>
      <w:lvlText w:val="%5)"/>
      <w:lvlJc w:val="left"/>
      <w:pPr>
        <w:ind w:left="3422" w:hanging="420"/>
      </w:pPr>
    </w:lvl>
    <w:lvl w:ilvl="5" w:tentative="0">
      <w:start w:val="1"/>
      <w:numFmt w:val="lowerRoman"/>
      <w:lvlText w:val="%6."/>
      <w:lvlJc w:val="right"/>
      <w:pPr>
        <w:ind w:left="3842" w:hanging="420"/>
      </w:pPr>
    </w:lvl>
    <w:lvl w:ilvl="6" w:tentative="0">
      <w:start w:val="1"/>
      <w:numFmt w:val="decimal"/>
      <w:lvlText w:val="%7."/>
      <w:lvlJc w:val="left"/>
      <w:pPr>
        <w:ind w:left="4262" w:hanging="420"/>
      </w:pPr>
    </w:lvl>
    <w:lvl w:ilvl="7" w:tentative="0">
      <w:start w:val="1"/>
      <w:numFmt w:val="lowerLetter"/>
      <w:lvlText w:val="%8)"/>
      <w:lvlJc w:val="left"/>
      <w:pPr>
        <w:ind w:left="4682" w:hanging="420"/>
      </w:pPr>
    </w:lvl>
    <w:lvl w:ilvl="8" w:tentative="0">
      <w:start w:val="1"/>
      <w:numFmt w:val="lowerRoman"/>
      <w:lvlText w:val="%9."/>
      <w:lvlJc w:val="right"/>
      <w:pPr>
        <w:ind w:left="5102" w:hanging="420"/>
      </w:pPr>
    </w:lvl>
  </w:abstractNum>
  <w:abstractNum w:abstractNumId="19">
    <w:nsid w:val="6BA61975"/>
    <w:multiLevelType w:val="multilevel"/>
    <w:tmpl w:val="6BA61975"/>
    <w:lvl w:ilvl="0" w:tentative="0">
      <w:start w:val="1"/>
      <w:numFmt w:val="decimal"/>
      <w:lvlText w:val="%1."/>
      <w:lvlJc w:val="left"/>
      <w:pPr>
        <w:ind w:left="1742" w:hanging="420"/>
      </w:pPr>
    </w:lvl>
    <w:lvl w:ilvl="1" w:tentative="0">
      <w:start w:val="1"/>
      <w:numFmt w:val="lowerLetter"/>
      <w:lvlText w:val="%2)"/>
      <w:lvlJc w:val="left"/>
      <w:pPr>
        <w:ind w:left="2162" w:hanging="420"/>
      </w:pPr>
    </w:lvl>
    <w:lvl w:ilvl="2" w:tentative="0">
      <w:start w:val="1"/>
      <w:numFmt w:val="lowerRoman"/>
      <w:lvlText w:val="%3."/>
      <w:lvlJc w:val="right"/>
      <w:pPr>
        <w:ind w:left="2582" w:hanging="420"/>
      </w:pPr>
    </w:lvl>
    <w:lvl w:ilvl="3" w:tentative="0">
      <w:start w:val="1"/>
      <w:numFmt w:val="decimal"/>
      <w:lvlText w:val="%4."/>
      <w:lvlJc w:val="left"/>
      <w:pPr>
        <w:ind w:left="3002" w:hanging="420"/>
      </w:pPr>
    </w:lvl>
    <w:lvl w:ilvl="4" w:tentative="0">
      <w:start w:val="1"/>
      <w:numFmt w:val="lowerLetter"/>
      <w:lvlText w:val="%5)"/>
      <w:lvlJc w:val="left"/>
      <w:pPr>
        <w:ind w:left="3422" w:hanging="420"/>
      </w:pPr>
    </w:lvl>
    <w:lvl w:ilvl="5" w:tentative="0">
      <w:start w:val="1"/>
      <w:numFmt w:val="lowerRoman"/>
      <w:lvlText w:val="%6."/>
      <w:lvlJc w:val="right"/>
      <w:pPr>
        <w:ind w:left="3842" w:hanging="420"/>
      </w:pPr>
    </w:lvl>
    <w:lvl w:ilvl="6" w:tentative="0">
      <w:start w:val="1"/>
      <w:numFmt w:val="decimal"/>
      <w:lvlText w:val="%7."/>
      <w:lvlJc w:val="left"/>
      <w:pPr>
        <w:ind w:left="4262" w:hanging="420"/>
      </w:pPr>
    </w:lvl>
    <w:lvl w:ilvl="7" w:tentative="0">
      <w:start w:val="1"/>
      <w:numFmt w:val="lowerLetter"/>
      <w:lvlText w:val="%8)"/>
      <w:lvlJc w:val="left"/>
      <w:pPr>
        <w:ind w:left="4682" w:hanging="420"/>
      </w:pPr>
    </w:lvl>
    <w:lvl w:ilvl="8" w:tentative="0">
      <w:start w:val="1"/>
      <w:numFmt w:val="lowerRoman"/>
      <w:lvlText w:val="%9."/>
      <w:lvlJc w:val="right"/>
      <w:pPr>
        <w:ind w:left="5102" w:hanging="420"/>
      </w:pPr>
    </w:lvl>
  </w:abstractNum>
  <w:abstractNum w:abstractNumId="20">
    <w:nsid w:val="72D97265"/>
    <w:multiLevelType w:val="singleLevel"/>
    <w:tmpl w:val="72D97265"/>
    <w:lvl w:ilvl="0" w:tentative="0">
      <w:start w:val="1"/>
      <w:numFmt w:val="decimal"/>
      <w:suff w:val="nothing"/>
      <w:lvlText w:val="%1、"/>
      <w:lvlJc w:val="left"/>
      <w:rPr>
        <w:rFonts w:cs="Times New Roman"/>
      </w:rPr>
    </w:lvl>
  </w:abstractNum>
  <w:abstractNum w:abstractNumId="21">
    <w:nsid w:val="771526EE"/>
    <w:multiLevelType w:val="multilevel"/>
    <w:tmpl w:val="771526EE"/>
    <w:lvl w:ilvl="0" w:tentative="0">
      <w:start w:val="1"/>
      <w:numFmt w:val="chineseCountingThousand"/>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0"/>
  </w:num>
  <w:num w:numId="3">
    <w:abstractNumId w:val="20"/>
  </w:num>
  <w:num w:numId="4">
    <w:abstractNumId w:val="3"/>
  </w:num>
  <w:num w:numId="5">
    <w:abstractNumId w:val="4"/>
  </w:num>
  <w:num w:numId="6">
    <w:abstractNumId w:val="8"/>
  </w:num>
  <w:num w:numId="7">
    <w:abstractNumId w:val="9"/>
  </w:num>
  <w:num w:numId="8">
    <w:abstractNumId w:val="11"/>
  </w:num>
  <w:num w:numId="9">
    <w:abstractNumId w:val="10"/>
  </w:num>
  <w:num w:numId="10">
    <w:abstractNumId w:val="12"/>
  </w:num>
  <w:num w:numId="11">
    <w:abstractNumId w:val="13"/>
  </w:num>
  <w:num w:numId="12">
    <w:abstractNumId w:val="5"/>
  </w:num>
  <w:num w:numId="13">
    <w:abstractNumId w:val="14"/>
  </w:num>
  <w:num w:numId="14">
    <w:abstractNumId w:val="17"/>
  </w:num>
  <w:num w:numId="15">
    <w:abstractNumId w:val="18"/>
  </w:num>
  <w:num w:numId="16">
    <w:abstractNumId w:val="16"/>
  </w:num>
  <w:num w:numId="17">
    <w:abstractNumId w:val="6"/>
  </w:num>
  <w:num w:numId="18">
    <w:abstractNumId w:val="19"/>
  </w:num>
  <w:num w:numId="19">
    <w:abstractNumId w:val="21"/>
  </w:num>
  <w:num w:numId="20">
    <w:abstractNumId w:val="15"/>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autoHyphenation/>
  <w:hyphenationZone w:val="360"/>
  <w:displayHorizontalDrawingGridEvery w:val="1"/>
  <w:displayVerticalDrawingGridEvery w:val="1"/>
  <w:characterSpacingControl w:val="doNotCompress"/>
  <w:noLineBreaksAfter w:lang="zh-CN" w:val="([{·‘“〈《「『【〔〖（．［｛￡￥"/>
  <w:noLineBreaksBefore w:lang="zh-CN" w:val="!),.:;?]}¨·ˇˉ―‖’”…∶、。〃々〉》」』】〕〗！＂＇），．：；？］｀｜｝～￠"/>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1B"/>
    <w:rsid w:val="0000266C"/>
    <w:rsid w:val="00010748"/>
    <w:rsid w:val="000127C2"/>
    <w:rsid w:val="000202C9"/>
    <w:rsid w:val="00026AE4"/>
    <w:rsid w:val="000325CD"/>
    <w:rsid w:val="0003414B"/>
    <w:rsid w:val="00037EE0"/>
    <w:rsid w:val="00097129"/>
    <w:rsid w:val="000978BA"/>
    <w:rsid w:val="000B2BDE"/>
    <w:rsid w:val="000B5CF6"/>
    <w:rsid w:val="000D2E41"/>
    <w:rsid w:val="000D6E9D"/>
    <w:rsid w:val="000F1BC8"/>
    <w:rsid w:val="000F6E41"/>
    <w:rsid w:val="00102DB5"/>
    <w:rsid w:val="0010439A"/>
    <w:rsid w:val="0012193F"/>
    <w:rsid w:val="0012777E"/>
    <w:rsid w:val="00137B1B"/>
    <w:rsid w:val="00147438"/>
    <w:rsid w:val="00161023"/>
    <w:rsid w:val="00162127"/>
    <w:rsid w:val="001754EB"/>
    <w:rsid w:val="00177425"/>
    <w:rsid w:val="00185E63"/>
    <w:rsid w:val="00191ADB"/>
    <w:rsid w:val="001B6C9F"/>
    <w:rsid w:val="001D046A"/>
    <w:rsid w:val="001D5751"/>
    <w:rsid w:val="001F00AC"/>
    <w:rsid w:val="001F1817"/>
    <w:rsid w:val="00201E87"/>
    <w:rsid w:val="00210D1E"/>
    <w:rsid w:val="00213A5B"/>
    <w:rsid w:val="002226D1"/>
    <w:rsid w:val="00236ADE"/>
    <w:rsid w:val="00242C1D"/>
    <w:rsid w:val="00243F1F"/>
    <w:rsid w:val="00252627"/>
    <w:rsid w:val="00253A9E"/>
    <w:rsid w:val="002543B7"/>
    <w:rsid w:val="00256074"/>
    <w:rsid w:val="002600A4"/>
    <w:rsid w:val="00264534"/>
    <w:rsid w:val="002704C8"/>
    <w:rsid w:val="00273431"/>
    <w:rsid w:val="002832BD"/>
    <w:rsid w:val="002A1D93"/>
    <w:rsid w:val="002A2997"/>
    <w:rsid w:val="002B19C8"/>
    <w:rsid w:val="002B2713"/>
    <w:rsid w:val="002C4A53"/>
    <w:rsid w:val="002C7762"/>
    <w:rsid w:val="002D4FEB"/>
    <w:rsid w:val="002E605E"/>
    <w:rsid w:val="002F0B69"/>
    <w:rsid w:val="0030274E"/>
    <w:rsid w:val="00315624"/>
    <w:rsid w:val="00320E32"/>
    <w:rsid w:val="00323455"/>
    <w:rsid w:val="0033242E"/>
    <w:rsid w:val="0034677A"/>
    <w:rsid w:val="003550E3"/>
    <w:rsid w:val="00355808"/>
    <w:rsid w:val="00360E40"/>
    <w:rsid w:val="00361D88"/>
    <w:rsid w:val="00370052"/>
    <w:rsid w:val="00375009"/>
    <w:rsid w:val="00391A85"/>
    <w:rsid w:val="003A418E"/>
    <w:rsid w:val="003A4BEC"/>
    <w:rsid w:val="003B75E6"/>
    <w:rsid w:val="003E4FBD"/>
    <w:rsid w:val="003F21A9"/>
    <w:rsid w:val="003F5FCD"/>
    <w:rsid w:val="004170C7"/>
    <w:rsid w:val="00422A5A"/>
    <w:rsid w:val="00442208"/>
    <w:rsid w:val="00464B4E"/>
    <w:rsid w:val="00474C2F"/>
    <w:rsid w:val="00491266"/>
    <w:rsid w:val="00494652"/>
    <w:rsid w:val="004A0FA6"/>
    <w:rsid w:val="004A64FA"/>
    <w:rsid w:val="004B742B"/>
    <w:rsid w:val="004C2BD2"/>
    <w:rsid w:val="004D5D09"/>
    <w:rsid w:val="004F0006"/>
    <w:rsid w:val="005205B2"/>
    <w:rsid w:val="0052174E"/>
    <w:rsid w:val="00522757"/>
    <w:rsid w:val="00533677"/>
    <w:rsid w:val="00535BA8"/>
    <w:rsid w:val="0054598E"/>
    <w:rsid w:val="00556F1B"/>
    <w:rsid w:val="0056372B"/>
    <w:rsid w:val="00571D8E"/>
    <w:rsid w:val="00596C17"/>
    <w:rsid w:val="00596D87"/>
    <w:rsid w:val="005A30E5"/>
    <w:rsid w:val="005B56E9"/>
    <w:rsid w:val="005B6186"/>
    <w:rsid w:val="005D4651"/>
    <w:rsid w:val="005E17D0"/>
    <w:rsid w:val="005E2036"/>
    <w:rsid w:val="00603347"/>
    <w:rsid w:val="00617BC9"/>
    <w:rsid w:val="00632E34"/>
    <w:rsid w:val="00635791"/>
    <w:rsid w:val="00640722"/>
    <w:rsid w:val="00662AF8"/>
    <w:rsid w:val="00664A9D"/>
    <w:rsid w:val="006674EA"/>
    <w:rsid w:val="0067419F"/>
    <w:rsid w:val="00685951"/>
    <w:rsid w:val="006910BF"/>
    <w:rsid w:val="00693542"/>
    <w:rsid w:val="006A03A2"/>
    <w:rsid w:val="006C5A0C"/>
    <w:rsid w:val="006C6558"/>
    <w:rsid w:val="006D11CF"/>
    <w:rsid w:val="006D14D2"/>
    <w:rsid w:val="00703861"/>
    <w:rsid w:val="00706CD2"/>
    <w:rsid w:val="007148C6"/>
    <w:rsid w:val="00715B8A"/>
    <w:rsid w:val="00732D45"/>
    <w:rsid w:val="00741682"/>
    <w:rsid w:val="00761668"/>
    <w:rsid w:val="0078666D"/>
    <w:rsid w:val="00787BAD"/>
    <w:rsid w:val="00787DE7"/>
    <w:rsid w:val="007B209C"/>
    <w:rsid w:val="007C0909"/>
    <w:rsid w:val="007C186A"/>
    <w:rsid w:val="007D1BE3"/>
    <w:rsid w:val="007F6360"/>
    <w:rsid w:val="00800FCF"/>
    <w:rsid w:val="00803116"/>
    <w:rsid w:val="00803BD2"/>
    <w:rsid w:val="00805F45"/>
    <w:rsid w:val="00821355"/>
    <w:rsid w:val="0083218E"/>
    <w:rsid w:val="00834BC6"/>
    <w:rsid w:val="008366E2"/>
    <w:rsid w:val="0084512C"/>
    <w:rsid w:val="00846F26"/>
    <w:rsid w:val="008531D1"/>
    <w:rsid w:val="00861C06"/>
    <w:rsid w:val="008858C3"/>
    <w:rsid w:val="00895B73"/>
    <w:rsid w:val="008A19A1"/>
    <w:rsid w:val="008A2154"/>
    <w:rsid w:val="008A5C8A"/>
    <w:rsid w:val="008D4DE6"/>
    <w:rsid w:val="008E75C6"/>
    <w:rsid w:val="008E7B16"/>
    <w:rsid w:val="00910A0F"/>
    <w:rsid w:val="009170E7"/>
    <w:rsid w:val="00923D12"/>
    <w:rsid w:val="00942AB3"/>
    <w:rsid w:val="00944E93"/>
    <w:rsid w:val="0095259B"/>
    <w:rsid w:val="00953354"/>
    <w:rsid w:val="00957D70"/>
    <w:rsid w:val="009850D1"/>
    <w:rsid w:val="00986CD4"/>
    <w:rsid w:val="00987F0A"/>
    <w:rsid w:val="009C2434"/>
    <w:rsid w:val="00A02EEA"/>
    <w:rsid w:val="00A105C6"/>
    <w:rsid w:val="00A11530"/>
    <w:rsid w:val="00A25EBA"/>
    <w:rsid w:val="00A44666"/>
    <w:rsid w:val="00A471D2"/>
    <w:rsid w:val="00A51F23"/>
    <w:rsid w:val="00A52031"/>
    <w:rsid w:val="00A55092"/>
    <w:rsid w:val="00A602E4"/>
    <w:rsid w:val="00A63EBE"/>
    <w:rsid w:val="00A804E4"/>
    <w:rsid w:val="00A8257F"/>
    <w:rsid w:val="00AA110A"/>
    <w:rsid w:val="00AC5604"/>
    <w:rsid w:val="00AD4500"/>
    <w:rsid w:val="00AD616B"/>
    <w:rsid w:val="00B147E3"/>
    <w:rsid w:val="00B241D6"/>
    <w:rsid w:val="00B24664"/>
    <w:rsid w:val="00B35132"/>
    <w:rsid w:val="00B4408C"/>
    <w:rsid w:val="00B51352"/>
    <w:rsid w:val="00B809BB"/>
    <w:rsid w:val="00B82578"/>
    <w:rsid w:val="00B8597C"/>
    <w:rsid w:val="00B860CA"/>
    <w:rsid w:val="00B95387"/>
    <w:rsid w:val="00BA1FC2"/>
    <w:rsid w:val="00BA5160"/>
    <w:rsid w:val="00BB0899"/>
    <w:rsid w:val="00BB1F0D"/>
    <w:rsid w:val="00BC3A49"/>
    <w:rsid w:val="00BF02A1"/>
    <w:rsid w:val="00BF28EF"/>
    <w:rsid w:val="00C1352E"/>
    <w:rsid w:val="00C145E2"/>
    <w:rsid w:val="00C21E82"/>
    <w:rsid w:val="00C41365"/>
    <w:rsid w:val="00C470C1"/>
    <w:rsid w:val="00C57F80"/>
    <w:rsid w:val="00C826ED"/>
    <w:rsid w:val="00C92A97"/>
    <w:rsid w:val="00C96BD5"/>
    <w:rsid w:val="00CA34F7"/>
    <w:rsid w:val="00CB03A1"/>
    <w:rsid w:val="00CB07E8"/>
    <w:rsid w:val="00CB0905"/>
    <w:rsid w:val="00CB3712"/>
    <w:rsid w:val="00CD6860"/>
    <w:rsid w:val="00CE4A31"/>
    <w:rsid w:val="00CF2EAF"/>
    <w:rsid w:val="00CF563A"/>
    <w:rsid w:val="00CF6241"/>
    <w:rsid w:val="00D201BC"/>
    <w:rsid w:val="00D44AFD"/>
    <w:rsid w:val="00D46F43"/>
    <w:rsid w:val="00D53E65"/>
    <w:rsid w:val="00D53F35"/>
    <w:rsid w:val="00D55452"/>
    <w:rsid w:val="00D67D83"/>
    <w:rsid w:val="00D732A4"/>
    <w:rsid w:val="00DA2430"/>
    <w:rsid w:val="00DB3B81"/>
    <w:rsid w:val="00DB49EE"/>
    <w:rsid w:val="00DB5861"/>
    <w:rsid w:val="00DB7D99"/>
    <w:rsid w:val="00DC20C6"/>
    <w:rsid w:val="00DF2BDC"/>
    <w:rsid w:val="00E248D7"/>
    <w:rsid w:val="00E35C1E"/>
    <w:rsid w:val="00E40A0D"/>
    <w:rsid w:val="00E504AC"/>
    <w:rsid w:val="00E5593D"/>
    <w:rsid w:val="00E62218"/>
    <w:rsid w:val="00E62CBF"/>
    <w:rsid w:val="00E80B03"/>
    <w:rsid w:val="00E87B5C"/>
    <w:rsid w:val="00E94C5C"/>
    <w:rsid w:val="00EA497C"/>
    <w:rsid w:val="00EC29D1"/>
    <w:rsid w:val="00EF4178"/>
    <w:rsid w:val="00F1097F"/>
    <w:rsid w:val="00F22B94"/>
    <w:rsid w:val="00F2630C"/>
    <w:rsid w:val="00F37898"/>
    <w:rsid w:val="00F70297"/>
    <w:rsid w:val="00F9264A"/>
    <w:rsid w:val="00F971DA"/>
    <w:rsid w:val="00FA1488"/>
    <w:rsid w:val="00FA6078"/>
    <w:rsid w:val="00FC2D66"/>
    <w:rsid w:val="00FD1C89"/>
    <w:rsid w:val="00FD5862"/>
    <w:rsid w:val="00FD7730"/>
    <w:rsid w:val="00FE0217"/>
    <w:rsid w:val="00FE07ED"/>
    <w:rsid w:val="00FE523F"/>
    <w:rsid w:val="00FE5D23"/>
    <w:rsid w:val="00FE62FD"/>
    <w:rsid w:val="0E180941"/>
    <w:rsid w:val="0ED64454"/>
    <w:rsid w:val="45C12AF8"/>
    <w:rsid w:val="56CB642F"/>
    <w:rsid w:val="734534D6"/>
    <w:rsid w:val="78C016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ocked="1"/>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0"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nhideWhenUsed="0" w:uiPriority="99" w:name="Body Text First Indent"/>
    <w:lsdException w:unhideWhenUsed="0" w:uiPriority="99" w:semiHidden="0" w:name="Body Text First Indent 2"/>
    <w:lsdException w:uiPriority="99" w:name="Note Heading" w:locked="1"/>
    <w:lsdException w:uiPriority="99" w:semiHidden="0" w:name="Body Text 2" w:locked="1"/>
    <w:lsdException w:uiPriority="99" w:name="Body Text 3" w:locked="1"/>
    <w:lsdException w:uiPriority="99" w:name="Body Text Indent 2" w:locked="1"/>
    <w:lsdException w:uiPriority="99" w:name="Body Text Indent 3" w:locked="1"/>
    <w:lsdException w:unhideWhenUsed="0" w:uiPriority="0" w:semiHidden="0" w:name="Block Text" w:locked="1"/>
    <w:lsdException w:unhideWhenUsed="0" w:uiPriority="99"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sdException w:unhideWhenUsed="0" w:uiPriority="0"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nhideWhenUsed="0" w:uiPriority="99" w:name="HTML Code"/>
    <w:lsdException w:uiPriority="99" w:name="HTML Definition" w:locked="1"/>
    <w:lsdException w:unhideWhenUsed="0" w:uiPriority="99" w:name="HTML Keyboard"/>
    <w:lsdException w:uiPriority="99" w:name="HTML Preformatted" w:locked="1"/>
    <w:lsdException w:unhideWhenUsed="0" w:uiPriority="99" w:name="HTML Sample"/>
    <w:lsdException w:uiPriority="99" w:name="HTML Typewriter" w:locked="1"/>
    <w:lsdException w:uiPriority="99" w:name="HTML Variable" w:locked="1"/>
    <w:lsdException w:qFormat="1" w:uiPriority="99" w:semiHidden="0" w:name="Normal Table"/>
    <w:lsdException w:qFormat="1"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45"/>
    <w:qFormat/>
    <w:locked/>
    <w:uiPriority w:val="0"/>
    <w:pPr>
      <w:keepNext/>
      <w:keepLines/>
      <w:tabs>
        <w:tab w:val="left" w:pos="360"/>
        <w:tab w:val="left" w:pos="432"/>
      </w:tabs>
      <w:spacing w:before="340" w:after="330" w:line="576" w:lineRule="auto"/>
      <w:ind w:left="432" w:hanging="432"/>
      <w:outlineLvl w:val="0"/>
    </w:pPr>
    <w:rPr>
      <w:rFonts w:eastAsia="宋体"/>
      <w:b/>
      <w:bCs/>
      <w:kern w:val="44"/>
      <w:sz w:val="44"/>
      <w:szCs w:val="44"/>
    </w:rPr>
  </w:style>
  <w:style w:type="paragraph" w:styleId="3">
    <w:name w:val="heading 2"/>
    <w:basedOn w:val="1"/>
    <w:next w:val="1"/>
    <w:link w:val="46"/>
    <w:qFormat/>
    <w:locked/>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47"/>
    <w:qFormat/>
    <w:locked/>
    <w:uiPriority w:val="99"/>
    <w:pPr>
      <w:keepNext/>
      <w:keepLines/>
      <w:spacing w:before="260" w:after="260" w:line="416" w:lineRule="auto"/>
      <w:outlineLvl w:val="2"/>
    </w:pPr>
    <w:rPr>
      <w:b/>
      <w:bCs/>
      <w:sz w:val="32"/>
      <w:szCs w:val="32"/>
    </w:rPr>
  </w:style>
  <w:style w:type="paragraph" w:styleId="5">
    <w:name w:val="heading 4"/>
    <w:basedOn w:val="1"/>
    <w:next w:val="6"/>
    <w:link w:val="48"/>
    <w:qFormat/>
    <w:uiPriority w:val="0"/>
    <w:pPr>
      <w:spacing w:beforeLines="50" w:afterLines="50" w:line="360" w:lineRule="auto"/>
      <w:outlineLvl w:val="3"/>
    </w:pPr>
    <w:rPr>
      <w:rFonts w:ascii="Calibri" w:hAnsi="Calibri" w:eastAsia="黑体" w:cs="Times New Roman"/>
      <w:b/>
      <w:bCs/>
      <w:sz w:val="30"/>
      <w:szCs w:val="30"/>
    </w:rPr>
  </w:style>
  <w:style w:type="paragraph" w:styleId="8">
    <w:name w:val="heading 5"/>
    <w:basedOn w:val="1"/>
    <w:next w:val="6"/>
    <w:link w:val="50"/>
    <w:qFormat/>
    <w:uiPriority w:val="0"/>
    <w:pPr>
      <w:spacing w:beforeLines="50" w:afterLines="50" w:line="360" w:lineRule="auto"/>
      <w:outlineLvl w:val="4"/>
    </w:pPr>
    <w:rPr>
      <w:rFonts w:ascii="Calibri" w:hAnsi="Calibri" w:eastAsia="黑体" w:cs="Times New Roman"/>
      <w:b/>
      <w:bCs/>
      <w:sz w:val="28"/>
      <w:szCs w:val="28"/>
    </w:rPr>
  </w:style>
  <w:style w:type="paragraph" w:styleId="9">
    <w:name w:val="heading 6"/>
    <w:basedOn w:val="1"/>
    <w:next w:val="6"/>
    <w:link w:val="51"/>
    <w:qFormat/>
    <w:uiPriority w:val="0"/>
    <w:pPr>
      <w:spacing w:before="100" w:beforeAutospacing="1" w:after="100" w:afterAutospacing="1" w:line="360" w:lineRule="auto"/>
      <w:outlineLvl w:val="5"/>
    </w:pPr>
    <w:rPr>
      <w:rFonts w:ascii="Calibri" w:hAnsi="Calibri" w:eastAsia="黑体" w:cs="Times New Roman"/>
      <w:b/>
      <w:bCs/>
      <w:szCs w:val="21"/>
    </w:rPr>
  </w:style>
  <w:style w:type="paragraph" w:styleId="10">
    <w:name w:val="heading 7"/>
    <w:basedOn w:val="1"/>
    <w:next w:val="6"/>
    <w:link w:val="52"/>
    <w:qFormat/>
    <w:uiPriority w:val="0"/>
    <w:pPr>
      <w:keepNext/>
      <w:keepLines/>
      <w:numPr>
        <w:ilvl w:val="0"/>
        <w:numId w:val="1"/>
      </w:numPr>
      <w:spacing w:before="156" w:after="156" w:line="360" w:lineRule="auto"/>
      <w:outlineLvl w:val="6"/>
    </w:pPr>
    <w:rPr>
      <w:rFonts w:ascii="Calibri" w:hAnsi="Calibri" w:eastAsia="宋体" w:cs="Times New Roman"/>
      <w:szCs w:val="21"/>
    </w:rPr>
  </w:style>
  <w:style w:type="paragraph" w:styleId="11">
    <w:name w:val="heading 8"/>
    <w:basedOn w:val="1"/>
    <w:next w:val="6"/>
    <w:link w:val="53"/>
    <w:qFormat/>
    <w:uiPriority w:val="0"/>
    <w:pPr>
      <w:keepNext/>
      <w:keepLines/>
      <w:spacing w:before="60" w:after="60" w:line="360" w:lineRule="auto"/>
      <w:outlineLvl w:val="7"/>
    </w:pPr>
    <w:rPr>
      <w:rFonts w:ascii="Calibri" w:hAnsi="Calibri" w:eastAsia="宋体" w:cs="Times New Roman"/>
      <w:szCs w:val="21"/>
    </w:rPr>
  </w:style>
  <w:style w:type="paragraph" w:styleId="12">
    <w:name w:val="heading 9"/>
    <w:basedOn w:val="1"/>
    <w:next w:val="6"/>
    <w:link w:val="54"/>
    <w:qFormat/>
    <w:uiPriority w:val="0"/>
    <w:pPr>
      <w:keepNext/>
      <w:keepLines/>
      <w:spacing w:before="60" w:after="60" w:line="360" w:lineRule="auto"/>
      <w:outlineLvl w:val="8"/>
    </w:pPr>
    <w:rPr>
      <w:rFonts w:ascii="Calibri" w:hAnsi="Calibri" w:eastAsia="宋体" w:cs="Times New Roman"/>
      <w:szCs w:val="21"/>
    </w:rPr>
  </w:style>
  <w:style w:type="character" w:default="1" w:styleId="36">
    <w:name w:val="Default Paragraph Font"/>
    <w:unhideWhenUsed/>
    <w:uiPriority w:val="1"/>
  </w:style>
  <w:style w:type="table" w:default="1" w:styleId="34">
    <w:name w:val="Normal Table"/>
    <w:unhideWhenUsed/>
    <w:qFormat/>
    <w:uiPriority w:val="99"/>
    <w:tblPr>
      <w:tblStyle w:val="34"/>
      <w:tblCellMar>
        <w:top w:w="0" w:type="dxa"/>
        <w:left w:w="108" w:type="dxa"/>
        <w:bottom w:w="0" w:type="dxa"/>
        <w:right w:w="108" w:type="dxa"/>
      </w:tblCellMar>
    </w:tblPr>
  </w:style>
  <w:style w:type="paragraph" w:styleId="6">
    <w:name w:val="Body Text"/>
    <w:basedOn w:val="1"/>
    <w:next w:val="7"/>
    <w:link w:val="49"/>
    <w:uiPriority w:val="0"/>
    <w:pPr>
      <w:autoSpaceDE w:val="0"/>
      <w:spacing w:line="360" w:lineRule="auto"/>
    </w:pPr>
    <w:rPr>
      <w:rFonts w:ascii="??;SimSun" w:hAnsi="??;SimSun" w:cs="Arial"/>
      <w:sz w:val="24"/>
      <w:szCs w:val="21"/>
      <w:lang w:val="zh-CN"/>
    </w:rPr>
  </w:style>
  <w:style w:type="paragraph" w:styleId="7">
    <w:name w:val="toc 2"/>
    <w:basedOn w:val="1"/>
    <w:next w:val="1"/>
    <w:qFormat/>
    <w:uiPriority w:val="39"/>
    <w:pPr>
      <w:ind w:left="420"/>
    </w:pPr>
  </w:style>
  <w:style w:type="paragraph" w:styleId="13">
    <w:name w:val="List Number"/>
    <w:basedOn w:val="1"/>
    <w:qFormat/>
    <w:locked/>
    <w:uiPriority w:val="0"/>
    <w:pPr>
      <w:numPr>
        <w:ilvl w:val="0"/>
        <w:numId w:val="2"/>
      </w:numPr>
      <w:ind w:firstLine="0"/>
    </w:pPr>
    <w:rPr>
      <w:rFonts w:ascii="Calibri" w:hAnsi="Calibri" w:eastAsia="宋体" w:cs="Times New Roman"/>
      <w:szCs w:val="21"/>
    </w:rPr>
  </w:style>
  <w:style w:type="paragraph" w:styleId="14">
    <w:name w:val="Normal Indent"/>
    <w:basedOn w:val="1"/>
    <w:link w:val="55"/>
    <w:uiPriority w:val="0"/>
    <w:pPr>
      <w:widowControl/>
      <w:adjustRightInd w:val="0"/>
      <w:snapToGrid w:val="0"/>
      <w:spacing w:line="480" w:lineRule="exact"/>
      <w:ind w:firstLine="567"/>
    </w:pPr>
    <w:rPr>
      <w:rFonts w:ascii="宋体" w:eastAsia="宋体"/>
      <w:color w:val="000000"/>
      <w:kern w:val="28"/>
      <w:sz w:val="28"/>
      <w:szCs w:val="20"/>
    </w:rPr>
  </w:style>
  <w:style w:type="paragraph" w:styleId="15">
    <w:name w:val="caption"/>
    <w:basedOn w:val="1"/>
    <w:next w:val="1"/>
    <w:link w:val="56"/>
    <w:qFormat/>
    <w:uiPriority w:val="0"/>
    <w:pPr>
      <w:spacing w:beforeLines="63" w:afterLines="66"/>
    </w:pPr>
    <w:rPr>
      <w:rFonts w:ascii="Arial" w:hAnsi="Arial" w:eastAsia="黑体;SimHei" w:cs="Arial"/>
      <w:sz w:val="20"/>
      <w:szCs w:val="20"/>
      <w:lang w:val="zh-CN"/>
    </w:rPr>
  </w:style>
  <w:style w:type="paragraph" w:styleId="16">
    <w:name w:val="Document Map"/>
    <w:basedOn w:val="1"/>
    <w:link w:val="57"/>
    <w:semiHidden/>
    <w:locked/>
    <w:uiPriority w:val="0"/>
    <w:pPr>
      <w:shd w:val="clear" w:color="auto" w:fill="000080"/>
      <w:spacing w:line="360" w:lineRule="auto"/>
    </w:pPr>
    <w:rPr>
      <w:rFonts w:ascii="Calibri" w:hAnsi="Calibri" w:eastAsia="宋体" w:cs="Times New Roman"/>
      <w:szCs w:val="21"/>
    </w:rPr>
  </w:style>
  <w:style w:type="paragraph" w:styleId="17">
    <w:name w:val="annotation text"/>
    <w:basedOn w:val="1"/>
    <w:link w:val="58"/>
    <w:unhideWhenUsed/>
    <w:qFormat/>
    <w:locked/>
    <w:uiPriority w:val="99"/>
    <w:pPr>
      <w:spacing w:line="360" w:lineRule="auto"/>
      <w:jc w:val="left"/>
    </w:pPr>
    <w:rPr>
      <w:rFonts w:ascii="Calibri" w:hAnsi="Calibri" w:eastAsia="宋体" w:cs="Times New Roman"/>
      <w:szCs w:val="21"/>
    </w:rPr>
  </w:style>
  <w:style w:type="paragraph" w:styleId="18">
    <w:name w:val="Body Text Indent"/>
    <w:basedOn w:val="1"/>
    <w:next w:val="1"/>
    <w:link w:val="59"/>
    <w:qFormat/>
    <w:uiPriority w:val="0"/>
    <w:pPr>
      <w:spacing w:line="480" w:lineRule="exact"/>
      <w:ind w:firstLine="480"/>
    </w:pPr>
    <w:rPr>
      <w:rFonts w:ascii="??;SimSun" w:hAnsi="??;SimSun" w:cs="??;SimSun"/>
      <w:sz w:val="24"/>
      <w:lang w:val="zh-CN"/>
    </w:rPr>
  </w:style>
  <w:style w:type="paragraph" w:styleId="19">
    <w:name w:val="Block Text"/>
    <w:basedOn w:val="1"/>
    <w:locked/>
    <w:uiPriority w:val="0"/>
    <w:pPr>
      <w:ind w:left="1200" w:right="-72" w:hanging="30"/>
    </w:pPr>
    <w:rPr>
      <w:rFonts w:ascii="Arial" w:hAnsi="Arial" w:eastAsia="幼圆" w:cs="Arial"/>
      <w:sz w:val="22"/>
      <w:szCs w:val="20"/>
    </w:rPr>
  </w:style>
  <w:style w:type="paragraph" w:styleId="20">
    <w:name w:val="toc 3"/>
    <w:basedOn w:val="1"/>
    <w:next w:val="1"/>
    <w:qFormat/>
    <w:locked/>
    <w:uiPriority w:val="39"/>
    <w:pPr>
      <w:ind w:left="840" w:leftChars="400"/>
    </w:pPr>
    <w:rPr>
      <w:rFonts w:eastAsia="宋体"/>
      <w:szCs w:val="22"/>
    </w:rPr>
  </w:style>
  <w:style w:type="paragraph" w:styleId="21">
    <w:name w:val="Plain Text"/>
    <w:basedOn w:val="1"/>
    <w:link w:val="60"/>
    <w:qFormat/>
    <w:uiPriority w:val="0"/>
    <w:rPr>
      <w:rFonts w:ascii="??;SimSun" w:hAnsi="??;SimSun" w:cs="Courier New"/>
      <w:szCs w:val="21"/>
      <w:lang w:val="zh-CN"/>
    </w:rPr>
  </w:style>
  <w:style w:type="paragraph" w:styleId="22">
    <w:name w:val="Date"/>
    <w:basedOn w:val="1"/>
    <w:next w:val="1"/>
    <w:link w:val="61"/>
    <w:qFormat/>
    <w:locked/>
    <w:uiPriority w:val="0"/>
    <w:pPr>
      <w:ind w:left="2500" w:leftChars="2500"/>
    </w:pPr>
    <w:rPr>
      <w:rFonts w:ascii="Calibri" w:hAnsi="Calibri" w:eastAsia="楷体_GB2312" w:cs="Times New Roman"/>
      <w:sz w:val="32"/>
      <w:szCs w:val="22"/>
    </w:rPr>
  </w:style>
  <w:style w:type="paragraph" w:styleId="23">
    <w:name w:val="Balloon Text"/>
    <w:basedOn w:val="1"/>
    <w:link w:val="62"/>
    <w:qFormat/>
    <w:uiPriority w:val="0"/>
    <w:rPr>
      <w:sz w:val="18"/>
      <w:szCs w:val="18"/>
    </w:rPr>
  </w:style>
  <w:style w:type="paragraph" w:styleId="24">
    <w:name w:val="footer"/>
    <w:basedOn w:val="1"/>
    <w:link w:val="63"/>
    <w:qFormat/>
    <w:uiPriority w:val="0"/>
    <w:pPr>
      <w:tabs>
        <w:tab w:val="center" w:pos="4153"/>
        <w:tab w:val="right" w:pos="8306"/>
      </w:tabs>
      <w:snapToGrid w:val="0"/>
    </w:pPr>
    <w:rPr>
      <w:sz w:val="18"/>
      <w:szCs w:val="18"/>
      <w:lang w:val="zh-CN"/>
    </w:rPr>
  </w:style>
  <w:style w:type="paragraph" w:styleId="25">
    <w:name w:val="header"/>
    <w:basedOn w:val="1"/>
    <w:link w:val="64"/>
    <w:qFormat/>
    <w:uiPriority w:val="99"/>
    <w:pPr>
      <w:pBdr>
        <w:bottom w:val="single" w:color="000000"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Body Text 2"/>
    <w:basedOn w:val="1"/>
    <w:link w:val="65"/>
    <w:unhideWhenUsed/>
    <w:locked/>
    <w:uiPriority w:val="99"/>
    <w:pPr>
      <w:spacing w:after="120" w:line="480" w:lineRule="auto"/>
    </w:pPr>
    <w:rPr>
      <w:rFonts w:ascii="Calibri" w:hAnsi="Calibri" w:eastAsia="宋体" w:cs="Times New Roman"/>
      <w:szCs w:val="21"/>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9">
    <w:name w:val="index 1"/>
    <w:basedOn w:val="1"/>
    <w:next w:val="14"/>
    <w:semiHidden/>
    <w:locked/>
    <w:uiPriority w:val="0"/>
    <w:pPr>
      <w:spacing w:line="360" w:lineRule="auto"/>
    </w:pPr>
    <w:rPr>
      <w:rFonts w:ascii="Arial" w:hAnsi="Arial" w:eastAsia="宋体" w:cs="Times New Roman"/>
      <w:spacing w:val="-5"/>
      <w:kern w:val="0"/>
      <w:szCs w:val="20"/>
    </w:rPr>
  </w:style>
  <w:style w:type="paragraph" w:styleId="30">
    <w:name w:val="Title"/>
    <w:basedOn w:val="1"/>
    <w:next w:val="1"/>
    <w:link w:val="66"/>
    <w:qFormat/>
    <w:locked/>
    <w:uiPriority w:val="10"/>
    <w:pPr>
      <w:overflowPunct w:val="0"/>
      <w:autoSpaceDE w:val="0"/>
      <w:autoSpaceDN w:val="0"/>
      <w:adjustRightInd w:val="0"/>
      <w:jc w:val="center"/>
      <w:textAlignment w:val="baseline"/>
    </w:pPr>
    <w:rPr>
      <w:rFonts w:eastAsia="宋体"/>
      <w:b/>
      <w:sz w:val="24"/>
      <w:lang w:val="en-GB"/>
    </w:rPr>
  </w:style>
  <w:style w:type="paragraph" w:styleId="31">
    <w:name w:val="annotation subject"/>
    <w:basedOn w:val="17"/>
    <w:next w:val="17"/>
    <w:link w:val="67"/>
    <w:unhideWhenUsed/>
    <w:qFormat/>
    <w:locked/>
    <w:uiPriority w:val="0"/>
    <w:rPr>
      <w:b/>
      <w:bCs/>
    </w:rPr>
  </w:style>
  <w:style w:type="paragraph" w:styleId="32">
    <w:name w:val="Body Text First Indent"/>
    <w:basedOn w:val="6"/>
    <w:link w:val="68"/>
    <w:semiHidden/>
    <w:uiPriority w:val="99"/>
    <w:pPr>
      <w:autoSpaceDE/>
      <w:spacing w:after="120" w:line="240" w:lineRule="auto"/>
      <w:ind w:firstLine="420" w:firstLineChars="100"/>
    </w:pPr>
    <w:rPr>
      <w:rFonts w:ascii="Calibri" w:hAnsi="Calibri" w:cs="Times New Roman"/>
      <w:sz w:val="21"/>
      <w:szCs w:val="24"/>
      <w:lang w:val="en-US"/>
    </w:rPr>
  </w:style>
  <w:style w:type="paragraph" w:styleId="33">
    <w:name w:val="Body Text First Indent 2"/>
    <w:basedOn w:val="18"/>
    <w:link w:val="69"/>
    <w:uiPriority w:val="99"/>
    <w:pPr>
      <w:spacing w:afterLines="50" w:line="240" w:lineRule="auto"/>
      <w:ind w:left="420"/>
    </w:pPr>
    <w:rPr>
      <w:rFonts w:ascii="Times New Roman" w:hAnsi="Times New Roman" w:cs="Times New Roman"/>
      <w:sz w:val="21"/>
      <w:szCs w:val="21"/>
    </w:rPr>
  </w:style>
  <w:style w:type="table" w:styleId="35">
    <w:name w:val="Table Grid"/>
    <w:basedOn w:val="34"/>
    <w:qFormat/>
    <w:uiPriority w:val="39"/>
    <w:pPr>
      <w:widowControl w:val="0"/>
      <w:jc w:val="both"/>
    </w:pPr>
    <w:rPr>
      <w:rFonts w:ascii="Times New Roman" w:hAnsi="Times New Roman" w:eastAsia="宋体"/>
      <w:kern w:val="0"/>
      <w:sz w:val="20"/>
      <w:szCs w:val="20"/>
    </w:r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locked/>
    <w:uiPriority w:val="99"/>
    <w:rPr>
      <w:rFonts w:ascii="OpenSansRegular" w:hAnsi="OpenSansRegular" w:cs="OpenSansRegular"/>
      <w:b/>
    </w:rPr>
  </w:style>
  <w:style w:type="character" w:styleId="38">
    <w:name w:val="page number"/>
    <w:locked/>
    <w:uiPriority w:val="0"/>
  </w:style>
  <w:style w:type="character" w:styleId="39">
    <w:name w:val="FollowedHyperlink"/>
    <w:uiPriority w:val="0"/>
    <w:rPr>
      <w:rFonts w:cs="Times New Roman"/>
      <w:color w:val="800080"/>
      <w:u w:val="single"/>
    </w:rPr>
  </w:style>
  <w:style w:type="character" w:styleId="40">
    <w:name w:val="Hyperlink"/>
    <w:uiPriority w:val="99"/>
    <w:rPr>
      <w:rFonts w:cs="Times New Roman"/>
      <w:color w:val="0000FF"/>
      <w:u w:val="single"/>
    </w:rPr>
  </w:style>
  <w:style w:type="character" w:styleId="41">
    <w:name w:val="HTML Code"/>
    <w:semiHidden/>
    <w:uiPriority w:val="99"/>
    <w:rPr>
      <w:rFonts w:ascii="Consolas" w:hAnsi="Consolas" w:cs="Consolas"/>
      <w:color w:val="E83E8C"/>
      <w:sz w:val="21"/>
      <w:szCs w:val="21"/>
    </w:rPr>
  </w:style>
  <w:style w:type="character" w:styleId="42">
    <w:name w:val="annotation reference"/>
    <w:unhideWhenUsed/>
    <w:qFormat/>
    <w:locked/>
    <w:uiPriority w:val="99"/>
    <w:rPr>
      <w:sz w:val="21"/>
      <w:szCs w:val="21"/>
    </w:rPr>
  </w:style>
  <w:style w:type="character" w:styleId="43">
    <w:name w:val="HTML Keyboard"/>
    <w:semiHidden/>
    <w:uiPriority w:val="99"/>
    <w:rPr>
      <w:rFonts w:ascii="Consolas" w:hAnsi="Consolas" w:cs="Consolas"/>
      <w:color w:val="FFFFFF"/>
      <w:sz w:val="21"/>
      <w:szCs w:val="21"/>
      <w:shd w:val="clear" w:color="auto" w:fill="212529"/>
    </w:rPr>
  </w:style>
  <w:style w:type="character" w:styleId="44">
    <w:name w:val="HTML Sample"/>
    <w:semiHidden/>
    <w:uiPriority w:val="99"/>
    <w:rPr>
      <w:rFonts w:ascii="Consolas" w:hAnsi="Consolas" w:cs="Consolas"/>
      <w:sz w:val="21"/>
      <w:szCs w:val="21"/>
    </w:rPr>
  </w:style>
  <w:style w:type="character" w:customStyle="1" w:styleId="45">
    <w:name w:val="标题 1 Char1"/>
    <w:link w:val="2"/>
    <w:locked/>
    <w:uiPriority w:val="99"/>
    <w:rPr>
      <w:rFonts w:eastAsia="宋体" w:cs="Times New Roman"/>
      <w:b/>
      <w:kern w:val="44"/>
      <w:sz w:val="44"/>
    </w:rPr>
  </w:style>
  <w:style w:type="character" w:customStyle="1" w:styleId="46">
    <w:name w:val="标题 2 Char"/>
    <w:link w:val="3"/>
    <w:locked/>
    <w:uiPriority w:val="0"/>
    <w:rPr>
      <w:rFonts w:ascii="Cambria" w:hAnsi="Cambria" w:eastAsia="宋体" w:cs="Times New Roman"/>
      <w:b/>
      <w:bCs/>
      <w:kern w:val="2"/>
      <w:sz w:val="32"/>
      <w:szCs w:val="32"/>
    </w:rPr>
  </w:style>
  <w:style w:type="character" w:customStyle="1" w:styleId="47">
    <w:name w:val="标题 3 Char"/>
    <w:link w:val="4"/>
    <w:locked/>
    <w:uiPriority w:val="99"/>
    <w:rPr>
      <w:rFonts w:eastAsia="Times New Roman" w:cs="Times New Roman"/>
      <w:b/>
      <w:bCs/>
      <w:kern w:val="2"/>
      <w:sz w:val="32"/>
      <w:szCs w:val="32"/>
    </w:rPr>
  </w:style>
  <w:style w:type="character" w:customStyle="1" w:styleId="48">
    <w:name w:val="标题 4 Char"/>
    <w:link w:val="5"/>
    <w:uiPriority w:val="0"/>
    <w:rPr>
      <w:rFonts w:ascii="Calibri" w:hAnsi="Calibri" w:eastAsia="黑体" w:cs="Times New Roman"/>
      <w:b/>
      <w:bCs/>
      <w:sz w:val="30"/>
      <w:szCs w:val="30"/>
    </w:rPr>
  </w:style>
  <w:style w:type="character" w:customStyle="1" w:styleId="49">
    <w:name w:val="正文文本 Char"/>
    <w:link w:val="6"/>
    <w:locked/>
    <w:uiPriority w:val="0"/>
    <w:rPr>
      <w:rFonts w:eastAsia="Times New Roman" w:cs="Times New Roman"/>
      <w:sz w:val="24"/>
      <w:szCs w:val="24"/>
    </w:rPr>
  </w:style>
  <w:style w:type="character" w:customStyle="1" w:styleId="50">
    <w:name w:val="标题 5 Char"/>
    <w:link w:val="8"/>
    <w:uiPriority w:val="0"/>
    <w:rPr>
      <w:rFonts w:ascii="Calibri" w:hAnsi="Calibri" w:eastAsia="黑体" w:cs="Times New Roman"/>
      <w:b/>
      <w:bCs/>
      <w:sz w:val="28"/>
      <w:szCs w:val="28"/>
    </w:rPr>
  </w:style>
  <w:style w:type="character" w:customStyle="1" w:styleId="51">
    <w:name w:val="标题 6 Char"/>
    <w:link w:val="9"/>
    <w:uiPriority w:val="0"/>
    <w:rPr>
      <w:rFonts w:ascii="Calibri" w:hAnsi="Calibri" w:eastAsia="黑体" w:cs="Times New Roman"/>
      <w:b/>
      <w:bCs/>
      <w:szCs w:val="21"/>
    </w:rPr>
  </w:style>
  <w:style w:type="character" w:customStyle="1" w:styleId="52">
    <w:name w:val="标题 7 Char"/>
    <w:link w:val="10"/>
    <w:uiPriority w:val="0"/>
    <w:rPr>
      <w:rFonts w:ascii="Calibri" w:hAnsi="Calibri" w:eastAsia="宋体" w:cs="Times New Roman"/>
      <w:szCs w:val="21"/>
    </w:rPr>
  </w:style>
  <w:style w:type="character" w:customStyle="1" w:styleId="53">
    <w:name w:val="标题 8 Char"/>
    <w:link w:val="11"/>
    <w:uiPriority w:val="0"/>
    <w:rPr>
      <w:rFonts w:ascii="Calibri" w:hAnsi="Calibri" w:eastAsia="宋体" w:cs="Times New Roman"/>
      <w:szCs w:val="21"/>
    </w:rPr>
  </w:style>
  <w:style w:type="character" w:customStyle="1" w:styleId="54">
    <w:name w:val="标题 9 Char"/>
    <w:link w:val="12"/>
    <w:uiPriority w:val="0"/>
    <w:rPr>
      <w:rFonts w:ascii="Calibri" w:hAnsi="Calibri" w:eastAsia="宋体" w:cs="Times New Roman"/>
      <w:szCs w:val="21"/>
    </w:rPr>
  </w:style>
  <w:style w:type="character" w:customStyle="1" w:styleId="55">
    <w:name w:val="正文缩进 Char"/>
    <w:link w:val="14"/>
    <w:qFormat/>
    <w:locked/>
    <w:uiPriority w:val="0"/>
    <w:rPr>
      <w:rFonts w:ascii="宋体" w:eastAsia="宋体"/>
      <w:snapToGrid w:val="0"/>
      <w:color w:val="000000"/>
      <w:kern w:val="28"/>
      <w:sz w:val="28"/>
    </w:rPr>
  </w:style>
  <w:style w:type="character" w:customStyle="1" w:styleId="56">
    <w:name w:val="题注 Char"/>
    <w:link w:val="15"/>
    <w:qFormat/>
    <w:uiPriority w:val="0"/>
    <w:rPr>
      <w:rFonts w:ascii="Arial" w:hAnsi="Arial" w:eastAsia="黑体;SimHei" w:cs="Arial"/>
      <w:sz w:val="20"/>
      <w:szCs w:val="20"/>
      <w:lang w:val="zh-CN"/>
    </w:rPr>
  </w:style>
  <w:style w:type="character" w:customStyle="1" w:styleId="57">
    <w:name w:val="文档结构图 Char"/>
    <w:link w:val="16"/>
    <w:semiHidden/>
    <w:uiPriority w:val="0"/>
    <w:rPr>
      <w:rFonts w:ascii="Calibri" w:hAnsi="Calibri" w:eastAsia="宋体" w:cs="Times New Roman"/>
      <w:szCs w:val="21"/>
      <w:shd w:val="clear" w:color="auto" w:fill="000080"/>
    </w:rPr>
  </w:style>
  <w:style w:type="character" w:customStyle="1" w:styleId="58">
    <w:name w:val="批注文字 Char"/>
    <w:link w:val="17"/>
    <w:qFormat/>
    <w:uiPriority w:val="99"/>
    <w:rPr>
      <w:rFonts w:ascii="Calibri" w:hAnsi="Calibri" w:eastAsia="宋体" w:cs="Times New Roman"/>
      <w:szCs w:val="21"/>
    </w:rPr>
  </w:style>
  <w:style w:type="character" w:customStyle="1" w:styleId="59">
    <w:name w:val="正文文本缩进 Char"/>
    <w:link w:val="18"/>
    <w:qFormat/>
    <w:locked/>
    <w:uiPriority w:val="0"/>
    <w:rPr>
      <w:rFonts w:eastAsia="Times New Roman" w:cs="Times New Roman"/>
      <w:sz w:val="24"/>
      <w:szCs w:val="24"/>
    </w:rPr>
  </w:style>
  <w:style w:type="character" w:customStyle="1" w:styleId="60">
    <w:name w:val="纯文本 Char"/>
    <w:link w:val="21"/>
    <w:locked/>
    <w:uiPriority w:val="0"/>
    <w:rPr>
      <w:rFonts w:ascii="宋体" w:hAnsi="Courier New" w:eastAsia="宋体" w:cs="Times New Roman"/>
      <w:sz w:val="21"/>
      <w:szCs w:val="21"/>
    </w:rPr>
  </w:style>
  <w:style w:type="character" w:customStyle="1" w:styleId="61">
    <w:name w:val="日期 Char"/>
    <w:link w:val="22"/>
    <w:qFormat/>
    <w:uiPriority w:val="0"/>
    <w:rPr>
      <w:rFonts w:ascii="Calibri" w:hAnsi="Calibri" w:eastAsia="楷体_GB2312" w:cs="Times New Roman"/>
      <w:sz w:val="32"/>
    </w:rPr>
  </w:style>
  <w:style w:type="character" w:customStyle="1" w:styleId="62">
    <w:name w:val="批注框文本 Char"/>
    <w:link w:val="23"/>
    <w:qFormat/>
    <w:locked/>
    <w:uiPriority w:val="0"/>
    <w:rPr>
      <w:rFonts w:eastAsia="Times New Roman" w:cs="Times New Roman"/>
      <w:sz w:val="2"/>
    </w:rPr>
  </w:style>
  <w:style w:type="character" w:customStyle="1" w:styleId="63">
    <w:name w:val="页脚 Char"/>
    <w:link w:val="24"/>
    <w:qFormat/>
    <w:locked/>
    <w:uiPriority w:val="0"/>
    <w:rPr>
      <w:rFonts w:eastAsia="Times New Roman" w:cs="Times New Roman"/>
      <w:sz w:val="18"/>
      <w:szCs w:val="18"/>
    </w:rPr>
  </w:style>
  <w:style w:type="character" w:customStyle="1" w:styleId="64">
    <w:name w:val="页眉 Char"/>
    <w:link w:val="25"/>
    <w:qFormat/>
    <w:locked/>
    <w:uiPriority w:val="99"/>
    <w:rPr>
      <w:rFonts w:eastAsia="Times New Roman" w:cs="Times New Roman"/>
      <w:sz w:val="18"/>
      <w:szCs w:val="18"/>
    </w:rPr>
  </w:style>
  <w:style w:type="character" w:customStyle="1" w:styleId="65">
    <w:name w:val="正文文本 2 Char"/>
    <w:link w:val="27"/>
    <w:semiHidden/>
    <w:uiPriority w:val="99"/>
    <w:rPr>
      <w:rFonts w:ascii="Calibri" w:hAnsi="Calibri" w:eastAsia="宋体" w:cs="Times New Roman"/>
      <w:szCs w:val="21"/>
    </w:rPr>
  </w:style>
  <w:style w:type="character" w:customStyle="1" w:styleId="66">
    <w:name w:val="标题 Char"/>
    <w:link w:val="30"/>
    <w:locked/>
    <w:uiPriority w:val="10"/>
    <w:rPr>
      <w:rFonts w:eastAsia="宋体" w:cs="Times New Roman"/>
      <w:b/>
      <w:kern w:val="2"/>
      <w:sz w:val="24"/>
      <w:szCs w:val="24"/>
      <w:lang w:val="en-GB"/>
    </w:rPr>
  </w:style>
  <w:style w:type="character" w:customStyle="1" w:styleId="67">
    <w:name w:val="批注主题 Char"/>
    <w:link w:val="31"/>
    <w:qFormat/>
    <w:uiPriority w:val="0"/>
    <w:rPr>
      <w:b/>
      <w:bCs/>
    </w:rPr>
  </w:style>
  <w:style w:type="character" w:customStyle="1" w:styleId="68">
    <w:name w:val="正文首行缩进 Char"/>
    <w:link w:val="32"/>
    <w:semiHidden/>
    <w:locked/>
    <w:uiPriority w:val="99"/>
    <w:rPr>
      <w:kern w:val="2"/>
    </w:rPr>
  </w:style>
  <w:style w:type="character" w:customStyle="1" w:styleId="69">
    <w:name w:val="正文首行缩进 2 Char"/>
    <w:link w:val="33"/>
    <w:semiHidden/>
    <w:locked/>
    <w:uiPriority w:val="99"/>
  </w:style>
  <w:style w:type="character" w:customStyle="1" w:styleId="70">
    <w:name w:val="Internet 链接"/>
    <w:uiPriority w:val="99"/>
    <w:rPr>
      <w:rFonts w:ascii="Arial" w:hAnsi="Arial" w:eastAsia="黑体;SimHei"/>
      <w:color w:val="000000"/>
      <w:kern w:val="0"/>
      <w:sz w:val="18"/>
      <w:u w:val="none"/>
    </w:rPr>
  </w:style>
  <w:style w:type="character" w:customStyle="1" w:styleId="71">
    <w:name w:val="标题 1 Char Char"/>
    <w:uiPriority w:val="99"/>
    <w:rPr>
      <w:rFonts w:eastAsia="Times New Roman"/>
      <w:b/>
      <w:spacing w:val="-2"/>
      <w:sz w:val="24"/>
      <w:lang w:val="en-US" w:eastAsia="zh-CN"/>
    </w:rPr>
  </w:style>
  <w:style w:type="paragraph" w:customStyle="1" w:styleId="72">
    <w:name w:val="标题样式"/>
    <w:basedOn w:val="1"/>
    <w:next w:val="1"/>
    <w:uiPriority w:val="99"/>
    <w:pPr>
      <w:overflowPunct w:val="0"/>
      <w:autoSpaceDE w:val="0"/>
      <w:jc w:val="center"/>
      <w:textAlignment w:val="baseline"/>
    </w:pPr>
    <w:rPr>
      <w:b/>
      <w:sz w:val="24"/>
      <w:lang w:val="en-GB"/>
    </w:rPr>
  </w:style>
  <w:style w:type="paragraph" w:customStyle="1" w:styleId="73">
    <w:name w:val="正文2"/>
    <w:link w:val="74"/>
    <w:uiPriority w:val="0"/>
    <w:pPr>
      <w:widowControl w:val="0"/>
      <w:spacing w:beforeLines="65" w:line="360" w:lineRule="auto"/>
      <w:ind w:firstLine="510"/>
      <w:jc w:val="both"/>
    </w:pPr>
    <w:rPr>
      <w:kern w:val="2"/>
      <w:sz w:val="22"/>
      <w:szCs w:val="22"/>
      <w:lang w:val="en-US" w:eastAsia="zh-CN" w:bidi="ar-SA"/>
    </w:rPr>
  </w:style>
  <w:style w:type="character" w:customStyle="1" w:styleId="74">
    <w:name w:val="正文2 Char Char"/>
    <w:link w:val="73"/>
    <w:locked/>
    <w:uiPriority w:val="99"/>
    <w:rPr>
      <w:rFonts w:eastAsia="Times New Roman"/>
      <w:kern w:val="2"/>
      <w:sz w:val="22"/>
    </w:rPr>
  </w:style>
  <w:style w:type="paragraph" w:customStyle="1" w:styleId="75">
    <w:name w:val="纯文本_0_0"/>
    <w:uiPriority w:val="99"/>
    <w:pPr>
      <w:widowControl w:val="0"/>
      <w:jc w:val="both"/>
    </w:pPr>
    <w:rPr>
      <w:rFonts w:ascii="??;SimSun" w:hAnsi="??;SimSun" w:cs="Courier New"/>
      <w:kern w:val="2"/>
      <w:sz w:val="21"/>
      <w:szCs w:val="21"/>
      <w:lang w:val="en-US" w:eastAsia="zh-CN" w:bidi="ar-SA"/>
    </w:rPr>
  </w:style>
  <w:style w:type="paragraph" w:customStyle="1" w:styleId="76">
    <w:name w:val="章正文"/>
    <w:uiPriority w:val="99"/>
    <w:pPr>
      <w:widowControl w:val="0"/>
      <w:spacing w:beforeLines="65" w:afterLines="50" w:line="300" w:lineRule="auto"/>
      <w:ind w:firstLine="480"/>
      <w:jc w:val="both"/>
    </w:pPr>
    <w:rPr>
      <w:rFonts w:ascii="Helvetica" w:hAnsi="Helvetica" w:cs="Calibri"/>
      <w:sz w:val="24"/>
      <w:szCs w:val="24"/>
      <w:lang w:val="en-US" w:eastAsia="zh-CN" w:bidi="ar-SA"/>
    </w:rPr>
  </w:style>
  <w:style w:type="paragraph" w:customStyle="1" w:styleId="77">
    <w:name w:val="af17cgridlangnp1033langf"/>
    <w:uiPriority w:val="99"/>
    <w:pPr>
      <w:widowControl w:val="0"/>
      <w:autoSpaceDE w:val="0"/>
      <w:spacing w:beforeLines="65" w:line="360" w:lineRule="atLeast"/>
      <w:ind w:left="567" w:firstLine="510"/>
      <w:jc w:val="both"/>
    </w:pPr>
    <w:rPr>
      <w:lang w:val="en-US" w:eastAsia="zh-CN" w:bidi="ar-SA"/>
    </w:rPr>
  </w:style>
  <w:style w:type="paragraph" w:customStyle="1" w:styleId="78">
    <w:name w:val="1册标题1"/>
    <w:basedOn w:val="1"/>
    <w:next w:val="1"/>
    <w:uiPriority w:val="99"/>
    <w:pPr>
      <w:spacing w:beforeLines="65" w:afterLines="65" w:line="300" w:lineRule="auto"/>
      <w:jc w:val="center"/>
      <w:outlineLvl w:val="0"/>
    </w:pPr>
    <w:rPr>
      <w:rFonts w:ascii="Arial" w:hAnsi="Arial" w:eastAsia="黑体;SimHei" w:cs="Arial"/>
      <w:b/>
      <w:bCs/>
      <w:sz w:val="48"/>
      <w:szCs w:val="20"/>
    </w:rPr>
  </w:style>
  <w:style w:type="character" w:customStyle="1" w:styleId="79">
    <w:name w:val="标题 1 Char"/>
    <w:locked/>
    <w:uiPriority w:val="0"/>
    <w:rPr>
      <w:rFonts w:eastAsia="Times New Roman" w:cs="Times New Roman"/>
      <w:b/>
      <w:bCs/>
      <w:kern w:val="44"/>
      <w:sz w:val="44"/>
      <w:szCs w:val="44"/>
    </w:rPr>
  </w:style>
  <w:style w:type="paragraph" w:customStyle="1" w:styleId="80">
    <w:name w:val="表格文字"/>
    <w:basedOn w:val="1"/>
    <w:next w:val="6"/>
    <w:uiPriority w:val="99"/>
    <w:rPr>
      <w:rFonts w:ascii="Times New Roman" w:hAnsi="Times New Roman" w:eastAsia="宋体"/>
    </w:rPr>
  </w:style>
  <w:style w:type="paragraph" w:customStyle="1" w:styleId="81">
    <w:name w:val="样式5"/>
    <w:basedOn w:val="1"/>
    <w:uiPriority w:val="99"/>
    <w:pPr>
      <w:spacing w:before="30" w:after="30"/>
    </w:pPr>
    <w:rPr>
      <w:rFonts w:ascii="黑体" w:hAnsi="宋体" w:eastAsia="黑体"/>
      <w:sz w:val="24"/>
      <w:szCs w:val="20"/>
    </w:rPr>
  </w:style>
  <w:style w:type="paragraph" w:customStyle="1" w:styleId="82">
    <w:name w:val="List Paragraph"/>
    <w:basedOn w:val="1"/>
    <w:link w:val="83"/>
    <w:qFormat/>
    <w:uiPriority w:val="34"/>
    <w:pPr>
      <w:ind w:firstLine="420" w:firstLineChars="200"/>
    </w:pPr>
    <w:rPr>
      <w:rFonts w:eastAsia="宋体"/>
      <w:szCs w:val="22"/>
    </w:rPr>
  </w:style>
  <w:style w:type="character" w:customStyle="1" w:styleId="83">
    <w:name w:val="列出段落 Char"/>
    <w:link w:val="82"/>
    <w:qFormat/>
    <w:uiPriority w:val="34"/>
    <w:rPr>
      <w:rFonts w:eastAsia="宋体"/>
    </w:rPr>
  </w:style>
  <w:style w:type="paragraph" w:customStyle="1" w:styleId="84">
    <w:name w:val="BG（ZWQ)"/>
    <w:basedOn w:val="1"/>
    <w:link w:val="85"/>
    <w:uiPriority w:val="99"/>
    <w:pPr>
      <w:spacing w:line="360" w:lineRule="auto"/>
    </w:pPr>
    <w:rPr>
      <w:rFonts w:ascii="Times New Roman" w:hAnsi="Times New Roman" w:eastAsia="宋体"/>
      <w:szCs w:val="22"/>
      <w:lang w:val="zh-CN"/>
    </w:rPr>
  </w:style>
  <w:style w:type="character" w:customStyle="1" w:styleId="85">
    <w:name w:val="BG（ZWQ) 字符"/>
    <w:link w:val="84"/>
    <w:locked/>
    <w:uiPriority w:val="99"/>
    <w:rPr>
      <w:rFonts w:ascii="Times New Roman" w:hAnsi="Times New Roman" w:eastAsia="宋体" w:cs="Times New Roman"/>
      <w:kern w:val="2"/>
      <w:sz w:val="22"/>
      <w:szCs w:val="22"/>
      <w:lang w:val="zh-CN"/>
    </w:rPr>
  </w:style>
  <w:style w:type="paragraph" w:customStyle="1" w:styleId="86">
    <w:name w:val="WPSOffice手动目录 1"/>
    <w:uiPriority w:val="99"/>
    <w:rPr>
      <w:rFonts w:ascii="Times New Roman" w:hAnsi="Times New Roman" w:eastAsia="宋体"/>
      <w:lang w:val="en-US" w:eastAsia="zh-CN" w:bidi="ar-SA"/>
    </w:rPr>
  </w:style>
  <w:style w:type="paragraph" w:customStyle="1" w:styleId="87">
    <w:name w:val="WPSOffice手动目录 2"/>
    <w:uiPriority w:val="99"/>
    <w:pPr>
      <w:ind w:left="200" w:leftChars="200"/>
    </w:pPr>
    <w:rPr>
      <w:rFonts w:ascii="Times New Roman" w:hAnsi="Times New Roman" w:eastAsia="宋体"/>
      <w:lang w:val="en-US" w:eastAsia="zh-CN" w:bidi="ar-SA"/>
    </w:rPr>
  </w:style>
  <w:style w:type="paragraph" w:customStyle="1" w:styleId="88">
    <w:name w:val="WPSOffice手动目录 3"/>
    <w:uiPriority w:val="99"/>
    <w:pPr>
      <w:ind w:left="400" w:leftChars="400"/>
    </w:pPr>
    <w:rPr>
      <w:rFonts w:ascii="Times New Roman" w:hAnsi="Times New Roman" w:eastAsia="宋体"/>
      <w:lang w:val="en-US" w:eastAsia="zh-CN" w:bidi="ar-SA"/>
    </w:rPr>
  </w:style>
  <w:style w:type="paragraph" w:customStyle="1" w:styleId="89">
    <w:name w:val="No Spacing"/>
    <w:link w:val="90"/>
    <w:qFormat/>
    <w:uiPriority w:val="1"/>
    <w:rPr>
      <w:rFonts w:eastAsia="宋体"/>
      <w:sz w:val="22"/>
      <w:szCs w:val="22"/>
      <w:lang w:val="en-US" w:eastAsia="zh-CN" w:bidi="ar-SA"/>
    </w:rPr>
  </w:style>
  <w:style w:type="character" w:customStyle="1" w:styleId="90">
    <w:name w:val="无间隔 Char"/>
    <w:link w:val="89"/>
    <w:locked/>
    <w:uiPriority w:val="99"/>
    <w:rPr>
      <w:rFonts w:eastAsia="宋体" w:cs="Times New Roman"/>
      <w:sz w:val="22"/>
      <w:szCs w:val="22"/>
      <w:lang w:val="en-US" w:eastAsia="zh-CN" w:bidi="ar-SA"/>
    </w:rPr>
  </w:style>
  <w:style w:type="character" w:customStyle="1" w:styleId="91">
    <w:name w:val="未处理的提及1"/>
    <w:semiHidden/>
    <w:uiPriority w:val="99"/>
    <w:rPr>
      <w:rFonts w:cs="Times New Roman"/>
      <w:color w:val="605E5C"/>
      <w:shd w:val="clear" w:color="auto" w:fill="E1DFDD"/>
    </w:rPr>
  </w:style>
  <w:style w:type="character" w:customStyle="1" w:styleId="92">
    <w:name w:val="hover"/>
    <w:uiPriority w:val="99"/>
    <w:rPr>
      <w:rFonts w:cs="Times New Roman"/>
      <w:color w:val="CDCDCD"/>
      <w:bdr w:val="single" w:color="CDCDCD" w:sz="6" w:space="0"/>
    </w:rPr>
  </w:style>
  <w:style w:type="character" w:customStyle="1" w:styleId="93">
    <w:name w:val="hover1"/>
    <w:uiPriority w:val="99"/>
    <w:rPr>
      <w:rFonts w:cs="Times New Roman"/>
      <w:color w:val="CF261C"/>
    </w:rPr>
  </w:style>
  <w:style w:type="character" w:customStyle="1" w:styleId="94">
    <w:name w:val="hover2"/>
    <w:uiPriority w:val="99"/>
    <w:rPr>
      <w:rFonts w:cs="Times New Roman"/>
      <w:color w:val="D7150E"/>
    </w:rPr>
  </w:style>
  <w:style w:type="character" w:customStyle="1" w:styleId="95">
    <w:name w:val="nth-child(4)"/>
    <w:uiPriority w:val="99"/>
    <w:rPr>
      <w:rFonts w:cs="Times New Roman"/>
    </w:rPr>
  </w:style>
  <w:style w:type="character" w:customStyle="1" w:styleId="96">
    <w:name w:val="cha"/>
    <w:uiPriority w:val="99"/>
    <w:rPr>
      <w:rFonts w:cs="Times New Roman"/>
    </w:rPr>
  </w:style>
  <w:style w:type="character" w:customStyle="1" w:styleId="97">
    <w:name w:val="after"/>
    <w:uiPriority w:val="99"/>
    <w:rPr>
      <w:rFonts w:cs="Times New Roman"/>
    </w:rPr>
  </w:style>
  <w:style w:type="character" w:customStyle="1" w:styleId="98">
    <w:name w:val="arrow-down"/>
    <w:uiPriority w:val="99"/>
    <w:rPr>
      <w:rFonts w:cs="Times New Roman"/>
      <w:bdr w:val="single" w:color="999999" w:sz="6" w:space="0"/>
    </w:rPr>
  </w:style>
  <w:style w:type="character" w:customStyle="1" w:styleId="99">
    <w:name w:val="full-arrow-up"/>
    <w:uiPriority w:val="99"/>
    <w:rPr>
      <w:rFonts w:cs="Times New Roman"/>
    </w:rPr>
  </w:style>
  <w:style w:type="character" w:customStyle="1" w:styleId="100">
    <w:name w:val="plyr__tooltip6"/>
    <w:uiPriority w:val="99"/>
    <w:rPr>
      <w:rFonts w:cs="Times New Roman"/>
      <w:color w:val="FFFFFF"/>
    </w:rPr>
  </w:style>
  <w:style w:type="character" w:customStyle="1" w:styleId="101">
    <w:name w:val="plyr__tooltip7"/>
    <w:uiPriority w:val="99"/>
    <w:rPr>
      <w:rFonts w:cs="Times New Roman"/>
      <w:color w:val="FFFFFF"/>
    </w:rPr>
  </w:style>
  <w:style w:type="character" w:customStyle="1" w:styleId="102">
    <w:name w:val="clear"/>
    <w:uiPriority w:val="99"/>
    <w:rPr>
      <w:rFonts w:cs="Times New Roman"/>
      <w:color w:val="333333"/>
      <w:sz w:val="31"/>
      <w:szCs w:val="31"/>
    </w:rPr>
  </w:style>
  <w:style w:type="character" w:customStyle="1" w:styleId="103">
    <w:name w:val="empty"/>
    <w:uiPriority w:val="99"/>
    <w:rPr>
      <w:rFonts w:cs="Times New Roman"/>
      <w:vanish/>
    </w:rPr>
  </w:style>
  <w:style w:type="character" w:customStyle="1" w:styleId="104">
    <w:name w:val="font"/>
    <w:uiPriority w:val="99"/>
    <w:rPr>
      <w:rFonts w:cs="Times New Roman"/>
      <w:sz w:val="24"/>
      <w:szCs w:val="24"/>
    </w:rPr>
  </w:style>
  <w:style w:type="character" w:customStyle="1" w:styleId="105">
    <w:name w:val="full-arrow-down"/>
    <w:uiPriority w:val="99"/>
    <w:rPr>
      <w:rFonts w:cs="Times New Roman"/>
    </w:rPr>
  </w:style>
  <w:style w:type="character" w:customStyle="1" w:styleId="106">
    <w:name w:val="check-mark"/>
    <w:uiPriority w:val="99"/>
    <w:rPr>
      <w:rFonts w:cs="Times New Roman"/>
      <w:vanish/>
    </w:rPr>
  </w:style>
  <w:style w:type="character" w:customStyle="1" w:styleId="107">
    <w:name w:val="text"/>
    <w:qFormat/>
    <w:uiPriority w:val="99"/>
    <w:rPr>
      <w:rFonts w:cs="Times New Roman"/>
    </w:rPr>
  </w:style>
  <w:style w:type="character" w:customStyle="1" w:styleId="108">
    <w:name w:val="text1"/>
    <w:uiPriority w:val="99"/>
    <w:rPr>
      <w:rFonts w:cs="Times New Roman"/>
    </w:rPr>
  </w:style>
  <w:style w:type="character" w:customStyle="1" w:styleId="109">
    <w:name w:val="text2"/>
    <w:uiPriority w:val="99"/>
    <w:rPr>
      <w:rFonts w:cs="Times New Roman"/>
    </w:rPr>
  </w:style>
  <w:style w:type="character" w:customStyle="1" w:styleId="110">
    <w:name w:val="file-size"/>
    <w:uiPriority w:val="99"/>
    <w:rPr>
      <w:rFonts w:cs="Times New Roman"/>
    </w:rPr>
  </w:style>
  <w:style w:type="character" w:customStyle="1" w:styleId="111">
    <w:name w:val="nth-child(3)"/>
    <w:uiPriority w:val="99"/>
    <w:rPr>
      <w:rFonts w:cs="Times New Roman"/>
    </w:rPr>
  </w:style>
  <w:style w:type="character" w:customStyle="1" w:styleId="112">
    <w:name w:val="nth-child(1)"/>
    <w:uiPriority w:val="99"/>
    <w:rPr>
      <w:rFonts w:cs="Times New Roman"/>
    </w:rPr>
  </w:style>
  <w:style w:type="character" w:customStyle="1" w:styleId="113">
    <w:name w:val="nth-child(2)"/>
    <w:uiPriority w:val="99"/>
    <w:rPr>
      <w:rFonts w:cs="Times New Roman"/>
    </w:rPr>
  </w:style>
  <w:style w:type="character" w:customStyle="1" w:styleId="114">
    <w:name w:val="arrow-up"/>
    <w:uiPriority w:val="99"/>
    <w:rPr>
      <w:rFonts w:cs="Times New Roman"/>
      <w:bdr w:val="single" w:color="999999" w:sz="6" w:space="0"/>
    </w:rPr>
  </w:style>
  <w:style w:type="character" w:customStyle="1" w:styleId="115">
    <w:name w:val="prod_name-content1"/>
    <w:uiPriority w:val="99"/>
    <w:rPr>
      <w:rFonts w:cs="Times New Roman"/>
    </w:rPr>
  </w:style>
  <w:style w:type="character" w:customStyle="1" w:styleId="116">
    <w:name w:val="hover45"/>
    <w:uiPriority w:val="99"/>
    <w:rPr>
      <w:rFonts w:cs="Times New Roman"/>
      <w:color w:val="CDCDCD"/>
      <w:bdr w:val="single" w:color="CDCDCD" w:sz="6" w:space="0"/>
    </w:rPr>
  </w:style>
  <w:style w:type="character" w:customStyle="1" w:styleId="117">
    <w:name w:val="hover46"/>
    <w:uiPriority w:val="99"/>
    <w:rPr>
      <w:rFonts w:cs="Times New Roman"/>
      <w:color w:val="D7150E"/>
    </w:rPr>
  </w:style>
  <w:style w:type="character" w:customStyle="1" w:styleId="118">
    <w:name w:val="hover47"/>
    <w:uiPriority w:val="99"/>
    <w:rPr>
      <w:rFonts w:cs="Times New Roman"/>
      <w:color w:val="CF261C"/>
    </w:rPr>
  </w:style>
  <w:style w:type="character" w:customStyle="1" w:styleId="119">
    <w:name w:val="font21"/>
    <w:uiPriority w:val="99"/>
    <w:rPr>
      <w:rFonts w:ascii="宋体" w:hAnsi="宋体" w:eastAsia="宋体" w:cs="宋体"/>
      <w:color w:val="000000"/>
      <w:sz w:val="16"/>
      <w:szCs w:val="16"/>
      <w:u w:val="none"/>
    </w:rPr>
  </w:style>
  <w:style w:type="character" w:customStyle="1" w:styleId="120">
    <w:name w:val="font01"/>
    <w:uiPriority w:val="99"/>
    <w:rPr>
      <w:rFonts w:ascii="等线" w:hAnsi="等线" w:eastAsia="等线" w:cs="等线"/>
      <w:color w:val="000000"/>
      <w:sz w:val="16"/>
      <w:szCs w:val="16"/>
      <w:u w:val="single"/>
    </w:rPr>
  </w:style>
  <w:style w:type="character" w:customStyle="1" w:styleId="121">
    <w:name w:val="font11"/>
    <w:uiPriority w:val="99"/>
    <w:rPr>
      <w:rFonts w:ascii="宋体" w:hAnsi="宋体" w:eastAsia="宋体" w:cs="宋体"/>
      <w:color w:val="000000"/>
      <w:sz w:val="16"/>
      <w:szCs w:val="16"/>
      <w:u w:val="single"/>
    </w:rPr>
  </w:style>
  <w:style w:type="paragraph" w:customStyle="1" w:styleId="122">
    <w:name w:val="TOC Heading1"/>
    <w:basedOn w:val="2"/>
    <w:next w:val="1"/>
    <w:uiPriority w:val="99"/>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123">
    <w:name w:val="正文 New New New New"/>
    <w:uiPriority w:val="99"/>
    <w:pPr>
      <w:widowControl w:val="0"/>
      <w:jc w:val="both"/>
    </w:pPr>
    <w:rPr>
      <w:rFonts w:ascii="Times New Roman" w:hAnsi="Times New Roman" w:eastAsia="宋体"/>
      <w:sz w:val="21"/>
      <w:szCs w:val="24"/>
      <w:lang w:val="en-US" w:eastAsia="zh-CN" w:bidi="ar-SA"/>
    </w:rPr>
  </w:style>
  <w:style w:type="paragraph" w:customStyle="1" w:styleId="124">
    <w:name w:val="列出段落1"/>
    <w:basedOn w:val="1"/>
    <w:qFormat/>
    <w:uiPriority w:val="0"/>
    <w:pPr>
      <w:adjustRightInd w:val="0"/>
      <w:ind w:firstLine="420" w:firstLineChars="200"/>
    </w:pPr>
    <w:rPr>
      <w:rFonts w:eastAsia="宋体"/>
      <w:szCs w:val="22"/>
    </w:rPr>
  </w:style>
  <w:style w:type="paragraph" w:customStyle="1" w:styleId="125">
    <w:name w:val="*正文"/>
    <w:basedOn w:val="1"/>
    <w:link w:val="126"/>
    <w:uiPriority w:val="99"/>
    <w:pPr>
      <w:spacing w:line="360" w:lineRule="auto"/>
      <w:ind w:firstLine="200" w:firstLineChars="200"/>
    </w:pPr>
    <w:rPr>
      <w:rFonts w:eastAsia="宋体"/>
      <w:sz w:val="24"/>
      <w:szCs w:val="20"/>
    </w:rPr>
  </w:style>
  <w:style w:type="character" w:customStyle="1" w:styleId="126">
    <w:name w:val="*正文 Char"/>
    <w:link w:val="125"/>
    <w:locked/>
    <w:uiPriority w:val="99"/>
    <w:rPr>
      <w:rFonts w:eastAsia="宋体"/>
      <w:kern w:val="2"/>
      <w:sz w:val="24"/>
    </w:rPr>
  </w:style>
  <w:style w:type="paragraph" w:customStyle="1" w:styleId="127">
    <w:name w:val="_Style 3"/>
    <w:basedOn w:val="1"/>
    <w:qFormat/>
    <w:uiPriority w:val="1"/>
    <w:pPr>
      <w:ind w:firstLine="420" w:firstLineChars="200"/>
    </w:pPr>
    <w:rPr>
      <w:rFonts w:ascii="Times New Roman" w:hAnsi="Times New Roman" w:eastAsia="宋体"/>
    </w:rPr>
  </w:style>
  <w:style w:type="character" w:customStyle="1" w:styleId="128">
    <w:name w:val="ant-form-item-children1"/>
    <w:uiPriority w:val="0"/>
  </w:style>
  <w:style w:type="paragraph" w:customStyle="1" w:styleId="129">
    <w:name w:val="说明"/>
    <w:basedOn w:val="1"/>
    <w:uiPriority w:val="0"/>
    <w:pPr>
      <w:spacing w:before="60" w:after="60" w:line="360" w:lineRule="auto"/>
    </w:pPr>
    <w:rPr>
      <w:rFonts w:ascii="Calibri" w:hAnsi="Calibri" w:eastAsia="楷体_GB2312" w:cs="Times New Roman"/>
      <w:szCs w:val="21"/>
    </w:rPr>
  </w:style>
  <w:style w:type="paragraph" w:customStyle="1" w:styleId="130">
    <w:name w:val="正文6"/>
    <w:basedOn w:val="1"/>
    <w:uiPriority w:val="0"/>
    <w:pPr>
      <w:tabs>
        <w:tab w:val="left" w:pos="900"/>
      </w:tabs>
      <w:spacing w:before="156" w:after="156" w:line="360" w:lineRule="auto"/>
      <w:ind w:left="1290" w:leftChars="500" w:hanging="240" w:hangingChars="100"/>
    </w:pPr>
    <w:rPr>
      <w:rFonts w:ascii="Calibri" w:hAnsi="Calibri" w:eastAsia="宋体" w:cs="Times New Roman"/>
      <w:szCs w:val="21"/>
    </w:rPr>
  </w:style>
  <w:style w:type="paragraph" w:customStyle="1" w:styleId="131">
    <w:name w:val="正文7"/>
    <w:basedOn w:val="130"/>
    <w:uiPriority w:val="0"/>
  </w:style>
  <w:style w:type="paragraph" w:customStyle="1" w:styleId="132">
    <w:name w:val="样式 正文7 + 段前: 0.5 行 段后: 0.5 行"/>
    <w:basedOn w:val="131"/>
    <w:uiPriority w:val="0"/>
    <w:pPr>
      <w:tabs>
        <w:tab w:val="clear" w:pos="900"/>
      </w:tabs>
      <w:ind w:left="0" w:leftChars="0" w:firstLine="0" w:firstLineChars="0"/>
    </w:pPr>
    <w:rPr>
      <w:rFonts w:cs="宋体"/>
    </w:rPr>
  </w:style>
  <w:style w:type="paragraph" w:customStyle="1" w:styleId="133">
    <w:name w:val="样式 正文文本 + 首行缩进:  2 字符"/>
    <w:basedOn w:val="6"/>
    <w:uiPriority w:val="0"/>
    <w:pPr>
      <w:autoSpaceDE/>
      <w:spacing w:before="50" w:after="50"/>
    </w:pPr>
    <w:rPr>
      <w:rFonts w:ascii="Calibri" w:hAnsi="Calibri" w:eastAsia="宋体" w:cs="宋体"/>
      <w:sz w:val="21"/>
      <w:lang w:val="en-US"/>
    </w:rPr>
  </w:style>
  <w:style w:type="paragraph" w:customStyle="1" w:styleId="134">
    <w:name w:val="正文字缩1字"/>
    <w:basedOn w:val="1"/>
    <w:uiPriority w:val="0"/>
    <w:pPr>
      <w:spacing w:before="60" w:after="60" w:line="360" w:lineRule="auto"/>
      <w:ind w:left="100" w:leftChars="100"/>
    </w:pPr>
    <w:rPr>
      <w:rFonts w:ascii="Calibri" w:hAnsi="Calibri" w:eastAsia="宋体" w:cs="Times New Roman"/>
      <w:szCs w:val="21"/>
    </w:rPr>
  </w:style>
  <w:style w:type="paragraph" w:customStyle="1" w:styleId="135">
    <w:name w:val="样式 正文字缩1字 + 左侧:  1 字符 首行缩进:  2 字符"/>
    <w:basedOn w:val="134"/>
    <w:uiPriority w:val="0"/>
    <w:pPr>
      <w:spacing w:before="50" w:after="50"/>
    </w:pPr>
    <w:rPr>
      <w:rFonts w:cs="宋体"/>
    </w:rPr>
  </w:style>
  <w:style w:type="paragraph" w:customStyle="1" w:styleId="136">
    <w:name w:val="正文字缩2字"/>
    <w:basedOn w:val="134"/>
    <w:uiPriority w:val="0"/>
    <w:pPr>
      <w:ind w:left="200" w:leftChars="200"/>
    </w:pPr>
  </w:style>
  <w:style w:type="paragraph" w:customStyle="1" w:styleId="137">
    <w:name w:val="样式 正文字缩2字 + 左侧:  2 字符 首行缩进:  2 字符"/>
    <w:basedOn w:val="136"/>
    <w:uiPriority w:val="0"/>
  </w:style>
  <w:style w:type="paragraph" w:customStyle="1" w:styleId="138">
    <w:name w:val="正文1"/>
    <w:basedOn w:val="1"/>
    <w:uiPriority w:val="0"/>
    <w:pPr>
      <w:spacing w:before="156" w:after="156" w:line="360" w:lineRule="auto"/>
      <w:ind w:left="450" w:leftChars="100" w:hanging="240" w:hangingChars="100"/>
    </w:pPr>
    <w:rPr>
      <w:rFonts w:ascii="Calibri" w:hAnsi="Calibri" w:eastAsia="宋体" w:cs="Times New Roman"/>
      <w:szCs w:val="21"/>
    </w:rPr>
  </w:style>
  <w:style w:type="paragraph" w:customStyle="1" w:styleId="139">
    <w:name w:val="正文3"/>
    <w:basedOn w:val="1"/>
    <w:uiPriority w:val="0"/>
    <w:pPr>
      <w:spacing w:line="360" w:lineRule="auto"/>
      <w:ind w:left="300" w:leftChars="200" w:hanging="100" w:hangingChars="100"/>
    </w:pPr>
    <w:rPr>
      <w:rFonts w:ascii="Calibri" w:hAnsi="Calibri" w:eastAsia="宋体" w:cs="Times New Roman"/>
      <w:szCs w:val="21"/>
    </w:rPr>
  </w:style>
  <w:style w:type="paragraph" w:customStyle="1" w:styleId="140">
    <w:name w:val="正文4"/>
    <w:basedOn w:val="1"/>
    <w:uiPriority w:val="0"/>
    <w:pPr>
      <w:tabs>
        <w:tab w:val="left" w:pos="520"/>
      </w:tabs>
      <w:spacing w:line="360" w:lineRule="auto"/>
      <w:ind w:left="400" w:leftChars="300" w:hanging="100" w:hangingChars="100"/>
    </w:pPr>
    <w:rPr>
      <w:rFonts w:ascii="Calibri" w:hAnsi="Calibri" w:eastAsia="宋体" w:cs="Times New Roman"/>
      <w:szCs w:val="21"/>
    </w:rPr>
  </w:style>
  <w:style w:type="paragraph" w:customStyle="1" w:styleId="141">
    <w:name w:val="正文5"/>
    <w:basedOn w:val="1"/>
    <w:uiPriority w:val="0"/>
    <w:pPr>
      <w:spacing w:line="360" w:lineRule="auto"/>
      <w:ind w:left="500" w:leftChars="400" w:hanging="100" w:hangingChars="100"/>
    </w:pPr>
    <w:rPr>
      <w:rFonts w:ascii="Calibri" w:hAnsi="Calibri" w:eastAsia="宋体" w:cs="Times New Roman"/>
      <w:szCs w:val="21"/>
    </w:rPr>
  </w:style>
  <w:style w:type="paragraph" w:customStyle="1" w:styleId="142">
    <w:name w:val="注意事项"/>
    <w:basedOn w:val="1"/>
    <w:uiPriority w:val="0"/>
    <w:pPr>
      <w:spacing w:before="60" w:after="60" w:line="360" w:lineRule="auto"/>
    </w:pPr>
    <w:rPr>
      <w:rFonts w:ascii="Calibri" w:hAnsi="Calibri" w:eastAsia="宋体" w:cs="Times New Roman"/>
      <w:b/>
      <w:bCs/>
      <w:szCs w:val="21"/>
    </w:rPr>
  </w:style>
  <w:style w:type="paragraph" w:customStyle="1" w:styleId="143">
    <w:name w:val="文章标题"/>
    <w:basedOn w:val="6"/>
    <w:uiPriority w:val="0"/>
    <w:pPr>
      <w:widowControl/>
      <w:autoSpaceDE/>
      <w:spacing w:beforeLines="100" w:afterLines="100" w:line="480" w:lineRule="auto"/>
      <w:jc w:val="center"/>
    </w:pPr>
    <w:rPr>
      <w:rFonts w:ascii="Calibri" w:hAnsi="Calibri" w:eastAsia="宋体" w:cs="Times New Roman"/>
      <w:b/>
      <w:sz w:val="44"/>
      <w:szCs w:val="44"/>
      <w:lang w:val="en-US"/>
    </w:rPr>
  </w:style>
  <w:style w:type="paragraph" w:customStyle="1" w:styleId="144">
    <w:name w:val="样式3"/>
    <w:basedOn w:val="6"/>
    <w:link w:val="145"/>
    <w:qFormat/>
    <w:uiPriority w:val="0"/>
    <w:pPr>
      <w:autoSpaceDE/>
      <w:spacing w:before="156" w:after="156"/>
    </w:pPr>
    <w:rPr>
      <w:rFonts w:ascii="Calibri" w:hAnsi="Calibri" w:eastAsia="宋体" w:cs="Times New Roman"/>
      <w:sz w:val="21"/>
      <w:lang w:val="en-US"/>
    </w:rPr>
  </w:style>
  <w:style w:type="character" w:customStyle="1" w:styleId="145">
    <w:name w:val="样式3 Char"/>
    <w:link w:val="144"/>
    <w:uiPriority w:val="0"/>
    <w:rPr>
      <w:rFonts w:ascii="Calibri" w:hAnsi="Calibri" w:eastAsia="宋体" w:cs="Times New Roman"/>
      <w:szCs w:val="21"/>
    </w:rPr>
  </w:style>
  <w:style w:type="paragraph" w:customStyle="1" w:styleId="146">
    <w:name w:val="样式 首行缩进:  0 字符"/>
    <w:basedOn w:val="1"/>
    <w:qFormat/>
    <w:uiPriority w:val="0"/>
    <w:pPr>
      <w:spacing w:line="360" w:lineRule="auto"/>
    </w:pPr>
    <w:rPr>
      <w:rFonts w:ascii="Arial" w:hAnsi="Arial" w:eastAsia="微软雅黑" w:cs="宋体"/>
      <w:szCs w:val="20"/>
    </w:rPr>
  </w:style>
  <w:style w:type="paragraph" w:customStyle="1" w:styleId="147">
    <w:name w:val="项目编号1"/>
    <w:basedOn w:val="1"/>
    <w:link w:val="148"/>
    <w:qFormat/>
    <w:uiPriority w:val="0"/>
    <w:pPr>
      <w:spacing w:line="360" w:lineRule="auto"/>
    </w:pPr>
    <w:rPr>
      <w:rFonts w:ascii="Calibri" w:hAnsi="Calibri" w:eastAsia="宋体" w:cs="Times New Roman"/>
      <w:szCs w:val="21"/>
    </w:rPr>
  </w:style>
  <w:style w:type="character" w:customStyle="1" w:styleId="148">
    <w:name w:val="项目编号1 Char"/>
    <w:link w:val="147"/>
    <w:uiPriority w:val="0"/>
    <w:rPr>
      <w:rFonts w:ascii="Calibri" w:hAnsi="Calibri" w:eastAsia="宋体" w:cs="Times New Roman"/>
      <w:szCs w:val="21"/>
    </w:rPr>
  </w:style>
  <w:style w:type="paragraph" w:customStyle="1" w:styleId="149">
    <w:name w:val="项目编号2"/>
    <w:basedOn w:val="147"/>
    <w:link w:val="150"/>
    <w:qFormat/>
    <w:uiPriority w:val="0"/>
  </w:style>
  <w:style w:type="character" w:customStyle="1" w:styleId="150">
    <w:name w:val="项目编号2 Char"/>
    <w:link w:val="149"/>
    <w:uiPriority w:val="0"/>
  </w:style>
  <w:style w:type="paragraph" w:customStyle="1" w:styleId="151">
    <w:name w:val="表格样式"/>
    <w:basedOn w:val="1"/>
    <w:link w:val="152"/>
    <w:qFormat/>
    <w:uiPriority w:val="0"/>
    <w:pPr>
      <w:spacing w:line="360" w:lineRule="auto"/>
      <w:jc w:val="left"/>
    </w:pPr>
    <w:rPr>
      <w:rFonts w:ascii="Calibri" w:hAnsi="Calibri" w:eastAsia="宋体" w:cs="Times New Roman"/>
      <w:sz w:val="18"/>
      <w:szCs w:val="21"/>
    </w:rPr>
  </w:style>
  <w:style w:type="character" w:customStyle="1" w:styleId="152">
    <w:name w:val="表格样式 Char"/>
    <w:link w:val="151"/>
    <w:uiPriority w:val="0"/>
    <w:rPr>
      <w:rFonts w:ascii="Calibri" w:hAnsi="Calibri" w:eastAsia="宋体" w:cs="Times New Roman"/>
      <w:sz w:val="18"/>
      <w:szCs w:val="21"/>
    </w:rPr>
  </w:style>
  <w:style w:type="paragraph" w:customStyle="1" w:styleId="153">
    <w:name w:val="项目编号3"/>
    <w:basedOn w:val="147"/>
    <w:link w:val="154"/>
    <w:qFormat/>
    <w:uiPriority w:val="0"/>
    <w:pPr>
      <w:ind w:left="420" w:hanging="420"/>
    </w:pPr>
  </w:style>
  <w:style w:type="character" w:customStyle="1" w:styleId="154">
    <w:name w:val="项目编号3 Char"/>
    <w:link w:val="153"/>
    <w:uiPriority w:val="0"/>
  </w:style>
  <w:style w:type="paragraph" w:customStyle="1" w:styleId="155">
    <w:name w:val="L_正文"/>
    <w:basedOn w:val="1"/>
    <w:link w:val="156"/>
    <w:qFormat/>
    <w:uiPriority w:val="0"/>
    <w:pPr>
      <w:wordWrap w:val="0"/>
      <w:spacing w:line="360" w:lineRule="auto"/>
      <w:jc w:val="left"/>
    </w:pPr>
    <w:rPr>
      <w:rFonts w:ascii="宋体" w:hAnsi="宋体" w:eastAsia="宋体" w:cs="Times New Roman"/>
      <w:kern w:val="0"/>
      <w:szCs w:val="21"/>
    </w:rPr>
  </w:style>
  <w:style w:type="character" w:customStyle="1" w:styleId="156">
    <w:name w:val="L_正文 Char"/>
    <w:link w:val="155"/>
    <w:uiPriority w:val="0"/>
    <w:rPr>
      <w:rFonts w:ascii="宋体" w:hAnsi="宋体" w:eastAsia="宋体" w:cs="Times New Roman"/>
      <w:kern w:val="0"/>
      <w:szCs w:val="21"/>
    </w:rPr>
  </w:style>
  <w:style w:type="paragraph" w:customStyle="1" w:styleId="157">
    <w:name w:val="TOC Heading"/>
    <w:basedOn w:val="2"/>
    <w:next w:val="1"/>
    <w:unhideWhenUsed/>
    <w:qFormat/>
    <w:uiPriority w:val="39"/>
    <w:pPr>
      <w:widowControl/>
      <w:tabs>
        <w:tab w:val="clear" w:pos="360"/>
        <w:tab w:val="clear" w:pos="432"/>
      </w:tabs>
      <w:spacing w:before="0" w:after="0" w:line="259" w:lineRule="auto"/>
      <w:ind w:left="0" w:firstLine="0"/>
      <w:jc w:val="left"/>
      <w:outlineLvl w:val="9"/>
    </w:pPr>
    <w:rPr>
      <w:rFonts w:ascii="Cambria" w:hAnsi="Cambria" w:eastAsia="宋体" w:cs="Times New Roman"/>
      <w:b w:val="0"/>
      <w:bCs w:val="0"/>
      <w:color w:val="366091"/>
      <w:kern w:val="0"/>
      <w:sz w:val="32"/>
      <w:szCs w:val="32"/>
    </w:rPr>
  </w:style>
  <w:style w:type="paragraph" w:customStyle="1" w:styleId="158">
    <w:name w:val="reader-word-layer"/>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59">
    <w:name w:val="正文_3_0"/>
    <w:qFormat/>
    <w:uiPriority w:val="0"/>
    <w:pPr>
      <w:widowControl w:val="0"/>
      <w:jc w:val="both"/>
    </w:pPr>
    <w:rPr>
      <w:rFonts w:ascii="Times New Roman" w:hAnsi="Times New Roman" w:eastAsia="宋体"/>
      <w:kern w:val="2"/>
      <w:sz w:val="21"/>
      <w:szCs w:val="24"/>
      <w:lang w:val="en-US" w:eastAsia="zh-CN" w:bidi="ar-SA"/>
    </w:rPr>
  </w:style>
  <w:style w:type="paragraph" w:customStyle="1" w:styleId="160">
    <w:name w:val="正文_14"/>
    <w:qFormat/>
    <w:uiPriority w:val="0"/>
    <w:rPr>
      <w:rFonts w:ascii="Times New Roman" w:hAnsi="Times New Roman" w:eastAsia="宋体"/>
      <w:sz w:val="21"/>
      <w:szCs w:val="21"/>
      <w:lang w:val="en-US" w:eastAsia="zh-CN" w:bidi="ar-SA"/>
    </w:rPr>
  </w:style>
  <w:style w:type="paragraph" w:customStyle="1" w:styleId="161">
    <w:name w:val="正文_5"/>
    <w:qFormat/>
    <w:uiPriority w:val="0"/>
    <w:pPr>
      <w:widowControl w:val="0"/>
      <w:jc w:val="both"/>
    </w:pPr>
    <w:rPr>
      <w:rFonts w:ascii="Times New Roman" w:hAnsi="Times New Roman" w:eastAsia="宋体"/>
      <w:kern w:val="2"/>
      <w:sz w:val="21"/>
      <w:szCs w:val="24"/>
      <w:lang w:val="en-US" w:eastAsia="zh-CN" w:bidi="ar-SA"/>
    </w:rPr>
  </w:style>
  <w:style w:type="paragraph" w:customStyle="1" w:styleId="162">
    <w:name w:val="正文_4"/>
    <w:qFormat/>
    <w:uiPriority w:val="0"/>
    <w:pPr>
      <w:widowControl w:val="0"/>
      <w:jc w:val="both"/>
    </w:pPr>
    <w:rPr>
      <w:rFonts w:ascii="Times New Roman" w:hAnsi="Times New Roman" w:eastAsia="宋体"/>
      <w:kern w:val="2"/>
      <w:sz w:val="21"/>
      <w:szCs w:val="24"/>
      <w:lang w:val="en-US" w:eastAsia="zh-CN" w:bidi="ar-SA"/>
    </w:rPr>
  </w:style>
  <w:style w:type="paragraph" w:customStyle="1" w:styleId="163">
    <w:name w:val="正文_10"/>
    <w:qFormat/>
    <w:uiPriority w:val="0"/>
    <w:pPr>
      <w:widowControl w:val="0"/>
      <w:jc w:val="both"/>
    </w:pPr>
    <w:rPr>
      <w:rFonts w:ascii="Times New Roman" w:hAnsi="Times New Roman" w:eastAsia="宋体"/>
      <w:kern w:val="2"/>
      <w:sz w:val="21"/>
      <w:szCs w:val="24"/>
      <w:lang w:val="en-US" w:eastAsia="zh-CN" w:bidi="ar-SA"/>
    </w:rPr>
  </w:style>
  <w:style w:type="paragraph" w:customStyle="1" w:styleId="164">
    <w:name w:val="表格格式"/>
    <w:basedOn w:val="1"/>
    <w:link w:val="165"/>
    <w:qFormat/>
    <w:uiPriority w:val="0"/>
    <w:pPr>
      <w:autoSpaceDN w:val="0"/>
      <w:adjustRightInd w:val="0"/>
      <w:snapToGrid w:val="0"/>
      <w:jc w:val="left"/>
    </w:pPr>
    <w:rPr>
      <w:rFonts w:ascii="宋体" w:hAnsi="宋体" w:eastAsia="宋体" w:cs="Times New Roman"/>
      <w:kern w:val="0"/>
      <w:szCs w:val="21"/>
    </w:rPr>
  </w:style>
  <w:style w:type="character" w:customStyle="1" w:styleId="165">
    <w:name w:val="表格格式 Char"/>
    <w:link w:val="164"/>
    <w:uiPriority w:val="0"/>
    <w:rPr>
      <w:rFonts w:ascii="宋体" w:hAnsi="宋体" w:eastAsia="宋体" w:cs="Times New Roman"/>
      <w:kern w:val="0"/>
      <w:szCs w:val="21"/>
    </w:rPr>
  </w:style>
  <w:style w:type="paragraph" w:customStyle="1" w:styleId="166">
    <w:name w:val="正文格式"/>
    <w:basedOn w:val="1"/>
    <w:link w:val="167"/>
    <w:qFormat/>
    <w:uiPriority w:val="0"/>
    <w:pPr>
      <w:spacing w:line="360" w:lineRule="auto"/>
    </w:pPr>
    <w:rPr>
      <w:rFonts w:ascii="宋体" w:hAnsi="宋体" w:eastAsia="宋体" w:cs="Times New Roman"/>
      <w:kern w:val="0"/>
      <w:szCs w:val="21"/>
      <w:lang w:val="en-GB"/>
    </w:rPr>
  </w:style>
  <w:style w:type="character" w:customStyle="1" w:styleId="167">
    <w:name w:val="正文格式 Char"/>
    <w:link w:val="166"/>
    <w:uiPriority w:val="0"/>
    <w:rPr>
      <w:rFonts w:ascii="宋体" w:hAnsi="宋体" w:eastAsia="宋体" w:cs="Times New Roman"/>
      <w:kern w:val="0"/>
      <w:szCs w:val="21"/>
      <w:lang w:val="en-GB"/>
    </w:rPr>
  </w:style>
  <w:style w:type="paragraph" w:customStyle="1" w:styleId="168">
    <w:name w:val="_Style 2"/>
    <w:basedOn w:val="1"/>
    <w:qFormat/>
    <w:uiPriority w:val="34"/>
    <w:pPr>
      <w:adjustRightInd w:val="0"/>
      <w:snapToGrid w:val="0"/>
    </w:pPr>
    <w:rPr>
      <w:rFonts w:ascii="Tahoma" w:hAnsi="Tahoma" w:eastAsia="微软雅黑" w:cs="Tahoma"/>
      <w:sz w:val="22"/>
      <w:szCs w:val="22"/>
    </w:rPr>
  </w:style>
  <w:style w:type="paragraph" w:customStyle="1" w:styleId="169">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170">
    <w:name w:val="无间隔1"/>
    <w:qFormat/>
    <w:uiPriority w:val="99"/>
    <w:pPr>
      <w:adjustRightInd w:val="0"/>
      <w:snapToGrid w:val="0"/>
    </w:pPr>
    <w:rPr>
      <w:rFonts w:ascii="Tahoma" w:hAnsi="Tahoma" w:eastAsia="微软雅黑"/>
      <w:sz w:val="22"/>
      <w:szCs w:val="21"/>
      <w:lang w:val="en-US" w:eastAsia="zh-CN" w:bidi="ar-SA"/>
    </w:rPr>
  </w:style>
  <w:style w:type="paragraph" w:customStyle="1" w:styleId="171">
    <w:name w:val="无间隔11"/>
    <w:qFormat/>
    <w:uiPriority w:val="0"/>
    <w:pPr>
      <w:adjustRightInd w:val="0"/>
      <w:snapToGrid w:val="0"/>
    </w:pPr>
    <w:rPr>
      <w:rFonts w:ascii="Tahoma" w:hAnsi="Tahoma" w:eastAsia="微软雅黑"/>
      <w:sz w:val="22"/>
      <w:szCs w:val="21"/>
      <w:lang w:val="en-US" w:eastAsia="zh-CN" w:bidi="ar-SA"/>
    </w:rPr>
  </w:style>
  <w:style w:type="paragraph" w:customStyle="1" w:styleId="172">
    <w:name w:val="纯文本_3"/>
    <w:basedOn w:val="163"/>
    <w:qFormat/>
    <w:uiPriority w:val="0"/>
    <w:pPr>
      <w:widowControl/>
      <w:jc w:val="left"/>
    </w:pPr>
    <w:rPr>
      <w:rFonts w:ascii="宋体" w:hAnsi="Courier New" w:eastAsia="宋体" w:cs="Times New Roman"/>
      <w:szCs w:val="21"/>
    </w:rPr>
  </w:style>
  <w:style w:type="paragraph" w:customStyle="1" w:styleId="173">
    <w:name w:val="纯文本_0_1"/>
    <w:basedOn w:val="1"/>
    <w:qFormat/>
    <w:uiPriority w:val="0"/>
    <w:pPr>
      <w:widowControl/>
      <w:jc w:val="left"/>
    </w:pPr>
    <w:rPr>
      <w:rFonts w:ascii="宋体" w:hAnsi="Courier New" w:eastAsia="宋体" w:cs="Times New Roman"/>
      <w:szCs w:val="21"/>
    </w:rPr>
  </w:style>
  <w:style w:type="paragraph" w:customStyle="1" w:styleId="174">
    <w:name w:val="正文_17"/>
    <w:qFormat/>
    <w:uiPriority w:val="0"/>
    <w:pPr>
      <w:widowControl w:val="0"/>
      <w:jc w:val="both"/>
    </w:pPr>
    <w:rPr>
      <w:rFonts w:ascii="Times New Roman" w:hAnsi="Times New Roman" w:eastAsia="宋体"/>
      <w:kern w:val="2"/>
      <w:sz w:val="21"/>
      <w:szCs w:val="24"/>
      <w:lang w:val="en-US" w:eastAsia="zh-CN" w:bidi="ar-SA"/>
    </w:rPr>
  </w:style>
  <w:style w:type="paragraph" w:customStyle="1" w:styleId="175">
    <w:name w:val="正文_2_0"/>
    <w:qFormat/>
    <w:uiPriority w:val="0"/>
    <w:pPr>
      <w:widowControl w:val="0"/>
      <w:jc w:val="both"/>
    </w:pPr>
    <w:rPr>
      <w:rFonts w:ascii="Times New Roman" w:hAnsi="Times New Roman" w:eastAsia="宋体"/>
      <w:kern w:val="2"/>
      <w:sz w:val="21"/>
      <w:szCs w:val="24"/>
      <w:lang w:val="en-US" w:eastAsia="zh-CN" w:bidi="ar-SA"/>
    </w:rPr>
  </w:style>
  <w:style w:type="paragraph" w:customStyle="1" w:styleId="176">
    <w:name w:val="正文_6"/>
    <w:qFormat/>
    <w:uiPriority w:val="0"/>
    <w:pPr>
      <w:widowControl w:val="0"/>
      <w:jc w:val="both"/>
    </w:pPr>
    <w:rPr>
      <w:rFonts w:ascii="Times New Roman" w:hAnsi="Times New Roman" w:eastAsia="宋体"/>
      <w:kern w:val="2"/>
      <w:sz w:val="21"/>
      <w:szCs w:val="24"/>
      <w:lang w:val="en-US" w:eastAsia="zh-CN" w:bidi="ar-SA"/>
    </w:rPr>
  </w:style>
  <w:style w:type="paragraph" w:customStyle="1" w:styleId="177">
    <w:name w:val="Normal_15"/>
    <w:qFormat/>
    <w:uiPriority w:val="0"/>
    <w:pPr>
      <w:widowControl w:val="0"/>
      <w:jc w:val="both"/>
    </w:pPr>
    <w:rPr>
      <w:rFonts w:eastAsia="宋体"/>
      <w:kern w:val="2"/>
      <w:sz w:val="21"/>
      <w:szCs w:val="21"/>
      <w:lang w:val="en-US" w:eastAsia="zh-CN" w:bidi="ar-SA"/>
    </w:rPr>
  </w:style>
  <w:style w:type="paragraph" w:customStyle="1" w:styleId="178">
    <w:name w:val="正文_0"/>
    <w:qFormat/>
    <w:uiPriority w:val="0"/>
    <w:pPr>
      <w:widowControl w:val="0"/>
      <w:jc w:val="both"/>
    </w:pPr>
    <w:rPr>
      <w:rFonts w:ascii="Times New Roman" w:hAnsi="Times New Roman" w:eastAsia="宋体"/>
      <w:kern w:val="2"/>
      <w:sz w:val="21"/>
      <w:szCs w:val="24"/>
      <w:lang w:val="en-US" w:eastAsia="zh-CN" w:bidi="ar-SA"/>
    </w:rPr>
  </w:style>
  <w:style w:type="paragraph" w:customStyle="1" w:styleId="179">
    <w:name w:val="标题1"/>
    <w:basedOn w:val="1"/>
    <w:next w:val="1"/>
    <w:qFormat/>
    <w:uiPriority w:val="0"/>
    <w:pPr>
      <w:adjustRightInd w:val="0"/>
      <w:spacing w:before="240" w:after="60" w:line="420" w:lineRule="atLeast"/>
      <w:jc w:val="center"/>
      <w:textAlignment w:val="baseline"/>
      <w:outlineLvl w:val="0"/>
    </w:pPr>
    <w:rPr>
      <w:rFonts w:ascii="Arial" w:hAnsi="Arial" w:eastAsia="宋体" w:cs="Times New Roman"/>
      <w:b/>
      <w:sz w:val="32"/>
      <w:szCs w:val="21"/>
    </w:rPr>
  </w:style>
  <w:style w:type="paragraph" w:customStyle="1" w:styleId="180">
    <w:name w:val="样式 表格样式 + 首行缩进:  0.63 厘米"/>
    <w:basedOn w:val="151"/>
    <w:uiPriority w:val="0"/>
    <w:rPr>
      <w:rFonts w:cs="宋体"/>
      <w:szCs w:val="20"/>
    </w:rPr>
  </w:style>
  <w:style w:type="paragraph" w:customStyle="1" w:styleId="181">
    <w:name w:val="样式 表格样式 + 首行缩进:  0.63 厘米1"/>
    <w:basedOn w:val="151"/>
    <w:uiPriority w:val="0"/>
    <w:rPr>
      <w:rFonts w:cs="宋体"/>
      <w:szCs w:val="20"/>
    </w:rPr>
  </w:style>
  <w:style w:type="paragraph" w:customStyle="1" w:styleId="182">
    <w:name w:val="GP正文(首行缩进)"/>
    <w:basedOn w:val="1"/>
    <w:qFormat/>
    <w:uiPriority w:val="0"/>
    <w:pPr>
      <w:spacing w:line="360" w:lineRule="auto"/>
    </w:pPr>
    <w:rPr>
      <w:rFonts w:ascii="仿宋" w:hAnsi="仿宋" w:eastAsia="仿宋" w:cs="Times New Roman"/>
      <w:bCs/>
      <w:color w:val="0D0D0D"/>
      <w:szCs w:val="32"/>
    </w:rPr>
  </w:style>
  <w:style w:type="paragraph" w:customStyle="1" w:styleId="183">
    <w:name w:val="正文首行缩进2字符"/>
    <w:basedOn w:val="1"/>
    <w:link w:val="184"/>
    <w:qFormat/>
    <w:locked/>
    <w:uiPriority w:val="0"/>
    <w:pPr>
      <w:spacing w:line="360" w:lineRule="auto"/>
      <w:ind w:firstLine="480" w:firstLineChars="200"/>
    </w:pPr>
    <w:rPr>
      <w:rFonts w:ascii="Calibri" w:hAnsi="Calibri" w:eastAsia="仿宋" w:cs="Times New Roman"/>
      <w:szCs w:val="20"/>
    </w:rPr>
  </w:style>
  <w:style w:type="character" w:customStyle="1" w:styleId="184">
    <w:name w:val="正文首行缩进2字符 Char"/>
    <w:link w:val="183"/>
    <w:qFormat/>
    <w:uiPriority w:val="0"/>
    <w:rPr>
      <w:rFonts w:ascii="Calibri" w:hAnsi="Calibri" w:eastAsia="仿宋" w:cs="Times New Roman"/>
      <w:szCs w:val="20"/>
    </w:rPr>
  </w:style>
  <w:style w:type="table" w:customStyle="1" w:styleId="185">
    <w:name w:val="Table Normal"/>
    <w:unhideWhenUsed/>
    <w:qFormat/>
    <w:uiPriority w:val="2"/>
    <w:pPr>
      <w:widowControl w:val="0"/>
      <w:autoSpaceDE w:val="0"/>
      <w:autoSpaceDN w:val="0"/>
    </w:pPr>
    <w:rPr>
      <w:rFonts w:eastAsia="宋体"/>
      <w:sz w:val="22"/>
      <w:lang w:val="en-US" w:eastAsia="en-US" w:bidi="ar-SA"/>
    </w:rPr>
    <w:tblPr>
      <w:tblStyle w:val="34"/>
      <w:tblCellMar>
        <w:top w:w="0" w:type="dxa"/>
        <w:left w:w="0" w:type="dxa"/>
        <w:bottom w:w="0" w:type="dxa"/>
        <w:right w:w="0" w:type="dxa"/>
      </w:tblCellMar>
    </w:tblPr>
  </w:style>
  <w:style w:type="paragraph" w:customStyle="1" w:styleId="18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87">
    <w:name w:val="Plain Text Char"/>
    <w:locked/>
    <w:uiPriority w:val="0"/>
    <w:rPr>
      <w:rFonts w:ascii="宋体" w:hAnsi="Courier New" w:eastAsia="宋体" w:cs="Times New Roman"/>
      <w:sz w:val="21"/>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theme/theme1.xml" Type="http://schemas.openxmlformats.org/officeDocument/2006/relationships/theme"/><Relationship Id="rId13" Target="media/image1.png" Type="http://schemas.openxmlformats.org/officeDocument/2006/relationships/image"/><Relationship Id="rId14" Target="media/image2.png" Type="http://schemas.openxmlformats.org/officeDocument/2006/relationships/image"/><Relationship Id="rId15" Target="media/image3.png" Type="http://schemas.openxmlformats.org/officeDocument/2006/relationships/image"/><Relationship Id="rId16" Target="media/image4.tiff" Type="http://schemas.openxmlformats.org/officeDocument/2006/relationships/imag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117</Pages>
  <Words>12663</Words>
  <Characters>72181</Characters>
  <Lines>601</Lines>
  <Paragraphs>169</Paragraphs>
  <TotalTime>0</TotalTime>
  <ScaleCrop>false</ScaleCrop>
  <LinksUpToDate>false</LinksUpToDate>
  <CharactersWithSpaces>84675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2021-12-14T11:01:00Z</dcterms:created>
  <dc:creator>Administrator</dc:creator>
  <cp:lastModifiedBy>＞眺望未来-</cp:lastModifiedBy>
  <cp:lastPrinted>2021-12-08T07:01:00Z</cp:lastPrinted>
  <dcterms:modified xsi:type="dcterms:W3CDTF">2024-01-31T05:05:37Z</dcterms:modified>
  <cp:revision>47</cp:revision>
  <dc:title>2020年淳安县中小学新型教学空间学科教室建设项目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848FA745ED6D4BDCB7B6119D98185CA5_13</vt:lpwstr>
  </property>
  <property fmtid="{D5CDD505-2E9C-101B-9397-08002B2CF9AE}" pid="3" name="KSOProductBuildVer">
    <vt:lpwstr>2052-12.1.0.16250</vt:lpwstr>
  </property>
</Properties>
</file>