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8"/>
        <w:tblW w:w="9241"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6095"/>
        <w:gridCol w:w="702"/>
        <w:gridCol w:w="17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7" w:hRule="atLeast"/>
        </w:trPr>
        <w:tc>
          <w:tcPr>
            <w:tcW w:w="710" w:type="dxa"/>
            <w:tcBorders>
              <w:top w:val="single" w:color="auto" w:sz="4" w:space="0"/>
              <w:left w:val="single" w:color="auto" w:sz="4" w:space="0"/>
              <w:bottom w:val="single" w:color="auto" w:sz="4" w:space="0"/>
              <w:right w:val="single" w:color="auto" w:sz="4" w:space="0"/>
            </w:tcBorders>
            <w:noWrap/>
            <w:vAlign w:val="center"/>
          </w:tcPr>
          <w:p>
            <w:pPr>
              <w:spacing w:beforeLines="50" w:afterLines="50" w:line="460" w:lineRule="exact"/>
              <w:jc w:val="center"/>
              <w:rPr>
                <w:rFonts w:ascii="仿宋" w:eastAsia="仿宋"/>
                <w:b/>
                <w:bCs/>
                <w:sz w:val="24"/>
                <w:szCs w:val="24"/>
              </w:rPr>
            </w:pPr>
            <w:r>
              <w:rPr>
                <w:rFonts w:hint="eastAsia" w:ascii="仿宋" w:hAnsi="仿宋" w:eastAsia="仿宋"/>
                <w:b/>
                <w:bCs/>
                <w:sz w:val="24"/>
                <w:szCs w:val="24"/>
              </w:rPr>
              <w:t>序号</w:t>
            </w:r>
          </w:p>
        </w:tc>
        <w:tc>
          <w:tcPr>
            <w:tcW w:w="6095" w:type="dxa"/>
            <w:tcBorders>
              <w:top w:val="single" w:color="auto" w:sz="4" w:space="0"/>
              <w:left w:val="nil"/>
              <w:bottom w:val="single" w:color="auto" w:sz="4" w:space="0"/>
              <w:right w:val="single" w:color="auto" w:sz="4" w:space="0"/>
            </w:tcBorders>
            <w:noWrap/>
            <w:vAlign w:val="center"/>
          </w:tcPr>
          <w:p>
            <w:pPr>
              <w:spacing w:beforeLines="50" w:afterLines="50" w:line="340" w:lineRule="exact"/>
              <w:jc w:val="center"/>
              <w:rPr>
                <w:rFonts w:hint="default" w:ascii="仿宋" w:eastAsia="仿宋"/>
                <w:b/>
                <w:bCs/>
                <w:sz w:val="24"/>
                <w:szCs w:val="24"/>
                <w:lang w:val="en-US" w:eastAsia="zh-CN"/>
              </w:rPr>
            </w:pPr>
            <w:r>
              <w:rPr>
                <w:rFonts w:hint="eastAsia" w:ascii="仿宋" w:hAnsi="仿宋" w:eastAsia="仿宋"/>
                <w:b/>
                <w:bCs/>
                <w:sz w:val="24"/>
                <w:szCs w:val="24"/>
              </w:rPr>
              <w:t>评标标准</w:t>
            </w:r>
            <w:r>
              <w:rPr>
                <w:rFonts w:hint="eastAsia" w:ascii="仿宋" w:hAnsi="仿宋" w:eastAsia="仿宋"/>
                <w:b/>
                <w:bCs/>
                <w:sz w:val="24"/>
                <w:szCs w:val="24"/>
                <w:lang w:val="en-US" w:eastAsia="zh-CN"/>
              </w:rPr>
              <w:t>(</w:t>
            </w:r>
            <w:r>
              <w:rPr>
                <w:rFonts w:hint="eastAsia" w:ascii="仿宋" w:hAnsi="仿宋" w:eastAsia="仿宋"/>
                <w:b/>
                <w:bCs/>
                <w:color w:val="FF0000"/>
                <w:sz w:val="24"/>
                <w:szCs w:val="24"/>
                <w:lang w:val="en-US" w:eastAsia="zh-CN"/>
              </w:rPr>
              <w:t>修改稿</w:t>
            </w:r>
            <w:r>
              <w:rPr>
                <w:rFonts w:hint="eastAsia" w:ascii="仿宋" w:hAnsi="仿宋" w:eastAsia="仿宋"/>
                <w:b/>
                <w:bCs/>
                <w:sz w:val="24"/>
                <w:szCs w:val="24"/>
                <w:lang w:val="en-US" w:eastAsia="zh-CN"/>
              </w:rPr>
              <w:t>)</w:t>
            </w:r>
          </w:p>
        </w:tc>
        <w:tc>
          <w:tcPr>
            <w:tcW w:w="702" w:type="dxa"/>
            <w:tcBorders>
              <w:top w:val="single" w:color="auto" w:sz="4" w:space="0"/>
              <w:left w:val="nil"/>
              <w:bottom w:val="single" w:color="auto" w:sz="4" w:space="0"/>
              <w:right w:val="single" w:color="auto" w:sz="4" w:space="0"/>
            </w:tcBorders>
            <w:noWrap/>
            <w:vAlign w:val="center"/>
          </w:tcPr>
          <w:p>
            <w:pPr>
              <w:spacing w:beforeLines="50" w:afterLines="50"/>
              <w:jc w:val="center"/>
              <w:rPr>
                <w:rFonts w:ascii="仿宋" w:eastAsia="仿宋"/>
                <w:b/>
                <w:bCs/>
                <w:sz w:val="24"/>
                <w:szCs w:val="24"/>
              </w:rPr>
            </w:pPr>
            <w:r>
              <w:rPr>
                <w:rFonts w:hint="eastAsia" w:ascii="仿宋" w:hAnsi="仿宋" w:eastAsia="仿宋"/>
                <w:b/>
                <w:bCs/>
                <w:sz w:val="24"/>
                <w:szCs w:val="24"/>
              </w:rPr>
              <w:t>权重</w:t>
            </w:r>
          </w:p>
        </w:tc>
        <w:tc>
          <w:tcPr>
            <w:tcW w:w="1734" w:type="dxa"/>
            <w:tcBorders>
              <w:top w:val="single" w:color="auto" w:sz="4" w:space="0"/>
              <w:left w:val="nil"/>
              <w:bottom w:val="single" w:color="auto" w:sz="4" w:space="0"/>
              <w:right w:val="single" w:color="auto" w:sz="4" w:space="0"/>
            </w:tcBorders>
            <w:noWrap/>
            <w:vAlign w:val="center"/>
          </w:tcPr>
          <w:p>
            <w:pPr>
              <w:spacing w:beforeLines="50" w:afterLines="50"/>
              <w:jc w:val="center"/>
              <w:rPr>
                <w:rFonts w:ascii="仿宋" w:eastAsia="仿宋"/>
                <w:b/>
                <w:bCs/>
                <w:sz w:val="24"/>
                <w:szCs w:val="24"/>
              </w:rPr>
            </w:pPr>
            <w:r>
              <w:rPr>
                <w:rFonts w:hint="eastAsia" w:ascii="仿宋" w:hAnsi="仿宋" w:eastAsia="仿宋"/>
                <w:b/>
                <w:bCs/>
                <w:sz w:val="24"/>
                <w:szCs w:val="24"/>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1" w:hRule="atLeast"/>
        </w:trPr>
        <w:tc>
          <w:tcPr>
            <w:tcW w:w="7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exact"/>
              <w:jc w:val="center"/>
              <w:rPr>
                <w:rFonts w:ascii="仿宋" w:hAnsi="仿宋" w:eastAsia="仿宋"/>
                <w:color w:val="000000"/>
                <w:sz w:val="24"/>
                <w:szCs w:val="24"/>
              </w:rPr>
            </w:pPr>
            <w:r>
              <w:rPr>
                <w:rFonts w:hint="eastAsia" w:ascii="仿宋" w:hAnsi="仿宋" w:eastAsia="仿宋"/>
                <w:color w:val="000000"/>
                <w:sz w:val="24"/>
                <w:szCs w:val="24"/>
              </w:rPr>
              <w:t>1</w:t>
            </w:r>
          </w:p>
        </w:tc>
        <w:tc>
          <w:tcPr>
            <w:tcW w:w="6095" w:type="dxa"/>
            <w:tcBorders>
              <w:top w:val="single" w:color="auto" w:sz="4" w:space="0"/>
              <w:left w:val="nil"/>
              <w:bottom w:val="single" w:color="auto" w:sz="4" w:space="0"/>
              <w:right w:val="single" w:color="auto" w:sz="4" w:space="0"/>
            </w:tcBorders>
            <w:noWrap/>
            <w:vAlign w:val="center"/>
          </w:tcPr>
          <w:p>
            <w:r>
              <w:rPr>
                <w:rFonts w:hint="eastAsia" w:ascii="仿宋_GB2312" w:hAnsi="宋体" w:eastAsia="仿宋_GB2312"/>
                <w:sz w:val="24"/>
                <w:szCs w:val="24"/>
              </w:rPr>
              <w:t>根据投标设备的技术配置优势、配置方案的完整性和合理性，与需求的吻合程度；所投产品具体配置、技术参数及偏离情况：符合明确指标参数得20分。投</w:t>
            </w:r>
            <w:bookmarkStart w:id="0" w:name="_GoBack"/>
            <w:bookmarkEnd w:id="0"/>
            <w:r>
              <w:rPr>
                <w:rFonts w:hint="eastAsia" w:ascii="仿宋_GB2312" w:hAnsi="宋体" w:eastAsia="仿宋_GB2312"/>
                <w:sz w:val="24"/>
                <w:szCs w:val="24"/>
              </w:rPr>
              <w:t>标产品技术指标及技术参数属负偏离或缺漏项的每项扣2分，扣完为止。</w:t>
            </w:r>
          </w:p>
        </w:tc>
        <w:tc>
          <w:tcPr>
            <w:tcW w:w="702" w:type="dxa"/>
            <w:tcBorders>
              <w:top w:val="single" w:color="auto" w:sz="4" w:space="0"/>
              <w:left w:val="nil"/>
              <w:bottom w:val="single" w:color="auto" w:sz="4" w:space="0"/>
              <w:right w:val="single" w:color="auto" w:sz="4" w:space="0"/>
            </w:tcBorders>
            <w:noWrap/>
            <w:vAlign w:val="center"/>
          </w:tcPr>
          <w:p>
            <w:pPr>
              <w:spacing w:beforeLines="50" w:afterLines="50"/>
              <w:jc w:val="center"/>
              <w:rPr>
                <w:rFonts w:ascii="仿宋" w:eastAsia="仿宋"/>
                <w:sz w:val="24"/>
                <w:szCs w:val="24"/>
              </w:rPr>
            </w:pPr>
            <w:r>
              <w:rPr>
                <w:rFonts w:hint="eastAsia" w:ascii="仿宋" w:hAnsi="仿宋" w:eastAsia="仿宋"/>
                <w:sz w:val="24"/>
                <w:szCs w:val="24"/>
              </w:rPr>
              <w:t>20</w:t>
            </w:r>
          </w:p>
        </w:tc>
        <w:tc>
          <w:tcPr>
            <w:tcW w:w="1734" w:type="dxa"/>
            <w:tcBorders>
              <w:top w:val="single" w:color="auto" w:sz="4" w:space="0"/>
              <w:left w:val="nil"/>
              <w:bottom w:val="single" w:color="auto" w:sz="4" w:space="0"/>
              <w:right w:val="single" w:color="auto" w:sz="4" w:space="0"/>
            </w:tcBorders>
            <w:noWrap/>
            <w:vAlign w:val="center"/>
          </w:tcPr>
          <w:p>
            <w:pPr>
              <w:spacing w:beforeLines="50" w:afterLines="50"/>
              <w:jc w:val="center"/>
              <w:rPr>
                <w:rFonts w:asci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7" w:hRule="atLeast"/>
        </w:trPr>
        <w:tc>
          <w:tcPr>
            <w:tcW w:w="7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exact"/>
              <w:jc w:val="center"/>
              <w:rPr>
                <w:rFonts w:ascii="仿宋" w:hAnsi="仿宋" w:eastAsia="仿宋"/>
                <w:color w:val="000000"/>
                <w:sz w:val="24"/>
                <w:szCs w:val="24"/>
              </w:rPr>
            </w:pPr>
            <w:r>
              <w:rPr>
                <w:rFonts w:hint="eastAsia" w:ascii="仿宋" w:hAnsi="仿宋" w:eastAsia="仿宋"/>
                <w:color w:val="000000"/>
                <w:sz w:val="24"/>
                <w:szCs w:val="24"/>
              </w:rPr>
              <w:t>2</w:t>
            </w:r>
          </w:p>
        </w:tc>
        <w:tc>
          <w:tcPr>
            <w:tcW w:w="6095" w:type="dxa"/>
            <w:tcBorders>
              <w:top w:val="single" w:color="auto" w:sz="4" w:space="0"/>
              <w:left w:val="nil"/>
              <w:bottom w:val="single" w:color="auto" w:sz="4" w:space="0"/>
              <w:right w:val="single" w:color="auto" w:sz="4" w:space="0"/>
            </w:tcBorders>
            <w:noWrap/>
            <w:vAlign w:val="center"/>
          </w:tcPr>
          <w:p>
            <w:pPr>
              <w:rPr>
                <w:rFonts w:ascii="仿宋_GB2312" w:hAnsi="宋体" w:eastAsia="仿宋_GB2312"/>
                <w:sz w:val="24"/>
                <w:szCs w:val="24"/>
              </w:rPr>
            </w:pPr>
            <w:r>
              <w:rPr>
                <w:rFonts w:hint="eastAsia" w:ascii="仿宋_GB2312" w:hAnsi="宋体" w:eastAsia="仿宋_GB2312"/>
                <w:sz w:val="24"/>
                <w:szCs w:val="24"/>
              </w:rPr>
              <w:t>对性能指标、技术参数属正偏或高配的、有先进程度的正偏离每项加1分（最高分为3分），无实质性意义的正偏离不加分。</w:t>
            </w:r>
          </w:p>
        </w:tc>
        <w:tc>
          <w:tcPr>
            <w:tcW w:w="702" w:type="dxa"/>
            <w:tcBorders>
              <w:top w:val="single" w:color="auto" w:sz="4" w:space="0"/>
              <w:left w:val="nil"/>
              <w:bottom w:val="single" w:color="auto" w:sz="4" w:space="0"/>
              <w:right w:val="single" w:color="auto" w:sz="4" w:space="0"/>
            </w:tcBorders>
            <w:noWrap/>
            <w:vAlign w:val="center"/>
          </w:tcPr>
          <w:p>
            <w:pPr>
              <w:jc w:val="center"/>
              <w:rPr>
                <w:rFonts w:ascii="仿宋_GB2312" w:hAnsi="宋体" w:eastAsia="仿宋_GB2312"/>
                <w:sz w:val="24"/>
                <w:szCs w:val="24"/>
              </w:rPr>
            </w:pPr>
            <w:r>
              <w:rPr>
                <w:rFonts w:hint="eastAsia" w:ascii="仿宋_GB2312" w:hAnsi="宋体" w:eastAsia="仿宋_GB2312"/>
                <w:sz w:val="24"/>
                <w:szCs w:val="24"/>
              </w:rPr>
              <w:t>3</w:t>
            </w:r>
          </w:p>
        </w:tc>
        <w:tc>
          <w:tcPr>
            <w:tcW w:w="1734" w:type="dxa"/>
            <w:tcBorders>
              <w:top w:val="single" w:color="auto" w:sz="4" w:space="0"/>
              <w:left w:val="nil"/>
              <w:bottom w:val="single" w:color="auto" w:sz="4" w:space="0"/>
              <w:right w:val="single" w:color="auto" w:sz="4" w:space="0"/>
            </w:tcBorders>
            <w:noWrap/>
            <w:vAlign w:val="center"/>
          </w:tcPr>
          <w:p>
            <w:pPr>
              <w:spacing w:beforeLines="50" w:afterLines="50"/>
              <w:jc w:val="center"/>
              <w:rPr>
                <w:rFonts w:asci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trPr>
        <w:tc>
          <w:tcPr>
            <w:tcW w:w="7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exact"/>
              <w:jc w:val="center"/>
              <w:rPr>
                <w:rFonts w:ascii="仿宋" w:hAnsi="仿宋" w:eastAsia="仿宋"/>
                <w:color w:val="000000"/>
                <w:sz w:val="24"/>
                <w:szCs w:val="24"/>
              </w:rPr>
            </w:pPr>
            <w:r>
              <w:rPr>
                <w:rFonts w:hint="eastAsia" w:ascii="仿宋" w:hAnsi="仿宋" w:eastAsia="仿宋"/>
                <w:color w:val="000000"/>
                <w:sz w:val="24"/>
                <w:szCs w:val="24"/>
              </w:rPr>
              <w:t>3</w:t>
            </w:r>
          </w:p>
        </w:tc>
        <w:tc>
          <w:tcPr>
            <w:tcW w:w="6095" w:type="dxa"/>
            <w:tcBorders>
              <w:top w:val="single" w:color="auto" w:sz="4" w:space="0"/>
              <w:left w:val="nil"/>
              <w:bottom w:val="single" w:color="auto" w:sz="4" w:space="0"/>
              <w:right w:val="single" w:color="auto" w:sz="4" w:space="0"/>
            </w:tcBorders>
            <w:noWrap/>
            <w:vAlign w:val="center"/>
          </w:tcPr>
          <w:p>
            <w:pPr>
              <w:rPr>
                <w:color w:val="FF0000"/>
              </w:rPr>
            </w:pPr>
            <w:r>
              <w:rPr>
                <w:rFonts w:hint="eastAsia" w:ascii="仿宋_GB2312" w:hAnsi="宋体" w:eastAsia="仿宋_GB2312"/>
                <w:color w:val="FF0000"/>
                <w:sz w:val="24"/>
                <w:szCs w:val="24"/>
                <w:lang w:val="en-US" w:eastAsia="zh-CN"/>
              </w:rPr>
              <w:t>1.</w:t>
            </w:r>
            <w:r>
              <w:rPr>
                <w:rFonts w:hint="eastAsia" w:ascii="仿宋_GB2312" w:hAnsi="宋体" w:eastAsia="仿宋_GB2312"/>
                <w:color w:val="FF0000"/>
                <w:sz w:val="24"/>
                <w:szCs w:val="24"/>
              </w:rPr>
              <w:t>为保证广播系统时间的准确稳定，广播系统提供校时功能，并提供相关证明材料。（1分）</w:t>
            </w:r>
            <w:r>
              <w:rPr>
                <w:rFonts w:hint="eastAsia"/>
                <w:color w:val="FF0000"/>
                <w:sz w:val="28"/>
                <w:szCs w:val="28"/>
              </w:rPr>
              <w:t xml:space="preserve"> </w:t>
            </w:r>
          </w:p>
          <w:p>
            <w:pPr>
              <w:widowControl/>
              <w:jc w:val="left"/>
              <w:rPr>
                <w:rFonts w:hint="eastAsia" w:ascii="仿宋_GB2312" w:hAnsi="宋体" w:eastAsia="仿宋_GB2312"/>
                <w:color w:val="FF0000"/>
                <w:sz w:val="24"/>
                <w:szCs w:val="24"/>
                <w:lang w:eastAsia="zh-CN"/>
              </w:rPr>
            </w:pPr>
            <w:r>
              <w:rPr>
                <w:rFonts w:hint="eastAsia" w:ascii="仿宋_GB2312" w:hAnsi="宋体" w:eastAsia="仿宋_GB2312"/>
                <w:color w:val="FF0000"/>
                <w:sz w:val="24"/>
                <w:szCs w:val="24"/>
                <w:lang w:val="en-US" w:eastAsia="zh-CN"/>
              </w:rPr>
              <w:t>2.</w:t>
            </w:r>
            <w:r>
              <w:rPr>
                <w:rFonts w:hint="eastAsia" w:ascii="仿宋_GB2312" w:hAnsi="宋体" w:eastAsia="仿宋_GB2312"/>
                <w:color w:val="FF0000"/>
                <w:sz w:val="24"/>
                <w:szCs w:val="24"/>
              </w:rPr>
              <w:t>所投产品具有国家确定的认证机构出具的、处于有效期之内的节能产品认证证书的，每提供一个得1分，不符合不得分，并提供相关证明材料</w:t>
            </w:r>
            <w:r>
              <w:rPr>
                <w:rFonts w:hint="eastAsia" w:ascii="仿宋_GB2312" w:hAnsi="宋体" w:eastAsia="仿宋_GB2312"/>
                <w:color w:val="FF0000"/>
                <w:sz w:val="24"/>
                <w:szCs w:val="24"/>
                <w:lang w:eastAsia="zh-CN"/>
              </w:rPr>
              <w:t>，</w:t>
            </w:r>
            <w:r>
              <w:rPr>
                <w:rFonts w:hint="eastAsia" w:ascii="仿宋_GB2312" w:hAnsi="宋体" w:eastAsia="仿宋_GB2312"/>
                <w:color w:val="FF0000"/>
                <w:sz w:val="24"/>
                <w:szCs w:val="24"/>
              </w:rPr>
              <w:t>共2分。</w:t>
            </w:r>
            <w:r>
              <w:rPr>
                <w:rFonts w:hint="eastAsia" w:ascii="仿宋_GB2312" w:hAnsi="宋体" w:eastAsia="仿宋_GB2312"/>
                <w:color w:val="FF0000"/>
                <w:sz w:val="24"/>
                <w:szCs w:val="24"/>
                <w:lang w:eastAsia="zh-CN"/>
              </w:rPr>
              <w:t>（</w:t>
            </w:r>
            <w:r>
              <w:rPr>
                <w:rFonts w:hint="eastAsia" w:ascii="仿宋_GB2312" w:hAnsi="宋体" w:eastAsia="仿宋_GB2312"/>
                <w:color w:val="FF0000"/>
                <w:sz w:val="24"/>
                <w:szCs w:val="24"/>
                <w:lang w:val="en-US" w:eastAsia="zh-CN"/>
              </w:rPr>
              <w:t>2分</w:t>
            </w:r>
            <w:r>
              <w:rPr>
                <w:rFonts w:hint="eastAsia" w:ascii="仿宋_GB2312" w:hAnsi="宋体" w:eastAsia="仿宋_GB2312"/>
                <w:color w:val="FF0000"/>
                <w:sz w:val="24"/>
                <w:szCs w:val="24"/>
                <w:lang w:eastAsia="zh-CN"/>
              </w:rPr>
              <w:t>）</w:t>
            </w:r>
          </w:p>
          <w:p>
            <w:pPr>
              <w:widowControl/>
              <w:jc w:val="left"/>
              <w:rPr>
                <w:rFonts w:ascii="仿宋_GB2312" w:hAnsi="宋体" w:eastAsia="仿宋_GB2312"/>
                <w:sz w:val="24"/>
                <w:szCs w:val="24"/>
              </w:rPr>
            </w:pPr>
            <w:r>
              <w:rPr>
                <w:rFonts w:hint="eastAsia" w:ascii="仿宋_GB2312" w:hAnsi="宋体" w:eastAsia="仿宋_GB2312"/>
                <w:color w:val="FF0000"/>
                <w:sz w:val="24"/>
                <w:szCs w:val="24"/>
                <w:lang w:val="en-US" w:eastAsia="zh-CN"/>
              </w:rPr>
              <w:t>3.</w:t>
            </w:r>
            <w:r>
              <w:rPr>
                <w:rFonts w:hint="eastAsia" w:ascii="仿宋_GB2312" w:hAnsi="宋体" w:eastAsia="仿宋_GB2312"/>
                <w:color w:val="FF0000"/>
                <w:sz w:val="24"/>
                <w:szCs w:val="24"/>
              </w:rPr>
              <w:t>为保证功放的稳定性，所投功放生产厂家支持短路、过载、过热保护功能，并提供相关证明材料。（2分）</w:t>
            </w:r>
          </w:p>
        </w:tc>
        <w:tc>
          <w:tcPr>
            <w:tcW w:w="702" w:type="dxa"/>
            <w:tcBorders>
              <w:top w:val="single" w:color="auto" w:sz="4" w:space="0"/>
              <w:left w:val="nil"/>
              <w:bottom w:val="single" w:color="auto" w:sz="4" w:space="0"/>
              <w:right w:val="single" w:color="auto" w:sz="4" w:space="0"/>
            </w:tcBorders>
            <w:noWrap/>
            <w:vAlign w:val="center"/>
          </w:tcPr>
          <w:p>
            <w:pPr>
              <w:pStyle w:val="13"/>
              <w:ind w:firstLine="0" w:firstLineChars="0"/>
              <w:jc w:val="center"/>
              <w:rPr>
                <w:color w:val="FF0000"/>
              </w:rPr>
            </w:pPr>
            <w:r>
              <w:rPr>
                <w:rFonts w:hint="eastAsia" w:ascii="仿宋_GB2312" w:hAnsi="宋体" w:eastAsia="仿宋_GB2312"/>
                <w:color w:val="FF0000"/>
                <w:sz w:val="24"/>
                <w:szCs w:val="24"/>
                <w:lang w:val="en-US" w:eastAsia="zh-CN"/>
              </w:rPr>
              <w:t>5</w:t>
            </w:r>
          </w:p>
        </w:tc>
        <w:tc>
          <w:tcPr>
            <w:tcW w:w="1734" w:type="dxa"/>
            <w:tcBorders>
              <w:top w:val="single" w:color="auto" w:sz="4" w:space="0"/>
              <w:left w:val="nil"/>
              <w:bottom w:val="single" w:color="auto" w:sz="4" w:space="0"/>
              <w:right w:val="single" w:color="auto" w:sz="4" w:space="0"/>
            </w:tcBorders>
            <w:noWrap/>
            <w:vAlign w:val="center"/>
          </w:tcPr>
          <w:p>
            <w:pPr>
              <w:spacing w:beforeLines="50" w:afterLines="50"/>
              <w:jc w:val="center"/>
              <w:rPr>
                <w:rFonts w:hint="default" w:ascii="仿宋" w:eastAsia="仿宋"/>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trPr>
        <w:tc>
          <w:tcPr>
            <w:tcW w:w="7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exact"/>
              <w:jc w:val="center"/>
              <w:rPr>
                <w:rFonts w:hint="eastAsia" w:ascii="仿宋" w:hAnsi="仿宋" w:eastAsia="仿宋"/>
                <w:color w:val="000000"/>
                <w:sz w:val="24"/>
                <w:szCs w:val="24"/>
                <w:lang w:val="en-US" w:eastAsia="zh-CN"/>
              </w:rPr>
            </w:pPr>
            <w:r>
              <w:rPr>
                <w:rFonts w:hint="eastAsia" w:ascii="仿宋" w:hAnsi="仿宋" w:eastAsia="仿宋"/>
                <w:color w:val="000000"/>
                <w:sz w:val="24"/>
                <w:szCs w:val="24"/>
                <w:lang w:val="en-US" w:eastAsia="zh-CN"/>
              </w:rPr>
              <w:t>4</w:t>
            </w:r>
          </w:p>
        </w:tc>
        <w:tc>
          <w:tcPr>
            <w:tcW w:w="6095" w:type="dxa"/>
            <w:tcBorders>
              <w:top w:val="single" w:color="auto" w:sz="4" w:space="0"/>
              <w:left w:val="nil"/>
              <w:bottom w:val="single" w:color="auto" w:sz="4" w:space="0"/>
              <w:right w:val="single" w:color="auto" w:sz="4" w:space="0"/>
            </w:tcBorders>
            <w:noWrap/>
            <w:vAlign w:val="center"/>
          </w:tcPr>
          <w:p>
            <w:pPr>
              <w:rPr>
                <w:rFonts w:hint="eastAsia" w:ascii="仿宋_GB2312" w:hAnsi="宋体" w:eastAsia="仿宋_GB2312"/>
                <w:color w:val="FF0000"/>
                <w:sz w:val="24"/>
                <w:szCs w:val="24"/>
                <w:lang w:val="zh-CN" w:eastAsia="zh-CN"/>
              </w:rPr>
            </w:pPr>
            <w:r>
              <w:rPr>
                <w:rFonts w:hint="eastAsia" w:ascii="仿宋_GB2312" w:hAnsi="宋体" w:eastAsia="仿宋_GB2312"/>
                <w:color w:val="FF0000"/>
                <w:sz w:val="24"/>
                <w:szCs w:val="24"/>
                <w:lang w:val="zh-CN" w:eastAsia="zh-CN"/>
              </w:rPr>
              <w:t>1.投标人具有有效的</w:t>
            </w:r>
            <w:r>
              <w:rPr>
                <w:rFonts w:hint="eastAsia" w:ascii="仿宋_GB2312" w:hAnsi="宋体" w:eastAsia="仿宋_GB2312"/>
                <w:color w:val="FF0000"/>
                <w:sz w:val="24"/>
                <w:szCs w:val="24"/>
                <w:lang w:val="zh-CN"/>
              </w:rPr>
              <w:t>ISO9001</w:t>
            </w:r>
            <w:r>
              <w:rPr>
                <w:rFonts w:hint="eastAsia" w:ascii="仿宋_GB2312" w:hAnsi="宋体" w:eastAsia="仿宋_GB2312"/>
                <w:color w:val="FF0000"/>
                <w:sz w:val="24"/>
                <w:szCs w:val="24"/>
                <w:lang w:val="zh-CN" w:eastAsia="zh-CN"/>
              </w:rPr>
              <w:t>质量管理体系认证证书1分；</w:t>
            </w:r>
          </w:p>
          <w:p>
            <w:pPr>
              <w:rPr>
                <w:rFonts w:hint="eastAsia" w:ascii="仿宋_GB2312" w:hAnsi="宋体" w:eastAsia="仿宋_GB2312"/>
                <w:color w:val="FF0000"/>
                <w:sz w:val="24"/>
                <w:szCs w:val="24"/>
                <w:lang w:val="zh-CN" w:eastAsia="zh-CN"/>
              </w:rPr>
            </w:pPr>
            <w:r>
              <w:rPr>
                <w:rFonts w:hint="eastAsia" w:ascii="仿宋_GB2312" w:hAnsi="宋体" w:eastAsia="仿宋_GB2312"/>
                <w:color w:val="FF0000"/>
                <w:sz w:val="24"/>
                <w:szCs w:val="24"/>
                <w:lang w:val="zh-CN" w:eastAsia="zh-CN"/>
              </w:rPr>
              <w:t>2.投标人具有有效的</w:t>
            </w:r>
            <w:r>
              <w:rPr>
                <w:rFonts w:hint="eastAsia" w:ascii="仿宋_GB2312" w:hAnsi="宋体" w:eastAsia="仿宋_GB2312"/>
                <w:color w:val="FF0000"/>
                <w:sz w:val="24"/>
                <w:szCs w:val="24"/>
                <w:lang w:val="zh-CN"/>
              </w:rPr>
              <w:t>ISO14001</w:t>
            </w:r>
            <w:r>
              <w:rPr>
                <w:rFonts w:hint="eastAsia" w:ascii="仿宋_GB2312" w:hAnsi="宋体" w:eastAsia="仿宋_GB2312"/>
                <w:color w:val="FF0000"/>
                <w:sz w:val="24"/>
                <w:szCs w:val="24"/>
                <w:lang w:val="zh-CN" w:eastAsia="zh-CN"/>
              </w:rPr>
              <w:t>环境管理体系认证证书1分；</w:t>
            </w:r>
          </w:p>
          <w:p>
            <w:pPr>
              <w:rPr>
                <w:rFonts w:hint="eastAsia" w:ascii="仿宋_GB2312" w:hAnsi="宋体" w:eastAsia="仿宋_GB2312"/>
                <w:color w:val="FF0000"/>
                <w:sz w:val="24"/>
                <w:szCs w:val="24"/>
                <w:lang w:val="zh-CN" w:eastAsia="zh-CN"/>
              </w:rPr>
            </w:pPr>
            <w:r>
              <w:rPr>
                <w:rFonts w:hint="eastAsia" w:ascii="仿宋_GB2312" w:hAnsi="宋体" w:eastAsia="仿宋_GB2312"/>
                <w:color w:val="FF0000"/>
                <w:sz w:val="24"/>
                <w:szCs w:val="24"/>
                <w:lang w:val="zh-CN" w:eastAsia="zh-CN"/>
              </w:rPr>
              <w:t>3.投标人具有有效的中国职业健康安全管理体系认证证书</w:t>
            </w:r>
            <w:r>
              <w:rPr>
                <w:rFonts w:hint="eastAsia" w:ascii="仿宋_GB2312" w:hAnsi="宋体" w:eastAsia="仿宋_GB2312"/>
                <w:color w:val="FF0000"/>
                <w:sz w:val="24"/>
                <w:szCs w:val="24"/>
                <w:lang w:val="en-US" w:eastAsia="zh-CN"/>
              </w:rPr>
              <w:t>1</w:t>
            </w:r>
            <w:r>
              <w:rPr>
                <w:rFonts w:hint="eastAsia" w:ascii="仿宋_GB2312" w:hAnsi="宋体" w:eastAsia="仿宋_GB2312"/>
                <w:color w:val="FF0000"/>
                <w:sz w:val="24"/>
                <w:szCs w:val="24"/>
                <w:lang w:val="zh-CN" w:eastAsia="zh-CN"/>
              </w:rPr>
              <w:t>分；</w:t>
            </w:r>
          </w:p>
          <w:p>
            <w:pPr>
              <w:rPr>
                <w:rFonts w:hint="eastAsia" w:ascii="仿宋_GB2312" w:hAnsi="宋体" w:eastAsia="仿宋_GB2312"/>
                <w:color w:val="FF0000"/>
                <w:sz w:val="24"/>
                <w:szCs w:val="24"/>
                <w:lang w:val="en-US" w:eastAsia="zh-CN"/>
              </w:rPr>
            </w:pPr>
            <w:r>
              <w:rPr>
                <w:rFonts w:hint="eastAsia" w:ascii="仿宋_GB2312" w:hAnsi="宋体" w:eastAsia="仿宋_GB2312"/>
                <w:color w:val="FF0000"/>
                <w:sz w:val="24"/>
                <w:szCs w:val="24"/>
                <w:lang w:val="en-US" w:eastAsia="zh-CN"/>
              </w:rPr>
              <w:t xml:space="preserve">4. </w:t>
            </w:r>
            <w:r>
              <w:rPr>
                <w:rFonts w:hint="eastAsia" w:ascii="仿宋_GB2312" w:hAnsi="宋体" w:eastAsia="仿宋_GB2312"/>
                <w:color w:val="FF0000"/>
                <w:sz w:val="24"/>
                <w:szCs w:val="24"/>
                <w:lang w:val="zh-CN" w:eastAsia="zh-CN"/>
              </w:rPr>
              <w:t>投标人具有有效的</w:t>
            </w:r>
            <w:r>
              <w:rPr>
                <w:rFonts w:hint="eastAsia" w:ascii="仿宋_GB2312" w:hAnsi="宋体" w:eastAsia="仿宋_GB2312"/>
                <w:color w:val="FF0000"/>
                <w:sz w:val="24"/>
                <w:szCs w:val="24"/>
                <w:lang w:val="zh-CN"/>
              </w:rPr>
              <w:t>ISO20000</w:t>
            </w:r>
            <w:r>
              <w:rPr>
                <w:rFonts w:hint="eastAsia" w:ascii="仿宋_GB2312" w:hAnsi="宋体" w:eastAsia="仿宋_GB2312"/>
                <w:color w:val="FF0000"/>
                <w:sz w:val="24"/>
                <w:szCs w:val="24"/>
                <w:lang w:val="en-US" w:eastAsia="zh-CN"/>
              </w:rPr>
              <w:t>信息技术服务管理体系认证0.5分;</w:t>
            </w:r>
          </w:p>
          <w:p>
            <w:pPr>
              <w:rPr>
                <w:rFonts w:hint="eastAsia" w:ascii="仿宋_GB2312" w:hAnsi="宋体" w:eastAsia="仿宋_GB2312"/>
                <w:color w:val="FF0000"/>
                <w:sz w:val="24"/>
                <w:szCs w:val="24"/>
                <w:lang w:val="en-US" w:eastAsia="zh-CN"/>
              </w:rPr>
            </w:pPr>
            <w:r>
              <w:rPr>
                <w:rFonts w:hint="eastAsia" w:ascii="仿宋_GB2312" w:hAnsi="宋体" w:eastAsia="仿宋_GB2312"/>
                <w:color w:val="FF0000"/>
                <w:sz w:val="24"/>
                <w:szCs w:val="24"/>
                <w:lang w:val="en-US" w:eastAsia="zh-CN"/>
              </w:rPr>
              <w:t>5.</w:t>
            </w:r>
            <w:r>
              <w:rPr>
                <w:rFonts w:hint="eastAsia" w:ascii="仿宋_GB2312" w:hAnsi="宋体" w:eastAsia="仿宋_GB2312"/>
                <w:color w:val="FF0000"/>
                <w:sz w:val="24"/>
                <w:szCs w:val="24"/>
                <w:lang w:val="zh-CN"/>
              </w:rPr>
              <w:t>投标人具有有效的ISO27001</w:t>
            </w:r>
            <w:r>
              <w:rPr>
                <w:rFonts w:hint="eastAsia" w:ascii="仿宋_GB2312" w:hAnsi="宋体" w:eastAsia="仿宋_GB2312"/>
                <w:color w:val="FF0000"/>
                <w:sz w:val="24"/>
                <w:szCs w:val="24"/>
                <w:lang w:val="en-US" w:eastAsia="zh-CN"/>
              </w:rPr>
              <w:t>/GB/T 22080信息安全管理体系认证证书0.5分。</w:t>
            </w:r>
          </w:p>
          <w:p>
            <w:pPr>
              <w:rPr>
                <w:rFonts w:hint="default"/>
                <w:lang w:val="en-US" w:eastAsia="zh-CN"/>
              </w:rPr>
            </w:pPr>
            <w:r>
              <w:rPr>
                <w:rFonts w:hint="eastAsia" w:ascii="仿宋_GB2312" w:hAnsi="宋体" w:eastAsia="仿宋_GB2312"/>
                <w:color w:val="FF0000"/>
                <w:sz w:val="24"/>
                <w:szCs w:val="24"/>
                <w:lang w:val="zh-CN"/>
              </w:rPr>
              <w:t>（以上提供全国认证认可信息公共服务平台</w:t>
            </w:r>
            <w:r>
              <w:rPr>
                <w:rFonts w:hint="eastAsia" w:ascii="仿宋_GB2312" w:hAnsi="宋体" w:eastAsia="仿宋_GB2312"/>
                <w:color w:val="FF0000"/>
                <w:sz w:val="24"/>
                <w:szCs w:val="24"/>
                <w:lang w:val="zh-CN"/>
              </w:rPr>
              <w:fldChar w:fldCharType="begin"/>
            </w:r>
            <w:r>
              <w:rPr>
                <w:rFonts w:hint="eastAsia" w:ascii="仿宋_GB2312" w:hAnsi="宋体" w:eastAsia="仿宋_GB2312"/>
                <w:color w:val="FF0000"/>
                <w:sz w:val="24"/>
                <w:szCs w:val="24"/>
                <w:lang w:val="zh-CN"/>
              </w:rPr>
              <w:instrText xml:space="preserve"> HYPERLINK "http://cx.cnca.cn/CertECloud/result/skipResultList" </w:instrText>
            </w:r>
            <w:r>
              <w:rPr>
                <w:rFonts w:hint="eastAsia" w:ascii="仿宋_GB2312" w:hAnsi="宋体" w:eastAsia="仿宋_GB2312"/>
                <w:color w:val="FF0000"/>
                <w:sz w:val="24"/>
                <w:szCs w:val="24"/>
                <w:lang w:val="zh-CN"/>
              </w:rPr>
              <w:fldChar w:fldCharType="separate"/>
            </w:r>
            <w:r>
              <w:rPr>
                <w:rFonts w:hint="eastAsia" w:ascii="仿宋_GB2312" w:hAnsi="宋体" w:eastAsia="仿宋_GB2312"/>
                <w:color w:val="FF0000"/>
                <w:sz w:val="24"/>
                <w:szCs w:val="24"/>
                <w:lang w:val="zh-CN"/>
              </w:rPr>
              <w:t>http://cx.cnca.cn/CertECloud/result/skipResultList</w:t>
            </w:r>
            <w:r>
              <w:rPr>
                <w:rFonts w:hint="eastAsia" w:ascii="仿宋_GB2312" w:hAnsi="宋体" w:eastAsia="仿宋_GB2312"/>
                <w:color w:val="FF0000"/>
                <w:sz w:val="24"/>
                <w:szCs w:val="24"/>
                <w:lang w:val="zh-CN"/>
              </w:rPr>
              <w:fldChar w:fldCharType="end"/>
            </w:r>
            <w:r>
              <w:rPr>
                <w:rFonts w:hint="eastAsia" w:ascii="仿宋_GB2312" w:hAnsi="宋体" w:eastAsia="仿宋_GB2312"/>
                <w:color w:val="FF0000"/>
                <w:sz w:val="24"/>
                <w:szCs w:val="24"/>
                <w:lang w:val="zh-CN"/>
              </w:rPr>
              <w:t>可查截图，否则不得分）</w:t>
            </w:r>
          </w:p>
        </w:tc>
        <w:tc>
          <w:tcPr>
            <w:tcW w:w="702" w:type="dxa"/>
            <w:tcBorders>
              <w:top w:val="single" w:color="auto" w:sz="4" w:space="0"/>
              <w:left w:val="nil"/>
              <w:bottom w:val="single" w:color="auto" w:sz="4" w:space="0"/>
              <w:right w:val="single" w:color="auto" w:sz="4" w:space="0"/>
            </w:tcBorders>
            <w:noWrap/>
            <w:vAlign w:val="center"/>
          </w:tcPr>
          <w:p>
            <w:pPr>
              <w:pStyle w:val="13"/>
              <w:ind w:firstLine="0" w:firstLineChars="0"/>
              <w:jc w:val="center"/>
              <w:rPr>
                <w:rFonts w:hint="default" w:ascii="仿宋_GB2312" w:hAnsi="宋体" w:eastAsia="仿宋_GB2312"/>
                <w:color w:val="FF0000"/>
                <w:sz w:val="24"/>
                <w:szCs w:val="24"/>
                <w:lang w:val="en-US" w:eastAsia="zh-CN"/>
              </w:rPr>
            </w:pPr>
            <w:r>
              <w:rPr>
                <w:rFonts w:hint="eastAsia" w:ascii="仿宋_GB2312" w:hAnsi="宋体" w:eastAsia="仿宋_GB2312"/>
                <w:color w:val="FF0000"/>
                <w:sz w:val="24"/>
                <w:szCs w:val="24"/>
                <w:lang w:val="en-US" w:eastAsia="zh-CN"/>
              </w:rPr>
              <w:t>4</w:t>
            </w:r>
          </w:p>
        </w:tc>
        <w:tc>
          <w:tcPr>
            <w:tcW w:w="1734" w:type="dxa"/>
            <w:tcBorders>
              <w:top w:val="single" w:color="auto" w:sz="4" w:space="0"/>
              <w:left w:val="nil"/>
              <w:bottom w:val="single" w:color="auto" w:sz="4" w:space="0"/>
              <w:right w:val="single" w:color="auto" w:sz="4" w:space="0"/>
            </w:tcBorders>
            <w:noWrap/>
            <w:vAlign w:val="center"/>
          </w:tcPr>
          <w:p>
            <w:pPr>
              <w:spacing w:beforeLines="50" w:afterLines="50"/>
              <w:jc w:val="center"/>
              <w:rPr>
                <w:rFonts w:hint="default" w:ascii="仿宋" w:eastAsia="仿宋"/>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trPr>
        <w:tc>
          <w:tcPr>
            <w:tcW w:w="7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exact"/>
              <w:jc w:val="center"/>
              <w:rPr>
                <w:rFonts w:hint="eastAsia" w:ascii="仿宋" w:hAnsi="仿宋" w:eastAsia="仿宋"/>
                <w:color w:val="000000"/>
                <w:sz w:val="24"/>
                <w:szCs w:val="24"/>
                <w:lang w:eastAsia="zh-CN"/>
              </w:rPr>
            </w:pPr>
            <w:r>
              <w:rPr>
                <w:rFonts w:hint="eastAsia" w:ascii="仿宋" w:hAnsi="仿宋" w:eastAsia="仿宋"/>
                <w:color w:val="000000"/>
                <w:sz w:val="24"/>
                <w:szCs w:val="24"/>
                <w:lang w:val="en-US" w:eastAsia="zh-CN"/>
              </w:rPr>
              <w:t>5</w:t>
            </w:r>
          </w:p>
        </w:tc>
        <w:tc>
          <w:tcPr>
            <w:tcW w:w="6095" w:type="dxa"/>
            <w:tcBorders>
              <w:top w:val="single" w:color="auto" w:sz="4" w:space="0"/>
              <w:left w:val="nil"/>
              <w:bottom w:val="single" w:color="auto" w:sz="4" w:space="0"/>
              <w:right w:val="single" w:color="auto" w:sz="4" w:space="0"/>
            </w:tcBorders>
            <w:noWrap/>
            <w:vAlign w:val="center"/>
          </w:tcPr>
          <w:p>
            <w:pPr>
              <w:rPr>
                <w:rFonts w:ascii="仿宋_GB2312" w:hAnsi="宋体" w:eastAsia="仿宋_GB2312"/>
                <w:sz w:val="24"/>
                <w:szCs w:val="24"/>
              </w:rPr>
            </w:pPr>
            <w:r>
              <w:rPr>
                <w:rFonts w:hint="eastAsia" w:ascii="仿宋_GB2312" w:hAnsi="宋体" w:eastAsia="仿宋_GB2312"/>
                <w:sz w:val="24"/>
                <w:szCs w:val="24"/>
              </w:rPr>
              <w:t>1.为本项目构建稳定的不少于5人的项目团队。团队每个成员的工作履历及能力说明，须提供项目负责人、专业技术人员与本项目有关的能力证明以及和供应商之间的关系证明，包括但不限于职称证明、社保证明等材料。（3分）</w:t>
            </w:r>
          </w:p>
          <w:p>
            <w:pPr>
              <w:rPr>
                <w:rFonts w:hint="eastAsia" w:ascii="仿宋_GB2312" w:hAnsi="宋体" w:eastAsia="仿宋_GB2312"/>
                <w:sz w:val="24"/>
                <w:szCs w:val="24"/>
              </w:rPr>
            </w:pPr>
            <w:r>
              <w:rPr>
                <w:rFonts w:hint="eastAsia" w:ascii="仿宋_GB2312" w:hAnsi="宋体" w:eastAsia="仿宋_GB2312"/>
                <w:sz w:val="24"/>
                <w:szCs w:val="24"/>
              </w:rPr>
              <w:t>2.项目负责人具有IT服务项目经理证书、</w:t>
            </w:r>
            <w:r>
              <w:rPr>
                <w:rFonts w:hint="eastAsia" w:ascii="仿宋_GB2312" w:hAnsi="宋体" w:eastAsia="仿宋_GB2312"/>
                <w:color w:val="000000"/>
                <w:sz w:val="24"/>
                <w:szCs w:val="24"/>
              </w:rPr>
              <w:t>网络管理员证书</w:t>
            </w:r>
            <w:r>
              <w:rPr>
                <w:rFonts w:hint="eastAsia" w:ascii="仿宋_GB2312" w:hAnsi="宋体" w:eastAsia="仿宋_GB2312"/>
                <w:sz w:val="24"/>
                <w:szCs w:val="24"/>
              </w:rPr>
              <w:t>、音响调音员证书，每个证书得1分，共3分。（3分）</w:t>
            </w:r>
          </w:p>
          <w:p>
            <w:pPr>
              <w:pStyle w:val="12"/>
              <w:ind w:firstLine="0" w:firstLineChars="0"/>
            </w:pPr>
            <w:r>
              <w:rPr>
                <w:rFonts w:hint="eastAsia" w:ascii="仿宋_GB2312" w:hAnsi="宋体" w:eastAsia="仿宋_GB2312"/>
                <w:sz w:val="24"/>
                <w:szCs w:val="24"/>
              </w:rPr>
              <w:t>（以上相关人员须近三个月的社保缴费证明和各种资格证书复印件并加盖投标人公章）</w:t>
            </w:r>
          </w:p>
        </w:tc>
        <w:tc>
          <w:tcPr>
            <w:tcW w:w="702" w:type="dxa"/>
            <w:tcBorders>
              <w:top w:val="single" w:color="auto" w:sz="4" w:space="0"/>
              <w:left w:val="nil"/>
              <w:bottom w:val="single" w:color="auto" w:sz="4" w:space="0"/>
              <w:right w:val="single" w:color="auto" w:sz="4" w:space="0"/>
            </w:tcBorders>
            <w:noWrap/>
            <w:vAlign w:val="center"/>
          </w:tcPr>
          <w:p>
            <w:pPr>
              <w:spacing w:beforeLines="50" w:afterLines="50"/>
              <w:jc w:val="center"/>
              <w:rPr>
                <w:rFonts w:ascii="仿宋" w:eastAsia="仿宋"/>
                <w:sz w:val="24"/>
                <w:szCs w:val="24"/>
              </w:rPr>
            </w:pPr>
            <w:r>
              <w:rPr>
                <w:rFonts w:hint="eastAsia" w:ascii="仿宋" w:hAnsi="仿宋" w:eastAsia="仿宋"/>
                <w:sz w:val="24"/>
                <w:szCs w:val="24"/>
              </w:rPr>
              <w:t>6</w:t>
            </w:r>
          </w:p>
        </w:tc>
        <w:tc>
          <w:tcPr>
            <w:tcW w:w="1734" w:type="dxa"/>
            <w:tcBorders>
              <w:top w:val="single" w:color="auto" w:sz="4" w:space="0"/>
              <w:left w:val="nil"/>
              <w:bottom w:val="single" w:color="auto" w:sz="4" w:space="0"/>
              <w:right w:val="single" w:color="auto" w:sz="4" w:space="0"/>
            </w:tcBorders>
            <w:noWrap/>
            <w:vAlign w:val="center"/>
          </w:tcPr>
          <w:p>
            <w:pPr>
              <w:spacing w:beforeLines="50" w:afterLines="50"/>
              <w:jc w:val="center"/>
              <w:rPr>
                <w:rFonts w:asci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7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exact"/>
              <w:jc w:val="center"/>
              <w:rPr>
                <w:rFonts w:hint="eastAsia" w:ascii="仿宋" w:hAnsi="仿宋" w:eastAsia="仿宋"/>
                <w:color w:val="000000"/>
                <w:sz w:val="24"/>
                <w:szCs w:val="24"/>
                <w:lang w:eastAsia="zh-CN"/>
              </w:rPr>
            </w:pPr>
            <w:r>
              <w:rPr>
                <w:rFonts w:hint="eastAsia" w:ascii="仿宋" w:hAnsi="仿宋" w:eastAsia="仿宋"/>
                <w:color w:val="000000"/>
                <w:sz w:val="24"/>
                <w:szCs w:val="24"/>
                <w:lang w:val="en-US" w:eastAsia="zh-CN"/>
              </w:rPr>
              <w:t>6</w:t>
            </w:r>
          </w:p>
        </w:tc>
        <w:tc>
          <w:tcPr>
            <w:tcW w:w="6095" w:type="dxa"/>
            <w:tcBorders>
              <w:top w:val="single" w:color="auto" w:sz="4" w:space="0"/>
              <w:left w:val="nil"/>
              <w:bottom w:val="single" w:color="auto" w:sz="4" w:space="0"/>
              <w:right w:val="single" w:color="auto" w:sz="4" w:space="0"/>
            </w:tcBorders>
            <w:noWrap/>
            <w:vAlign w:val="center"/>
          </w:tcPr>
          <w:p>
            <w:pPr>
              <w:rPr>
                <w:rFonts w:ascii="仿宋" w:hAnsi="仿宋" w:eastAsia="仿宋"/>
                <w:sz w:val="24"/>
                <w:szCs w:val="24"/>
              </w:rPr>
            </w:pPr>
            <w:r>
              <w:rPr>
                <w:rFonts w:hint="eastAsia" w:ascii="仿宋" w:hAnsi="仿宋" w:eastAsia="仿宋"/>
                <w:sz w:val="24"/>
                <w:szCs w:val="24"/>
              </w:rPr>
              <w:t>提出合理的项目整体实施方案，能按照项目分解节点，并可跟踪实施。确保供货质量的措施，安装、调试、验收方案、工期进度表等内容是否要求合理进行打分。（2分）</w:t>
            </w:r>
          </w:p>
        </w:tc>
        <w:tc>
          <w:tcPr>
            <w:tcW w:w="702" w:type="dxa"/>
            <w:tcBorders>
              <w:top w:val="single" w:color="auto" w:sz="4" w:space="0"/>
              <w:left w:val="nil"/>
              <w:bottom w:val="single" w:color="auto" w:sz="4" w:space="0"/>
              <w:right w:val="single" w:color="auto" w:sz="4" w:space="0"/>
            </w:tcBorders>
            <w:noWrap/>
            <w:vAlign w:val="center"/>
          </w:tcPr>
          <w:p>
            <w:pPr>
              <w:spacing w:beforeLines="50" w:afterLines="50"/>
              <w:jc w:val="center"/>
              <w:rPr>
                <w:rFonts w:ascii="仿宋" w:eastAsia="仿宋"/>
                <w:sz w:val="24"/>
                <w:szCs w:val="24"/>
              </w:rPr>
            </w:pPr>
            <w:r>
              <w:rPr>
                <w:rFonts w:hint="eastAsia" w:ascii="仿宋" w:hAnsi="仿宋" w:eastAsia="仿宋"/>
                <w:sz w:val="24"/>
                <w:szCs w:val="24"/>
              </w:rPr>
              <w:t>2</w:t>
            </w:r>
          </w:p>
        </w:tc>
        <w:tc>
          <w:tcPr>
            <w:tcW w:w="1734" w:type="dxa"/>
            <w:tcBorders>
              <w:top w:val="single" w:color="auto" w:sz="4" w:space="0"/>
              <w:left w:val="nil"/>
              <w:bottom w:val="single" w:color="auto" w:sz="4" w:space="0"/>
              <w:right w:val="single" w:color="auto" w:sz="4" w:space="0"/>
            </w:tcBorders>
            <w:noWrap/>
            <w:vAlign w:val="center"/>
          </w:tcPr>
          <w:p>
            <w:pPr>
              <w:spacing w:beforeLines="50" w:afterLines="50"/>
              <w:jc w:val="center"/>
              <w:rPr>
                <w:rFonts w:asci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trPr>
        <w:tc>
          <w:tcPr>
            <w:tcW w:w="7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exact"/>
              <w:jc w:val="center"/>
              <w:rPr>
                <w:rFonts w:hint="eastAsia" w:ascii="仿宋" w:hAnsi="仿宋" w:eastAsia="仿宋"/>
                <w:color w:val="000000"/>
                <w:sz w:val="24"/>
                <w:szCs w:val="24"/>
                <w:lang w:eastAsia="zh-CN"/>
              </w:rPr>
            </w:pPr>
            <w:r>
              <w:rPr>
                <w:rFonts w:hint="eastAsia" w:ascii="仿宋" w:hAnsi="仿宋" w:eastAsia="仿宋"/>
                <w:color w:val="000000"/>
                <w:sz w:val="24"/>
                <w:szCs w:val="24"/>
                <w:lang w:val="en-US" w:eastAsia="zh-CN"/>
              </w:rPr>
              <w:t>7</w:t>
            </w:r>
          </w:p>
        </w:tc>
        <w:tc>
          <w:tcPr>
            <w:tcW w:w="6095" w:type="dxa"/>
            <w:tcBorders>
              <w:top w:val="single" w:color="auto" w:sz="4" w:space="0"/>
              <w:left w:val="nil"/>
              <w:bottom w:val="single" w:color="auto" w:sz="4" w:space="0"/>
              <w:right w:val="single" w:color="auto" w:sz="4" w:space="0"/>
            </w:tcBorders>
            <w:noWrap/>
            <w:vAlign w:val="center"/>
          </w:tcPr>
          <w:p>
            <w:pPr>
              <w:rPr>
                <w:rFonts w:ascii="仿宋" w:eastAsia="仿宋"/>
                <w:color w:val="000000"/>
                <w:sz w:val="24"/>
                <w:szCs w:val="24"/>
              </w:rPr>
            </w:pPr>
            <w:r>
              <w:rPr>
                <w:rFonts w:hint="eastAsia" w:ascii="仿宋" w:hAnsi="仿宋" w:eastAsia="仿宋"/>
                <w:sz w:val="24"/>
                <w:szCs w:val="24"/>
              </w:rPr>
              <w:t>投标人提出培训计划、地点、组织、人员配备、软硬件资料等内容是否完整、科学合理，费用计入总报价。（2分）</w:t>
            </w:r>
          </w:p>
        </w:tc>
        <w:tc>
          <w:tcPr>
            <w:tcW w:w="702" w:type="dxa"/>
            <w:tcBorders>
              <w:top w:val="single" w:color="auto" w:sz="4" w:space="0"/>
              <w:left w:val="nil"/>
              <w:bottom w:val="single" w:color="auto" w:sz="4" w:space="0"/>
              <w:right w:val="single" w:color="auto" w:sz="4" w:space="0"/>
            </w:tcBorders>
            <w:noWrap/>
            <w:vAlign w:val="center"/>
          </w:tcPr>
          <w:p>
            <w:pPr>
              <w:spacing w:beforeLines="50" w:afterLines="50"/>
              <w:jc w:val="center"/>
              <w:rPr>
                <w:rFonts w:ascii="仿宋" w:eastAsia="仿宋"/>
                <w:sz w:val="24"/>
                <w:szCs w:val="24"/>
              </w:rPr>
            </w:pPr>
            <w:r>
              <w:rPr>
                <w:rFonts w:hint="eastAsia" w:ascii="仿宋" w:hAnsi="仿宋" w:eastAsia="仿宋"/>
                <w:sz w:val="24"/>
                <w:szCs w:val="24"/>
              </w:rPr>
              <w:t>2</w:t>
            </w:r>
          </w:p>
        </w:tc>
        <w:tc>
          <w:tcPr>
            <w:tcW w:w="1734" w:type="dxa"/>
            <w:tcBorders>
              <w:top w:val="single" w:color="auto" w:sz="4" w:space="0"/>
              <w:left w:val="nil"/>
              <w:bottom w:val="single" w:color="auto" w:sz="4" w:space="0"/>
              <w:right w:val="single" w:color="auto" w:sz="4" w:space="0"/>
            </w:tcBorders>
            <w:noWrap/>
            <w:vAlign w:val="center"/>
          </w:tcPr>
          <w:p>
            <w:pPr>
              <w:spacing w:beforeLines="50" w:afterLines="50"/>
              <w:jc w:val="center"/>
              <w:rPr>
                <w:rFonts w:asci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7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exact"/>
              <w:jc w:val="center"/>
              <w:rPr>
                <w:rFonts w:hint="eastAsia" w:ascii="仿宋" w:hAnsi="仿宋" w:eastAsia="仿宋"/>
                <w:color w:val="000000"/>
                <w:sz w:val="24"/>
                <w:szCs w:val="24"/>
                <w:lang w:eastAsia="zh-CN"/>
              </w:rPr>
            </w:pPr>
            <w:r>
              <w:rPr>
                <w:rFonts w:hint="eastAsia" w:ascii="仿宋" w:hAnsi="仿宋" w:eastAsia="仿宋"/>
                <w:color w:val="000000"/>
                <w:sz w:val="24"/>
                <w:szCs w:val="24"/>
                <w:lang w:val="en-US" w:eastAsia="zh-CN"/>
              </w:rPr>
              <w:t>8</w:t>
            </w:r>
          </w:p>
        </w:tc>
        <w:tc>
          <w:tcPr>
            <w:tcW w:w="6095" w:type="dxa"/>
            <w:tcBorders>
              <w:top w:val="single" w:color="auto" w:sz="4" w:space="0"/>
              <w:left w:val="nil"/>
              <w:bottom w:val="single" w:color="auto" w:sz="4" w:space="0"/>
              <w:right w:val="single" w:color="auto" w:sz="4" w:space="0"/>
            </w:tcBorders>
            <w:noWrap/>
            <w:vAlign w:val="center"/>
          </w:tcPr>
          <w:p>
            <w:pPr>
              <w:rPr>
                <w:rFonts w:ascii="仿宋" w:hAnsi="仿宋" w:eastAsia="仿宋" w:cs="仿宋_GB2312"/>
                <w:sz w:val="24"/>
                <w:szCs w:val="24"/>
              </w:rPr>
            </w:pPr>
            <w:r>
              <w:rPr>
                <w:rFonts w:hint="eastAsia" w:ascii="仿宋" w:hAnsi="仿宋" w:eastAsia="仿宋" w:cs="仿宋_GB2312"/>
                <w:sz w:val="24"/>
                <w:szCs w:val="24"/>
              </w:rPr>
              <w:t>1.提供详细完整的“三包”措施及售后服务措施和方案（包括服务措施、产品质量保证、回访、梅季的养护等）。根据供应商提供的方案与采购需求的匹配情况打分；（2分）</w:t>
            </w:r>
          </w:p>
          <w:p>
            <w:pPr>
              <w:pStyle w:val="4"/>
              <w:ind w:firstLine="0" w:firstLineChars="0"/>
            </w:pPr>
            <w:r>
              <w:rPr>
                <w:rFonts w:hint="eastAsia" w:ascii="仿宋" w:hAnsi="仿宋" w:eastAsia="仿宋" w:cs="仿宋_GB2312"/>
                <w:sz w:val="24"/>
                <w:szCs w:val="24"/>
              </w:rPr>
              <w:t>2.投标人提供的售后维护机构和人员等情况，是否具有较强的本地化服务能力，在本地是否拥有常驻服务和技术支持机构以及较强的专业技术队伍，能提供快速的售后服务响应。（2分）</w:t>
            </w:r>
          </w:p>
        </w:tc>
        <w:tc>
          <w:tcPr>
            <w:tcW w:w="702" w:type="dxa"/>
            <w:tcBorders>
              <w:top w:val="single" w:color="auto" w:sz="4" w:space="0"/>
              <w:left w:val="nil"/>
              <w:bottom w:val="single" w:color="auto" w:sz="4" w:space="0"/>
              <w:right w:val="single" w:color="auto" w:sz="4" w:space="0"/>
            </w:tcBorders>
            <w:noWrap/>
            <w:vAlign w:val="center"/>
          </w:tcPr>
          <w:p>
            <w:pPr>
              <w:spacing w:beforeLines="50" w:afterLines="50"/>
              <w:jc w:val="center"/>
              <w:rPr>
                <w:rFonts w:ascii="仿宋" w:eastAsia="仿宋"/>
                <w:sz w:val="24"/>
                <w:szCs w:val="24"/>
              </w:rPr>
            </w:pPr>
            <w:r>
              <w:rPr>
                <w:rFonts w:hint="eastAsia" w:ascii="仿宋" w:hAnsi="仿宋" w:eastAsia="仿宋"/>
                <w:sz w:val="24"/>
                <w:szCs w:val="24"/>
              </w:rPr>
              <w:t>4</w:t>
            </w:r>
          </w:p>
        </w:tc>
        <w:tc>
          <w:tcPr>
            <w:tcW w:w="1734" w:type="dxa"/>
            <w:tcBorders>
              <w:top w:val="single" w:color="auto" w:sz="4" w:space="0"/>
              <w:left w:val="nil"/>
              <w:bottom w:val="single" w:color="auto" w:sz="4" w:space="0"/>
              <w:right w:val="single" w:color="auto" w:sz="4" w:space="0"/>
            </w:tcBorders>
            <w:noWrap/>
            <w:vAlign w:val="center"/>
          </w:tcPr>
          <w:p>
            <w:pPr>
              <w:spacing w:beforeLines="50" w:afterLines="50"/>
              <w:jc w:val="center"/>
              <w:rPr>
                <w:rFonts w:asci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710"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仿宋" w:hAnsi="仿宋" w:eastAsia="仿宋"/>
                <w:b/>
                <w:bCs/>
                <w:kern w:val="0"/>
                <w:sz w:val="24"/>
                <w:szCs w:val="24"/>
                <w:lang w:eastAsia="zh-CN"/>
              </w:rPr>
            </w:pPr>
            <w:r>
              <w:rPr>
                <w:rFonts w:hint="eastAsia" w:ascii="仿宋" w:hAnsi="仿宋" w:eastAsia="仿宋"/>
                <w:color w:val="000000"/>
                <w:sz w:val="24"/>
                <w:szCs w:val="24"/>
                <w:lang w:val="en-US" w:eastAsia="zh-CN"/>
              </w:rPr>
              <w:t>9</w:t>
            </w:r>
          </w:p>
        </w:tc>
        <w:tc>
          <w:tcPr>
            <w:tcW w:w="6095" w:type="dxa"/>
            <w:tcBorders>
              <w:top w:val="single" w:color="auto" w:sz="4" w:space="0"/>
              <w:left w:val="nil"/>
              <w:bottom w:val="single" w:color="auto" w:sz="4" w:space="0"/>
              <w:right w:val="single" w:color="auto" w:sz="4" w:space="0"/>
            </w:tcBorders>
            <w:noWrap/>
            <w:vAlign w:val="center"/>
          </w:tcPr>
          <w:p>
            <w:pPr>
              <w:pStyle w:val="2"/>
              <w:ind w:firstLine="0"/>
              <w:rPr>
                <w:rFonts w:hint="eastAsia" w:ascii="仿宋" w:hAnsi="仿宋" w:eastAsia="仿宋" w:cs="仿宋_GB2312"/>
                <w:sz w:val="24"/>
                <w:szCs w:val="24"/>
              </w:rPr>
            </w:pPr>
            <w:r>
              <w:rPr>
                <w:rFonts w:hint="eastAsia" w:ascii="仿宋" w:hAnsi="仿宋" w:eastAsia="仿宋" w:cs="仿宋_GB2312"/>
                <w:b/>
                <w:bCs/>
                <w:sz w:val="24"/>
                <w:szCs w:val="24"/>
              </w:rPr>
              <w:t>样品功能演示</w:t>
            </w:r>
            <w:r>
              <w:rPr>
                <w:rFonts w:hint="eastAsia" w:ascii="仿宋" w:hAnsi="仿宋" w:eastAsia="仿宋" w:cs="仿宋_GB2312"/>
                <w:sz w:val="24"/>
                <w:szCs w:val="24"/>
              </w:rPr>
              <w:t>（6分）：</w:t>
            </w:r>
          </w:p>
          <w:p>
            <w:pPr>
              <w:pStyle w:val="2"/>
              <w:ind w:firstLine="0"/>
              <w:rPr>
                <w:rFonts w:hint="eastAsia" w:ascii="仿宋" w:hAnsi="仿宋" w:eastAsia="仿宋" w:cs="仿宋_GB2312"/>
                <w:sz w:val="24"/>
                <w:szCs w:val="24"/>
              </w:rPr>
            </w:pPr>
            <w:r>
              <w:rPr>
                <w:rFonts w:hint="eastAsia" w:ascii="仿宋" w:hAnsi="仿宋" w:eastAsia="仿宋" w:cs="仿宋_GB2312"/>
                <w:sz w:val="24"/>
                <w:szCs w:val="24"/>
              </w:rPr>
              <w:t>1.为确保网络广播系统的兼容性，主机具有Linux系统，任意PC、移动平台的浏览器均可登录远程操作，通过远程控制广播终端，现场播放的声音清晰且明亮的；（2分）</w:t>
            </w:r>
          </w:p>
          <w:p>
            <w:pPr>
              <w:pStyle w:val="2"/>
              <w:ind w:firstLine="0"/>
              <w:rPr>
                <w:rFonts w:hint="eastAsia" w:ascii="仿宋" w:hAnsi="仿宋" w:eastAsia="仿宋" w:cs="仿宋_GB2312"/>
                <w:color w:val="FF0000"/>
                <w:sz w:val="24"/>
                <w:szCs w:val="24"/>
              </w:rPr>
            </w:pPr>
            <w:r>
              <w:rPr>
                <w:rFonts w:hint="eastAsia" w:ascii="仿宋" w:hAnsi="仿宋" w:eastAsia="仿宋" w:cs="仿宋_GB2312"/>
                <w:color w:val="FF0000"/>
                <w:sz w:val="24"/>
                <w:szCs w:val="24"/>
              </w:rPr>
              <w:t>2.为满足使用的便捷性，控制主机须具有音效调节功能：支持低音增强，支持单双声道混合输出，支持网络音频与线路输入音频混合输出，现场播放的声音变化，流畅且明显的；（2分）</w:t>
            </w:r>
          </w:p>
          <w:p>
            <w:pPr>
              <w:pStyle w:val="2"/>
              <w:ind w:firstLine="0"/>
              <w:rPr>
                <w:rFonts w:hint="eastAsia" w:ascii="仿宋" w:hAnsi="仿宋" w:eastAsia="仿宋" w:cs="仿宋_GB2312"/>
                <w:sz w:val="24"/>
                <w:szCs w:val="24"/>
              </w:rPr>
            </w:pPr>
            <w:r>
              <w:rPr>
                <w:rFonts w:hint="eastAsia" w:ascii="仿宋" w:hAnsi="仿宋" w:eastAsia="仿宋" w:cs="仿宋_GB2312"/>
                <w:sz w:val="24"/>
                <w:szCs w:val="24"/>
              </w:rPr>
              <w:t>3.为了保证系统的交互安全性，需要演示具有强大的VOIP中继服务器，支持与Cisco、Avaya、HUAWEI、3CX等国内外知名VOIP服务器无缝桥接，能够实现多系统间语音、视频、文本信息交互功能的；（2分）</w:t>
            </w:r>
          </w:p>
          <w:p>
            <w:pPr>
              <w:pStyle w:val="2"/>
              <w:ind w:firstLine="0"/>
            </w:pPr>
            <w:r>
              <w:rPr>
                <w:rFonts w:hint="eastAsia" w:ascii="仿宋" w:hAnsi="仿宋" w:eastAsia="仿宋" w:cs="仿宋_GB2312"/>
                <w:sz w:val="24"/>
                <w:szCs w:val="24"/>
              </w:rPr>
              <w:t>注：演示需要准备的设备及相关体现演示功能的测试设备，请投标人自行配备。</w:t>
            </w:r>
          </w:p>
        </w:tc>
        <w:tc>
          <w:tcPr>
            <w:tcW w:w="702" w:type="dxa"/>
            <w:tcBorders>
              <w:top w:val="single" w:color="auto" w:sz="4" w:space="0"/>
              <w:left w:val="nil"/>
              <w:bottom w:val="single" w:color="auto" w:sz="4" w:space="0"/>
              <w:right w:val="single" w:color="auto" w:sz="4" w:space="0"/>
            </w:tcBorders>
            <w:noWrap/>
            <w:vAlign w:val="center"/>
          </w:tcPr>
          <w:p>
            <w:pPr>
              <w:spacing w:beforeLines="50" w:afterLines="50"/>
              <w:jc w:val="center"/>
              <w:rPr>
                <w:rFonts w:hint="eastAsia" w:ascii="仿宋" w:eastAsia="仿宋"/>
                <w:color w:val="FF0000"/>
                <w:sz w:val="24"/>
                <w:szCs w:val="24"/>
                <w:lang w:eastAsia="zh-CN"/>
              </w:rPr>
            </w:pPr>
            <w:r>
              <w:rPr>
                <w:rFonts w:hint="eastAsia" w:ascii="仿宋" w:hAnsi="仿宋" w:eastAsia="仿宋"/>
                <w:sz w:val="24"/>
                <w:szCs w:val="24"/>
                <w:lang w:val="en-US" w:eastAsia="zh-CN"/>
              </w:rPr>
              <w:t>6</w:t>
            </w:r>
          </w:p>
        </w:tc>
        <w:tc>
          <w:tcPr>
            <w:tcW w:w="1734" w:type="dxa"/>
            <w:tcBorders>
              <w:top w:val="single" w:color="auto" w:sz="4" w:space="0"/>
              <w:left w:val="nil"/>
              <w:bottom w:val="single" w:color="auto" w:sz="4" w:space="0"/>
              <w:right w:val="single" w:color="auto" w:sz="4" w:space="0"/>
            </w:tcBorders>
            <w:noWrap/>
            <w:vAlign w:val="center"/>
          </w:tcPr>
          <w:p>
            <w:pPr>
              <w:pStyle w:val="4"/>
              <w:rPr>
                <w:rFonts w:hint="default"/>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710" w:type="dxa"/>
            <w:tcBorders>
              <w:top w:val="single" w:color="auto" w:sz="4" w:space="0"/>
              <w:left w:val="single" w:color="auto" w:sz="4" w:space="0"/>
              <w:bottom w:val="single" w:color="auto" w:sz="4" w:space="0"/>
              <w:right w:val="single" w:color="auto" w:sz="4" w:space="0"/>
            </w:tcBorders>
            <w:noWrap/>
            <w:vAlign w:val="center"/>
          </w:tcPr>
          <w:p>
            <w:pPr>
              <w:jc w:val="center"/>
              <w:rPr>
                <w:rFonts w:hint="default" w:ascii="仿宋" w:hAnsi="仿宋" w:eastAsia="仿宋"/>
                <w:color w:val="000000"/>
                <w:sz w:val="24"/>
                <w:szCs w:val="24"/>
                <w:lang w:val="en-US" w:eastAsia="zh-CN"/>
              </w:rPr>
            </w:pPr>
            <w:r>
              <w:rPr>
                <w:rFonts w:hint="eastAsia" w:ascii="仿宋" w:hAnsi="仿宋" w:eastAsia="仿宋"/>
                <w:color w:val="000000"/>
                <w:sz w:val="24"/>
                <w:szCs w:val="24"/>
                <w:lang w:val="en-US" w:eastAsia="zh-CN"/>
              </w:rPr>
              <w:t>10</w:t>
            </w:r>
          </w:p>
        </w:tc>
        <w:tc>
          <w:tcPr>
            <w:tcW w:w="6095" w:type="dxa"/>
            <w:tcBorders>
              <w:top w:val="single" w:color="auto" w:sz="4" w:space="0"/>
              <w:left w:val="nil"/>
              <w:bottom w:val="single" w:color="auto" w:sz="4" w:space="0"/>
              <w:right w:val="single" w:color="auto" w:sz="4" w:space="0"/>
            </w:tcBorders>
            <w:noWrap/>
            <w:vAlign w:val="center"/>
          </w:tcPr>
          <w:p>
            <w:pPr>
              <w:pStyle w:val="2"/>
              <w:ind w:firstLine="0"/>
              <w:rPr>
                <w:rFonts w:hint="eastAsia" w:ascii="仿宋" w:hAnsi="仿宋" w:eastAsia="仿宋" w:cs="仿宋_GB2312"/>
                <w:sz w:val="24"/>
                <w:szCs w:val="24"/>
              </w:rPr>
            </w:pPr>
            <w:r>
              <w:rPr>
                <w:rFonts w:hint="eastAsia" w:ascii="仿宋" w:hAnsi="仿宋" w:eastAsia="仿宋" w:cs="仿宋_GB2312"/>
                <w:color w:val="FF0000"/>
                <w:sz w:val="24"/>
                <w:szCs w:val="24"/>
              </w:rPr>
              <w:t>根据投标人整体经营状况、技术力量</w:t>
            </w:r>
            <w:r>
              <w:rPr>
                <w:rFonts w:hint="eastAsia" w:ascii="仿宋" w:hAnsi="仿宋" w:eastAsia="仿宋" w:cs="仿宋_GB2312"/>
                <w:color w:val="FF0000"/>
                <w:sz w:val="24"/>
                <w:szCs w:val="24"/>
                <w:lang w:eastAsia="zh-CN"/>
              </w:rPr>
              <w:t>、</w:t>
            </w:r>
            <w:r>
              <w:rPr>
                <w:rFonts w:hint="eastAsia" w:ascii="仿宋" w:hAnsi="仿宋" w:eastAsia="仿宋" w:cs="仿宋_GB2312"/>
                <w:color w:val="FF0000"/>
                <w:sz w:val="24"/>
                <w:szCs w:val="24"/>
              </w:rPr>
              <w:t>市场评价、履约能力等体现投标人的综合实力的情况进行评分。需提供的相关证明材料等情况。</w:t>
            </w:r>
          </w:p>
        </w:tc>
        <w:tc>
          <w:tcPr>
            <w:tcW w:w="702" w:type="dxa"/>
            <w:tcBorders>
              <w:top w:val="single" w:color="auto" w:sz="4" w:space="0"/>
              <w:left w:val="nil"/>
              <w:bottom w:val="single" w:color="auto" w:sz="4" w:space="0"/>
              <w:right w:val="single" w:color="auto" w:sz="4" w:space="0"/>
            </w:tcBorders>
            <w:noWrap/>
            <w:vAlign w:val="center"/>
          </w:tcPr>
          <w:p>
            <w:pPr>
              <w:spacing w:beforeLines="50" w:afterLines="50"/>
              <w:jc w:val="center"/>
              <w:rPr>
                <w:rFonts w:hint="default" w:ascii="仿宋" w:hAnsi="仿宋" w:eastAsia="仿宋"/>
                <w:sz w:val="24"/>
                <w:szCs w:val="24"/>
                <w:lang w:val="en-US" w:eastAsia="zh-CN"/>
              </w:rPr>
            </w:pPr>
            <w:r>
              <w:rPr>
                <w:rFonts w:hint="eastAsia" w:ascii="仿宋" w:hAnsi="仿宋" w:eastAsia="仿宋"/>
                <w:sz w:val="24"/>
                <w:szCs w:val="24"/>
                <w:lang w:val="en-US" w:eastAsia="zh-CN"/>
              </w:rPr>
              <w:t>1</w:t>
            </w:r>
          </w:p>
        </w:tc>
        <w:tc>
          <w:tcPr>
            <w:tcW w:w="1734" w:type="dxa"/>
            <w:tcBorders>
              <w:top w:val="single" w:color="auto" w:sz="4" w:space="0"/>
              <w:left w:val="nil"/>
              <w:bottom w:val="single" w:color="auto" w:sz="4" w:space="0"/>
              <w:right w:val="single" w:color="auto" w:sz="4" w:space="0"/>
            </w:tcBorders>
            <w:noWrap/>
            <w:vAlign w:val="center"/>
          </w:tcPr>
          <w:p>
            <w:pPr>
              <w:pStyle w:val="4"/>
              <w:rPr>
                <w:rFonts w:hint="eastAsia" w:ascii="仿宋" w:eastAsia="仿宋"/>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7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exact"/>
              <w:jc w:val="center"/>
              <w:rPr>
                <w:rFonts w:hint="default" w:ascii="仿宋" w:hAnsi="仿宋" w:eastAsia="仿宋"/>
                <w:color w:val="000000"/>
                <w:sz w:val="24"/>
                <w:szCs w:val="24"/>
                <w:lang w:val="en-US" w:eastAsia="zh-CN"/>
              </w:rPr>
            </w:pPr>
            <w:r>
              <w:rPr>
                <w:rFonts w:hint="eastAsia" w:ascii="仿宋" w:hAnsi="仿宋" w:eastAsia="仿宋"/>
                <w:color w:val="000000"/>
                <w:sz w:val="24"/>
                <w:szCs w:val="24"/>
                <w:lang w:val="en-US" w:eastAsia="zh-CN"/>
              </w:rPr>
              <w:t>11</w:t>
            </w:r>
          </w:p>
        </w:tc>
        <w:tc>
          <w:tcPr>
            <w:tcW w:w="6095" w:type="dxa"/>
            <w:tcBorders>
              <w:top w:val="single" w:color="auto" w:sz="4" w:space="0"/>
              <w:left w:val="nil"/>
              <w:bottom w:val="single" w:color="auto" w:sz="4" w:space="0"/>
              <w:right w:val="single" w:color="auto" w:sz="4" w:space="0"/>
            </w:tcBorders>
            <w:noWrap/>
            <w:vAlign w:val="center"/>
          </w:tcPr>
          <w:p>
            <w:pPr>
              <w:spacing w:line="320" w:lineRule="exact"/>
              <w:rPr>
                <w:rFonts w:ascii="仿宋" w:hAnsi="仿宋" w:eastAsia="仿宋" w:cs="仿宋_GB2312"/>
                <w:sz w:val="24"/>
                <w:szCs w:val="24"/>
              </w:rPr>
            </w:pPr>
            <w:r>
              <w:rPr>
                <w:rFonts w:hint="eastAsia" w:ascii="仿宋" w:hAnsi="仿宋" w:eastAsia="仿宋" w:cs="仿宋_GB2312"/>
                <w:sz w:val="24"/>
                <w:szCs w:val="24"/>
              </w:rPr>
              <w:t>1.投标人具有ITSS 信息技术服务运行维护标准符合性证书的得1分；</w:t>
            </w:r>
          </w:p>
          <w:p>
            <w:pPr>
              <w:pStyle w:val="12"/>
              <w:ind w:left="0" w:leftChars="0" w:firstLine="0" w:firstLineChars="0"/>
              <w:rPr>
                <w:rFonts w:hint="eastAsia" w:ascii="仿宋" w:hAnsi="仿宋" w:eastAsia="仿宋" w:cs="仿宋_GB2312"/>
                <w:sz w:val="24"/>
                <w:szCs w:val="24"/>
              </w:rPr>
            </w:pPr>
            <w:r>
              <w:rPr>
                <w:rFonts w:hint="eastAsia" w:ascii="仿宋" w:hAnsi="仿宋" w:eastAsia="仿宋" w:cs="仿宋_GB2312"/>
                <w:sz w:val="24"/>
                <w:szCs w:val="24"/>
              </w:rPr>
              <w:t>2.投标人拥有有效的软件著作权证书每个1分，最高2分。</w:t>
            </w:r>
          </w:p>
          <w:p>
            <w:pPr>
              <w:jc w:val="left"/>
            </w:pPr>
            <w:r>
              <w:rPr>
                <w:rFonts w:hint="eastAsia" w:ascii="仿宋" w:hAnsi="仿宋" w:eastAsia="仿宋" w:cs="仿宋_GB2312"/>
                <w:sz w:val="24"/>
                <w:szCs w:val="24"/>
              </w:rPr>
              <w:t>（须提供有效期内加盖公章的证书扫描件，原件备查，不提供不得分。）</w:t>
            </w:r>
          </w:p>
        </w:tc>
        <w:tc>
          <w:tcPr>
            <w:tcW w:w="702" w:type="dxa"/>
            <w:tcBorders>
              <w:top w:val="single" w:color="auto" w:sz="4" w:space="0"/>
              <w:left w:val="nil"/>
              <w:bottom w:val="single" w:color="auto" w:sz="4" w:space="0"/>
              <w:right w:val="single" w:color="auto" w:sz="4" w:space="0"/>
            </w:tcBorders>
            <w:noWrap/>
            <w:vAlign w:val="center"/>
          </w:tcPr>
          <w:p>
            <w:pPr>
              <w:spacing w:beforeLines="50" w:afterLines="50"/>
              <w:jc w:val="center"/>
              <w:rPr>
                <w:rFonts w:ascii="仿宋" w:eastAsia="仿宋"/>
                <w:sz w:val="24"/>
                <w:szCs w:val="24"/>
              </w:rPr>
            </w:pPr>
            <w:r>
              <w:rPr>
                <w:rFonts w:hint="eastAsia" w:ascii="仿宋" w:hAnsi="仿宋" w:eastAsia="仿宋"/>
                <w:sz w:val="24"/>
                <w:szCs w:val="24"/>
              </w:rPr>
              <w:t>3</w:t>
            </w:r>
          </w:p>
        </w:tc>
        <w:tc>
          <w:tcPr>
            <w:tcW w:w="1734" w:type="dxa"/>
            <w:tcBorders>
              <w:top w:val="single" w:color="auto" w:sz="4" w:space="0"/>
              <w:left w:val="nil"/>
              <w:bottom w:val="single" w:color="auto" w:sz="4" w:space="0"/>
              <w:right w:val="single" w:color="auto" w:sz="4" w:space="0"/>
            </w:tcBorders>
            <w:noWrap/>
            <w:vAlign w:val="center"/>
          </w:tcPr>
          <w:p>
            <w:pPr>
              <w:spacing w:beforeLines="50" w:afterLines="50"/>
              <w:jc w:val="center"/>
              <w:rPr>
                <w:rFonts w:asci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7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exact"/>
              <w:jc w:val="center"/>
              <w:rPr>
                <w:rFonts w:hint="default" w:ascii="仿宋" w:hAnsi="仿宋" w:eastAsia="仿宋"/>
                <w:color w:val="000000"/>
                <w:sz w:val="24"/>
                <w:szCs w:val="24"/>
                <w:lang w:val="en-US" w:eastAsia="zh-CN"/>
              </w:rPr>
            </w:pPr>
            <w:r>
              <w:rPr>
                <w:rFonts w:hint="eastAsia" w:ascii="仿宋" w:hAnsi="仿宋" w:eastAsia="仿宋"/>
                <w:color w:val="000000"/>
                <w:sz w:val="24"/>
                <w:szCs w:val="24"/>
                <w:lang w:val="en-US" w:eastAsia="zh-CN"/>
              </w:rPr>
              <w:t>12</w:t>
            </w:r>
          </w:p>
        </w:tc>
        <w:tc>
          <w:tcPr>
            <w:tcW w:w="6095" w:type="dxa"/>
            <w:tcBorders>
              <w:top w:val="single" w:color="auto" w:sz="4" w:space="0"/>
              <w:left w:val="nil"/>
              <w:bottom w:val="single" w:color="auto" w:sz="4" w:space="0"/>
              <w:right w:val="single" w:color="auto" w:sz="4" w:space="0"/>
            </w:tcBorders>
            <w:noWrap/>
            <w:vAlign w:val="center"/>
          </w:tcPr>
          <w:p>
            <w:pPr>
              <w:rPr>
                <w:rFonts w:ascii="仿宋_GB2312" w:hAnsi="宋体" w:eastAsia="仿宋_GB2312"/>
                <w:b/>
                <w:bCs/>
                <w:color w:val="000000"/>
                <w:sz w:val="24"/>
                <w:szCs w:val="24"/>
              </w:rPr>
            </w:pPr>
            <w:r>
              <w:rPr>
                <w:rFonts w:hint="eastAsia" w:ascii="仿宋" w:hAnsi="仿宋" w:eastAsia="仿宋" w:cs="仿宋_GB2312"/>
                <w:sz w:val="24"/>
                <w:szCs w:val="24"/>
              </w:rPr>
              <w:t>满足招标文件要求原厂质保3年不得分，每延长1年质保服务得1分，最高得2分。</w:t>
            </w:r>
          </w:p>
        </w:tc>
        <w:tc>
          <w:tcPr>
            <w:tcW w:w="702" w:type="dxa"/>
            <w:tcBorders>
              <w:top w:val="single" w:color="auto" w:sz="4" w:space="0"/>
              <w:left w:val="nil"/>
              <w:bottom w:val="single" w:color="auto" w:sz="4" w:space="0"/>
              <w:right w:val="single" w:color="auto" w:sz="4" w:space="0"/>
            </w:tcBorders>
            <w:noWrap/>
            <w:vAlign w:val="center"/>
          </w:tcPr>
          <w:p>
            <w:pPr>
              <w:spacing w:beforeLines="50" w:afterLines="50"/>
              <w:jc w:val="center"/>
              <w:rPr>
                <w:rFonts w:ascii="仿宋" w:eastAsia="仿宋"/>
                <w:sz w:val="24"/>
                <w:szCs w:val="24"/>
              </w:rPr>
            </w:pPr>
            <w:r>
              <w:rPr>
                <w:rFonts w:hint="eastAsia" w:ascii="仿宋" w:hAnsi="仿宋" w:eastAsia="仿宋"/>
                <w:sz w:val="24"/>
                <w:szCs w:val="24"/>
              </w:rPr>
              <w:t>2</w:t>
            </w:r>
          </w:p>
        </w:tc>
        <w:tc>
          <w:tcPr>
            <w:tcW w:w="1734" w:type="dxa"/>
            <w:tcBorders>
              <w:top w:val="single" w:color="auto" w:sz="4" w:space="0"/>
              <w:left w:val="nil"/>
              <w:bottom w:val="single" w:color="auto" w:sz="4" w:space="0"/>
              <w:right w:val="single" w:color="auto" w:sz="4" w:space="0"/>
            </w:tcBorders>
            <w:noWrap/>
            <w:vAlign w:val="center"/>
          </w:tcPr>
          <w:p>
            <w:pPr>
              <w:spacing w:beforeLines="50" w:afterLines="50"/>
              <w:jc w:val="center"/>
              <w:rPr>
                <w:rFonts w:asci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7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exact"/>
              <w:jc w:val="center"/>
              <w:rPr>
                <w:rFonts w:hint="eastAsia" w:ascii="仿宋" w:hAnsi="仿宋" w:eastAsia="仿宋"/>
                <w:color w:val="000000"/>
                <w:sz w:val="24"/>
                <w:szCs w:val="24"/>
                <w:lang w:eastAsia="zh-CN"/>
              </w:rPr>
            </w:pPr>
            <w:r>
              <w:rPr>
                <w:rFonts w:hint="eastAsia" w:ascii="仿宋" w:hAnsi="仿宋" w:eastAsia="仿宋"/>
                <w:color w:val="000000"/>
                <w:sz w:val="24"/>
                <w:szCs w:val="24"/>
              </w:rPr>
              <w:t>1</w:t>
            </w:r>
            <w:r>
              <w:rPr>
                <w:rFonts w:hint="eastAsia" w:ascii="仿宋" w:hAnsi="仿宋" w:eastAsia="仿宋"/>
                <w:color w:val="000000"/>
                <w:sz w:val="24"/>
                <w:szCs w:val="24"/>
                <w:lang w:val="en-US" w:eastAsia="zh-CN"/>
              </w:rPr>
              <w:t>3</w:t>
            </w:r>
          </w:p>
        </w:tc>
        <w:tc>
          <w:tcPr>
            <w:tcW w:w="6095" w:type="dxa"/>
            <w:tcBorders>
              <w:top w:val="single" w:color="auto" w:sz="4" w:space="0"/>
              <w:left w:val="nil"/>
              <w:bottom w:val="single" w:color="auto" w:sz="4" w:space="0"/>
              <w:right w:val="single" w:color="auto" w:sz="4" w:space="0"/>
            </w:tcBorders>
            <w:noWrap/>
            <w:vAlign w:val="center"/>
          </w:tcPr>
          <w:p>
            <w:pPr>
              <w:jc w:val="left"/>
              <w:rPr>
                <w:rFonts w:ascii="仿宋_GB2312" w:hAnsi="宋体" w:eastAsia="仿宋_GB2312"/>
                <w:b/>
                <w:bCs/>
                <w:color w:val="000000"/>
                <w:sz w:val="24"/>
                <w:szCs w:val="24"/>
              </w:rPr>
            </w:pPr>
            <w:r>
              <w:rPr>
                <w:rFonts w:hint="eastAsia" w:ascii="仿宋" w:hAnsi="仿宋" w:eastAsia="仿宋"/>
                <w:b/>
                <w:bCs/>
                <w:sz w:val="24"/>
                <w:szCs w:val="24"/>
              </w:rPr>
              <w:t>投标人同类项目案例：</w:t>
            </w:r>
            <w:r>
              <w:rPr>
                <w:rFonts w:hint="eastAsia" w:ascii="仿宋" w:hAnsi="仿宋" w:eastAsia="仿宋" w:cs="仿宋_GB2312"/>
                <w:sz w:val="24"/>
                <w:szCs w:val="24"/>
              </w:rPr>
              <w:t>2019年1月1日以来投标人承担类似项目的情况，结合已完工的项目案例和用户反映情况，须同时提供同一项目的合同复印件与用户验收报告等工程实例证明（原件备查，采购人在合同签订、履约期间，有权要求投标人出具投标文件中的主要业绩证明原件;如合同或用户验收报告等，予以确认其的真实性和有效性，如出现与事实不符等情况，将根据有关规定以</w:t>
            </w:r>
            <w:r>
              <w:rPr>
                <w:rFonts w:hint="eastAsia" w:ascii="仿宋" w:hAnsi="仿宋" w:eastAsia="仿宋" w:cs="宋体"/>
                <w:sz w:val="24"/>
                <w:szCs w:val="24"/>
              </w:rPr>
              <w:t>“</w:t>
            </w:r>
            <w:r>
              <w:rPr>
                <w:rFonts w:hint="eastAsia" w:ascii="仿宋" w:hAnsi="仿宋" w:eastAsia="仿宋" w:cs="仿宋_GB2312"/>
                <w:sz w:val="24"/>
                <w:szCs w:val="24"/>
              </w:rPr>
              <w:t>提供虚假材料谋取中标</w:t>
            </w:r>
            <w:r>
              <w:rPr>
                <w:rFonts w:hint="eastAsia" w:ascii="仿宋" w:hAnsi="仿宋" w:eastAsia="仿宋" w:cs="宋体"/>
                <w:sz w:val="24"/>
                <w:szCs w:val="24"/>
              </w:rPr>
              <w:t>”</w:t>
            </w:r>
            <w:r>
              <w:rPr>
                <w:rFonts w:hint="eastAsia" w:ascii="仿宋" w:hAnsi="仿宋" w:eastAsia="仿宋" w:cs="仿宋_GB2312"/>
                <w:sz w:val="24"/>
                <w:szCs w:val="24"/>
              </w:rPr>
              <w:t>予以处罚），提供完整合同复印件及用户验收报告</w:t>
            </w:r>
            <w:r>
              <w:rPr>
                <w:rFonts w:hint="eastAsia" w:ascii="仿宋" w:hAnsi="仿宋" w:eastAsia="仿宋"/>
                <w:sz w:val="24"/>
                <w:szCs w:val="24"/>
              </w:rPr>
              <w:t>每一个案例得1分，最高2分；未按要求提供完整材料的，不得分</w:t>
            </w:r>
            <w:r>
              <w:rPr>
                <w:rFonts w:hint="eastAsia" w:ascii="仿宋" w:hAnsi="仿宋" w:eastAsia="仿宋" w:cs="仿宋_GB2312"/>
                <w:sz w:val="24"/>
                <w:szCs w:val="24"/>
              </w:rPr>
              <w:t>。</w:t>
            </w:r>
          </w:p>
        </w:tc>
        <w:tc>
          <w:tcPr>
            <w:tcW w:w="702" w:type="dxa"/>
            <w:tcBorders>
              <w:top w:val="single" w:color="auto" w:sz="4" w:space="0"/>
              <w:left w:val="nil"/>
              <w:bottom w:val="single" w:color="auto" w:sz="4" w:space="0"/>
              <w:right w:val="single" w:color="auto" w:sz="4" w:space="0"/>
            </w:tcBorders>
            <w:noWrap/>
            <w:vAlign w:val="center"/>
          </w:tcPr>
          <w:p>
            <w:pPr>
              <w:spacing w:beforeLines="50" w:afterLines="50"/>
              <w:jc w:val="center"/>
              <w:rPr>
                <w:rFonts w:ascii="仿宋" w:eastAsia="仿宋"/>
                <w:sz w:val="24"/>
                <w:szCs w:val="24"/>
              </w:rPr>
            </w:pPr>
            <w:r>
              <w:rPr>
                <w:rFonts w:hint="eastAsia" w:ascii="仿宋" w:hAnsi="仿宋" w:eastAsia="仿宋"/>
                <w:sz w:val="24"/>
                <w:szCs w:val="24"/>
              </w:rPr>
              <w:t>2</w:t>
            </w:r>
          </w:p>
        </w:tc>
        <w:tc>
          <w:tcPr>
            <w:tcW w:w="1734" w:type="dxa"/>
            <w:tcBorders>
              <w:top w:val="single" w:color="auto" w:sz="4" w:space="0"/>
              <w:left w:val="nil"/>
              <w:bottom w:val="single" w:color="auto" w:sz="4" w:space="0"/>
              <w:right w:val="single" w:color="auto" w:sz="4" w:space="0"/>
            </w:tcBorders>
            <w:noWrap/>
            <w:vAlign w:val="center"/>
          </w:tcPr>
          <w:p>
            <w:pPr>
              <w:spacing w:beforeLines="50" w:afterLines="50"/>
              <w:jc w:val="center"/>
              <w:rPr>
                <w:rFonts w:asci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6" w:hRule="atLeast"/>
        </w:trPr>
        <w:tc>
          <w:tcPr>
            <w:tcW w:w="71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exact"/>
              <w:jc w:val="center"/>
              <w:rPr>
                <w:rFonts w:hint="eastAsia" w:ascii="仿宋" w:hAnsi="仿宋" w:eastAsia="仿宋"/>
                <w:color w:val="000000"/>
                <w:sz w:val="24"/>
                <w:szCs w:val="24"/>
                <w:lang w:eastAsia="zh-CN"/>
              </w:rPr>
            </w:pPr>
            <w:r>
              <w:rPr>
                <w:rFonts w:hint="eastAsia" w:ascii="仿宋" w:hAnsi="仿宋" w:eastAsia="仿宋"/>
                <w:color w:val="000000"/>
                <w:sz w:val="24"/>
                <w:szCs w:val="24"/>
              </w:rPr>
              <w:t>1</w:t>
            </w:r>
            <w:r>
              <w:rPr>
                <w:rFonts w:hint="eastAsia" w:ascii="仿宋" w:hAnsi="仿宋" w:eastAsia="仿宋"/>
                <w:color w:val="000000"/>
                <w:sz w:val="24"/>
                <w:szCs w:val="24"/>
                <w:lang w:val="en-US" w:eastAsia="zh-CN"/>
              </w:rPr>
              <w:t>4</w:t>
            </w:r>
          </w:p>
        </w:tc>
        <w:tc>
          <w:tcPr>
            <w:tcW w:w="6095" w:type="dxa"/>
            <w:tcBorders>
              <w:top w:val="single" w:color="auto" w:sz="4" w:space="0"/>
              <w:left w:val="nil"/>
              <w:bottom w:val="single" w:color="auto" w:sz="4" w:space="0"/>
              <w:right w:val="single" w:color="auto" w:sz="4" w:space="0"/>
            </w:tcBorders>
            <w:noWrap/>
            <w:vAlign w:val="center"/>
          </w:tcPr>
          <w:p>
            <w:pPr>
              <w:ind w:firstLine="480" w:firstLineChars="200"/>
              <w:jc w:val="left"/>
              <w:rPr>
                <w:rFonts w:ascii="仿宋" w:hAnsi="仿宋" w:eastAsia="仿宋" w:cs="仿宋_GB2312"/>
                <w:sz w:val="24"/>
                <w:szCs w:val="24"/>
              </w:rPr>
            </w:pPr>
            <w:r>
              <w:rPr>
                <w:rFonts w:hint="eastAsia" w:ascii="仿宋" w:hAnsi="仿宋" w:eastAsia="仿宋" w:cs="仿宋_GB2312"/>
                <w:sz w:val="24"/>
                <w:szCs w:val="24"/>
              </w:rPr>
              <w:t>有效投标报价的最低价作为评标基准价，其最低报价为满分；按［投标报价得分=（评标基准价/投标报价）*40］的计算公式计算。</w:t>
            </w:r>
          </w:p>
          <w:p>
            <w:pPr>
              <w:ind w:firstLine="480" w:firstLineChars="200"/>
              <w:jc w:val="left"/>
              <w:rPr>
                <w:rFonts w:hint="eastAsia" w:ascii="仿宋" w:hAnsi="仿宋" w:eastAsia="仿宋" w:cs="仿宋_GB2312"/>
                <w:sz w:val="24"/>
                <w:szCs w:val="24"/>
              </w:rPr>
            </w:pPr>
            <w:r>
              <w:rPr>
                <w:rFonts w:hint="eastAsia" w:ascii="仿宋" w:hAnsi="仿宋" w:eastAsia="仿宋" w:cs="仿宋_GB2312"/>
                <w:sz w:val="24"/>
                <w:szCs w:val="24"/>
              </w:rPr>
              <w:t>评标过程中，不得去掉报价中的最高报价和最低报价。</w:t>
            </w:r>
          </w:p>
          <w:p>
            <w:pPr>
              <w:ind w:firstLine="480" w:firstLineChars="200"/>
              <w:jc w:val="left"/>
              <w:rPr>
                <w:rFonts w:ascii="仿宋" w:eastAsia="仿宋"/>
                <w:sz w:val="24"/>
                <w:szCs w:val="24"/>
              </w:rPr>
            </w:pPr>
            <w:r>
              <w:rPr>
                <w:rFonts w:hint="eastAsia" w:ascii="仿宋" w:hAnsi="仿宋" w:eastAsia="仿宋" w:cs="仿宋_GB2312"/>
                <w:sz w:val="24"/>
                <w:szCs w:val="24"/>
              </w:rPr>
              <w:t>因落实政府采购政策需要进行价格调整的，以调整后的价格计算评标基准价和投标报价。</w:t>
            </w:r>
          </w:p>
        </w:tc>
        <w:tc>
          <w:tcPr>
            <w:tcW w:w="702" w:type="dxa"/>
            <w:tcBorders>
              <w:top w:val="single" w:color="auto" w:sz="4" w:space="0"/>
              <w:left w:val="nil"/>
              <w:bottom w:val="single" w:color="auto" w:sz="4" w:space="0"/>
              <w:right w:val="single" w:color="auto" w:sz="4" w:space="0"/>
            </w:tcBorders>
            <w:noWrap/>
            <w:vAlign w:val="center"/>
          </w:tcPr>
          <w:p>
            <w:pPr>
              <w:spacing w:beforeLines="50" w:afterLines="50"/>
              <w:jc w:val="center"/>
              <w:rPr>
                <w:rFonts w:ascii="仿宋" w:eastAsia="仿宋"/>
                <w:sz w:val="24"/>
                <w:szCs w:val="24"/>
              </w:rPr>
            </w:pPr>
            <w:r>
              <w:rPr>
                <w:rFonts w:hint="eastAsia" w:ascii="仿宋" w:hAnsi="仿宋" w:eastAsia="仿宋"/>
                <w:sz w:val="24"/>
                <w:szCs w:val="24"/>
              </w:rPr>
              <w:t>40</w:t>
            </w:r>
          </w:p>
        </w:tc>
        <w:tc>
          <w:tcPr>
            <w:tcW w:w="1734" w:type="dxa"/>
            <w:tcBorders>
              <w:top w:val="single" w:color="auto" w:sz="4" w:space="0"/>
              <w:left w:val="nil"/>
              <w:bottom w:val="single" w:color="auto" w:sz="4" w:space="0"/>
              <w:right w:val="single" w:color="auto" w:sz="4" w:space="0"/>
            </w:tcBorders>
            <w:noWrap/>
            <w:vAlign w:val="center"/>
          </w:tcPr>
          <w:p>
            <w:pPr>
              <w:spacing w:beforeLines="50" w:afterLines="50"/>
              <w:jc w:val="center"/>
              <w:rPr>
                <w:rFonts w:ascii="仿宋" w:eastAsia="仿宋"/>
                <w:sz w:val="24"/>
                <w:szCs w:val="24"/>
              </w:rPr>
            </w:pPr>
            <w:r>
              <w:rPr>
                <w:rFonts w:hint="eastAsia" w:ascii="仿宋" w:hAnsi="仿宋" w:eastAsia="仿宋"/>
                <w:sz w:val="24"/>
                <w:szCs w:val="24"/>
              </w:rPr>
              <w:t>/</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2"/>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jcxODI1MGZmZTQ0MGFkMjdlY2MzZTVkMDVmNDRjZGQifQ=="/>
  </w:docVars>
  <w:rsids>
    <w:rsidRoot w:val="005D6217"/>
    <w:rsid w:val="003D2AA3"/>
    <w:rsid w:val="005D6217"/>
    <w:rsid w:val="005E28EE"/>
    <w:rsid w:val="006A3BCD"/>
    <w:rsid w:val="00F41AC3"/>
    <w:rsid w:val="0BBA1A4E"/>
    <w:rsid w:val="0C2F06E5"/>
    <w:rsid w:val="26D15EF4"/>
    <w:rsid w:val="4B2F7365"/>
    <w:rsid w:val="7268341F"/>
    <w:rsid w:val="7BEB03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qFormat="1" w:uiPriority="39" w:name="toc 6"/>
    <w:lsdException w:uiPriority="39" w:name="toc 7"/>
    <w:lsdException w:uiPriority="39" w:name="toc 8"/>
    <w:lsdException w:uiPriority="39" w:name="toc 9"/>
    <w:lsdException w:qFormat="1" w:uiPriority="99" w:semiHidden="0"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99"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1"/>
    <w:unhideWhenUsed/>
    <w:qFormat/>
    <w:uiPriority w:val="99"/>
    <w:pPr>
      <w:ind w:firstLine="420"/>
    </w:pPr>
  </w:style>
  <w:style w:type="paragraph" w:styleId="3">
    <w:name w:val="Body Text"/>
    <w:basedOn w:val="1"/>
    <w:next w:val="4"/>
    <w:link w:val="10"/>
    <w:semiHidden/>
    <w:unhideWhenUsed/>
    <w:qFormat/>
    <w:uiPriority w:val="99"/>
    <w:pPr>
      <w:spacing w:after="120"/>
    </w:pPr>
  </w:style>
  <w:style w:type="paragraph" w:styleId="4">
    <w:name w:val="Body Text First Indent"/>
    <w:basedOn w:val="3"/>
    <w:next w:val="5"/>
    <w:link w:val="11"/>
    <w:unhideWhenUsed/>
    <w:qFormat/>
    <w:uiPriority w:val="99"/>
    <w:pPr>
      <w:spacing w:before="100" w:beforeAutospacing="1"/>
      <w:ind w:firstLine="100" w:firstLineChars="100"/>
    </w:pPr>
    <w:rPr>
      <w:rFonts w:ascii="Calibri" w:hAnsi="Calibri"/>
    </w:rPr>
  </w:style>
  <w:style w:type="paragraph" w:styleId="5">
    <w:name w:val="toc 6"/>
    <w:basedOn w:val="1"/>
    <w:next w:val="1"/>
    <w:semiHidden/>
    <w:unhideWhenUsed/>
    <w:qFormat/>
    <w:uiPriority w:val="39"/>
    <w:pPr>
      <w:ind w:left="2100" w:leftChars="1000"/>
    </w:pPr>
  </w:style>
  <w:style w:type="paragraph" w:styleId="6">
    <w:name w:val="Body Text Indent"/>
    <w:basedOn w:val="1"/>
    <w:next w:val="1"/>
    <w:qFormat/>
    <w:uiPriority w:val="0"/>
    <w:pPr>
      <w:spacing w:line="200" w:lineRule="exact"/>
      <w:ind w:firstLine="301"/>
    </w:pPr>
    <w:rPr>
      <w:rFonts w:ascii="宋体"/>
      <w:spacing w:val="-4"/>
      <w:sz w:val="18"/>
      <w:szCs w:val="20"/>
    </w:rPr>
  </w:style>
  <w:style w:type="paragraph" w:styleId="7">
    <w:name w:val="Body Text First Indent 2"/>
    <w:basedOn w:val="6"/>
    <w:next w:val="1"/>
    <w:qFormat/>
    <w:uiPriority w:val="0"/>
    <w:pPr>
      <w:spacing w:after="120" w:line="240" w:lineRule="auto"/>
      <w:ind w:left="200" w:leftChars="200" w:firstLine="0"/>
    </w:pPr>
    <w:rPr>
      <w:rFonts w:ascii="Times New Roman" w:hAnsi="Times New Roman"/>
      <w:spacing w:val="0"/>
      <w:sz w:val="21"/>
      <w:szCs w:val="21"/>
    </w:rPr>
  </w:style>
  <w:style w:type="character" w:customStyle="1" w:styleId="10">
    <w:name w:val="正文文本 Char"/>
    <w:basedOn w:val="9"/>
    <w:link w:val="3"/>
    <w:semiHidden/>
    <w:qFormat/>
    <w:uiPriority w:val="99"/>
    <w:rPr>
      <w:rFonts w:ascii="Times New Roman" w:hAnsi="Times New Roman" w:eastAsia="宋体" w:cs="Times New Roman"/>
      <w:szCs w:val="21"/>
    </w:rPr>
  </w:style>
  <w:style w:type="character" w:customStyle="1" w:styleId="11">
    <w:name w:val="正文首行缩进 Char"/>
    <w:basedOn w:val="10"/>
    <w:link w:val="4"/>
    <w:qFormat/>
    <w:uiPriority w:val="99"/>
    <w:rPr>
      <w:rFonts w:ascii="Calibri" w:hAnsi="Calibri"/>
    </w:rPr>
  </w:style>
  <w:style w:type="paragraph" w:customStyle="1" w:styleId="12">
    <w:name w:val="List Paragraph1"/>
    <w:basedOn w:val="1"/>
    <w:qFormat/>
    <w:uiPriority w:val="0"/>
    <w:pPr>
      <w:ind w:firstLine="200" w:firstLineChars="200"/>
    </w:pPr>
    <w:rPr>
      <w:rFonts w:ascii="Calibri" w:hAnsi="Calibri"/>
    </w:rPr>
  </w:style>
  <w:style w:type="paragraph" w:styleId="13">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3</Pages>
  <Words>1823</Words>
  <Characters>1972</Characters>
  <Lines>16</Lines>
  <Paragraphs>4</Paragraphs>
  <TotalTime>14</TotalTime>
  <ScaleCrop>false</ScaleCrop>
  <LinksUpToDate>false</LinksUpToDate>
  <CharactersWithSpaces>1976</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2022-07-28T00:54:00Z</dcterms:created>
  <dc:creator>微软用户</dc:creator>
  <cp:lastModifiedBy>清丽俊逸</cp:lastModifiedBy>
  <cp:lastPrinted>2022-07-28T06:03:25Z</cp:lastPrinted>
  <dcterms:modified xsi:type="dcterms:W3CDTF">2022-07-28T06:03:30Z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B45947765CA0482BB656C549D69F2A94</vt:lpwstr>
  </property>
</Properties>
</file>