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rPr>
      </w:pP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桐庐县桥梁安全设施采购及隧道维护项目</w:t>
      </w: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lang w:val="en-US" w:eastAsia="zh-CN"/>
        </w:rPr>
        <w:t>公开</w:t>
      </w: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编号:QZ23301222022044</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tabs>
          <w:tab w:val="left" w:pos="6544"/>
        </w:tabs>
        <w:bidi w:val="0"/>
        <w:rPr>
          <w:rFonts w:hint="eastAsia" w:ascii="仿宋" w:hAnsi="仿宋" w:eastAsia="仿宋" w:cs="仿宋"/>
          <w:color w:val="auto"/>
          <w:lang w:eastAsia="zh-CN"/>
        </w:rPr>
      </w:pPr>
      <w:r>
        <w:rPr>
          <w:rFonts w:hint="eastAsia" w:ascii="仿宋" w:hAnsi="仿宋" w:cs="仿宋"/>
          <w:color w:val="auto"/>
          <w:lang w:eastAsia="zh-CN"/>
        </w:rPr>
        <w:tab/>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(盖公章)</w:t>
      </w:r>
      <w:r>
        <w:rPr>
          <w:rFonts w:hint="eastAsia" w:ascii="仿宋" w:hAnsi="仿宋" w:eastAsia="仿宋" w:cs="仿宋"/>
          <w:color w:val="auto"/>
          <w:sz w:val="32"/>
          <w:szCs w:val="32"/>
          <w:lang w:eastAsia="zh-CN"/>
        </w:rPr>
        <w:t>：桐庐县市政园林建设管理处</w:t>
      </w:r>
    </w:p>
    <w:p>
      <w:pPr>
        <w:bidi w:val="0"/>
        <w:rPr>
          <w:rFonts w:hint="eastAsia" w:ascii="仿宋" w:hAnsi="仿宋" w:eastAsia="仿宋" w:cs="仿宋"/>
          <w:color w:val="auto"/>
          <w:lang w:eastAsia="zh-CN"/>
        </w:rPr>
      </w:pPr>
    </w:p>
    <w:p>
      <w:pPr>
        <w:spacing w:line="360" w:lineRule="auto"/>
        <w:jc w:val="center"/>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采购代理机构</w:t>
      </w:r>
      <w:r>
        <w:rPr>
          <w:rFonts w:hint="eastAsia" w:ascii="仿宋" w:hAnsi="仿宋" w:eastAsia="仿宋" w:cs="仿宋"/>
          <w:color w:val="auto"/>
          <w:sz w:val="32"/>
          <w:szCs w:val="32"/>
          <w:lang w:val="en-US" w:eastAsia="zh-CN"/>
        </w:rPr>
        <w:t>(盖公章)</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杭州全咨项目管理有限公司</w:t>
      </w:r>
    </w:p>
    <w:p>
      <w:pPr>
        <w:bidi w:val="0"/>
        <w:rPr>
          <w:rFonts w:hint="eastAsia" w:ascii="仿宋" w:hAnsi="仿宋" w:eastAsia="仿宋" w:cs="仿宋"/>
          <w:color w:val="auto"/>
          <w:lang w:val="en-US" w:eastAsia="zh-CN"/>
        </w:rPr>
      </w:pPr>
    </w:p>
    <w:p>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十</w:t>
      </w:r>
      <w:r>
        <w:rPr>
          <w:rFonts w:hint="eastAsia" w:ascii="仿宋" w:hAnsi="仿宋" w:eastAsia="仿宋" w:cs="仿宋"/>
          <w:bCs/>
          <w:color w:val="auto"/>
          <w:sz w:val="32"/>
          <w:szCs w:val="32"/>
        </w:rPr>
        <w:t>月</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目录</w:t>
      </w:r>
    </w:p>
    <w:p>
      <w:pPr>
        <w:bidi w:val="0"/>
        <w:rPr>
          <w:rFonts w:hint="eastAsia" w:ascii="仿宋" w:hAnsi="仿宋" w:eastAsia="仿宋" w:cs="仿宋"/>
          <w:color w:val="auto"/>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1280" w:firstLineChars="4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 xml:space="preserve">部分      </w:t>
      </w:r>
      <w:r>
        <w:rPr>
          <w:rFonts w:hint="eastAsia" w:ascii="仿宋" w:hAnsi="仿宋" w:eastAsia="仿宋" w:cs="仿宋"/>
          <w:color w:val="auto"/>
          <w:sz w:val="32"/>
          <w:szCs w:val="32"/>
          <w:lang w:val="en-US" w:eastAsia="zh-CN"/>
        </w:rPr>
        <w:t>施工图纸</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部分      工程量清单预算</w:t>
      </w:r>
    </w:p>
    <w:p>
      <w:pPr>
        <w:bidi w:val="0"/>
        <w:rPr>
          <w:rFonts w:hint="eastAsia" w:ascii="仿宋" w:hAnsi="仿宋" w:eastAsia="仿宋" w:cs="仿宋"/>
          <w:color w:val="auto"/>
        </w:rPr>
      </w:pPr>
      <w:bookmarkStart w:id="0" w:name="_Hlt91233176"/>
      <w:bookmarkEnd w:id="0"/>
      <w:bookmarkStart w:id="1" w:name="_Toc91899869"/>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bookmarkEnd w:id="1"/>
    <w:p>
      <w:pPr>
        <w:bidi w:val="0"/>
        <w:rPr>
          <w:rFonts w:hint="eastAsia" w:ascii="仿宋" w:hAnsi="仿宋" w:eastAsia="仿宋" w:cs="仿宋"/>
          <w:color w:val="auto"/>
        </w:r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桐</w:t>
      </w:r>
      <w:r>
        <w:rPr>
          <w:rFonts w:hint="eastAsia" w:ascii="仿宋" w:hAnsi="仿宋" w:eastAsia="仿宋" w:cs="仿宋"/>
          <w:color w:val="auto"/>
          <w:sz w:val="24"/>
          <w:u w:val="single"/>
        </w:rPr>
        <w:t>庐县桥梁安全设施采购及隧道维护项目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3"/>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10时00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QZ23301222022044</w:t>
      </w:r>
    </w:p>
    <w:p>
      <w:pPr>
        <w:spacing w:line="360" w:lineRule="auto"/>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桐庐县桥梁安全设施采购及隧道维护项目</w:t>
      </w:r>
    </w:p>
    <w:p>
      <w:pPr>
        <w:spacing w:line="360" w:lineRule="auto"/>
        <w:rPr>
          <w:rFonts w:hint="eastAsia" w:ascii="仿宋" w:hAnsi="仿宋" w:eastAsia="仿宋" w:cs="仿宋"/>
          <w:color w:val="auto"/>
          <w:sz w:val="24"/>
          <w:lang w:val="en-US" w:eastAsia="zh-CN"/>
        </w:rPr>
      </w:pPr>
      <w:r>
        <w:rPr>
          <w:rFonts w:hint="eastAsia" w:ascii="仿宋" w:hAnsi="仿宋" w:eastAsia="仿宋" w:cs="仿宋"/>
          <w:b/>
          <w:color w:val="auto"/>
          <w:sz w:val="24"/>
        </w:rPr>
        <w:t>预算金额（元）：</w:t>
      </w:r>
      <w:r>
        <w:rPr>
          <w:rFonts w:hint="eastAsia" w:ascii="仿宋" w:hAnsi="仿宋" w:cs="仿宋"/>
          <w:b w:val="0"/>
          <w:bCs/>
          <w:color w:val="auto"/>
          <w:sz w:val="24"/>
          <w:lang w:eastAsia="zh-CN"/>
        </w:rPr>
        <w:t>5631851</w:t>
      </w:r>
      <w:r>
        <w:rPr>
          <w:rFonts w:hint="eastAsia" w:ascii="仿宋" w:hAnsi="仿宋" w:eastAsia="仿宋" w:cs="仿宋"/>
          <w:b w:val="0"/>
          <w:bCs/>
          <w:color w:val="auto"/>
          <w:sz w:val="24"/>
        </w:rPr>
        <w:t>元</w:t>
      </w:r>
      <w:bookmarkStart w:id="560" w:name="_GoBack"/>
      <w:bookmarkEnd w:id="560"/>
    </w:p>
    <w:p>
      <w:pPr>
        <w:spacing w:line="360" w:lineRule="auto"/>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cs="仿宋"/>
          <w:b w:val="0"/>
          <w:bCs/>
          <w:color w:val="auto"/>
          <w:sz w:val="24"/>
          <w:lang w:eastAsia="zh-CN"/>
        </w:rPr>
        <w:t>5631851</w:t>
      </w:r>
      <w:r>
        <w:rPr>
          <w:rFonts w:hint="eastAsia" w:ascii="仿宋" w:hAnsi="仿宋" w:eastAsia="仿宋" w:cs="仿宋"/>
          <w:b w:val="0"/>
          <w:bCs/>
          <w:color w:val="auto"/>
          <w:sz w:val="24"/>
        </w:rPr>
        <w:t>元</w:t>
      </w:r>
    </w:p>
    <w:p>
      <w:pPr>
        <w:pStyle w:val="5"/>
        <w:spacing w:line="360" w:lineRule="auto"/>
        <w:ind w:left="0" w:leftChars="0" w:firstLine="0" w:firstLineChars="0"/>
        <w:rPr>
          <w:rFonts w:hint="eastAsia" w:ascii="仿宋" w:hAnsi="仿宋" w:eastAsia="仿宋" w:cs="仿宋"/>
          <w:b/>
          <w:color w:val="auto"/>
          <w:sz w:val="24"/>
        </w:rPr>
      </w:pPr>
      <w:r>
        <w:rPr>
          <w:rFonts w:hint="eastAsia" w:ascii="仿宋" w:hAnsi="仿宋" w:eastAsia="仿宋" w:cs="仿宋"/>
          <w:b/>
          <w:color w:val="auto"/>
          <w:sz w:val="24"/>
        </w:rPr>
        <w:t>采购需求：</w:t>
      </w:r>
    </w:p>
    <w:tbl>
      <w:tblPr>
        <w:tblStyle w:val="62"/>
        <w:tblW w:w="9189"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5"/>
        <w:gridCol w:w="232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55" w:type="dxa"/>
            <w:vAlign w:val="center"/>
          </w:tcPr>
          <w:p>
            <w:pPr>
              <w:jc w:val="center"/>
              <w:rPr>
                <w:rFonts w:hint="eastAsia" w:ascii="仿宋" w:hAnsi="仿宋" w:eastAsia="仿宋" w:cs="仿宋"/>
                <w:color w:val="auto"/>
              </w:rPr>
            </w:pPr>
            <w:r>
              <w:rPr>
                <w:rFonts w:hint="eastAsia" w:ascii="仿宋" w:hAnsi="仿宋" w:eastAsia="仿宋" w:cs="仿宋"/>
                <w:color w:val="auto"/>
                <w:lang w:val="en-US" w:eastAsia="zh-CN"/>
              </w:rPr>
              <w:t>采购</w:t>
            </w:r>
            <w:r>
              <w:rPr>
                <w:rFonts w:hint="eastAsia" w:ascii="仿宋" w:hAnsi="仿宋" w:eastAsia="仿宋" w:cs="仿宋"/>
                <w:color w:val="auto"/>
              </w:rPr>
              <w:t>内容</w:t>
            </w:r>
          </w:p>
        </w:tc>
        <w:tc>
          <w:tcPr>
            <w:tcW w:w="2329" w:type="dxa"/>
            <w:vAlign w:val="center"/>
          </w:tcPr>
          <w:p>
            <w:pPr>
              <w:jc w:val="center"/>
              <w:rPr>
                <w:rFonts w:hint="eastAsia" w:ascii="仿宋" w:hAnsi="仿宋" w:eastAsia="仿宋" w:cs="仿宋"/>
                <w:color w:val="auto"/>
                <w:lang w:eastAsia="zh-CN"/>
              </w:rPr>
            </w:pPr>
            <w:r>
              <w:rPr>
                <w:rFonts w:hint="eastAsia" w:ascii="仿宋" w:hAnsi="仿宋" w:eastAsia="仿宋" w:cs="仿宋"/>
                <w:color w:val="auto"/>
                <w:lang w:eastAsia="zh-CN"/>
              </w:rPr>
              <w:t>工期</w:t>
            </w:r>
          </w:p>
        </w:tc>
        <w:tc>
          <w:tcPr>
            <w:tcW w:w="180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55" w:type="dxa"/>
            <w:vAlign w:val="center"/>
          </w:tcPr>
          <w:p>
            <w:pPr>
              <w:jc w:val="center"/>
              <w:rPr>
                <w:rFonts w:hint="eastAsia" w:ascii="仿宋" w:hAnsi="仿宋" w:eastAsia="仿宋" w:cs="仿宋"/>
                <w:color w:val="auto"/>
                <w:lang w:eastAsia="zh-CN"/>
              </w:rPr>
            </w:pPr>
            <w:r>
              <w:rPr>
                <w:rFonts w:hint="eastAsia" w:ascii="仿宋" w:hAnsi="仿宋" w:eastAsia="仿宋" w:cs="仿宋"/>
                <w:color w:val="auto"/>
                <w:sz w:val="24"/>
                <w:lang w:eastAsia="zh-CN"/>
              </w:rPr>
              <w:t>桐庐县桥梁安全设施采购及隧道维护</w:t>
            </w:r>
          </w:p>
        </w:tc>
        <w:tc>
          <w:tcPr>
            <w:tcW w:w="2329"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30日历天</w:t>
            </w:r>
          </w:p>
        </w:tc>
        <w:tc>
          <w:tcPr>
            <w:tcW w:w="180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cs="仿宋"/>
                <w:snapToGrid w:val="0"/>
                <w:color w:val="auto"/>
                <w:kern w:val="2"/>
                <w:sz w:val="24"/>
                <w:szCs w:val="20"/>
                <w:lang w:val="en-US" w:eastAsia="zh-CN" w:bidi="ar-SA"/>
              </w:rPr>
              <w:t>5631851</w:t>
            </w:r>
            <w:r>
              <w:rPr>
                <w:rFonts w:hint="eastAsia" w:ascii="仿宋" w:hAnsi="仿宋" w:eastAsia="仿宋" w:cs="仿宋"/>
                <w:snapToGrid w:val="0"/>
                <w:color w:val="auto"/>
                <w:kern w:val="2"/>
                <w:sz w:val="24"/>
                <w:szCs w:val="20"/>
                <w:lang w:val="en-US" w:eastAsia="zh-CN" w:bidi="ar-SA"/>
              </w:rPr>
              <w:t>元</w:t>
            </w:r>
          </w:p>
        </w:tc>
      </w:tr>
    </w:tbl>
    <w:p>
      <w:pPr>
        <w:pStyle w:val="130"/>
        <w:ind w:left="0" w:leftChars="0" w:firstLine="0" w:firstLineChars="0"/>
        <w:outlineLvl w:val="2"/>
        <w:rPr>
          <w:rFonts w:hint="eastAsia" w:ascii="仿宋" w:hAnsi="仿宋" w:eastAsia="仿宋" w:cs="仿宋"/>
          <w:color w:val="auto"/>
        </w:rPr>
      </w:pPr>
      <w:r>
        <w:rPr>
          <w:rFonts w:hint="eastAsia" w:ascii="仿宋" w:hAnsi="仿宋" w:eastAsia="仿宋" w:cs="仿宋"/>
          <w:b/>
          <w:color w:val="auto"/>
        </w:rPr>
        <w:t>合同履约期限：</w:t>
      </w:r>
    </w:p>
    <w:p>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t>
      </w:r>
      <w:r>
        <w:rPr>
          <w:rFonts w:hint="eastAsia" w:ascii="仿宋" w:hAnsi="仿宋" w:eastAsia="仿宋" w:cs="仿宋"/>
          <w:snapToGrid w:val="0"/>
          <w:color w:val="auto"/>
          <w:kern w:val="28"/>
          <w:sz w:val="24"/>
          <w:szCs w:val="20"/>
        </w:rPr>
        <w:fldChar w:fldCharType="begin"/>
      </w:r>
      <w:r>
        <w:rPr>
          <w:rFonts w:hint="eastAsia" w:ascii="仿宋" w:hAnsi="仿宋" w:eastAsia="仿宋" w:cs="仿宋"/>
          <w:snapToGrid w:val="0"/>
          <w:color w:val="auto"/>
          <w:kern w:val="28"/>
          <w:sz w:val="24"/>
          <w:szCs w:val="20"/>
        </w:rPr>
        <w:instrText xml:space="preserve"> HYPERLINK "http://www.creditchina.gov.cn" </w:instrText>
      </w:r>
      <w:r>
        <w:rPr>
          <w:rFonts w:hint="eastAsia" w:ascii="仿宋" w:hAnsi="仿宋" w:eastAsia="仿宋" w:cs="仿宋"/>
          <w:snapToGrid w:val="0"/>
          <w:color w:val="auto"/>
          <w:kern w:val="28"/>
          <w:sz w:val="24"/>
          <w:szCs w:val="20"/>
        </w:rPr>
        <w:fldChar w:fldCharType="separate"/>
      </w:r>
      <w:r>
        <w:rPr>
          <w:rStyle w:val="76"/>
          <w:rFonts w:hint="eastAsia" w:ascii="仿宋" w:hAnsi="仿宋" w:eastAsia="仿宋" w:cs="仿宋"/>
          <w:snapToGrid w:val="0"/>
          <w:color w:val="auto"/>
          <w:kern w:val="28"/>
          <w:sz w:val="24"/>
          <w:szCs w:val="20"/>
        </w:rPr>
        <w:t>www.creditchina.gov.cn</w:t>
      </w:r>
      <w:r>
        <w:rPr>
          <w:rFonts w:hint="eastAsia" w:ascii="仿宋" w:hAnsi="仿宋" w:eastAsia="仿宋" w:cs="仿宋"/>
          <w:snapToGrid w:val="0"/>
          <w:color w:val="auto"/>
          <w:kern w:val="28"/>
          <w:sz w:val="24"/>
          <w:szCs w:val="20"/>
        </w:rPr>
        <w:fldChar w:fldCharType="end"/>
      </w:r>
      <w:r>
        <w:rPr>
          <w:rFonts w:hint="eastAsia" w:ascii="仿宋" w:hAnsi="仿宋" w:eastAsia="仿宋" w:cs="仿宋"/>
          <w:snapToGrid w:val="0"/>
          <w:color w:val="auto"/>
          <w:kern w:val="28"/>
          <w:sz w:val="24"/>
          <w:szCs w:val="20"/>
        </w:rPr>
        <w:t>)、中国政府采购网（</w:t>
      </w:r>
      <w:r>
        <w:rPr>
          <w:rFonts w:hint="eastAsia" w:ascii="仿宋" w:hAnsi="仿宋" w:eastAsia="仿宋" w:cs="仿宋"/>
          <w:snapToGrid w:val="0"/>
          <w:color w:val="auto"/>
          <w:kern w:val="28"/>
          <w:sz w:val="24"/>
          <w:szCs w:val="20"/>
        </w:rPr>
        <w:fldChar w:fldCharType="begin"/>
      </w:r>
      <w:r>
        <w:rPr>
          <w:rFonts w:hint="eastAsia" w:ascii="仿宋" w:hAnsi="仿宋" w:eastAsia="仿宋" w:cs="仿宋"/>
          <w:snapToGrid w:val="0"/>
          <w:color w:val="auto"/>
          <w:kern w:val="28"/>
          <w:sz w:val="24"/>
          <w:szCs w:val="20"/>
        </w:rPr>
        <w:instrText xml:space="preserve"> HYPERLINK "http://www.ccgp.gov.cn" </w:instrText>
      </w:r>
      <w:r>
        <w:rPr>
          <w:rFonts w:hint="eastAsia" w:ascii="仿宋" w:hAnsi="仿宋" w:eastAsia="仿宋" w:cs="仿宋"/>
          <w:snapToGrid w:val="0"/>
          <w:color w:val="auto"/>
          <w:kern w:val="28"/>
          <w:sz w:val="24"/>
          <w:szCs w:val="20"/>
        </w:rPr>
        <w:fldChar w:fldCharType="separate"/>
      </w:r>
      <w:r>
        <w:rPr>
          <w:rStyle w:val="76"/>
          <w:rFonts w:hint="eastAsia" w:ascii="仿宋" w:hAnsi="仿宋" w:eastAsia="仿宋" w:cs="仿宋"/>
          <w:snapToGrid w:val="0"/>
          <w:color w:val="auto"/>
          <w:kern w:val="28"/>
          <w:sz w:val="24"/>
          <w:szCs w:val="20"/>
        </w:rPr>
        <w:t>www.ccgp.gov.cn</w:t>
      </w:r>
      <w:r>
        <w:rPr>
          <w:rFonts w:hint="eastAsia" w:ascii="仿宋" w:hAnsi="仿宋" w:eastAsia="仿宋" w:cs="仿宋"/>
          <w:snapToGrid w:val="0"/>
          <w:color w:val="auto"/>
          <w:kern w:val="28"/>
          <w:sz w:val="24"/>
          <w:szCs w:val="20"/>
        </w:rPr>
        <w:fldChar w:fldCharType="end"/>
      </w:r>
      <w:r>
        <w:rPr>
          <w:rFonts w:hint="eastAsia" w:ascii="仿宋" w:hAnsi="仿宋" w:eastAsia="仿宋" w:cs="仿宋"/>
          <w:snapToGrid w:val="0"/>
          <w:color w:val="auto"/>
          <w:kern w:val="28"/>
          <w:sz w:val="24"/>
          <w:szCs w:val="20"/>
        </w:rPr>
        <w:t>）列入失信被执行人、重大税收违法案件当事人名单、政府采购严重违法失信行为记录名单；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2.落实政府采购政策需满足的资格要求：</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sdt>
        <w:sdtPr>
          <w:rPr>
            <w:rFonts w:hint="eastAsia" w:ascii="仿宋" w:hAnsi="仿宋" w:eastAsia="仿宋" w:cs="仿宋"/>
            <w:color w:val="auto"/>
            <w:kern w:val="0"/>
            <w:sz w:val="24"/>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15260493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3463064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要求合同分包，提供分包意向协议和中小企业声明函，分包意向协议中中小企业合同金额应当达到</w:t>
      </w:r>
      <w:r>
        <w:rPr>
          <w:rFonts w:hint="eastAsia" w:ascii="仿宋" w:hAnsi="仿宋" w:cs="仿宋"/>
          <w:color w:val="auto"/>
          <w:sz w:val="24"/>
          <w:u w:val="single"/>
          <w:lang w:val="en-US" w:eastAsia="zh-CN"/>
        </w:rPr>
        <w:t>/</w:t>
      </w:r>
      <w:r>
        <w:rPr>
          <w:rFonts w:hint="eastAsia" w:ascii="仿宋" w:hAnsi="仿宋" w:eastAsia="仿宋" w:cs="仿宋"/>
          <w:color w:val="auto"/>
          <w:sz w:val="24"/>
        </w:rPr>
        <w:t>%，小微企业合同金额应当达到</w:t>
      </w:r>
      <w:r>
        <w:rPr>
          <w:rFonts w:hint="eastAsia" w:ascii="仿宋" w:hAnsi="仿宋" w:cs="仿宋"/>
          <w:color w:val="auto"/>
          <w:sz w:val="24"/>
          <w:u w:val="single"/>
          <w:lang w:val="en-US" w:eastAsia="zh-CN"/>
        </w:rPr>
        <w:t>/</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p>
    <w:p>
      <w:pPr>
        <w:numPr>
          <w:ilvl w:val="0"/>
          <w:numId w:val="0"/>
        </w:numPr>
        <w:spacing w:line="360" w:lineRule="auto"/>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①投标人企业需要具备市政公用工程施工总承包三级及以上资质;</w:t>
      </w:r>
    </w:p>
    <w:p>
      <w:pPr>
        <w:numPr>
          <w:ilvl w:val="0"/>
          <w:numId w:val="0"/>
        </w:numPr>
        <w:spacing w:line="360" w:lineRule="auto"/>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②投标人企业需具有有效的安全生产许可证;</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b w:val="0"/>
          <w:bCs/>
          <w:color w:val="auto"/>
          <w:lang w:val="en-US" w:eastAsia="zh-CN"/>
        </w:rPr>
        <w:t>③项目负责人具有市政公用工程专业注册建造师二级及以上资格（不含建造师临时执业资格），并具有在有效期内的安全生产考核B类证书。</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0</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10时00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10时00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www.zcygov.cn</w:t>
      </w:r>
      <w:r>
        <w:rPr>
          <w:rFonts w:hint="eastAsia" w:ascii="仿宋" w:hAnsi="仿宋" w:eastAsia="仿宋" w:cs="仿宋"/>
          <w:color w:val="auto"/>
          <w:sz w:val="24"/>
        </w:rPr>
        <w:fldChar w:fldCharType="end"/>
      </w:r>
      <w:r>
        <w:rPr>
          <w:rFonts w:hint="eastAsia" w:ascii="仿宋" w:hAnsi="仿宋" w:eastAsia="仿宋" w:cs="仿宋"/>
          <w:color w:val="auto"/>
          <w:sz w:val="24"/>
        </w:rPr>
        <w:t>）”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1.采购人信息</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名称：</w:t>
      </w:r>
      <w:r>
        <w:rPr>
          <w:rFonts w:hint="eastAsia" w:ascii="仿宋" w:hAnsi="仿宋" w:eastAsia="仿宋" w:cs="仿宋"/>
          <w:color w:val="auto"/>
          <w:sz w:val="24"/>
          <w:lang w:eastAsia="zh-CN"/>
        </w:rPr>
        <w:t>桐庐县市政园林建设管理处</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地址：浙江省杭州市桐庐县城南街道健康路9号6号楼3楼</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传真：</w:t>
      </w:r>
      <w:r>
        <w:rPr>
          <w:rFonts w:hint="eastAsia" w:ascii="仿宋" w:hAnsi="仿宋" w:eastAsia="仿宋" w:cs="仿宋"/>
          <w:color w:val="auto"/>
          <w:sz w:val="24"/>
          <w:lang w:val="en-US" w:eastAsia="zh-CN"/>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项目联系人（询问）：邵志翔</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项目联系方式（询问）：0571-64225617</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质疑联系人：邵志翔</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质疑联系方式：0571-64225617</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2.采购代理机构信息</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名称：</w:t>
      </w:r>
      <w:r>
        <w:rPr>
          <w:rFonts w:hint="eastAsia" w:ascii="仿宋" w:hAnsi="仿宋" w:eastAsia="仿宋" w:cs="仿宋"/>
          <w:color w:val="auto"/>
          <w:sz w:val="24"/>
          <w:lang w:eastAsia="zh-CN"/>
        </w:rPr>
        <w:t>杭州全咨项目管理有限公司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地址：浙江省杭州市桐庐县城南街道春江路719号国贸大厦7楼</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传真：</w:t>
      </w:r>
      <w:r>
        <w:rPr>
          <w:rFonts w:hint="eastAsia" w:ascii="仿宋" w:hAnsi="仿宋" w:eastAsia="仿宋" w:cs="仿宋"/>
          <w:color w:val="auto"/>
          <w:sz w:val="24"/>
          <w:lang w:val="en-US" w:eastAsia="zh-CN"/>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项目联系人（询问）：周苗苗</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项目联系方式（询问）：13136568260</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质疑联系人：余林</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质疑联系方式：13968085088</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3.同级政府采购监督管理部门</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名称：桐庐县财政局</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地址：浙江省杭州市桐庐县城南街道春江路688号</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传真：</w:t>
      </w:r>
      <w:r>
        <w:rPr>
          <w:rFonts w:hint="eastAsia" w:ascii="仿宋" w:hAnsi="仿宋" w:eastAsia="仿宋" w:cs="仿宋"/>
          <w:color w:val="auto"/>
          <w:sz w:val="24"/>
          <w:lang w:val="en-US" w:eastAsia="zh-CN"/>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联系人：方翔</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监督投诉电话：0571-58507058</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4其他</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4.1</w:t>
      </w: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4.2</w:t>
      </w:r>
      <w:r>
        <w:rPr>
          <w:rFonts w:hint="eastAsia" w:ascii="仿宋" w:hAnsi="仿宋" w:eastAsia="仿宋" w:cs="仿宋"/>
          <w:color w:val="auto"/>
          <w:sz w:val="24"/>
        </w:rPr>
        <w:t>CA问题联系电话（人工）：汇信CA 400-888-4636；天谷CA 400-087-8198。</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投标人须知</w:t>
      </w:r>
      <w:bookmarkEnd w:id="7"/>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24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24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en-US" w:eastAsia="zh-CN"/>
              </w:rPr>
              <w:t>①</w:t>
            </w:r>
            <w:r>
              <w:rPr>
                <w:rFonts w:hint="eastAsia" w:ascii="仿宋" w:hAnsi="仿宋" w:eastAsia="仿宋" w:cs="仿宋"/>
                <w:b/>
                <w:color w:val="auto"/>
                <w:kern w:val="0"/>
                <w:sz w:val="24"/>
                <w:lang w:val="zh-CN"/>
              </w:rPr>
              <w:t>投标文件出现不是唯一的、有选择性投标报价的；</w:t>
            </w:r>
          </w:p>
          <w:p>
            <w:pPr>
              <w:snapToGrid w:val="0"/>
              <w:spacing w:line="24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en-US" w:eastAsia="zh-CN"/>
              </w:rPr>
              <w:t>②</w:t>
            </w:r>
            <w:r>
              <w:rPr>
                <w:rFonts w:hint="eastAsia" w:ascii="仿宋" w:hAnsi="仿宋" w:eastAsia="仿宋" w:cs="仿宋"/>
                <w:b/>
                <w:color w:val="auto"/>
                <w:kern w:val="0"/>
                <w:sz w:val="24"/>
                <w:lang w:val="zh-CN"/>
              </w:rPr>
              <w:t>投标报价超过招标文件中规定的预算金额或者最高限价的;</w:t>
            </w:r>
          </w:p>
          <w:p>
            <w:pPr>
              <w:spacing w:line="24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lang w:val="en-US" w:eastAsia="zh-CN"/>
              </w:rPr>
              <w:t>③</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24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lang w:val="en-US" w:eastAsia="zh-CN"/>
              </w:rPr>
              <w:t>④</w:t>
            </w: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同意分包。</w:t>
            </w:r>
            <w:sdt>
              <w:sdtPr>
                <w:rPr>
                  <w:rFonts w:hint="eastAsia" w:ascii="仿宋" w:hAnsi="仿宋" w:eastAsia="仿宋" w:cs="仿宋"/>
                  <w:color w:val="auto"/>
                  <w:kern w:val="0"/>
                  <w:sz w:val="24"/>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 w:hRule="atLeast"/>
          <w:tblHeader/>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24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24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pacing w:line="24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B要求提供，</w:t>
            </w:r>
          </w:p>
          <w:p>
            <w:pPr>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24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24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4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24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，讲解演示所用电脑等设备由投标人自备。现场讲解演示人员进场时提供讲解人员名单（加盖公章）及身份证明，否则不得讲解演示。</w:t>
            </w:r>
          </w:p>
          <w:p>
            <w:pPr>
              <w:snapToGrid w:val="0"/>
              <w:spacing w:line="24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24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highlight w:val="yellow"/>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yellow"/>
                <w:u w:val="single"/>
              </w:rPr>
              <w:t>桥梁安全设施采购及隧道维护</w:t>
            </w:r>
            <w:r>
              <w:rPr>
                <w:rFonts w:hint="eastAsia" w:ascii="仿宋" w:hAnsi="仿宋" w:eastAsia="仿宋" w:cs="仿宋"/>
                <w:color w:val="auto"/>
                <w:sz w:val="24"/>
              </w:rPr>
              <w:t>。</w:t>
            </w:r>
          </w:p>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47488555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（1）标的：</w:t>
            </w:r>
            <w:r>
              <w:rPr>
                <w:rFonts w:hint="eastAsia" w:ascii="仿宋" w:hAnsi="仿宋" w:eastAsia="仿宋" w:cs="仿宋"/>
                <w:color w:val="auto"/>
                <w:kern w:val="0"/>
                <w:sz w:val="24"/>
                <w:highlight w:val="yellow"/>
                <w:u w:val="single"/>
                <w:lang w:val="en-US" w:eastAsia="zh-CN"/>
              </w:rPr>
              <w:t>桐庐县</w:t>
            </w:r>
            <w:r>
              <w:rPr>
                <w:rFonts w:hint="eastAsia" w:ascii="仿宋" w:hAnsi="仿宋" w:eastAsia="仿宋" w:cs="仿宋"/>
                <w:color w:val="auto"/>
                <w:sz w:val="24"/>
                <w:highlight w:val="yellow"/>
                <w:u w:val="single"/>
              </w:rPr>
              <w:t>桥梁安全设施采购及隧道维护</w:t>
            </w:r>
            <w:r>
              <w:rPr>
                <w:rFonts w:hint="eastAsia" w:ascii="仿宋" w:hAnsi="仿宋" w:eastAsia="仿宋" w:cs="仿宋"/>
                <w:color w:val="auto"/>
                <w:kern w:val="0"/>
                <w:sz w:val="24"/>
                <w:highlight w:val="yellow"/>
              </w:rPr>
              <w:t>，属于</w:t>
            </w:r>
            <w:r>
              <w:rPr>
                <w:rFonts w:hint="eastAsia" w:ascii="仿宋" w:hAnsi="仿宋" w:eastAsia="仿宋" w:cs="仿宋"/>
                <w:color w:val="auto"/>
                <w:kern w:val="0"/>
                <w:sz w:val="24"/>
                <w:highlight w:val="yellow"/>
                <w:u w:val="single"/>
                <w:lang w:val="en-US" w:eastAsia="zh-CN"/>
              </w:rPr>
              <w:t>建筑</w:t>
            </w:r>
            <w:r>
              <w:rPr>
                <w:rFonts w:hint="eastAsia" w:ascii="仿宋" w:hAnsi="仿宋" w:eastAsia="仿宋" w:cs="仿宋"/>
                <w:color w:val="auto"/>
                <w:kern w:val="0"/>
                <w:sz w:val="24"/>
                <w:highlight w:val="yellow"/>
              </w:rPr>
              <w:t>行业</w:t>
            </w:r>
            <w:r>
              <w:rPr>
                <w:rFonts w:hint="eastAsia" w:ascii="仿宋" w:hAnsi="仿宋" w:eastAsia="仿宋" w:cs="仿宋"/>
                <w:color w:val="auto"/>
                <w:kern w:val="0"/>
                <w:sz w:val="24"/>
              </w:rPr>
              <w:t>；</w:t>
            </w:r>
          </w:p>
          <w:p>
            <w:pPr>
              <w:pStyle w:val="2"/>
              <w:spacing w:line="240" w:lineRule="auto"/>
              <w:rPr>
                <w:rFonts w:hint="eastAsia" w:ascii="仿宋" w:hAnsi="仿宋" w:eastAsia="仿宋" w:cs="仿宋"/>
                <w:color w:val="auto"/>
                <w:lang w:val="en-US"/>
              </w:rPr>
            </w:pPr>
            <w:r>
              <w:rPr>
                <w:rFonts w:hint="eastAsia" w:ascii="仿宋" w:hAnsi="仿宋" w:eastAsia="仿宋" w:cs="仿宋"/>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vAlign w:val="center"/>
          </w:tcPr>
          <w:p>
            <w:pPr>
              <w:spacing w:line="240" w:lineRule="auto"/>
              <w:ind w:firstLine="480" w:firstLineChars="200"/>
              <w:jc w:val="center"/>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240" w:lineRule="auto"/>
              <w:ind w:firstLine="48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240" w:lineRule="auto"/>
              <w:rPr>
                <w:rFonts w:hint="eastAsia" w:ascii="仿宋" w:hAnsi="仿宋" w:eastAsia="仿宋" w:cs="仿宋"/>
                <w:color w:val="auto"/>
                <w:kern w:val="28"/>
                <w:sz w:val="24"/>
                <w:lang w:eastAsia="zh-CN"/>
              </w:rPr>
            </w:pPr>
            <w:r>
              <w:rPr>
                <w:rFonts w:hint="eastAsia" w:ascii="仿宋" w:hAnsi="仿宋" w:eastAsia="仿宋" w:cs="仿宋"/>
                <w:color w:val="auto"/>
                <w:kern w:val="28"/>
                <w:sz w:val="24"/>
                <w:lang w:eastAsia="zh-CN"/>
              </w:rPr>
              <w:t>备份响应文件送达地点：浙江省杭州市桐庐县城南街道春江路719号国贸大厦7楼；备份投标文件签收人员联系电话：13136568260。采购人、采购机构不强制或变相强制供应商提交备份响应文件。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履约担保</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本项目收取履约保证金：合同价款的1%。中标供应商可以</w:t>
            </w:r>
            <w:r>
              <w:rPr>
                <w:rFonts w:hint="eastAsia" w:ascii="仿宋" w:hAnsi="仿宋" w:eastAsia="仿宋" w:cs="仿宋"/>
                <w:color w:val="auto"/>
                <w:sz w:val="24"/>
              </w:rPr>
              <w:t>以银行、保险公司出具的保函形式提供履约保证金</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履约期满后5个工作日内采购人无息退还给中标供应商。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lang w:val="en-US" w:eastAsia="zh-CN"/>
              </w:rPr>
            </w:pPr>
            <w:bookmarkStart w:id="9" w:name="第三部分"/>
            <w:bookmarkStart w:id="10" w:name="_Toc164416483"/>
            <w:r>
              <w:rPr>
                <w:rFonts w:hint="eastAsia" w:ascii="仿宋" w:hAnsi="仿宋" w:eastAsia="仿宋" w:cs="仿宋"/>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招投标（采购）代理服务收费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开标过程中产生的其他费用按实际支出收取。</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采购代理服务费交纳形式：汇票/支票/电汇/现金。</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本项目采购代理服务费为68498元，由中标人在领取中标通知书时一次性支付完毕。</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请汇入以下账户：</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开户名：杭州全咨项目管理咨询有限公司</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开户银行：浙江桐庐农村商业银行股份有限公司开源支行</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账号：201000274942008</w:t>
            </w:r>
          </w:p>
        </w:tc>
      </w:tr>
      <w:bookmarkEnd w:id="8"/>
    </w:tbl>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tabs>
          <w:tab w:val="left" w:pos="5854"/>
        </w:tabs>
        <w:snapToGrid w:val="0"/>
        <w:spacing w:line="360" w:lineRule="auto"/>
        <w:jc w:val="left"/>
        <w:outlineLvl w:val="1"/>
        <w:rPr>
          <w:rFonts w:hint="eastAsia" w:ascii="仿宋" w:hAnsi="仿宋" w:eastAsia="仿宋" w:cs="仿宋"/>
          <w:b/>
          <w:color w:val="auto"/>
          <w:sz w:val="24"/>
          <w:lang w:eastAsia="zh-CN"/>
        </w:rPr>
      </w:pPr>
      <w:r>
        <w:rPr>
          <w:rFonts w:hint="eastAsia" w:ascii="仿宋" w:hAnsi="仿宋" w:eastAsia="仿宋" w:cs="仿宋"/>
          <w:b/>
          <w:color w:val="auto"/>
          <w:sz w:val="24"/>
        </w:rPr>
        <w:t>1.适用范围</w:t>
      </w:r>
      <w:r>
        <w:rPr>
          <w:rFonts w:hint="eastAsia" w:ascii="仿宋" w:hAnsi="仿宋" w:cs="仿宋"/>
          <w:b/>
          <w:color w:val="auto"/>
          <w:sz w:val="24"/>
          <w:lang w:eastAsia="zh-CN"/>
        </w:rPr>
        <w:tab/>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cs="仿宋"/>
          <w:color w:val="auto"/>
          <w:sz w:val="24"/>
          <w:lang w:val="en-US" w:eastAsia="zh-CN"/>
        </w:rPr>
        <w:t>2</w:t>
      </w:r>
      <w:r>
        <w:rPr>
          <w:rFonts w:hint="eastAsia" w:ascii="仿宋" w:hAnsi="仿宋" w:eastAsia="仿宋" w:cs="仿宋"/>
          <w:color w:val="auto"/>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仿宋" w:hAnsi="仿宋" w:cs="仿宋"/>
          <w:color w:val="auto"/>
          <w:sz w:val="24"/>
          <w:lang w:val="en-US" w:eastAsia="zh-CN"/>
        </w:rPr>
        <w:t>4</w:t>
      </w:r>
      <w:r>
        <w:rPr>
          <w:rFonts w:hint="eastAsia" w:ascii="仿宋" w:hAnsi="仿宋" w:eastAsia="仿宋" w:cs="仿宋"/>
          <w:color w:val="auto"/>
          <w:sz w:val="24"/>
        </w:rPr>
        <w:t>0%以上的，对联合体或者大中型企业的报价给予</w:t>
      </w:r>
      <w:r>
        <w:rPr>
          <w:rFonts w:hint="eastAsia" w:ascii="仿宋" w:hAnsi="仿宋" w:cs="仿宋"/>
          <w:color w:val="auto"/>
          <w:sz w:val="24"/>
          <w:lang w:val="en-US" w:eastAsia="zh-CN"/>
        </w:rPr>
        <w:t>6</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4.2.3.2质疑项目的名称、编号；</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4.2.3.4事实依据；</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4.2.3.5必要的法律依据；</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sz w:val="18"/>
          <w:szCs w:val="18"/>
        </w:rPr>
      </w:pPr>
      <w:r>
        <w:rPr>
          <w:rFonts w:hint="eastAsia" w:ascii="仿宋" w:hAnsi="仿宋" w:eastAsia="仿宋" w:cs="仿宋"/>
          <w:color w:val="auto"/>
        </w:rPr>
        <w:t>投诉书范本及制作说明详见附件3。</w:t>
      </w: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color w:val="auto"/>
          <w:sz w:val="18"/>
          <w:szCs w:val="18"/>
          <w:lang w:val="en-US"/>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11.1资格文件：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11.1.3本项目的特定资格要求。</w:t>
      </w:r>
    </w:p>
    <w:p>
      <w:pPr>
        <w:snapToGrid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11.2商务技术文件：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分包意向协议；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b w:val="0"/>
          <w:bCs w:val="0"/>
          <w:color w:val="auto"/>
          <w:sz w:val="24"/>
          <w:u w:val="single"/>
          <w:lang w:val="zh-CN"/>
        </w:rPr>
      </w:pPr>
      <w:r>
        <w:rPr>
          <w:rFonts w:hint="eastAsia" w:ascii="仿宋" w:hAnsi="仿宋" w:eastAsia="仿宋" w:cs="仿宋"/>
          <w:b w:val="0"/>
          <w:bCs w:val="0"/>
          <w:color w:val="auto"/>
          <w:kern w:val="0"/>
          <w:sz w:val="24"/>
          <w:lang w:val="zh-CN"/>
        </w:rPr>
        <w:t>11.</w:t>
      </w:r>
      <w:r>
        <w:rPr>
          <w:rFonts w:hint="eastAsia" w:ascii="仿宋" w:hAnsi="仿宋" w:eastAsia="仿宋" w:cs="仿宋"/>
          <w:b w:val="0"/>
          <w:bCs w:val="0"/>
          <w:color w:val="auto"/>
          <w:kern w:val="0"/>
          <w:sz w:val="24"/>
        </w:rPr>
        <w:t>3</w:t>
      </w:r>
      <w:r>
        <w:rPr>
          <w:rFonts w:hint="eastAsia" w:ascii="仿宋" w:hAnsi="仿宋" w:eastAsia="仿宋" w:cs="仿宋"/>
          <w:b w:val="0"/>
          <w:bCs w:val="0"/>
          <w:color w:val="auto"/>
          <w:sz w:val="24"/>
        </w:rPr>
        <w:t>报价文件：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11.3.2工程量清单报价说明（格式自拟）；</w:t>
      </w:r>
    </w:p>
    <w:p>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11.3.3清单报价表（组织措施、技术措施、安全文明施工措施、其他项目由投标人根据项目情况自行填报、格式不限）；</w:t>
      </w:r>
    </w:p>
    <w:p>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11.3.4主要材料及设备价格表；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5</w:t>
      </w:r>
      <w:r>
        <w:rPr>
          <w:rFonts w:hint="eastAsia" w:ascii="仿宋" w:hAnsi="仿宋" w:eastAsia="仿宋" w:cs="仿宋"/>
          <w:color w:val="auto"/>
          <w:sz w:val="24"/>
        </w:rPr>
        <w:t>中小企业声明函。</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0"/>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6"/>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第13项规定</w:t>
      </w:r>
      <w:r>
        <w:rPr>
          <w:rFonts w:hint="eastAsia" w:ascii="仿宋" w:hAnsi="仿宋" w:eastAsia="仿宋" w:cs="仿宋"/>
          <w:color w:val="auto"/>
          <w:szCs w:val="21"/>
        </w:rPr>
        <w:t>的情形之一的，投标无效：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hint="eastAsia" w:ascii="仿宋" w:hAnsi="仿宋" w:eastAsia="仿宋" w:cs="仿宋"/>
          <w:b/>
          <w:color w:val="auto"/>
          <w:sz w:val="32"/>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4"/>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554"/>
        <w:spacing w:before="0" w:line="360" w:lineRule="auto"/>
        <w:ind w:left="0" w:leftChars="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54"/>
        <w:spacing w:before="0" w:line="360" w:lineRule="auto"/>
        <w:ind w:left="0" w:leftChars="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leftChars="0" w:firstLine="480" w:firstLineChars="200"/>
        <w:contextualSpacing/>
        <w:rPr>
          <w:rFonts w:hint="eastAsia" w:ascii="仿宋" w:hAnsi="仿宋" w:eastAsia="仿宋" w:cs="仿宋"/>
          <w:b/>
          <w:color w:val="auto"/>
          <w:sz w:val="24"/>
        </w:rPr>
      </w:pPr>
      <w:r>
        <w:rPr>
          <w:rFonts w:hint="eastAsia" w:ascii="仿宋" w:hAnsi="仿宋" w:eastAsia="仿宋" w:cs="仿宋"/>
          <w:color w:val="auto"/>
          <w:sz w:val="24"/>
        </w:rPr>
        <w:t>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ind w:firstLine="241" w:firstLineChars="100"/>
        <w:jc w:val="left"/>
        <w:rPr>
          <w:rFonts w:hint="eastAsia" w:ascii="仿宋" w:hAnsi="仿宋" w:eastAsia="仿宋" w:cs="仿宋"/>
          <w:b/>
          <w:color w:val="auto"/>
          <w:sz w:val="24"/>
          <w:szCs w:val="20"/>
        </w:rPr>
      </w:pPr>
      <w:r>
        <w:rPr>
          <w:rFonts w:hint="eastAsia" w:ascii="仿宋" w:hAnsi="仿宋" w:eastAsia="仿宋" w:cs="仿宋"/>
          <w:b/>
          <w:color w:val="auto"/>
          <w:sz w:val="24"/>
          <w:szCs w:val="20"/>
        </w:rPr>
        <w:t>19、资格审查</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t>
      </w: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HYPERLINK "http://www.creditchina.gov.cn" </w:instrText>
      </w:r>
      <w:r>
        <w:rPr>
          <w:rFonts w:hint="eastAsia" w:ascii="仿宋" w:hAnsi="仿宋" w:eastAsia="仿宋" w:cs="仿宋"/>
          <w:color w:val="auto"/>
          <w:kern w:val="0"/>
          <w:sz w:val="24"/>
          <w:szCs w:val="24"/>
        </w:rPr>
        <w:fldChar w:fldCharType="separate"/>
      </w:r>
      <w:r>
        <w:rPr>
          <w:rStyle w:val="76"/>
          <w:rFonts w:hint="eastAsia" w:ascii="仿宋" w:hAnsi="仿宋" w:eastAsia="仿宋" w:cs="仿宋"/>
          <w:color w:val="auto"/>
          <w:kern w:val="0"/>
          <w:sz w:val="24"/>
          <w:szCs w:val="24"/>
        </w:rPr>
        <w:t>www.creditchina.gov.cn</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Cs w:val="24"/>
        </w:rPr>
        <w:t>)、中国政府采购网(</w:t>
      </w: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HYPERLINK "http://www.creditchina.gov.cn" </w:instrText>
      </w:r>
      <w:r>
        <w:rPr>
          <w:rFonts w:hint="eastAsia" w:ascii="仿宋" w:hAnsi="仿宋" w:eastAsia="仿宋" w:cs="仿宋"/>
          <w:color w:val="auto"/>
          <w:kern w:val="0"/>
          <w:sz w:val="24"/>
          <w:szCs w:val="24"/>
        </w:rPr>
        <w:fldChar w:fldCharType="separate"/>
      </w:r>
      <w:r>
        <w:rPr>
          <w:rStyle w:val="76"/>
          <w:rFonts w:hint="eastAsia" w:ascii="仿宋" w:hAnsi="仿宋" w:eastAsia="仿宋" w:cs="仿宋"/>
          <w:color w:val="auto"/>
          <w:kern w:val="0"/>
          <w:sz w:val="24"/>
          <w:szCs w:val="24"/>
        </w:rPr>
        <w:t>www.ccgp.gov.cn</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Cs w:val="24"/>
        </w:rPr>
        <w:t>)渠道查询投标人投标截止时间当天的信用记录。</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1"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六、定标</w:t>
      </w:r>
    </w:p>
    <w:p>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30"/>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130"/>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b/>
          <w:color w:val="auto"/>
          <w:sz w:val="32"/>
        </w:rPr>
      </w:pPr>
      <w:r>
        <w:rPr>
          <w:rFonts w:hint="eastAsia" w:ascii="仿宋" w:hAnsi="仿宋" w:eastAsia="仿宋" w:cs="仿宋"/>
          <w:color w:val="auto"/>
          <w:sz w:val="24"/>
        </w:rPr>
        <w:t>23.3公告期限为1个工作日。</w:t>
      </w:r>
    </w:p>
    <w:p>
      <w:pPr>
        <w:snapToGrid w:val="0"/>
        <w:spacing w:line="360" w:lineRule="auto"/>
        <w:ind w:left="137"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color w:val="auto"/>
          <w:sz w:val="24"/>
        </w:rPr>
        <w:t>采购人不得拒收履约保函。</w:t>
      </w:r>
    </w:p>
    <w:p>
      <w:pPr>
        <w:tabs>
          <w:tab w:val="left" w:pos="0"/>
        </w:tabs>
        <w:spacing w:line="360" w:lineRule="auto"/>
        <w:ind w:firstLine="482"/>
        <w:rPr>
          <w:rFonts w:hint="eastAsia" w:ascii="仿宋" w:hAnsi="仿宋" w:eastAsia="仿宋" w:cs="仿宋"/>
          <w:color w:val="auto"/>
          <w:sz w:val="24"/>
          <w:szCs w:val="20"/>
        </w:rPr>
      </w:pPr>
      <w:r>
        <w:rPr>
          <w:rFonts w:hint="eastAsia" w:ascii="仿宋" w:hAnsi="仿宋" w:eastAsia="仿宋" w:cs="仿宋"/>
          <w:color w:val="auto"/>
          <w:sz w:val="24"/>
          <w:szCs w:val="20"/>
        </w:rPr>
        <w:t>政府采购货物和服务项目中，采购单位可根据杭州市政府采购网公布的供应商履约评价情况减免履约保证金。供应商履约验收评价总分为100分的，采购单位应当免收履约保证金；收取履约保证金不得高于合同金额</w:t>
      </w:r>
      <w:r>
        <w:rPr>
          <w:rFonts w:hint="eastAsia" w:ascii="仿宋" w:hAnsi="仿宋" w:eastAsia="仿宋" w:cs="仿宋"/>
          <w:color w:val="auto"/>
          <w:sz w:val="24"/>
          <w:szCs w:val="20"/>
          <w:lang w:val="en-US" w:eastAsia="zh-CN"/>
        </w:rPr>
        <w:t>1</w:t>
      </w:r>
      <w:r>
        <w:rPr>
          <w:rFonts w:hint="eastAsia" w:ascii="仿宋" w:hAnsi="仿宋" w:eastAsia="仿宋" w:cs="仿宋"/>
          <w:color w:val="auto"/>
          <w:sz w:val="24"/>
          <w:szCs w:val="20"/>
        </w:rPr>
        <w:t>%。</w:t>
      </w:r>
    </w:p>
    <w:p>
      <w:pPr>
        <w:bidi w:val="0"/>
        <w:spacing w:line="360" w:lineRule="auto"/>
        <w:ind w:firstLine="480" w:firstLineChars="200"/>
        <w:rPr>
          <w:rFonts w:hint="eastAsia" w:ascii="仿宋" w:hAnsi="仿宋" w:eastAsia="仿宋" w:cs="仿宋"/>
          <w:b/>
          <w:color w:val="auto"/>
          <w:sz w:val="32"/>
        </w:rPr>
      </w:pPr>
      <w:r>
        <w:rPr>
          <w:rFonts w:hint="eastAsia" w:ascii="仿宋" w:hAnsi="仿宋" w:eastAsia="仿宋" w:cs="仿宋"/>
          <w:color w:val="auto"/>
          <w:sz w:val="24"/>
          <w:szCs w:val="20"/>
        </w:rPr>
        <w:t>供应商</w:t>
      </w:r>
      <w:r>
        <w:rPr>
          <w:rFonts w:hint="eastAsia" w:ascii="仿宋" w:hAnsi="仿宋" w:eastAsia="仿宋" w:cs="仿宋"/>
          <w:color w:val="auto"/>
          <w:sz w:val="24"/>
          <w:szCs w:val="20"/>
          <w:lang w:val="en-US"/>
        </w:rPr>
        <w:t>可</w:t>
      </w:r>
      <w:r>
        <w:rPr>
          <w:rFonts w:hint="eastAsia" w:ascii="仿宋" w:hAnsi="仿宋" w:eastAsia="仿宋" w:cs="仿宋"/>
          <w:color w:val="auto"/>
          <w:sz w:val="24"/>
          <w:szCs w:val="20"/>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27.1电子交易平台发生故障而无法登录访问的；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27.4病毒发作导致不能进行正常操作的；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30"/>
        <w:snapToGrid w:val="0"/>
        <w:spacing w:before="0"/>
        <w:ind w:firstLine="0" w:firstLineChars="0"/>
        <w:rPr>
          <w:rFonts w:hint="eastAsia" w:ascii="仿宋" w:hAnsi="仿宋" w:eastAsia="仿宋" w:cs="仿宋"/>
          <w:color w:val="auto"/>
          <w:sz w:val="24"/>
        </w:rPr>
      </w:pPr>
      <w:r>
        <w:rPr>
          <w:rFonts w:hint="eastAsia" w:ascii="仿宋" w:hAnsi="仿宋" w:eastAsia="仿宋" w:cs="仿宋"/>
          <w:color w:val="auto"/>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37"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bookmarkEnd w:id="9"/>
    <w:bookmarkEnd w:id="10"/>
    <w:bookmarkEnd w:id="11"/>
    <w:p>
      <w:pPr>
        <w:spacing w:line="360" w:lineRule="auto"/>
        <w:jc w:val="center"/>
        <w:outlineLvl w:val="0"/>
        <w:rPr>
          <w:rFonts w:hint="eastAsia" w:ascii="仿宋" w:hAnsi="仿宋" w:eastAsia="仿宋" w:cs="仿宋"/>
          <w:b/>
          <w:color w:val="auto"/>
          <w:sz w:val="36"/>
          <w:szCs w:val="36"/>
        </w:rPr>
      </w:pPr>
      <w:bookmarkStart w:id="12" w:name="_Hlt74730295"/>
      <w:bookmarkEnd w:id="12"/>
      <w:bookmarkStart w:id="13" w:name="_Hlt74714665"/>
      <w:bookmarkEnd w:id="13"/>
      <w:bookmarkStart w:id="14" w:name="_Hlt75236101"/>
      <w:bookmarkEnd w:id="14"/>
      <w:bookmarkStart w:id="15" w:name="_Hlt75236290"/>
      <w:bookmarkEnd w:id="15"/>
      <w:bookmarkStart w:id="16" w:name="_Hlt68403820"/>
      <w:bookmarkEnd w:id="16"/>
      <w:bookmarkStart w:id="17" w:name="_Hlt68073093"/>
      <w:bookmarkEnd w:id="17"/>
      <w:bookmarkStart w:id="18" w:name="_Hlt74707468"/>
      <w:bookmarkEnd w:id="18"/>
      <w:bookmarkStart w:id="19" w:name="_Hlt68072990"/>
      <w:bookmarkEnd w:id="19"/>
      <w:bookmarkStart w:id="20" w:name="_Hlt68057669"/>
      <w:bookmarkEnd w:id="20"/>
      <w:bookmarkStart w:id="21" w:name="_Hlt74729768"/>
      <w:bookmarkEnd w:id="21"/>
      <w:bookmarkStart w:id="22" w:name="_Hlt68072998"/>
      <w:bookmarkEnd w:id="22"/>
      <w:bookmarkStart w:id="23" w:name="_Hlt75236011"/>
      <w:bookmarkEnd w:id="23"/>
      <w:bookmarkStart w:id="24" w:name="第四部分"/>
      <w:r>
        <w:rPr>
          <w:rFonts w:hint="eastAsia" w:ascii="仿宋" w:hAnsi="仿宋" w:eastAsia="仿宋" w:cs="仿宋"/>
          <w:b/>
          <w:color w:val="auto"/>
          <w:sz w:val="36"/>
          <w:szCs w:val="36"/>
        </w:rPr>
        <w:t>第三部分   采购需求</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1采购范围</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lang w:eastAsia="zh-CN"/>
        </w:rPr>
        <w:t>桐庐县桥梁安全设施采购及隧道维护项目</w:t>
      </w:r>
      <w:r>
        <w:rPr>
          <w:rFonts w:hint="eastAsia" w:ascii="仿宋" w:hAnsi="仿宋" w:eastAsia="仿宋" w:cs="仿宋"/>
          <w:color w:val="auto"/>
          <w:kern w:val="0"/>
        </w:rPr>
        <w:t>，具体项目内容以</w:t>
      </w:r>
      <w:r>
        <w:rPr>
          <w:rFonts w:hint="eastAsia" w:ascii="仿宋" w:hAnsi="仿宋" w:eastAsia="仿宋" w:cs="仿宋"/>
          <w:color w:val="auto"/>
          <w:kern w:val="0"/>
          <w:lang w:val="en-US" w:eastAsia="zh-CN"/>
        </w:rPr>
        <w:t>施工图纸、工程量清单及</w:t>
      </w:r>
      <w:r>
        <w:rPr>
          <w:rFonts w:hint="eastAsia" w:ascii="仿宋" w:hAnsi="仿宋" w:eastAsia="仿宋" w:cs="仿宋"/>
          <w:color w:val="auto"/>
          <w:kern w:val="0"/>
        </w:rPr>
        <w:t>采购人实际委托为准。</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bookmarkStart w:id="25" w:name="_Toc24996"/>
      <w:r>
        <w:rPr>
          <w:rFonts w:hint="eastAsia" w:ascii="仿宋" w:hAnsi="仿宋" w:eastAsia="仿宋" w:cs="仿宋"/>
          <w:b/>
          <w:color w:val="auto"/>
          <w:sz w:val="28"/>
          <w:szCs w:val="28"/>
          <w:lang w:val="en-US" w:eastAsia="zh-CN"/>
        </w:rPr>
        <w:t>2施工要求</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2.1</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负责人必须保持24小时手机畅通，</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负责人联系方式如有变动必须提前告知</w:t>
      </w:r>
      <w:r>
        <w:rPr>
          <w:rFonts w:hint="eastAsia" w:ascii="仿宋" w:hAnsi="仿宋" w:eastAsia="仿宋" w:cs="仿宋"/>
          <w:color w:val="auto"/>
          <w:kern w:val="0"/>
          <w:lang w:val="en-US" w:eastAsia="zh-CN"/>
        </w:rPr>
        <w:t>采购人</w:t>
      </w:r>
      <w:r>
        <w:rPr>
          <w:rFonts w:hint="eastAsia" w:ascii="仿宋" w:hAnsi="仿宋" w:eastAsia="仿宋" w:cs="仿宋"/>
          <w:color w:val="auto"/>
          <w:kern w:val="0"/>
        </w:rPr>
        <w:t>，不得擅自更换拟派的</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w:t>
      </w:r>
    </w:p>
    <w:p>
      <w:pPr>
        <w:tabs>
          <w:tab w:val="left" w:pos="0"/>
        </w:tabs>
        <w:spacing w:line="240" w:lineRule="auto"/>
        <w:rPr>
          <w:rFonts w:hint="eastAsia" w:ascii="仿宋" w:hAnsi="仿宋" w:eastAsia="仿宋" w:cs="仿宋"/>
          <w:b w:val="0"/>
          <w:bCs w:val="0"/>
          <w:color w:val="auto"/>
          <w:kern w:val="0"/>
        </w:rPr>
      </w:pPr>
      <w:r>
        <w:rPr>
          <w:rFonts w:hint="eastAsia" w:ascii="仿宋" w:hAnsi="仿宋" w:eastAsia="仿宋" w:cs="仿宋"/>
          <w:color w:val="auto"/>
          <w:kern w:val="0"/>
        </w:rPr>
        <w:t>2.</w:t>
      </w:r>
      <w:r>
        <w:rPr>
          <w:rFonts w:hint="eastAsia" w:ascii="仿宋" w:hAnsi="仿宋" w:eastAsia="仿宋" w:cs="仿宋"/>
          <w:color w:val="auto"/>
          <w:kern w:val="0"/>
          <w:lang w:val="en-US" w:eastAsia="zh-CN"/>
        </w:rPr>
        <w:t>2</w:t>
      </w:r>
      <w:r>
        <w:rPr>
          <w:rFonts w:hint="eastAsia" w:ascii="仿宋" w:hAnsi="仿宋" w:eastAsia="仿宋" w:cs="仿宋"/>
          <w:color w:val="auto"/>
          <w:kern w:val="0"/>
        </w:rPr>
        <w:t>中标单位不得擅自施工，由采购人发出相关指令方可施工，施工时应保存好现场影像</w:t>
      </w:r>
      <w:r>
        <w:rPr>
          <w:rFonts w:hint="eastAsia" w:ascii="仿宋" w:hAnsi="仿宋" w:eastAsia="仿宋" w:cs="仿宋"/>
          <w:b w:val="0"/>
          <w:bCs w:val="0"/>
          <w:color w:val="auto"/>
          <w:kern w:val="0"/>
        </w:rPr>
        <w:t>资料，时间、地点、施工前后照片等</w:t>
      </w:r>
      <w:r>
        <w:rPr>
          <w:rFonts w:hint="eastAsia" w:ascii="仿宋" w:hAnsi="仿宋" w:eastAsia="仿宋" w:cs="仿宋"/>
          <w:b w:val="0"/>
          <w:bCs w:val="0"/>
          <w:color w:val="auto"/>
          <w:kern w:val="0"/>
          <w:lang w:val="en-US" w:eastAsia="zh-CN"/>
        </w:rPr>
        <w:t>资料，按建设工程资料存档</w:t>
      </w:r>
      <w:r>
        <w:rPr>
          <w:rFonts w:hint="eastAsia" w:ascii="仿宋" w:hAnsi="仿宋" w:eastAsia="仿宋" w:cs="仿宋"/>
          <w:b w:val="0"/>
          <w:bCs w:val="0"/>
          <w:color w:val="auto"/>
          <w:kern w:val="0"/>
        </w:rPr>
        <w:t>。</w:t>
      </w:r>
    </w:p>
    <w:p>
      <w:pPr>
        <w:tabs>
          <w:tab w:val="left" w:pos="0"/>
        </w:tabs>
        <w:spacing w:line="240" w:lineRule="auto"/>
        <w:rPr>
          <w:rFonts w:hint="eastAsia" w:ascii="仿宋" w:hAnsi="仿宋" w:eastAsia="仿宋" w:cs="仿宋"/>
          <w:b w:val="0"/>
          <w:bCs w:val="0"/>
          <w:color w:val="auto"/>
          <w:kern w:val="0"/>
        </w:rPr>
      </w:pPr>
      <w:r>
        <w:rPr>
          <w:rFonts w:hint="eastAsia" w:ascii="仿宋" w:hAnsi="仿宋" w:eastAsia="仿宋" w:cs="仿宋"/>
          <w:b w:val="0"/>
          <w:bCs w:val="0"/>
          <w:color w:val="auto"/>
          <w:kern w:val="0"/>
        </w:rPr>
        <w:t>2.</w:t>
      </w:r>
      <w:r>
        <w:rPr>
          <w:rFonts w:hint="eastAsia" w:ascii="仿宋" w:hAnsi="仿宋" w:eastAsia="仿宋" w:cs="仿宋"/>
          <w:b w:val="0"/>
          <w:bCs w:val="0"/>
          <w:color w:val="auto"/>
          <w:kern w:val="0"/>
          <w:lang w:val="en-US" w:eastAsia="zh-CN"/>
        </w:rPr>
        <w:t>3</w:t>
      </w:r>
      <w:r>
        <w:rPr>
          <w:rFonts w:hint="eastAsia" w:ascii="仿宋" w:hAnsi="仿宋" w:eastAsia="仿宋" w:cs="仿宋"/>
          <w:b w:val="0"/>
          <w:bCs w:val="0"/>
          <w:color w:val="auto"/>
          <w:kern w:val="0"/>
        </w:rPr>
        <w:t>施工完成后，中标单位应配合采购人复核工程量，双方签字确认。</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b w:val="0"/>
          <w:bCs w:val="0"/>
          <w:color w:val="auto"/>
          <w:kern w:val="0"/>
        </w:rPr>
        <w:t>2.</w:t>
      </w:r>
      <w:r>
        <w:rPr>
          <w:rFonts w:hint="eastAsia" w:ascii="仿宋" w:hAnsi="仿宋" w:eastAsia="仿宋" w:cs="仿宋"/>
          <w:b w:val="0"/>
          <w:bCs w:val="0"/>
          <w:color w:val="auto"/>
          <w:kern w:val="0"/>
          <w:lang w:val="en-US" w:eastAsia="zh-CN"/>
        </w:rPr>
        <w:t>4</w:t>
      </w:r>
      <w:r>
        <w:rPr>
          <w:rFonts w:hint="eastAsia" w:ascii="仿宋" w:hAnsi="仿宋" w:eastAsia="仿宋" w:cs="仿宋"/>
          <w:color w:val="auto"/>
          <w:kern w:val="0"/>
          <w:lang w:val="en-US" w:eastAsia="zh-CN"/>
        </w:rPr>
        <w:t>中标人</w:t>
      </w:r>
      <w:r>
        <w:rPr>
          <w:rFonts w:hint="eastAsia" w:ascii="仿宋" w:hAnsi="仿宋" w:eastAsia="仿宋" w:cs="仿宋"/>
          <w:b w:val="0"/>
          <w:bCs w:val="0"/>
          <w:color w:val="auto"/>
          <w:kern w:val="0"/>
        </w:rPr>
        <w:t>必须为拟派的所有施工人员办理意外伤害保险，施工过程中因</w:t>
      </w:r>
      <w:r>
        <w:rPr>
          <w:rFonts w:hint="eastAsia" w:ascii="仿宋" w:hAnsi="仿宋" w:eastAsia="仿宋" w:cs="仿宋"/>
          <w:color w:val="auto"/>
          <w:kern w:val="0"/>
        </w:rPr>
        <w:t>操作不当等引起的安全责任，以及给第三方造成的损失，均由</w:t>
      </w:r>
      <w:r>
        <w:rPr>
          <w:rFonts w:hint="eastAsia" w:ascii="仿宋" w:hAnsi="仿宋" w:eastAsia="仿宋" w:cs="仿宋"/>
          <w:color w:val="auto"/>
          <w:kern w:val="0"/>
          <w:lang w:val="en-US" w:eastAsia="zh-CN"/>
        </w:rPr>
        <w:t>中标人</w:t>
      </w:r>
      <w:r>
        <w:rPr>
          <w:rFonts w:hint="eastAsia" w:ascii="仿宋" w:hAnsi="仿宋" w:eastAsia="仿宋" w:cs="仿宋"/>
          <w:color w:val="auto"/>
          <w:kern w:val="0"/>
        </w:rPr>
        <w:t>承担。</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3施工现场</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3.1封闭原则：根据现场实际情况，对需要进行封闭施工的区域，根据交警、城管、市政</w:t>
      </w:r>
      <w:r>
        <w:rPr>
          <w:rFonts w:hint="eastAsia" w:ascii="仿宋" w:hAnsi="仿宋" w:eastAsia="仿宋" w:cs="仿宋"/>
          <w:color w:val="auto"/>
          <w:kern w:val="0"/>
          <w:lang w:val="en-US" w:eastAsia="zh-CN"/>
        </w:rPr>
        <w:t>水运</w:t>
      </w:r>
      <w:r>
        <w:rPr>
          <w:rFonts w:hint="eastAsia" w:ascii="仿宋" w:hAnsi="仿宋" w:eastAsia="仿宋" w:cs="仿宋"/>
          <w:color w:val="auto"/>
          <w:kern w:val="0"/>
        </w:rPr>
        <w:t>等相关部门要求做好安全围护措施，提前办理相关审批程序；</w:t>
      </w:r>
    </w:p>
    <w:p>
      <w:pPr>
        <w:pStyle w:val="26"/>
        <w:spacing w:line="240" w:lineRule="auto"/>
        <w:rPr>
          <w:rFonts w:hint="eastAsia"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rPr>
        <w:t>3.2应使用规格、材质等符合采购人要求的安全围护。</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3.3到达现场必须第一时间设置警示牌、隔离带，摆放位置要明显并安全可靠，并由采购人确认后，方可进场施工；</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3.4施工人员必须</w:t>
      </w:r>
      <w:r>
        <w:rPr>
          <w:rFonts w:hint="eastAsia" w:ascii="仿宋" w:hAnsi="仿宋" w:eastAsia="仿宋" w:cs="仿宋"/>
          <w:color w:val="auto"/>
          <w:kern w:val="0"/>
          <w:lang w:val="en-US" w:eastAsia="zh-CN"/>
        </w:rPr>
        <w:t>配</w:t>
      </w:r>
      <w:r>
        <w:rPr>
          <w:rFonts w:hint="eastAsia" w:ascii="仿宋" w:hAnsi="仿宋" w:eastAsia="仿宋" w:cs="仿宋"/>
          <w:color w:val="auto"/>
          <w:kern w:val="0"/>
        </w:rPr>
        <w:t>安全</w:t>
      </w:r>
      <w:r>
        <w:rPr>
          <w:rFonts w:hint="eastAsia" w:ascii="仿宋" w:hAnsi="仿宋" w:eastAsia="仿宋" w:cs="仿宋"/>
          <w:color w:val="auto"/>
          <w:kern w:val="0"/>
          <w:lang w:val="en-US" w:eastAsia="zh-CN"/>
        </w:rPr>
        <w:t>防护措施</w:t>
      </w:r>
      <w:r>
        <w:rPr>
          <w:rFonts w:hint="eastAsia" w:ascii="仿宋" w:hAnsi="仿宋" w:eastAsia="仿宋" w:cs="仿宋"/>
          <w:color w:val="auto"/>
          <w:kern w:val="0"/>
        </w:rPr>
        <w:t>按规范实施作业；</w:t>
      </w:r>
    </w:p>
    <w:bookmarkEnd w:id="25"/>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4技术要求及标准</w:t>
      </w:r>
    </w:p>
    <w:p>
      <w:pPr>
        <w:tabs>
          <w:tab w:val="left" w:pos="0"/>
        </w:tabs>
        <w:spacing w:line="240" w:lineRule="auto"/>
        <w:rPr>
          <w:rFonts w:hint="eastAsia" w:ascii="仿宋" w:hAnsi="仿宋" w:eastAsia="仿宋" w:cs="仿宋"/>
          <w:color w:val="auto"/>
          <w:kern w:val="0"/>
        </w:rPr>
      </w:pPr>
      <w:bookmarkStart w:id="26" w:name="_Toc18100"/>
      <w:r>
        <w:rPr>
          <w:rFonts w:hint="eastAsia" w:ascii="仿宋" w:hAnsi="仿宋" w:eastAsia="仿宋" w:cs="仿宋"/>
          <w:color w:val="auto"/>
          <w:kern w:val="0"/>
        </w:rPr>
        <w:t>4.1质量目标：合格。</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4.2施工质量应严格依照国家现行的施工相关规范以及采购人要求施工，施工质量必须经相关部门及采购人验收合格，否则中标</w:t>
      </w:r>
      <w:r>
        <w:rPr>
          <w:rFonts w:hint="eastAsia" w:ascii="仿宋" w:hAnsi="仿宋" w:eastAsia="仿宋" w:cs="仿宋"/>
          <w:color w:val="auto"/>
          <w:kern w:val="0"/>
          <w:lang w:val="en-US" w:eastAsia="zh-CN"/>
        </w:rPr>
        <w:t>人</w:t>
      </w:r>
      <w:r>
        <w:rPr>
          <w:rFonts w:hint="eastAsia" w:ascii="仿宋" w:hAnsi="仿宋" w:eastAsia="仿宋" w:cs="仿宋"/>
          <w:color w:val="auto"/>
          <w:kern w:val="0"/>
        </w:rPr>
        <w:t>必须无条件承担返工费用及其他相关损失费用。</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4.3提供的施工服务应标明所执行的质量标准，若同一标准已颁发新标准，则按最新标准执行。若同一服务同时有几个标准（国际标准、国家标准、行业标准、企业标准等），则按最高层次的标准执行。</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4.4须按国家现行有关规定及标准完成本次采购施工、调试、检验、通过有关部门验收、维保期服务等各项工作，并保证施工质量使用的安全性能与检测结果的可靠性。对施工质量使用的安全性能与可靠性负全部责任。</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5设备的到货及验收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5.1设备到达现场</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设备到达现场后，成交供应商必须派员到现场与采购人一起开箱检验，按供货清单验收,若有缺少或损坏，成交供应商应立即补足或更换全新同规格产品，并承担相关费用直至使采购人满意为止。</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5.2验收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项目所有采购内容完成后，并经检验合格，所有的技术资料和图纸已向采购人提交，验收视为合格，双方签署验收合格证书。若因成交供应商产品质量问题导致验收不合格，成交供应商应及时予以处理，直至验收合格，期间发生的一切相关费用由供应商承担，采购人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若因成交供应商产品质量问题导致产品始终不能验收合格，采购人有权选择退货，并保留向成交供应商索赔的权利。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成交供应商在设备到货和验收期间应接受采购人的协调和管理，成交供应商应采取严格的安全措施，承担由于自身原因所造成的事故责任及其发生的一切费用。</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5.3设备交货同时提供下列资料：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5.3.1档案资料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货物的档案资料，包括：货物的数量、型号、规格、生产厂家的产品检测证书、合格证书、产品说明书等有关资料。货物开箱后的全部随机资料归采购人所有。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5.3.2技术资料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5.3.2.1设备相关图纸，安装说明。</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5.3.2.2随机的易损件、备品备件及特殊专用工具清单。</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5.3.2.3设备生产厂家的产品检测证书、出厂检验报告、合格证书、产品说明书、中文技术资料、中文操作手册和相关图纸等。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5.3.2.4设备随机提供的装箱清单（每箱一单）。</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6设备质量保证和标准</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6.1质保期限：交付使用后12个月。</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6.2产品的设计及制造质量均应符合国家（或国际）最新颁布的有关标准/规范要求。</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6.3技术标准按国家最新颁布的标准及采购人认可的国际标准。</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6.4凡需国家强制性认证或认可的产品、需提供相应的证书和认可的标志。</w:t>
      </w:r>
    </w:p>
    <w:p>
      <w:pPr>
        <w:tabs>
          <w:tab w:val="left" w:pos="0"/>
        </w:tabs>
        <w:spacing w:line="240" w:lineRule="auto"/>
        <w:rPr>
          <w:rFonts w:hint="eastAsia" w:ascii="仿宋" w:hAnsi="仿宋" w:eastAsia="仿宋" w:cs="仿宋"/>
          <w:b/>
          <w:color w:val="auto"/>
          <w:sz w:val="28"/>
          <w:szCs w:val="28"/>
          <w:lang w:val="en-US" w:eastAsia="zh-CN"/>
        </w:rPr>
      </w:pPr>
      <w:r>
        <w:rPr>
          <w:rFonts w:hint="eastAsia" w:ascii="仿宋" w:hAnsi="仿宋" w:eastAsia="仿宋" w:cs="仿宋"/>
          <w:color w:val="auto"/>
          <w:kern w:val="0"/>
          <w:lang w:val="en-US" w:eastAsia="zh-CN"/>
        </w:rPr>
        <w:t>6.5成交供应商所提供的设备在质保期内（12个月）应建立互信机制，明确维修保养日期，定期上门例行检查和回访，并建立相关档案，在投标文件中明确检查和回访具体措施。保修期满后，成交供应商应与采购人建立长期的维修保养合作关系，提供终身优质服务，并在更换配件上给予优惠，同时在投标文件中做出承诺。</w:t>
      </w:r>
    </w:p>
    <w:bookmarkEnd w:id="26"/>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bookmarkStart w:id="27" w:name="_Toc14673"/>
      <w:bookmarkStart w:id="28" w:name="_Toc5475"/>
      <w:r>
        <w:rPr>
          <w:rFonts w:hint="eastAsia" w:ascii="仿宋" w:hAnsi="仿宋" w:eastAsia="仿宋" w:cs="仿宋"/>
          <w:b/>
          <w:color w:val="auto"/>
          <w:sz w:val="28"/>
          <w:szCs w:val="28"/>
          <w:lang w:val="en-US" w:eastAsia="zh-CN"/>
        </w:rPr>
        <w:t>7安全要求</w:t>
      </w:r>
    </w:p>
    <w:p>
      <w:pPr>
        <w:pStyle w:val="16"/>
        <w:tabs>
          <w:tab w:val="left" w:pos="720"/>
          <w:tab w:val="left" w:pos="990"/>
          <w:tab w:val="clear" w:pos="390"/>
        </w:tabs>
        <w:snapToGrid w:val="0"/>
        <w:spacing w:afterLines="0" w:line="240" w:lineRule="auto"/>
        <w:ind w:left="0" w:leftChars="0" w:firstLine="0" w:firstLineChars="0"/>
        <w:rPr>
          <w:rFonts w:hint="eastAsia" w:ascii="仿宋" w:hAnsi="仿宋" w:eastAsia="仿宋" w:cs="仿宋"/>
          <w:color w:val="auto"/>
          <w:lang w:val="en-US"/>
        </w:rPr>
      </w:pPr>
      <w:r>
        <w:rPr>
          <w:rFonts w:hint="eastAsia" w:ascii="仿宋" w:hAnsi="仿宋" w:eastAsia="仿宋" w:cs="仿宋"/>
          <w:color w:val="auto"/>
          <w:szCs w:val="24"/>
        </w:rPr>
        <w:t>必须按国家有关规定，切实落实各项安全技术措施，确保</w:t>
      </w:r>
      <w:r>
        <w:rPr>
          <w:rFonts w:hint="eastAsia" w:ascii="仿宋" w:hAnsi="仿宋" w:eastAsia="仿宋" w:cs="仿宋"/>
          <w:color w:val="auto"/>
          <w:szCs w:val="24"/>
          <w:lang w:val="en-US" w:eastAsia="zh-CN"/>
        </w:rPr>
        <w:t>设备安装调试及</w:t>
      </w:r>
      <w:r>
        <w:rPr>
          <w:rFonts w:hint="eastAsia" w:ascii="仿宋" w:hAnsi="仿宋" w:eastAsia="仿宋" w:cs="仿宋"/>
          <w:color w:val="auto"/>
          <w:szCs w:val="24"/>
        </w:rPr>
        <w:t>施工现场的安全生产和文明施工。在</w:t>
      </w:r>
      <w:r>
        <w:rPr>
          <w:rFonts w:hint="eastAsia" w:ascii="仿宋" w:hAnsi="仿宋" w:eastAsia="仿宋" w:cs="仿宋"/>
          <w:color w:val="auto"/>
          <w:szCs w:val="24"/>
          <w:lang w:val="en-US" w:eastAsia="zh-CN"/>
        </w:rPr>
        <w:t>设备安装调试</w:t>
      </w:r>
      <w:r>
        <w:rPr>
          <w:rFonts w:hint="eastAsia" w:ascii="仿宋" w:hAnsi="仿宋" w:eastAsia="仿宋" w:cs="仿宋"/>
          <w:color w:val="auto"/>
          <w:szCs w:val="24"/>
        </w:rPr>
        <w:t>施工过程中由于承包人原因而发生的人身伤亡、财产损失及其它一切事故，其责任全部由</w:t>
      </w:r>
      <w:r>
        <w:rPr>
          <w:rFonts w:hint="eastAsia" w:ascii="仿宋" w:hAnsi="仿宋" w:eastAsia="仿宋" w:cs="仿宋"/>
          <w:color w:val="auto"/>
          <w:szCs w:val="24"/>
          <w:lang w:val="en-US" w:eastAsia="zh-CN"/>
        </w:rPr>
        <w:t>中标人</w:t>
      </w:r>
      <w:r>
        <w:rPr>
          <w:rFonts w:hint="eastAsia" w:ascii="仿宋" w:hAnsi="仿宋" w:eastAsia="仿宋" w:cs="仿宋"/>
          <w:color w:val="auto"/>
          <w:szCs w:val="24"/>
        </w:rPr>
        <w:t>承担。</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8商务要求</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8.1工期要求：30日历天。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8.2质保期限：以竣工之日起1年。</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8.3设备安装交付使用及施工地点：详见施工图纸及采购人指定地点。</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8.4支付方式</w:t>
      </w:r>
    </w:p>
    <w:bookmarkEnd w:id="27"/>
    <w:bookmarkEnd w:id="28"/>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8.4.1合同签订并生效后且采购人收到成交供应商提交的有效预付款担保7天内支付合同价款40%的预付款（具体以财政资金到位情况为准，成交供应商须向采购人提供预付款担保）。</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8.4.2预付款担保</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8.4.2.1采购人要求成交供应商提供预付款担保的形式：采用银行保函形式。银行保函为见索即付保函：即在成交供应商没有实施合同或者未履行合同义务时，采购人不需要出具任何证明和理由，只要看到成交供应商违约，就可对保函进行收兑。</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8.4.2.2采购人在合同款中逐期扣回预付款后，预付款担保额度应相应减少，但剩余的预付款担保金额不得低于未被扣回的预付款金额，在预付款完全扣回之前，成交供应商应保证预付款担保持续有效。</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8.5按每月25日前提交的当月已完成的工程量的80%支付进度款（含同比例预付款），项目竣工验收合格后7个工作日内支付至合同价款的80%（含全部预付款），结算审计完成后7个工作日内支付至合同价款的99%，剩余1%履约保证金待质保期满后一次性无息退还。</w:t>
      </w: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9" w:name="_Toc184310277"/>
      <w:bookmarkEnd w:id="29"/>
      <w:bookmarkStart w:id="30" w:name="_Toc184313243"/>
      <w:bookmarkEnd w:id="30"/>
      <w:bookmarkStart w:id="31" w:name="_Toc184314478"/>
      <w:bookmarkEnd w:id="31"/>
      <w:bookmarkStart w:id="32" w:name="_Toc184308056"/>
      <w:bookmarkEnd w:id="32"/>
      <w:bookmarkStart w:id="33" w:name="_Toc184308059"/>
      <w:bookmarkEnd w:id="33"/>
      <w:bookmarkStart w:id="34" w:name="_Toc184308043"/>
      <w:bookmarkEnd w:id="34"/>
      <w:bookmarkStart w:id="35" w:name="_Toc184310278"/>
      <w:bookmarkEnd w:id="35"/>
      <w:bookmarkStart w:id="36" w:name="_Toc184308038"/>
      <w:bookmarkEnd w:id="36"/>
      <w:bookmarkStart w:id="37" w:name="_Toc184312125"/>
      <w:bookmarkEnd w:id="37"/>
      <w:bookmarkStart w:id="38" w:name="_Toc184314414"/>
      <w:bookmarkEnd w:id="38"/>
      <w:bookmarkStart w:id="39" w:name="_Toc184314474"/>
      <w:bookmarkEnd w:id="39"/>
      <w:bookmarkStart w:id="40" w:name="_Toc184310344"/>
      <w:bookmarkEnd w:id="40"/>
      <w:bookmarkStart w:id="41" w:name="_Toc184310272"/>
      <w:bookmarkEnd w:id="41"/>
      <w:bookmarkStart w:id="42" w:name="_Toc184310275"/>
      <w:bookmarkEnd w:id="42"/>
      <w:bookmarkStart w:id="43" w:name="_Toc184313282"/>
      <w:bookmarkEnd w:id="43"/>
      <w:bookmarkStart w:id="44" w:name="_Toc184310312"/>
      <w:bookmarkEnd w:id="44"/>
      <w:bookmarkStart w:id="45" w:name="_Toc184313296"/>
      <w:bookmarkEnd w:id="45"/>
      <w:bookmarkStart w:id="46" w:name="_Toc184313290"/>
      <w:bookmarkEnd w:id="46"/>
      <w:bookmarkStart w:id="47" w:name="_Toc184312082"/>
      <w:bookmarkEnd w:id="47"/>
      <w:bookmarkStart w:id="48" w:name="_Toc184314411"/>
      <w:bookmarkEnd w:id="48"/>
      <w:bookmarkStart w:id="49" w:name="_Toc184312111"/>
      <w:bookmarkEnd w:id="49"/>
      <w:bookmarkStart w:id="50" w:name="_Toc184310279"/>
      <w:bookmarkEnd w:id="50"/>
      <w:bookmarkStart w:id="51" w:name="_Toc184313292"/>
      <w:bookmarkEnd w:id="51"/>
      <w:bookmarkStart w:id="52" w:name="_Toc184308042"/>
      <w:bookmarkEnd w:id="52"/>
      <w:bookmarkStart w:id="53" w:name="_Toc184310316"/>
      <w:bookmarkEnd w:id="53"/>
      <w:bookmarkStart w:id="54" w:name="_Toc184308068"/>
      <w:bookmarkEnd w:id="54"/>
      <w:bookmarkStart w:id="55" w:name="_Toc184308041"/>
      <w:bookmarkEnd w:id="55"/>
      <w:bookmarkStart w:id="56" w:name="_Toc184312072"/>
      <w:bookmarkEnd w:id="56"/>
      <w:bookmarkStart w:id="57" w:name="_Toc184314477"/>
      <w:bookmarkEnd w:id="57"/>
      <w:bookmarkStart w:id="58" w:name="_Toc184308085"/>
      <w:bookmarkEnd w:id="58"/>
      <w:bookmarkStart w:id="59" w:name="_Toc184308098"/>
      <w:bookmarkEnd w:id="59"/>
      <w:bookmarkStart w:id="60" w:name="_Toc184314468"/>
      <w:bookmarkEnd w:id="60"/>
      <w:bookmarkStart w:id="61" w:name="_Toc184312132"/>
      <w:bookmarkEnd w:id="61"/>
      <w:bookmarkStart w:id="62" w:name="_Toc184313278"/>
      <w:bookmarkEnd w:id="62"/>
      <w:bookmarkStart w:id="63" w:name="_Toc184312110"/>
      <w:bookmarkEnd w:id="63"/>
      <w:bookmarkStart w:id="64" w:name="_Toc184314435"/>
      <w:bookmarkEnd w:id="64"/>
      <w:bookmarkStart w:id="65" w:name="_Toc184312076"/>
      <w:bookmarkEnd w:id="65"/>
      <w:bookmarkStart w:id="66" w:name="_Toc184313294"/>
      <w:bookmarkEnd w:id="66"/>
      <w:bookmarkStart w:id="67" w:name="_Toc184312114"/>
      <w:bookmarkEnd w:id="67"/>
      <w:bookmarkStart w:id="68" w:name="_Toc184313261"/>
      <w:bookmarkEnd w:id="68"/>
      <w:bookmarkStart w:id="69" w:name="_Toc184310332"/>
      <w:bookmarkEnd w:id="69"/>
      <w:bookmarkStart w:id="70" w:name="_Toc184310329"/>
      <w:bookmarkEnd w:id="70"/>
      <w:bookmarkStart w:id="71" w:name="_Toc184310330"/>
      <w:bookmarkEnd w:id="71"/>
      <w:bookmarkStart w:id="72" w:name="_Toc184308097"/>
      <w:bookmarkEnd w:id="72"/>
      <w:bookmarkStart w:id="73" w:name="_Toc184312130"/>
      <w:bookmarkEnd w:id="73"/>
      <w:bookmarkStart w:id="74" w:name="_Toc184313260"/>
      <w:bookmarkEnd w:id="74"/>
      <w:bookmarkStart w:id="75" w:name="_Toc184310317"/>
      <w:bookmarkEnd w:id="75"/>
      <w:bookmarkStart w:id="76" w:name="_Toc184314415"/>
      <w:bookmarkEnd w:id="76"/>
      <w:bookmarkStart w:id="77" w:name="_Toc184312128"/>
      <w:bookmarkEnd w:id="77"/>
      <w:bookmarkStart w:id="78" w:name="_Toc184313309"/>
      <w:bookmarkEnd w:id="78"/>
      <w:bookmarkStart w:id="79" w:name="_Toc184314467"/>
      <w:bookmarkEnd w:id="79"/>
      <w:bookmarkStart w:id="80" w:name="_Toc184308049"/>
      <w:bookmarkEnd w:id="80"/>
      <w:bookmarkStart w:id="81" w:name="_Toc184310304"/>
      <w:bookmarkEnd w:id="81"/>
      <w:bookmarkStart w:id="82" w:name="_Toc184308096"/>
      <w:bookmarkEnd w:id="82"/>
      <w:bookmarkStart w:id="83" w:name="_Toc184314452"/>
      <w:bookmarkEnd w:id="83"/>
      <w:bookmarkStart w:id="84" w:name="_Toc184313300"/>
      <w:bookmarkEnd w:id="84"/>
      <w:bookmarkStart w:id="85" w:name="_Toc184308045"/>
      <w:bookmarkEnd w:id="85"/>
      <w:bookmarkStart w:id="86" w:name="_Toc184313298"/>
      <w:bookmarkEnd w:id="86"/>
      <w:bookmarkStart w:id="87" w:name="_Toc184314418"/>
      <w:bookmarkEnd w:id="87"/>
      <w:bookmarkStart w:id="88" w:name="_Toc184313276"/>
      <w:bookmarkEnd w:id="88"/>
      <w:bookmarkStart w:id="89" w:name="_Toc184308099"/>
      <w:bookmarkEnd w:id="89"/>
      <w:bookmarkStart w:id="90" w:name="_Toc184310295"/>
      <w:bookmarkEnd w:id="90"/>
      <w:bookmarkStart w:id="91" w:name="_Toc184312129"/>
      <w:bookmarkEnd w:id="91"/>
      <w:bookmarkStart w:id="92" w:name="_Toc184308103"/>
      <w:bookmarkEnd w:id="92"/>
      <w:bookmarkStart w:id="93" w:name="_Toc184312090"/>
      <w:bookmarkEnd w:id="93"/>
      <w:bookmarkStart w:id="94" w:name="_Toc184308104"/>
      <w:bookmarkEnd w:id="94"/>
      <w:bookmarkStart w:id="95" w:name="_Toc184310339"/>
      <w:bookmarkEnd w:id="95"/>
      <w:bookmarkStart w:id="96" w:name="_Toc184312121"/>
      <w:bookmarkEnd w:id="96"/>
      <w:bookmarkStart w:id="97" w:name="_Toc184314427"/>
      <w:bookmarkEnd w:id="97"/>
      <w:bookmarkStart w:id="98" w:name="_Toc184312112"/>
      <w:bookmarkEnd w:id="98"/>
      <w:bookmarkStart w:id="99" w:name="_Toc184312092"/>
      <w:bookmarkEnd w:id="99"/>
      <w:bookmarkStart w:id="100" w:name="_Toc184313303"/>
      <w:bookmarkEnd w:id="100"/>
      <w:bookmarkStart w:id="101" w:name="_Toc184308106"/>
      <w:bookmarkEnd w:id="101"/>
      <w:bookmarkStart w:id="102" w:name="_Toc184314455"/>
      <w:bookmarkEnd w:id="102"/>
      <w:bookmarkStart w:id="103" w:name="_Toc184308073"/>
      <w:bookmarkEnd w:id="103"/>
      <w:bookmarkStart w:id="104" w:name="_Toc184308044"/>
      <w:bookmarkEnd w:id="104"/>
      <w:bookmarkStart w:id="105" w:name="_Toc184314457"/>
      <w:bookmarkEnd w:id="105"/>
      <w:bookmarkStart w:id="106" w:name="_Toc184313265"/>
      <w:bookmarkEnd w:id="106"/>
      <w:bookmarkStart w:id="107" w:name="_Toc184310320"/>
      <w:bookmarkEnd w:id="107"/>
      <w:bookmarkStart w:id="108" w:name="_Toc184310276"/>
      <w:bookmarkEnd w:id="108"/>
      <w:bookmarkStart w:id="109" w:name="_Toc184308080"/>
      <w:bookmarkEnd w:id="109"/>
      <w:bookmarkStart w:id="110" w:name="_Toc184310314"/>
      <w:bookmarkEnd w:id="110"/>
      <w:bookmarkStart w:id="111" w:name="_Toc184314433"/>
      <w:bookmarkEnd w:id="111"/>
      <w:bookmarkStart w:id="112" w:name="_Toc184308067"/>
      <w:bookmarkEnd w:id="112"/>
      <w:bookmarkStart w:id="113" w:name="_Toc184313284"/>
      <w:bookmarkEnd w:id="113"/>
      <w:bookmarkStart w:id="114" w:name="_Toc184314437"/>
      <w:bookmarkEnd w:id="114"/>
      <w:bookmarkStart w:id="115" w:name="_Toc184308050"/>
      <w:bookmarkEnd w:id="115"/>
      <w:bookmarkStart w:id="116" w:name="_Toc184314431"/>
      <w:bookmarkEnd w:id="116"/>
      <w:bookmarkStart w:id="117" w:name="_Toc184310321"/>
      <w:bookmarkEnd w:id="117"/>
      <w:bookmarkStart w:id="118" w:name="_Toc184314425"/>
      <w:bookmarkEnd w:id="118"/>
      <w:bookmarkStart w:id="119" w:name="_Toc184314471"/>
      <w:bookmarkEnd w:id="119"/>
      <w:bookmarkStart w:id="120" w:name="_Toc184308088"/>
      <w:bookmarkEnd w:id="120"/>
      <w:bookmarkStart w:id="121" w:name="_Toc184313253"/>
      <w:bookmarkEnd w:id="121"/>
      <w:bookmarkStart w:id="122" w:name="_Toc184308057"/>
      <w:bookmarkEnd w:id="122"/>
      <w:bookmarkStart w:id="123" w:name="_Toc184310298"/>
      <w:bookmarkEnd w:id="123"/>
      <w:bookmarkStart w:id="124" w:name="_Toc184312094"/>
      <w:bookmarkEnd w:id="124"/>
      <w:bookmarkStart w:id="125" w:name="_Toc184312135"/>
      <w:bookmarkEnd w:id="125"/>
      <w:bookmarkStart w:id="126" w:name="_Toc184314454"/>
      <w:bookmarkEnd w:id="126"/>
      <w:bookmarkStart w:id="127" w:name="_Toc184314439"/>
      <w:bookmarkEnd w:id="127"/>
      <w:bookmarkStart w:id="128" w:name="_Toc184308101"/>
      <w:bookmarkEnd w:id="128"/>
      <w:bookmarkStart w:id="129" w:name="_Toc184314438"/>
      <w:bookmarkEnd w:id="129"/>
      <w:bookmarkStart w:id="130" w:name="_Toc184313246"/>
      <w:bookmarkEnd w:id="130"/>
      <w:bookmarkStart w:id="131" w:name="_Toc184313263"/>
      <w:bookmarkEnd w:id="131"/>
      <w:bookmarkStart w:id="132" w:name="_Toc184308053"/>
      <w:bookmarkEnd w:id="132"/>
      <w:bookmarkStart w:id="133" w:name="_Toc184312115"/>
      <w:bookmarkEnd w:id="133"/>
      <w:bookmarkStart w:id="134" w:name="_Toc184312098"/>
      <w:bookmarkEnd w:id="134"/>
      <w:bookmarkStart w:id="135" w:name="_Toc184310296"/>
      <w:bookmarkEnd w:id="135"/>
      <w:bookmarkStart w:id="136" w:name="_Toc184310292"/>
      <w:bookmarkEnd w:id="136"/>
      <w:bookmarkStart w:id="137" w:name="_Toc184308061"/>
      <w:bookmarkEnd w:id="137"/>
      <w:bookmarkStart w:id="138" w:name="_Toc184313307"/>
      <w:bookmarkEnd w:id="138"/>
      <w:bookmarkStart w:id="139" w:name="_Toc184312086"/>
      <w:bookmarkEnd w:id="139"/>
      <w:bookmarkStart w:id="140" w:name="_Toc184310273"/>
      <w:bookmarkEnd w:id="140"/>
      <w:bookmarkStart w:id="141" w:name="_Toc184312084"/>
      <w:bookmarkEnd w:id="141"/>
      <w:bookmarkStart w:id="142" w:name="_Toc184310336"/>
      <w:bookmarkEnd w:id="142"/>
      <w:bookmarkStart w:id="143" w:name="_Toc184308065"/>
      <w:bookmarkEnd w:id="143"/>
      <w:bookmarkStart w:id="144" w:name="_Toc184312068"/>
      <w:bookmarkEnd w:id="144"/>
      <w:bookmarkStart w:id="145" w:name="_Toc184310293"/>
      <w:bookmarkEnd w:id="145"/>
      <w:bookmarkStart w:id="146" w:name="_Toc184312085"/>
      <w:bookmarkEnd w:id="146"/>
      <w:bookmarkStart w:id="147" w:name="_Toc184312116"/>
      <w:bookmarkEnd w:id="147"/>
      <w:bookmarkStart w:id="148" w:name="_Toc184308055"/>
      <w:bookmarkEnd w:id="148"/>
      <w:bookmarkStart w:id="149" w:name="_Toc184314428"/>
      <w:bookmarkEnd w:id="149"/>
      <w:bookmarkStart w:id="150" w:name="_Toc184313251"/>
      <w:bookmarkEnd w:id="150"/>
      <w:bookmarkStart w:id="151" w:name="_Toc184314475"/>
      <w:bookmarkEnd w:id="151"/>
      <w:bookmarkStart w:id="152" w:name="_Toc184308105"/>
      <w:bookmarkEnd w:id="152"/>
      <w:bookmarkStart w:id="153" w:name="_Toc184314416"/>
      <w:bookmarkEnd w:id="153"/>
      <w:bookmarkStart w:id="154" w:name="_Toc184310290"/>
      <w:bookmarkEnd w:id="154"/>
      <w:bookmarkStart w:id="155" w:name="_Toc184314458"/>
      <w:bookmarkEnd w:id="155"/>
      <w:bookmarkStart w:id="156" w:name="_Toc184312069"/>
      <w:bookmarkEnd w:id="156"/>
      <w:bookmarkStart w:id="157" w:name="_Toc184313287"/>
      <w:bookmarkEnd w:id="157"/>
      <w:bookmarkStart w:id="158" w:name="_Toc184314430"/>
      <w:bookmarkEnd w:id="158"/>
      <w:bookmarkStart w:id="159" w:name="_Toc184313306"/>
      <w:bookmarkEnd w:id="159"/>
      <w:bookmarkStart w:id="160" w:name="_Toc184310335"/>
      <w:bookmarkEnd w:id="160"/>
      <w:bookmarkStart w:id="161" w:name="_Toc184310274"/>
      <w:bookmarkEnd w:id="161"/>
      <w:bookmarkStart w:id="162" w:name="_Toc184310297"/>
      <w:bookmarkEnd w:id="162"/>
      <w:bookmarkStart w:id="163" w:name="_Toc184314429"/>
      <w:bookmarkEnd w:id="163"/>
      <w:bookmarkStart w:id="164" w:name="_Toc184312067"/>
      <w:bookmarkEnd w:id="164"/>
      <w:bookmarkStart w:id="165" w:name="_Toc184310288"/>
      <w:bookmarkEnd w:id="165"/>
      <w:bookmarkStart w:id="166" w:name="_Toc184314450"/>
      <w:bookmarkEnd w:id="166"/>
      <w:bookmarkStart w:id="167" w:name="_Toc184313277"/>
      <w:bookmarkEnd w:id="167"/>
      <w:bookmarkStart w:id="168" w:name="_Toc184313280"/>
      <w:bookmarkEnd w:id="168"/>
      <w:bookmarkStart w:id="169" w:name="_Toc184313262"/>
      <w:bookmarkEnd w:id="169"/>
      <w:bookmarkStart w:id="170" w:name="_Toc184313275"/>
      <w:bookmarkEnd w:id="170"/>
      <w:bookmarkStart w:id="171" w:name="_Toc184313254"/>
      <w:bookmarkEnd w:id="171"/>
      <w:bookmarkStart w:id="172" w:name="_Toc184308040"/>
      <w:bookmarkEnd w:id="172"/>
      <w:bookmarkStart w:id="173" w:name="_Toc184314459"/>
      <w:bookmarkEnd w:id="173"/>
      <w:bookmarkStart w:id="174" w:name="_Toc184314413"/>
      <w:bookmarkEnd w:id="174"/>
      <w:bookmarkStart w:id="175" w:name="_Toc184312117"/>
      <w:bookmarkEnd w:id="175"/>
      <w:bookmarkStart w:id="176" w:name="_Toc184312075"/>
      <w:bookmarkEnd w:id="176"/>
      <w:bookmarkStart w:id="177" w:name="_Toc184310322"/>
      <w:bookmarkEnd w:id="177"/>
      <w:bookmarkStart w:id="178" w:name="_Toc184312088"/>
      <w:bookmarkEnd w:id="178"/>
      <w:bookmarkStart w:id="179" w:name="_Toc184314472"/>
      <w:bookmarkEnd w:id="179"/>
      <w:bookmarkStart w:id="180" w:name="_Toc184314449"/>
      <w:bookmarkEnd w:id="180"/>
      <w:bookmarkStart w:id="181" w:name="_Toc184314417"/>
      <w:bookmarkEnd w:id="181"/>
      <w:bookmarkStart w:id="182" w:name="_Toc184314448"/>
      <w:bookmarkEnd w:id="182"/>
      <w:bookmarkStart w:id="183" w:name="_Toc184308075"/>
      <w:bookmarkEnd w:id="183"/>
      <w:bookmarkStart w:id="184" w:name="_Toc184308054"/>
      <w:bookmarkEnd w:id="184"/>
      <w:bookmarkStart w:id="185" w:name="_Toc184313241"/>
      <w:bookmarkEnd w:id="185"/>
      <w:bookmarkStart w:id="186" w:name="_Toc184308090"/>
      <w:bookmarkEnd w:id="186"/>
      <w:bookmarkStart w:id="187" w:name="_Toc184310342"/>
      <w:bookmarkEnd w:id="187"/>
      <w:bookmarkStart w:id="188" w:name="_Toc184312089"/>
      <w:bookmarkEnd w:id="188"/>
      <w:bookmarkStart w:id="189" w:name="_Toc184312109"/>
      <w:bookmarkEnd w:id="189"/>
      <w:bookmarkStart w:id="190" w:name="_Toc184310334"/>
      <w:bookmarkEnd w:id="190"/>
      <w:bookmarkStart w:id="191" w:name="_Toc184313285"/>
      <w:bookmarkEnd w:id="191"/>
      <w:bookmarkStart w:id="192" w:name="_Toc184312074"/>
      <w:bookmarkEnd w:id="192"/>
      <w:bookmarkStart w:id="193" w:name="_Toc184312107"/>
      <w:bookmarkEnd w:id="193"/>
      <w:bookmarkStart w:id="194" w:name="_Toc184312127"/>
      <w:bookmarkEnd w:id="194"/>
      <w:bookmarkStart w:id="195" w:name="_Toc184308076"/>
      <w:bookmarkEnd w:id="195"/>
      <w:bookmarkStart w:id="196" w:name="_Toc184308060"/>
      <w:bookmarkEnd w:id="196"/>
      <w:bookmarkStart w:id="197" w:name="_Toc184310299"/>
      <w:bookmarkEnd w:id="197"/>
      <w:bookmarkStart w:id="198" w:name="_Toc184310318"/>
      <w:bookmarkEnd w:id="198"/>
      <w:bookmarkStart w:id="199" w:name="_Toc184312073"/>
      <w:bookmarkEnd w:id="199"/>
      <w:bookmarkStart w:id="200" w:name="_Toc184310289"/>
      <w:bookmarkEnd w:id="200"/>
      <w:bookmarkStart w:id="201" w:name="_Toc184308046"/>
      <w:bookmarkEnd w:id="201"/>
      <w:bookmarkStart w:id="202" w:name="_Toc184310331"/>
      <w:bookmarkEnd w:id="202"/>
      <w:bookmarkStart w:id="203" w:name="_Toc184310280"/>
      <w:bookmarkEnd w:id="203"/>
      <w:bookmarkStart w:id="204" w:name="_Toc184310326"/>
      <w:bookmarkEnd w:id="204"/>
      <w:bookmarkStart w:id="205" w:name="_Toc184308062"/>
      <w:bookmarkEnd w:id="205"/>
      <w:bookmarkStart w:id="206" w:name="_Toc184314424"/>
      <w:bookmarkEnd w:id="206"/>
      <w:bookmarkStart w:id="207" w:name="_Toc184313299"/>
      <w:bookmarkEnd w:id="207"/>
      <w:bookmarkStart w:id="208" w:name="_Toc184313305"/>
      <w:bookmarkEnd w:id="208"/>
      <w:bookmarkStart w:id="209" w:name="_Toc184308036"/>
      <w:bookmarkEnd w:id="209"/>
      <w:bookmarkStart w:id="210" w:name="_Toc184313245"/>
      <w:bookmarkEnd w:id="210"/>
      <w:bookmarkStart w:id="211" w:name="_Toc184308039"/>
      <w:bookmarkEnd w:id="211"/>
      <w:bookmarkStart w:id="212" w:name="_Toc184312077"/>
      <w:bookmarkEnd w:id="212"/>
      <w:bookmarkStart w:id="213" w:name="_Toc184310294"/>
      <w:bookmarkEnd w:id="213"/>
      <w:bookmarkStart w:id="214" w:name="_Toc184313244"/>
      <w:bookmarkEnd w:id="214"/>
      <w:bookmarkStart w:id="215" w:name="_Toc184312091"/>
      <w:bookmarkEnd w:id="215"/>
      <w:bookmarkStart w:id="216" w:name="_Toc184310287"/>
      <w:bookmarkEnd w:id="216"/>
      <w:bookmarkStart w:id="217" w:name="_Toc184312105"/>
      <w:bookmarkEnd w:id="217"/>
      <w:bookmarkStart w:id="218" w:name="_Toc184312123"/>
      <w:bookmarkEnd w:id="218"/>
      <w:bookmarkStart w:id="219" w:name="_Toc184313242"/>
      <w:bookmarkEnd w:id="219"/>
      <w:bookmarkStart w:id="220" w:name="_Toc184310340"/>
      <w:bookmarkEnd w:id="220"/>
      <w:bookmarkStart w:id="221" w:name="_Toc184308037"/>
      <w:bookmarkEnd w:id="221"/>
      <w:bookmarkStart w:id="222" w:name="_Toc184314423"/>
      <w:bookmarkEnd w:id="222"/>
      <w:bookmarkStart w:id="223" w:name="_Toc184312079"/>
      <w:bookmarkEnd w:id="223"/>
      <w:bookmarkStart w:id="224" w:name="_Toc184312119"/>
      <w:bookmarkEnd w:id="224"/>
      <w:bookmarkStart w:id="225" w:name="_Toc184312120"/>
      <w:bookmarkEnd w:id="225"/>
      <w:bookmarkStart w:id="226" w:name="_Toc184313286"/>
      <w:bookmarkEnd w:id="226"/>
      <w:bookmarkStart w:id="227" w:name="_Toc184310327"/>
      <w:bookmarkEnd w:id="227"/>
      <w:bookmarkStart w:id="228" w:name="_Toc184310338"/>
      <w:bookmarkEnd w:id="228"/>
      <w:bookmarkStart w:id="229" w:name="_Toc184312093"/>
      <w:bookmarkEnd w:id="229"/>
      <w:bookmarkStart w:id="230" w:name="_Toc184314481"/>
      <w:bookmarkEnd w:id="230"/>
      <w:bookmarkStart w:id="231" w:name="_Toc184308094"/>
      <w:bookmarkEnd w:id="231"/>
      <w:bookmarkStart w:id="232" w:name="_Toc184314470"/>
      <w:bookmarkEnd w:id="232"/>
      <w:bookmarkStart w:id="233" w:name="_Toc184308102"/>
      <w:bookmarkEnd w:id="233"/>
      <w:bookmarkStart w:id="234" w:name="_Toc184312134"/>
      <w:bookmarkEnd w:id="234"/>
      <w:bookmarkStart w:id="235" w:name="_Toc184308092"/>
      <w:bookmarkEnd w:id="235"/>
      <w:bookmarkStart w:id="236" w:name="_Toc184314476"/>
      <w:bookmarkEnd w:id="236"/>
      <w:bookmarkStart w:id="237" w:name="_Toc184313297"/>
      <w:bookmarkEnd w:id="237"/>
      <w:bookmarkStart w:id="238" w:name="_Toc184313289"/>
      <w:bookmarkEnd w:id="238"/>
      <w:bookmarkStart w:id="239" w:name="_Toc184313248"/>
      <w:bookmarkEnd w:id="239"/>
      <w:bookmarkStart w:id="240" w:name="_Toc184312137"/>
      <w:bookmarkEnd w:id="240"/>
      <w:bookmarkStart w:id="241" w:name="_Toc184312122"/>
      <w:bookmarkEnd w:id="241"/>
      <w:bookmarkStart w:id="242" w:name="_Toc184312113"/>
      <w:bookmarkEnd w:id="242"/>
      <w:bookmarkStart w:id="243" w:name="_Toc184313293"/>
      <w:bookmarkEnd w:id="243"/>
      <w:bookmarkStart w:id="244" w:name="_Toc184312118"/>
      <w:bookmarkEnd w:id="244"/>
      <w:bookmarkStart w:id="245" w:name="_Toc184310333"/>
      <w:bookmarkEnd w:id="245"/>
      <w:bookmarkStart w:id="246" w:name="_Toc184312124"/>
      <w:bookmarkEnd w:id="246"/>
      <w:bookmarkStart w:id="247" w:name="_Toc184310286"/>
      <w:bookmarkEnd w:id="247"/>
      <w:bookmarkStart w:id="248" w:name="_Toc184308089"/>
      <w:bookmarkEnd w:id="248"/>
      <w:bookmarkStart w:id="249" w:name="_Toc184314422"/>
      <w:bookmarkEnd w:id="249"/>
      <w:bookmarkStart w:id="250" w:name="_Toc184314466"/>
      <w:bookmarkEnd w:id="250"/>
      <w:bookmarkStart w:id="251" w:name="_Toc184314461"/>
      <w:bookmarkEnd w:id="251"/>
      <w:bookmarkStart w:id="252" w:name="_Toc184313304"/>
      <w:bookmarkEnd w:id="252"/>
      <w:bookmarkStart w:id="253" w:name="_Toc184308100"/>
      <w:bookmarkEnd w:id="253"/>
      <w:bookmarkStart w:id="254" w:name="_Toc184308095"/>
      <w:bookmarkEnd w:id="254"/>
      <w:bookmarkStart w:id="255" w:name="_Toc184310313"/>
      <w:bookmarkEnd w:id="255"/>
      <w:bookmarkStart w:id="256" w:name="_Toc184308093"/>
      <w:bookmarkEnd w:id="256"/>
      <w:bookmarkStart w:id="257" w:name="_Toc184308091"/>
      <w:bookmarkEnd w:id="257"/>
      <w:bookmarkStart w:id="258" w:name="_Toc184312139"/>
      <w:bookmarkEnd w:id="258"/>
      <w:bookmarkStart w:id="259" w:name="_Toc184314462"/>
      <w:bookmarkEnd w:id="259"/>
      <w:bookmarkStart w:id="260" w:name="_Toc184312126"/>
      <w:bookmarkEnd w:id="260"/>
      <w:bookmarkStart w:id="261" w:name="_Toc184312136"/>
      <w:bookmarkEnd w:id="261"/>
      <w:bookmarkStart w:id="262" w:name="_Toc184313252"/>
      <w:bookmarkEnd w:id="262"/>
      <w:bookmarkStart w:id="263" w:name="_Toc184313301"/>
      <w:bookmarkEnd w:id="263"/>
      <w:bookmarkStart w:id="264" w:name="_Toc184310325"/>
      <w:bookmarkEnd w:id="264"/>
      <w:bookmarkStart w:id="265" w:name="_Toc184314463"/>
      <w:bookmarkEnd w:id="265"/>
      <w:bookmarkStart w:id="266" w:name="_Toc184313288"/>
      <w:bookmarkEnd w:id="266"/>
      <w:bookmarkStart w:id="267" w:name="_Toc184312108"/>
      <w:bookmarkEnd w:id="267"/>
      <w:bookmarkStart w:id="268" w:name="_Toc184314480"/>
      <w:bookmarkEnd w:id="268"/>
      <w:bookmarkStart w:id="269" w:name="_Toc184308063"/>
      <w:bookmarkEnd w:id="269"/>
      <w:bookmarkStart w:id="270" w:name="_Toc184308083"/>
      <w:bookmarkEnd w:id="270"/>
      <w:bookmarkStart w:id="271" w:name="_Toc184308051"/>
      <w:bookmarkEnd w:id="271"/>
      <w:bookmarkStart w:id="272" w:name="_Toc184313310"/>
      <w:bookmarkEnd w:id="272"/>
      <w:bookmarkStart w:id="273" w:name="_Toc184314436"/>
      <w:bookmarkEnd w:id="273"/>
      <w:bookmarkStart w:id="274" w:name="_Toc184314410"/>
      <w:bookmarkEnd w:id="274"/>
      <w:bookmarkStart w:id="275" w:name="_Toc184308072"/>
      <w:bookmarkEnd w:id="275"/>
      <w:bookmarkStart w:id="276" w:name="_Toc184314421"/>
      <w:bookmarkEnd w:id="276"/>
      <w:bookmarkStart w:id="277" w:name="_Toc184314469"/>
      <w:bookmarkEnd w:id="277"/>
      <w:bookmarkStart w:id="278" w:name="_Toc184310319"/>
      <w:bookmarkEnd w:id="278"/>
      <w:bookmarkStart w:id="279" w:name="_Toc184314465"/>
      <w:bookmarkEnd w:id="279"/>
      <w:bookmarkStart w:id="280" w:name="_Toc184308086"/>
      <w:bookmarkEnd w:id="280"/>
      <w:bookmarkStart w:id="281" w:name="_Toc184312104"/>
      <w:bookmarkEnd w:id="281"/>
      <w:bookmarkStart w:id="282" w:name="_Toc184310284"/>
      <w:bookmarkEnd w:id="282"/>
      <w:bookmarkStart w:id="283" w:name="_Toc184308077"/>
      <w:bookmarkEnd w:id="283"/>
      <w:bookmarkStart w:id="284" w:name="_Toc184308108"/>
      <w:bookmarkEnd w:id="284"/>
      <w:bookmarkStart w:id="285" w:name="_Toc184310328"/>
      <w:bookmarkEnd w:id="285"/>
      <w:bookmarkStart w:id="286" w:name="_Toc184313279"/>
      <w:bookmarkEnd w:id="286"/>
      <w:bookmarkStart w:id="287" w:name="_Toc184314456"/>
      <w:bookmarkEnd w:id="287"/>
      <w:bookmarkStart w:id="288" w:name="_Toc184313302"/>
      <w:bookmarkEnd w:id="288"/>
      <w:bookmarkStart w:id="289" w:name="_Toc184314444"/>
      <w:bookmarkEnd w:id="289"/>
      <w:bookmarkStart w:id="290" w:name="_Toc184312103"/>
      <w:bookmarkEnd w:id="290"/>
      <w:bookmarkStart w:id="291" w:name="_Toc184310310"/>
      <w:bookmarkEnd w:id="291"/>
      <w:bookmarkStart w:id="292" w:name="_Toc184310309"/>
      <w:bookmarkEnd w:id="292"/>
      <w:bookmarkStart w:id="293" w:name="_Toc184310307"/>
      <w:bookmarkEnd w:id="293"/>
      <w:bookmarkStart w:id="294" w:name="_Toc184314464"/>
      <w:bookmarkEnd w:id="294"/>
      <w:bookmarkStart w:id="295" w:name="_Toc184310306"/>
      <w:bookmarkEnd w:id="295"/>
      <w:bookmarkStart w:id="296" w:name="_Toc184314412"/>
      <w:bookmarkEnd w:id="296"/>
      <w:bookmarkStart w:id="297" w:name="_Toc184313250"/>
      <w:bookmarkEnd w:id="297"/>
      <w:bookmarkStart w:id="298" w:name="_Toc184308070"/>
      <w:bookmarkEnd w:id="298"/>
      <w:bookmarkStart w:id="299" w:name="_Toc184313240"/>
      <w:bookmarkEnd w:id="299"/>
      <w:bookmarkStart w:id="300" w:name="_Toc184313238"/>
      <w:bookmarkEnd w:id="300"/>
      <w:bookmarkStart w:id="301" w:name="_Toc184310324"/>
      <w:bookmarkEnd w:id="301"/>
      <w:bookmarkStart w:id="302" w:name="_Toc184312133"/>
      <w:bookmarkEnd w:id="302"/>
      <w:bookmarkStart w:id="303" w:name="_Toc184310323"/>
      <w:bookmarkEnd w:id="303"/>
      <w:bookmarkStart w:id="304" w:name="_Toc184312071"/>
      <w:bookmarkEnd w:id="304"/>
      <w:bookmarkStart w:id="305" w:name="_Toc184313258"/>
      <w:bookmarkEnd w:id="305"/>
      <w:bookmarkStart w:id="306" w:name="_Toc184312080"/>
      <w:bookmarkEnd w:id="306"/>
      <w:bookmarkStart w:id="307" w:name="_Toc184314419"/>
      <w:bookmarkEnd w:id="307"/>
      <w:bookmarkStart w:id="308" w:name="_Toc184312131"/>
      <w:bookmarkEnd w:id="308"/>
      <w:bookmarkStart w:id="309" w:name="_Toc184313274"/>
      <w:bookmarkEnd w:id="309"/>
      <w:bookmarkStart w:id="310" w:name="_Toc184312078"/>
      <w:bookmarkEnd w:id="310"/>
      <w:bookmarkStart w:id="311" w:name="_Toc184314479"/>
      <w:bookmarkEnd w:id="311"/>
      <w:bookmarkStart w:id="312" w:name="_Toc184313295"/>
      <w:bookmarkEnd w:id="312"/>
      <w:bookmarkStart w:id="313" w:name="_Toc184308079"/>
      <w:bookmarkEnd w:id="313"/>
      <w:bookmarkStart w:id="314" w:name="_Toc184314447"/>
      <w:bookmarkEnd w:id="314"/>
      <w:bookmarkStart w:id="315" w:name="_Toc184310311"/>
      <w:bookmarkEnd w:id="315"/>
      <w:bookmarkStart w:id="316" w:name="_Toc184313247"/>
      <w:bookmarkEnd w:id="316"/>
      <w:bookmarkStart w:id="317" w:name="_Toc184310285"/>
      <w:bookmarkEnd w:id="317"/>
      <w:bookmarkStart w:id="318" w:name="_Toc184312099"/>
      <w:bookmarkEnd w:id="318"/>
      <w:bookmarkStart w:id="319" w:name="_Toc184308084"/>
      <w:bookmarkEnd w:id="319"/>
      <w:bookmarkStart w:id="320" w:name="_Toc184312102"/>
      <w:bookmarkEnd w:id="320"/>
      <w:bookmarkStart w:id="321" w:name="_Toc184310303"/>
      <w:bookmarkEnd w:id="321"/>
      <w:bookmarkStart w:id="322" w:name="_Toc184314445"/>
      <w:bookmarkEnd w:id="322"/>
      <w:bookmarkStart w:id="323" w:name="_Toc184314453"/>
      <w:bookmarkEnd w:id="323"/>
      <w:bookmarkStart w:id="324" w:name="_Toc184308087"/>
      <w:bookmarkEnd w:id="324"/>
      <w:bookmarkStart w:id="325" w:name="_Toc184314451"/>
      <w:bookmarkEnd w:id="325"/>
      <w:bookmarkStart w:id="326" w:name="_Toc184313264"/>
      <w:bookmarkEnd w:id="326"/>
      <w:bookmarkStart w:id="327" w:name="_Toc184314443"/>
      <w:bookmarkEnd w:id="327"/>
      <w:bookmarkStart w:id="328" w:name="_Toc184310343"/>
      <w:bookmarkEnd w:id="328"/>
      <w:bookmarkStart w:id="329" w:name="_Toc184313281"/>
      <w:bookmarkEnd w:id="329"/>
      <w:bookmarkStart w:id="330" w:name="_Toc184308107"/>
      <w:bookmarkEnd w:id="330"/>
      <w:bookmarkStart w:id="331" w:name="_Toc184310283"/>
      <w:bookmarkEnd w:id="331"/>
      <w:bookmarkStart w:id="332" w:name="_Toc184314440"/>
      <w:bookmarkEnd w:id="332"/>
      <w:bookmarkStart w:id="333" w:name="_Toc184313272"/>
      <w:bookmarkEnd w:id="333"/>
      <w:bookmarkStart w:id="334" w:name="_Toc184310302"/>
      <w:bookmarkEnd w:id="334"/>
      <w:bookmarkStart w:id="335" w:name="_Toc184313273"/>
      <w:bookmarkEnd w:id="335"/>
      <w:bookmarkStart w:id="336" w:name="_Toc184310305"/>
      <w:bookmarkEnd w:id="336"/>
      <w:bookmarkStart w:id="337" w:name="_Toc184314441"/>
      <w:bookmarkEnd w:id="337"/>
      <w:bookmarkStart w:id="338" w:name="_Toc184312096"/>
      <w:bookmarkEnd w:id="338"/>
      <w:bookmarkStart w:id="339" w:name="_Toc184314460"/>
      <w:bookmarkEnd w:id="339"/>
      <w:bookmarkStart w:id="340" w:name="_Toc184314426"/>
      <w:bookmarkEnd w:id="340"/>
      <w:bookmarkStart w:id="341" w:name="_Toc184313255"/>
      <w:bookmarkEnd w:id="341"/>
      <w:bookmarkStart w:id="342" w:name="_Toc184313249"/>
      <w:bookmarkEnd w:id="342"/>
      <w:bookmarkStart w:id="343" w:name="_Toc184308071"/>
      <w:bookmarkEnd w:id="343"/>
      <w:bookmarkStart w:id="344" w:name="_Toc184313291"/>
      <w:bookmarkEnd w:id="344"/>
      <w:bookmarkStart w:id="345" w:name="_Toc184313308"/>
      <w:bookmarkEnd w:id="345"/>
      <w:bookmarkStart w:id="346" w:name="_Toc184314473"/>
      <w:bookmarkEnd w:id="346"/>
      <w:bookmarkStart w:id="347" w:name="_Toc184313257"/>
      <w:bookmarkEnd w:id="347"/>
      <w:bookmarkStart w:id="348" w:name="_Toc184312083"/>
      <w:bookmarkEnd w:id="348"/>
      <w:bookmarkStart w:id="349" w:name="_Toc184308052"/>
      <w:bookmarkEnd w:id="349"/>
      <w:bookmarkStart w:id="350" w:name="_Toc184308047"/>
      <w:bookmarkEnd w:id="350"/>
      <w:bookmarkStart w:id="351" w:name="_Toc184314420"/>
      <w:bookmarkEnd w:id="351"/>
      <w:bookmarkStart w:id="352" w:name="_Toc184313267"/>
      <w:bookmarkEnd w:id="352"/>
      <w:bookmarkStart w:id="353" w:name="_Toc184308066"/>
      <w:bookmarkEnd w:id="353"/>
      <w:bookmarkStart w:id="354" w:name="_Toc184314446"/>
      <w:bookmarkEnd w:id="354"/>
      <w:bookmarkStart w:id="355" w:name="_Toc184310291"/>
      <w:bookmarkEnd w:id="355"/>
      <w:bookmarkStart w:id="356" w:name="_Toc184308064"/>
      <w:bookmarkEnd w:id="356"/>
      <w:bookmarkStart w:id="357" w:name="_Toc184308069"/>
      <w:bookmarkEnd w:id="357"/>
      <w:bookmarkStart w:id="358" w:name="_Toc184313266"/>
      <w:bookmarkEnd w:id="358"/>
      <w:bookmarkStart w:id="359" w:name="_Toc184310308"/>
      <w:bookmarkEnd w:id="359"/>
      <w:bookmarkStart w:id="360" w:name="_Toc184313239"/>
      <w:bookmarkEnd w:id="360"/>
      <w:bookmarkStart w:id="361" w:name="_Toc184314432"/>
      <w:bookmarkEnd w:id="361"/>
      <w:bookmarkStart w:id="362" w:name="_Toc184310281"/>
      <w:bookmarkEnd w:id="362"/>
      <w:bookmarkStart w:id="363" w:name="_Toc184313271"/>
      <w:bookmarkEnd w:id="363"/>
      <w:bookmarkStart w:id="364" w:name="_Toc184308078"/>
      <w:bookmarkEnd w:id="364"/>
      <w:bookmarkStart w:id="365" w:name="_Toc184310341"/>
      <w:bookmarkEnd w:id="365"/>
      <w:bookmarkStart w:id="366" w:name="_Toc184313270"/>
      <w:bookmarkEnd w:id="366"/>
      <w:bookmarkStart w:id="367" w:name="_Toc184312097"/>
      <w:bookmarkEnd w:id="367"/>
      <w:bookmarkStart w:id="368" w:name="_Toc184313268"/>
      <w:bookmarkEnd w:id="368"/>
      <w:bookmarkStart w:id="369" w:name="_Toc184308048"/>
      <w:bookmarkEnd w:id="369"/>
      <w:bookmarkStart w:id="370" w:name="_Toc184312138"/>
      <w:bookmarkEnd w:id="370"/>
      <w:bookmarkStart w:id="371" w:name="_Toc184310300"/>
      <w:bookmarkEnd w:id="371"/>
      <w:bookmarkStart w:id="372" w:name="_Toc184313269"/>
      <w:bookmarkEnd w:id="372"/>
      <w:bookmarkStart w:id="373" w:name="_Toc184308074"/>
      <w:bookmarkEnd w:id="373"/>
      <w:bookmarkStart w:id="374" w:name="_Toc184314434"/>
      <w:bookmarkEnd w:id="374"/>
      <w:bookmarkStart w:id="375" w:name="_Toc184314442"/>
      <w:bookmarkEnd w:id="375"/>
      <w:bookmarkStart w:id="376" w:name="_Toc184310315"/>
      <w:bookmarkEnd w:id="376"/>
      <w:bookmarkStart w:id="377" w:name="_Toc184313256"/>
      <w:bookmarkEnd w:id="377"/>
      <w:bookmarkStart w:id="378" w:name="_Toc184310282"/>
      <w:bookmarkEnd w:id="378"/>
      <w:bookmarkStart w:id="379" w:name="_Toc184312095"/>
      <w:bookmarkEnd w:id="379"/>
      <w:bookmarkStart w:id="380" w:name="_Toc184308058"/>
      <w:bookmarkEnd w:id="380"/>
      <w:bookmarkStart w:id="381" w:name="_Toc184313283"/>
      <w:bookmarkEnd w:id="381"/>
      <w:bookmarkStart w:id="382" w:name="_Toc184312106"/>
      <w:bookmarkEnd w:id="382"/>
      <w:bookmarkStart w:id="383" w:name="_Toc184312081"/>
      <w:bookmarkEnd w:id="383"/>
      <w:bookmarkStart w:id="384" w:name="_Toc184312070"/>
      <w:bookmarkEnd w:id="384"/>
      <w:bookmarkStart w:id="385" w:name="_Toc184313259"/>
      <w:bookmarkEnd w:id="385"/>
      <w:bookmarkStart w:id="386" w:name="_Toc184308082"/>
      <w:bookmarkEnd w:id="386"/>
      <w:bookmarkStart w:id="387" w:name="_Toc184310301"/>
      <w:bookmarkEnd w:id="387"/>
      <w:bookmarkStart w:id="388" w:name="_Toc184308081"/>
      <w:bookmarkEnd w:id="388"/>
      <w:bookmarkStart w:id="389" w:name="_Toc184314482"/>
      <w:bookmarkEnd w:id="389"/>
      <w:bookmarkStart w:id="390" w:name="_Toc184312101"/>
      <w:bookmarkEnd w:id="390"/>
      <w:bookmarkStart w:id="391" w:name="_Toc184310337"/>
      <w:bookmarkEnd w:id="391"/>
      <w:bookmarkStart w:id="392" w:name="_Toc184312100"/>
      <w:bookmarkEnd w:id="392"/>
      <w:bookmarkStart w:id="393" w:name="_Toc184312087"/>
      <w:bookmarkEnd w:id="393"/>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060"/>
        <w:gridCol w:w="1488"/>
        <w:gridCol w:w="5964"/>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524" w:type="pct"/>
            <w:vAlign w:val="center"/>
          </w:tcPr>
          <w:p>
            <w:pPr>
              <w:spacing w:line="240" w:lineRule="auto"/>
              <w:jc w:val="center"/>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评分</w:t>
            </w:r>
          </w:p>
          <w:p>
            <w:pPr>
              <w:spacing w:line="240" w:lineRule="auto"/>
              <w:jc w:val="center"/>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内容</w:t>
            </w:r>
          </w:p>
        </w:tc>
        <w:tc>
          <w:tcPr>
            <w:tcW w:w="3687" w:type="pct"/>
            <w:gridSpan w:val="2"/>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319"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468" w:type="pct"/>
            <w:vMerge w:val="restar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524" w:type="pct"/>
            <w:vMerge w:val="restar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企业综合实力</w:t>
            </w:r>
          </w:p>
        </w:tc>
        <w:tc>
          <w:tcPr>
            <w:tcW w:w="3687" w:type="pct"/>
            <w:gridSpan w:val="2"/>
            <w:vAlign w:val="center"/>
          </w:tcPr>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具有质量体系证书、环境体系证书、职业健康体系证书，每提供一个得1分，本项最高得3分。</w:t>
            </w:r>
          </w:p>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bCs w:val="0"/>
                <w:color w:val="auto"/>
                <w:lang w:val="en-US" w:eastAsia="zh-CN"/>
              </w:rPr>
              <w:t>（提供有效的证明材料扫描件加盖公章）</w:t>
            </w:r>
          </w:p>
        </w:tc>
        <w:tc>
          <w:tcPr>
            <w:tcW w:w="319"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continue"/>
            <w:vAlign w:val="center"/>
          </w:tcPr>
          <w:p>
            <w:pPr>
              <w:spacing w:line="240" w:lineRule="auto"/>
              <w:jc w:val="center"/>
              <w:outlineLvl w:val="0"/>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outlineLvl w:val="0"/>
              <w:rPr>
                <w:rFonts w:hint="eastAsia" w:ascii="仿宋" w:hAnsi="仿宋" w:eastAsia="仿宋" w:cs="仿宋"/>
                <w:color w:val="auto"/>
                <w:sz w:val="24"/>
                <w:szCs w:val="24"/>
                <w:lang w:val="en-US" w:eastAsia="zh-CN"/>
              </w:rPr>
            </w:pPr>
          </w:p>
        </w:tc>
        <w:tc>
          <w:tcPr>
            <w:tcW w:w="3687" w:type="pct"/>
            <w:gridSpan w:val="2"/>
            <w:vAlign w:val="center"/>
          </w:tcPr>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获得过县级人民政府颁发的奖项得1分，市级及以上的得2分。</w:t>
            </w:r>
          </w:p>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bCs w:val="0"/>
                <w:color w:val="auto"/>
                <w:lang w:val="en-US" w:eastAsia="zh-CN"/>
              </w:rPr>
              <w:t>（提供有效的证明材料扫描件加盖公章）</w:t>
            </w:r>
          </w:p>
        </w:tc>
        <w:tc>
          <w:tcPr>
            <w:tcW w:w="319"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524"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企业业绩</w:t>
            </w:r>
          </w:p>
        </w:tc>
        <w:tc>
          <w:tcPr>
            <w:tcW w:w="3687" w:type="pct"/>
            <w:gridSpan w:val="2"/>
            <w:vAlign w:val="center"/>
          </w:tcPr>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2019年1月1日（含）以来具有类似业绩，每提供1项得1分，最高得3分。</w:t>
            </w:r>
          </w:p>
          <w:p>
            <w:pPr>
              <w:spacing w:line="240" w:lineRule="auto"/>
              <w:jc w:val="both"/>
              <w:outlineLvl w:val="0"/>
              <w:rPr>
                <w:rFonts w:hint="eastAsia" w:ascii="仿宋" w:hAnsi="仿宋" w:eastAsia="仿宋" w:cs="仿宋"/>
                <w:color w:val="auto"/>
                <w:sz w:val="24"/>
                <w:szCs w:val="24"/>
              </w:rPr>
            </w:pPr>
            <w:r>
              <w:rPr>
                <w:rFonts w:hint="eastAsia" w:ascii="仿宋" w:hAnsi="仿宋" w:eastAsia="仿宋" w:cs="仿宋"/>
                <w:b/>
                <w:bCs w:val="0"/>
                <w:color w:val="auto"/>
                <w:lang w:val="en-US" w:eastAsia="zh-CN"/>
              </w:rPr>
              <w:t>（提供合同扫描件加盖公章，或者提供合同和发票扫描件加盖公章，业绩认定时间以合同签订时间为准。）</w:t>
            </w:r>
          </w:p>
        </w:tc>
        <w:tc>
          <w:tcPr>
            <w:tcW w:w="319"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restar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524" w:type="pct"/>
            <w:vMerge w:val="restar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项目组人员</w:t>
            </w:r>
          </w:p>
        </w:tc>
        <w:tc>
          <w:tcPr>
            <w:tcW w:w="3687" w:type="pct"/>
            <w:gridSpan w:val="2"/>
            <w:vAlign w:val="center"/>
          </w:tcPr>
          <w:p>
            <w:pPr>
              <w:spacing w:line="240" w:lineRule="auto"/>
              <w:jc w:val="both"/>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技术负责人：具有工程类高级工程师职称得2分其余不得分。</w:t>
            </w:r>
          </w:p>
          <w:p>
            <w:pPr>
              <w:spacing w:line="240" w:lineRule="auto"/>
              <w:jc w:val="both"/>
              <w:outlineLvl w:val="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（提供有效证明材料和劳动合同及最近月社保证明</w:t>
            </w:r>
            <w:r>
              <w:rPr>
                <w:rFonts w:hint="eastAsia" w:ascii="仿宋" w:hAnsi="仿宋" w:eastAsia="仿宋" w:cs="仿宋"/>
                <w:b/>
                <w:bCs w:val="0"/>
                <w:color w:val="auto"/>
                <w:lang w:val="en-US" w:eastAsia="zh-CN"/>
              </w:rPr>
              <w:t>扫描件加盖公章</w:t>
            </w:r>
            <w:r>
              <w:rPr>
                <w:rFonts w:hint="eastAsia" w:ascii="仿宋" w:hAnsi="仿宋" w:eastAsia="仿宋" w:cs="仿宋"/>
                <w:b/>
                <w:bCs/>
                <w:color w:val="auto"/>
                <w:sz w:val="24"/>
                <w:szCs w:val="24"/>
                <w:lang w:val="en-US" w:eastAsia="zh-CN"/>
              </w:rPr>
              <w:t>）</w:t>
            </w:r>
          </w:p>
        </w:tc>
        <w:tc>
          <w:tcPr>
            <w:tcW w:w="319"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3687" w:type="pct"/>
            <w:gridSpan w:val="2"/>
            <w:vAlign w:val="center"/>
          </w:tcPr>
          <w:p>
            <w:pPr>
              <w:spacing w:line="240" w:lineRule="auto"/>
              <w:jc w:val="both"/>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其他人员：具有市政施工员、市政质检员、安全员、资料员、材料员配备完全的（1人1证，不允许1人多证）得5分。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（提供有效证明材料和劳动合同及最近月社保证明</w:t>
            </w:r>
            <w:r>
              <w:rPr>
                <w:rFonts w:hint="eastAsia" w:ascii="仿宋" w:hAnsi="仿宋" w:eastAsia="仿宋" w:cs="仿宋"/>
                <w:b/>
                <w:bCs w:val="0"/>
                <w:color w:val="auto"/>
                <w:lang w:val="en-US" w:eastAsia="zh-CN"/>
              </w:rPr>
              <w:t>扫描件加盖公章</w:t>
            </w:r>
            <w:r>
              <w:rPr>
                <w:rFonts w:hint="eastAsia" w:ascii="仿宋" w:hAnsi="仿宋" w:eastAsia="仿宋" w:cs="仿宋"/>
                <w:b/>
                <w:bCs/>
                <w:color w:val="auto"/>
                <w:sz w:val="24"/>
                <w:szCs w:val="24"/>
                <w:lang w:val="en-US" w:eastAsia="zh-CN"/>
              </w:rPr>
              <w:t>）</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68"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524" w:type="pct"/>
            <w:vMerge w:val="restart"/>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具体实施计划和方案</w:t>
            </w:r>
          </w:p>
        </w:tc>
        <w:tc>
          <w:tcPr>
            <w:tcW w:w="736" w:type="pct"/>
            <w:vMerge w:val="restart"/>
            <w:vAlign w:val="center"/>
          </w:tcPr>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施工组织设计方案</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施工方法与相应的技术组织措施。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施工方法先进，技术组织措施完善，内容充实完整且完全符合采购需求的＞3≤5分；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施工方法一般，技术组织措施一般，内容一般且完整且符合采购需求的＞1≤3分；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施工方法差，技术组织措施不完善，内容缺失不完整或不符合采购需求的＞0≤1分。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施工进度计划。</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施工现场平面布置。</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有关劳力,施工机具,建筑安装材料，施工用水、电、动力及运输、仓储设施等暂设工程的需要量及其供应与解决办法。</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质量控制</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质量控制手段和保证措施。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施工安全</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针对本项目施工安全方案。</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施工交通组织</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针对本项目施工期间周边的交通管制方案。</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restar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设备送货计划、交货保证、安装调试的措施</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送货计划保障措施。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交货保证措施。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安装调试措施。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24" w:type="pct"/>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重点、难点分析及解决措施</w:t>
            </w:r>
          </w:p>
        </w:tc>
        <w:tc>
          <w:tcPr>
            <w:tcW w:w="3687" w:type="pct"/>
            <w:gridSpan w:val="2"/>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针对本项目特点和难点分析及解决措施。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24"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售后及质保期服务</w:t>
            </w:r>
          </w:p>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注：需提供承诺函，格式自拟。</w:t>
            </w:r>
          </w:p>
        </w:tc>
        <w:tc>
          <w:tcPr>
            <w:tcW w:w="3687" w:type="pct"/>
            <w:gridSpan w:val="2"/>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针对本项目设备售后服务内容分析、解决措施。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内容一般且符合采购需求的＞0≤2分；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内容不完善，内容缺失或不符合采购需求的不得分。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3687" w:type="pct"/>
            <w:gridSpan w:val="2"/>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针对本项目质保期限内质量缺陷分析、解决措施。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内容合理、科学且优于采购需求的＞1≤2分；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内容一般且符合采购需求的＞0≤1分；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内容不完善，内容缺失或不符合采购需求的不得分。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3687" w:type="pct"/>
            <w:gridSpan w:val="2"/>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针对本项目售后及质保期内响应时间的承诺与保证措施。</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注：中标供应商应在接到采购人信息2小时内给予反馈，24小时内到到现场并提供售后服务。</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内容一般且符合采购需求的＞0≤2分；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内容不完善，内容缺失或不符合采购需求的不得分。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68" w:type="pct"/>
            <w:vAlign w:val="center"/>
          </w:tcPr>
          <w:p>
            <w:pPr>
              <w:spacing w:line="240" w:lineRule="auto"/>
              <w:ind w:firstLine="240" w:firstLineChars="100"/>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524" w:type="pct"/>
            <w:vAlign w:val="center"/>
          </w:tcPr>
          <w:p>
            <w:pPr>
              <w:widowControl/>
              <w:shd w:val="clear" w:color="auto" w:fill="FFFFFF"/>
              <w:adjustRightInd/>
              <w:spacing w:after="225"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w:t>
            </w:r>
          </w:p>
        </w:tc>
        <w:tc>
          <w:tcPr>
            <w:tcW w:w="3687" w:type="pct"/>
            <w:gridSpan w:val="2"/>
            <w:vAlign w:val="top"/>
          </w:tcPr>
          <w:p>
            <w:pPr>
              <w:spacing w:line="240" w:lineRule="auto"/>
              <w:jc w:val="both"/>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0］的计算公式计算。</w:t>
            </w:r>
          </w:p>
          <w:p>
            <w:pPr>
              <w:widowControl/>
              <w:shd w:val="clear" w:color="auto" w:fill="FFFFFF"/>
              <w:adjustRightInd/>
              <w:spacing w:after="225"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spacing w:line="240" w:lineRule="auto"/>
              <w:jc w:val="both"/>
              <w:outlineLvl w:val="0"/>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319" w:type="pct"/>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p>
        </w:tc>
      </w:tr>
    </w:tbl>
    <w:p>
      <w:pPr>
        <w:snapToGrid w:val="0"/>
        <w:spacing w:line="360" w:lineRule="auto"/>
        <w:rPr>
          <w:rFonts w:hint="eastAsia" w:ascii="仿宋" w:hAnsi="仿宋" w:eastAsia="仿宋" w:cs="仿宋"/>
          <w:b/>
          <w:color w:val="auto"/>
          <w:sz w:val="32"/>
        </w:rPr>
      </w:pP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1.本项目采用综合评分法</w:t>
      </w:r>
    </w:p>
    <w:p>
      <w:pPr>
        <w:adjustRightInd/>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w:t>
      </w:r>
      <w:r>
        <w:rPr>
          <w:rFonts w:hint="eastAsia" w:ascii="仿宋" w:hAnsi="仿宋" w:eastAsia="仿宋" w:cs="仿宋"/>
          <w:color w:val="auto"/>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0%以上的，对联合体或者大中型企业的报价给予</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3.5排序与推荐</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3.6编写评标报告</w:t>
      </w:r>
    </w:p>
    <w:p>
      <w:pPr>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1021" w:leftChars="226" w:hanging="479" w:firstLineChars="0"/>
        <w:rPr>
          <w:rFonts w:hint="eastAsia" w:ascii="仿宋" w:hAnsi="仿宋" w:eastAsia="仿宋" w:cs="仿宋"/>
          <w:b/>
          <w:color w:val="auto"/>
          <w:kern w:val="0"/>
        </w:rPr>
      </w:pPr>
      <w:r>
        <w:rPr>
          <w:rFonts w:hint="eastAsia" w:ascii="仿宋" w:hAnsi="仿宋" w:eastAsia="仿宋" w:cs="仿宋"/>
          <w:b/>
          <w:color w:val="auto"/>
          <w:kern w:val="0"/>
        </w:rPr>
        <w:t>4.2投标无效</w:t>
      </w:r>
    </w:p>
    <w:p>
      <w:pPr>
        <w:pStyle w:val="6"/>
        <w:spacing w:line="360" w:lineRule="auto"/>
        <w:ind w:left="1021" w:leftChars="226" w:hanging="479" w:firstLineChars="0"/>
        <w:rPr>
          <w:rFonts w:hint="eastAsia" w:ascii="仿宋" w:hAnsi="仿宋" w:eastAsia="仿宋" w:cs="仿宋"/>
          <w:color w:val="auto"/>
          <w:szCs w:val="21"/>
        </w:rPr>
      </w:pPr>
      <w:r>
        <w:rPr>
          <w:rFonts w:hint="eastAsia" w:ascii="仿宋" w:hAnsi="仿宋" w:eastAsia="仿宋" w:cs="仿宋"/>
          <w:color w:val="auto"/>
          <w:szCs w:val="21"/>
        </w:rPr>
        <w:t>有下列情况之一的，投标无效：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left="480" w:leftChars="20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pPr>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kern w:val="0"/>
          <w:sz w:val="24"/>
          <w:lang w:val="en-US"/>
        </w:rPr>
        <w:t>4.2.13投标文件不满足招标文件的其它实质性要求的；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6"/>
        <w:spacing w:line="360" w:lineRule="auto"/>
        <w:ind w:left="1021" w:leftChars="226" w:hanging="479" w:firstLineChars="0"/>
        <w:rPr>
          <w:rFonts w:hint="eastAsia" w:ascii="仿宋" w:hAnsi="仿宋" w:eastAsia="仿宋" w:cs="仿宋"/>
          <w:b/>
          <w:color w:val="auto"/>
          <w:kern w:val="0"/>
        </w:rPr>
      </w:pPr>
      <w:r>
        <w:rPr>
          <w:rFonts w:hint="eastAsia" w:ascii="仿宋" w:hAnsi="仿宋" w:eastAsia="仿宋" w:cs="仿宋"/>
          <w:b/>
          <w:color w:val="auto"/>
          <w:kern w:val="0"/>
          <w:lang w:val="en-US" w:eastAsia="zh-CN"/>
        </w:rPr>
        <w:t>5</w:t>
      </w:r>
      <w:r>
        <w:rPr>
          <w:rFonts w:hint="eastAsia" w:ascii="仿宋" w:hAnsi="仿宋" w:eastAsia="仿宋" w:cs="仿宋"/>
          <w:b/>
          <w:color w:val="auto"/>
          <w:kern w:val="0"/>
        </w:rPr>
        <w:t>废标</w:t>
      </w:r>
    </w:p>
    <w:p>
      <w:pPr>
        <w:bidi w:val="0"/>
        <w:ind w:firstLine="480" w:firstLineChars="200"/>
        <w:rPr>
          <w:rFonts w:hint="eastAsia" w:ascii="仿宋" w:hAnsi="仿宋" w:eastAsia="仿宋" w:cs="仿宋"/>
          <w:color w:val="auto"/>
        </w:rPr>
      </w:pPr>
      <w:r>
        <w:rPr>
          <w:rFonts w:hint="eastAsia" w:ascii="仿宋" w:hAnsi="仿宋" w:eastAsia="仿宋" w:cs="仿宋"/>
          <w:color w:val="auto"/>
        </w:rPr>
        <w:t>根据《中华人民共和国政府采购法》第三十六条之规定，在采购中，出现下列情形之一的，应予废标：</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6"/>
        <w:spacing w:line="360" w:lineRule="auto"/>
        <w:ind w:left="1021" w:leftChars="226" w:hanging="479" w:firstLineChars="0"/>
        <w:rPr>
          <w:rFonts w:hint="eastAsia" w:ascii="仿宋" w:hAnsi="仿宋" w:eastAsia="仿宋" w:cs="仿宋"/>
          <w:b/>
          <w:color w:val="auto"/>
          <w:kern w:val="0"/>
          <w:lang w:val="en-US" w:eastAsia="zh-CN"/>
        </w:rPr>
      </w:pPr>
      <w:r>
        <w:rPr>
          <w:rFonts w:hint="eastAsia" w:ascii="仿宋" w:hAnsi="仿宋" w:eastAsia="仿宋" w:cs="仿宋"/>
          <w:b/>
          <w:color w:val="auto"/>
          <w:kern w:val="0"/>
          <w:lang w:val="en-US" w:eastAsia="zh-CN"/>
        </w:rPr>
        <w:t>6修改招标文件，重新组织采购活动</w:t>
      </w:r>
    </w:p>
    <w:p>
      <w:pPr>
        <w:pStyle w:val="6"/>
        <w:numPr>
          <w:ilvl w:val="0"/>
          <w:numId w:val="0"/>
        </w:numPr>
        <w:snapToGrid w:val="0"/>
        <w:spacing w:line="360" w:lineRule="auto"/>
        <w:ind w:left="0" w:leftChars="0" w:firstLine="708" w:firstLineChars="295"/>
        <w:rPr>
          <w:rFonts w:hint="eastAsia" w:ascii="仿宋" w:hAnsi="仿宋" w:eastAsia="仿宋" w:cs="仿宋"/>
          <w:color w:val="auto"/>
        </w:rPr>
      </w:pPr>
      <w:r>
        <w:rPr>
          <w:rFonts w:hint="eastAsia" w:ascii="仿宋" w:hAnsi="仿宋" w:eastAsia="仿宋" w:cs="仿宋"/>
          <w:color w:val="auto"/>
          <w:kern w:val="0"/>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numPr>
          <w:ilvl w:val="0"/>
          <w:numId w:val="0"/>
        </w:numPr>
        <w:bidi w:val="0"/>
        <w:ind w:firstLine="482" w:firstLineChars="200"/>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7重新开展采购</w:t>
      </w:r>
    </w:p>
    <w:p>
      <w:pPr>
        <w:pStyle w:val="6"/>
        <w:numPr>
          <w:ilvl w:val="0"/>
          <w:numId w:val="0"/>
        </w:numPr>
        <w:snapToGrid w:val="0"/>
        <w:spacing w:line="360" w:lineRule="auto"/>
        <w:ind w:left="0" w:leftChars="0" w:firstLine="480" w:firstLineChars="200"/>
        <w:rPr>
          <w:rFonts w:hint="eastAsia" w:ascii="仿宋" w:hAnsi="仿宋" w:eastAsia="仿宋" w:cs="仿宋"/>
          <w:color w:val="auto"/>
        </w:rPr>
      </w:pP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bookmarkEnd w:id="24"/>
    <w:p>
      <w:pPr>
        <w:bidi w:val="0"/>
        <w:rPr>
          <w:rFonts w:hint="eastAsia" w:ascii="仿宋" w:hAnsi="仿宋" w:eastAsia="仿宋" w:cs="仿宋"/>
          <w:color w:val="auto"/>
        </w:rPr>
      </w:pPr>
      <w:bookmarkStart w:id="394" w:name="第五部分"/>
      <w:bookmarkStart w:id="395" w:name="_Toc86217003"/>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ind w:left="823"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lang w:eastAsia="zh-CN"/>
        </w:rPr>
      </w:pP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具体以实际签订为准</w:t>
      </w:r>
      <w:r>
        <w:rPr>
          <w:rFonts w:hint="eastAsia" w:ascii="仿宋" w:hAnsi="仿宋" w:eastAsia="仿宋" w:cs="仿宋"/>
          <w:b w:val="0"/>
          <w:bCs/>
          <w:color w:val="auto"/>
          <w:sz w:val="28"/>
          <w:szCs w:val="28"/>
          <w:lang w:eastAsia="zh-CN"/>
        </w:rPr>
        <w:t>）</w:t>
      </w:r>
    </w:p>
    <w:p>
      <w:pPr>
        <w:pStyle w:val="699"/>
        <w:rPr>
          <w:rFonts w:hint="eastAsia" w:ascii="仿宋" w:hAnsi="仿宋" w:eastAsia="仿宋" w:cs="仿宋"/>
          <w:color w:val="auto"/>
          <w:szCs w:val="24"/>
        </w:rPr>
      </w:pPr>
    </w:p>
    <w:p>
      <w:pPr>
        <w:pStyle w:val="699"/>
        <w:rPr>
          <w:rFonts w:hint="eastAsia" w:ascii="仿宋" w:hAnsi="仿宋" w:eastAsia="仿宋" w:cs="仿宋"/>
          <w:color w:val="auto"/>
          <w:szCs w:val="24"/>
        </w:rPr>
      </w:pPr>
    </w:p>
    <w:p>
      <w:pPr>
        <w:pStyle w:val="699"/>
        <w:jc w:val="center"/>
        <w:rPr>
          <w:rFonts w:hint="eastAsia" w:ascii="仿宋" w:hAnsi="仿宋" w:eastAsia="仿宋" w:cs="仿宋"/>
          <w:color w:val="auto"/>
          <w:szCs w:val="24"/>
        </w:rPr>
      </w:pPr>
    </w:p>
    <w:p>
      <w:pPr>
        <w:pStyle w:val="699"/>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pStyle w:val="699"/>
        <w:rPr>
          <w:rFonts w:hint="eastAsia" w:ascii="仿宋" w:hAnsi="仿宋" w:eastAsia="仿宋" w:cs="仿宋"/>
          <w:color w:val="auto"/>
          <w:szCs w:val="24"/>
        </w:rPr>
      </w:pPr>
    </w:p>
    <w:p>
      <w:pPr>
        <w:pStyle w:val="699"/>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6"/>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560" w:lineRule="exact"/>
        <w:rPr>
          <w:rFonts w:hint="eastAsia" w:ascii="仿宋" w:hAnsi="仿宋" w:eastAsia="仿宋" w:cs="仿宋"/>
          <w:color w:val="auto"/>
          <w:sz w:val="24"/>
          <w:u w:val="single"/>
          <w:lang w:val="zh-CN"/>
        </w:rPr>
      </w:pPr>
    </w:p>
    <w:p>
      <w:pPr>
        <w:spacing w:line="560" w:lineRule="exact"/>
        <w:rPr>
          <w:rFonts w:hint="eastAsia" w:ascii="仿宋" w:hAnsi="仿宋" w:eastAsia="仿宋" w:cs="仿宋"/>
          <w:color w:val="auto"/>
          <w:sz w:val="24"/>
          <w:u w:val="single"/>
          <w:lang w:val="zh-CN"/>
        </w:rPr>
      </w:pPr>
    </w:p>
    <w:p>
      <w:pPr>
        <w:spacing w:line="560" w:lineRule="exact"/>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u w:val="single"/>
          <w:lang w:val="en-US" w:eastAsia="zh-CN"/>
        </w:rPr>
        <w:t>2022</w:t>
      </w:r>
      <w:r>
        <w:rPr>
          <w:rFonts w:hint="eastAsia" w:ascii="仿宋" w:hAnsi="仿宋" w:eastAsia="仿宋" w:cs="仿宋"/>
          <w:color w:val="auto"/>
          <w:sz w:val="24"/>
          <w:lang w:val="zh-CN"/>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lang w:val="zh-CN"/>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lang w:eastAsia="zh-CN"/>
        </w:rPr>
        <w:t>桐庐县市政园林建设管理处</w:t>
      </w:r>
      <w:r>
        <w:rPr>
          <w:rFonts w:hint="eastAsia" w:ascii="仿宋" w:hAnsi="仿宋" w:eastAsia="仿宋" w:cs="仿宋"/>
          <w:color w:val="auto"/>
          <w:sz w:val="24"/>
        </w:rPr>
        <w:t>以</w:t>
      </w:r>
      <w:r>
        <w:rPr>
          <w:rFonts w:hint="eastAsia" w:ascii="仿宋" w:hAnsi="仿宋" w:eastAsia="仿宋" w:cs="仿宋"/>
          <w:color w:val="auto"/>
          <w:sz w:val="24"/>
          <w:u w:val="single"/>
          <w:lang w:val="en-US" w:eastAsia="zh-CN"/>
        </w:rPr>
        <w:t>公开招标</w:t>
      </w:r>
      <w:r>
        <w:rPr>
          <w:rFonts w:hint="eastAsia" w:ascii="仿宋" w:hAnsi="仿宋" w:eastAsia="仿宋" w:cs="仿宋"/>
          <w:color w:val="auto"/>
          <w:sz w:val="24"/>
        </w:rPr>
        <w:t>对</w:t>
      </w:r>
      <w:r>
        <w:rPr>
          <w:rFonts w:hint="eastAsia" w:ascii="仿宋" w:hAnsi="仿宋" w:eastAsia="仿宋" w:cs="仿宋"/>
          <w:color w:val="auto"/>
          <w:sz w:val="24"/>
          <w:u w:val="single"/>
        </w:rPr>
        <w:t>桐庐县桥梁安全设施采购及隧道维护项目</w:t>
      </w:r>
      <w:r>
        <w:rPr>
          <w:rFonts w:hint="eastAsia" w:ascii="仿宋" w:hAnsi="仿宋" w:eastAsia="仿宋" w:cs="仿宋"/>
          <w:color w:val="auto"/>
          <w:sz w:val="24"/>
        </w:rPr>
        <w:t>进行了采购。经</w:t>
      </w:r>
      <w:r>
        <w:rPr>
          <w:rFonts w:hint="eastAsia" w:ascii="仿宋" w:hAnsi="仿宋" w:eastAsia="仿宋" w:cs="仿宋"/>
          <w:color w:val="auto"/>
          <w:sz w:val="24"/>
          <w:u w:val="single"/>
          <w:lang w:val="en-US" w:eastAsia="zh-CN"/>
        </w:rPr>
        <w:t>评标委员会</w:t>
      </w:r>
      <w:r>
        <w:rPr>
          <w:rFonts w:hint="eastAsia" w:ascii="仿宋" w:hAnsi="仿宋" w:eastAsia="仿宋" w:cs="仿宋"/>
          <w:color w:val="auto"/>
          <w:sz w:val="24"/>
        </w:rPr>
        <w:t>评定，</w:t>
      </w:r>
      <w:r>
        <w:rPr>
          <w:rFonts w:hint="eastAsia" w:ascii="仿宋" w:hAnsi="仿宋" w:eastAsia="仿宋" w:cs="仿宋"/>
          <w:color w:val="auto"/>
          <w:sz w:val="24"/>
          <w:u w:val="single"/>
        </w:rPr>
        <w:t>（中标供应商名称）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lang w:eastAsia="zh-CN"/>
        </w:rPr>
        <w:t>桐庐县市政园林建设管理处</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（中标供应商名称）</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396" w:name="_Toc3029"/>
      <w:bookmarkStart w:id="397" w:name="_Toc24059"/>
      <w:bookmarkStart w:id="398" w:name="_Toc2232"/>
      <w:r>
        <w:rPr>
          <w:rFonts w:hint="eastAsia" w:ascii="仿宋" w:hAnsi="仿宋" w:eastAsia="仿宋" w:cs="仿宋"/>
          <w:b/>
          <w:color w:val="auto"/>
          <w:sz w:val="24"/>
        </w:rPr>
        <w:t>1.1 合同组成部分</w:t>
      </w:r>
      <w:bookmarkEnd w:id="396"/>
      <w:bookmarkEnd w:id="397"/>
      <w:bookmarkEnd w:id="39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399" w:name="_Toc24300"/>
      <w:bookmarkStart w:id="400" w:name="_Toc27126"/>
      <w:bookmarkStart w:id="401" w:name="_Toc21295"/>
      <w:r>
        <w:rPr>
          <w:rFonts w:hint="eastAsia" w:ascii="仿宋" w:hAnsi="仿宋" w:eastAsia="仿宋" w:cs="仿宋"/>
          <w:b/>
          <w:color w:val="auto"/>
          <w:sz w:val="24"/>
        </w:rPr>
        <w:t>1.2 货物</w:t>
      </w:r>
      <w:bookmarkEnd w:id="399"/>
      <w:bookmarkEnd w:id="400"/>
      <w:bookmarkEnd w:id="401"/>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560" w:lineRule="exact"/>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lang w:val="en-US" w:eastAsia="zh-CN"/>
        </w:rPr>
        <w:t>1.2.4 其他：</w:t>
      </w:r>
      <w:r>
        <w:rPr>
          <w:rFonts w:hint="eastAsia" w:ascii="仿宋" w:hAnsi="仿宋" w:eastAsia="仿宋" w:cs="仿宋"/>
          <w:color w:val="auto"/>
          <w:sz w:val="24"/>
          <w:u w:val="single"/>
          <w:lang w:val="en-US" w:eastAsia="zh-CN"/>
        </w:rPr>
        <w:t xml:space="preserve">                                                    </w:t>
      </w:r>
    </w:p>
    <w:p>
      <w:pPr>
        <w:spacing w:line="560" w:lineRule="exact"/>
        <w:ind w:firstLine="482" w:firstLineChars="200"/>
        <w:outlineLvl w:val="0"/>
        <w:rPr>
          <w:rFonts w:hint="eastAsia" w:ascii="仿宋" w:hAnsi="仿宋" w:eastAsia="仿宋" w:cs="仿宋"/>
          <w:b/>
          <w:color w:val="auto"/>
          <w:sz w:val="24"/>
        </w:rPr>
      </w:pPr>
      <w:bookmarkStart w:id="402" w:name="_Toc21551"/>
      <w:bookmarkStart w:id="403" w:name="_Toc21631"/>
      <w:bookmarkStart w:id="404" w:name="_Toc23292"/>
      <w:r>
        <w:rPr>
          <w:rFonts w:hint="eastAsia" w:ascii="仿宋" w:hAnsi="仿宋" w:eastAsia="仿宋" w:cs="仿宋"/>
          <w:b/>
          <w:color w:val="auto"/>
          <w:sz w:val="24"/>
        </w:rPr>
        <w:t>1.3 价款</w:t>
      </w:r>
      <w:bookmarkEnd w:id="402"/>
      <w:bookmarkEnd w:id="403"/>
      <w:bookmarkEnd w:id="40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val="en-US" w:eastAsia="zh-CN"/>
        </w:rPr>
        <w:t>投标报价书</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05" w:name="_Toc1814"/>
      <w:bookmarkStart w:id="406" w:name="_Toc10340"/>
      <w:bookmarkStart w:id="407" w:name="_Toc22618"/>
      <w:r>
        <w:rPr>
          <w:rFonts w:hint="eastAsia" w:ascii="仿宋" w:hAnsi="仿宋" w:eastAsia="仿宋" w:cs="仿宋"/>
          <w:b/>
          <w:color w:val="auto"/>
          <w:sz w:val="24"/>
        </w:rPr>
        <w:t>1.4 付款</w:t>
      </w:r>
      <w:bookmarkEnd w:id="405"/>
      <w:bookmarkEnd w:id="406"/>
      <w:bookmarkEnd w:id="407"/>
      <w:r>
        <w:rPr>
          <w:rFonts w:hint="eastAsia" w:ascii="仿宋" w:hAnsi="仿宋" w:eastAsia="仿宋" w:cs="仿宋"/>
          <w:b/>
          <w:color w:val="auto"/>
          <w:sz w:val="24"/>
        </w:rPr>
        <w:t>方式、时间和条件</w:t>
      </w:r>
    </w:p>
    <w:p>
      <w:pPr>
        <w:pStyle w:val="95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1.4.2甲方在政府采购合同中约定预付款，预付款比例为合同金额的</w:t>
      </w:r>
      <w:r>
        <w:rPr>
          <w:rFonts w:hint="eastAsia" w:ascii="仿宋" w:hAnsi="仿宋" w:eastAsia="仿宋" w:cs="仿宋"/>
          <w:color w:val="auto"/>
          <w:sz w:val="24"/>
          <w:lang w:val="en-US" w:eastAsia="zh-CN"/>
        </w:rPr>
        <w:t>4</w:t>
      </w:r>
      <w:r>
        <w:rPr>
          <w:rFonts w:hint="eastAsia" w:ascii="仿宋" w:hAnsi="仿宋" w:eastAsia="仿宋" w:cs="仿宋"/>
          <w:color w:val="auto"/>
          <w:sz w:val="24"/>
        </w:rPr>
        <w:t>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1.4.5乙方可以登录：</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"http://czj.hangzhou.gov.cn/zfcg"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http://czj.hangzhou.gov.cn/zfcg</w:t>
      </w:r>
      <w:r>
        <w:rPr>
          <w:rFonts w:hint="eastAsia" w:ascii="仿宋" w:hAnsi="仿宋" w:eastAsia="仿宋" w:cs="仿宋"/>
          <w:color w:val="auto"/>
          <w:sz w:val="24"/>
        </w:rPr>
        <w:fldChar w:fldCharType="end"/>
      </w:r>
      <w:r>
        <w:rPr>
          <w:rFonts w:hint="eastAsia" w:ascii="仿宋" w:hAnsi="仿宋" w:eastAsia="仿宋" w:cs="仿宋"/>
          <w:color w:val="auto"/>
          <w:sz w:val="24"/>
        </w:rPr>
        <w:t>（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auto"/>
          <w:sz w:val="24"/>
        </w:rPr>
      </w:pPr>
      <w:bookmarkStart w:id="408" w:name="_Toc32071"/>
      <w:bookmarkStart w:id="409" w:name="_Toc2846"/>
      <w:bookmarkStart w:id="410" w:name="_Toc19304"/>
      <w:r>
        <w:rPr>
          <w:rFonts w:hint="eastAsia" w:ascii="仿宋" w:hAnsi="仿宋" w:eastAsia="仿宋" w:cs="仿宋"/>
          <w:b/>
          <w:color w:val="auto"/>
          <w:sz w:val="24"/>
        </w:rPr>
        <w:t>1.5 货物交付期限、地点和方式</w:t>
      </w:r>
      <w:bookmarkEnd w:id="408"/>
      <w:bookmarkEnd w:id="409"/>
      <w:bookmarkEnd w:id="410"/>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11" w:name="_Toc19554"/>
      <w:bookmarkStart w:id="412" w:name="_Toc21423"/>
      <w:bookmarkStart w:id="413" w:name="_Toc27250"/>
      <w:r>
        <w:rPr>
          <w:rFonts w:hint="eastAsia" w:ascii="仿宋" w:hAnsi="仿宋" w:eastAsia="仿宋" w:cs="仿宋"/>
          <w:b/>
          <w:color w:val="auto"/>
          <w:sz w:val="24"/>
        </w:rPr>
        <w:t>1.6 违约责任</w:t>
      </w:r>
      <w:bookmarkEnd w:id="411"/>
      <w:bookmarkEnd w:id="412"/>
      <w:bookmarkEnd w:id="41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hint="eastAsia" w:ascii="仿宋" w:hAnsi="仿宋" w:eastAsia="仿宋" w:cs="仿宋"/>
          <w:b/>
          <w:color w:val="auto"/>
          <w:sz w:val="24"/>
        </w:rPr>
      </w:pPr>
      <w:bookmarkStart w:id="414" w:name="_Toc16021"/>
      <w:bookmarkStart w:id="415" w:name="_Toc28375"/>
      <w:bookmarkStart w:id="416" w:name="_Toc15583"/>
      <w:r>
        <w:rPr>
          <w:rFonts w:hint="eastAsia" w:ascii="仿宋" w:hAnsi="仿宋" w:eastAsia="仿宋" w:cs="仿宋"/>
          <w:b/>
          <w:color w:val="auto"/>
          <w:sz w:val="24"/>
        </w:rPr>
        <w:t>1.7 合同争议的解决</w:t>
      </w:r>
      <w:bookmarkEnd w:id="414"/>
      <w:bookmarkEnd w:id="415"/>
      <w:bookmarkEnd w:id="416"/>
    </w:p>
    <w:p>
      <w:pPr>
        <w:spacing w:line="560" w:lineRule="exact"/>
        <w:ind w:left="-70" w:leftChars="-29" w:right="-48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left="-480" w:leftChars="-200" w:right="-48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80" w:leftChars="-200" w:right="-48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17" w:name="_Toc11173"/>
      <w:bookmarkStart w:id="418" w:name="_Toc15322"/>
      <w:bookmarkStart w:id="419" w:name="_Toc7245"/>
      <w:r>
        <w:rPr>
          <w:rFonts w:hint="eastAsia" w:ascii="仿宋" w:hAnsi="仿宋" w:eastAsia="仿宋" w:cs="仿宋"/>
          <w:b/>
          <w:color w:val="auto"/>
          <w:sz w:val="24"/>
        </w:rPr>
        <w:t>1.8 合同生效</w:t>
      </w:r>
      <w:bookmarkEnd w:id="417"/>
      <w:bookmarkEnd w:id="418"/>
      <w:bookmarkEnd w:id="419"/>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bidi w:val="0"/>
        <w:rPr>
          <w:rFonts w:hint="eastAsia" w:ascii="仿宋" w:hAnsi="仿宋" w:eastAsia="仿宋" w:cs="仿宋"/>
          <w:color w:val="auto"/>
          <w:lang w:val="zh-CN"/>
        </w:rPr>
      </w:pPr>
      <w:r>
        <w:rPr>
          <w:rFonts w:hint="eastAsia" w:ascii="仿宋" w:hAnsi="仿宋" w:eastAsia="仿宋" w:cs="仿宋"/>
          <w:color w:val="auto"/>
        </w:rPr>
        <mc:AlternateContent>
          <mc:Choice Requires="wps">
            <w:drawing>
              <wp:anchor distT="0" distB="0" distL="114300" distR="114300" simplePos="0" relativeHeight="251662336" behindDoc="0" locked="0" layoutInCell="1" allowOverlap="1">
                <wp:simplePos x="0" y="0"/>
                <wp:positionH relativeFrom="column">
                  <wp:posOffset>403860</wp:posOffset>
                </wp:positionH>
                <wp:positionV relativeFrom="paragraph">
                  <wp:posOffset>291465</wp:posOffset>
                </wp:positionV>
                <wp:extent cx="2705735" cy="2735580"/>
                <wp:effectExtent l="0" t="0" r="6985" b="7620"/>
                <wp:wrapNone/>
                <wp:docPr id="2" name="文本框 2"/>
                <wp:cNvGraphicFramePr/>
                <a:graphic xmlns:a="http://schemas.openxmlformats.org/drawingml/2006/main">
                  <a:graphicData uri="http://schemas.microsoft.com/office/word/2010/wordprocessingShape">
                    <wps:wsp>
                      <wps:cNvSpPr txBox="1"/>
                      <wps:spPr>
                        <a:xfrm>
                          <a:off x="0" y="0"/>
                          <a:ext cx="2705735" cy="2735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spacing w:line="240" w:lineRule="auto"/>
                              <w:rPr>
                                <w:rFonts w:hint="eastAsia" w:ascii="仿宋" w:hAnsi="仿宋" w:eastAsia="仿宋" w:cs="Times New Roman"/>
                                <w:sz w:val="24"/>
                                <w:lang w:val="zh-CN"/>
                              </w:rPr>
                            </w:pPr>
                            <w:r>
                              <w:rPr>
                                <w:rFonts w:hint="eastAsia" w:ascii="仿宋" w:hAnsi="仿宋" w:eastAsia="仿宋" w:cs="Times New Roman"/>
                                <w:sz w:val="24"/>
                                <w:lang w:val="zh-CN"/>
                              </w:rPr>
                              <w:t>甲方</w:t>
                            </w:r>
                            <w:r>
                              <w:rPr>
                                <w:rFonts w:hint="eastAsia" w:ascii="仿宋" w:hAnsi="仿宋" w:cs="Times New Roman"/>
                                <w:sz w:val="24"/>
                                <w:lang w:val="zh-CN"/>
                              </w:rPr>
                              <w:t>（</w:t>
                            </w:r>
                            <w:r>
                              <w:rPr>
                                <w:rFonts w:hint="eastAsia" w:ascii="仿宋" w:hAnsi="仿宋" w:cs="Times New Roman"/>
                                <w:sz w:val="24"/>
                                <w:lang w:val="en-US" w:eastAsia="zh-CN"/>
                              </w:rPr>
                              <w:t>盖公章</w:t>
                            </w:r>
                            <w:r>
                              <w:rPr>
                                <w:rFonts w:hint="eastAsia" w:ascii="仿宋" w:hAnsi="仿宋" w:cs="Times New Roman"/>
                                <w:sz w:val="24"/>
                                <w:lang w:val="zh-CN"/>
                              </w:rPr>
                              <w:t>）</w:t>
                            </w:r>
                            <w:r>
                              <w:rPr>
                                <w:rFonts w:hint="eastAsia" w:ascii="仿宋" w:hAnsi="仿宋" w:eastAsia="仿宋" w:cs="Times New Roman"/>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统一社会信用代码：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住所：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法定代表人或授权代表（签字）：</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联系人：</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约定送达地址：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邮政编码：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p>
                            <w:pPr>
                              <w:autoSpaceDE w:val="0"/>
                              <w:autoSpaceDN w:val="0"/>
                              <w:spacing w:line="240" w:lineRule="auto"/>
                              <w:rPr>
                                <w:rFonts w:ascii="仿宋" w:hAnsi="仿宋" w:eastAsia="仿宋"/>
                                <w:sz w:val="24"/>
                              </w:rPr>
                            </w:pPr>
                            <w:r>
                              <w:rPr>
                                <w:rFonts w:hint="eastAsia" w:ascii="仿宋" w:hAnsi="仿宋" w:eastAsia="仿宋"/>
                                <w:sz w:val="24"/>
                                <w:lang w:val="zh-CN"/>
                              </w:rPr>
                              <w:t>电子邮箱：</w:t>
                            </w:r>
                          </w:p>
                          <w:p>
                            <w:pPr>
                              <w:autoSpaceDE w:val="0"/>
                              <w:autoSpaceDN w:val="0"/>
                              <w:spacing w:line="240" w:lineRule="auto"/>
                              <w:rPr>
                                <w:rFonts w:ascii="仿宋" w:hAnsi="仿宋" w:eastAsia="仿宋"/>
                                <w:sz w:val="24"/>
                              </w:rPr>
                            </w:pPr>
                            <w:r>
                              <w:rPr>
                                <w:rFonts w:hint="eastAsia" w:ascii="仿宋" w:hAnsi="仿宋" w:eastAsia="仿宋"/>
                                <w:sz w:val="24"/>
                              </w:rPr>
                              <w:t>开户银行：</w:t>
                            </w:r>
                          </w:p>
                          <w:p>
                            <w:pPr>
                              <w:autoSpaceDE w:val="0"/>
                              <w:autoSpaceDN w:val="0"/>
                              <w:spacing w:line="240" w:lineRule="auto"/>
                              <w:rPr>
                                <w:rFonts w:ascii="仿宋" w:hAnsi="仿宋" w:eastAsia="仿宋"/>
                                <w:sz w:val="24"/>
                              </w:rPr>
                            </w:pPr>
                            <w:r>
                              <w:rPr>
                                <w:rFonts w:hint="eastAsia" w:ascii="仿宋" w:hAnsi="仿宋" w:eastAsia="仿宋"/>
                                <w:sz w:val="24"/>
                              </w:rPr>
                              <w:t>开户名称：</w:t>
                            </w:r>
                          </w:p>
                          <w:p>
                            <w:pPr>
                              <w:spacing w:line="240" w:lineRule="auto"/>
                            </w:pPr>
                            <w:r>
                              <w:rPr>
                                <w:rFonts w:hint="eastAsia" w:ascii="仿宋" w:hAnsi="仿宋" w:eastAsia="仿宋"/>
                                <w:sz w:val="24"/>
                              </w:rPr>
                              <w:t>开户账号：</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8pt;margin-top:22.95pt;height:215.4pt;width:213.05pt;z-index:251662336;mso-width-relative:page;mso-height-relative:page;" fillcolor="#FFFFFF [3201]" filled="t" stroked="f" coordsize="21600,21600" o:gfxdata="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sjcsnWAAAA&#10;CQEAAA8AAAAAAAAAAQAgAAAAIgAAAGRycy9kb3ducmV2LnhtbFBLAQIUABQAAAAIAIdO4kDzbv9Y&#10;WAIAAJwEAAAOAAAAAAAAAAEAIAAAACUBAABkcnMvZTJvRG9jLnhtbFBLBQYAAAAABgAGAFkBAADv&#10;BQAAAAA=&#10;">
                <v:fill on="t" focussize="0,0"/>
                <v:stroke on="f" weight="0.5pt"/>
                <v:imagedata o:title=""/>
                <o:lock v:ext="edit" aspectratio="f"/>
                <v:textbox>
                  <w:txbxContent>
                    <w:p>
                      <w:pPr>
                        <w:autoSpaceDE w:val="0"/>
                        <w:autoSpaceDN w:val="0"/>
                        <w:spacing w:line="240" w:lineRule="auto"/>
                        <w:rPr>
                          <w:rFonts w:hint="eastAsia" w:ascii="仿宋" w:hAnsi="仿宋" w:eastAsia="仿宋" w:cs="Times New Roman"/>
                          <w:sz w:val="24"/>
                          <w:lang w:val="zh-CN"/>
                        </w:rPr>
                      </w:pPr>
                      <w:r>
                        <w:rPr>
                          <w:rFonts w:hint="eastAsia" w:ascii="仿宋" w:hAnsi="仿宋" w:eastAsia="仿宋" w:cs="Times New Roman"/>
                          <w:sz w:val="24"/>
                          <w:lang w:val="zh-CN"/>
                        </w:rPr>
                        <w:t>甲方</w:t>
                      </w:r>
                      <w:r>
                        <w:rPr>
                          <w:rFonts w:hint="eastAsia" w:ascii="仿宋" w:hAnsi="仿宋" w:cs="Times New Roman"/>
                          <w:sz w:val="24"/>
                          <w:lang w:val="zh-CN"/>
                        </w:rPr>
                        <w:t>（</w:t>
                      </w:r>
                      <w:r>
                        <w:rPr>
                          <w:rFonts w:hint="eastAsia" w:ascii="仿宋" w:hAnsi="仿宋" w:cs="Times New Roman"/>
                          <w:sz w:val="24"/>
                          <w:lang w:val="en-US" w:eastAsia="zh-CN"/>
                        </w:rPr>
                        <w:t>盖公章</w:t>
                      </w:r>
                      <w:r>
                        <w:rPr>
                          <w:rFonts w:hint="eastAsia" w:ascii="仿宋" w:hAnsi="仿宋" w:cs="Times New Roman"/>
                          <w:sz w:val="24"/>
                          <w:lang w:val="zh-CN"/>
                        </w:rPr>
                        <w:t>）</w:t>
                      </w:r>
                      <w:r>
                        <w:rPr>
                          <w:rFonts w:hint="eastAsia" w:ascii="仿宋" w:hAnsi="仿宋" w:eastAsia="仿宋" w:cs="Times New Roman"/>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统一社会信用代码：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住所：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法定代表人或授权代表（签字）：</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联系人：</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约定送达地址：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邮政编码：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p>
                      <w:pPr>
                        <w:autoSpaceDE w:val="0"/>
                        <w:autoSpaceDN w:val="0"/>
                        <w:spacing w:line="240" w:lineRule="auto"/>
                        <w:rPr>
                          <w:rFonts w:ascii="仿宋" w:hAnsi="仿宋" w:eastAsia="仿宋"/>
                          <w:sz w:val="24"/>
                        </w:rPr>
                      </w:pPr>
                      <w:r>
                        <w:rPr>
                          <w:rFonts w:hint="eastAsia" w:ascii="仿宋" w:hAnsi="仿宋" w:eastAsia="仿宋"/>
                          <w:sz w:val="24"/>
                          <w:lang w:val="zh-CN"/>
                        </w:rPr>
                        <w:t>电子邮箱：</w:t>
                      </w:r>
                    </w:p>
                    <w:p>
                      <w:pPr>
                        <w:autoSpaceDE w:val="0"/>
                        <w:autoSpaceDN w:val="0"/>
                        <w:spacing w:line="240" w:lineRule="auto"/>
                        <w:rPr>
                          <w:rFonts w:ascii="仿宋" w:hAnsi="仿宋" w:eastAsia="仿宋"/>
                          <w:sz w:val="24"/>
                        </w:rPr>
                      </w:pPr>
                      <w:r>
                        <w:rPr>
                          <w:rFonts w:hint="eastAsia" w:ascii="仿宋" w:hAnsi="仿宋" w:eastAsia="仿宋"/>
                          <w:sz w:val="24"/>
                        </w:rPr>
                        <w:t>开户银行：</w:t>
                      </w:r>
                    </w:p>
                    <w:p>
                      <w:pPr>
                        <w:autoSpaceDE w:val="0"/>
                        <w:autoSpaceDN w:val="0"/>
                        <w:spacing w:line="240" w:lineRule="auto"/>
                        <w:rPr>
                          <w:rFonts w:ascii="仿宋" w:hAnsi="仿宋" w:eastAsia="仿宋"/>
                          <w:sz w:val="24"/>
                        </w:rPr>
                      </w:pPr>
                      <w:r>
                        <w:rPr>
                          <w:rFonts w:hint="eastAsia" w:ascii="仿宋" w:hAnsi="仿宋" w:eastAsia="仿宋"/>
                          <w:sz w:val="24"/>
                        </w:rPr>
                        <w:t>开户名称：</w:t>
                      </w:r>
                    </w:p>
                    <w:p>
                      <w:pPr>
                        <w:spacing w:line="240" w:lineRule="auto"/>
                      </w:pPr>
                      <w:r>
                        <w:rPr>
                          <w:rFonts w:hint="eastAsia" w:ascii="仿宋" w:hAnsi="仿宋" w:eastAsia="仿宋"/>
                          <w:sz w:val="24"/>
                        </w:rPr>
                        <w:t>开户账号：</w:t>
                      </w:r>
                    </w:p>
                  </w:txbxContent>
                </v:textbox>
              </v:shape>
            </w:pict>
          </mc:Fallback>
        </mc:AlternateContent>
      </w:r>
    </w:p>
    <w:p>
      <w:pPr>
        <w:bidi w:val="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1312" behindDoc="0" locked="0" layoutInCell="1" allowOverlap="1">
                <wp:simplePos x="0" y="0"/>
                <wp:positionH relativeFrom="column">
                  <wp:posOffset>3299460</wp:posOffset>
                </wp:positionH>
                <wp:positionV relativeFrom="paragraph">
                  <wp:posOffset>139700</wp:posOffset>
                </wp:positionV>
                <wp:extent cx="2705735" cy="2735580"/>
                <wp:effectExtent l="0" t="0" r="6985" b="7620"/>
                <wp:wrapNone/>
                <wp:docPr id="1" name="文本框 1"/>
                <wp:cNvGraphicFramePr/>
                <a:graphic xmlns:a="http://schemas.openxmlformats.org/drawingml/2006/main">
                  <a:graphicData uri="http://schemas.microsoft.com/office/word/2010/wordprocessingShape">
                    <wps:wsp>
                      <wps:cNvSpPr txBox="1"/>
                      <wps:spPr>
                        <a:xfrm>
                          <a:off x="946150" y="6593205"/>
                          <a:ext cx="2705735" cy="2735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spacing w:line="240" w:lineRule="auto"/>
                              <w:rPr>
                                <w:rFonts w:hint="eastAsia" w:ascii="仿宋" w:hAnsi="仿宋" w:eastAsia="仿宋" w:cs="Times New Roman"/>
                                <w:sz w:val="24"/>
                                <w:lang w:val="zh-CN"/>
                              </w:rPr>
                            </w:pPr>
                            <w:r>
                              <w:rPr>
                                <w:rFonts w:hint="eastAsia" w:ascii="仿宋" w:hAnsi="仿宋" w:cs="Times New Roman"/>
                                <w:sz w:val="24"/>
                                <w:lang w:val="en-US" w:eastAsia="zh-CN"/>
                              </w:rPr>
                              <w:t>乙</w:t>
                            </w:r>
                            <w:r>
                              <w:rPr>
                                <w:rFonts w:hint="eastAsia" w:ascii="仿宋" w:hAnsi="仿宋" w:eastAsia="仿宋" w:cs="Times New Roman"/>
                                <w:sz w:val="24"/>
                                <w:lang w:val="zh-CN"/>
                              </w:rPr>
                              <w:t>方</w:t>
                            </w:r>
                            <w:r>
                              <w:rPr>
                                <w:rFonts w:hint="eastAsia" w:ascii="仿宋" w:hAnsi="仿宋" w:cs="Times New Roman"/>
                                <w:sz w:val="24"/>
                                <w:lang w:val="zh-CN"/>
                              </w:rPr>
                              <w:t>（</w:t>
                            </w:r>
                            <w:r>
                              <w:rPr>
                                <w:rFonts w:hint="eastAsia" w:ascii="仿宋" w:hAnsi="仿宋" w:cs="Times New Roman"/>
                                <w:sz w:val="24"/>
                                <w:lang w:val="en-US" w:eastAsia="zh-CN"/>
                              </w:rPr>
                              <w:t>盖公章</w:t>
                            </w:r>
                            <w:r>
                              <w:rPr>
                                <w:rFonts w:hint="eastAsia" w:ascii="仿宋" w:hAnsi="仿宋" w:cs="Times New Roman"/>
                                <w:sz w:val="24"/>
                                <w:lang w:val="zh-CN"/>
                              </w:rPr>
                              <w:t>）</w:t>
                            </w:r>
                            <w:r>
                              <w:rPr>
                                <w:rFonts w:hint="eastAsia" w:ascii="仿宋" w:hAnsi="仿宋" w:eastAsia="仿宋" w:cs="Times New Roman"/>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统一社会信用代码：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住所：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法定代表人或授权代表（签字）：</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联系人：</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约定送达地址：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邮政编码：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p>
                            <w:pPr>
                              <w:autoSpaceDE w:val="0"/>
                              <w:autoSpaceDN w:val="0"/>
                              <w:spacing w:line="240" w:lineRule="auto"/>
                              <w:rPr>
                                <w:rFonts w:ascii="仿宋" w:hAnsi="仿宋" w:eastAsia="仿宋"/>
                                <w:sz w:val="24"/>
                              </w:rPr>
                            </w:pPr>
                            <w:r>
                              <w:rPr>
                                <w:rFonts w:hint="eastAsia" w:ascii="仿宋" w:hAnsi="仿宋" w:eastAsia="仿宋"/>
                                <w:sz w:val="24"/>
                                <w:lang w:val="zh-CN"/>
                              </w:rPr>
                              <w:t>电子邮箱：</w:t>
                            </w:r>
                          </w:p>
                          <w:p>
                            <w:pPr>
                              <w:autoSpaceDE w:val="0"/>
                              <w:autoSpaceDN w:val="0"/>
                              <w:spacing w:line="240" w:lineRule="auto"/>
                              <w:rPr>
                                <w:rFonts w:ascii="仿宋" w:hAnsi="仿宋" w:eastAsia="仿宋"/>
                                <w:sz w:val="24"/>
                              </w:rPr>
                            </w:pPr>
                            <w:r>
                              <w:rPr>
                                <w:rFonts w:hint="eastAsia" w:ascii="仿宋" w:hAnsi="仿宋" w:eastAsia="仿宋"/>
                                <w:sz w:val="24"/>
                              </w:rPr>
                              <w:t>开户银行：</w:t>
                            </w:r>
                          </w:p>
                          <w:p>
                            <w:pPr>
                              <w:autoSpaceDE w:val="0"/>
                              <w:autoSpaceDN w:val="0"/>
                              <w:spacing w:line="240" w:lineRule="auto"/>
                              <w:rPr>
                                <w:rFonts w:ascii="仿宋" w:hAnsi="仿宋" w:eastAsia="仿宋"/>
                                <w:sz w:val="24"/>
                              </w:rPr>
                            </w:pPr>
                            <w:r>
                              <w:rPr>
                                <w:rFonts w:hint="eastAsia" w:ascii="仿宋" w:hAnsi="仿宋" w:eastAsia="仿宋"/>
                                <w:sz w:val="24"/>
                              </w:rPr>
                              <w:t>开户名称：</w:t>
                            </w:r>
                          </w:p>
                          <w:p>
                            <w:pPr>
                              <w:spacing w:line="240" w:lineRule="auto"/>
                            </w:pPr>
                            <w:r>
                              <w:rPr>
                                <w:rFonts w:hint="eastAsia" w:ascii="仿宋" w:hAnsi="仿宋" w:eastAsia="仿宋"/>
                                <w:sz w:val="24"/>
                              </w:rPr>
                              <w:t>开户账号：</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59.8pt;margin-top:11pt;height:215.4pt;width:213.05pt;z-index:251661312;mso-width-relative:page;mso-height-relative:page;" fillcolor="#FFFFFF [3201]" filled="t" stroked="f" coordsize="21600,21600" o:gfxdata="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YpxQ9cAAAAKAQAADwAAAAAAAAABACAAAAAiAAAAZHJzL2Rvd25yZXYueG1sUEsBAhQAFAAA&#10;AAgAh07iQBX86XBiAgAApwQAAA4AAAAAAAAAAQAgAAAAJgEAAGRycy9lMm9Eb2MueG1sUEsFBgAA&#10;AAAGAAYAWQEAAPoFAAAAAA==&#10;">
                <v:fill on="t" focussize="0,0"/>
                <v:stroke on="f" weight="0.5pt"/>
                <v:imagedata o:title=""/>
                <o:lock v:ext="edit" aspectratio="f"/>
                <v:textbox>
                  <w:txbxContent>
                    <w:p>
                      <w:pPr>
                        <w:autoSpaceDE w:val="0"/>
                        <w:autoSpaceDN w:val="0"/>
                        <w:spacing w:line="240" w:lineRule="auto"/>
                        <w:rPr>
                          <w:rFonts w:hint="eastAsia" w:ascii="仿宋" w:hAnsi="仿宋" w:eastAsia="仿宋" w:cs="Times New Roman"/>
                          <w:sz w:val="24"/>
                          <w:lang w:val="zh-CN"/>
                        </w:rPr>
                      </w:pPr>
                      <w:r>
                        <w:rPr>
                          <w:rFonts w:hint="eastAsia" w:ascii="仿宋" w:hAnsi="仿宋" w:cs="Times New Roman"/>
                          <w:sz w:val="24"/>
                          <w:lang w:val="en-US" w:eastAsia="zh-CN"/>
                        </w:rPr>
                        <w:t>乙</w:t>
                      </w:r>
                      <w:r>
                        <w:rPr>
                          <w:rFonts w:hint="eastAsia" w:ascii="仿宋" w:hAnsi="仿宋" w:eastAsia="仿宋" w:cs="Times New Roman"/>
                          <w:sz w:val="24"/>
                          <w:lang w:val="zh-CN"/>
                        </w:rPr>
                        <w:t>方</w:t>
                      </w:r>
                      <w:r>
                        <w:rPr>
                          <w:rFonts w:hint="eastAsia" w:ascii="仿宋" w:hAnsi="仿宋" w:cs="Times New Roman"/>
                          <w:sz w:val="24"/>
                          <w:lang w:val="zh-CN"/>
                        </w:rPr>
                        <w:t>（</w:t>
                      </w:r>
                      <w:r>
                        <w:rPr>
                          <w:rFonts w:hint="eastAsia" w:ascii="仿宋" w:hAnsi="仿宋" w:cs="Times New Roman"/>
                          <w:sz w:val="24"/>
                          <w:lang w:val="en-US" w:eastAsia="zh-CN"/>
                        </w:rPr>
                        <w:t>盖公章</w:t>
                      </w:r>
                      <w:r>
                        <w:rPr>
                          <w:rFonts w:hint="eastAsia" w:ascii="仿宋" w:hAnsi="仿宋" w:cs="Times New Roman"/>
                          <w:sz w:val="24"/>
                          <w:lang w:val="zh-CN"/>
                        </w:rPr>
                        <w:t>）</w:t>
                      </w:r>
                      <w:r>
                        <w:rPr>
                          <w:rFonts w:hint="eastAsia" w:ascii="仿宋" w:hAnsi="仿宋" w:eastAsia="仿宋" w:cs="Times New Roman"/>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统一社会信用代码：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住所：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法定代表人或授权代表（签字）：</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联系人：</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约定送达地址：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邮政编码：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p>
                      <w:pPr>
                        <w:autoSpaceDE w:val="0"/>
                        <w:autoSpaceDN w:val="0"/>
                        <w:spacing w:line="240" w:lineRule="auto"/>
                        <w:rPr>
                          <w:rFonts w:ascii="仿宋" w:hAnsi="仿宋" w:eastAsia="仿宋"/>
                          <w:sz w:val="24"/>
                        </w:rPr>
                      </w:pPr>
                      <w:r>
                        <w:rPr>
                          <w:rFonts w:hint="eastAsia" w:ascii="仿宋" w:hAnsi="仿宋" w:eastAsia="仿宋"/>
                          <w:sz w:val="24"/>
                          <w:lang w:val="zh-CN"/>
                        </w:rPr>
                        <w:t>电子邮箱：</w:t>
                      </w:r>
                    </w:p>
                    <w:p>
                      <w:pPr>
                        <w:autoSpaceDE w:val="0"/>
                        <w:autoSpaceDN w:val="0"/>
                        <w:spacing w:line="240" w:lineRule="auto"/>
                        <w:rPr>
                          <w:rFonts w:ascii="仿宋" w:hAnsi="仿宋" w:eastAsia="仿宋"/>
                          <w:sz w:val="24"/>
                        </w:rPr>
                      </w:pPr>
                      <w:r>
                        <w:rPr>
                          <w:rFonts w:hint="eastAsia" w:ascii="仿宋" w:hAnsi="仿宋" w:eastAsia="仿宋"/>
                          <w:sz w:val="24"/>
                        </w:rPr>
                        <w:t>开户银行：</w:t>
                      </w:r>
                    </w:p>
                    <w:p>
                      <w:pPr>
                        <w:autoSpaceDE w:val="0"/>
                        <w:autoSpaceDN w:val="0"/>
                        <w:spacing w:line="240" w:lineRule="auto"/>
                        <w:rPr>
                          <w:rFonts w:ascii="仿宋" w:hAnsi="仿宋" w:eastAsia="仿宋"/>
                          <w:sz w:val="24"/>
                        </w:rPr>
                      </w:pPr>
                      <w:r>
                        <w:rPr>
                          <w:rFonts w:hint="eastAsia" w:ascii="仿宋" w:hAnsi="仿宋" w:eastAsia="仿宋"/>
                          <w:sz w:val="24"/>
                        </w:rPr>
                        <w:t>开户名称：</w:t>
                      </w:r>
                    </w:p>
                    <w:p>
                      <w:pPr>
                        <w:spacing w:line="240" w:lineRule="auto"/>
                      </w:pPr>
                      <w:r>
                        <w:rPr>
                          <w:rFonts w:hint="eastAsia" w:ascii="仿宋" w:hAnsi="仿宋" w:eastAsia="仿宋"/>
                          <w:sz w:val="24"/>
                        </w:rPr>
                        <w:t>开户账号：</w:t>
                      </w:r>
                    </w:p>
                  </w:txbxContent>
                </v:textbox>
              </v:shape>
            </w:pict>
          </mc:Fallback>
        </mc:AlternateContent>
      </w:r>
    </w:p>
    <w:p>
      <w:pPr>
        <w:bidi w:val="0"/>
        <w:rPr>
          <w:rFonts w:hint="eastAsia" w:ascii="仿宋" w:hAnsi="仿宋" w:eastAsia="仿宋" w:cs="仿宋"/>
          <w:color w:val="auto"/>
        </w:rPr>
      </w:pPr>
      <w:bookmarkStart w:id="420" w:name="_Toc331685783"/>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jc w:val="both"/>
        <w:rPr>
          <w:rFonts w:hint="eastAsia" w:ascii="仿宋" w:hAnsi="仿宋" w:eastAsia="仿宋" w:cs="仿宋"/>
          <w:color w:val="auto"/>
        </w:rPr>
      </w:pPr>
    </w:p>
    <w:p>
      <w:pPr>
        <w:pStyle w:val="699"/>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bookmarkEnd w:id="420"/>
    </w:p>
    <w:p>
      <w:pPr>
        <w:spacing w:line="560" w:lineRule="exact"/>
        <w:ind w:firstLine="482" w:firstLineChars="200"/>
        <w:outlineLvl w:val="0"/>
        <w:rPr>
          <w:rFonts w:hint="eastAsia" w:ascii="仿宋" w:hAnsi="仿宋" w:eastAsia="仿宋" w:cs="仿宋"/>
          <w:b/>
          <w:color w:val="auto"/>
          <w:sz w:val="24"/>
        </w:rPr>
      </w:pPr>
      <w:bookmarkStart w:id="421" w:name="_Ref467379205"/>
      <w:bookmarkStart w:id="422" w:name="_Ref467379195"/>
      <w:bookmarkStart w:id="423" w:name="_Toc259093669"/>
      <w:bookmarkStart w:id="424" w:name="_Ref467379094"/>
      <w:bookmarkStart w:id="425" w:name="_Toc28763"/>
      <w:bookmarkStart w:id="426" w:name="_Ref467378463"/>
      <w:bookmarkStart w:id="427" w:name="_Ref467379109"/>
      <w:bookmarkStart w:id="428" w:name="_Toc279701240"/>
      <w:bookmarkStart w:id="429" w:name="_Ref467379101"/>
      <w:bookmarkStart w:id="430" w:name="_Toc487900349"/>
      <w:bookmarkStart w:id="431" w:name="_Toc16917"/>
      <w:bookmarkStart w:id="432" w:name="_Ref467379225"/>
      <w:bookmarkStart w:id="433" w:name="_Ref467379214"/>
      <w:bookmarkStart w:id="434" w:name="_Toc19614"/>
      <w:bookmarkStart w:id="435" w:name="_Ref467378499"/>
      <w:bookmarkStart w:id="436" w:name="_Ref467378404"/>
      <w:r>
        <w:rPr>
          <w:rFonts w:hint="eastAsia" w:ascii="仿宋" w:hAnsi="仿宋" w:eastAsia="仿宋" w:cs="仿宋"/>
          <w:b/>
          <w:color w:val="auto"/>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rPr>
      </w:pPr>
      <w:bookmarkStart w:id="437" w:name="_Ref467378840"/>
      <w:r>
        <w:rPr>
          <w:rFonts w:hint="eastAsia" w:ascii="仿宋" w:hAnsi="仿宋" w:eastAsia="仿宋" w:cs="仿宋"/>
          <w:color w:val="auto"/>
          <w:sz w:val="24"/>
        </w:rPr>
        <w:t>2.1.4 “甲方”系指与中标供应商签署合同的采购人</w:t>
      </w:r>
      <w:bookmarkEnd w:id="437"/>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bookmarkStart w:id="438" w:name="_Ref467379400"/>
      <w:r>
        <w:rPr>
          <w:rFonts w:hint="eastAsia" w:ascii="仿宋" w:hAnsi="仿宋" w:eastAsia="仿宋" w:cs="仿宋"/>
          <w:color w:val="auto"/>
          <w:sz w:val="24"/>
        </w:rPr>
        <w:t>2.1.5 “乙方”系指根据合同约定交付货物的中标供应商</w:t>
      </w:r>
      <w:bookmarkEnd w:id="438"/>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bookmarkStart w:id="439" w:name="_Ref467379436"/>
      <w:r>
        <w:rPr>
          <w:rFonts w:hint="eastAsia" w:ascii="仿宋" w:hAnsi="仿宋" w:eastAsia="仿宋" w:cs="仿宋"/>
          <w:color w:val="auto"/>
          <w:sz w:val="24"/>
        </w:rPr>
        <w:t>2.1.6 “现场”系指合同约定货物将要运至或者安装的地点。</w:t>
      </w:r>
      <w:bookmarkEnd w:id="439"/>
    </w:p>
    <w:p>
      <w:pPr>
        <w:spacing w:line="560" w:lineRule="exact"/>
        <w:ind w:firstLine="482" w:firstLineChars="200"/>
        <w:outlineLvl w:val="0"/>
        <w:rPr>
          <w:rFonts w:hint="eastAsia" w:ascii="仿宋" w:hAnsi="仿宋" w:eastAsia="仿宋" w:cs="仿宋"/>
          <w:b/>
          <w:color w:val="auto"/>
          <w:sz w:val="24"/>
        </w:rPr>
      </w:pPr>
      <w:bookmarkStart w:id="440" w:name="_Toc32504"/>
      <w:bookmarkStart w:id="441" w:name="_Toc279701241"/>
      <w:bookmarkStart w:id="442" w:name="_Toc487900350"/>
      <w:bookmarkStart w:id="443" w:name="_Toc259093670"/>
      <w:bookmarkStart w:id="444" w:name="_Toc13336"/>
      <w:bookmarkStart w:id="445" w:name="_Toc27635"/>
      <w:r>
        <w:rPr>
          <w:rFonts w:hint="eastAsia" w:ascii="仿宋" w:hAnsi="仿宋" w:eastAsia="仿宋" w:cs="仿宋"/>
          <w:b/>
          <w:color w:val="auto"/>
          <w:sz w:val="24"/>
        </w:rPr>
        <w:t>2.2 技术规范</w:t>
      </w:r>
      <w:bookmarkEnd w:id="440"/>
      <w:bookmarkEnd w:id="441"/>
      <w:bookmarkEnd w:id="442"/>
      <w:bookmarkEnd w:id="443"/>
      <w:bookmarkEnd w:id="444"/>
      <w:bookmarkEnd w:id="44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46" w:name="_Toc27853"/>
      <w:bookmarkStart w:id="447" w:name="_Toc31634"/>
      <w:bookmarkStart w:id="448" w:name="_Toc279701242"/>
      <w:bookmarkStart w:id="449" w:name="_Toc259093671"/>
      <w:bookmarkStart w:id="450" w:name="_Toc487900351"/>
      <w:bookmarkStart w:id="451" w:name="_Toc9829"/>
      <w:r>
        <w:rPr>
          <w:rFonts w:hint="eastAsia" w:ascii="仿宋" w:hAnsi="仿宋" w:eastAsia="仿宋" w:cs="仿宋"/>
          <w:b/>
          <w:color w:val="auto"/>
          <w:sz w:val="24"/>
        </w:rPr>
        <w:t>2.3 知识产权</w:t>
      </w:r>
      <w:bookmarkEnd w:id="446"/>
      <w:bookmarkEnd w:id="447"/>
      <w:bookmarkEnd w:id="448"/>
      <w:bookmarkEnd w:id="449"/>
      <w:bookmarkEnd w:id="450"/>
      <w:bookmarkEnd w:id="45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2" w:name="_Toc4194"/>
      <w:bookmarkStart w:id="453" w:name="_Toc29149"/>
      <w:bookmarkStart w:id="454" w:name="_Toc11932"/>
      <w:r>
        <w:rPr>
          <w:rFonts w:hint="eastAsia" w:ascii="仿宋" w:hAnsi="仿宋" w:eastAsia="仿宋" w:cs="仿宋"/>
          <w:b/>
          <w:color w:val="auto"/>
          <w:sz w:val="24"/>
        </w:rPr>
        <w:t>2.4 包装和装运</w:t>
      </w:r>
      <w:bookmarkEnd w:id="452"/>
      <w:bookmarkEnd w:id="453"/>
      <w:bookmarkEnd w:id="45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乙方提供产品及相关快递服务的具体包装要求应符合《商品包装政府采购需求标准（试行）》《快递包装政府采购需求标准（试行）》，并作为履约验收的内容，必要时甲方可以要求乙方在履约验收环节出具检测报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5" w:name="_Toc259093674"/>
      <w:bookmarkStart w:id="456" w:name="_Ref467378541"/>
      <w:bookmarkStart w:id="457" w:name="_Ref467379527"/>
      <w:bookmarkStart w:id="458" w:name="_Ref467378591"/>
      <w:bookmarkStart w:id="459" w:name="_Toc279701245"/>
      <w:bookmarkStart w:id="460" w:name="_Ref467379542"/>
      <w:bookmarkStart w:id="461" w:name="_Ref467379536"/>
      <w:bookmarkStart w:id="462" w:name="_Toc487900354"/>
      <w:bookmarkStart w:id="463" w:name="_Toc30272"/>
      <w:bookmarkStart w:id="464" w:name="_Toc26182"/>
      <w:bookmarkStart w:id="465" w:name="_Toc19074"/>
      <w:r>
        <w:rPr>
          <w:rFonts w:hint="eastAsia" w:ascii="仿宋" w:hAnsi="仿宋" w:eastAsia="仿宋" w:cs="仿宋"/>
          <w:b/>
          <w:color w:val="auto"/>
          <w:sz w:val="24"/>
        </w:rPr>
        <w:t>2.</w:t>
      </w:r>
      <w:bookmarkEnd w:id="455"/>
      <w:bookmarkEnd w:id="456"/>
      <w:bookmarkEnd w:id="457"/>
      <w:bookmarkEnd w:id="458"/>
      <w:bookmarkEnd w:id="459"/>
      <w:bookmarkEnd w:id="460"/>
      <w:bookmarkEnd w:id="461"/>
      <w:bookmarkEnd w:id="462"/>
      <w:r>
        <w:rPr>
          <w:rFonts w:hint="eastAsia" w:ascii="仿宋" w:hAnsi="仿宋" w:eastAsia="仿宋" w:cs="仿宋"/>
          <w:b/>
          <w:color w:val="auto"/>
          <w:sz w:val="24"/>
        </w:rPr>
        <w:t>5 履约检查和问题反馈</w:t>
      </w:r>
      <w:bookmarkEnd w:id="463"/>
      <w:bookmarkEnd w:id="464"/>
      <w:bookmarkEnd w:id="465"/>
    </w:p>
    <w:p>
      <w:pPr>
        <w:spacing w:line="560" w:lineRule="exact"/>
        <w:ind w:firstLine="480" w:firstLineChars="200"/>
        <w:rPr>
          <w:rFonts w:hint="eastAsia" w:ascii="仿宋" w:hAnsi="仿宋" w:eastAsia="仿宋" w:cs="仿宋"/>
          <w:color w:val="auto"/>
          <w:sz w:val="24"/>
        </w:rPr>
      </w:pPr>
      <w:bookmarkStart w:id="466" w:name="_Ref467379657"/>
      <w:r>
        <w:rPr>
          <w:rFonts w:hint="eastAsia" w:ascii="仿宋" w:hAnsi="仿宋" w:eastAsia="仿宋" w:cs="仿宋"/>
          <w:color w:val="auto"/>
          <w:sz w:val="24"/>
        </w:rPr>
        <w:t>2.5.1</w:t>
      </w:r>
      <w:bookmarkEnd w:id="466"/>
      <w:bookmarkStart w:id="467" w:name="_Toc186431854"/>
      <w:bookmarkStart w:id="468" w:name="_Toc259093676"/>
      <w:bookmarkStart w:id="469" w:name="_Toc279701247"/>
      <w:bookmarkStart w:id="470" w:name="_Toc487900357"/>
      <w:bookmarkStart w:id="471" w:name="_Ref467379793"/>
      <w:bookmarkStart w:id="472" w:name="_Ref46737980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仿宋"/>
          <w:color w:val="auto"/>
          <w:sz w:val="24"/>
        </w:rPr>
        <w:t>。</w:t>
      </w:r>
    </w:p>
    <w:bookmarkEnd w:id="468"/>
    <w:bookmarkEnd w:id="469"/>
    <w:bookmarkEnd w:id="470"/>
    <w:bookmarkEnd w:id="471"/>
    <w:bookmarkEnd w:id="472"/>
    <w:bookmarkEnd w:id="473"/>
    <w:p>
      <w:pPr>
        <w:spacing w:line="560" w:lineRule="exact"/>
        <w:ind w:firstLine="482" w:firstLineChars="200"/>
        <w:outlineLvl w:val="0"/>
        <w:rPr>
          <w:rFonts w:hint="eastAsia" w:ascii="仿宋" w:hAnsi="仿宋" w:eastAsia="仿宋" w:cs="仿宋"/>
          <w:b/>
          <w:color w:val="auto"/>
          <w:sz w:val="24"/>
        </w:rPr>
      </w:pPr>
      <w:bookmarkStart w:id="474" w:name="_Toc259093677"/>
      <w:bookmarkStart w:id="475" w:name="_Ref467379923"/>
      <w:bookmarkStart w:id="476" w:name="_Ref467379852"/>
      <w:bookmarkStart w:id="477" w:name="_Ref467379863"/>
      <w:bookmarkStart w:id="478" w:name="_Toc279701248"/>
      <w:bookmarkStart w:id="479" w:name="_Toc487900358"/>
      <w:bookmarkStart w:id="480" w:name="_Toc774"/>
      <w:bookmarkStart w:id="481" w:name="_Toc3225"/>
      <w:bookmarkStart w:id="482" w:name="_Toc16110"/>
      <w:r>
        <w:rPr>
          <w:rFonts w:hint="eastAsia" w:ascii="仿宋" w:hAnsi="仿宋" w:eastAsia="仿宋" w:cs="仿宋"/>
          <w:b/>
          <w:color w:val="auto"/>
          <w:sz w:val="24"/>
        </w:rPr>
        <w:t>2.6 技术资料</w:t>
      </w:r>
      <w:bookmarkEnd w:id="474"/>
      <w:bookmarkEnd w:id="475"/>
      <w:bookmarkEnd w:id="476"/>
      <w:bookmarkEnd w:id="477"/>
      <w:bookmarkEnd w:id="478"/>
      <w:bookmarkEnd w:id="479"/>
      <w:r>
        <w:rPr>
          <w:rFonts w:hint="eastAsia" w:ascii="仿宋" w:hAnsi="仿宋" w:eastAsia="仿宋" w:cs="仿宋"/>
          <w:b/>
          <w:color w:val="auto"/>
          <w:sz w:val="24"/>
        </w:rPr>
        <w:t>和保密义务</w:t>
      </w:r>
      <w:bookmarkEnd w:id="480"/>
      <w:bookmarkEnd w:id="481"/>
      <w:bookmarkEnd w:id="48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83" w:name="_Toc7860"/>
      <w:r>
        <w:rPr>
          <w:rFonts w:hint="eastAsia" w:ascii="仿宋" w:hAnsi="仿宋" w:eastAsia="仿宋" w:cs="仿宋"/>
          <w:b/>
          <w:color w:val="auto"/>
          <w:sz w:val="24"/>
        </w:rPr>
        <w:t>2.7 质量保证</w:t>
      </w:r>
      <w:bookmarkEnd w:id="48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84" w:name="_Toc17244"/>
      <w:bookmarkStart w:id="485" w:name="_Toc279701252"/>
      <w:bookmarkStart w:id="486" w:name="_Toc259093681"/>
      <w:bookmarkStart w:id="487" w:name="_Toc487900362"/>
      <w:r>
        <w:rPr>
          <w:rFonts w:hint="eastAsia" w:ascii="仿宋" w:hAnsi="仿宋" w:eastAsia="仿宋" w:cs="仿宋"/>
          <w:b/>
          <w:color w:val="auto"/>
          <w:sz w:val="24"/>
        </w:rPr>
        <w:t>2.8 货物的风险负担</w:t>
      </w:r>
      <w:bookmarkEnd w:id="484"/>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88" w:name="_Toc14055"/>
      <w:r>
        <w:rPr>
          <w:rFonts w:hint="eastAsia" w:ascii="仿宋" w:hAnsi="仿宋" w:eastAsia="仿宋" w:cs="仿宋"/>
          <w:b/>
          <w:color w:val="auto"/>
          <w:sz w:val="24"/>
        </w:rPr>
        <w:t>2.9 延迟交货</w:t>
      </w:r>
      <w:bookmarkEnd w:id="485"/>
      <w:bookmarkEnd w:id="486"/>
      <w:bookmarkEnd w:id="487"/>
      <w:bookmarkEnd w:id="48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rPr>
      </w:pPr>
      <w:bookmarkStart w:id="489" w:name="_Toc7502"/>
      <w:bookmarkStart w:id="490" w:name="_Toc487900364"/>
      <w:bookmarkStart w:id="491" w:name="_Toc279701254"/>
      <w:bookmarkStart w:id="492" w:name="_Toc259093683"/>
      <w:bookmarkStart w:id="493" w:name="_Ref467378121"/>
      <w:r>
        <w:rPr>
          <w:rFonts w:hint="eastAsia" w:ascii="仿宋" w:hAnsi="仿宋" w:eastAsia="仿宋" w:cs="仿宋"/>
          <w:b/>
          <w:color w:val="auto"/>
          <w:sz w:val="24"/>
        </w:rPr>
        <w:t>2.10 合同变更</w:t>
      </w:r>
      <w:bookmarkEnd w:id="48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59093688"/>
      <w:bookmarkStart w:id="496" w:name="_Toc279701259"/>
    </w:p>
    <w:p>
      <w:pPr>
        <w:spacing w:line="560" w:lineRule="exact"/>
        <w:ind w:firstLine="482" w:firstLineChars="200"/>
        <w:outlineLvl w:val="0"/>
        <w:rPr>
          <w:rFonts w:hint="eastAsia" w:ascii="仿宋" w:hAnsi="仿宋" w:eastAsia="仿宋" w:cs="仿宋"/>
          <w:b/>
          <w:color w:val="auto"/>
          <w:sz w:val="24"/>
        </w:rPr>
      </w:pPr>
      <w:bookmarkStart w:id="497" w:name="_Toc15237"/>
      <w:bookmarkStart w:id="498" w:name="_Toc22955"/>
      <w:bookmarkStart w:id="499" w:name="_Toc10366"/>
      <w:r>
        <w:rPr>
          <w:rFonts w:hint="eastAsia" w:ascii="仿宋" w:hAnsi="仿宋" w:eastAsia="仿宋" w:cs="仿宋"/>
          <w:b/>
          <w:color w:val="auto"/>
          <w:sz w:val="24"/>
        </w:rPr>
        <w:t>2.11 合同转让</w:t>
      </w:r>
      <w:bookmarkEnd w:id="494"/>
      <w:bookmarkEnd w:id="495"/>
      <w:bookmarkEnd w:id="496"/>
      <w:r>
        <w:rPr>
          <w:rFonts w:hint="eastAsia" w:ascii="仿宋" w:hAnsi="仿宋" w:eastAsia="仿宋" w:cs="仿宋"/>
          <w:b/>
          <w:color w:val="auto"/>
          <w:sz w:val="24"/>
        </w:rPr>
        <w:t>和分包</w:t>
      </w:r>
      <w:bookmarkEnd w:id="497"/>
      <w:bookmarkEnd w:id="498"/>
      <w:bookmarkEnd w:id="49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rPr>
      </w:pPr>
      <w:bookmarkStart w:id="500" w:name="_Toc16508"/>
      <w:bookmarkStart w:id="501" w:name="_Toc13566"/>
      <w:bookmarkStart w:id="502" w:name="_Toc14066"/>
      <w:r>
        <w:rPr>
          <w:rFonts w:hint="eastAsia" w:ascii="仿宋" w:hAnsi="仿宋" w:eastAsia="仿宋" w:cs="仿宋"/>
          <w:b/>
          <w:color w:val="auto"/>
          <w:sz w:val="24"/>
        </w:rPr>
        <w:t>2.12 不可抗力</w:t>
      </w:r>
      <w:bookmarkEnd w:id="500"/>
      <w:bookmarkEnd w:id="501"/>
      <w:bookmarkEnd w:id="50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503" w:name="_Toc279701255"/>
      <w:bookmarkStart w:id="504" w:name="_Toc487900365"/>
      <w:bookmarkStart w:id="505" w:name="_Toc30676"/>
      <w:bookmarkStart w:id="506" w:name="_Toc6969"/>
      <w:bookmarkStart w:id="507" w:name="_Toc689"/>
      <w:bookmarkStart w:id="508" w:name="_Toc259093684"/>
      <w:r>
        <w:rPr>
          <w:rFonts w:hint="eastAsia" w:ascii="仿宋" w:hAnsi="仿宋" w:eastAsia="仿宋" w:cs="仿宋"/>
          <w:b/>
          <w:color w:val="auto"/>
          <w:sz w:val="24"/>
        </w:rPr>
        <w:t>2.13 税费</w:t>
      </w:r>
      <w:bookmarkEnd w:id="503"/>
      <w:bookmarkEnd w:id="504"/>
      <w:bookmarkEnd w:id="505"/>
      <w:bookmarkEnd w:id="506"/>
      <w:bookmarkEnd w:id="507"/>
      <w:bookmarkEnd w:id="50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rPr>
      </w:pPr>
      <w:bookmarkStart w:id="509" w:name="_Toc8298"/>
      <w:bookmarkStart w:id="510" w:name="_Toc487900368"/>
      <w:bookmarkStart w:id="511" w:name="_Toc7102"/>
      <w:bookmarkStart w:id="512" w:name="_Toc259093687"/>
      <w:bookmarkStart w:id="513" w:name="_Toc279701258"/>
      <w:bookmarkStart w:id="514" w:name="_Toc16959"/>
      <w:r>
        <w:rPr>
          <w:rFonts w:hint="eastAsia" w:ascii="仿宋" w:hAnsi="仿宋" w:eastAsia="仿宋" w:cs="仿宋"/>
          <w:b/>
          <w:color w:val="auto"/>
          <w:sz w:val="24"/>
        </w:rPr>
        <w:t>2.14乙方破产</w:t>
      </w:r>
      <w:bookmarkEnd w:id="509"/>
      <w:bookmarkEnd w:id="510"/>
      <w:bookmarkEnd w:id="511"/>
      <w:bookmarkEnd w:id="512"/>
      <w:bookmarkEnd w:id="513"/>
      <w:bookmarkEnd w:id="51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515" w:name="_Toc6134"/>
      <w:bookmarkStart w:id="516" w:name="_Toc29333"/>
      <w:bookmarkStart w:id="517" w:name="_Toc15387"/>
      <w:r>
        <w:rPr>
          <w:rFonts w:hint="eastAsia" w:ascii="仿宋" w:hAnsi="仿宋" w:eastAsia="仿宋" w:cs="仿宋"/>
          <w:b/>
          <w:color w:val="auto"/>
          <w:sz w:val="24"/>
        </w:rPr>
        <w:t>2.15 合同中止、终止</w:t>
      </w:r>
      <w:bookmarkEnd w:id="515"/>
      <w:bookmarkEnd w:id="516"/>
      <w:bookmarkEnd w:id="51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518" w:name="_Toc1125"/>
      <w:bookmarkStart w:id="519" w:name="_Toc14563"/>
      <w:bookmarkStart w:id="520" w:name="_Toc6596"/>
      <w:r>
        <w:rPr>
          <w:rFonts w:hint="eastAsia" w:ascii="仿宋" w:hAnsi="仿宋" w:eastAsia="仿宋" w:cs="仿宋"/>
          <w:b/>
          <w:color w:val="auto"/>
          <w:sz w:val="24"/>
        </w:rPr>
        <w:t>2.16检验和验收</w:t>
      </w:r>
      <w:bookmarkEnd w:id="518"/>
      <w:bookmarkEnd w:id="519"/>
      <w:bookmarkEnd w:id="520"/>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490"/>
    <w:bookmarkEnd w:id="491"/>
    <w:bookmarkEnd w:id="492"/>
    <w:bookmarkEnd w:id="493"/>
    <w:p>
      <w:pPr>
        <w:spacing w:line="560" w:lineRule="exact"/>
        <w:ind w:firstLine="482" w:firstLineChars="200"/>
        <w:outlineLvl w:val="0"/>
        <w:rPr>
          <w:rFonts w:hint="eastAsia" w:ascii="仿宋" w:hAnsi="仿宋" w:eastAsia="仿宋" w:cs="仿宋"/>
          <w:b/>
          <w:color w:val="auto"/>
          <w:sz w:val="24"/>
        </w:rPr>
      </w:pPr>
      <w:bookmarkStart w:id="521" w:name="_Toc259093690"/>
      <w:bookmarkStart w:id="522" w:name="_Toc487900371"/>
      <w:bookmarkStart w:id="523" w:name="_Toc279701261"/>
      <w:bookmarkStart w:id="524" w:name="_Toc19604"/>
      <w:bookmarkStart w:id="525" w:name="_Toc25182"/>
      <w:bookmarkStart w:id="526" w:name="_Toc11284"/>
      <w:r>
        <w:rPr>
          <w:rFonts w:hint="eastAsia" w:ascii="仿宋" w:hAnsi="仿宋" w:eastAsia="仿宋" w:cs="仿宋"/>
          <w:b/>
          <w:color w:val="auto"/>
          <w:sz w:val="24"/>
        </w:rPr>
        <w:t>2.17 通知</w:t>
      </w:r>
      <w:bookmarkEnd w:id="521"/>
      <w:bookmarkEnd w:id="522"/>
      <w:bookmarkEnd w:id="523"/>
      <w:r>
        <w:rPr>
          <w:rFonts w:hint="eastAsia" w:ascii="仿宋" w:hAnsi="仿宋" w:eastAsia="仿宋" w:cs="仿宋"/>
          <w:b/>
          <w:color w:val="auto"/>
          <w:sz w:val="24"/>
        </w:rPr>
        <w:t>和送达</w:t>
      </w:r>
      <w:bookmarkEnd w:id="524"/>
      <w:bookmarkEnd w:id="525"/>
      <w:bookmarkEnd w:id="526"/>
    </w:p>
    <w:p>
      <w:pPr>
        <w:spacing w:line="560" w:lineRule="exact"/>
        <w:ind w:firstLine="480" w:firstLineChars="200"/>
        <w:rPr>
          <w:rFonts w:hint="eastAsia" w:ascii="仿宋" w:hAnsi="仿宋" w:eastAsia="仿宋" w:cs="仿宋"/>
          <w:color w:val="auto"/>
          <w:sz w:val="24"/>
        </w:rPr>
      </w:pPr>
      <w:bookmarkStart w:id="527" w:name="_Toc3135"/>
      <w:bookmarkStart w:id="528" w:name="_Toc6698"/>
      <w:bookmarkStart w:id="529" w:name="_Toc279701262"/>
      <w:bookmarkStart w:id="530" w:name="_Toc487900372"/>
      <w:bookmarkStart w:id="531" w:name="_Toc259093691"/>
      <w:r>
        <w:rPr>
          <w:rFonts w:hint="eastAsia" w:ascii="仿宋" w:hAnsi="仿宋" w:eastAsia="仿宋" w:cs="仿宋"/>
          <w:color w:val="auto"/>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27"/>
      <w:bookmarkEnd w:id="528"/>
    </w:p>
    <w:p>
      <w:pPr>
        <w:spacing w:line="560" w:lineRule="exact"/>
        <w:ind w:firstLine="480" w:firstLineChars="200"/>
        <w:rPr>
          <w:rFonts w:hint="eastAsia" w:ascii="仿宋" w:hAnsi="仿宋" w:eastAsia="仿宋" w:cs="仿宋"/>
          <w:color w:val="auto"/>
          <w:sz w:val="24"/>
        </w:rPr>
      </w:pPr>
      <w:bookmarkStart w:id="532" w:name="_Toc23128"/>
      <w:bookmarkStart w:id="533" w:name="_Toc23294"/>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pPr>
        <w:spacing w:line="560" w:lineRule="exact"/>
        <w:ind w:firstLine="482" w:firstLineChars="200"/>
        <w:outlineLvl w:val="0"/>
        <w:rPr>
          <w:rFonts w:hint="eastAsia" w:ascii="仿宋" w:hAnsi="仿宋" w:eastAsia="仿宋" w:cs="仿宋"/>
          <w:b/>
          <w:color w:val="auto"/>
          <w:sz w:val="24"/>
        </w:rPr>
      </w:pPr>
      <w:bookmarkStart w:id="534" w:name="_Toc18540"/>
      <w:bookmarkStart w:id="535" w:name="_Toc30599"/>
      <w:bookmarkStart w:id="536" w:name="_Toc4355"/>
      <w:r>
        <w:rPr>
          <w:rFonts w:hint="eastAsia" w:ascii="仿宋" w:hAnsi="仿宋" w:eastAsia="仿宋" w:cs="仿宋"/>
          <w:b/>
          <w:color w:val="auto"/>
          <w:sz w:val="24"/>
        </w:rPr>
        <w:t>2.18 计量单位</w:t>
      </w:r>
      <w:bookmarkEnd w:id="529"/>
      <w:bookmarkEnd w:id="530"/>
      <w:bookmarkEnd w:id="531"/>
      <w:bookmarkEnd w:id="534"/>
      <w:bookmarkEnd w:id="535"/>
      <w:bookmarkEnd w:id="53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rPr>
      </w:pPr>
      <w:bookmarkStart w:id="537" w:name="_Toc487900373"/>
      <w:bookmarkStart w:id="538" w:name="_Toc10330"/>
      <w:bookmarkStart w:id="539" w:name="_Toc279701263"/>
      <w:bookmarkStart w:id="540" w:name="_Toc12773"/>
      <w:bookmarkStart w:id="541" w:name="_Toc259093692"/>
      <w:bookmarkStart w:id="542" w:name="_Toc18567"/>
      <w:r>
        <w:rPr>
          <w:rFonts w:hint="eastAsia" w:ascii="仿宋" w:hAnsi="仿宋" w:eastAsia="仿宋" w:cs="仿宋"/>
          <w:b/>
          <w:color w:val="auto"/>
          <w:sz w:val="24"/>
        </w:rPr>
        <w:t>2.19 合同使用的文字和适用的法律</w:t>
      </w:r>
      <w:bookmarkEnd w:id="537"/>
      <w:bookmarkEnd w:id="538"/>
      <w:bookmarkEnd w:id="539"/>
      <w:bookmarkEnd w:id="540"/>
      <w:bookmarkEnd w:id="541"/>
      <w:bookmarkEnd w:id="54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543" w:name="_Toc16673"/>
      <w:bookmarkStart w:id="544" w:name="_Toc12004"/>
      <w:bookmarkStart w:id="545" w:name="_Toc259093693"/>
      <w:bookmarkStart w:id="546" w:name="_Toc3148"/>
      <w:bookmarkStart w:id="547" w:name="_Toc279701264"/>
      <w:bookmarkStart w:id="548" w:name="_Toc487900374"/>
      <w:r>
        <w:rPr>
          <w:rFonts w:hint="eastAsia" w:ascii="仿宋" w:hAnsi="仿宋" w:eastAsia="仿宋" w:cs="仿宋"/>
          <w:b/>
          <w:color w:val="auto"/>
          <w:sz w:val="24"/>
        </w:rPr>
        <w:t>2.20 履约保证金</w:t>
      </w:r>
      <w:bookmarkEnd w:id="543"/>
      <w:bookmarkEnd w:id="544"/>
      <w:bookmarkEnd w:id="545"/>
      <w:bookmarkEnd w:id="546"/>
      <w:bookmarkEnd w:id="547"/>
    </w:p>
    <w:p>
      <w:pPr>
        <w:pStyle w:val="957"/>
        <w:spacing w:before="0" w:beforeAutospacing="0" w:after="0" w:afterAutospacing="0" w:line="360" w:lineRule="auto"/>
        <w:ind w:firstLine="420"/>
        <w:rPr>
          <w:rFonts w:hint="eastAsia" w:ascii="仿宋" w:hAnsi="仿宋" w:eastAsia="仿宋" w:cs="仿宋"/>
          <w:color w:val="auto"/>
        </w:rPr>
      </w:pPr>
      <w:r>
        <w:rPr>
          <w:rFonts w:hint="eastAsia" w:ascii="仿宋" w:hAnsi="仿宋" w:eastAsia="仿宋" w:cs="仿宋"/>
          <w:color w:val="auto"/>
        </w:rPr>
        <w:t>2.20.1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w:t>
      </w:r>
      <w:r>
        <w:rPr>
          <w:rFonts w:hint="eastAsia" w:ascii="仿宋" w:hAnsi="仿宋" w:eastAsia="仿宋" w:cs="仿宋"/>
          <w:color w:val="auto"/>
          <w:lang w:val="en-US" w:eastAsia="zh-CN"/>
        </w:rPr>
        <w:t>1</w:t>
      </w:r>
      <w:r>
        <w:rPr>
          <w:rFonts w:hint="eastAsia" w:ascii="仿宋" w:hAnsi="仿宋" w:eastAsia="仿宋" w:cs="仿宋"/>
          <w:color w:val="auto"/>
        </w:rPr>
        <w:t>%的履约保证金；鼓励和支持乙方以银行、保险公司出具的保函形式提供履约保证。</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2.20.4甲方根据杭州市政府采购网公布的供应商履约评价情况减免履约保证金。乙方履约验收评价总分为100分的，甲方免收履约保证金；收取履约保证金为合同金额</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sz w:val="24"/>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48"/>
    <w:p>
      <w:pPr>
        <w:spacing w:line="560" w:lineRule="exact"/>
        <w:ind w:firstLine="482" w:firstLineChars="200"/>
        <w:outlineLvl w:val="0"/>
        <w:rPr>
          <w:rFonts w:hint="eastAsia" w:ascii="仿宋" w:hAnsi="仿宋" w:eastAsia="仿宋" w:cs="仿宋"/>
          <w:b/>
          <w:color w:val="auto"/>
          <w:sz w:val="24"/>
        </w:rPr>
      </w:pPr>
      <w:bookmarkStart w:id="549" w:name="_Toc14001"/>
      <w:bookmarkStart w:id="550" w:name="_Toc19890"/>
      <w:bookmarkStart w:id="551" w:name="_Toc6885"/>
      <w:r>
        <w:rPr>
          <w:rFonts w:hint="eastAsia" w:ascii="仿宋" w:hAnsi="仿宋" w:eastAsia="仿宋" w:cs="仿宋"/>
          <w:b/>
          <w:color w:val="auto"/>
          <w:sz w:val="24"/>
        </w:rPr>
        <w:t>2.22合同份数</w:t>
      </w:r>
      <w:bookmarkEnd w:id="549"/>
      <w:bookmarkEnd w:id="550"/>
      <w:bookmarkEnd w:id="55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pStyle w:val="699"/>
        <w:spacing w:line="560" w:lineRule="exact"/>
        <w:jc w:val="center"/>
        <w:rPr>
          <w:rFonts w:hint="eastAsia" w:ascii="仿宋" w:hAnsi="仿宋" w:eastAsia="仿宋" w:cs="仿宋"/>
          <w:b/>
          <w:color w:val="auto"/>
          <w:szCs w:val="24"/>
        </w:rPr>
      </w:pPr>
      <w:r>
        <w:rPr>
          <w:rFonts w:hint="eastAsia" w:ascii="仿宋" w:hAnsi="仿宋" w:eastAsia="仿宋" w:cs="仿宋"/>
          <w:b/>
          <w:color w:val="auto"/>
          <w:szCs w:val="24"/>
        </w:rPr>
        <w:t>第三部分  合同专用条款</w:t>
      </w:r>
    </w:p>
    <w:p>
      <w:pPr>
        <w:spacing w:line="240" w:lineRule="auto"/>
        <w:ind w:left="-480" w:leftChars="-200" w:right="-48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11"/>
        <w:gridCol w:w="81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92" w:type="pct"/>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307" w:type="pct"/>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1.4.4</w:t>
            </w:r>
          </w:p>
        </w:tc>
        <w:tc>
          <w:tcPr>
            <w:tcW w:w="4307" w:type="pct"/>
            <w:vAlign w:val="center"/>
          </w:tcPr>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1合同签订并生效后且采购人收到成交供应商提交的有效预付款担保7天后支付合同价款30%的预付款（具体以财政资金到位情况为准，成交供应商须向采购人提供预付款担保）。</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2预付款担保</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2.1采购人要求成交供应商提供预付款担保的形式：采用银行保函形式。银行保函为见索即付保函：即在成交供应商没有实施合同或者未履行合同义务时，采购人不需要出具任何证明和理由，只要看到成交供应商违约，就可对保函进行收兑。</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2.2采购人在合同款中逐期扣回预付款后，预付款担保额度应相应减少，但剩余的预付款担保金额不得低于未被扣回的预付款金额，在预付款完全扣回之前，成交供应商应保证预付款担保持续有效。</w:t>
            </w:r>
          </w:p>
          <w:p>
            <w:pPr>
              <w:bidi w:val="0"/>
              <w:rPr>
                <w:rFonts w:hint="eastAsia" w:ascii="仿宋" w:hAnsi="仿宋" w:eastAsia="仿宋" w:cs="仿宋"/>
                <w:color w:val="auto"/>
                <w:sz w:val="24"/>
              </w:rPr>
            </w:pPr>
            <w:r>
              <w:rPr>
                <w:rFonts w:hint="eastAsia" w:ascii="仿宋" w:hAnsi="仿宋" w:eastAsia="仿宋" w:cs="仿宋"/>
                <w:b w:val="0"/>
                <w:bCs/>
                <w:color w:val="auto"/>
                <w:lang w:val="en-US" w:eastAsia="zh-CN"/>
              </w:rPr>
              <w:t>3按每月25日前提交的当月已完成的工程量的80%支付进度款（含同比例预付款），项目竣工验收合格后7个工作日内支付至合同价款的80%（含全部预付款），结算审计完成后7个工作日内支付至合同价款的99%，剩余1%履约保证金待质保期满后一次性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4307" w:type="pc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lang w:val="en-US" w:eastAsia="zh-CN"/>
              </w:rPr>
              <w:t>本项目工期：30日历天。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4307" w:type="pc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lang w:val="en-US" w:eastAsia="zh-CN"/>
              </w:rPr>
              <w:t>详见施工图纸及采购人指定地点。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4307" w:type="pct"/>
            <w:vAlign w:val="center"/>
          </w:tcPr>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1设备到达现场</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设备到达现场后，成交供应商必须派员到现场与采购人一起开箱检验，按供货清单验收,若有缺少或损坏，成交供应商应立即补足或更换全新同规格产品，并承担相关费用直至使采购人满意为止。</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2验收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项目所有采购内容完成后，并经检验合格，所有的技术资料和图纸已向采购人提交，验收视为合格，双方签署验收合格证书。若因成交供应商产品质量问题导致验收不合格，成交供应商应及时予以处理，直至验收合格，期间发生的一切相关费用由供应商承担，采购人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若因成交供应商产品质量问题导致产品始终不能验收合格，采购人有权选择退货，并保留向成交供应商索赔的权利。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成交供应商在设备到货和验收期间应接受采购人的协调和管理，成交供应商应采取严格的安全措施，承担由于自身原因所造成的事故责任及其发生的一切费用。</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3设备交货同时提供下列资料：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3.1档案资料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货物的档案资料，包括：货物的数量、型号、规格、生产厂家的产品检测证书、合格证书、产品说明书等有关资料。货物开箱后的全部随机资料归采购人所有。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3.2技术资料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3.2.1设备相关图纸，安装说明。</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3.2.2随机的易损件、备品备件及特殊专用工具清单。</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3.2.3设备生产厂家的产品检测证书、出厂检验报告、合格证书、产品说明书、中文技术资料、中文操作手册和相关图纸等。</w:t>
            </w:r>
          </w:p>
          <w:p>
            <w:pPr>
              <w:spacing w:line="360" w:lineRule="auto"/>
              <w:rPr>
                <w:rFonts w:hint="eastAsia" w:ascii="仿宋" w:hAnsi="仿宋" w:eastAsia="仿宋" w:cs="仿宋"/>
                <w:color w:val="auto"/>
                <w:sz w:val="24"/>
              </w:rPr>
            </w:pPr>
            <w:r>
              <w:rPr>
                <w:rFonts w:hint="eastAsia" w:ascii="仿宋" w:hAnsi="仿宋" w:eastAsia="仿宋" w:cs="仿宋"/>
                <w:color w:val="auto"/>
                <w:kern w:val="0"/>
                <w:lang w:val="en-US" w:eastAsia="zh-CN"/>
              </w:rPr>
              <w:t>3.2.4设备随机提供的装箱清单（每箱一单）。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1.6.7</w:t>
            </w:r>
          </w:p>
        </w:tc>
        <w:tc>
          <w:tcPr>
            <w:tcW w:w="4307"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按相关法律法规、采购文件及合同约定执行。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w:t>
            </w:r>
          </w:p>
        </w:tc>
        <w:tc>
          <w:tcPr>
            <w:tcW w:w="4307" w:type="pct"/>
            <w:vAlign w:val="center"/>
          </w:tcPr>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本合同履行过程中发生的任何争议，双方当事人均可通过和解或者调解解决；不愿和解、调解或者和解、调解不成的，可以选择以下第 1.7.2 条款规定的方式解决：</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1.7.1 将争议提交合同专用条款仲裁委员会依申请仲裁时其现行有效的仲裁规则裁决；</w:t>
            </w:r>
          </w:p>
          <w:p>
            <w:pPr>
              <w:tabs>
                <w:tab w:val="left" w:pos="0"/>
              </w:tabs>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1.7.2 向桐庐县人民法院起诉。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4307" w:type="pct"/>
            <w:vAlign w:val="center"/>
          </w:tcPr>
          <w:p>
            <w:pPr>
              <w:spacing w:line="360" w:lineRule="auto"/>
              <w:ind w:left="-480" w:leftChars="-200" w:right="-480" w:rightChars="-200" w:firstLine="480" w:firstLineChars="200"/>
              <w:rPr>
                <w:rFonts w:hint="eastAsia" w:ascii="仿宋" w:hAnsi="仿宋" w:eastAsia="仿宋" w:cs="仿宋"/>
                <w:color w:val="auto"/>
                <w:sz w:val="24"/>
              </w:rPr>
            </w:pPr>
            <w:r>
              <w:rPr>
                <w:rFonts w:hint="eastAsia" w:ascii="仿宋" w:hAnsi="仿宋" w:eastAsia="仿宋" w:cs="仿宋"/>
                <w:color w:val="auto"/>
                <w:kern w:val="0"/>
                <w:lang w:val="en-US" w:eastAsia="zh-CN"/>
              </w:rPr>
              <w:t>具有知识产权的计算机软件等货物的知识产权归采购人所有。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2.4.1</w:t>
            </w:r>
          </w:p>
        </w:tc>
        <w:tc>
          <w:tcPr>
            <w:tcW w:w="4307" w:type="pct"/>
            <w:vAlign w:val="center"/>
          </w:tcPr>
          <w:p>
            <w:pPr>
              <w:spacing w:line="360" w:lineRule="auto"/>
              <w:ind w:left="-480" w:leftChars="-200" w:right="-480" w:righ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kern w:val="0"/>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2.4.2</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乙方提供产品及相关快递服务的具体包装要求应符合《商品包装政府采购需求标准（试行）》《快递包装政府采购需求标准（试行）》，并作为履约验收的内容，必要时甲方可以要求乙方在履约验收环节出具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2.8 </w:t>
            </w:r>
          </w:p>
        </w:tc>
        <w:tc>
          <w:tcPr>
            <w:tcW w:w="4307" w:type="pct"/>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货物或者在途货物或者交付给第一承运人后的货物毁损、灭失的风险由供应商承担。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2.12.3</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因不可抗力致使合同有变更必要的，双方当事人应在24小时时间内以书面形式变更合同；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2.12.4</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sz w:val="24"/>
              </w:rPr>
              <w:t>受不可抗力影响的一方在不可抗力发生后，应在</w:t>
            </w:r>
            <w:r>
              <w:rPr>
                <w:rFonts w:hint="eastAsia" w:ascii="仿宋" w:hAnsi="仿宋" w:eastAsia="仿宋" w:cs="仿宋"/>
                <w:color w:val="auto"/>
                <w:sz w:val="24"/>
                <w:lang w:val="en-US" w:eastAsia="zh-CN"/>
              </w:rPr>
              <w:t>24小时</w:t>
            </w:r>
            <w:r>
              <w:rPr>
                <w:rFonts w:hint="eastAsia" w:ascii="仿宋" w:hAnsi="仿宋" w:eastAsia="仿宋" w:cs="仿宋"/>
                <w:color w:val="auto"/>
                <w:sz w:val="24"/>
              </w:rPr>
              <w:t>时间内以书面形式通知对方当事人，并在合同专用条款约定时间内，将有关部门出具的证明文件送达对方当事人。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2.16.1</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sz w:val="24"/>
              </w:rPr>
              <w:t>货物交付前，乙方应对货物的质量、数量等方面进行详细、全面的检验，并向甲方出具证明货物符合合同约定的文件；货物交付时，乙方在</w:t>
            </w:r>
            <w:r>
              <w:rPr>
                <w:rFonts w:hint="eastAsia" w:ascii="仿宋" w:hAnsi="仿宋" w:eastAsia="仿宋" w:cs="仿宋"/>
                <w:color w:val="auto"/>
                <w:sz w:val="24"/>
                <w:lang w:val="en-US" w:eastAsia="zh-CN"/>
              </w:rPr>
              <w:t>24小时</w:t>
            </w:r>
            <w:r>
              <w:rPr>
                <w:rFonts w:hint="eastAsia" w:ascii="仿宋" w:hAnsi="仿宋" w:eastAsia="仿宋" w:cs="仿宋"/>
                <w:color w:val="auto"/>
                <w:sz w:val="24"/>
              </w:rPr>
              <w:t>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2.16.3</w:t>
            </w:r>
          </w:p>
        </w:tc>
        <w:tc>
          <w:tcPr>
            <w:tcW w:w="4307" w:type="pct"/>
            <w:vAlign w:val="center"/>
          </w:tcPr>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1设备到达现场</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设备到达现场后，成交供应商必须派员到现场与采购人一起开箱检验，按供货清单验收,若有缺少或损坏，成交供应商应立即补足或更换全新同规格产品，并承担相关费用直至使采购人满意为止。</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2验收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项目所有采购内容完成后，并经检验合格，所有的技术资料和图纸已向采购人提交，验收视为合格，双方签署验收合格证书。若因成交供应商产品质量问题导致验收不合格，成交供应商应及时予以处理，直至验收合格，期间发生的一切相关费用由供应商承担，采购人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若因成交供应商产品质量问题导致产品始终不能验收合格，采购人有权选择退货，并保留向成交供应商索赔的权利。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成交供应商在设备到货和验收期间应接受采购人的协调和管理，成交供应商应采取严格的安全措施，承担由于自身原因所造成的事故责任及其发生的一切费用。</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3设备交货同时提供下列资料：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3.1档案资料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货物的档案资料，包括：货物的数量、型号、规格、生产厂家的产品检测证书、合格证书、产品说明书等有关资料。货物开箱后的全部随机资料归采购人所有。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3.2技术资料</w:t>
            </w:r>
          </w:p>
          <w:p>
            <w:pPr>
              <w:spacing w:line="360" w:lineRule="auto"/>
              <w:rPr>
                <w:rFonts w:hint="eastAsia" w:ascii="仿宋" w:hAnsi="仿宋" w:eastAsia="仿宋" w:cs="仿宋"/>
                <w:color w:val="auto"/>
                <w:sz w:val="24"/>
              </w:rPr>
            </w:pPr>
            <w:r>
              <w:rPr>
                <w:rFonts w:hint="eastAsia" w:ascii="仿宋" w:hAnsi="仿宋" w:eastAsia="仿宋" w:cs="仿宋"/>
                <w:color w:val="auto"/>
                <w:kern w:val="0"/>
                <w:lang w:val="en-US" w:eastAsia="zh-CN"/>
              </w:rPr>
              <w:t>3.2.1设备相关图纸，安装说明。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92"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2.20.1</w:t>
            </w:r>
          </w:p>
        </w:tc>
        <w:tc>
          <w:tcPr>
            <w:tcW w:w="4307" w:type="pct"/>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采购文件要求乙方提交履约保证金的，乙方应按采购文件约定的方式，以支票、汇票、本票或者金融机构、担保机构出具的保函等非现金形式，提交合同金额1%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2.20.2 </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履约保证金在质保期限内不予退还。乙方在前述约定期间届满前能履行完合同约定义务事项的，甲方在前述约定期间届满之日起5个工作日内，将履约保证金退还乙方，逾期退还的，乙方可要求甲方支付违约金，违约金按每迟延退还一日的应退还而未退还金额的0.05%计算，最高限额为本合同履约保证金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92" w:type="pct"/>
            <w:tcBorders>
              <w:left w:val="single" w:color="auto" w:sz="4" w:space="0"/>
            </w:tcBorders>
            <w:vAlign w:val="center"/>
          </w:tcPr>
          <w:p>
            <w:pPr>
              <w:spacing w:line="360" w:lineRule="auto"/>
              <w:ind w:left="-480" w:leftChars="-200" w:right="-480" w:rightChars="-200"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 xml:space="preserve">2.22 </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合同份数采购人一正一副，中标人一正一副，采购代理机构贰份，总计贰正肆副，每份均具有同等法律效力。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92" w:type="pct"/>
            <w:tcBorders>
              <w:left w:val="single" w:color="auto" w:sz="4" w:space="0"/>
            </w:tcBorders>
            <w:vAlign w:val="center"/>
          </w:tcPr>
          <w:p>
            <w:pPr>
              <w:spacing w:line="360" w:lineRule="auto"/>
              <w:ind w:left="-480" w:leftChars="-200" w:right="-480" w:rightChars="-200" w:firstLine="480" w:firstLineChars="200"/>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其他约定</w:t>
            </w:r>
          </w:p>
        </w:tc>
        <w:tc>
          <w:tcPr>
            <w:tcW w:w="4307" w:type="pct"/>
            <w:vAlign w:val="center"/>
          </w:tcPr>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1采购范围</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lang w:eastAsia="zh-CN"/>
              </w:rPr>
              <w:t>桐庐县桥梁安全设施采购及隧道维护项目</w:t>
            </w:r>
            <w:r>
              <w:rPr>
                <w:rFonts w:hint="eastAsia" w:ascii="仿宋" w:hAnsi="仿宋" w:eastAsia="仿宋" w:cs="仿宋"/>
                <w:color w:val="auto"/>
                <w:kern w:val="0"/>
              </w:rPr>
              <w:t>，具体项目内容以</w:t>
            </w:r>
            <w:r>
              <w:rPr>
                <w:rFonts w:hint="eastAsia" w:ascii="仿宋" w:hAnsi="仿宋" w:eastAsia="仿宋" w:cs="仿宋"/>
                <w:color w:val="auto"/>
                <w:kern w:val="0"/>
                <w:lang w:val="en-US" w:eastAsia="zh-CN"/>
              </w:rPr>
              <w:t>施工图纸、工程量清单及</w:t>
            </w:r>
            <w:r>
              <w:rPr>
                <w:rFonts w:hint="eastAsia" w:ascii="仿宋" w:hAnsi="仿宋" w:eastAsia="仿宋" w:cs="仿宋"/>
                <w:color w:val="auto"/>
                <w:kern w:val="0"/>
              </w:rPr>
              <w:t>采购人实际委托为准。</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2施工要求</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2.1</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负责人必须保持24小时手机畅通，</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负责人联系方式如有变动必须提前告知</w:t>
            </w:r>
            <w:r>
              <w:rPr>
                <w:rFonts w:hint="eastAsia" w:ascii="仿宋" w:hAnsi="仿宋" w:eastAsia="仿宋" w:cs="仿宋"/>
                <w:color w:val="auto"/>
                <w:kern w:val="0"/>
                <w:lang w:val="en-US" w:eastAsia="zh-CN"/>
              </w:rPr>
              <w:t>采购人</w:t>
            </w:r>
            <w:r>
              <w:rPr>
                <w:rFonts w:hint="eastAsia" w:ascii="仿宋" w:hAnsi="仿宋" w:eastAsia="仿宋" w:cs="仿宋"/>
                <w:color w:val="auto"/>
                <w:kern w:val="0"/>
              </w:rPr>
              <w:t>，不得擅自更换拟派的</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w:t>
            </w:r>
          </w:p>
          <w:p>
            <w:pPr>
              <w:tabs>
                <w:tab w:val="left" w:pos="0"/>
              </w:tabs>
              <w:spacing w:line="240" w:lineRule="auto"/>
              <w:rPr>
                <w:rFonts w:hint="eastAsia" w:ascii="仿宋" w:hAnsi="仿宋" w:eastAsia="仿宋" w:cs="仿宋"/>
                <w:b w:val="0"/>
                <w:bCs w:val="0"/>
                <w:color w:val="auto"/>
                <w:kern w:val="0"/>
              </w:rPr>
            </w:pPr>
            <w:r>
              <w:rPr>
                <w:rFonts w:hint="eastAsia" w:ascii="仿宋" w:hAnsi="仿宋" w:eastAsia="仿宋" w:cs="仿宋"/>
                <w:color w:val="auto"/>
                <w:kern w:val="0"/>
              </w:rPr>
              <w:t>2.</w:t>
            </w:r>
            <w:r>
              <w:rPr>
                <w:rFonts w:hint="eastAsia" w:ascii="仿宋" w:hAnsi="仿宋" w:eastAsia="仿宋" w:cs="仿宋"/>
                <w:color w:val="auto"/>
                <w:kern w:val="0"/>
                <w:lang w:val="en-US" w:eastAsia="zh-CN"/>
              </w:rPr>
              <w:t>2</w:t>
            </w:r>
            <w:r>
              <w:rPr>
                <w:rFonts w:hint="eastAsia" w:ascii="仿宋" w:hAnsi="仿宋" w:eastAsia="仿宋" w:cs="仿宋"/>
                <w:color w:val="auto"/>
                <w:kern w:val="0"/>
              </w:rPr>
              <w:t>中标单位不得擅自施工，由采购人发出相关指令方可施工，施工时应保存好现场影像</w:t>
            </w:r>
            <w:r>
              <w:rPr>
                <w:rFonts w:hint="eastAsia" w:ascii="仿宋" w:hAnsi="仿宋" w:eastAsia="仿宋" w:cs="仿宋"/>
                <w:b w:val="0"/>
                <w:bCs w:val="0"/>
                <w:color w:val="auto"/>
                <w:kern w:val="0"/>
              </w:rPr>
              <w:t>资料，时间、地点、施工前后照片等</w:t>
            </w:r>
            <w:r>
              <w:rPr>
                <w:rFonts w:hint="eastAsia" w:ascii="仿宋" w:hAnsi="仿宋" w:eastAsia="仿宋" w:cs="仿宋"/>
                <w:b w:val="0"/>
                <w:bCs w:val="0"/>
                <w:color w:val="auto"/>
                <w:kern w:val="0"/>
                <w:lang w:val="en-US" w:eastAsia="zh-CN"/>
              </w:rPr>
              <w:t>资料，按建设工程资料存档</w:t>
            </w:r>
            <w:r>
              <w:rPr>
                <w:rFonts w:hint="eastAsia" w:ascii="仿宋" w:hAnsi="仿宋" w:eastAsia="仿宋" w:cs="仿宋"/>
                <w:b w:val="0"/>
                <w:bCs w:val="0"/>
                <w:color w:val="auto"/>
                <w:kern w:val="0"/>
              </w:rPr>
              <w:t>。</w:t>
            </w:r>
          </w:p>
          <w:p>
            <w:pPr>
              <w:tabs>
                <w:tab w:val="left" w:pos="0"/>
              </w:tabs>
              <w:spacing w:line="240" w:lineRule="auto"/>
              <w:rPr>
                <w:rFonts w:hint="eastAsia" w:ascii="仿宋" w:hAnsi="仿宋" w:eastAsia="仿宋" w:cs="仿宋"/>
                <w:b w:val="0"/>
                <w:bCs w:val="0"/>
                <w:color w:val="auto"/>
                <w:kern w:val="0"/>
              </w:rPr>
            </w:pPr>
            <w:r>
              <w:rPr>
                <w:rFonts w:hint="eastAsia" w:ascii="仿宋" w:hAnsi="仿宋" w:eastAsia="仿宋" w:cs="仿宋"/>
                <w:b w:val="0"/>
                <w:bCs w:val="0"/>
                <w:color w:val="auto"/>
                <w:kern w:val="0"/>
              </w:rPr>
              <w:t>2.</w:t>
            </w:r>
            <w:r>
              <w:rPr>
                <w:rFonts w:hint="eastAsia" w:ascii="仿宋" w:hAnsi="仿宋" w:eastAsia="仿宋" w:cs="仿宋"/>
                <w:b w:val="0"/>
                <w:bCs w:val="0"/>
                <w:color w:val="auto"/>
                <w:kern w:val="0"/>
                <w:lang w:val="en-US" w:eastAsia="zh-CN"/>
              </w:rPr>
              <w:t>3</w:t>
            </w:r>
            <w:r>
              <w:rPr>
                <w:rFonts w:hint="eastAsia" w:ascii="仿宋" w:hAnsi="仿宋" w:eastAsia="仿宋" w:cs="仿宋"/>
                <w:b w:val="0"/>
                <w:bCs w:val="0"/>
                <w:color w:val="auto"/>
                <w:kern w:val="0"/>
              </w:rPr>
              <w:t>施工完成后，中标单位应配合采购人复核工程量，双方签字确认。</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b w:val="0"/>
                <w:bCs w:val="0"/>
                <w:color w:val="auto"/>
                <w:kern w:val="0"/>
              </w:rPr>
              <w:t>2.</w:t>
            </w:r>
            <w:r>
              <w:rPr>
                <w:rFonts w:hint="eastAsia" w:ascii="仿宋" w:hAnsi="仿宋" w:eastAsia="仿宋" w:cs="仿宋"/>
                <w:b w:val="0"/>
                <w:bCs w:val="0"/>
                <w:color w:val="auto"/>
                <w:kern w:val="0"/>
                <w:lang w:val="en-US" w:eastAsia="zh-CN"/>
              </w:rPr>
              <w:t>4</w:t>
            </w:r>
            <w:r>
              <w:rPr>
                <w:rFonts w:hint="eastAsia" w:ascii="仿宋" w:hAnsi="仿宋" w:eastAsia="仿宋" w:cs="仿宋"/>
                <w:color w:val="auto"/>
                <w:kern w:val="0"/>
                <w:lang w:val="en-US" w:eastAsia="zh-CN"/>
              </w:rPr>
              <w:t>中标人</w:t>
            </w:r>
            <w:r>
              <w:rPr>
                <w:rFonts w:hint="eastAsia" w:ascii="仿宋" w:hAnsi="仿宋" w:eastAsia="仿宋" w:cs="仿宋"/>
                <w:b w:val="0"/>
                <w:bCs w:val="0"/>
                <w:color w:val="auto"/>
                <w:kern w:val="0"/>
              </w:rPr>
              <w:t>必须为拟派的所有施工人员办理意外伤害保险，施工过程中因</w:t>
            </w:r>
            <w:r>
              <w:rPr>
                <w:rFonts w:hint="eastAsia" w:ascii="仿宋" w:hAnsi="仿宋" w:eastAsia="仿宋" w:cs="仿宋"/>
                <w:color w:val="auto"/>
                <w:kern w:val="0"/>
              </w:rPr>
              <w:t>操作不当等引起的安全责任，以及给第三方造成的损失，均由</w:t>
            </w:r>
            <w:r>
              <w:rPr>
                <w:rFonts w:hint="eastAsia" w:ascii="仿宋" w:hAnsi="仿宋" w:eastAsia="仿宋" w:cs="仿宋"/>
                <w:color w:val="auto"/>
                <w:kern w:val="0"/>
                <w:lang w:val="en-US" w:eastAsia="zh-CN"/>
              </w:rPr>
              <w:t>中标人</w:t>
            </w:r>
            <w:r>
              <w:rPr>
                <w:rFonts w:hint="eastAsia" w:ascii="仿宋" w:hAnsi="仿宋" w:eastAsia="仿宋" w:cs="仿宋"/>
                <w:color w:val="auto"/>
                <w:kern w:val="0"/>
              </w:rPr>
              <w:t>承担。</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3施工现场</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3.1封闭原则：根据现场实际情况，对需要进行封闭施工的区域，根据交警、城管、市政等相关部门要求做好安全围护措施，提前办理相关审批程序；</w:t>
            </w:r>
          </w:p>
          <w:p>
            <w:pPr>
              <w:pStyle w:val="26"/>
              <w:spacing w:line="240" w:lineRule="auto"/>
              <w:rPr>
                <w:rFonts w:hint="eastAsia"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rPr>
              <w:t>3.2应使用规格、材质等符合采购人要求的安全围护。</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3.3到达现场必须第一时间设置警示牌、隔离带，摆放位置要明显并安全可靠，并由采购人确认后，方可进场施工；</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3.4施工人员必须</w:t>
            </w:r>
            <w:r>
              <w:rPr>
                <w:rFonts w:hint="eastAsia" w:ascii="仿宋" w:hAnsi="仿宋" w:eastAsia="仿宋" w:cs="仿宋"/>
                <w:color w:val="auto"/>
                <w:kern w:val="0"/>
                <w:lang w:val="en-US" w:eastAsia="zh-CN"/>
              </w:rPr>
              <w:t>配</w:t>
            </w:r>
            <w:r>
              <w:rPr>
                <w:rFonts w:hint="eastAsia" w:ascii="仿宋" w:hAnsi="仿宋" w:eastAsia="仿宋" w:cs="仿宋"/>
                <w:color w:val="auto"/>
                <w:kern w:val="0"/>
              </w:rPr>
              <w:t>安全</w:t>
            </w:r>
            <w:r>
              <w:rPr>
                <w:rFonts w:hint="eastAsia" w:ascii="仿宋" w:hAnsi="仿宋" w:eastAsia="仿宋" w:cs="仿宋"/>
                <w:color w:val="auto"/>
                <w:kern w:val="0"/>
                <w:lang w:val="en-US" w:eastAsia="zh-CN"/>
              </w:rPr>
              <w:t>防护措施</w:t>
            </w:r>
            <w:r>
              <w:rPr>
                <w:rFonts w:hint="eastAsia" w:ascii="仿宋" w:hAnsi="仿宋" w:eastAsia="仿宋" w:cs="仿宋"/>
                <w:color w:val="auto"/>
                <w:kern w:val="0"/>
              </w:rPr>
              <w:t>按规范实施作业；</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4技术要求及标准</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4.1质量目标：合格。</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4.2施工质量应严格依照国家现行的施工相关规范以及采购人要求施工，施工质量必须经相关部门及采购人验收合格，否则中标</w:t>
            </w:r>
            <w:r>
              <w:rPr>
                <w:rFonts w:hint="eastAsia" w:ascii="仿宋" w:hAnsi="仿宋" w:eastAsia="仿宋" w:cs="仿宋"/>
                <w:color w:val="auto"/>
                <w:kern w:val="0"/>
                <w:lang w:val="en-US" w:eastAsia="zh-CN"/>
              </w:rPr>
              <w:t>人</w:t>
            </w:r>
            <w:r>
              <w:rPr>
                <w:rFonts w:hint="eastAsia" w:ascii="仿宋" w:hAnsi="仿宋" w:eastAsia="仿宋" w:cs="仿宋"/>
                <w:color w:val="auto"/>
                <w:kern w:val="0"/>
              </w:rPr>
              <w:t>必须无条件承担返工费用及其他相关损失费用。</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4.3提供的施工服务应标明所执行的质量标准，若同一标准已颁发新标准，则按最新标准执行。若同一服务同时有几个标准（国际标准、国家标准、行业标准、企业标准等），则按最高层次的标准执行。</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4.4须按国家现行有关规定及标准完成本次采购施工、调试、检验、通过有关部门验收、维保期服务等各项工作，并保证施工质量使用的安全性能与检测结果的可靠性。对施工质量使用的安全性能与可靠性负全部责任。</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5设备的到货及验收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5.1设备到达现场</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设备到达现场后，成交供应商必须派员到现场与采购人一起开箱检验，按供货清单验收,若有缺少或损坏，成交供应商应立即补足或更换全新同规格产品，并承担相关费用直至使采购人满意为止。</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5.2验收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项目所有采购内容完成后，并经检验合格，所有的技术资料和图纸已向采购人提交，验收视为合格，双方签署验收合格证书。若因成交供应商产品质量问题导致验收不合格，成交供应商应及时予以处理，直至验收合格，期间发生的一切相关费用由供应商承担，采购人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若因成交供应商产品质量问题导致产品始终不能验收合格，采购人有权选择退货，并保留向成交供应商索赔的权利。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成交供应商在设备到货和验收期间应接受采购人的协调和管理，成交供应商应采取严格的安全措施，承担由于自身原因所造成的事故责任及其发生的一切费用。</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5.3设备交货同时提供下列资料：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5.3.1档案资料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货物的档案资料，包括：货物的数量、型号、规格、生产厂家的产品检测证书、合格证书、产品说明书等有关资料。货物开箱后的全部随机资料归采购人所有。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5.3.2技术资料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5.3.2.1设备相关图纸，安装说明。</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5.3.2.2随机的易损件、备品备件及特殊专用工具清单。</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5.3.2.3设备生产厂家的产品检测证书、出厂检验报告、合格证书、产品说明书、中文技术资料、中文操作手册和相关图纸等。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5.3.2.4设备随机提供的装箱清单（每箱一单）。</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6设备质量保证和标准</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6.1质保期限：交付使用后12个月。</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6.2产品的设计及制造质量均应符合国家（或国际）最新颁布的有关标准/规范要求。</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6.3技术标准按国家最新颁布的标准及采购人认可的国际标准。</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6.4凡需国家强制性认证或认可的产品、需提供相应的证书和认可的标志。</w:t>
            </w:r>
          </w:p>
          <w:p>
            <w:pPr>
              <w:tabs>
                <w:tab w:val="left" w:pos="0"/>
              </w:tabs>
              <w:spacing w:line="240" w:lineRule="auto"/>
              <w:rPr>
                <w:rFonts w:hint="eastAsia" w:ascii="仿宋" w:hAnsi="仿宋" w:eastAsia="仿宋" w:cs="仿宋"/>
                <w:b/>
                <w:color w:val="auto"/>
                <w:sz w:val="28"/>
                <w:szCs w:val="28"/>
                <w:lang w:val="en-US" w:eastAsia="zh-CN"/>
              </w:rPr>
            </w:pPr>
            <w:r>
              <w:rPr>
                <w:rFonts w:hint="eastAsia" w:ascii="仿宋" w:hAnsi="仿宋" w:eastAsia="仿宋" w:cs="仿宋"/>
                <w:color w:val="auto"/>
                <w:kern w:val="0"/>
                <w:lang w:val="en-US" w:eastAsia="zh-CN"/>
              </w:rPr>
              <w:t>6.5成交供应商所提供的设备在质保期内（12个月）应建立互信机制，明确维修保养日期，定期上门例行检查和回访，并建立相关档案，在投标文件中明确检查和回访具体措施。保修期满后，成交供应商应与采购人建立长期的维修保养合作关系，提供终身优质服务，并在更换配件上给予优惠，同时在投标文件中做出承诺。</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7安全要求</w:t>
            </w:r>
          </w:p>
          <w:p>
            <w:pPr>
              <w:spacing w:line="240" w:lineRule="auto"/>
              <w:rPr>
                <w:rFonts w:hint="eastAsia" w:ascii="仿宋" w:hAnsi="仿宋" w:eastAsia="仿宋" w:cs="仿宋"/>
                <w:color w:val="auto"/>
                <w:kern w:val="0"/>
                <w:lang w:val="en-US" w:eastAsia="zh-CN"/>
              </w:rPr>
            </w:pPr>
            <w:r>
              <w:rPr>
                <w:rFonts w:hint="eastAsia" w:ascii="仿宋" w:hAnsi="仿宋" w:eastAsia="仿宋" w:cs="仿宋"/>
                <w:color w:val="auto"/>
                <w:szCs w:val="24"/>
              </w:rPr>
              <w:t>必须按国家有关规定，切实落实各项安全技术措施，确保</w:t>
            </w:r>
            <w:r>
              <w:rPr>
                <w:rFonts w:hint="eastAsia" w:ascii="仿宋" w:hAnsi="仿宋" w:eastAsia="仿宋" w:cs="仿宋"/>
                <w:color w:val="auto"/>
                <w:szCs w:val="24"/>
                <w:lang w:val="en-US" w:eastAsia="zh-CN"/>
              </w:rPr>
              <w:t>设备安装调试及</w:t>
            </w:r>
            <w:r>
              <w:rPr>
                <w:rFonts w:hint="eastAsia" w:ascii="仿宋" w:hAnsi="仿宋" w:eastAsia="仿宋" w:cs="仿宋"/>
                <w:color w:val="auto"/>
                <w:szCs w:val="24"/>
              </w:rPr>
              <w:t>施工现场的安全生产和文明施工。在</w:t>
            </w:r>
            <w:r>
              <w:rPr>
                <w:rFonts w:hint="eastAsia" w:ascii="仿宋" w:hAnsi="仿宋" w:eastAsia="仿宋" w:cs="仿宋"/>
                <w:color w:val="auto"/>
                <w:szCs w:val="24"/>
                <w:lang w:val="en-US" w:eastAsia="zh-CN"/>
              </w:rPr>
              <w:t>设备安装调试</w:t>
            </w:r>
            <w:r>
              <w:rPr>
                <w:rFonts w:hint="eastAsia" w:ascii="仿宋" w:hAnsi="仿宋" w:eastAsia="仿宋" w:cs="仿宋"/>
                <w:color w:val="auto"/>
                <w:szCs w:val="24"/>
              </w:rPr>
              <w:t>施工过程中由于承包人原因而发生的人身伤亡、财产损失及其它一切事故，其责任全部由</w:t>
            </w:r>
            <w:r>
              <w:rPr>
                <w:rFonts w:hint="eastAsia" w:ascii="仿宋" w:hAnsi="仿宋" w:eastAsia="仿宋" w:cs="仿宋"/>
                <w:color w:val="auto"/>
                <w:szCs w:val="24"/>
                <w:lang w:val="en-US" w:eastAsia="zh-CN"/>
              </w:rPr>
              <w:t>中标人</w:t>
            </w:r>
            <w:r>
              <w:rPr>
                <w:rFonts w:hint="eastAsia" w:ascii="仿宋" w:hAnsi="仿宋" w:eastAsia="仿宋" w:cs="仿宋"/>
                <w:color w:val="auto"/>
                <w:szCs w:val="24"/>
              </w:rPr>
              <w:t>承担。</w:t>
            </w:r>
          </w:p>
        </w:tc>
      </w:tr>
    </w:tbl>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4"/>
      <w:r>
        <w:rPr>
          <w:rFonts w:hint="eastAsia" w:ascii="仿宋" w:hAnsi="仿宋" w:eastAsia="仿宋" w:cs="仿宋"/>
          <w:b/>
          <w:color w:val="auto"/>
          <w:sz w:val="36"/>
          <w:szCs w:val="20"/>
        </w:rPr>
        <w:t xml:space="preserve"> </w:t>
      </w:r>
      <w:bookmarkEnd w:id="395"/>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tabs>
          <w:tab w:val="left" w:pos="1024"/>
        </w:tabs>
        <w:bidi w:val="0"/>
        <w:rPr>
          <w:rFonts w:hint="eastAsia" w:ascii="仿宋" w:hAnsi="仿宋" w:eastAsia="仿宋" w:cs="仿宋"/>
          <w:color w:val="auto"/>
          <w:lang w:eastAsia="zh-CN"/>
        </w:rPr>
      </w:pPr>
    </w:p>
    <w:p>
      <w:pPr>
        <w:snapToGrid w:val="0"/>
        <w:spacing w:line="360" w:lineRule="auto"/>
        <w:ind w:right="-50" w:rightChars="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"http://www.creditchina.gov.cn"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www.creditchina.gov.cn</w:t>
      </w:r>
      <w:r>
        <w:rPr>
          <w:rFonts w:hint="eastAsia" w:ascii="仿宋" w:hAnsi="仿宋" w:eastAsia="仿宋" w:cs="仿宋"/>
          <w:color w:val="auto"/>
          <w:sz w:val="24"/>
        </w:rPr>
        <w:fldChar w:fldCharType="end"/>
      </w:r>
      <w:r>
        <w:rPr>
          <w:rFonts w:hint="eastAsia" w:ascii="仿宋" w:hAnsi="仿宋" w:eastAsia="仿宋" w:cs="仿宋"/>
          <w:color w:val="auto"/>
          <w:sz w:val="24"/>
        </w:rPr>
        <w:t>)、中国政府采购网（</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"http://www.ccgp.gov.cn"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www.ccgp.gov.cn</w:t>
      </w:r>
      <w:r>
        <w:rPr>
          <w:rFonts w:hint="eastAsia" w:ascii="仿宋" w:hAnsi="仿宋" w:eastAsia="仿宋" w:cs="仿宋"/>
          <w:color w:val="auto"/>
          <w:sz w:val="24"/>
        </w:rPr>
        <w:fldChar w:fldCharType="end"/>
      </w:r>
      <w:r>
        <w:rPr>
          <w:rFonts w:hint="eastAsia" w:ascii="仿宋" w:hAnsi="仿宋" w:eastAsia="仿宋" w:cs="仿宋"/>
          <w:color w:val="auto"/>
          <w:sz w:val="24"/>
        </w:rPr>
        <w:t>）列入失信被执行人、重大税收违法案件当事人名单、政府采购严重违法失信行为记录名单。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spacing w:line="360" w:lineRule="auto"/>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758"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655"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655"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861"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pPr>
        <w:snapToGrid w:val="0"/>
        <w:spacing w:line="360" w:lineRule="auto"/>
        <w:ind w:left="5861" w:leftChars="342" w:hanging="5040" w:hangingChars="2100"/>
        <w:rPr>
          <w:rFonts w:ascii="仿宋_GB2312" w:hAnsi="仿宋" w:eastAsia="仿宋_GB2312" w:cs="仿宋_GB2312"/>
          <w:kern w:val="0"/>
          <w:sz w:val="24"/>
          <w:lang w:val="zh-CN"/>
        </w:rPr>
      </w:pPr>
    </w:p>
    <w:p>
      <w:pPr>
        <w:snapToGrid w:val="0"/>
        <w:spacing w:line="360" w:lineRule="auto"/>
        <w:ind w:left="5861" w:leftChars="342" w:hanging="5040" w:hangingChars="2100"/>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jc w:val="both"/>
        <w:rPr>
          <w:rFonts w:hint="eastAsia" w:ascii="仿宋" w:hAnsi="仿宋" w:eastAsia="仿宋" w:cs="仿宋"/>
          <w:b/>
          <w:color w:val="auto"/>
          <w:kern w:val="0"/>
          <w:sz w:val="32"/>
          <w:szCs w:val="32"/>
        </w:rPr>
      </w:pPr>
    </w:p>
    <w:p>
      <w:pPr>
        <w:pStyle w:val="2"/>
        <w:rPr>
          <w:rFonts w:hint="eastAsia"/>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547"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r>
        <w:rPr>
          <w:rFonts w:hint="eastAsia" w:ascii="仿宋" w:hAnsi="仿宋" w:eastAsia="仿宋" w:cs="仿宋"/>
          <w:color w:val="auto"/>
        </w:rPr>
        <w:t>……………………………………………………………（页码）</w:t>
      </w:r>
    </w:p>
    <w:p>
      <w:pPr>
        <w:snapToGrid w:val="0"/>
        <w:spacing w:line="360" w:lineRule="auto"/>
        <w:ind w:left="547" w:leftChars="228"/>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547" w:leftChars="228"/>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r>
        <w:rPr>
          <w:rFonts w:hint="eastAsia" w:ascii="仿宋" w:hAnsi="仿宋" w:eastAsia="仿宋" w:cs="仿宋"/>
          <w:color w:val="auto"/>
        </w:rPr>
        <w:t>……………………………………………………………（页码）</w:t>
      </w:r>
    </w:p>
    <w:p>
      <w:pPr>
        <w:snapToGrid w:val="0"/>
        <w:spacing w:line="360" w:lineRule="auto"/>
        <w:ind w:left="547"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240" w:lineRule="auto"/>
        <w:rPr>
          <w:rFonts w:hint="eastAsia" w:ascii="仿宋" w:hAnsi="仿宋" w:eastAsia="仿宋" w:cs="仿宋"/>
          <w:color w:val="auto"/>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sz w:val="24"/>
        </w:rPr>
        <w:t>：</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】招标的有关活动，并对此项目进行投标。为此：</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240" w:lineRule="auto"/>
        <w:ind w:left="24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2.2.3联合协议（如果有）；</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2.2.5符合性审查资料；</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240" w:lineRule="auto"/>
        <w:ind w:left="48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numPr>
          <w:ilvl w:val="0"/>
          <w:numId w:val="1"/>
        </w:num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numPr>
          <w:ilvl w:val="0"/>
          <w:numId w:val="0"/>
        </w:numPr>
        <w:snapToGrid w:val="0"/>
        <w:spacing w:line="240" w:lineRule="auto"/>
        <w:rPr>
          <w:rFonts w:hint="eastAsia" w:ascii="仿宋" w:hAnsi="仿宋" w:eastAsia="仿宋" w:cs="仿宋"/>
          <w:color w:val="auto"/>
          <w:sz w:val="24"/>
        </w:rPr>
      </w:pPr>
    </w:p>
    <w:p>
      <w:pPr>
        <w:spacing w:line="240" w:lineRule="auto"/>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240" w:lineRule="auto"/>
        <w:jc w:val="both"/>
        <w:rPr>
          <w:rFonts w:hint="eastAsia" w:ascii="仿宋" w:hAnsi="仿宋" w:eastAsia="仿宋" w:cs="仿宋"/>
          <w:color w:val="auto"/>
          <w:sz w:val="24"/>
        </w:rPr>
      </w:pPr>
      <w:r>
        <w:rPr>
          <w:rFonts w:hint="eastAsia" w:ascii="仿宋" w:hAnsi="仿宋" w:eastAsia="仿宋" w:cs="仿宋"/>
          <w:color w:val="auto"/>
          <w:sz w:val="24"/>
        </w:rPr>
        <w:t xml:space="preserve">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签发日期：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bidi w:val="0"/>
        <w:rPr>
          <w:rFonts w:hint="eastAsia" w:ascii="仿宋" w:hAnsi="仿宋" w:eastAsia="仿宋" w:cs="仿宋"/>
          <w:color w:val="auto"/>
        </w:rPr>
      </w:pP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48"/>
              <w:adjustRightInd w:val="0"/>
              <w:spacing w:line="360" w:lineRule="auto"/>
              <w:rPr>
                <w:rFonts w:hint="eastAsia" w:ascii="仿宋" w:hAnsi="仿宋" w:eastAsia="仿宋" w:cs="仿宋"/>
                <w:bCs/>
                <w:color w:val="auto"/>
                <w:sz w:val="24"/>
              </w:rPr>
            </w:pPr>
          </w:p>
        </w:tc>
      </w:tr>
    </w:tbl>
    <w:p>
      <w:pPr>
        <w:snapToGrid w:val="0"/>
        <w:spacing w:line="360" w:lineRule="auto"/>
        <w:jc w:val="both"/>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pacing w:line="360" w:lineRule="auto"/>
        <w:jc w:val="both"/>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三</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655" w:leftChars="273"/>
        <w:rPr>
          <w:rFonts w:hint="eastAsia" w:ascii="仿宋" w:hAnsi="仿宋" w:eastAsia="仿宋" w:cs="仿宋"/>
          <w:color w:val="auto"/>
          <w:kern w:val="0"/>
          <w:sz w:val="24"/>
          <w:lang w:val="en-US" w:eastAsia="zh-CN"/>
        </w:rPr>
      </w:pPr>
      <w:r>
        <w:rPr>
          <w:rFonts w:hint="eastAsia" w:ascii="仿宋" w:hAnsi="仿宋" w:eastAsia="仿宋" w:cs="仿宋"/>
          <w:color w:val="auto"/>
          <w:u w:val="single"/>
        </w:rPr>
        <w:t xml:space="preserve">                                                                      </w:t>
      </w:r>
    </w:p>
    <w:p>
      <w:pPr>
        <w:snapToGrid w:val="0"/>
        <w:spacing w:line="360" w:lineRule="auto"/>
        <w:ind w:left="655"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en-US" w:eastAsia="zh-CN"/>
        </w:rPr>
      </w:pP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bidi w:val="0"/>
        <w:rPr>
          <w:rFonts w:hint="eastAsia" w:ascii="仿宋" w:hAnsi="仿宋" w:eastAsia="仿宋" w:cs="仿宋"/>
          <w:color w:val="auto"/>
          <w:lang w:val="zh-CN"/>
        </w:rPr>
      </w:pP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四</w:t>
      </w:r>
      <w:r>
        <w:rPr>
          <w:rFonts w:hint="eastAsia" w:ascii="仿宋" w:hAnsi="仿宋" w:eastAsia="仿宋" w:cs="仿宋"/>
          <w:b/>
          <w:color w:val="auto"/>
          <w:kern w:val="0"/>
          <w:sz w:val="32"/>
          <w:szCs w:val="32"/>
        </w:rPr>
        <w:t>、符合性审查资料</w:t>
      </w:r>
    </w:p>
    <w:p>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pStyle w:val="2"/>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4</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lang w:eastAsia="zh-CN"/>
        </w:rPr>
        <w:t>五</w:t>
      </w:r>
      <w:r>
        <w:rPr>
          <w:rFonts w:hint="eastAsia" w:ascii="仿宋" w:hAnsi="仿宋" w:eastAsia="仿宋" w:cs="仿宋"/>
          <w:b/>
          <w:color w:val="auto"/>
          <w:kern w:val="0"/>
          <w:sz w:val="32"/>
          <w:szCs w:val="32"/>
        </w:rPr>
        <w:t>、评标标准相应的商务技术资料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六</w:t>
      </w:r>
      <w:r>
        <w:rPr>
          <w:rFonts w:hint="eastAsia" w:ascii="仿宋" w:hAnsi="仿宋" w:eastAsia="仿宋" w:cs="仿宋"/>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480" w:lineRule="auto"/>
        <w:ind w:firstLine="1911" w:firstLineChars="595"/>
        <w:rPr>
          <w:rFonts w:hint="eastAsia" w:ascii="仿宋" w:hAnsi="仿宋" w:eastAsia="仿宋" w:cs="仿宋"/>
          <w:color w:val="auto"/>
          <w:sz w:val="24"/>
        </w:rPr>
      </w:pPr>
      <w:r>
        <w:rPr>
          <w:rFonts w:hint="eastAsia" w:ascii="仿宋" w:hAnsi="仿宋" w:eastAsia="仿宋" w:cs="仿宋"/>
          <w:b/>
          <w:color w:val="auto"/>
          <w:kern w:val="0"/>
          <w:sz w:val="32"/>
          <w:szCs w:val="32"/>
          <w:lang w:eastAsia="zh-CN"/>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550"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550"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right="112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jc w:val="both"/>
        <w:rPr>
          <w:rFonts w:hint="eastAsia" w:ascii="仿宋" w:hAnsi="仿宋" w:eastAsia="仿宋" w:cs="仿宋"/>
          <w:color w:val="auto"/>
        </w:rPr>
      </w:pPr>
    </w:p>
    <w:p>
      <w:pPr>
        <w:bidi w:val="0"/>
        <w:rPr>
          <w:rFonts w:hint="eastAsia" w:ascii="仿宋" w:hAnsi="仿宋" w:eastAsia="仿宋" w:cs="仿宋"/>
          <w:color w:val="auto"/>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开标一览表（</w:t>
      </w:r>
      <w:r>
        <w:rPr>
          <w:rFonts w:hint="eastAsia" w:ascii="仿宋" w:hAnsi="仿宋" w:eastAsia="仿宋" w:cs="仿宋"/>
          <w:color w:val="auto"/>
          <w:sz w:val="24"/>
          <w:lang w:val="en-US" w:eastAsia="zh-CN"/>
        </w:rPr>
        <w:t>报价函</w:t>
      </w:r>
      <w:r>
        <w:rPr>
          <w:rFonts w:hint="eastAsia" w:ascii="仿宋" w:hAnsi="仿宋" w:eastAsia="仿宋" w:cs="仿宋"/>
          <w:color w:val="auto"/>
          <w:sz w:val="24"/>
        </w:rPr>
        <w:t>）………………………………………………………（页码）</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工程量清单报价说明（格式自拟）</w:t>
      </w:r>
      <w:r>
        <w:rPr>
          <w:rFonts w:hint="eastAsia" w:ascii="仿宋" w:hAnsi="仿宋" w:eastAsia="仿宋" w:cs="仿宋"/>
          <w:color w:val="auto"/>
          <w:sz w:val="24"/>
        </w:rPr>
        <w:t>…………………………………………（页码）</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清单报价表（组织措施、技术措施、安全文明施工措施、其他项目由投标人根据项目情况自行填报、格式不限）</w:t>
      </w:r>
      <w:r>
        <w:rPr>
          <w:rFonts w:hint="eastAsia" w:ascii="仿宋" w:hAnsi="仿宋" w:eastAsia="仿宋" w:cs="仿宋"/>
          <w:color w:val="auto"/>
          <w:sz w:val="24"/>
        </w:rPr>
        <w:t>…………………………………………………………（页码）</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主要材料及设备价格表</w:t>
      </w:r>
      <w:r>
        <w:rPr>
          <w:rFonts w:hint="eastAsia" w:ascii="仿宋" w:hAnsi="仿宋" w:eastAsia="仿宋" w:cs="仿宋"/>
          <w:color w:val="auto"/>
          <w:sz w:val="24"/>
        </w:rPr>
        <w:t>………………………………………………………（页码）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）中小企业声明函………………………………………………………………（页码）</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pStyle w:val="690"/>
        <w:keepNext w:val="0"/>
        <w:pageBreakBefore w:val="0"/>
        <w:tabs>
          <w:tab w:val="clear" w:pos="720"/>
        </w:tabs>
        <w:snapToGrid w:val="0"/>
        <w:spacing w:before="120" w:after="120"/>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一、</w:t>
      </w:r>
      <w:r>
        <w:rPr>
          <w:rFonts w:hint="eastAsia" w:ascii="仿宋" w:hAnsi="仿宋" w:eastAsia="仿宋" w:cs="仿宋"/>
          <w:color w:val="auto"/>
          <w:kern w:val="2"/>
          <w:sz w:val="32"/>
          <w:szCs w:val="32"/>
        </w:rPr>
        <w:t>开标一览表（报价</w:t>
      </w:r>
      <w:r>
        <w:rPr>
          <w:rFonts w:hint="eastAsia" w:ascii="仿宋" w:hAnsi="仿宋" w:eastAsia="仿宋" w:cs="仿宋"/>
          <w:color w:val="auto"/>
          <w:kern w:val="2"/>
          <w:sz w:val="32"/>
          <w:szCs w:val="32"/>
          <w:lang w:eastAsia="zh-CN"/>
        </w:rPr>
        <w:t>函</w:t>
      </w:r>
      <w:r>
        <w:rPr>
          <w:rFonts w:hint="eastAsia" w:ascii="仿宋" w:hAnsi="仿宋" w:eastAsia="仿宋" w:cs="仿宋"/>
          <w:color w:val="auto"/>
          <w:kern w:val="2"/>
          <w:sz w:val="32"/>
          <w:szCs w:val="32"/>
        </w:rPr>
        <w:t>）</w:t>
      </w:r>
    </w:p>
    <w:p>
      <w:pPr>
        <w:snapToGrid w:val="0"/>
        <w:spacing w:line="360" w:lineRule="auto"/>
        <w:rPr>
          <w:rFonts w:hint="eastAsia" w:ascii="仿宋" w:hAnsi="仿宋" w:eastAsia="仿宋" w:cs="仿宋"/>
          <w:color w:val="auto"/>
          <w:u w:val="single"/>
        </w:rPr>
      </w:pPr>
      <w:r>
        <w:rPr>
          <w:rFonts w:hint="eastAsia" w:ascii="仿宋" w:hAnsi="仿宋" w:eastAsia="仿宋" w:cs="仿宋"/>
          <w:color w:val="auto"/>
          <w:u w:val="single"/>
          <w:lang w:eastAsia="zh-CN"/>
        </w:rPr>
        <w:t>致：</w:t>
      </w:r>
      <w:r>
        <w:rPr>
          <w:rFonts w:hint="eastAsia" w:ascii="仿宋" w:hAnsi="仿宋" w:eastAsia="仿宋" w:cs="仿宋"/>
          <w:color w:val="auto"/>
          <w:u w:val="single"/>
        </w:rPr>
        <w:t>桐庐县市政园林建设管理处</w:t>
      </w:r>
    </w:p>
    <w:p>
      <w:pPr>
        <w:autoSpaceDE w:val="0"/>
        <w:autoSpaceDN w:val="0"/>
        <w:spacing w:line="360" w:lineRule="auto"/>
        <w:jc w:val="left"/>
        <w:rPr>
          <w:rFonts w:hint="eastAsia" w:ascii="仿宋" w:hAnsi="仿宋" w:eastAsia="仿宋" w:cs="仿宋"/>
          <w:color w:val="auto"/>
          <w:kern w:val="0"/>
          <w:lang w:val="zh-CN"/>
        </w:rPr>
      </w:pPr>
      <w:r>
        <w:rPr>
          <w:rFonts w:hint="eastAsia" w:ascii="仿宋" w:hAnsi="仿宋" w:eastAsia="仿宋" w:cs="仿宋"/>
          <w:color w:val="auto"/>
          <w:kern w:val="0"/>
          <w:lang w:val="zh-CN"/>
        </w:rPr>
        <w:t>1、根据已收到贵方关于</w:t>
      </w:r>
      <w:r>
        <w:rPr>
          <w:rFonts w:hint="eastAsia" w:ascii="仿宋" w:hAnsi="仿宋" w:eastAsia="仿宋" w:cs="仿宋"/>
          <w:color w:val="auto"/>
          <w:kern w:val="0"/>
          <w:u w:val="single"/>
          <w:lang w:val="zh-CN"/>
        </w:rPr>
        <w:t>桐庐县桥梁安全设施采购及隧道维护项目</w:t>
      </w:r>
      <w:r>
        <w:rPr>
          <w:rFonts w:hint="eastAsia" w:ascii="仿宋" w:hAnsi="仿宋" w:eastAsia="仿宋" w:cs="仿宋"/>
          <w:color w:val="auto"/>
          <w:kern w:val="0"/>
          <w:lang w:val="zh-CN"/>
        </w:rPr>
        <w:t>的询价函，遵照有关规定，我单位经考察现场和研究上述询价函后，我方愿以</w:t>
      </w:r>
      <w:r>
        <w:rPr>
          <w:rFonts w:hint="eastAsia" w:ascii="仿宋" w:hAnsi="仿宋" w:eastAsia="仿宋" w:cs="仿宋"/>
          <w:color w:val="auto"/>
          <w:kern w:val="0"/>
          <w:lang w:val="en-US" w:eastAsia="zh-CN"/>
        </w:rPr>
        <w:t>大写：</w:t>
      </w:r>
      <w:r>
        <w:rPr>
          <w:rFonts w:hint="eastAsia" w:ascii="仿宋" w:hAnsi="仿宋" w:eastAsia="仿宋" w:cs="仿宋"/>
          <w:color w:val="auto"/>
          <w:kern w:val="0"/>
          <w:u w:val="single"/>
          <w:lang w:val="en-US" w:eastAsia="zh-CN"/>
        </w:rPr>
        <w:t xml:space="preserve">                      </w:t>
      </w:r>
      <w:r>
        <w:rPr>
          <w:rFonts w:hint="eastAsia" w:ascii="仿宋" w:hAnsi="仿宋" w:eastAsia="仿宋" w:cs="仿宋"/>
          <w:color w:val="auto"/>
          <w:kern w:val="0"/>
          <w:u w:val="none"/>
          <w:lang w:val="en-US" w:eastAsia="zh-CN"/>
        </w:rPr>
        <w:t>小写：</w:t>
      </w:r>
      <w:r>
        <w:rPr>
          <w:rFonts w:hint="eastAsia" w:ascii="仿宋" w:hAnsi="仿宋" w:eastAsia="仿宋" w:cs="仿宋"/>
          <w:color w:val="auto"/>
          <w:kern w:val="0"/>
          <w:u w:val="single"/>
          <w:lang w:val="en-US" w:eastAsia="zh-CN"/>
        </w:rPr>
        <w:t xml:space="preserve">                            </w:t>
      </w:r>
      <w:r>
        <w:rPr>
          <w:rFonts w:hint="eastAsia" w:ascii="仿宋" w:hAnsi="仿宋" w:eastAsia="仿宋" w:cs="仿宋"/>
          <w:color w:val="auto"/>
          <w:kern w:val="0"/>
          <w:lang w:val="zh-CN"/>
        </w:rPr>
        <w:t>投标报价，施工工期为</w:t>
      </w:r>
      <w:r>
        <w:rPr>
          <w:rFonts w:hint="eastAsia" w:ascii="仿宋" w:hAnsi="仿宋" w:eastAsia="仿宋" w:cs="仿宋"/>
          <w:color w:val="auto"/>
          <w:kern w:val="0"/>
          <w:u w:val="single"/>
          <w:lang w:val="en-US" w:eastAsia="zh-CN"/>
        </w:rPr>
        <w:t>30</w:t>
      </w:r>
      <w:r>
        <w:rPr>
          <w:rFonts w:hint="eastAsia" w:ascii="仿宋" w:hAnsi="仿宋" w:eastAsia="仿宋" w:cs="仿宋"/>
          <w:color w:val="auto"/>
          <w:kern w:val="0"/>
          <w:lang w:val="en-US" w:eastAsia="zh-CN"/>
        </w:rPr>
        <w:t>日历天</w:t>
      </w:r>
      <w:r>
        <w:rPr>
          <w:rFonts w:hint="eastAsia" w:ascii="仿宋" w:hAnsi="仿宋" w:eastAsia="仿宋" w:cs="仿宋"/>
          <w:color w:val="auto"/>
          <w:kern w:val="0"/>
          <w:lang w:val="zh-CN"/>
        </w:rPr>
        <w:t>，</w:t>
      </w:r>
      <w:r>
        <w:rPr>
          <w:rFonts w:hint="eastAsia" w:ascii="仿宋" w:hAnsi="仿宋" w:eastAsia="仿宋" w:cs="仿宋"/>
          <w:color w:val="auto"/>
          <w:kern w:val="0"/>
          <w:lang w:val="en-US" w:eastAsia="zh-CN"/>
        </w:rPr>
        <w:t>质保期：</w:t>
      </w:r>
      <w:r>
        <w:rPr>
          <w:rFonts w:hint="eastAsia" w:ascii="仿宋" w:hAnsi="仿宋" w:eastAsia="仿宋" w:cs="仿宋"/>
          <w:color w:val="auto"/>
          <w:kern w:val="0"/>
          <w:u w:val="single"/>
          <w:lang w:val="en-US" w:eastAsia="zh-CN"/>
        </w:rPr>
        <w:t>1</w:t>
      </w:r>
      <w:r>
        <w:rPr>
          <w:rFonts w:hint="eastAsia" w:ascii="仿宋" w:hAnsi="仿宋" w:eastAsia="仿宋" w:cs="仿宋"/>
          <w:color w:val="auto"/>
          <w:kern w:val="0"/>
          <w:u w:val="none"/>
          <w:lang w:val="en-US" w:eastAsia="zh-CN"/>
        </w:rPr>
        <w:t>年</w:t>
      </w:r>
      <w:r>
        <w:rPr>
          <w:rFonts w:hint="eastAsia" w:ascii="仿宋" w:hAnsi="仿宋" w:eastAsia="仿宋" w:cs="仿宋"/>
          <w:color w:val="auto"/>
          <w:kern w:val="0"/>
          <w:lang w:val="en-US" w:eastAsia="zh-CN"/>
        </w:rPr>
        <w:t>，</w:t>
      </w:r>
      <w:r>
        <w:rPr>
          <w:rFonts w:hint="eastAsia" w:ascii="仿宋" w:hAnsi="仿宋" w:eastAsia="仿宋" w:cs="仿宋"/>
          <w:color w:val="auto"/>
          <w:kern w:val="0"/>
          <w:lang w:val="zh-CN"/>
        </w:rPr>
        <w:t>质量目标：</w:t>
      </w:r>
      <w:r>
        <w:rPr>
          <w:rFonts w:hint="eastAsia" w:ascii="仿宋" w:hAnsi="仿宋" w:eastAsia="仿宋" w:cs="仿宋"/>
          <w:color w:val="auto"/>
          <w:kern w:val="0"/>
          <w:u w:val="single"/>
          <w:lang w:val="en-US" w:eastAsia="zh-CN"/>
        </w:rPr>
        <w:t>合格</w:t>
      </w:r>
      <w:r>
        <w:rPr>
          <w:rFonts w:hint="eastAsia" w:ascii="仿宋" w:hAnsi="仿宋" w:eastAsia="仿宋" w:cs="仿宋"/>
          <w:color w:val="auto"/>
          <w:kern w:val="0"/>
          <w:lang w:val="zh-CN"/>
        </w:rPr>
        <w:t>并按本报价函及贵方要求承包上述工程的工作。</w:t>
      </w:r>
    </w:p>
    <w:p>
      <w:pPr>
        <w:autoSpaceDE w:val="0"/>
        <w:autoSpaceDN w:val="0"/>
        <w:spacing w:line="360" w:lineRule="auto"/>
        <w:jc w:val="left"/>
        <w:rPr>
          <w:rFonts w:hint="eastAsia" w:ascii="仿宋" w:hAnsi="仿宋" w:eastAsia="仿宋" w:cs="仿宋"/>
          <w:color w:val="auto"/>
          <w:kern w:val="0"/>
          <w:lang w:val="zh-CN"/>
        </w:rPr>
      </w:pPr>
      <w:r>
        <w:rPr>
          <w:rFonts w:hint="eastAsia" w:ascii="仿宋" w:hAnsi="仿宋" w:eastAsia="仿宋" w:cs="仿宋"/>
          <w:color w:val="auto"/>
          <w:kern w:val="0"/>
          <w:lang w:val="zh-CN"/>
        </w:rPr>
        <w:t>2、我方已详细审核全部询价函，包括修改文件（如果有的话），及有关附件，我方完全知道必须放弃提出含糊不清或误解的权力。</w:t>
      </w:r>
    </w:p>
    <w:p>
      <w:pPr>
        <w:autoSpaceDE w:val="0"/>
        <w:autoSpaceDN w:val="0"/>
        <w:spacing w:line="360" w:lineRule="auto"/>
        <w:jc w:val="left"/>
        <w:rPr>
          <w:rFonts w:hint="eastAsia" w:ascii="仿宋" w:hAnsi="仿宋" w:eastAsia="仿宋" w:cs="仿宋"/>
          <w:color w:val="auto"/>
          <w:kern w:val="0"/>
          <w:lang w:val="zh-CN"/>
        </w:rPr>
      </w:pPr>
      <w:r>
        <w:rPr>
          <w:rFonts w:hint="eastAsia" w:ascii="仿宋" w:hAnsi="仿宋" w:eastAsia="仿宋" w:cs="仿宋"/>
          <w:color w:val="auto"/>
          <w:kern w:val="0"/>
          <w:lang w:val="zh-CN"/>
        </w:rPr>
        <w:t>3、一旦我方中标，我方保证按贵方要求完成本项目的所有工作。</w:t>
      </w:r>
    </w:p>
    <w:p>
      <w:pPr>
        <w:autoSpaceDE w:val="0"/>
        <w:autoSpaceDN w:val="0"/>
        <w:spacing w:line="360" w:lineRule="auto"/>
        <w:jc w:val="left"/>
        <w:rPr>
          <w:rFonts w:hint="eastAsia" w:ascii="仿宋" w:hAnsi="仿宋" w:eastAsia="仿宋" w:cs="仿宋"/>
          <w:color w:val="auto"/>
          <w:kern w:val="0"/>
          <w:lang w:val="zh-CN"/>
        </w:rPr>
      </w:pPr>
      <w:r>
        <w:rPr>
          <w:rFonts w:hint="eastAsia" w:ascii="仿宋" w:hAnsi="仿宋" w:eastAsia="仿宋" w:cs="仿宋"/>
          <w:color w:val="auto"/>
          <w:kern w:val="0"/>
          <w:lang w:val="zh-CN"/>
        </w:rPr>
        <w:t>4、除非另外达成协议并生效，贵方的中标通知书和本函将成为约束我们双方的合同文件组成部分。</w:t>
      </w: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autoSpaceDE w:val="0"/>
        <w:autoSpaceDN w:val="0"/>
        <w:spacing w:line="360" w:lineRule="auto"/>
        <w:jc w:val="left"/>
        <w:rPr>
          <w:rFonts w:hint="eastAsia" w:ascii="仿宋" w:hAnsi="仿宋" w:eastAsia="仿宋" w:cs="仿宋"/>
          <w:color w:val="auto"/>
          <w:lang w:val="zh-CN"/>
        </w:rPr>
      </w:pPr>
      <w:r>
        <w:rPr>
          <w:rFonts w:hint="eastAsia" w:ascii="仿宋" w:hAnsi="仿宋" w:eastAsia="仿宋" w:cs="仿宋"/>
          <w:color w:val="auto"/>
          <w:kern w:val="0"/>
          <w:lang w:val="zh-CN"/>
        </w:rPr>
        <w:t>投标人（盖章）∶</w:t>
      </w:r>
    </w:p>
    <w:p>
      <w:pPr>
        <w:autoSpaceDE w:val="0"/>
        <w:autoSpaceDN w:val="0"/>
        <w:spacing w:line="360" w:lineRule="auto"/>
        <w:jc w:val="left"/>
        <w:rPr>
          <w:rFonts w:hint="eastAsia" w:ascii="仿宋" w:hAnsi="仿宋" w:eastAsia="仿宋" w:cs="仿宋"/>
          <w:color w:val="auto"/>
          <w:lang w:val="zh-CN"/>
        </w:rPr>
      </w:pPr>
      <w:r>
        <w:rPr>
          <w:rFonts w:hint="eastAsia" w:ascii="仿宋" w:hAnsi="仿宋" w:eastAsia="仿宋" w:cs="仿宋"/>
          <w:color w:val="auto"/>
          <w:kern w:val="0"/>
          <w:lang w:val="zh-CN"/>
        </w:rPr>
        <w:t>单位地址∶</w:t>
      </w:r>
    </w:p>
    <w:p>
      <w:pPr>
        <w:autoSpaceDE w:val="0"/>
        <w:autoSpaceDN w:val="0"/>
        <w:spacing w:line="360" w:lineRule="auto"/>
        <w:jc w:val="left"/>
        <w:rPr>
          <w:rFonts w:hint="eastAsia" w:ascii="仿宋" w:hAnsi="仿宋" w:eastAsia="仿宋" w:cs="仿宋"/>
          <w:color w:val="auto"/>
          <w:lang w:val="zh-CN"/>
        </w:rPr>
      </w:pPr>
      <w:r>
        <w:rPr>
          <w:rFonts w:hint="eastAsia" w:ascii="仿宋" w:hAnsi="仿宋" w:eastAsia="仿宋" w:cs="仿宋"/>
          <w:color w:val="auto"/>
          <w:kern w:val="0"/>
          <w:lang w:val="zh-CN"/>
        </w:rPr>
        <w:t>法定代表人或其委托代理人∶（签章或盖章）</w:t>
      </w:r>
    </w:p>
    <w:p>
      <w:pPr>
        <w:autoSpaceDE w:val="0"/>
        <w:autoSpaceDN w:val="0"/>
        <w:spacing w:line="360" w:lineRule="auto"/>
        <w:jc w:val="left"/>
        <w:rPr>
          <w:rFonts w:hint="eastAsia" w:ascii="仿宋" w:hAnsi="仿宋" w:eastAsia="仿宋" w:cs="仿宋"/>
          <w:color w:val="auto"/>
          <w:lang w:val="en-US" w:eastAsia="zh-CN"/>
        </w:rPr>
      </w:pPr>
      <w:r>
        <w:rPr>
          <w:rFonts w:hint="eastAsia" w:ascii="仿宋" w:hAnsi="仿宋" w:eastAsia="仿宋" w:cs="仿宋"/>
          <w:color w:val="auto"/>
          <w:kern w:val="0"/>
          <w:lang w:val="zh-CN"/>
        </w:rPr>
        <w:t>邮政编码∶</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电话∶</w:t>
      </w:r>
      <w:r>
        <w:rPr>
          <w:rFonts w:hint="eastAsia" w:ascii="仿宋" w:hAnsi="仿宋" w:eastAsia="仿宋" w:cs="仿宋"/>
          <w:color w:val="auto"/>
          <w:kern w:val="0"/>
          <w:lang w:val="en-US" w:eastAsia="zh-CN"/>
        </w:rPr>
        <w:t xml:space="preserve">          </w:t>
      </w:r>
    </w:p>
    <w:p>
      <w:pPr>
        <w:bidi w:val="0"/>
        <w:rPr>
          <w:rFonts w:hint="eastAsia" w:ascii="仿宋" w:hAnsi="仿宋" w:eastAsia="仿宋" w:cs="仿宋"/>
          <w:color w:val="auto"/>
          <w:kern w:val="0"/>
          <w:lang w:val="zh-CN"/>
        </w:rPr>
      </w:pPr>
      <w:r>
        <w:rPr>
          <w:rFonts w:hint="eastAsia" w:ascii="仿宋" w:hAnsi="仿宋" w:eastAsia="仿宋" w:cs="仿宋"/>
          <w:color w:val="auto"/>
          <w:kern w:val="0"/>
          <w:lang w:val="zh-CN"/>
        </w:rPr>
        <w:t>日期∶2022年</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月</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日</w:t>
      </w: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numPr>
          <w:ilvl w:val="0"/>
          <w:numId w:val="0"/>
        </w:numPr>
        <w:bidi w:val="0"/>
        <w:jc w:val="center"/>
        <w:rPr>
          <w:rFonts w:hint="eastAsia" w:ascii="仿宋" w:hAnsi="仿宋" w:eastAsia="仿宋" w:cs="仿宋"/>
          <w:b/>
          <w:snapToGrid/>
          <w:color w:val="auto"/>
          <w:kern w:val="2"/>
          <w:sz w:val="32"/>
          <w:szCs w:val="32"/>
          <w:lang w:val="en-US" w:eastAsia="zh-CN" w:bidi="ar-SA"/>
        </w:rPr>
      </w:pPr>
      <w:r>
        <w:rPr>
          <w:rFonts w:hint="eastAsia" w:ascii="仿宋" w:hAnsi="仿宋" w:eastAsia="仿宋" w:cs="仿宋"/>
          <w:b/>
          <w:snapToGrid/>
          <w:color w:val="auto"/>
          <w:kern w:val="2"/>
          <w:sz w:val="32"/>
          <w:szCs w:val="32"/>
          <w:lang w:val="en-US" w:eastAsia="zh-CN" w:bidi="ar-SA"/>
        </w:rPr>
        <w:t>二、工程量清单报价说明（格式自拟）</w:t>
      </w: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pStyle w:val="26"/>
        <w:jc w:val="center"/>
        <w:rPr>
          <w:rFonts w:hint="eastAsia" w:ascii="仿宋" w:hAnsi="仿宋" w:eastAsia="仿宋" w:cs="仿宋"/>
          <w:b/>
          <w:snapToGrid/>
          <w:color w:val="auto"/>
          <w:kern w:val="2"/>
          <w:sz w:val="32"/>
          <w:szCs w:val="32"/>
          <w:lang w:val="en-US" w:eastAsia="zh-CN" w:bidi="ar-SA"/>
        </w:rPr>
      </w:pPr>
      <w:r>
        <w:rPr>
          <w:rFonts w:hint="eastAsia" w:ascii="仿宋" w:hAnsi="仿宋" w:eastAsia="仿宋" w:cs="仿宋"/>
          <w:b/>
          <w:snapToGrid/>
          <w:color w:val="auto"/>
          <w:kern w:val="2"/>
          <w:sz w:val="32"/>
          <w:szCs w:val="32"/>
          <w:lang w:val="en-US" w:eastAsia="zh-CN" w:bidi="ar-SA"/>
        </w:rPr>
        <w:t>三、清单报价表</w:t>
      </w:r>
    </w:p>
    <w:p>
      <w:pPr>
        <w:widowControl/>
        <w:tabs>
          <w:tab w:val="center" w:pos="4755"/>
          <w:tab w:val="right" w:pos="9070"/>
        </w:tabs>
        <w:spacing w:line="360" w:lineRule="auto"/>
        <w:jc w:val="center"/>
        <w:rPr>
          <w:rFonts w:hint="eastAsia" w:ascii="仿宋" w:hAnsi="仿宋" w:eastAsia="仿宋" w:cs="仿宋"/>
          <w:color w:val="auto"/>
          <w:kern w:val="0"/>
          <w:sz w:val="24"/>
        </w:rPr>
      </w:pPr>
      <w:r>
        <w:rPr>
          <w:rFonts w:hint="eastAsia" w:ascii="仿宋" w:hAnsi="仿宋" w:eastAsia="仿宋" w:cs="仿宋"/>
          <w:b/>
          <w:color w:val="auto"/>
          <w:kern w:val="0"/>
          <w:sz w:val="32"/>
          <w:szCs w:val="32"/>
        </w:rPr>
        <w:t>表1-1-1工程项目报价汇总表</w:t>
      </w:r>
    </w:p>
    <w:p>
      <w:pPr>
        <w:widowControl/>
        <w:tabs>
          <w:tab w:val="center" w:pos="4755"/>
          <w:tab w:val="right" w:pos="9070"/>
        </w:tabs>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工程名称：</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630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内容</w:t>
            </w:r>
          </w:p>
        </w:tc>
        <w:tc>
          <w:tcPr>
            <w:tcW w:w="197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一</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单位工程费合计</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（单位工程1，如1号楼）</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（单位工程2）</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二</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未纳入单位工程费的其他费用[（一）+（二）+（三）+（四）]</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（一）</w:t>
            </w:r>
          </w:p>
        </w:tc>
        <w:tc>
          <w:tcPr>
            <w:tcW w:w="63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整体措施项目清单（1+2）</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组织措施项目清单</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技术措施项目清单</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（二）</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整体其他项目清单</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（三）</w:t>
            </w:r>
          </w:p>
        </w:tc>
        <w:tc>
          <w:tcPr>
            <w:tcW w:w="6300" w:type="dxa"/>
          </w:tcPr>
          <w:p>
            <w:pPr>
              <w:widowControl/>
              <w:tabs>
                <w:tab w:val="center" w:pos="4755"/>
                <w:tab w:val="right" w:pos="9070"/>
              </w:tabs>
              <w:spacing w:line="240" w:lineRule="auto"/>
              <w:jc w:val="left"/>
              <w:rPr>
                <w:rFonts w:hint="eastAsia" w:ascii="仿宋" w:hAnsi="仿宋" w:eastAsia="仿宋" w:cs="仿宋"/>
                <w:strike/>
                <w:color w:val="auto"/>
                <w:kern w:val="0"/>
                <w:szCs w:val="21"/>
              </w:rPr>
            </w:pPr>
            <w:r>
              <w:rPr>
                <w:rFonts w:hint="eastAsia" w:ascii="仿宋" w:hAnsi="仿宋" w:eastAsia="仿宋" w:cs="仿宋"/>
                <w:color w:val="auto"/>
                <w:kern w:val="0"/>
                <w:szCs w:val="21"/>
              </w:rPr>
              <w:t>整体措施项目规费</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（四）</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税金 {[（一）+（二）+（三）]×费率}</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总报价 [一 + 二 ]</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总报价（大写）：</w:t>
            </w:r>
          </w:p>
        </w:tc>
      </w:tr>
    </w:tbl>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注：1.本表适用于：（1）有2个及以上单位工程的群体项目的总报价汇总；（2）单位工程发包且有2个及以上专业工程分部分项工程量清单的招标项目总报价汇总。本表应在表1-1-2基础上汇总。</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2．本表中的整体项目措施清单报价指根据招标人要求和项目特点应从招标项目整体上考虑的措施项目报价。</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3．本表中的整体其他项目清单报价指根据招标人要求需按招标项目整体考虑的其他项目清单报价。</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4．本表中的规费指整体措施清单项目应计取的规费。</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5．本表中的税金指未纳入单位工程费的整体措施项目清单、其他项目清单以及相应规费等费用应计取的税金。</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p>
    <w:p>
      <w:pPr>
        <w:spacing w:line="240" w:lineRule="auto"/>
        <w:jc w:val="both"/>
        <w:rPr>
          <w:rFonts w:hint="eastAsia" w:ascii="仿宋" w:hAnsi="仿宋" w:eastAsia="仿宋" w:cs="仿宋"/>
          <w:color w:val="auto"/>
          <w:kern w:val="0"/>
          <w:sz w:val="24"/>
        </w:rPr>
      </w:pPr>
      <w:r>
        <w:rPr>
          <w:rFonts w:hint="eastAsia" w:ascii="仿宋" w:hAnsi="仿宋" w:eastAsia="仿宋" w:cs="仿宋"/>
          <w:color w:val="auto"/>
          <w:kern w:val="0"/>
          <w:sz w:val="24"/>
        </w:rPr>
        <w:t>投标人（盖章）：</w:t>
      </w:r>
    </w:p>
    <w:p>
      <w:pPr>
        <w:spacing w:line="240" w:lineRule="auto"/>
        <w:jc w:val="both"/>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法定代表人或委托代理人（签字或盖章）：</w:t>
      </w:r>
    </w:p>
    <w:p>
      <w:pPr>
        <w:pStyle w:val="56"/>
        <w:spacing w:line="240" w:lineRule="auto"/>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日期：</w:t>
      </w:r>
      <w:r>
        <w:rPr>
          <w:rFonts w:hint="eastAsia" w:ascii="仿宋" w:hAnsi="仿宋" w:eastAsia="仿宋" w:cs="仿宋"/>
          <w:color w:val="auto"/>
          <w:kern w:val="0"/>
          <w:lang w:val="zh-CN"/>
        </w:rPr>
        <w:t>2022年</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月</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日</w:t>
      </w:r>
    </w:p>
    <w:p>
      <w:pPr>
        <w:widowControl/>
        <w:tabs>
          <w:tab w:val="center" w:pos="4755"/>
          <w:tab w:val="right" w:pos="9070"/>
        </w:tabs>
        <w:spacing w:line="360" w:lineRule="auto"/>
        <w:ind w:firstLine="240" w:firstLineChars="100"/>
        <w:jc w:val="center"/>
        <w:rPr>
          <w:rFonts w:hint="eastAsia" w:ascii="仿宋" w:hAnsi="仿宋" w:eastAsia="仿宋" w:cs="仿宋"/>
          <w:b/>
          <w:color w:val="auto"/>
          <w:kern w:val="0"/>
          <w:sz w:val="32"/>
          <w:szCs w:val="32"/>
        </w:rPr>
      </w:pPr>
      <w:r>
        <w:rPr>
          <w:rFonts w:hint="eastAsia" w:ascii="仿宋" w:hAnsi="仿宋" w:eastAsia="仿宋" w:cs="仿宋"/>
          <w:color w:val="auto"/>
          <w:kern w:val="0"/>
          <w:szCs w:val="28"/>
        </w:rPr>
        <w:br w:type="page"/>
      </w:r>
      <w:r>
        <w:rPr>
          <w:rFonts w:hint="eastAsia" w:ascii="仿宋" w:hAnsi="仿宋" w:eastAsia="仿宋" w:cs="仿宋"/>
          <w:b/>
          <w:color w:val="auto"/>
          <w:kern w:val="0"/>
          <w:sz w:val="32"/>
          <w:szCs w:val="32"/>
        </w:rPr>
        <w:t>表1-1-2 单位工程报价汇总表</w:t>
      </w:r>
    </w:p>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工程名称：</w:t>
      </w:r>
    </w:p>
    <w:p>
      <w:pPr>
        <w:widowControl/>
        <w:tabs>
          <w:tab w:val="center" w:pos="4755"/>
          <w:tab w:val="right" w:pos="9070"/>
        </w:tabs>
        <w:spacing w:line="240" w:lineRule="auto"/>
        <w:jc w:val="left"/>
        <w:rPr>
          <w:rFonts w:hint="eastAsia" w:ascii="仿宋" w:hAnsi="仿宋" w:eastAsia="仿宋" w:cs="仿宋"/>
          <w:color w:val="auto"/>
          <w:kern w:val="0"/>
          <w:szCs w:val="28"/>
        </w:rPr>
      </w:pPr>
      <w:r>
        <w:rPr>
          <w:rFonts w:hint="eastAsia" w:ascii="仿宋" w:hAnsi="仿宋" w:eastAsia="仿宋" w:cs="仿宋"/>
          <w:color w:val="auto"/>
          <w:kern w:val="0"/>
          <w:szCs w:val="21"/>
        </w:rPr>
        <w:t>单位工程名称：</w:t>
      </w:r>
    </w:p>
    <w:tbl>
      <w:tblPr>
        <w:tblStyle w:val="6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360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内容</w:t>
            </w:r>
          </w:p>
        </w:tc>
        <w:tc>
          <w:tcPr>
            <w:tcW w:w="1236"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报价合计</w:t>
            </w:r>
          </w:p>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（元）</w:t>
            </w:r>
          </w:p>
        </w:tc>
        <w:tc>
          <w:tcPr>
            <w:tcW w:w="1948" w:type="dxa"/>
            <w:vAlign w:val="center"/>
          </w:tcPr>
          <w:p>
            <w:pPr>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（清单号）</w:t>
            </w: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rPr>
            </w:pPr>
          </w:p>
        </w:tc>
        <w:tc>
          <w:tcPr>
            <w:tcW w:w="3600"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236"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(专业工程1)</w:t>
            </w: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一</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分部分项工程量清单</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二</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措施项目清单（1+2）</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组织措施项目清单</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技术措施项目清单</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三</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其他项目清单</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380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szCs w:val="22"/>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1" name="直接连接符 6"/>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6" o:spid="_x0000_s1026" o:spt="20" style="position:absolute;left:0pt;flip:x;margin-left:-4.2pt;margin-top:2.1pt;height:23.2pt;width:185.4pt;z-index:251663360;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FInXAAAABwEAAA8AAAAAAAAAAQAgAAAAIgAAAGRycy9kb3ducmV2LnhtbFBL&#10;AQIUABQAAAAIAIdO4kB4ZDEw9wEAAMgDAAAOAAAAAAAAAAEAIAAAACYBAABkcnMvZTJvRG9jLnht&#10;bFBLBQYAAAAABgAGAFkBAACPBQAAAAA=&#10;">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8" w:type="dxa"/>
            <w:vAlign w:val="center"/>
          </w:tcPr>
          <w:p>
            <w:pPr>
              <w:widowControl/>
              <w:tabs>
                <w:tab w:val="center" w:pos="4755"/>
                <w:tab w:val="right" w:pos="9070"/>
              </w:tabs>
              <w:spacing w:line="240" w:lineRule="auto"/>
              <w:ind w:left="1260"/>
              <w:jc w:val="center"/>
              <w:rPr>
                <w:rFonts w:hint="eastAsia" w:ascii="仿宋" w:hAnsi="仿宋" w:eastAsia="仿宋" w:cs="仿宋"/>
                <w:color w:val="auto"/>
                <w:kern w:val="0"/>
                <w:szCs w:val="21"/>
              </w:rPr>
            </w:pPr>
            <w:r>
              <w:rPr>
                <w:rFonts w:hint="eastAsia" w:ascii="仿宋" w:hAnsi="仿宋" w:eastAsia="仿宋" w:cs="仿宋"/>
                <w:color w:val="auto"/>
                <w:kern w:val="0"/>
                <w:szCs w:val="21"/>
              </w:rPr>
              <w:t>四</w:t>
            </w:r>
          </w:p>
        </w:tc>
        <w:tc>
          <w:tcPr>
            <w:tcW w:w="3600" w:type="dxa"/>
            <w:vAlign w:val="center"/>
          </w:tcPr>
          <w:p>
            <w:pPr>
              <w:widowControl/>
              <w:tabs>
                <w:tab w:val="center" w:pos="4755"/>
                <w:tab w:val="right" w:pos="9070"/>
              </w:tabs>
              <w:spacing w:line="240" w:lineRule="auto"/>
              <w:ind w:left="1260"/>
              <w:rPr>
                <w:rFonts w:hint="eastAsia" w:ascii="仿宋" w:hAnsi="仿宋" w:eastAsia="仿宋" w:cs="仿宋"/>
                <w:color w:val="auto"/>
                <w:kern w:val="0"/>
                <w:szCs w:val="21"/>
              </w:rPr>
            </w:pPr>
            <w:r>
              <w:rPr>
                <w:rFonts w:hint="eastAsia" w:ascii="仿宋" w:hAnsi="仿宋" w:eastAsia="仿宋" w:cs="仿宋"/>
                <w:color w:val="auto"/>
                <w:kern w:val="0"/>
                <w:szCs w:val="21"/>
              </w:rPr>
              <w:t>规费</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3804" w:type="dxa"/>
            <w:gridSpan w:val="2"/>
            <w:tcBorders>
              <w:tr2bl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五</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税金[（一 + 二+三 + 四）×费率]</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3804" w:type="dxa"/>
            <w:gridSpan w:val="2"/>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六</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总报价（一+二+三+四+五）</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3804" w:type="dxa"/>
            <w:gridSpan w:val="2"/>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总报价(大写):</w:t>
            </w:r>
          </w:p>
        </w:tc>
      </w:tr>
    </w:tbl>
    <w:p>
      <w:pPr>
        <w:widowControl/>
        <w:tabs>
          <w:tab w:val="center" w:pos="4755"/>
          <w:tab w:val="right" w:pos="9070"/>
        </w:tabs>
        <w:spacing w:line="240" w:lineRule="auto"/>
        <w:ind w:left="315" w:hanging="360" w:hangingChars="150"/>
        <w:jc w:val="left"/>
        <w:rPr>
          <w:rFonts w:hint="eastAsia" w:ascii="仿宋" w:hAnsi="仿宋" w:eastAsia="仿宋" w:cs="仿宋"/>
          <w:color w:val="auto"/>
          <w:kern w:val="0"/>
          <w:szCs w:val="21"/>
        </w:rPr>
      </w:pPr>
      <w:r>
        <w:rPr>
          <w:rFonts w:hint="eastAsia" w:ascii="仿宋" w:hAnsi="仿宋" w:eastAsia="仿宋" w:cs="仿宋"/>
          <w:color w:val="auto"/>
          <w:kern w:val="0"/>
          <w:szCs w:val="21"/>
        </w:rPr>
        <w:t>注:本表适用于：</w:t>
      </w:r>
    </w:p>
    <w:p>
      <w:pPr>
        <w:widowControl/>
        <w:tabs>
          <w:tab w:val="center" w:pos="4755"/>
          <w:tab w:val="right" w:pos="9070"/>
        </w:tabs>
        <w:spacing w:line="240" w:lineRule="auto"/>
        <w:ind w:left="360" w:leftChars="100" w:hanging="120" w:hangingChars="50"/>
        <w:jc w:val="left"/>
        <w:rPr>
          <w:rFonts w:hint="eastAsia" w:ascii="仿宋" w:hAnsi="仿宋" w:eastAsia="仿宋" w:cs="仿宋"/>
          <w:color w:val="auto"/>
          <w:kern w:val="0"/>
          <w:szCs w:val="21"/>
        </w:rPr>
      </w:pPr>
      <w:r>
        <w:rPr>
          <w:rFonts w:hint="eastAsia" w:ascii="仿宋" w:hAnsi="仿宋" w:eastAsia="仿宋" w:cs="仿宋"/>
          <w:color w:val="auto"/>
          <w:kern w:val="0"/>
          <w:szCs w:val="21"/>
        </w:rPr>
        <w:t>（1）只有1个专业工程分部分项工程量清单的单位工程发包项目的报价汇总；</w:t>
      </w:r>
    </w:p>
    <w:p>
      <w:pPr>
        <w:widowControl/>
        <w:tabs>
          <w:tab w:val="center" w:pos="4755"/>
          <w:tab w:val="right" w:pos="9070"/>
        </w:tabs>
        <w:spacing w:line="240" w:lineRule="auto"/>
        <w:ind w:left="360" w:leftChars="100" w:hanging="120" w:hangingChars="50"/>
        <w:jc w:val="left"/>
        <w:rPr>
          <w:rFonts w:hint="eastAsia" w:ascii="仿宋" w:hAnsi="仿宋" w:eastAsia="仿宋" w:cs="仿宋"/>
          <w:color w:val="auto"/>
          <w:kern w:val="0"/>
          <w:szCs w:val="21"/>
        </w:rPr>
      </w:pPr>
      <w:r>
        <w:rPr>
          <w:rFonts w:hint="eastAsia" w:ascii="仿宋" w:hAnsi="仿宋" w:eastAsia="仿宋" w:cs="仿宋"/>
          <w:color w:val="auto"/>
          <w:kern w:val="0"/>
          <w:szCs w:val="21"/>
        </w:rPr>
        <w:t>（2）其余招标项目的单位工程报价汇总。</w:t>
      </w:r>
    </w:p>
    <w:p>
      <w:pPr>
        <w:widowControl/>
        <w:tabs>
          <w:tab w:val="center" w:pos="4755"/>
          <w:tab w:val="right" w:pos="9070"/>
        </w:tabs>
        <w:spacing w:line="240" w:lineRule="auto"/>
        <w:jc w:val="left"/>
        <w:rPr>
          <w:rFonts w:hint="eastAsia" w:ascii="仿宋" w:hAnsi="仿宋" w:eastAsia="仿宋" w:cs="仿宋"/>
          <w:color w:val="auto"/>
          <w:kern w:val="0"/>
          <w:sz w:val="24"/>
        </w:rPr>
      </w:pPr>
    </w:p>
    <w:p>
      <w:pPr>
        <w:widowControl/>
        <w:tabs>
          <w:tab w:val="center" w:pos="4755"/>
          <w:tab w:val="right" w:pos="9070"/>
        </w:tabs>
        <w:spacing w:line="240" w:lineRule="auto"/>
        <w:jc w:val="left"/>
        <w:rPr>
          <w:rFonts w:hint="eastAsia" w:ascii="仿宋" w:hAnsi="仿宋" w:eastAsia="仿宋" w:cs="仿宋"/>
          <w:color w:val="auto"/>
          <w:kern w:val="0"/>
          <w:sz w:val="24"/>
        </w:rPr>
      </w:pPr>
    </w:p>
    <w:p>
      <w:pPr>
        <w:widowControl/>
        <w:tabs>
          <w:tab w:val="center" w:pos="4755"/>
          <w:tab w:val="right" w:pos="9070"/>
        </w:tabs>
        <w:spacing w:line="240" w:lineRule="auto"/>
        <w:jc w:val="left"/>
        <w:rPr>
          <w:rFonts w:hint="eastAsia" w:ascii="仿宋" w:hAnsi="仿宋" w:eastAsia="仿宋" w:cs="仿宋"/>
          <w:color w:val="auto"/>
        </w:rPr>
      </w:pPr>
      <w:r>
        <w:rPr>
          <w:rFonts w:hint="eastAsia" w:ascii="仿宋" w:hAnsi="仿宋" w:eastAsia="仿宋" w:cs="仿宋"/>
          <w:color w:val="auto"/>
          <w:kern w:val="0"/>
          <w:sz w:val="24"/>
        </w:rPr>
        <w:t>投标人（盖章）：</w:t>
      </w:r>
    </w:p>
    <w:p>
      <w:pPr>
        <w:widowControl/>
        <w:tabs>
          <w:tab w:val="center" w:pos="4755"/>
          <w:tab w:val="right" w:pos="9070"/>
        </w:tabs>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法定代表人或委托代理人（签字或盖章）：</w:t>
      </w:r>
    </w:p>
    <w:p>
      <w:pPr>
        <w:pStyle w:val="56"/>
        <w:spacing w:line="240" w:lineRule="auto"/>
        <w:rPr>
          <w:rFonts w:hint="eastAsia" w:ascii="仿宋" w:hAnsi="仿宋" w:eastAsia="仿宋" w:cs="仿宋"/>
          <w:color w:val="auto"/>
          <w:kern w:val="0"/>
          <w:sz w:val="24"/>
          <w:lang w:val="en-US" w:eastAsia="zh-CN"/>
        </w:rPr>
        <w:sectPr>
          <w:footerReference r:id="rId3" w:type="default"/>
          <w:footerReference r:id="rId4" w:type="even"/>
          <w:pgSz w:w="11906" w:h="16838"/>
          <w:pgMar w:top="1247" w:right="1247" w:bottom="1247" w:left="1247" w:header="720" w:footer="720" w:gutter="0"/>
          <w:cols w:space="720" w:num="1"/>
          <w:docGrid w:linePitch="286" w:charSpace="-3831"/>
        </w:sectPr>
      </w:pPr>
      <w:r>
        <w:rPr>
          <w:rFonts w:hint="eastAsia" w:ascii="仿宋" w:hAnsi="仿宋" w:eastAsia="仿宋" w:cs="仿宋"/>
          <w:color w:val="auto"/>
          <w:kern w:val="0"/>
          <w:sz w:val="24"/>
          <w:lang w:val="en-US" w:eastAsia="zh-CN"/>
        </w:rPr>
        <w:t>日期|：</w:t>
      </w:r>
      <w:r>
        <w:rPr>
          <w:rFonts w:hint="eastAsia" w:ascii="仿宋" w:hAnsi="仿宋" w:eastAsia="仿宋" w:cs="仿宋"/>
          <w:color w:val="auto"/>
          <w:kern w:val="0"/>
          <w:lang w:val="zh-CN"/>
        </w:rPr>
        <w:t>2022年</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月</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日</w:t>
      </w:r>
    </w:p>
    <w:p>
      <w:pPr>
        <w:widowControl/>
        <w:tabs>
          <w:tab w:val="center" w:pos="4755"/>
          <w:tab w:val="right" w:pos="9070"/>
        </w:tabs>
        <w:spacing w:line="360" w:lineRule="auto"/>
        <w:ind w:firstLine="361" w:firstLineChars="100"/>
        <w:jc w:val="center"/>
        <w:rPr>
          <w:rFonts w:hint="eastAsia" w:ascii="仿宋" w:hAnsi="仿宋" w:eastAsia="仿宋" w:cs="仿宋"/>
          <w:color w:val="auto"/>
          <w:kern w:val="0"/>
          <w:szCs w:val="28"/>
        </w:rPr>
      </w:pPr>
      <w:r>
        <w:rPr>
          <w:rFonts w:hint="eastAsia" w:ascii="仿宋" w:hAnsi="仿宋" w:eastAsia="仿宋" w:cs="仿宋"/>
          <w:b/>
          <w:color w:val="auto"/>
          <w:kern w:val="0"/>
          <w:sz w:val="36"/>
          <w:szCs w:val="36"/>
        </w:rPr>
        <w:t>表1-2  分部分项工程量清单及计价表</w:t>
      </w:r>
      <w:r>
        <w:rPr>
          <w:rFonts w:hint="eastAsia" w:ascii="仿宋" w:hAnsi="仿宋" w:eastAsia="仿宋" w:cs="仿宋"/>
          <w:color w:val="auto"/>
          <w:kern w:val="0"/>
          <w:szCs w:val="28"/>
        </w:rPr>
        <w:t>(  号清单)</w:t>
      </w:r>
    </w:p>
    <w:p>
      <w:pPr>
        <w:widowControl/>
        <w:tabs>
          <w:tab w:val="center" w:pos="4755"/>
          <w:tab w:val="right" w:pos="9070"/>
        </w:tabs>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单位工程及专业工程名称: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第</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页共</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页</w:t>
      </w:r>
    </w:p>
    <w:tbl>
      <w:tblPr>
        <w:tblStyle w:val="62"/>
        <w:tblW w:w="13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094" w:type="dxa"/>
            <w:gridSpan w:val="2"/>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项目编码</w:t>
            </w:r>
          </w:p>
        </w:tc>
        <w:tc>
          <w:tcPr>
            <w:tcW w:w="126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144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项目特征</w:t>
            </w:r>
          </w:p>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描述</w:t>
            </w:r>
          </w:p>
        </w:tc>
        <w:tc>
          <w:tcPr>
            <w:tcW w:w="144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计量单位</w:t>
            </w:r>
          </w:p>
        </w:tc>
        <w:tc>
          <w:tcPr>
            <w:tcW w:w="126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工程量</w:t>
            </w:r>
          </w:p>
        </w:tc>
        <w:tc>
          <w:tcPr>
            <w:tcW w:w="126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综合单价</w:t>
            </w:r>
          </w:p>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(元)</w:t>
            </w:r>
          </w:p>
        </w:tc>
        <w:tc>
          <w:tcPr>
            <w:tcW w:w="1026"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合价</w:t>
            </w:r>
          </w:p>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(元)</w:t>
            </w:r>
          </w:p>
        </w:tc>
        <w:tc>
          <w:tcPr>
            <w:tcW w:w="3420" w:type="dxa"/>
            <w:gridSpan w:val="6"/>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其中</w:t>
            </w:r>
          </w:p>
        </w:tc>
        <w:tc>
          <w:tcPr>
            <w:tcW w:w="900" w:type="dxa"/>
            <w:gridSpan w:val="2"/>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94" w:type="dxa"/>
            <w:gridSpan w:val="2"/>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Merge w:val="continue"/>
          </w:tcPr>
          <w:p>
            <w:pPr>
              <w:widowControl/>
              <w:tabs>
                <w:tab w:val="center" w:pos="4755"/>
                <w:tab w:val="right" w:pos="9070"/>
              </w:tabs>
              <w:spacing w:line="240" w:lineRule="auto"/>
              <w:jc w:val="left"/>
              <w:rPr>
                <w:rFonts w:hint="eastAsia" w:ascii="仿宋" w:hAnsi="仿宋" w:eastAsia="仿宋" w:cs="仿宋"/>
                <w:color w:val="auto"/>
                <w:kern w:val="0"/>
                <w:sz w:val="24"/>
                <w:szCs w:val="24"/>
              </w:rPr>
            </w:pPr>
          </w:p>
        </w:tc>
        <w:tc>
          <w:tcPr>
            <w:tcW w:w="1440" w:type="dxa"/>
            <w:vMerge w:val="continue"/>
          </w:tcPr>
          <w:p>
            <w:pPr>
              <w:widowControl/>
              <w:tabs>
                <w:tab w:val="center" w:pos="4755"/>
                <w:tab w:val="right" w:pos="9070"/>
              </w:tabs>
              <w:spacing w:line="240" w:lineRule="auto"/>
              <w:jc w:val="left"/>
              <w:rPr>
                <w:rFonts w:hint="eastAsia" w:ascii="仿宋" w:hAnsi="仿宋" w:eastAsia="仿宋" w:cs="仿宋"/>
                <w:color w:val="auto"/>
                <w:kern w:val="0"/>
                <w:sz w:val="24"/>
                <w:szCs w:val="24"/>
              </w:rPr>
            </w:pPr>
          </w:p>
        </w:tc>
        <w:tc>
          <w:tcPr>
            <w:tcW w:w="1260"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Merge w:val="continue"/>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人工费</w:t>
            </w:r>
          </w:p>
        </w:tc>
        <w:tc>
          <w:tcPr>
            <w:tcW w:w="126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机械费</w:t>
            </w:r>
          </w:p>
        </w:tc>
        <w:tc>
          <w:tcPr>
            <w:tcW w:w="90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管理费</w:t>
            </w:r>
          </w:p>
        </w:tc>
        <w:tc>
          <w:tcPr>
            <w:tcW w:w="900" w:type="dxa"/>
            <w:gridSpan w:val="2"/>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90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900"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bl>
    <w:p>
      <w:pPr>
        <w:pStyle w:val="5"/>
        <w:snapToGrid w:val="0"/>
        <w:spacing w:line="240" w:lineRule="auto"/>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注：表中（1）～〔6）栏由招标人提供内容，（7）栏由招标人按需提出要求，如招标人需要投标人提供清单项目综合单价的计算分析和工料机分析，请在（7）备注中明确。</w:t>
      </w:r>
    </w:p>
    <w:p>
      <w:pPr>
        <w:bidi w:val="0"/>
        <w:rPr>
          <w:rFonts w:hint="eastAsia" w:ascii="仿宋" w:hAnsi="仿宋" w:eastAsia="仿宋" w:cs="仿宋"/>
          <w:color w:val="auto"/>
        </w:rPr>
      </w:pPr>
    </w:p>
    <w:p>
      <w:pPr>
        <w:bidi w:val="0"/>
        <w:rPr>
          <w:rFonts w:hint="eastAsia" w:ascii="仿宋" w:hAnsi="仿宋" w:eastAsia="仿宋" w:cs="仿宋"/>
          <w:color w:val="auto"/>
        </w:rPr>
      </w:pPr>
    </w:p>
    <w:p>
      <w:pPr>
        <w:pStyle w:val="5"/>
        <w:snapToGrid w:val="0"/>
        <w:spacing w:line="240" w:lineRule="auto"/>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投标人（盖章）：</w:t>
      </w:r>
    </w:p>
    <w:p>
      <w:pPr>
        <w:pStyle w:val="5"/>
        <w:snapToGrid w:val="0"/>
        <w:spacing w:line="240" w:lineRule="auto"/>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法定代表人或委托代理人（签字或盖章）：</w:t>
      </w:r>
    </w:p>
    <w:p>
      <w:pPr>
        <w:pStyle w:val="5"/>
        <w:snapToGrid w:val="0"/>
        <w:spacing w:line="240" w:lineRule="auto"/>
        <w:ind w:firstLine="0" w:firstLineChars="0"/>
        <w:rPr>
          <w:rFonts w:hint="eastAsia" w:ascii="仿宋" w:hAnsi="仿宋" w:eastAsia="仿宋" w:cs="仿宋"/>
          <w:color w:val="auto"/>
        </w:rPr>
        <w:sectPr>
          <w:pgSz w:w="16838" w:h="11906" w:orient="landscape"/>
          <w:pgMar w:top="1247" w:right="1247" w:bottom="1247" w:left="1247" w:header="720" w:footer="720" w:gutter="0"/>
          <w:cols w:space="720" w:num="1"/>
          <w:docGrid w:linePitch="286" w:charSpace="-3831"/>
        </w:sectPr>
      </w:pPr>
      <w:r>
        <w:rPr>
          <w:rFonts w:hint="eastAsia" w:ascii="仿宋" w:hAnsi="仿宋" w:eastAsia="仿宋" w:cs="仿宋"/>
          <w:color w:val="auto"/>
          <w:kern w:val="0"/>
          <w:sz w:val="24"/>
          <w:szCs w:val="24"/>
        </w:rPr>
        <w:t>日期|：2022年</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w:t>
      </w:r>
    </w:p>
    <w:p>
      <w:pPr>
        <w:pStyle w:val="26"/>
        <w:jc w:val="center"/>
        <w:rPr>
          <w:rFonts w:hint="eastAsia" w:ascii="仿宋" w:hAnsi="仿宋" w:eastAsia="仿宋" w:cs="仿宋"/>
          <w:b/>
          <w:snapToGrid/>
          <w:color w:val="auto"/>
          <w:kern w:val="2"/>
          <w:sz w:val="32"/>
          <w:szCs w:val="32"/>
          <w:lang w:val="en-US" w:eastAsia="zh-CN" w:bidi="ar-SA"/>
        </w:rPr>
      </w:pPr>
      <w:bookmarkStart w:id="552" w:name="_Toc15005"/>
      <w:r>
        <w:rPr>
          <w:rFonts w:hint="eastAsia" w:ascii="仿宋" w:hAnsi="仿宋" w:eastAsia="仿宋" w:cs="仿宋"/>
          <w:b/>
          <w:snapToGrid/>
          <w:color w:val="auto"/>
          <w:kern w:val="2"/>
          <w:sz w:val="32"/>
          <w:szCs w:val="32"/>
          <w:lang w:val="en-US" w:eastAsia="zh-CN" w:bidi="ar-SA"/>
        </w:rPr>
        <w:t>四、主要材料及设备价格表</w:t>
      </w:r>
    </w:p>
    <w:p>
      <w:pPr>
        <w:widowControl/>
        <w:tabs>
          <w:tab w:val="center" w:pos="4755"/>
          <w:tab w:val="right" w:pos="9070"/>
        </w:tabs>
        <w:spacing w:line="360" w:lineRule="auto"/>
        <w:ind w:firstLine="361" w:firstLineChars="10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lang w:val="en-US" w:eastAsia="zh-CN"/>
        </w:rPr>
        <w:t>1-6</w:t>
      </w:r>
      <w:r>
        <w:rPr>
          <w:rFonts w:hint="eastAsia" w:ascii="仿宋" w:hAnsi="仿宋" w:eastAsia="仿宋" w:cs="仿宋"/>
          <w:b/>
          <w:color w:val="auto"/>
          <w:kern w:val="0"/>
          <w:sz w:val="36"/>
          <w:szCs w:val="36"/>
        </w:rPr>
        <w:t>主要材料及设备价格表</w:t>
      </w:r>
      <w:bookmarkEnd w:id="552"/>
    </w:p>
    <w:p>
      <w:pPr>
        <w:widowControl/>
        <w:tabs>
          <w:tab w:val="center" w:pos="4755"/>
          <w:tab w:val="right" w:pos="9070"/>
        </w:tabs>
        <w:spacing w:line="240" w:lineRule="auto"/>
        <w:ind w:left="-410" w:leftChars="-171" w:firstLine="240" w:firstLineChars="100"/>
        <w:jc w:val="left"/>
        <w:rPr>
          <w:rFonts w:hint="eastAsia" w:ascii="仿宋" w:hAnsi="仿宋" w:eastAsia="仿宋" w:cs="仿宋"/>
          <w:b/>
          <w:color w:val="auto"/>
          <w:kern w:val="0"/>
          <w:szCs w:val="21"/>
        </w:rPr>
      </w:pPr>
      <w:r>
        <w:rPr>
          <w:rFonts w:hint="eastAsia" w:ascii="仿宋" w:hAnsi="仿宋" w:eastAsia="仿宋" w:cs="仿宋"/>
          <w:color w:val="auto"/>
          <w:kern w:val="0"/>
          <w:szCs w:val="21"/>
        </w:rPr>
        <w:t>工程名称：第页共页</w:t>
      </w:r>
    </w:p>
    <w:tbl>
      <w:tblPr>
        <w:tblStyle w:val="62"/>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0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108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编码</w:t>
            </w:r>
          </w:p>
        </w:tc>
        <w:tc>
          <w:tcPr>
            <w:tcW w:w="180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材料或设备名称</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规格、型号</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单价（元）</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180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bl>
    <w:p>
      <w:pPr>
        <w:bidi w:val="0"/>
        <w:rPr>
          <w:rFonts w:hint="eastAsia" w:ascii="仿宋" w:hAnsi="仿宋" w:eastAsia="仿宋" w:cs="仿宋"/>
          <w:color w:val="auto"/>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投标人（盖章）：</w:t>
      </w:r>
    </w:p>
    <w:p>
      <w:pPr>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法定代表人或委托代理人（签字或盖章）：</w:t>
      </w:r>
    </w:p>
    <w:p>
      <w:pPr>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日期|：2022年  月  日</w:t>
      </w: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jc w:val="both"/>
        <w:rPr>
          <w:rFonts w:hint="eastAsia" w:ascii="仿宋" w:hAnsi="仿宋" w:eastAsia="仿宋" w:cs="仿宋"/>
          <w:color w:val="auto"/>
          <w:lang w:val="zh-CN" w:eastAsia="zh-CN"/>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五</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tabs>
          <w:tab w:val="left" w:pos="4018"/>
        </w:tabs>
        <w:bidi w:val="0"/>
        <w:rPr>
          <w:rFonts w:hint="eastAsia" w:ascii="仿宋" w:hAnsi="仿宋" w:eastAsia="仿宋" w:cs="仿宋"/>
          <w:color w:val="auto"/>
          <w:lang w:eastAsia="zh-CN"/>
        </w:rPr>
      </w:pPr>
    </w:p>
    <w:p>
      <w:pPr>
        <w:bidi w:val="0"/>
        <w:rPr>
          <w:rFonts w:hint="eastAsia" w:ascii="仿宋" w:hAnsi="仿宋" w:eastAsia="仿宋" w:cs="仿宋"/>
          <w:color w:val="auto"/>
        </w:rPr>
      </w:pP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一、适用对象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二、相关信息获取方式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三、政府采购信用融资操作流程：</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（一）线上融资模式：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2.供应商中标后，可通过杭州市政府采购网或“浙里办”测算授信额度；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4.审批通过后，在线办理放贷手续。</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（二）线下融资模式：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4.审批通过后，合作银行应按照合作备忘录中约定的审批放款期限和优惠利率及时予以放款。</w:t>
      </w:r>
    </w:p>
    <w:p>
      <w:pPr>
        <w:bidi w:val="0"/>
        <w:rPr>
          <w:rFonts w:hint="eastAsia" w:ascii="仿宋" w:hAnsi="仿宋" w:eastAsia="仿宋" w:cs="仿宋"/>
          <w:color w:val="auto"/>
          <w:lang w:val="en-US"/>
        </w:rPr>
      </w:pPr>
      <w:r>
        <w:rPr>
          <w:rFonts w:hint="eastAsia" w:ascii="仿宋" w:hAnsi="仿宋" w:eastAsia="仿宋" w:cs="仿宋"/>
          <w:color w:val="auto"/>
          <w:lang w:val="en-US"/>
        </w:rPr>
        <w:t>（三）杭州e融平台申请融资</w:t>
      </w:r>
    </w:p>
    <w:p>
      <w:pPr>
        <w:bidi w:val="0"/>
        <w:rPr>
          <w:rFonts w:hint="eastAsia" w:ascii="仿宋" w:hAnsi="仿宋" w:eastAsia="仿宋" w:cs="仿宋"/>
          <w:color w:val="auto"/>
          <w:lang w:val="en-US"/>
        </w:rPr>
      </w:pPr>
      <w:r>
        <w:rPr>
          <w:rFonts w:hint="eastAsia" w:ascii="仿宋" w:hAnsi="仿宋" w:eastAsia="仿宋" w:cs="仿宋"/>
          <w:color w:val="auto"/>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四、注意事项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ind w:left="0" w:leftChars="0" w:firstLine="0" w:firstLineChars="0"/>
        <w:jc w:val="center"/>
        <w:outlineLvl w:val="0"/>
        <w:rPr>
          <w:rFonts w:hint="eastAsia" w:ascii="仿宋" w:hAnsi="仿宋" w:eastAsia="仿宋" w:cs="仿宋"/>
          <w:b/>
          <w:color w:val="auto"/>
          <w:sz w:val="36"/>
          <w:szCs w:val="20"/>
          <w:lang w:val="en-US" w:eastAsia="zh-CN"/>
        </w:rPr>
      </w:pPr>
      <w:r>
        <w:rPr>
          <w:rFonts w:hint="eastAsia" w:ascii="仿宋" w:hAnsi="仿宋" w:eastAsia="仿宋" w:cs="仿宋"/>
          <w:b/>
          <w:color w:val="auto"/>
          <w:sz w:val="36"/>
          <w:szCs w:val="20"/>
          <w:lang w:val="en-US" w:eastAsia="zh-CN"/>
        </w:rPr>
        <w:t>第七部分   施工图纸</w:t>
      </w:r>
    </w:p>
    <w:p>
      <w:pPr>
        <w:spacing w:line="360" w:lineRule="auto"/>
        <w:ind w:left="0" w:leftChars="0" w:firstLine="0" w:firstLineChars="0"/>
        <w:jc w:val="center"/>
        <w:outlineLvl w:val="0"/>
        <w:rPr>
          <w:rFonts w:hint="eastAsia" w:ascii="仿宋" w:hAnsi="仿宋" w:eastAsia="仿宋" w:cs="仿宋"/>
          <w:b/>
          <w:color w:val="auto"/>
          <w:sz w:val="36"/>
          <w:szCs w:val="20"/>
          <w:lang w:val="en-US" w:eastAsia="zh-CN"/>
        </w:rPr>
      </w:pPr>
      <w:r>
        <w:rPr>
          <w:rFonts w:hint="eastAsia" w:ascii="仿宋" w:hAnsi="仿宋" w:eastAsia="仿宋" w:cs="仿宋"/>
          <w:b/>
          <w:color w:val="auto"/>
          <w:sz w:val="36"/>
          <w:szCs w:val="20"/>
          <w:lang w:val="en-US" w:eastAsia="zh-CN"/>
        </w:rPr>
        <w:t>（另册）</w:t>
      </w: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spacing w:line="360" w:lineRule="auto"/>
        <w:ind w:left="0" w:leftChars="0" w:firstLine="0" w:firstLineChars="0"/>
        <w:jc w:val="center"/>
        <w:outlineLvl w:val="0"/>
        <w:rPr>
          <w:rFonts w:hint="eastAsia" w:ascii="仿宋" w:hAnsi="仿宋" w:eastAsia="仿宋" w:cs="仿宋"/>
          <w:b/>
          <w:color w:val="auto"/>
          <w:sz w:val="36"/>
          <w:szCs w:val="20"/>
          <w:lang w:val="en-US" w:eastAsia="zh-CN"/>
        </w:rPr>
      </w:pPr>
      <w:r>
        <w:rPr>
          <w:rFonts w:hint="eastAsia" w:ascii="仿宋" w:hAnsi="仿宋" w:eastAsia="仿宋" w:cs="仿宋"/>
          <w:b/>
          <w:color w:val="auto"/>
          <w:sz w:val="36"/>
          <w:szCs w:val="20"/>
          <w:lang w:val="en-US" w:eastAsia="zh-CN"/>
        </w:rPr>
        <w:t>第八部分   工程量清单预算</w:t>
      </w:r>
    </w:p>
    <w:p>
      <w:pPr>
        <w:bidi w:val="0"/>
        <w:jc w:val="center"/>
        <w:rPr>
          <w:rFonts w:hint="eastAsia" w:ascii="仿宋" w:hAnsi="仿宋" w:eastAsia="仿宋" w:cs="仿宋"/>
          <w:color w:val="auto"/>
          <w:lang w:val="en-US" w:eastAsia="zh-CN"/>
        </w:rPr>
      </w:pPr>
      <w:r>
        <w:rPr>
          <w:rFonts w:hint="eastAsia" w:ascii="仿宋" w:hAnsi="仿宋" w:eastAsia="仿宋" w:cs="仿宋"/>
          <w:b/>
          <w:color w:val="auto"/>
          <w:sz w:val="36"/>
          <w:szCs w:val="20"/>
          <w:lang w:val="en-US" w:eastAsia="zh-CN"/>
        </w:rPr>
        <w:t>（另册）</w:t>
      </w: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tabs>
          <w:tab w:val="left" w:pos="3178"/>
        </w:tabs>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spacing w:line="360" w:lineRule="auto"/>
        <w:jc w:val="both"/>
        <w:rPr>
          <w:rFonts w:hint="eastAsia" w:ascii="仿宋" w:hAnsi="仿宋" w:eastAsia="仿宋" w:cs="仿宋"/>
          <w:b/>
          <w:color w:val="auto"/>
          <w:spacing w:val="6"/>
          <w:sz w:val="32"/>
          <w:szCs w:val="32"/>
        </w:rPr>
      </w:pPr>
      <w:bookmarkStart w:id="553" w:name="_Toc465665161"/>
      <w:r>
        <w:rPr>
          <w:rFonts w:hint="eastAsia" w:ascii="仿宋" w:hAnsi="仿宋" w:eastAsia="仿宋" w:cs="仿宋"/>
          <w:b/>
          <w:color w:val="auto"/>
          <w:spacing w:val="6"/>
          <w:sz w:val="32"/>
          <w:szCs w:val="32"/>
        </w:rPr>
        <w:t>附件</w:t>
      </w:r>
      <w:bookmarkEnd w:id="553"/>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0"/>
          <w:szCs w:val="30"/>
        </w:rPr>
      </w:pPr>
      <w:bookmarkStart w:id="554" w:name="OLE_LINK14"/>
      <w:bookmarkStart w:id="555" w:name="OLE_LINK13"/>
      <w:r>
        <w:rPr>
          <w:rFonts w:hint="eastAsia" w:ascii="仿宋" w:hAnsi="仿宋" w:eastAsia="仿宋" w:cs="仿宋"/>
          <w:b/>
          <w:color w:val="auto"/>
          <w:spacing w:val="6"/>
          <w:sz w:val="32"/>
          <w:szCs w:val="32"/>
        </w:rPr>
        <w:t>残疾人福利性单位声明函</w:t>
      </w:r>
      <w:bookmarkEnd w:id="554"/>
      <w:bookmarkEnd w:id="555"/>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bidi w:val="0"/>
        <w:rPr>
          <w:rFonts w:hint="eastAsia" w:ascii="仿宋" w:hAnsi="仿宋" w:eastAsia="仿宋" w:cs="仿宋"/>
          <w:color w:val="auto"/>
        </w:rPr>
      </w:pPr>
    </w:p>
    <w:p>
      <w:pPr>
        <w:tabs>
          <w:tab w:val="left" w:pos="4860"/>
        </w:tabs>
        <w:spacing w:line="360" w:lineRule="auto"/>
        <w:ind w:right="1560"/>
        <w:jc w:val="both"/>
        <w:rPr>
          <w:rFonts w:hint="eastAsia" w:ascii="仿宋" w:hAnsi="仿宋" w:eastAsia="仿宋" w:cs="仿宋"/>
          <w:color w:val="auto"/>
          <w:sz w:val="24"/>
        </w:rPr>
      </w:pP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jc w:val="both"/>
        <w:rPr>
          <w:rFonts w:hint="eastAsia" w:ascii="仿宋" w:hAnsi="仿宋" w:eastAsia="仿宋" w:cs="仿宋"/>
          <w:color w:val="auto"/>
          <w:sz w:val="24"/>
        </w:rPr>
      </w:pPr>
      <w:r>
        <w:rPr>
          <w:rFonts w:hint="eastAsia" w:ascii="仿宋" w:hAnsi="仿宋" w:eastAsia="仿宋" w:cs="仿宋"/>
          <w:color w:val="auto"/>
          <w:sz w:val="24"/>
        </w:rPr>
        <w:t>日期：</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日期：</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u w:val="single"/>
          <w:lang w:eastAsia="zh-CN"/>
        </w:rPr>
        <w:t>桐庐县市政园林建设管理处</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杭州全咨项目管理有限公司</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项目【招标编号：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jc w:val="both"/>
        <w:rPr>
          <w:rFonts w:hint="eastAsia" w:ascii="仿宋" w:hAnsi="仿宋" w:eastAsia="仿宋" w:cs="仿宋"/>
          <w:color w:val="auto"/>
          <w:sz w:val="24"/>
        </w:rPr>
      </w:pPr>
      <w:r>
        <w:rPr>
          <w:rFonts w:hint="eastAsia" w:ascii="仿宋" w:hAnsi="仿宋" w:eastAsia="仿宋" w:cs="仿宋"/>
          <w:color w:val="auto"/>
          <w:sz w:val="24"/>
        </w:rPr>
        <w:t>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both"/>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rPr>
          <w:rFonts w:hint="eastAsia" w:ascii="仿宋" w:hAnsi="仿宋" w:eastAsia="仿宋" w:cs="仿宋"/>
          <w:color w:val="auto"/>
          <w:sz w:val="24"/>
        </w:rPr>
      </w:pPr>
      <w:r>
        <w:rPr>
          <w:rFonts w:hint="eastAsia" w:ascii="仿宋" w:hAnsi="仿宋" w:eastAsia="仿宋" w:cs="仿宋"/>
          <w:color w:val="auto"/>
          <w:sz w:val="24"/>
        </w:rPr>
        <w:t>日期：</w:t>
      </w:r>
    </w:p>
    <w:p>
      <w:pPr>
        <w:spacing w:line="360" w:lineRule="auto"/>
        <w:ind w:firstLine="354"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bidi w:val="0"/>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sectPr>
      <w:headerReference r:id="rId6" w:type="first"/>
      <w:footerReference r:id="rId9" w:type="first"/>
      <w:headerReference r:id="rId5" w:type="default"/>
      <w:footerReference r:id="rId7" w:type="default"/>
      <w:footerReference r:id="rId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142684"/>
    </w:sdtPr>
    <w:sdtContent>
      <w:p>
        <w:pPr>
          <w:pStyle w:val="40"/>
          <w:jc w:val="center"/>
        </w:pPr>
        <w:r>
          <w:fldChar w:fldCharType="begin"/>
        </w:r>
        <w:r>
          <w:instrText xml:space="preserve">PAGE   \* MERGEFORMAT</w:instrText>
        </w:r>
        <w:r>
          <w:fldChar w:fldCharType="separate"/>
        </w:r>
        <w:r>
          <w:rPr>
            <w:lang w:val="zh-CN"/>
          </w:rPr>
          <w:t>26</w:t>
        </w:r>
        <w:r>
          <w:rPr>
            <w:lang w:val="zh-CN"/>
          </w:rPr>
          <w:fldChar w:fldCharType="end"/>
        </w:r>
      </w:p>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2"/>
      </w:rPr>
    </w:pPr>
    <w:r>
      <w:fldChar w:fldCharType="begin"/>
    </w:r>
    <w:r>
      <w:rPr>
        <w:rStyle w:val="72"/>
      </w:rPr>
      <w:instrText xml:space="preserve">PAGE  </w:instrText>
    </w:r>
    <w: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6" w:name="_Toc36110187"/>
    <w:bookmarkStart w:id="557" w:name="_Toc91899912"/>
    <w:bookmarkStart w:id="558" w:name="_Toc164085800"/>
    <w:bookmarkStart w:id="559" w:name="_Toc131845147"/>
    <w:r>
      <w:rPr>
        <w:rFonts w:hint="eastAsia" w:ascii="仿宋_GB2312" w:eastAsia="仿宋_GB2312"/>
        <w:kern w:val="0"/>
        <w:szCs w:val="21"/>
      </w:rPr>
      <w:t xml:space="preserve"> 页</w:t>
    </w:r>
    <w:bookmarkEnd w:id="556"/>
    <w:bookmarkEnd w:id="557"/>
    <w:bookmarkEnd w:id="558"/>
    <w:bookmarkEnd w:id="55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2FC34"/>
    <w:multiLevelType w:val="singleLevel"/>
    <w:tmpl w:val="F402FC3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ZDAzZDk2Yzg2MTEyMjM5MzAzOWZjZTdjZDc0Y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9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55AD9"/>
    <w:rsid w:val="048F763B"/>
    <w:rsid w:val="049F330E"/>
    <w:rsid w:val="04AA775C"/>
    <w:rsid w:val="04AF1889"/>
    <w:rsid w:val="04F66F48"/>
    <w:rsid w:val="05251E14"/>
    <w:rsid w:val="05A16594"/>
    <w:rsid w:val="05A7762D"/>
    <w:rsid w:val="060E5941"/>
    <w:rsid w:val="06110FAF"/>
    <w:rsid w:val="06493CA7"/>
    <w:rsid w:val="065A6178"/>
    <w:rsid w:val="066F1CF3"/>
    <w:rsid w:val="06930BB8"/>
    <w:rsid w:val="071A324D"/>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461E1"/>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2302E"/>
    <w:rsid w:val="10F33360"/>
    <w:rsid w:val="10FC16EA"/>
    <w:rsid w:val="110F1D40"/>
    <w:rsid w:val="11266F33"/>
    <w:rsid w:val="118963A1"/>
    <w:rsid w:val="11C6522A"/>
    <w:rsid w:val="11E104CC"/>
    <w:rsid w:val="11E20309"/>
    <w:rsid w:val="12255233"/>
    <w:rsid w:val="12530213"/>
    <w:rsid w:val="127723A9"/>
    <w:rsid w:val="12810EDD"/>
    <w:rsid w:val="12862074"/>
    <w:rsid w:val="12883966"/>
    <w:rsid w:val="129E45B4"/>
    <w:rsid w:val="12D81596"/>
    <w:rsid w:val="13072A44"/>
    <w:rsid w:val="135F4BE2"/>
    <w:rsid w:val="139B1A0A"/>
    <w:rsid w:val="139D25C7"/>
    <w:rsid w:val="13BF3CE4"/>
    <w:rsid w:val="13FB35E7"/>
    <w:rsid w:val="141008D8"/>
    <w:rsid w:val="14125FE6"/>
    <w:rsid w:val="146D271E"/>
    <w:rsid w:val="14982588"/>
    <w:rsid w:val="149A5AD9"/>
    <w:rsid w:val="14A7619D"/>
    <w:rsid w:val="150536C3"/>
    <w:rsid w:val="150C1963"/>
    <w:rsid w:val="151447A0"/>
    <w:rsid w:val="154A6454"/>
    <w:rsid w:val="15762120"/>
    <w:rsid w:val="16115B3B"/>
    <w:rsid w:val="16A8729C"/>
    <w:rsid w:val="16B33777"/>
    <w:rsid w:val="16B41B7E"/>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764C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E5575"/>
    <w:rsid w:val="1DF51A98"/>
    <w:rsid w:val="1DFE0D7B"/>
    <w:rsid w:val="1E3D060F"/>
    <w:rsid w:val="1E3F7D2E"/>
    <w:rsid w:val="1E4134E4"/>
    <w:rsid w:val="1E5062B3"/>
    <w:rsid w:val="1E523514"/>
    <w:rsid w:val="1E682698"/>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30A09"/>
    <w:rsid w:val="21D56769"/>
    <w:rsid w:val="21E52EF3"/>
    <w:rsid w:val="21FB5D7B"/>
    <w:rsid w:val="220B1C3D"/>
    <w:rsid w:val="221D1D20"/>
    <w:rsid w:val="22334A87"/>
    <w:rsid w:val="22BE6801"/>
    <w:rsid w:val="233500BF"/>
    <w:rsid w:val="23377FF7"/>
    <w:rsid w:val="233D2865"/>
    <w:rsid w:val="236B425F"/>
    <w:rsid w:val="23750711"/>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DD6BFF"/>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C83CF1"/>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25D9B"/>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65B68"/>
    <w:rsid w:val="3EC33DFA"/>
    <w:rsid w:val="3F060E16"/>
    <w:rsid w:val="3F1D1096"/>
    <w:rsid w:val="3F2F0234"/>
    <w:rsid w:val="3F6363FE"/>
    <w:rsid w:val="3F756B8F"/>
    <w:rsid w:val="3F95482B"/>
    <w:rsid w:val="3FEB51A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BA2C13"/>
    <w:rsid w:val="42CD1CE0"/>
    <w:rsid w:val="42E1381E"/>
    <w:rsid w:val="42ED6459"/>
    <w:rsid w:val="42FE58DD"/>
    <w:rsid w:val="43174B3D"/>
    <w:rsid w:val="434B790E"/>
    <w:rsid w:val="43544E16"/>
    <w:rsid w:val="4360274F"/>
    <w:rsid w:val="43977AB6"/>
    <w:rsid w:val="43A3342B"/>
    <w:rsid w:val="43C77C27"/>
    <w:rsid w:val="43DE09EE"/>
    <w:rsid w:val="44002FAD"/>
    <w:rsid w:val="449101DD"/>
    <w:rsid w:val="44DE1391"/>
    <w:rsid w:val="451B225C"/>
    <w:rsid w:val="452410C9"/>
    <w:rsid w:val="45317DFB"/>
    <w:rsid w:val="4562192E"/>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90E2E"/>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667815"/>
    <w:rsid w:val="4AB82D0F"/>
    <w:rsid w:val="4AEB7664"/>
    <w:rsid w:val="4AFD7C19"/>
    <w:rsid w:val="4B0567D1"/>
    <w:rsid w:val="4B236AAE"/>
    <w:rsid w:val="4B707271"/>
    <w:rsid w:val="4B7A4C50"/>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D45B3"/>
    <w:rsid w:val="4F104EC3"/>
    <w:rsid w:val="4F47354A"/>
    <w:rsid w:val="4F806F9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E263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91755"/>
    <w:rsid w:val="58917D2F"/>
    <w:rsid w:val="5894085C"/>
    <w:rsid w:val="58AE4F0C"/>
    <w:rsid w:val="58B85899"/>
    <w:rsid w:val="58E363A9"/>
    <w:rsid w:val="595E1678"/>
    <w:rsid w:val="596D5BD4"/>
    <w:rsid w:val="597E3DD8"/>
    <w:rsid w:val="599E2086"/>
    <w:rsid w:val="59F80043"/>
    <w:rsid w:val="5A09252F"/>
    <w:rsid w:val="5A0B2778"/>
    <w:rsid w:val="5A2A7C7B"/>
    <w:rsid w:val="5A3E2560"/>
    <w:rsid w:val="5A5D3B6E"/>
    <w:rsid w:val="5A637A76"/>
    <w:rsid w:val="5A6C4CE3"/>
    <w:rsid w:val="5A6D33BA"/>
    <w:rsid w:val="5A792B1F"/>
    <w:rsid w:val="5A874767"/>
    <w:rsid w:val="5AAD6F28"/>
    <w:rsid w:val="5AD63A24"/>
    <w:rsid w:val="5B2E1A1D"/>
    <w:rsid w:val="5B490B80"/>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96583"/>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66F70"/>
    <w:rsid w:val="68876EFB"/>
    <w:rsid w:val="68884654"/>
    <w:rsid w:val="689F444F"/>
    <w:rsid w:val="68B96DBB"/>
    <w:rsid w:val="68CA2805"/>
    <w:rsid w:val="68E937A3"/>
    <w:rsid w:val="693E15D3"/>
    <w:rsid w:val="69627681"/>
    <w:rsid w:val="6977531D"/>
    <w:rsid w:val="69CC2BFF"/>
    <w:rsid w:val="69E4378A"/>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8395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D03EB"/>
    <w:rsid w:val="6F2A7D94"/>
    <w:rsid w:val="6F6618A9"/>
    <w:rsid w:val="6F8331F1"/>
    <w:rsid w:val="6FAE1A09"/>
    <w:rsid w:val="6FB24AEE"/>
    <w:rsid w:val="6FD75BF8"/>
    <w:rsid w:val="6FFB46E7"/>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DB7E39"/>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Balloon Text"/>
    <w:basedOn w:val="1"/>
    <w:next w:val="18"/>
    <w:link w:val="187"/>
    <w:qFormat/>
    <w:uiPriority w:val="0"/>
    <w:rPr>
      <w:sz w:val="18"/>
      <w:szCs w:val="18"/>
    </w:rPr>
  </w:style>
  <w:style w:type="paragraph" w:styleId="18">
    <w:name w:val="toc 8"/>
    <w:basedOn w:val="1"/>
    <w:next w:val="1"/>
    <w:qFormat/>
    <w:uiPriority w:val="0"/>
    <w:pPr>
      <w:ind w:left="2940" w:leftChars="1400"/>
    </w:p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18"/>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2"/>
    <w:basedOn w:val="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标题 1 Char"/>
    <w:link w:val="3"/>
    <w:qFormat/>
    <w:uiPriority w:val="9"/>
    <w:rPr>
      <w:b/>
      <w:bCs/>
      <w:kern w:val="44"/>
      <w:sz w:val="44"/>
      <w:szCs w:val="4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17"/>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8"/>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7"/>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39013</Words>
  <Characters>41269</Characters>
  <Lines>287</Lines>
  <Paragraphs>81</Paragraphs>
  <TotalTime>16</TotalTime>
  <ScaleCrop>false</ScaleCrop>
  <LinksUpToDate>false</LinksUpToDate>
  <CharactersWithSpaces>45599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余麟</cp:lastModifiedBy>
  <cp:lastPrinted>2021-12-27T03:06:00Z</cp:lastPrinted>
  <dcterms:modified xsi:type="dcterms:W3CDTF">2022-10-21T08:56:48Z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8A924CDD119F4733AE9DEB7BB70C22F9</vt:lpwstr>
  </property>
</Properties>
</file>